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ind w:right="128" w:rightChars="61"/>
        <w:jc w:val="center"/>
        <w:rPr>
          <w:rFonts w:hint="eastAsia" w:ascii="宋体" w:hAnsi="宋体" w:eastAsia="宋体" w:cs="宋体"/>
          <w:b/>
          <w:color w:val="000000"/>
          <w:sz w:val="44"/>
          <w:szCs w:val="44"/>
        </w:rPr>
      </w:pPr>
      <w:bookmarkStart w:id="0" w:name="EB7884e410a3964767ae21e9a364dce159"/>
      <w:r>
        <w:rPr>
          <w:rFonts w:hint="eastAsia" w:ascii="宋体" w:hAnsi="宋体" w:eastAsia="宋体" w:cs="宋体"/>
          <w:b/>
          <w:color w:val="000000"/>
          <w:sz w:val="44"/>
          <w:szCs w:val="44"/>
          <w:lang w:eastAsia="zh-CN"/>
        </w:rPr>
        <w:t>开标与</w:t>
      </w:r>
      <w:r>
        <w:rPr>
          <w:rFonts w:hint="eastAsia" w:ascii="宋体" w:hAnsi="宋体" w:eastAsia="宋体" w:cs="宋体"/>
          <w:b/>
          <w:color w:val="000000"/>
          <w:sz w:val="44"/>
          <w:szCs w:val="44"/>
        </w:rPr>
        <w:t>评标</w:t>
      </w:r>
    </w:p>
    <w:p>
      <w:pPr>
        <w:pStyle w:val="5"/>
        <w:numPr>
          <w:ilvl w:val="1"/>
          <w:numId w:val="1"/>
        </w:numPr>
        <w:tabs>
          <w:tab w:val="left" w:pos="0"/>
          <w:tab w:val="left" w:pos="943"/>
        </w:tabs>
        <w:spacing w:before="67" w:after="0" w:line="240" w:lineRule="auto"/>
        <w:ind w:left="942" w:leftChars="0" w:right="128" w:rightChars="61" w:hanging="522" w:firstLineChars="0"/>
        <w:jc w:val="left"/>
      </w:pPr>
      <w:r>
        <w:t>开标</w:t>
      </w:r>
    </w:p>
    <w:p>
      <w:pPr>
        <w:pStyle w:val="3"/>
        <w:tabs>
          <w:tab w:val="left" w:pos="0"/>
        </w:tabs>
        <w:spacing w:before="1"/>
        <w:ind w:right="330" w:rightChars="157"/>
        <w:rPr>
          <w:b/>
          <w:sz w:val="18"/>
        </w:rPr>
      </w:pPr>
    </w:p>
    <w:p>
      <w:pPr>
        <w:pStyle w:val="9"/>
        <w:numPr>
          <w:ilvl w:val="0"/>
          <w:numId w:val="0"/>
        </w:numPr>
        <w:tabs>
          <w:tab w:val="left" w:pos="0"/>
          <w:tab w:val="left" w:pos="1389"/>
        </w:tabs>
        <w:spacing w:before="1" w:after="0" w:line="240" w:lineRule="auto"/>
        <w:ind w:leftChars="198" w:right="330" w:rightChars="157"/>
        <w:jc w:val="both"/>
        <w:rPr>
          <w:sz w:val="24"/>
        </w:rPr>
      </w:pPr>
      <w:r>
        <w:rPr>
          <w:rFonts w:hint="eastAsia"/>
          <w:sz w:val="24"/>
          <w:lang w:val="en-US" w:eastAsia="zh-CN"/>
        </w:rPr>
        <w:t>1.1.1</w:t>
      </w:r>
      <w:r>
        <w:rPr>
          <w:sz w:val="24"/>
        </w:rPr>
        <w:t>投标供应商代表须签到证明其出席开标会议，否则视为该投标供应商自动退出投标。</w:t>
      </w:r>
    </w:p>
    <w:p>
      <w:pPr>
        <w:pStyle w:val="9"/>
        <w:numPr>
          <w:ilvl w:val="0"/>
          <w:numId w:val="0"/>
        </w:numPr>
        <w:tabs>
          <w:tab w:val="left" w:pos="0"/>
          <w:tab w:val="left" w:pos="1389"/>
        </w:tabs>
        <w:spacing w:before="158" w:after="0" w:line="364" w:lineRule="auto"/>
        <w:ind w:leftChars="198" w:right="330" w:rightChars="157"/>
        <w:jc w:val="both"/>
        <w:rPr>
          <w:sz w:val="24"/>
        </w:rPr>
      </w:pPr>
      <w:r>
        <w:rPr>
          <w:rFonts w:hint="eastAsia"/>
          <w:spacing w:val="-2"/>
          <w:sz w:val="24"/>
          <w:lang w:val="en-US" w:eastAsia="zh-CN"/>
        </w:rPr>
        <w:t>1.1.2</w:t>
      </w:r>
      <w:r>
        <w:rPr>
          <w:spacing w:val="-2"/>
          <w:sz w:val="24"/>
        </w:rPr>
        <w:t>投标文件提交截止时间止举行开标会议，按招标文件规定的时间和地点公开开标，在</w:t>
      </w:r>
      <w:r>
        <w:rPr>
          <w:spacing w:val="-3"/>
          <w:sz w:val="24"/>
        </w:rPr>
        <w:t xml:space="preserve">招标文件要求的投标截止时间结束后参加投标的投标供应商不足 </w:t>
      </w:r>
      <w:r>
        <w:rPr>
          <w:sz w:val="24"/>
        </w:rPr>
        <w:t>3</w:t>
      </w:r>
      <w:r>
        <w:rPr>
          <w:spacing w:val="-15"/>
          <w:sz w:val="24"/>
        </w:rPr>
        <w:t xml:space="preserve"> 家的，停止开标，并将密</w:t>
      </w:r>
      <w:r>
        <w:rPr>
          <w:sz w:val="24"/>
        </w:rPr>
        <w:t>封的投标文件退还给投标供应商。</w:t>
      </w:r>
    </w:p>
    <w:p>
      <w:pPr>
        <w:pStyle w:val="5"/>
        <w:numPr>
          <w:ilvl w:val="0"/>
          <w:numId w:val="0"/>
        </w:numPr>
        <w:tabs>
          <w:tab w:val="left" w:pos="0"/>
          <w:tab w:val="left" w:pos="1394"/>
        </w:tabs>
        <w:spacing w:before="0" w:after="0" w:line="307" w:lineRule="exact"/>
        <w:ind w:leftChars="198" w:right="330" w:rightChars="157"/>
        <w:jc w:val="both"/>
      </w:pPr>
      <w:r>
        <w:rPr>
          <w:rFonts w:hint="eastAsia"/>
          <w:lang w:val="en-US" w:eastAsia="zh-CN"/>
        </w:rPr>
        <w:t xml:space="preserve">1.2 </w:t>
      </w:r>
      <w:r>
        <w:t>开标程序</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（1）宣布开标纪律；</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（2）开启系统群聊功能等待开标时间，打开环境监控；</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（3）宣布开标人、唱标人、记录人、监标人等有关人员姓名；</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（4）公布在投标截止时间前递交投标文件的投标人名称；</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（5）重申最高投标限价；</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（6）对投标文件进行解密，导入解密成功的电子投标文件，对投标文件的以下主要内容进行唱标：投标保证金的递交情况、投标报价、服务期限、质量标准等内容，并记录在案；</w:t>
      </w:r>
    </w:p>
    <w:p>
      <w:pPr>
        <w:pStyle w:val="9"/>
        <w:numPr>
          <w:ilvl w:val="0"/>
          <w:numId w:val="0"/>
        </w:numPr>
        <w:tabs>
          <w:tab w:val="left" w:pos="0"/>
          <w:tab w:val="left" w:pos="1361"/>
        </w:tabs>
        <w:spacing w:before="158" w:after="0" w:line="364" w:lineRule="auto"/>
        <w:ind w:leftChars="198" w:right="330" w:rightChars="157"/>
        <w:jc w:val="both"/>
        <w:rPr>
          <w:rFonts w:hint="eastAsia"/>
          <w:sz w:val="24"/>
        </w:rPr>
      </w:pPr>
      <w:r>
        <w:rPr>
          <w:sz w:val="24"/>
        </w:rPr>
        <w:t>（7）投标人代表、招标人代表、监督人、记录人等有关人员在开标记录上签字确认；</w:t>
      </w:r>
    </w:p>
    <w:p>
      <w:pPr>
        <w:pStyle w:val="9"/>
        <w:numPr>
          <w:ilvl w:val="0"/>
          <w:numId w:val="0"/>
        </w:numPr>
        <w:tabs>
          <w:tab w:val="left" w:pos="0"/>
          <w:tab w:val="left" w:pos="1361"/>
        </w:tabs>
        <w:spacing w:before="158" w:after="0" w:line="364" w:lineRule="auto"/>
        <w:ind w:leftChars="198" w:right="330" w:rightChars="157"/>
        <w:jc w:val="both"/>
        <w:rPr>
          <w:sz w:val="24"/>
        </w:rPr>
      </w:pPr>
      <w:r>
        <w:rPr>
          <w:sz w:val="24"/>
        </w:rPr>
        <w:t>（8）</w:t>
      </w:r>
      <w:r>
        <w:rPr>
          <w:rFonts w:hint="eastAsia"/>
          <w:sz w:val="24"/>
          <w:lang w:eastAsia="zh-CN"/>
        </w:rPr>
        <w:t>待评委会对响应文件的资格部分评审后进行磋商报价</w:t>
      </w:r>
      <w:r>
        <w:rPr>
          <w:sz w:val="24"/>
        </w:rPr>
        <w:t>。</w:t>
      </w:r>
    </w:p>
    <w:p>
      <w:pPr>
        <w:pStyle w:val="9"/>
        <w:numPr>
          <w:ilvl w:val="0"/>
          <w:numId w:val="0"/>
        </w:numPr>
        <w:tabs>
          <w:tab w:val="left" w:pos="0"/>
          <w:tab w:val="left" w:pos="1361"/>
        </w:tabs>
        <w:spacing w:before="158" w:after="0" w:line="364" w:lineRule="auto"/>
        <w:ind w:leftChars="198" w:right="330" w:rightChars="157" w:firstLine="240" w:firstLineChars="100"/>
        <w:jc w:val="both"/>
        <w:rPr>
          <w:rFonts w:hint="eastAsia" w:eastAsia="宋体"/>
          <w:sz w:val="24"/>
          <w:lang w:val="en-US" w:eastAsia="zh-CN"/>
        </w:rPr>
      </w:pPr>
      <w:r>
        <w:rPr>
          <w:rFonts w:hint="eastAsia"/>
          <w:sz w:val="24"/>
          <w:lang w:val="en-US" w:eastAsia="zh-CN"/>
        </w:rPr>
        <w:t>(9)</w:t>
      </w:r>
      <w:r>
        <w:rPr>
          <w:sz w:val="24"/>
        </w:rPr>
        <w:t>开标结束</w:t>
      </w:r>
      <w:r>
        <w:rPr>
          <w:rFonts w:hint="eastAsia"/>
          <w:sz w:val="24"/>
          <w:lang w:eastAsia="zh-CN"/>
        </w:rPr>
        <w:t>。</w:t>
      </w:r>
    </w:p>
    <w:p>
      <w:pPr>
        <w:pStyle w:val="9"/>
        <w:numPr>
          <w:ilvl w:val="0"/>
          <w:numId w:val="0"/>
        </w:numPr>
        <w:tabs>
          <w:tab w:val="left" w:pos="0"/>
          <w:tab w:val="left" w:pos="1361"/>
        </w:tabs>
        <w:spacing w:before="0" w:after="0" w:line="364" w:lineRule="auto"/>
        <w:ind w:leftChars="198" w:right="330" w:rightChars="157"/>
        <w:jc w:val="both"/>
        <w:rPr>
          <w:sz w:val="24"/>
        </w:rPr>
      </w:pPr>
    </w:p>
    <w:p>
      <w:pPr>
        <w:pStyle w:val="5"/>
        <w:numPr>
          <w:ilvl w:val="0"/>
          <w:numId w:val="0"/>
        </w:numPr>
        <w:tabs>
          <w:tab w:val="left" w:pos="0"/>
          <w:tab w:val="left" w:pos="1425"/>
        </w:tabs>
        <w:spacing w:before="0" w:after="0" w:line="364" w:lineRule="auto"/>
        <w:ind w:leftChars="198" w:right="330" w:rightChars="157"/>
        <w:jc w:val="both"/>
      </w:pPr>
      <w:r>
        <w:rPr>
          <w:spacing w:val="-3"/>
          <w:w w:val="95"/>
        </w:rPr>
        <w:t>投标文件中开标一览表</w:t>
      </w:r>
      <w:r>
        <w:rPr>
          <w:w w:val="95"/>
        </w:rPr>
        <w:t>（报价表</w:t>
      </w:r>
      <w:r>
        <w:rPr>
          <w:spacing w:val="-24"/>
          <w:w w:val="95"/>
        </w:rPr>
        <w:t>）</w:t>
      </w:r>
      <w:r>
        <w:rPr>
          <w:spacing w:val="-2"/>
          <w:w w:val="95"/>
        </w:rPr>
        <w:t xml:space="preserve">内容与投标文件中相应内容不一致的，以开标一览  </w:t>
      </w:r>
      <w:r>
        <w:rPr>
          <w:spacing w:val="-2"/>
        </w:rPr>
        <w:t>表（报价表）为准。</w:t>
      </w:r>
    </w:p>
    <w:p>
      <w:pPr>
        <w:pStyle w:val="3"/>
        <w:tabs>
          <w:tab w:val="left" w:pos="0"/>
        </w:tabs>
        <w:spacing w:before="1"/>
        <w:ind w:left="416" w:leftChars="198" w:right="128" w:rightChars="61" w:firstLine="4" w:firstLineChars="0"/>
        <w:rPr>
          <w:b/>
          <w:sz w:val="20"/>
        </w:rPr>
      </w:pPr>
    </w:p>
    <w:p>
      <w:pPr>
        <w:rPr>
          <w:b/>
          <w:sz w:val="20"/>
        </w:rPr>
      </w:pPr>
    </w:p>
    <w:p>
      <w:pPr>
        <w:pStyle w:val="2"/>
      </w:pPr>
    </w:p>
    <w:p>
      <w:pPr>
        <w:tabs>
          <w:tab w:val="left" w:pos="0"/>
        </w:tabs>
        <w:spacing w:before="0"/>
        <w:ind w:left="416" w:leftChars="198" w:right="128" w:rightChars="61" w:firstLine="4" w:firstLineChars="0"/>
        <w:jc w:val="center"/>
        <w:rPr>
          <w:b/>
          <w:sz w:val="36"/>
        </w:rPr>
      </w:pPr>
      <w:bookmarkStart w:id="3" w:name="_GoBack"/>
      <w:bookmarkEnd w:id="3"/>
      <w:bookmarkStart w:id="1" w:name="_bookmark18"/>
      <w:bookmarkEnd w:id="1"/>
      <w:bookmarkStart w:id="2" w:name="2、资格性审查"/>
      <w:bookmarkEnd w:id="2"/>
      <w:r>
        <w:rPr>
          <w:b/>
          <w:sz w:val="36"/>
        </w:rPr>
        <w:t>2、资格性审查</w:t>
      </w:r>
    </w:p>
    <w:p>
      <w:pPr>
        <w:pStyle w:val="3"/>
        <w:tabs>
          <w:tab w:val="left" w:pos="0"/>
        </w:tabs>
        <w:spacing w:line="305" w:lineRule="exact"/>
        <w:ind w:left="0" w:leftChars="0" w:right="-128" w:rightChars="-61" w:firstLine="4" w:firstLineChars="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资格性审查材料如下：</w:t>
      </w:r>
    </w:p>
    <w:tbl>
      <w:tblPr>
        <w:tblStyle w:val="7"/>
        <w:tblpPr w:leftFromText="180" w:rightFromText="180" w:vertAnchor="text" w:horzAnchor="page" w:tblpX="1002" w:tblpY="195"/>
        <w:tblOverlap w:val="never"/>
        <w:tblW w:w="98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0"/>
        <w:gridCol w:w="5080"/>
        <w:gridCol w:w="1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750" w:type="dxa"/>
            <w:noWrap w:val="0"/>
            <w:vAlign w:val="top"/>
          </w:tcPr>
          <w:p>
            <w:pPr>
              <w:pStyle w:val="10"/>
              <w:tabs>
                <w:tab w:val="left" w:pos="220"/>
              </w:tabs>
              <w:spacing w:before="95" w:line="305" w:lineRule="exact"/>
              <w:ind w:left="220" w:leftChars="0" w:right="53" w:rightChars="25" w:firstLine="0" w:firstLineChars="0"/>
              <w:jc w:val="center"/>
              <w:rPr>
                <w:sz w:val="24"/>
              </w:rPr>
            </w:pPr>
            <w:r>
              <w:rPr>
                <w:sz w:val="24"/>
              </w:rPr>
              <w:t>审查因素</w:t>
            </w:r>
          </w:p>
        </w:tc>
        <w:tc>
          <w:tcPr>
            <w:tcW w:w="5080" w:type="dxa"/>
            <w:noWrap w:val="0"/>
            <w:vAlign w:val="top"/>
          </w:tcPr>
          <w:p>
            <w:pPr>
              <w:pStyle w:val="10"/>
              <w:tabs>
                <w:tab w:val="left" w:pos="0"/>
              </w:tabs>
              <w:spacing w:before="95" w:line="305" w:lineRule="exact"/>
              <w:ind w:left="230" w:leftChars="95" w:right="191" w:rightChars="91" w:hanging="31" w:hangingChars="13"/>
              <w:jc w:val="center"/>
              <w:rPr>
                <w:sz w:val="24"/>
              </w:rPr>
            </w:pPr>
            <w:r>
              <w:rPr>
                <w:sz w:val="24"/>
              </w:rPr>
              <w:t>对应内容</w:t>
            </w:r>
          </w:p>
        </w:tc>
        <w:tc>
          <w:tcPr>
            <w:tcW w:w="1970" w:type="dxa"/>
            <w:noWrap w:val="0"/>
            <w:vAlign w:val="top"/>
          </w:tcPr>
          <w:p>
            <w:pPr>
              <w:pStyle w:val="10"/>
              <w:tabs>
                <w:tab w:val="left" w:pos="0"/>
              </w:tabs>
              <w:spacing w:before="95" w:line="305" w:lineRule="exact"/>
              <w:ind w:left="223" w:leftChars="104" w:right="279" w:rightChars="133" w:hanging="5" w:firstLineChars="0"/>
              <w:rPr>
                <w:sz w:val="24"/>
              </w:rPr>
            </w:pPr>
            <w:r>
              <w:rPr>
                <w:sz w:val="24"/>
              </w:rPr>
              <w:t>审查说明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9800" w:type="dxa"/>
            <w:gridSpan w:val="3"/>
            <w:noWrap w:val="0"/>
            <w:vAlign w:val="top"/>
          </w:tcPr>
          <w:p>
            <w:pPr>
              <w:pStyle w:val="10"/>
              <w:tabs>
                <w:tab w:val="left" w:pos="220"/>
              </w:tabs>
              <w:spacing w:before="97" w:line="301" w:lineRule="exact"/>
              <w:ind w:left="223" w:leftChars="104" w:right="279" w:rightChars="133" w:hanging="5" w:firstLineChars="0"/>
              <w:rPr>
                <w:b/>
                <w:sz w:val="24"/>
              </w:rPr>
            </w:pPr>
            <w:r>
              <w:rPr>
                <w:b/>
                <w:sz w:val="24"/>
              </w:rPr>
              <w:t>（一）一般资格要求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0" w:hRule="atLeast"/>
        </w:trPr>
        <w:tc>
          <w:tcPr>
            <w:tcW w:w="2750" w:type="dxa"/>
            <w:noWrap w:val="0"/>
            <w:vAlign w:val="top"/>
          </w:tcPr>
          <w:p>
            <w:pPr>
              <w:pStyle w:val="10"/>
              <w:tabs>
                <w:tab w:val="left" w:pos="220"/>
              </w:tabs>
              <w:ind w:left="220" w:leftChars="0" w:right="53" w:rightChars="25" w:firstLine="0" w:firstLineChars="0"/>
              <w:rPr>
                <w:sz w:val="24"/>
              </w:rPr>
            </w:pPr>
          </w:p>
          <w:p>
            <w:pPr>
              <w:pStyle w:val="10"/>
              <w:tabs>
                <w:tab w:val="left" w:pos="220"/>
              </w:tabs>
              <w:ind w:left="220" w:leftChars="0" w:right="53" w:rightChars="25" w:firstLine="0" w:firstLineChars="0"/>
              <w:rPr>
                <w:sz w:val="24"/>
              </w:rPr>
            </w:pPr>
            <w:r>
              <w:rPr>
                <w:sz w:val="24"/>
              </w:rPr>
              <w:t>具有独立承担民事责任的能力</w:t>
            </w:r>
          </w:p>
        </w:tc>
        <w:tc>
          <w:tcPr>
            <w:tcW w:w="5080" w:type="dxa"/>
            <w:noWrap w:val="0"/>
            <w:vAlign w:val="top"/>
          </w:tcPr>
          <w:p>
            <w:pPr>
              <w:pStyle w:val="10"/>
              <w:tabs>
                <w:tab w:val="left" w:pos="0"/>
              </w:tabs>
              <w:spacing w:line="420" w:lineRule="exact"/>
              <w:ind w:left="230" w:leftChars="95" w:right="191" w:rightChars="91" w:hanging="31" w:hangingChars="13"/>
              <w:jc w:val="both"/>
              <w:rPr>
                <w:sz w:val="24"/>
              </w:rPr>
            </w:pPr>
            <w:r>
              <w:rPr>
                <w:rFonts w:hint="eastAsia"/>
                <w:sz w:val="24"/>
              </w:rPr>
              <w:t>法人或者其他组织的营业执照等证明文件，自然人须提供身份证明</w:t>
            </w:r>
          </w:p>
        </w:tc>
        <w:tc>
          <w:tcPr>
            <w:tcW w:w="1970" w:type="dxa"/>
            <w:noWrap w:val="0"/>
            <w:vAlign w:val="top"/>
          </w:tcPr>
          <w:p>
            <w:pPr>
              <w:pStyle w:val="10"/>
              <w:tabs>
                <w:tab w:val="left" w:pos="0"/>
              </w:tabs>
              <w:ind w:left="223" w:leftChars="104" w:right="279" w:rightChars="133" w:hanging="5" w:firstLineChars="0"/>
              <w:rPr>
                <w:sz w:val="24"/>
              </w:rPr>
            </w:pPr>
          </w:p>
          <w:p>
            <w:pPr>
              <w:pStyle w:val="10"/>
              <w:tabs>
                <w:tab w:val="left" w:pos="0"/>
              </w:tabs>
              <w:spacing w:line="328" w:lineRule="auto"/>
              <w:ind w:left="223" w:leftChars="104" w:right="279" w:rightChars="133" w:hanging="5" w:firstLineChars="0"/>
              <w:jc w:val="both"/>
              <w:rPr>
                <w:sz w:val="24"/>
              </w:rPr>
            </w:pPr>
            <w:r>
              <w:rPr>
                <w:sz w:val="24"/>
              </w:rPr>
              <w:t>加盖投标供应商鲜章复印件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2750" w:type="dxa"/>
            <w:noWrap w:val="0"/>
            <w:vAlign w:val="top"/>
          </w:tcPr>
          <w:p>
            <w:pPr>
              <w:pStyle w:val="10"/>
              <w:tabs>
                <w:tab w:val="left" w:pos="220"/>
              </w:tabs>
              <w:ind w:left="220" w:leftChars="0" w:right="53" w:rightChars="25" w:firstLine="0" w:firstLineChars="0"/>
              <w:rPr>
                <w:sz w:val="24"/>
              </w:rPr>
            </w:pPr>
          </w:p>
          <w:p>
            <w:pPr>
              <w:pStyle w:val="10"/>
              <w:tabs>
                <w:tab w:val="left" w:pos="220"/>
              </w:tabs>
              <w:spacing w:line="328" w:lineRule="auto"/>
              <w:ind w:left="220" w:leftChars="0" w:right="53" w:rightChars="25" w:firstLine="0" w:firstLineChars="0"/>
              <w:rPr>
                <w:sz w:val="24"/>
              </w:rPr>
            </w:pPr>
            <w:r>
              <w:rPr>
                <w:sz w:val="24"/>
              </w:rPr>
              <w:t>具有良好的商业信誉和健全的财务会计制度</w:t>
            </w:r>
          </w:p>
        </w:tc>
        <w:tc>
          <w:tcPr>
            <w:tcW w:w="5080" w:type="dxa"/>
            <w:noWrap w:val="0"/>
            <w:vAlign w:val="top"/>
          </w:tcPr>
          <w:p>
            <w:pPr>
              <w:pStyle w:val="10"/>
              <w:tabs>
                <w:tab w:val="left" w:pos="0"/>
              </w:tabs>
              <w:spacing w:before="10" w:line="420" w:lineRule="atLeast"/>
              <w:ind w:left="230" w:leftChars="95" w:right="191" w:rightChars="91" w:hanging="31" w:hangingChars="13"/>
              <w:jc w:val="both"/>
              <w:rPr>
                <w:sz w:val="24"/>
              </w:rPr>
            </w:pPr>
            <w:r>
              <w:rPr>
                <w:rFonts w:hint="eastAsia"/>
                <w:sz w:val="24"/>
                <w:lang w:eastAsia="zh-CN"/>
              </w:rPr>
              <w:t>“经审计的2021年度的财务报告”或“基本开户银行出具（开标截止日前近一个月）的银行资信证明”</w:t>
            </w:r>
            <w:r>
              <w:rPr>
                <w:rFonts w:hint="eastAsia"/>
                <w:sz w:val="24"/>
              </w:rPr>
              <w:t>；</w:t>
            </w:r>
          </w:p>
        </w:tc>
        <w:tc>
          <w:tcPr>
            <w:tcW w:w="1970" w:type="dxa"/>
            <w:noWrap w:val="0"/>
            <w:vAlign w:val="top"/>
          </w:tcPr>
          <w:p>
            <w:pPr>
              <w:pStyle w:val="10"/>
              <w:tabs>
                <w:tab w:val="left" w:pos="0"/>
              </w:tabs>
              <w:spacing w:before="1"/>
              <w:ind w:left="223" w:leftChars="104" w:right="279" w:rightChars="133" w:hanging="5" w:firstLineChars="0"/>
              <w:rPr>
                <w:sz w:val="27"/>
              </w:rPr>
            </w:pPr>
          </w:p>
          <w:p>
            <w:pPr>
              <w:pStyle w:val="10"/>
              <w:tabs>
                <w:tab w:val="left" w:pos="0"/>
              </w:tabs>
              <w:spacing w:before="1" w:line="328" w:lineRule="auto"/>
              <w:ind w:left="223" w:leftChars="104" w:right="279" w:rightChars="133" w:hanging="5" w:firstLineChars="0"/>
              <w:jc w:val="both"/>
              <w:rPr>
                <w:sz w:val="24"/>
              </w:rPr>
            </w:pPr>
            <w:r>
              <w:rPr>
                <w:sz w:val="24"/>
              </w:rPr>
              <w:t>加盖投标供应商鲜章复印件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2750" w:type="dxa"/>
            <w:noWrap w:val="0"/>
            <w:vAlign w:val="top"/>
          </w:tcPr>
          <w:p>
            <w:pPr>
              <w:pStyle w:val="10"/>
              <w:tabs>
                <w:tab w:val="left" w:pos="220"/>
              </w:tabs>
              <w:spacing w:before="209" w:line="328" w:lineRule="auto"/>
              <w:ind w:left="220" w:leftChars="0" w:right="53" w:rightChars="25" w:firstLine="0" w:firstLineChars="0"/>
              <w:rPr>
                <w:sz w:val="24"/>
              </w:rPr>
            </w:pPr>
          </w:p>
          <w:p>
            <w:pPr>
              <w:pStyle w:val="10"/>
              <w:tabs>
                <w:tab w:val="left" w:pos="220"/>
              </w:tabs>
              <w:spacing w:before="209" w:line="328" w:lineRule="auto"/>
              <w:ind w:left="220" w:leftChars="0" w:right="53" w:rightChars="25" w:firstLine="0" w:firstLineChars="0"/>
              <w:rPr>
                <w:sz w:val="24"/>
              </w:rPr>
            </w:pPr>
            <w:r>
              <w:rPr>
                <w:sz w:val="24"/>
              </w:rPr>
              <w:t>有依法缴纳税收和社会保障资金的良好记录</w:t>
            </w:r>
          </w:p>
        </w:tc>
        <w:tc>
          <w:tcPr>
            <w:tcW w:w="5080" w:type="dxa"/>
            <w:noWrap w:val="0"/>
            <w:vAlign w:val="top"/>
          </w:tcPr>
          <w:p>
            <w:pPr>
              <w:pStyle w:val="10"/>
              <w:tabs>
                <w:tab w:val="left" w:pos="0"/>
              </w:tabs>
              <w:spacing w:line="420" w:lineRule="atLeast"/>
              <w:ind w:left="230" w:leftChars="95" w:right="191" w:rightChars="91" w:hanging="31" w:hangingChars="13"/>
              <w:jc w:val="both"/>
              <w:rPr>
                <w:rFonts w:hint="eastAsia" w:ascii="宋体" w:hAnsi="宋体" w:eastAsia="宋体" w:cs="宋体"/>
                <w:color w:val="auto"/>
                <w:sz w:val="24"/>
                <w:szCs w:val="24"/>
              </w:rPr>
            </w:pPr>
            <w:r>
              <w:rPr>
                <w:rFonts w:hint="eastAsia" w:ascii="宋体" w:hAnsi="宋体" w:eastAsia="宋体" w:cs="宋体"/>
                <w:color w:val="auto"/>
                <w:sz w:val="24"/>
                <w:szCs w:val="24"/>
              </w:rPr>
              <w:t>2022年至今任意一季度缴纳税收的凭据或证明材料（依法免税的供应商须提供相应证明文件）；2022年至今任意一季度社会保障资金缴纳证明材料（不需要缴纳社保资金的供应商须提供相应证明文件）；</w:t>
            </w:r>
          </w:p>
        </w:tc>
        <w:tc>
          <w:tcPr>
            <w:tcW w:w="1970" w:type="dxa"/>
            <w:noWrap w:val="0"/>
            <w:vAlign w:val="top"/>
          </w:tcPr>
          <w:p>
            <w:pPr>
              <w:pStyle w:val="10"/>
              <w:tabs>
                <w:tab w:val="left" w:pos="0"/>
              </w:tabs>
              <w:ind w:left="223" w:leftChars="104" w:right="279" w:rightChars="133" w:hanging="5" w:firstLineChars="0"/>
              <w:rPr>
                <w:sz w:val="24"/>
              </w:rPr>
            </w:pPr>
          </w:p>
          <w:p>
            <w:pPr>
              <w:pStyle w:val="10"/>
              <w:tabs>
                <w:tab w:val="left" w:pos="0"/>
              </w:tabs>
              <w:spacing w:line="328" w:lineRule="auto"/>
              <w:ind w:left="223" w:leftChars="104" w:right="279" w:rightChars="133" w:hanging="5" w:firstLineChars="0"/>
              <w:jc w:val="both"/>
              <w:rPr>
                <w:sz w:val="24"/>
              </w:rPr>
            </w:pPr>
          </w:p>
          <w:p>
            <w:pPr>
              <w:pStyle w:val="10"/>
              <w:tabs>
                <w:tab w:val="left" w:pos="0"/>
              </w:tabs>
              <w:spacing w:line="328" w:lineRule="auto"/>
              <w:ind w:left="223" w:leftChars="104" w:right="279" w:rightChars="133" w:hanging="5" w:firstLineChars="0"/>
              <w:jc w:val="both"/>
              <w:rPr>
                <w:sz w:val="24"/>
              </w:rPr>
            </w:pPr>
            <w:r>
              <w:rPr>
                <w:sz w:val="24"/>
              </w:rPr>
              <w:t>加盖投标供应商鲜章复印件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750" w:type="dxa"/>
            <w:noWrap w:val="0"/>
            <w:vAlign w:val="top"/>
          </w:tcPr>
          <w:p>
            <w:pPr>
              <w:pStyle w:val="10"/>
              <w:tabs>
                <w:tab w:val="left" w:pos="220"/>
              </w:tabs>
              <w:spacing w:line="420" w:lineRule="exact"/>
              <w:ind w:left="220" w:leftChars="0" w:right="53" w:rightChars="25" w:firstLine="0" w:firstLineChars="0"/>
              <w:rPr>
                <w:sz w:val="24"/>
              </w:rPr>
            </w:pPr>
            <w:r>
              <w:rPr>
                <w:sz w:val="24"/>
              </w:rPr>
              <w:t>具有履行合同所必需的设备和专业技术能力</w:t>
            </w:r>
          </w:p>
        </w:tc>
        <w:tc>
          <w:tcPr>
            <w:tcW w:w="5080" w:type="dxa"/>
            <w:noWrap w:val="0"/>
            <w:vAlign w:val="top"/>
          </w:tcPr>
          <w:p>
            <w:pPr>
              <w:pStyle w:val="10"/>
              <w:tabs>
                <w:tab w:val="left" w:pos="0"/>
              </w:tabs>
              <w:spacing w:line="420" w:lineRule="exact"/>
              <w:ind w:left="230" w:leftChars="95" w:right="191" w:rightChars="91" w:hanging="31" w:hangingChars="13"/>
              <w:rPr>
                <w:sz w:val="24"/>
              </w:rPr>
            </w:pPr>
            <w:r>
              <w:rPr>
                <w:rFonts w:hint="eastAsia" w:ascii="宋体" w:hAnsi="宋体" w:eastAsia="宋体" w:cs="宋体"/>
                <w:color w:val="auto"/>
                <w:sz w:val="24"/>
                <w:szCs w:val="24"/>
                <w:lang w:val="en-US" w:eastAsia="zh-CN"/>
              </w:rPr>
              <w:t>提供承诺函（格式自</w:t>
            </w:r>
            <w:r>
              <w:rPr>
                <w:rFonts w:hint="eastAsia" w:ascii="宋体" w:hAnsi="宋体" w:eastAsia="宋体" w:cs="宋体"/>
                <w:color w:val="auto"/>
                <w:sz w:val="24"/>
                <w:szCs w:val="24"/>
              </w:rPr>
              <w:t>拟</w:t>
            </w:r>
            <w:r>
              <w:rPr>
                <w:rFonts w:hint="eastAsia" w:ascii="宋体" w:hAnsi="宋体" w:eastAsia="宋体" w:cs="宋体"/>
                <w:color w:val="auto"/>
                <w:sz w:val="24"/>
                <w:szCs w:val="24"/>
                <w:lang w:val="en-US" w:eastAsia="zh-CN"/>
              </w:rPr>
              <w:t>）或提供相关证明材料复印件</w:t>
            </w:r>
          </w:p>
        </w:tc>
        <w:tc>
          <w:tcPr>
            <w:tcW w:w="1970" w:type="dxa"/>
            <w:noWrap w:val="0"/>
            <w:vAlign w:val="top"/>
          </w:tcPr>
          <w:p>
            <w:pPr>
              <w:pStyle w:val="10"/>
              <w:tabs>
                <w:tab w:val="left" w:pos="0"/>
              </w:tabs>
              <w:spacing w:before="12"/>
              <w:ind w:left="223" w:leftChars="104" w:right="279" w:rightChars="133" w:hanging="5" w:firstLineChars="0"/>
              <w:rPr>
                <w:sz w:val="23"/>
              </w:rPr>
            </w:pPr>
          </w:p>
          <w:p>
            <w:pPr>
              <w:pStyle w:val="10"/>
              <w:tabs>
                <w:tab w:val="left" w:pos="0"/>
              </w:tabs>
              <w:ind w:left="223" w:leftChars="104" w:right="279" w:rightChars="133" w:hanging="5" w:firstLineChars="0"/>
              <w:rPr>
                <w:sz w:val="24"/>
              </w:rPr>
            </w:pPr>
            <w:r>
              <w:rPr>
                <w:sz w:val="24"/>
              </w:rPr>
              <w:t>加盖投标供应商鲜章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50" w:type="dxa"/>
            <w:noWrap w:val="0"/>
            <w:vAlign w:val="top"/>
          </w:tcPr>
          <w:p>
            <w:pPr>
              <w:pStyle w:val="10"/>
              <w:tabs>
                <w:tab w:val="left" w:pos="220"/>
              </w:tabs>
              <w:spacing w:before="2" w:line="420" w:lineRule="exact"/>
              <w:ind w:left="220" w:leftChars="0" w:right="53" w:rightChars="25" w:firstLine="0" w:firstLineChars="0"/>
              <w:jc w:val="both"/>
              <w:rPr>
                <w:sz w:val="24"/>
              </w:rPr>
            </w:pPr>
            <w:r>
              <w:rPr>
                <w:rFonts w:hint="eastAsia" w:ascii="宋体" w:hAnsi="宋体" w:eastAsia="宋体" w:cs="宋体"/>
                <w:color w:val="auto"/>
                <w:sz w:val="24"/>
                <w:szCs w:val="24"/>
              </w:rPr>
              <w:t>参加政府采购活动前三年内,在经营活动中没有重大违法记</w:t>
            </w:r>
          </w:p>
        </w:tc>
        <w:tc>
          <w:tcPr>
            <w:tcW w:w="5080" w:type="dxa"/>
            <w:noWrap w:val="0"/>
            <w:vAlign w:val="top"/>
          </w:tcPr>
          <w:p>
            <w:pPr>
              <w:pStyle w:val="10"/>
              <w:tabs>
                <w:tab w:val="left" w:pos="0"/>
              </w:tabs>
              <w:spacing w:line="420" w:lineRule="exact"/>
              <w:ind w:left="230" w:leftChars="95" w:right="191" w:rightChars="91" w:hanging="31" w:hangingChars="13"/>
              <w:rPr>
                <w:sz w:val="24"/>
              </w:rPr>
            </w:pPr>
            <w:r>
              <w:rPr>
                <w:rFonts w:hint="eastAsia" w:ascii="宋体" w:hAnsi="宋体" w:eastAsia="宋体" w:cs="宋体"/>
                <w:color w:val="auto"/>
                <w:sz w:val="24"/>
                <w:szCs w:val="24"/>
              </w:rPr>
              <w:t>参加政府采购活动前3年内在经营活动中没有重大违法记录的书面声明（格式自拟）</w:t>
            </w:r>
          </w:p>
        </w:tc>
        <w:tc>
          <w:tcPr>
            <w:tcW w:w="1970" w:type="dxa"/>
            <w:noWrap w:val="0"/>
            <w:vAlign w:val="top"/>
          </w:tcPr>
          <w:p>
            <w:pPr>
              <w:pStyle w:val="10"/>
              <w:tabs>
                <w:tab w:val="left" w:pos="0"/>
              </w:tabs>
              <w:spacing w:before="12"/>
              <w:ind w:left="223" w:leftChars="104" w:right="279" w:rightChars="133" w:hanging="5" w:firstLineChars="0"/>
              <w:rPr>
                <w:sz w:val="23"/>
              </w:rPr>
            </w:pPr>
          </w:p>
          <w:p>
            <w:pPr>
              <w:pStyle w:val="10"/>
              <w:tabs>
                <w:tab w:val="left" w:pos="0"/>
              </w:tabs>
              <w:ind w:left="223" w:leftChars="104" w:right="279" w:rightChars="133" w:hanging="5" w:firstLineChars="0"/>
              <w:rPr>
                <w:sz w:val="24"/>
              </w:rPr>
            </w:pPr>
            <w:r>
              <w:rPr>
                <w:sz w:val="24"/>
              </w:rPr>
              <w:t>加盖投标供应商鲜章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750" w:type="dxa"/>
            <w:noWrap w:val="0"/>
            <w:vAlign w:val="top"/>
          </w:tcPr>
          <w:p>
            <w:pPr>
              <w:pStyle w:val="10"/>
              <w:tabs>
                <w:tab w:val="left" w:pos="220"/>
              </w:tabs>
              <w:spacing w:before="95" w:line="328" w:lineRule="auto"/>
              <w:ind w:left="220" w:leftChars="0" w:right="53" w:rightChars="25" w:firstLine="0" w:firstLineChars="0"/>
              <w:rPr>
                <w:sz w:val="24"/>
              </w:rPr>
            </w:pPr>
            <w:r>
              <w:rPr>
                <w:rFonts w:hint="eastAsia" w:ascii="宋体" w:hAnsi="宋体" w:eastAsia="宋体" w:cs="宋体"/>
                <w:color w:val="auto"/>
                <w:sz w:val="24"/>
                <w:szCs w:val="24"/>
              </w:rPr>
              <w:t>法律、行政法规规定的其他条件</w:t>
            </w:r>
          </w:p>
        </w:tc>
        <w:tc>
          <w:tcPr>
            <w:tcW w:w="5080" w:type="dxa"/>
            <w:noWrap w:val="0"/>
            <w:vAlign w:val="top"/>
          </w:tcPr>
          <w:p>
            <w:pPr>
              <w:pStyle w:val="10"/>
              <w:tabs>
                <w:tab w:val="left" w:pos="0"/>
              </w:tabs>
              <w:spacing w:line="420" w:lineRule="exact"/>
              <w:ind w:left="230" w:leftChars="95" w:right="191" w:rightChars="91" w:hanging="31" w:hangingChars="13"/>
              <w:rPr>
                <w:sz w:val="24"/>
              </w:rPr>
            </w:pPr>
            <w:r>
              <w:rPr>
                <w:rFonts w:hint="eastAsia" w:ascii="宋体" w:hAnsi="宋体" w:eastAsia="宋体" w:cs="宋体"/>
                <w:color w:val="auto"/>
                <w:sz w:val="24"/>
                <w:szCs w:val="24"/>
                <w:lang w:val="en-US" w:eastAsia="zh-CN"/>
              </w:rPr>
              <w:t>(自行声明,格式自</w:t>
            </w:r>
            <w:r>
              <w:rPr>
                <w:rFonts w:hint="eastAsia" w:ascii="宋体" w:hAnsi="宋体" w:eastAsia="宋体" w:cs="宋体"/>
                <w:color w:val="auto"/>
                <w:sz w:val="24"/>
                <w:szCs w:val="24"/>
              </w:rPr>
              <w:t>拟</w:t>
            </w:r>
            <w:r>
              <w:rPr>
                <w:rFonts w:hint="eastAsia" w:ascii="宋体" w:hAnsi="宋体" w:eastAsia="宋体" w:cs="宋体"/>
                <w:color w:val="auto"/>
                <w:sz w:val="24"/>
                <w:szCs w:val="24"/>
                <w:lang w:val="en-US" w:eastAsia="zh-CN"/>
              </w:rPr>
              <w:t>）</w:t>
            </w:r>
          </w:p>
        </w:tc>
        <w:tc>
          <w:tcPr>
            <w:tcW w:w="1970" w:type="dxa"/>
            <w:noWrap w:val="0"/>
            <w:vAlign w:val="top"/>
          </w:tcPr>
          <w:p>
            <w:pPr>
              <w:pStyle w:val="10"/>
              <w:tabs>
                <w:tab w:val="left" w:pos="0"/>
              </w:tabs>
              <w:ind w:left="223" w:leftChars="104" w:right="279" w:rightChars="133" w:hanging="5" w:firstLineChars="0"/>
              <w:rPr>
                <w:sz w:val="24"/>
              </w:rPr>
            </w:pPr>
            <w:r>
              <w:rPr>
                <w:sz w:val="24"/>
              </w:rPr>
              <w:t>加盖投标供应商鲜章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750" w:type="dxa"/>
            <w:noWrap w:val="0"/>
            <w:vAlign w:val="top"/>
          </w:tcPr>
          <w:p>
            <w:pPr>
              <w:pStyle w:val="10"/>
              <w:tabs>
                <w:tab w:val="left" w:pos="220"/>
              </w:tabs>
              <w:spacing w:line="420" w:lineRule="atLeast"/>
              <w:ind w:left="220" w:leftChars="0" w:right="53" w:rightChars="25" w:firstLine="0" w:firstLineChars="0"/>
              <w:jc w:val="both"/>
              <w:rPr>
                <w:rFonts w:hint="eastAsia" w:ascii="宋体" w:hAnsi="宋体" w:eastAsia="宋体" w:cs="宋体"/>
                <w:color w:val="auto"/>
                <w:sz w:val="24"/>
                <w:szCs w:val="24"/>
              </w:rPr>
            </w:pPr>
          </w:p>
          <w:p>
            <w:pPr>
              <w:pStyle w:val="10"/>
              <w:tabs>
                <w:tab w:val="left" w:pos="220"/>
              </w:tabs>
              <w:spacing w:line="420" w:lineRule="atLeast"/>
              <w:ind w:left="220" w:leftChars="0" w:right="53" w:rightChars="25" w:firstLine="0" w:firstLineChars="0"/>
              <w:jc w:val="both"/>
              <w:rPr>
                <w:rFonts w:hint="eastAsia" w:ascii="宋体" w:hAnsi="宋体" w:eastAsia="宋体" w:cs="宋体"/>
                <w:color w:val="auto"/>
                <w:sz w:val="24"/>
                <w:szCs w:val="24"/>
              </w:rPr>
            </w:pPr>
          </w:p>
          <w:p>
            <w:pPr>
              <w:pStyle w:val="10"/>
              <w:tabs>
                <w:tab w:val="left" w:pos="220"/>
              </w:tabs>
              <w:spacing w:line="420" w:lineRule="atLeast"/>
              <w:ind w:left="220" w:leftChars="0" w:right="53" w:rightChars="25" w:firstLine="0" w:firstLineChars="0"/>
              <w:jc w:val="both"/>
              <w:rPr>
                <w:rFonts w:hint="eastAsia" w:eastAsia="宋体"/>
                <w:sz w:val="24"/>
                <w:lang w:eastAsia="zh-CN"/>
              </w:rPr>
            </w:pPr>
            <w:r>
              <w:rPr>
                <w:rFonts w:hint="eastAsia" w:ascii="宋体" w:hAnsi="宋体" w:eastAsia="宋体" w:cs="宋体"/>
                <w:color w:val="auto"/>
                <w:sz w:val="24"/>
                <w:szCs w:val="24"/>
              </w:rPr>
              <w:t>诚信资格要求</w:t>
            </w:r>
          </w:p>
        </w:tc>
        <w:tc>
          <w:tcPr>
            <w:tcW w:w="5080" w:type="dxa"/>
            <w:noWrap w:val="0"/>
            <w:vAlign w:val="top"/>
          </w:tcPr>
          <w:p>
            <w:pPr>
              <w:pStyle w:val="10"/>
              <w:tabs>
                <w:tab w:val="left" w:pos="0"/>
              </w:tabs>
              <w:spacing w:before="8" w:line="420" w:lineRule="atLeast"/>
              <w:ind w:left="230" w:leftChars="95" w:right="191" w:rightChars="91" w:hanging="31" w:hangingChars="13"/>
              <w:rPr>
                <w:sz w:val="24"/>
              </w:rPr>
            </w:pPr>
            <w:r>
              <w:rPr>
                <w:rFonts w:hint="eastAsia" w:ascii="宋体" w:hAnsi="宋体" w:eastAsia="宋体" w:cs="宋体"/>
                <w:color w:val="auto"/>
                <w:sz w:val="24"/>
                <w:szCs w:val="24"/>
              </w:rPr>
              <w:t>在“信用中国”网站、中国政府采购网等渠道查询中未被列入失信被执行人名单、重大税收违法案件当事人名单、政府采购严重违法失信行为记录名单，</w:t>
            </w:r>
            <w:r>
              <w:rPr>
                <w:rFonts w:hint="eastAsia" w:ascii="宋体" w:hAnsi="宋体" w:eastAsia="宋体" w:cs="宋体"/>
                <w:color w:val="auto"/>
                <w:sz w:val="24"/>
                <w:szCs w:val="24"/>
                <w:lang w:eastAsia="zh-CN"/>
              </w:rPr>
              <w:t>查询</w:t>
            </w:r>
            <w:r>
              <w:rPr>
                <w:rFonts w:hint="eastAsia" w:ascii="宋体" w:hAnsi="宋体" w:eastAsia="宋体" w:cs="宋体"/>
                <w:color w:val="auto"/>
                <w:sz w:val="24"/>
                <w:szCs w:val="24"/>
              </w:rPr>
              <w:t>止时间：项目报名开始至开标前；信用信息查询记录和证据留存方式：投标人提供查询记录截图（制作于标书内）</w:t>
            </w:r>
            <w:r>
              <w:rPr>
                <w:rFonts w:hint="eastAsia" w:ascii="宋体" w:hAnsi="宋体" w:eastAsia="宋体" w:cs="宋体"/>
                <w:color w:val="auto"/>
                <w:sz w:val="24"/>
              </w:rPr>
              <w:t>；</w:t>
            </w:r>
          </w:p>
        </w:tc>
        <w:tc>
          <w:tcPr>
            <w:tcW w:w="1970" w:type="dxa"/>
            <w:noWrap w:val="0"/>
            <w:vAlign w:val="top"/>
          </w:tcPr>
          <w:p>
            <w:pPr>
              <w:pStyle w:val="10"/>
              <w:tabs>
                <w:tab w:val="left" w:pos="0"/>
              </w:tabs>
              <w:ind w:left="223" w:leftChars="104" w:right="279" w:rightChars="133" w:hanging="5" w:firstLineChars="0"/>
              <w:rPr>
                <w:sz w:val="24"/>
              </w:rPr>
            </w:pPr>
          </w:p>
          <w:p>
            <w:pPr>
              <w:pStyle w:val="10"/>
              <w:tabs>
                <w:tab w:val="left" w:pos="0"/>
              </w:tabs>
              <w:spacing w:before="7"/>
              <w:ind w:left="223" w:leftChars="104" w:right="279" w:rightChars="133" w:hanging="5" w:firstLineChars="0"/>
              <w:rPr>
                <w:sz w:val="33"/>
              </w:rPr>
            </w:pPr>
          </w:p>
          <w:p>
            <w:pPr>
              <w:pStyle w:val="10"/>
              <w:tabs>
                <w:tab w:val="left" w:pos="0"/>
              </w:tabs>
              <w:spacing w:line="328" w:lineRule="auto"/>
              <w:ind w:left="223" w:leftChars="104" w:right="279" w:rightChars="133" w:hanging="5" w:firstLineChars="0"/>
              <w:jc w:val="center"/>
              <w:rPr>
                <w:sz w:val="24"/>
              </w:rPr>
            </w:pPr>
            <w:r>
              <w:rPr>
                <w:rFonts w:hint="eastAsia"/>
                <w:sz w:val="24"/>
                <w:lang w:eastAsia="zh-CN"/>
              </w:rPr>
              <w:t>承诺</w:t>
            </w:r>
            <w:r>
              <w:rPr>
                <w:sz w:val="24"/>
              </w:rPr>
              <w:t>加盖投标供应商鲜章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2750" w:type="dxa"/>
            <w:tcBorders>
              <w:bottom w:val="single" w:color="auto" w:sz="4" w:space="0"/>
            </w:tcBorders>
            <w:noWrap w:val="0"/>
            <w:vAlign w:val="top"/>
          </w:tcPr>
          <w:p>
            <w:pPr>
              <w:pStyle w:val="10"/>
              <w:tabs>
                <w:tab w:val="left" w:pos="0"/>
              </w:tabs>
              <w:spacing w:before="210"/>
              <w:ind w:left="107" w:leftChars="0" w:right="0" w:rightChars="0"/>
              <w:rPr>
                <w:rFonts w:hint="eastAsia" w:ascii="宋体" w:hAnsi="宋体" w:eastAsia="宋体" w:cs="宋体"/>
                <w:color w:val="auto"/>
                <w:sz w:val="24"/>
              </w:rPr>
            </w:pPr>
            <w:r>
              <w:rPr>
                <w:rFonts w:ascii="宋体" w:hAnsi="宋体" w:eastAsia="宋体" w:cs="宋体"/>
                <w:sz w:val="24"/>
                <w:szCs w:val="24"/>
              </w:rPr>
              <w:t>法定代表人</w:t>
            </w:r>
            <w:r>
              <w:rPr>
                <w:rFonts w:hint="eastAsia" w:ascii="宋体" w:hAnsi="宋体" w:eastAsia="宋体" w:cs="宋体"/>
                <w:sz w:val="24"/>
                <w:szCs w:val="24"/>
                <w:lang w:eastAsia="zh-CN"/>
              </w:rPr>
              <w:t>身份证明或法人</w:t>
            </w:r>
            <w:r>
              <w:rPr>
                <w:rFonts w:ascii="宋体" w:hAnsi="宋体" w:eastAsia="宋体" w:cs="宋体"/>
                <w:sz w:val="24"/>
                <w:szCs w:val="24"/>
              </w:rPr>
              <w:t>授权委托书</w:t>
            </w:r>
          </w:p>
        </w:tc>
        <w:tc>
          <w:tcPr>
            <w:tcW w:w="5080" w:type="dxa"/>
            <w:tcBorders>
              <w:bottom w:val="single" w:color="auto" w:sz="4" w:space="0"/>
            </w:tcBorders>
            <w:noWrap w:val="0"/>
            <w:vAlign w:val="top"/>
          </w:tcPr>
          <w:p>
            <w:pPr>
              <w:pStyle w:val="10"/>
              <w:tabs>
                <w:tab w:val="left" w:pos="0"/>
              </w:tabs>
              <w:spacing w:before="1" w:line="420" w:lineRule="exact"/>
              <w:ind w:left="107" w:leftChars="0" w:right="514" w:rightChars="245"/>
              <w:jc w:val="both"/>
              <w:rPr>
                <w:rFonts w:hint="eastAsia" w:ascii="宋体" w:hAnsi="宋体" w:eastAsia="宋体" w:cs="宋体"/>
                <w:color w:val="auto"/>
                <w:sz w:val="24"/>
                <w:lang w:eastAsia="zh-CN"/>
              </w:rPr>
            </w:pPr>
            <w:r>
              <w:rPr>
                <w:rFonts w:hint="eastAsia" w:ascii="宋体" w:hAnsi="宋体" w:eastAsia="宋体" w:cs="宋体"/>
                <w:sz w:val="24"/>
                <w:szCs w:val="24"/>
                <w:lang w:eastAsia="zh-CN"/>
              </w:rPr>
              <w:t>法定代表人参与开标的</w:t>
            </w:r>
            <w:r>
              <w:rPr>
                <w:rFonts w:ascii="宋体" w:hAnsi="宋体" w:eastAsia="宋体" w:cs="宋体"/>
                <w:sz w:val="24"/>
                <w:szCs w:val="24"/>
              </w:rPr>
              <w:t>提供法定代表人身份证明书</w:t>
            </w:r>
            <w:r>
              <w:rPr>
                <w:rFonts w:hint="eastAsia" w:ascii="宋体" w:hAnsi="宋体" w:eastAsia="宋体" w:cs="宋体"/>
                <w:sz w:val="24"/>
                <w:szCs w:val="24"/>
                <w:lang w:eastAsia="zh-CN"/>
              </w:rPr>
              <w:t>；委托代理人参加开标的提供</w:t>
            </w:r>
            <w:r>
              <w:rPr>
                <w:rFonts w:ascii="宋体" w:hAnsi="宋体" w:eastAsia="宋体" w:cs="宋体"/>
                <w:sz w:val="24"/>
                <w:szCs w:val="24"/>
              </w:rPr>
              <w:t>授权委托书</w:t>
            </w:r>
            <w:r>
              <w:rPr>
                <w:rFonts w:hint="eastAsia" w:ascii="宋体" w:hAnsi="宋体" w:eastAsia="宋体" w:cs="宋体"/>
                <w:sz w:val="24"/>
                <w:szCs w:val="24"/>
                <w:lang w:eastAsia="zh-CN"/>
              </w:rPr>
              <w:t>，身份证。</w:t>
            </w:r>
          </w:p>
        </w:tc>
        <w:tc>
          <w:tcPr>
            <w:tcW w:w="1970" w:type="dxa"/>
            <w:tcBorders>
              <w:bottom w:val="single" w:color="auto" w:sz="4" w:space="0"/>
            </w:tcBorders>
            <w:noWrap w:val="0"/>
            <w:vAlign w:val="top"/>
          </w:tcPr>
          <w:p>
            <w:pPr>
              <w:pStyle w:val="10"/>
              <w:tabs>
                <w:tab w:val="left" w:pos="0"/>
              </w:tabs>
              <w:spacing w:before="1" w:line="420" w:lineRule="exact"/>
              <w:ind w:left="223" w:leftChars="104" w:right="59" w:rightChars="28" w:hanging="5" w:firstLineChars="0"/>
              <w:jc w:val="center"/>
              <w:rPr>
                <w:rFonts w:hint="eastAsia" w:eastAsia="宋体"/>
                <w:sz w:val="24"/>
                <w:lang w:eastAsia="zh-CN"/>
              </w:rPr>
            </w:pPr>
            <w:r>
              <w:rPr>
                <w:sz w:val="24"/>
              </w:rPr>
              <w:t>加盖投标供应商鲜章复印件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2750" w:type="dxa"/>
            <w:tcBorders>
              <w:top w:val="single" w:color="auto" w:sz="4" w:space="0"/>
            </w:tcBorders>
            <w:noWrap w:val="0"/>
            <w:vAlign w:val="top"/>
          </w:tcPr>
          <w:p>
            <w:pPr>
              <w:pStyle w:val="10"/>
              <w:tabs>
                <w:tab w:val="left" w:pos="0"/>
              </w:tabs>
              <w:ind w:right="-334" w:rightChars="-159"/>
              <w:rPr>
                <w:sz w:val="24"/>
              </w:rPr>
            </w:pPr>
          </w:p>
          <w:p>
            <w:pPr>
              <w:pStyle w:val="10"/>
              <w:tabs>
                <w:tab w:val="left" w:pos="0"/>
              </w:tabs>
              <w:spacing w:before="210"/>
              <w:ind w:left="107" w:leftChars="0" w:right="-334" w:rightChars="-159"/>
              <w:rPr>
                <w:sz w:val="24"/>
              </w:rPr>
            </w:pPr>
            <w:r>
              <w:rPr>
                <w:sz w:val="24"/>
              </w:rPr>
              <w:t>投标保证金</w:t>
            </w:r>
          </w:p>
        </w:tc>
        <w:tc>
          <w:tcPr>
            <w:tcW w:w="5080" w:type="dxa"/>
            <w:tcBorders>
              <w:top w:val="single" w:color="auto" w:sz="4" w:space="0"/>
            </w:tcBorders>
            <w:noWrap w:val="0"/>
            <w:vAlign w:val="top"/>
          </w:tcPr>
          <w:p>
            <w:pPr>
              <w:pStyle w:val="10"/>
              <w:tabs>
                <w:tab w:val="left" w:pos="0"/>
              </w:tabs>
              <w:spacing w:before="1" w:line="420" w:lineRule="exact"/>
              <w:ind w:left="107" w:leftChars="0" w:right="514" w:rightChars="245"/>
              <w:jc w:val="both"/>
              <w:rPr>
                <w:sz w:val="24"/>
              </w:rPr>
            </w:pPr>
            <w:r>
              <w:rPr>
                <w:sz w:val="24"/>
              </w:rPr>
              <w:t>“投标保证金收据”或“投标保证保险保单” 或“电子投标保函凭证”为已缴纳投标保证金的唯一凭证。</w:t>
            </w:r>
          </w:p>
        </w:tc>
        <w:tc>
          <w:tcPr>
            <w:tcW w:w="1970" w:type="dxa"/>
            <w:tcBorders>
              <w:top w:val="single" w:color="auto" w:sz="4" w:space="0"/>
            </w:tcBorders>
            <w:noWrap w:val="0"/>
            <w:vAlign w:val="top"/>
          </w:tcPr>
          <w:p>
            <w:pPr>
              <w:pStyle w:val="10"/>
              <w:tabs>
                <w:tab w:val="left" w:pos="0"/>
              </w:tabs>
              <w:spacing w:before="1" w:line="420" w:lineRule="exact"/>
              <w:ind w:left="223" w:leftChars="104" w:right="59" w:rightChars="28" w:hanging="5" w:firstLineChars="0"/>
              <w:jc w:val="center"/>
              <w:rPr>
                <w:sz w:val="24"/>
              </w:rPr>
            </w:pPr>
            <w:r>
              <w:rPr>
                <w:sz w:val="24"/>
              </w:rPr>
              <w:t>收据</w:t>
            </w:r>
            <w:r>
              <w:rPr>
                <w:rFonts w:hint="eastAsia"/>
                <w:sz w:val="24"/>
                <w:lang w:eastAsia="zh-CN"/>
              </w:rPr>
              <w:t>或</w:t>
            </w:r>
            <w:r>
              <w:rPr>
                <w:sz w:val="24"/>
              </w:rPr>
              <w:t>电子投标保函凭证加盖投标供应商鲜章复印件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9800" w:type="dxa"/>
            <w:gridSpan w:val="3"/>
            <w:noWrap w:val="0"/>
            <w:vAlign w:val="top"/>
          </w:tcPr>
          <w:p>
            <w:pPr>
              <w:pStyle w:val="10"/>
              <w:tabs>
                <w:tab w:val="left" w:pos="0"/>
              </w:tabs>
              <w:spacing w:before="1" w:line="420" w:lineRule="exact"/>
              <w:ind w:left="223" w:leftChars="104" w:right="59" w:rightChars="28" w:hanging="5" w:firstLineChars="0"/>
              <w:jc w:val="center"/>
              <w:rPr>
                <w:sz w:val="24"/>
              </w:rPr>
            </w:pPr>
            <w:r>
              <w:rPr>
                <w:b/>
                <w:sz w:val="24"/>
              </w:rPr>
              <w:t>（二）特殊资格要求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7830" w:type="dxa"/>
            <w:gridSpan w:val="2"/>
            <w:tcBorders>
              <w:bottom w:val="single" w:color="auto" w:sz="4" w:space="0"/>
            </w:tcBorders>
            <w:noWrap w:val="0"/>
            <w:vAlign w:val="top"/>
          </w:tcPr>
          <w:p>
            <w:pPr>
              <w:pStyle w:val="10"/>
              <w:tabs>
                <w:tab w:val="left" w:pos="0"/>
              </w:tabs>
              <w:spacing w:before="1" w:line="420" w:lineRule="exact"/>
              <w:ind w:left="107" w:leftChars="0" w:right="40" w:rightChars="19" w:firstLine="480" w:firstLineChars="200"/>
              <w:jc w:val="left"/>
              <w:rPr>
                <w:sz w:val="24"/>
              </w:rPr>
            </w:pPr>
            <w:r>
              <w:rPr>
                <w:rFonts w:hint="eastAsia" w:ascii="宋体" w:hAnsi="宋体" w:eastAsia="宋体" w:cs="宋体"/>
                <w:color w:val="000000"/>
                <w:sz w:val="24"/>
                <w:szCs w:val="24"/>
                <w:lang w:eastAsia="zh-CN"/>
              </w:rPr>
              <w:t>投</w:t>
            </w:r>
            <w:r>
              <w:rPr>
                <w:rFonts w:hint="eastAsia" w:hAnsi="宋体" w:eastAsia="宋体" w:cs="宋体"/>
                <w:color w:val="000000"/>
                <w:sz w:val="24"/>
                <w:szCs w:val="24"/>
                <w:lang w:eastAsia="zh-CN"/>
              </w:rPr>
              <w:t>标供应商应</w:t>
            </w:r>
            <w:r>
              <w:rPr>
                <w:rFonts w:hint="eastAsia" w:ascii="宋体" w:hAnsi="宋体" w:eastAsia="宋体" w:cs="宋体"/>
                <w:color w:val="000000"/>
                <w:sz w:val="24"/>
                <w:szCs w:val="24"/>
              </w:rPr>
              <w:t>具有建筑工程施工总承包叁级</w:t>
            </w:r>
            <w:r>
              <w:rPr>
                <w:rFonts w:hint="eastAsia" w:hAnsi="宋体" w:eastAsia="宋体" w:cs="宋体"/>
                <w:color w:val="000000"/>
                <w:sz w:val="24"/>
                <w:szCs w:val="24"/>
                <w:lang w:eastAsia="zh-CN"/>
              </w:rPr>
              <w:t>或</w:t>
            </w:r>
            <w:r>
              <w:rPr>
                <w:rFonts w:hint="eastAsia" w:ascii="宋体" w:hAnsi="宋体" w:eastAsia="宋体" w:cs="宋体"/>
                <w:color w:val="000000"/>
                <w:sz w:val="24"/>
                <w:szCs w:val="24"/>
              </w:rPr>
              <w:t>以上资质</w:t>
            </w:r>
            <w:r>
              <w:rPr>
                <w:rFonts w:hint="eastAsia" w:ascii="宋体" w:hAnsi="宋体" w:eastAsia="宋体" w:cs="宋体"/>
                <w:i w:val="0"/>
                <w:iCs w:val="0"/>
                <w:color w:val="000000"/>
                <w:sz w:val="24"/>
                <w:szCs w:val="24"/>
                <w:lang w:eastAsia="zh-CN"/>
              </w:rPr>
              <w:t>、具备有效的安全生产许可证，并在人员、设备、资金等方面具有相应的施工能力，其中，</w:t>
            </w:r>
            <w:r>
              <w:rPr>
                <w:rFonts w:hint="eastAsia" w:ascii="宋体" w:hAnsi="宋体" w:eastAsia="宋体" w:cs="宋体"/>
                <w:color w:val="000000"/>
                <w:sz w:val="24"/>
                <w:szCs w:val="24"/>
                <w:lang w:eastAsia="zh-CN"/>
              </w:rPr>
              <w:t>投</w:t>
            </w:r>
            <w:r>
              <w:rPr>
                <w:rFonts w:hint="eastAsia" w:hAnsi="宋体" w:eastAsia="宋体" w:cs="宋体"/>
                <w:color w:val="000000"/>
                <w:sz w:val="24"/>
                <w:szCs w:val="24"/>
                <w:lang w:eastAsia="zh-CN"/>
              </w:rPr>
              <w:t>标供应商</w:t>
            </w:r>
            <w:r>
              <w:rPr>
                <w:rFonts w:hint="eastAsia" w:ascii="宋体" w:hAnsi="宋体" w:eastAsia="宋体" w:cs="宋体"/>
                <w:i w:val="0"/>
                <w:iCs w:val="0"/>
                <w:color w:val="000000"/>
                <w:sz w:val="24"/>
                <w:szCs w:val="24"/>
                <w:lang w:eastAsia="zh-CN"/>
              </w:rPr>
              <w:t>拟派项目负责人（项目经理）须具备</w:t>
            </w:r>
            <w:r>
              <w:rPr>
                <w:rFonts w:hint="eastAsia" w:ascii="宋体" w:hAnsi="宋体" w:eastAsia="宋体" w:cs="宋体"/>
                <w:i w:val="0"/>
                <w:iCs w:val="0"/>
                <w:color w:val="000000"/>
                <w:sz w:val="24"/>
                <w:szCs w:val="24"/>
                <w:u w:val="single"/>
                <w:lang w:eastAsia="zh-CN"/>
              </w:rPr>
              <w:t>建筑工程</w:t>
            </w:r>
            <w:r>
              <w:rPr>
                <w:rFonts w:hint="eastAsia" w:ascii="宋体" w:hAnsi="宋体" w:eastAsia="宋体" w:cs="宋体"/>
                <w:i w:val="0"/>
                <w:iCs w:val="0"/>
                <w:color w:val="000000"/>
                <w:sz w:val="24"/>
                <w:szCs w:val="24"/>
                <w:lang w:eastAsia="zh-CN"/>
              </w:rPr>
              <w:t>专业二级</w:t>
            </w:r>
            <w:r>
              <w:rPr>
                <w:rFonts w:hint="eastAsia" w:hAnsi="宋体" w:eastAsia="宋体" w:cs="宋体"/>
                <w:i w:val="0"/>
                <w:iCs w:val="0"/>
                <w:color w:val="000000"/>
                <w:sz w:val="24"/>
                <w:szCs w:val="24"/>
                <w:lang w:eastAsia="zh-CN"/>
              </w:rPr>
              <w:t>或</w:t>
            </w:r>
            <w:r>
              <w:rPr>
                <w:rFonts w:hint="eastAsia" w:ascii="宋体" w:hAnsi="宋体" w:eastAsia="宋体" w:cs="宋体"/>
                <w:i w:val="0"/>
                <w:iCs w:val="0"/>
                <w:color w:val="000000"/>
                <w:sz w:val="24"/>
                <w:szCs w:val="24"/>
                <w:lang w:eastAsia="zh-CN"/>
              </w:rPr>
              <w:t>以上注册建造师资格，具备有效的安全生产考核合格证书</w:t>
            </w:r>
            <w:r>
              <w:rPr>
                <w:rFonts w:hint="eastAsia" w:ascii="宋体" w:hAnsi="宋体" w:eastAsia="宋体" w:cs="宋体"/>
                <w:color w:val="000000"/>
                <w:sz w:val="24"/>
                <w:szCs w:val="24"/>
              </w:rPr>
              <w:t>。</w:t>
            </w:r>
          </w:p>
        </w:tc>
        <w:tc>
          <w:tcPr>
            <w:tcW w:w="1970" w:type="dxa"/>
            <w:tcBorders>
              <w:bottom w:val="single" w:color="auto" w:sz="4" w:space="0"/>
            </w:tcBorders>
            <w:noWrap w:val="0"/>
            <w:vAlign w:val="top"/>
          </w:tcPr>
          <w:p>
            <w:pPr>
              <w:pStyle w:val="10"/>
              <w:tabs>
                <w:tab w:val="left" w:pos="0"/>
              </w:tabs>
              <w:spacing w:before="1" w:line="420" w:lineRule="exact"/>
              <w:ind w:left="223" w:leftChars="104" w:right="59" w:rightChars="28" w:hanging="5" w:firstLineChars="0"/>
              <w:jc w:val="center"/>
              <w:rPr>
                <w:sz w:val="24"/>
              </w:rPr>
            </w:pPr>
          </w:p>
          <w:p>
            <w:pPr>
              <w:pStyle w:val="10"/>
              <w:tabs>
                <w:tab w:val="left" w:pos="0"/>
              </w:tabs>
              <w:spacing w:before="1" w:line="420" w:lineRule="exact"/>
              <w:ind w:left="223" w:leftChars="104" w:right="59" w:rightChars="28" w:hanging="5" w:firstLineChars="0"/>
              <w:jc w:val="center"/>
              <w:rPr>
                <w:sz w:val="24"/>
              </w:rPr>
            </w:pPr>
            <w:r>
              <w:rPr>
                <w:sz w:val="24"/>
              </w:rPr>
              <w:t>加盖投标供应商鲜章复印件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7830" w:type="dxa"/>
            <w:gridSpan w:val="2"/>
            <w:tcBorders>
              <w:top w:val="single" w:color="auto" w:sz="4" w:space="0"/>
            </w:tcBorders>
            <w:noWrap w:val="0"/>
            <w:vAlign w:val="top"/>
          </w:tcPr>
          <w:p>
            <w:pPr>
              <w:pStyle w:val="10"/>
              <w:tabs>
                <w:tab w:val="left" w:pos="0"/>
              </w:tabs>
              <w:spacing w:before="1" w:line="420" w:lineRule="exact"/>
              <w:ind w:left="107" w:leftChars="0" w:right="514" w:rightChars="245"/>
              <w:jc w:val="center"/>
              <w:rPr>
                <w:b w:val="0"/>
                <w:bCs/>
                <w:spacing w:val="-1"/>
                <w:sz w:val="24"/>
              </w:rPr>
            </w:pPr>
            <w:r>
              <w:rPr>
                <w:b w:val="0"/>
                <w:bCs/>
                <w:spacing w:val="-1"/>
                <w:sz w:val="24"/>
              </w:rPr>
              <w:t>本项目</w:t>
            </w:r>
            <w:r>
              <w:rPr>
                <w:rFonts w:hint="eastAsia"/>
                <w:b w:val="0"/>
                <w:bCs/>
                <w:spacing w:val="-1"/>
                <w:sz w:val="24"/>
                <w:lang w:eastAsia="zh-CN"/>
              </w:rPr>
              <w:t>不</w:t>
            </w:r>
            <w:r>
              <w:rPr>
                <w:b w:val="0"/>
                <w:bCs/>
                <w:spacing w:val="-1"/>
                <w:sz w:val="24"/>
              </w:rPr>
              <w:t>接受联合体投标</w:t>
            </w:r>
          </w:p>
        </w:tc>
        <w:tc>
          <w:tcPr>
            <w:tcW w:w="1970" w:type="dxa"/>
            <w:tcBorders>
              <w:top w:val="single" w:color="auto" w:sz="4" w:space="0"/>
            </w:tcBorders>
            <w:noWrap w:val="0"/>
            <w:vAlign w:val="top"/>
          </w:tcPr>
          <w:p>
            <w:pPr>
              <w:pStyle w:val="10"/>
              <w:tabs>
                <w:tab w:val="left" w:pos="0"/>
              </w:tabs>
              <w:spacing w:before="1" w:line="420" w:lineRule="exact"/>
              <w:ind w:left="223" w:leftChars="104" w:right="59" w:rightChars="28" w:hanging="5" w:firstLineChars="0"/>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9800" w:type="dxa"/>
            <w:gridSpan w:val="3"/>
            <w:noWrap w:val="0"/>
            <w:vAlign w:val="top"/>
          </w:tcPr>
          <w:p>
            <w:pPr>
              <w:pStyle w:val="10"/>
              <w:tabs>
                <w:tab w:val="left" w:pos="0"/>
              </w:tabs>
              <w:spacing w:before="1" w:line="420" w:lineRule="exact"/>
              <w:ind w:left="223" w:leftChars="104" w:right="59" w:rightChars="28" w:hanging="5" w:firstLineChars="0"/>
              <w:jc w:val="center"/>
              <w:rPr>
                <w:rFonts w:hint="eastAsia"/>
                <w:b/>
                <w:bCs/>
                <w:sz w:val="24"/>
              </w:rPr>
            </w:pPr>
            <w:r>
              <w:rPr>
                <w:rFonts w:hint="eastAsia"/>
                <w:b/>
                <w:bCs/>
                <w:sz w:val="24"/>
                <w:lang w:eastAsia="zh-CN"/>
              </w:rPr>
              <w:t>（三）</w:t>
            </w:r>
            <w:r>
              <w:rPr>
                <w:rFonts w:hint="eastAsia"/>
                <w:b/>
                <w:bCs/>
                <w:sz w:val="24"/>
              </w:rPr>
              <w:t>落实政府采购政策需满足的资格要求：</w:t>
            </w:r>
          </w:p>
          <w:p>
            <w:pPr>
              <w:pStyle w:val="10"/>
              <w:tabs>
                <w:tab w:val="left" w:pos="0"/>
              </w:tabs>
              <w:spacing w:before="1" w:line="420" w:lineRule="exact"/>
              <w:ind w:left="223" w:leftChars="104" w:right="59" w:rightChars="28" w:hanging="5" w:firstLineChars="0"/>
              <w:jc w:val="center"/>
              <w:rPr>
                <w:sz w:val="24"/>
              </w:rPr>
            </w:pPr>
            <w:r>
              <w:rPr>
                <w:rFonts w:hint="eastAsia"/>
                <w:sz w:val="24"/>
                <w:lang w:val="en-US" w:eastAsia="zh-CN"/>
              </w:rPr>
              <w:t xml:space="preserve">  本项目专门面向中小企业采购，请所有投标供应商按照《政府采购促进中小企业发展管理办法》出具规定的《中小企业声明函》。供应商按照《政府采购促进中小企业发展管理办法》规定提供声明函内容不实的，属于提供虚假材料谋取中标、成交，依照《中华人民共和国政府采购法》等国家有关规定追究相应责任）</w:t>
            </w:r>
            <w:r>
              <w:rPr>
                <w:rFonts w:hint="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9800" w:type="dxa"/>
            <w:gridSpan w:val="3"/>
            <w:noWrap w:val="0"/>
            <w:vAlign w:val="top"/>
          </w:tcPr>
          <w:p>
            <w:pPr>
              <w:pStyle w:val="10"/>
              <w:tabs>
                <w:tab w:val="left" w:pos="0"/>
              </w:tabs>
              <w:spacing w:before="1" w:line="420" w:lineRule="exact"/>
              <w:ind w:left="223" w:leftChars="104" w:right="59" w:rightChars="28" w:hanging="5" w:firstLineChars="0"/>
              <w:jc w:val="center"/>
              <w:rPr>
                <w:b/>
                <w:bCs w:val="0"/>
                <w:spacing w:val="-8"/>
                <w:sz w:val="24"/>
              </w:rPr>
            </w:pPr>
            <w:r>
              <w:rPr>
                <w:b/>
                <w:bCs w:val="0"/>
                <w:spacing w:val="-8"/>
                <w:sz w:val="24"/>
              </w:rPr>
              <w:t>注：</w:t>
            </w:r>
            <w:r>
              <w:rPr>
                <w:rFonts w:hint="eastAsia" w:ascii="宋体" w:hAnsi="宋体" w:eastAsia="宋体" w:cs="宋体"/>
                <w:b/>
                <w:bCs w:val="0"/>
                <w:spacing w:val="-8"/>
                <w:sz w:val="24"/>
              </w:rPr>
              <w:t>供应商须对以上有效资料</w:t>
            </w:r>
            <w:r>
              <w:rPr>
                <w:rFonts w:hint="eastAsia" w:ascii="宋体" w:hAnsi="宋体" w:eastAsia="宋体" w:cs="宋体"/>
                <w:b/>
                <w:bCs w:val="0"/>
                <w:spacing w:val="-8"/>
                <w:sz w:val="24"/>
                <w:lang w:eastAsia="zh-CN"/>
              </w:rPr>
              <w:t>的原件或复印件</w:t>
            </w:r>
            <w:r>
              <w:rPr>
                <w:rFonts w:hint="eastAsia" w:ascii="宋体" w:hAnsi="宋体" w:eastAsia="宋体" w:cs="宋体"/>
                <w:b/>
                <w:bCs w:val="0"/>
                <w:spacing w:val="-8"/>
                <w:sz w:val="24"/>
              </w:rPr>
              <w:t>进行提交，如提供原件的，在验证之后现场退还，如未提</w:t>
            </w:r>
            <w:r>
              <w:rPr>
                <w:rFonts w:hint="eastAsia" w:ascii="宋体" w:hAnsi="宋体" w:eastAsia="宋体" w:cs="宋体"/>
                <w:b/>
                <w:bCs w:val="0"/>
                <w:spacing w:val="-4"/>
                <w:w w:val="95"/>
                <w:sz w:val="24"/>
              </w:rPr>
              <w:t>供资质证件材料或提供的资质材料不齐全的，导致投标无效或废标的，将由供应商自行承担</w:t>
            </w:r>
            <w:r>
              <w:rPr>
                <w:rFonts w:hint="eastAsia" w:ascii="宋体" w:hAnsi="宋体" w:eastAsia="宋体" w:cs="宋体"/>
                <w:b/>
                <w:bCs w:val="0"/>
                <w:sz w:val="24"/>
              </w:rPr>
              <w:t>。</w:t>
            </w:r>
          </w:p>
        </w:tc>
      </w:tr>
    </w:tbl>
    <w:p>
      <w:pPr>
        <w:pStyle w:val="3"/>
        <w:tabs>
          <w:tab w:val="left" w:pos="0"/>
        </w:tabs>
        <w:spacing w:before="5"/>
        <w:ind w:right="128" w:rightChars="61"/>
        <w:rPr>
          <w:sz w:val="12"/>
        </w:rPr>
      </w:pPr>
    </w:p>
    <w:p>
      <w:pPr>
        <w:pStyle w:val="4"/>
        <w:numPr>
          <w:ilvl w:val="0"/>
          <w:numId w:val="0"/>
        </w:numPr>
        <w:tabs>
          <w:tab w:val="left" w:pos="0"/>
        </w:tabs>
        <w:spacing w:line="240" w:lineRule="auto"/>
        <w:ind w:leftChars="0" w:right="-334" w:rightChars="-159"/>
        <w:jc w:val="cente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资格性审查后，合格投标供应商不足3家的，</w:t>
      </w:r>
      <w:r>
        <w:rPr>
          <w:rFonts w:hint="eastAsia" w:ascii="宋体" w:hAnsi="宋体" w:eastAsia="宋体" w:cs="宋体"/>
          <w:sz w:val="24"/>
          <w:szCs w:val="24"/>
          <w:lang w:eastAsia="zh-CN"/>
        </w:rPr>
        <w:t>磋商小组根据项目实际情况评判项目是否还具有竞争性，如具有竞争性可以继续磋商评审</w:t>
      </w:r>
      <w:r>
        <w:rPr>
          <w:rFonts w:hint="eastAsia" w:ascii="宋体" w:hAnsi="宋体" w:eastAsia="宋体" w:cs="宋体"/>
          <w:sz w:val="24"/>
          <w:szCs w:val="24"/>
        </w:rPr>
        <w:t>。</w:t>
      </w: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4"/>
        <w:numPr>
          <w:ilvl w:val="0"/>
          <w:numId w:val="0"/>
        </w:numPr>
        <w:tabs>
          <w:tab w:val="left" w:pos="0"/>
        </w:tabs>
        <w:spacing w:line="240" w:lineRule="auto"/>
        <w:ind w:leftChars="0" w:right="-334" w:rightChars="-159"/>
        <w:jc w:val="center"/>
        <w:rPr>
          <w:b/>
          <w:bCs/>
        </w:rPr>
      </w:pPr>
      <w:r>
        <w:rPr>
          <w:rFonts w:hint="eastAsia"/>
          <w:b/>
          <w:bCs/>
          <w:lang w:val="en-US" w:eastAsia="zh-CN"/>
        </w:rPr>
        <w:t>3.</w:t>
      </w:r>
      <w:r>
        <w:rPr>
          <w:b/>
          <w:bCs/>
        </w:rPr>
        <w:t>评标办法及评分标准</w:t>
      </w:r>
    </w:p>
    <w:p>
      <w:pPr>
        <w:pStyle w:val="5"/>
        <w:numPr>
          <w:ilvl w:val="1"/>
          <w:numId w:val="2"/>
        </w:numPr>
        <w:tabs>
          <w:tab w:val="left" w:pos="0"/>
          <w:tab w:val="left" w:pos="943"/>
        </w:tabs>
        <w:spacing w:before="266" w:after="0" w:line="240" w:lineRule="auto"/>
        <w:ind w:left="942" w:right="-334" w:rightChars="-159" w:hanging="423"/>
        <w:jc w:val="both"/>
      </w:pPr>
      <w:r>
        <w:t>评标办法</w:t>
      </w:r>
    </w:p>
    <w:p>
      <w:pPr>
        <w:pStyle w:val="3"/>
        <w:tabs>
          <w:tab w:val="left" w:pos="0"/>
        </w:tabs>
        <w:spacing w:before="160" w:line="364" w:lineRule="auto"/>
        <w:ind w:left="0" w:leftChars="0" w:right="-128" w:rightChars="-61" w:firstLine="480" w:firstLineChars="0"/>
        <w:jc w:val="both"/>
        <w:rPr>
          <w:rFonts w:ascii="宋体" w:hAnsi="Times New Roman" w:eastAsia="宋体" w:cs="Times New Roman"/>
          <w:b w:val="0"/>
          <w:bCs w:val="0"/>
          <w:color w:val="000000"/>
          <w:kern w:val="2"/>
          <w:sz w:val="24"/>
          <w:szCs w:val="22"/>
          <w:lang w:val="en-US" w:eastAsia="zh-CN" w:bidi="ar-SA"/>
        </w:rPr>
      </w:pPr>
      <w:r>
        <w:rPr>
          <w:sz w:val="24"/>
          <w:szCs w:val="24"/>
        </w:rPr>
        <w:t>本项目采用</w:t>
      </w:r>
      <w:r>
        <w:rPr>
          <w:sz w:val="24"/>
          <w:szCs w:val="24"/>
          <w:u w:val="single"/>
        </w:rPr>
        <w:t xml:space="preserve"> 综合评分法  </w:t>
      </w:r>
      <w:r>
        <w:rPr>
          <w:spacing w:val="-10"/>
          <w:sz w:val="24"/>
          <w:szCs w:val="24"/>
        </w:rPr>
        <w:t>进行评审。</w:t>
      </w:r>
      <w:r>
        <w:rPr>
          <w:sz w:val="24"/>
          <w:szCs w:val="24"/>
        </w:rPr>
        <w:fldChar w:fldCharType="begin"/>
      </w:r>
      <w:r>
        <w:rPr>
          <w:sz w:val="24"/>
          <w:szCs w:val="24"/>
        </w:rPr>
        <w:instrText xml:space="preserve"> HYPERLINK "http://www.baidu.com/s?wd=%E6%8B%9B%E6%A0%87%E6%96%87%E4%BB%B6&amp;amp;hl_tag=textlink&amp;amp;tn=SE_hldp01350_v6v6zkg6" \h </w:instrText>
      </w:r>
      <w:r>
        <w:rPr>
          <w:sz w:val="24"/>
          <w:szCs w:val="24"/>
        </w:rPr>
        <w:fldChar w:fldCharType="separate"/>
      </w:r>
      <w:r>
        <w:rPr>
          <w:sz w:val="24"/>
          <w:szCs w:val="24"/>
        </w:rPr>
        <w:t>即是指在满足采购文件</w:t>
      </w:r>
      <w:r>
        <w:rPr>
          <w:sz w:val="24"/>
          <w:szCs w:val="24"/>
        </w:rPr>
        <w:fldChar w:fldCharType="end"/>
      </w:r>
      <w:r>
        <w:rPr>
          <w:spacing w:val="-6"/>
          <w:sz w:val="24"/>
          <w:szCs w:val="24"/>
        </w:rPr>
        <w:t>实质性要求的前提下，评标</w:t>
      </w:r>
      <w:r>
        <w:rPr>
          <w:sz w:val="24"/>
          <w:szCs w:val="24"/>
        </w:rPr>
        <w:t>专家按照</w:t>
      </w:r>
      <w:r>
        <w:rPr>
          <w:sz w:val="24"/>
          <w:szCs w:val="24"/>
        </w:rPr>
        <w:fldChar w:fldCharType="begin"/>
      </w:r>
      <w:r>
        <w:rPr>
          <w:sz w:val="24"/>
          <w:szCs w:val="24"/>
        </w:rPr>
        <w:instrText xml:space="preserve"> HYPERLINK "http://www.baidu.com/s?wd=%E6%8B%9B%E6%A0%87%E6%96%87%E4%BB%B6&amp;amp;hl_tag=textlink&amp;amp;tn=SE_hldp01350_v6v6zkg6" \h </w:instrText>
      </w:r>
      <w:r>
        <w:rPr>
          <w:sz w:val="24"/>
          <w:szCs w:val="24"/>
        </w:rPr>
        <w:fldChar w:fldCharType="separate"/>
      </w:r>
      <w:r>
        <w:rPr>
          <w:sz w:val="24"/>
          <w:szCs w:val="24"/>
        </w:rPr>
        <w:t>采购文件</w:t>
      </w:r>
      <w:r>
        <w:rPr>
          <w:sz w:val="24"/>
          <w:szCs w:val="24"/>
        </w:rPr>
        <w:fldChar w:fldCharType="end"/>
      </w:r>
      <w:r>
        <w:rPr>
          <w:spacing w:val="-6"/>
          <w:sz w:val="24"/>
          <w:szCs w:val="24"/>
        </w:rPr>
        <w:t>中规定的各项评审因素及其分值进行综合评分后，以评分从高到低的顺序推</w:t>
      </w:r>
      <w:r>
        <w:rPr>
          <w:spacing w:val="-30"/>
          <w:sz w:val="24"/>
          <w:szCs w:val="24"/>
        </w:rPr>
        <w:t xml:space="preserve">荐 </w:t>
      </w:r>
      <w:r>
        <w:rPr>
          <w:sz w:val="24"/>
          <w:szCs w:val="24"/>
        </w:rPr>
        <w:t>1</w:t>
      </w:r>
      <w:r>
        <w:rPr>
          <w:rFonts w:ascii="宋体" w:hAnsi="Times New Roman" w:eastAsia="宋体" w:cs="Times New Roman"/>
          <w:b w:val="0"/>
          <w:bCs w:val="0"/>
          <w:color w:val="000000"/>
          <w:kern w:val="2"/>
          <w:sz w:val="24"/>
          <w:szCs w:val="22"/>
          <w:lang w:val="en-US" w:eastAsia="zh-CN" w:bidi="ar-SA"/>
        </w:rPr>
        <w:t xml:space="preserve"> 至 3 家供应商作为中标候选供应商的评标方法。</w:t>
      </w:r>
    </w:p>
    <w:p>
      <w:pPr>
        <w:tabs>
          <w:tab w:val="left" w:pos="0"/>
        </w:tabs>
        <w:spacing w:before="0" w:line="303" w:lineRule="exact"/>
        <w:ind w:right="-128" w:rightChars="-61" w:firstLine="480" w:firstLineChars="200"/>
        <w:jc w:val="left"/>
        <w:rPr>
          <w:rFonts w:hint="eastAsia"/>
          <w:b w:val="0"/>
          <w:bCs w:val="0"/>
          <w:sz w:val="24"/>
        </w:rPr>
      </w:pPr>
      <w:r>
        <w:rPr>
          <w:rFonts w:hint="eastAsia"/>
          <w:b w:val="0"/>
          <w:bCs w:val="0"/>
          <w:sz w:val="24"/>
          <w:lang w:eastAsia="zh-CN"/>
        </w:rPr>
        <w:t>评标</w:t>
      </w:r>
      <w:r>
        <w:rPr>
          <w:rFonts w:hint="eastAsia"/>
          <w:b w:val="0"/>
          <w:bCs w:val="0"/>
          <w:sz w:val="24"/>
        </w:rPr>
        <w:t>磋商细则：</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1.采购代理机构按有关规定编制磋商</w:t>
      </w:r>
      <w:r>
        <w:rPr>
          <w:rFonts w:hint="eastAsia" w:ascii="宋体" w:hAnsi="宋体" w:eastAsia="宋体" w:cs="宋体"/>
          <w:b w:val="0"/>
          <w:bCs w:val="0"/>
          <w:sz w:val="24"/>
          <w:lang w:eastAsia="zh-CN"/>
        </w:rPr>
        <w:t>采购</w:t>
      </w:r>
      <w:r>
        <w:rPr>
          <w:rFonts w:hint="eastAsia" w:ascii="宋体" w:hAnsi="宋体" w:eastAsia="宋体" w:cs="宋体"/>
          <w:b w:val="0"/>
          <w:bCs w:val="0"/>
          <w:sz w:val="24"/>
        </w:rPr>
        <w:t>文件，组建磋商</w:t>
      </w:r>
      <w:r>
        <w:rPr>
          <w:rFonts w:hint="eastAsia" w:ascii="宋体" w:hAnsi="宋体" w:eastAsia="宋体" w:cs="宋体"/>
          <w:b w:val="0"/>
          <w:bCs w:val="0"/>
          <w:sz w:val="24"/>
          <w:lang w:eastAsia="zh-CN"/>
        </w:rPr>
        <w:t>评审</w:t>
      </w:r>
      <w:r>
        <w:rPr>
          <w:rFonts w:hint="eastAsia" w:ascii="宋体" w:hAnsi="宋体" w:eastAsia="宋体" w:cs="宋体"/>
          <w:b w:val="0"/>
          <w:bCs w:val="0"/>
          <w:sz w:val="24"/>
        </w:rPr>
        <w:t>小组。供应商按照磋商</w:t>
      </w:r>
      <w:r>
        <w:rPr>
          <w:rFonts w:hint="eastAsia" w:ascii="宋体" w:hAnsi="宋体" w:eastAsia="宋体" w:cs="宋体"/>
          <w:b w:val="0"/>
          <w:bCs w:val="0"/>
          <w:sz w:val="24"/>
          <w:lang w:eastAsia="zh-CN"/>
        </w:rPr>
        <w:t>采购</w:t>
      </w:r>
      <w:r>
        <w:rPr>
          <w:rFonts w:hint="eastAsia" w:ascii="宋体" w:hAnsi="宋体" w:eastAsia="宋体" w:cs="宋体"/>
          <w:b w:val="0"/>
          <w:bCs w:val="0"/>
          <w:sz w:val="24"/>
        </w:rPr>
        <w:t>文件规定提交</w:t>
      </w:r>
      <w:r>
        <w:rPr>
          <w:rFonts w:hint="eastAsia" w:ascii="宋体" w:hAnsi="宋体" w:eastAsia="宋体" w:cs="宋体"/>
          <w:b w:val="0"/>
          <w:bCs w:val="0"/>
          <w:sz w:val="24"/>
          <w:lang w:eastAsia="zh-CN"/>
        </w:rPr>
        <w:t>投标</w:t>
      </w:r>
      <w:r>
        <w:rPr>
          <w:rFonts w:hint="eastAsia" w:ascii="宋体" w:hAnsi="宋体" w:eastAsia="宋体" w:cs="宋体"/>
          <w:b w:val="0"/>
          <w:bCs w:val="0"/>
          <w:sz w:val="24"/>
        </w:rPr>
        <w:t>响应文件。</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2.磋商小组对磋商响应供应商进行资格性和符合性审查，磋商响应供应商不符合资格性及符合性条款要求，不进入磋商程序；磋商小组在对响应文件的有效性、完整 性和响应程度进行审查时，可以要求磋商响应供应商对响应文件中含义不明确、同类问题表述不一致或者有明显文字和计算错误的内容等作出必要的澄清、说明或者更正。磋商响应供应商需以书面形式作出澄清、说明或者更正，但澄清、说明或者更正不得超出响应文件的范围或者改变响应文件的实质性内容，同时也不接受磋商响应供应商主动澄清。符合实质性响 应要求的磋商响应供应商进入磋商程序。</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3.磋商</w:t>
      </w:r>
      <w:r>
        <w:rPr>
          <w:rFonts w:hint="eastAsia" w:ascii="宋体" w:hAnsi="宋体" w:eastAsia="宋体" w:cs="宋体"/>
          <w:b w:val="0"/>
          <w:bCs w:val="0"/>
          <w:sz w:val="24"/>
          <w:lang w:eastAsia="zh-CN"/>
        </w:rPr>
        <w:t>评审</w:t>
      </w:r>
      <w:r>
        <w:rPr>
          <w:rFonts w:hint="eastAsia" w:ascii="宋体" w:hAnsi="宋体" w:eastAsia="宋体" w:cs="宋体"/>
          <w:b w:val="0"/>
          <w:bCs w:val="0"/>
          <w:sz w:val="24"/>
        </w:rPr>
        <w:t>小组所有成员应当集中与单一磋商响应供应商分别进行磋商，磋商顺序采用随机抽取的方法确认。</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4.磋商</w:t>
      </w:r>
      <w:r>
        <w:rPr>
          <w:rFonts w:hint="eastAsia" w:ascii="宋体" w:hAnsi="宋体" w:eastAsia="宋体" w:cs="宋体"/>
          <w:b w:val="0"/>
          <w:bCs w:val="0"/>
          <w:sz w:val="24"/>
          <w:lang w:eastAsia="zh-CN"/>
        </w:rPr>
        <w:t>评审</w:t>
      </w:r>
      <w:r>
        <w:rPr>
          <w:rFonts w:hint="eastAsia" w:ascii="宋体" w:hAnsi="宋体" w:eastAsia="宋体" w:cs="宋体"/>
          <w:b w:val="0"/>
          <w:bCs w:val="0"/>
          <w:sz w:val="24"/>
        </w:rPr>
        <w:t>小组对磋商文件和响应文件提出重点的磋商内容，根据磋商文件及有关规定，磋商小组与进入磋商程序的磋商响应供应商进行一轮或多轮磋商。</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5.每轮磋商结束前由磋商</w:t>
      </w:r>
      <w:r>
        <w:rPr>
          <w:rFonts w:hint="eastAsia" w:ascii="宋体" w:hAnsi="宋体" w:eastAsia="宋体" w:cs="宋体"/>
          <w:b w:val="0"/>
          <w:bCs w:val="0"/>
          <w:sz w:val="24"/>
          <w:lang w:eastAsia="zh-CN"/>
        </w:rPr>
        <w:t>评审</w:t>
      </w:r>
      <w:r>
        <w:rPr>
          <w:rFonts w:hint="eastAsia" w:ascii="宋体" w:hAnsi="宋体" w:eastAsia="宋体" w:cs="宋体"/>
          <w:b w:val="0"/>
          <w:bCs w:val="0"/>
          <w:sz w:val="24"/>
        </w:rPr>
        <w:t>小组决定是否需要进行下一轮磋商，如需要进行下一轮磋商，采购代理机构提前告知磋商响应供应商下一轮磋商时间。</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6.在磋商过程中，磋商</w:t>
      </w:r>
      <w:r>
        <w:rPr>
          <w:rFonts w:hint="eastAsia" w:ascii="宋体" w:hAnsi="宋体" w:eastAsia="宋体" w:cs="宋体"/>
          <w:b w:val="0"/>
          <w:bCs w:val="0"/>
          <w:sz w:val="24"/>
          <w:lang w:eastAsia="zh-CN"/>
        </w:rPr>
        <w:t>评审</w:t>
      </w:r>
      <w:r>
        <w:rPr>
          <w:rFonts w:hint="eastAsia" w:ascii="宋体" w:hAnsi="宋体" w:eastAsia="宋体" w:cs="宋体"/>
          <w:b w:val="0"/>
          <w:bCs w:val="0"/>
          <w:sz w:val="24"/>
        </w:rPr>
        <w:t>小组可以根据磋商文件明确规定的可能实质性变动内容变动磋商文件；有实质性变动的，磋商小组应当以书面形式通知所有参加磋商的磋商响应供应商。</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7.除非磋商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0"/>
        </w:tabs>
        <w:spacing w:before="0" w:line="360" w:lineRule="auto"/>
        <w:ind w:right="-128" w:rightChars="-61"/>
        <w:jc w:val="left"/>
        <w:rPr>
          <w:rFonts w:hint="eastAsia" w:ascii="宋体" w:hAnsi="宋体" w:eastAsia="宋体" w:cs="宋体"/>
          <w:b w:val="0"/>
          <w:bCs w:val="0"/>
          <w:sz w:val="24"/>
        </w:rPr>
      </w:pPr>
      <w:r>
        <w:rPr>
          <w:rFonts w:hint="eastAsia" w:ascii="宋体" w:hAnsi="宋体" w:eastAsia="宋体" w:cs="宋体"/>
          <w:b w:val="0"/>
          <w:bCs w:val="0"/>
          <w:sz w:val="24"/>
        </w:rPr>
        <w:t>8.磋商响应供应商递交的响应文件澄清、更正等文件、最终报价应予密封并交至采购代理机构指定人员，报价部分单独密封。采购代理机构工作人员在收齐全部响应供应商材料后， 统一送达磋商小组</w:t>
      </w:r>
      <w:r>
        <w:rPr>
          <w:rFonts w:hint="eastAsia" w:ascii="宋体" w:hAnsi="宋体" w:eastAsia="宋体" w:cs="宋体"/>
          <w:b/>
          <w:bCs/>
          <w:sz w:val="24"/>
        </w:rPr>
        <w:t>（如采用电子化竞争性磋商，需按照相关要求予以报价）</w:t>
      </w:r>
      <w:r>
        <w:rPr>
          <w:rFonts w:hint="eastAsia" w:ascii="宋体" w:hAnsi="宋体" w:eastAsia="宋体" w:cs="宋体"/>
          <w:b w:val="0"/>
          <w:bCs w:val="0"/>
          <w:sz w:val="24"/>
        </w:rPr>
        <w:t>。</w:t>
      </w:r>
    </w:p>
    <w:p>
      <w:pPr>
        <w:tabs>
          <w:tab w:val="left" w:pos="0"/>
        </w:tabs>
        <w:spacing w:before="0" w:line="360" w:lineRule="auto"/>
        <w:ind w:right="-128" w:rightChars="-61"/>
        <w:jc w:val="left"/>
        <w:rPr>
          <w:b w:val="0"/>
          <w:bCs w:val="0"/>
          <w:sz w:val="24"/>
        </w:rPr>
      </w:pPr>
      <w:r>
        <w:rPr>
          <w:rFonts w:hint="eastAsia" w:ascii="宋体" w:hAnsi="宋体" w:eastAsia="宋体" w:cs="宋体"/>
          <w:b w:val="0"/>
          <w:bCs w:val="0"/>
          <w:sz w:val="24"/>
        </w:rPr>
        <w:t>9.经磋商确定最终采购需求和提交最后报价的磋商响应供应商后，由磋商小组采用综合评分法对提交最后报价的磋商响应供应商的响应文件和最后报价进行综合评分</w:t>
      </w:r>
      <w:r>
        <w:rPr>
          <w:b w:val="0"/>
          <w:bCs w:val="0"/>
          <w:sz w:val="24"/>
        </w:rPr>
        <w:t>。</w:t>
      </w:r>
    </w:p>
    <w:p>
      <w:pPr>
        <w:pStyle w:val="9"/>
        <w:numPr>
          <w:ilvl w:val="0"/>
          <w:numId w:val="0"/>
        </w:numPr>
        <w:tabs>
          <w:tab w:val="left" w:pos="0"/>
          <w:tab w:val="left" w:pos="1003"/>
        </w:tabs>
        <w:spacing w:before="161" w:after="0" w:line="240" w:lineRule="auto"/>
        <w:ind w:leftChars="200" w:right="-128" w:rightChars="-61"/>
        <w:jc w:val="both"/>
        <w:rPr>
          <w:b/>
          <w:sz w:val="24"/>
        </w:rPr>
      </w:pPr>
      <w:r>
        <w:rPr>
          <w:rFonts w:hint="eastAsia"/>
          <w:b/>
          <w:sz w:val="24"/>
          <w:lang w:val="en-US" w:eastAsia="zh-CN"/>
        </w:rPr>
        <w:t>3.2</w:t>
      </w:r>
      <w:r>
        <w:rPr>
          <w:b/>
          <w:sz w:val="24"/>
        </w:rPr>
        <w:t>评分标准</w:t>
      </w:r>
    </w:p>
    <w:p>
      <w:pPr>
        <w:pStyle w:val="3"/>
        <w:tabs>
          <w:tab w:val="left" w:pos="0"/>
        </w:tabs>
        <w:spacing w:before="11"/>
        <w:ind w:right="-128" w:rightChars="-61"/>
        <w:rPr>
          <w:b/>
          <w:sz w:val="21"/>
        </w:rPr>
      </w:pPr>
    </w:p>
    <w:p>
      <w:pPr>
        <w:pStyle w:val="9"/>
        <w:numPr>
          <w:ilvl w:val="0"/>
          <w:numId w:val="0"/>
        </w:numPr>
        <w:tabs>
          <w:tab w:val="left" w:pos="0"/>
          <w:tab w:val="left" w:pos="1185"/>
        </w:tabs>
        <w:spacing w:before="0" w:after="0" w:line="240" w:lineRule="auto"/>
        <w:ind w:leftChars="200" w:right="-128" w:rightChars="-61"/>
        <w:jc w:val="both"/>
        <w:rPr>
          <w:b/>
          <w:sz w:val="24"/>
        </w:rPr>
      </w:pPr>
      <w:r>
        <w:rPr>
          <w:rFonts w:hint="eastAsia"/>
          <w:b/>
          <w:sz w:val="24"/>
          <w:lang w:val="en-US" w:eastAsia="zh-CN"/>
        </w:rPr>
        <w:t>3.2.1</w:t>
      </w:r>
      <w:r>
        <w:rPr>
          <w:b/>
          <w:sz w:val="24"/>
        </w:rPr>
        <w:t>评分因素</w:t>
      </w:r>
    </w:p>
    <w:p>
      <w:pPr>
        <w:pStyle w:val="3"/>
        <w:tabs>
          <w:tab w:val="left" w:pos="0"/>
        </w:tabs>
        <w:spacing w:before="1" w:line="364" w:lineRule="auto"/>
        <w:ind w:left="520" w:right="-128" w:rightChars="-61" w:firstLine="480"/>
        <w:jc w:val="both"/>
        <w:rPr>
          <w:rFonts w:hint="eastAsia" w:ascii="宋体" w:hAnsi="宋体" w:eastAsia="宋体" w:cs="宋体"/>
          <w:sz w:val="24"/>
          <w:szCs w:val="24"/>
        </w:rPr>
      </w:pPr>
      <w:r>
        <w:rPr>
          <w:rFonts w:hint="eastAsia" w:ascii="宋体" w:hAnsi="宋体" w:eastAsia="宋体" w:cs="宋体"/>
          <w:spacing w:val="-7"/>
          <w:sz w:val="24"/>
          <w:szCs w:val="24"/>
        </w:rPr>
        <w:t>评分的主要因素分为价格因素、技术因素和商务因素。评分因素详见评分表。评标分值保</w:t>
      </w:r>
      <w:r>
        <w:rPr>
          <w:rFonts w:hint="eastAsia" w:ascii="宋体" w:hAnsi="宋体" w:eastAsia="宋体" w:cs="宋体"/>
          <w:spacing w:val="-8"/>
          <w:sz w:val="24"/>
          <w:szCs w:val="24"/>
        </w:rPr>
        <w:t>留至两位小数。评标时，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"http://www.baidu.com/s?wd=%E6%A0%87%E4%B9%A6&amp;amp;hl_tag=textlink&amp;amp;tn=SE_hldp01350_v6v6zkg6" \h </w:instrText>
      </w:r>
      <w:r>
        <w:rPr>
          <w:rFonts w:hint="eastAsia" w:ascii="宋体" w:hAnsi="宋体" w:eastAsia="宋体" w:cs="宋体"/>
          <w:sz w:val="24"/>
          <w:szCs w:val="24"/>
        </w:rPr>
        <w:fldChar w:fldCharType="separate"/>
      </w:r>
      <w:r>
        <w:rPr>
          <w:rFonts w:hint="eastAsia" w:ascii="宋体" w:hAnsi="宋体" w:eastAsia="宋体" w:cs="宋体"/>
          <w:sz w:val="24"/>
          <w:szCs w:val="24"/>
        </w:rPr>
        <w:t>评标专家依照评分表对每个有效供应商的投标文件</w:t>
      </w:r>
      <w:r>
        <w:rPr>
          <w:rFonts w:hint="eastAsia" w:ascii="宋体" w:hAnsi="宋体" w:eastAsia="宋体" w:cs="宋体"/>
          <w:sz w:val="24"/>
          <w:szCs w:val="24"/>
        </w:rPr>
        <w:fldChar w:fldCharType="end"/>
      </w:r>
      <w:r>
        <w:rPr>
          <w:rFonts w:hint="eastAsia" w:ascii="宋体" w:hAnsi="宋体" w:eastAsia="宋体" w:cs="宋体"/>
          <w:spacing w:val="-7"/>
          <w:sz w:val="24"/>
          <w:szCs w:val="24"/>
        </w:rPr>
        <w:t>进行独立评价、打</w:t>
      </w:r>
      <w:r>
        <w:rPr>
          <w:rFonts w:hint="eastAsia" w:ascii="宋体" w:hAnsi="宋体" w:eastAsia="宋体" w:cs="宋体"/>
          <w:sz w:val="24"/>
          <w:szCs w:val="24"/>
        </w:rPr>
        <w:t>分。</w:t>
      </w:r>
    </w:p>
    <w:p>
      <w:pPr>
        <w:pStyle w:val="5"/>
        <w:numPr>
          <w:ilvl w:val="0"/>
          <w:numId w:val="0"/>
        </w:numPr>
        <w:tabs>
          <w:tab w:val="left" w:pos="0"/>
          <w:tab w:val="left" w:pos="1185"/>
        </w:tabs>
        <w:spacing w:before="119" w:after="0" w:line="240" w:lineRule="auto"/>
        <w:ind w:left="519" w:leftChars="0" w:right="-334" w:rightChars="-159"/>
        <w:jc w:val="both"/>
      </w:pPr>
      <w:r>
        <w:rPr>
          <w:rFonts w:hint="eastAsia"/>
          <w:lang w:val="en-US" w:eastAsia="zh-CN"/>
        </w:rPr>
        <w:t>3.2.2</w:t>
      </w:r>
      <w:r>
        <w:t>评分标准</w:t>
      </w:r>
    </w:p>
    <w:p>
      <w:pPr>
        <w:numPr>
          <w:ilvl w:val="0"/>
          <w:numId w:val="3"/>
        </w:numPr>
        <w:tabs>
          <w:tab w:val="left" w:pos="0"/>
        </w:tabs>
        <w:spacing w:before="66"/>
        <w:ind w:left="520" w:right="-334" w:rightChars="-159" w:firstLine="0"/>
        <w:jc w:val="left"/>
        <w:rPr>
          <w:b/>
          <w:sz w:val="21"/>
          <w:szCs w:val="21"/>
        </w:rPr>
      </w:pPr>
      <w:r>
        <w:rPr>
          <w:b/>
          <w:sz w:val="21"/>
          <w:szCs w:val="21"/>
        </w:rPr>
        <w:t>初步审查表</w:t>
      </w:r>
    </w:p>
    <w:p>
      <w:pPr>
        <w:pStyle w:val="11"/>
        <w:numPr>
          <w:ilvl w:val="0"/>
          <w:numId w:val="0"/>
        </w:numPr>
      </w:pPr>
    </w:p>
    <w:tbl>
      <w:tblPr>
        <w:tblStyle w:val="7"/>
        <w:tblpPr w:leftFromText="180" w:rightFromText="180" w:vertAnchor="text" w:horzAnchor="page" w:tblpX="1105" w:tblpY="-54"/>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8"/>
        <w:gridCol w:w="5374"/>
        <w:gridCol w:w="2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1378" w:type="dxa"/>
            <w:noWrap w:val="0"/>
            <w:vAlign w:val="center"/>
          </w:tcPr>
          <w:p>
            <w:pPr>
              <w:pStyle w:val="10"/>
              <w:tabs>
                <w:tab w:val="left" w:pos="0"/>
              </w:tabs>
              <w:ind w:right="-334" w:rightChars="-159"/>
              <w:jc w:val="center"/>
              <w:rPr>
                <w:b w:val="0"/>
                <w:bCs w:val="0"/>
                <w:sz w:val="24"/>
                <w:szCs w:val="24"/>
              </w:rPr>
            </w:pPr>
            <w:r>
              <w:rPr>
                <w:b w:val="0"/>
                <w:bCs w:val="0"/>
                <w:sz w:val="24"/>
                <w:szCs w:val="24"/>
              </w:rPr>
              <w:t>序号</w:t>
            </w:r>
          </w:p>
        </w:tc>
        <w:tc>
          <w:tcPr>
            <w:tcW w:w="5374" w:type="dxa"/>
            <w:noWrap w:val="0"/>
            <w:vAlign w:val="center"/>
          </w:tcPr>
          <w:p>
            <w:pPr>
              <w:pStyle w:val="10"/>
              <w:tabs>
                <w:tab w:val="left" w:pos="220"/>
              </w:tabs>
              <w:spacing w:before="112" w:line="304" w:lineRule="exact"/>
              <w:ind w:left="216" w:leftChars="103" w:right="-334" w:rightChars="-159" w:firstLine="0" w:firstLineChars="0"/>
              <w:jc w:val="center"/>
              <w:rPr>
                <w:b w:val="0"/>
                <w:bCs w:val="0"/>
                <w:sz w:val="24"/>
                <w:szCs w:val="24"/>
              </w:rPr>
            </w:pPr>
            <w:r>
              <w:rPr>
                <w:b w:val="0"/>
                <w:bCs w:val="0"/>
                <w:sz w:val="24"/>
                <w:szCs w:val="24"/>
              </w:rPr>
              <w:t>审查内容</w:t>
            </w:r>
          </w:p>
        </w:tc>
        <w:tc>
          <w:tcPr>
            <w:tcW w:w="2687" w:type="dxa"/>
            <w:noWrap w:val="0"/>
            <w:vAlign w:val="top"/>
          </w:tcPr>
          <w:p>
            <w:pPr>
              <w:pStyle w:val="10"/>
              <w:tabs>
                <w:tab w:val="left" w:pos="0"/>
              </w:tabs>
              <w:spacing w:before="12"/>
              <w:ind w:left="216" w:leftChars="103" w:right="155" w:rightChars="74" w:firstLine="0" w:firstLineChars="0"/>
              <w:rPr>
                <w:b w:val="0"/>
                <w:bCs w:val="0"/>
                <w:sz w:val="24"/>
                <w:szCs w:val="24"/>
              </w:rPr>
            </w:pPr>
          </w:p>
          <w:p>
            <w:pPr>
              <w:pStyle w:val="10"/>
              <w:tabs>
                <w:tab w:val="left" w:pos="0"/>
              </w:tabs>
              <w:spacing w:before="12"/>
              <w:ind w:left="216" w:leftChars="103" w:right="155" w:rightChars="74" w:firstLine="0" w:firstLineChars="0"/>
              <w:rPr>
                <w:b w:val="0"/>
                <w:bCs w:val="0"/>
                <w:sz w:val="24"/>
                <w:szCs w:val="24"/>
              </w:rPr>
            </w:pPr>
            <w:r>
              <w:rPr>
                <w:b w:val="0"/>
                <w:bCs w:val="0"/>
                <w:sz w:val="24"/>
                <w:szCs w:val="24"/>
              </w:rPr>
              <w:t>初步审查结论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439" w:type="dxa"/>
            <w:gridSpan w:val="3"/>
            <w:noWrap w:val="0"/>
            <w:vAlign w:val="top"/>
          </w:tcPr>
          <w:p>
            <w:pPr>
              <w:pStyle w:val="10"/>
              <w:tabs>
                <w:tab w:val="left" w:pos="0"/>
              </w:tabs>
              <w:spacing w:before="98" w:line="302" w:lineRule="exact"/>
              <w:ind w:left="216" w:leftChars="103" w:right="155" w:rightChars="74" w:firstLine="0" w:firstLineChars="0"/>
              <w:rPr>
                <w:b w:val="0"/>
                <w:bCs w:val="0"/>
                <w:sz w:val="24"/>
                <w:szCs w:val="24"/>
              </w:rPr>
            </w:pPr>
            <w:r>
              <w:rPr>
                <w:b w:val="0"/>
                <w:bCs w:val="0"/>
                <w:sz w:val="24"/>
                <w:szCs w:val="24"/>
              </w:rPr>
              <w:t>一、符合性审查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378" w:type="dxa"/>
            <w:noWrap w:val="0"/>
            <w:vAlign w:val="center"/>
          </w:tcPr>
          <w:p>
            <w:pPr>
              <w:pStyle w:val="10"/>
              <w:tabs>
                <w:tab w:val="left" w:pos="0"/>
              </w:tabs>
              <w:spacing w:before="97" w:line="302" w:lineRule="exact"/>
              <w:ind w:left="9" w:right="107" w:rightChars="51"/>
              <w:jc w:val="center"/>
              <w:rPr>
                <w:b w:val="0"/>
                <w:bCs w:val="0"/>
                <w:sz w:val="24"/>
                <w:szCs w:val="24"/>
              </w:rPr>
            </w:pPr>
            <w:r>
              <w:rPr>
                <w:b w:val="0"/>
                <w:bCs w:val="0"/>
                <w:sz w:val="24"/>
                <w:szCs w:val="24"/>
              </w:rPr>
              <w:t>1</w:t>
            </w:r>
          </w:p>
        </w:tc>
        <w:tc>
          <w:tcPr>
            <w:tcW w:w="5374" w:type="dxa"/>
            <w:noWrap w:val="0"/>
            <w:vAlign w:val="top"/>
          </w:tcPr>
          <w:p>
            <w:pPr>
              <w:pStyle w:val="10"/>
              <w:tabs>
                <w:tab w:val="left" w:pos="0"/>
              </w:tabs>
              <w:spacing w:before="97" w:line="302" w:lineRule="exact"/>
              <w:ind w:left="108" w:right="34" w:rightChars="16"/>
              <w:rPr>
                <w:b w:val="0"/>
                <w:bCs w:val="0"/>
                <w:sz w:val="24"/>
                <w:szCs w:val="24"/>
              </w:rPr>
            </w:pPr>
            <w:r>
              <w:rPr>
                <w:b w:val="0"/>
                <w:bCs w:val="0"/>
                <w:sz w:val="24"/>
                <w:szCs w:val="24"/>
              </w:rPr>
              <w:t>投标有效期满足招标文件要求（90 天）</w:t>
            </w:r>
          </w:p>
        </w:tc>
        <w:tc>
          <w:tcPr>
            <w:tcW w:w="2687" w:type="dxa"/>
            <w:vMerge w:val="restart"/>
            <w:noWrap w:val="0"/>
            <w:vAlign w:val="top"/>
          </w:tcPr>
          <w:p>
            <w:pPr>
              <w:pStyle w:val="10"/>
              <w:tabs>
                <w:tab w:val="left" w:pos="0"/>
              </w:tabs>
              <w:ind w:left="216" w:leftChars="103" w:right="155" w:rightChars="74" w:firstLine="0" w:firstLineChars="0"/>
              <w:rPr>
                <w:b w:val="0"/>
                <w:bCs w:val="0"/>
                <w:sz w:val="24"/>
                <w:szCs w:val="24"/>
              </w:rPr>
            </w:pPr>
          </w:p>
          <w:p>
            <w:pPr>
              <w:pStyle w:val="10"/>
              <w:tabs>
                <w:tab w:val="left" w:pos="0"/>
              </w:tabs>
              <w:ind w:left="216" w:leftChars="103" w:right="155" w:rightChars="74" w:firstLine="0" w:firstLineChars="0"/>
              <w:rPr>
                <w:b w:val="0"/>
                <w:bCs w:val="0"/>
                <w:sz w:val="24"/>
                <w:szCs w:val="24"/>
              </w:rPr>
            </w:pPr>
            <w:r>
              <w:rPr>
                <w:b w:val="0"/>
                <w:bCs w:val="0"/>
                <w:sz w:val="24"/>
                <w:szCs w:val="24"/>
              </w:rPr>
              <w:t>（通过或不通过）</w:t>
            </w:r>
          </w:p>
          <w:p>
            <w:pPr>
              <w:pStyle w:val="10"/>
              <w:tabs>
                <w:tab w:val="left" w:pos="0"/>
              </w:tabs>
              <w:ind w:left="216" w:leftChars="103" w:right="155" w:rightChars="74" w:firstLine="0" w:firstLineChars="0"/>
              <w:rPr>
                <w:rFonts w:hint="eastAsia" w:ascii="Times New Roman" w:eastAsia="宋体"/>
                <w:b w:val="0"/>
                <w:bCs w:val="0"/>
                <w:sz w:val="24"/>
                <w:szCs w:val="24"/>
                <w:lang w:eastAsia="zh-CN"/>
              </w:rPr>
            </w:pPr>
            <w:r>
              <w:rPr>
                <w:b w:val="0"/>
                <w:bCs w:val="0"/>
                <w:sz w:val="24"/>
                <w:szCs w:val="24"/>
              </w:rPr>
              <w:t>评审专家（签字）</w:t>
            </w:r>
            <w:r>
              <w:rPr>
                <w:rFonts w:hint="eastAsia"/>
                <w:b w:val="0"/>
                <w:bCs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378" w:type="dxa"/>
            <w:tcBorders>
              <w:bottom w:val="single" w:color="auto" w:sz="4" w:space="0"/>
            </w:tcBorders>
            <w:noWrap w:val="0"/>
            <w:vAlign w:val="center"/>
          </w:tcPr>
          <w:p>
            <w:pPr>
              <w:pStyle w:val="10"/>
              <w:tabs>
                <w:tab w:val="left" w:pos="0"/>
              </w:tabs>
              <w:ind w:left="9" w:right="107" w:rightChars="51"/>
              <w:jc w:val="center"/>
              <w:rPr>
                <w:b w:val="0"/>
                <w:bCs w:val="0"/>
                <w:sz w:val="24"/>
                <w:szCs w:val="24"/>
              </w:rPr>
            </w:pPr>
          </w:p>
          <w:p>
            <w:pPr>
              <w:pStyle w:val="10"/>
              <w:tabs>
                <w:tab w:val="left" w:pos="0"/>
              </w:tabs>
              <w:ind w:right="107" w:rightChars="51"/>
              <w:jc w:val="center"/>
              <w:rPr>
                <w:b w:val="0"/>
                <w:bCs w:val="0"/>
                <w:sz w:val="24"/>
                <w:szCs w:val="24"/>
              </w:rPr>
            </w:pPr>
            <w:r>
              <w:rPr>
                <w:b w:val="0"/>
                <w:bCs w:val="0"/>
                <w:sz w:val="24"/>
                <w:szCs w:val="24"/>
              </w:rPr>
              <w:t>2</w:t>
            </w:r>
          </w:p>
        </w:tc>
        <w:tc>
          <w:tcPr>
            <w:tcW w:w="5374" w:type="dxa"/>
            <w:tcBorders>
              <w:bottom w:val="single" w:color="auto" w:sz="4" w:space="0"/>
            </w:tcBorders>
            <w:noWrap w:val="0"/>
            <w:vAlign w:val="top"/>
          </w:tcPr>
          <w:p>
            <w:pPr>
              <w:pStyle w:val="10"/>
              <w:tabs>
                <w:tab w:val="left" w:pos="0"/>
              </w:tabs>
              <w:spacing w:before="1" w:line="420" w:lineRule="exact"/>
              <w:ind w:right="34" w:rightChars="16"/>
              <w:rPr>
                <w:b w:val="0"/>
                <w:bCs w:val="0"/>
                <w:sz w:val="24"/>
                <w:szCs w:val="24"/>
              </w:rPr>
            </w:pPr>
            <w:r>
              <w:rPr>
                <w:b w:val="0"/>
                <w:bCs w:val="0"/>
                <w:sz w:val="24"/>
                <w:szCs w:val="24"/>
              </w:rPr>
              <w:t>投标</w:t>
            </w:r>
            <w:r>
              <w:rPr>
                <w:rFonts w:hint="eastAsia"/>
                <w:b w:val="0"/>
                <w:bCs w:val="0"/>
                <w:sz w:val="24"/>
                <w:szCs w:val="24"/>
                <w:lang w:eastAsia="zh-CN"/>
              </w:rPr>
              <w:t>承诺</w:t>
            </w:r>
            <w:r>
              <w:rPr>
                <w:b w:val="0"/>
                <w:bCs w:val="0"/>
                <w:sz w:val="24"/>
                <w:szCs w:val="24"/>
              </w:rPr>
              <w:t>函（按对应格式文件填写、签署、盖章）</w:t>
            </w:r>
          </w:p>
        </w:tc>
        <w:tc>
          <w:tcPr>
            <w:tcW w:w="2687" w:type="dxa"/>
            <w:vMerge w:val="continue"/>
            <w:noWrap w:val="0"/>
            <w:vAlign w:val="top"/>
          </w:tcPr>
          <w:p>
            <w:pPr>
              <w:pStyle w:val="10"/>
              <w:tabs>
                <w:tab w:val="left" w:pos="0"/>
              </w:tabs>
              <w:ind w:left="216" w:leftChars="103" w:right="155" w:rightChars="74" w:firstLine="0" w:firstLineChars="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378" w:type="dxa"/>
            <w:tcBorders>
              <w:top w:val="single" w:color="auto" w:sz="4" w:space="0"/>
            </w:tcBorders>
            <w:noWrap w:val="0"/>
            <w:vAlign w:val="center"/>
          </w:tcPr>
          <w:p>
            <w:pPr>
              <w:pStyle w:val="10"/>
              <w:tabs>
                <w:tab w:val="left" w:pos="0"/>
              </w:tabs>
              <w:ind w:right="107" w:rightChars="51"/>
              <w:jc w:val="center"/>
              <w:rPr>
                <w:rFonts w:hint="eastAsia" w:eastAsia="宋体"/>
                <w:b w:val="0"/>
                <w:bCs w:val="0"/>
                <w:sz w:val="24"/>
                <w:szCs w:val="24"/>
                <w:lang w:val="en-US" w:eastAsia="zh-CN"/>
              </w:rPr>
            </w:pPr>
            <w:r>
              <w:rPr>
                <w:rFonts w:hint="eastAsia"/>
                <w:b w:val="0"/>
                <w:bCs w:val="0"/>
                <w:sz w:val="24"/>
                <w:szCs w:val="24"/>
                <w:lang w:val="en-US" w:eastAsia="zh-CN"/>
              </w:rPr>
              <w:t>3</w:t>
            </w:r>
          </w:p>
        </w:tc>
        <w:tc>
          <w:tcPr>
            <w:tcW w:w="5374" w:type="dxa"/>
            <w:tcBorders>
              <w:top w:val="single" w:color="auto" w:sz="4" w:space="0"/>
            </w:tcBorders>
            <w:noWrap w:val="0"/>
            <w:vAlign w:val="top"/>
          </w:tcPr>
          <w:p>
            <w:pPr>
              <w:pStyle w:val="10"/>
              <w:tabs>
                <w:tab w:val="left" w:pos="0"/>
              </w:tabs>
              <w:spacing w:before="1" w:line="420" w:lineRule="exact"/>
              <w:ind w:right="34" w:rightChars="16"/>
              <w:rPr>
                <w:b w:val="0"/>
                <w:bCs w:val="0"/>
                <w:sz w:val="24"/>
                <w:szCs w:val="24"/>
              </w:rPr>
            </w:pPr>
            <w:r>
              <w:rPr>
                <w:rFonts w:hint="eastAsia" w:ascii="宋体" w:hAnsi="宋体" w:eastAsia="宋体" w:cs="宋体"/>
                <w:color w:val="auto"/>
                <w:sz w:val="24"/>
                <w:szCs w:val="24"/>
              </w:rPr>
              <w:t>合同履约期限</w:t>
            </w:r>
            <w:r>
              <w:rPr>
                <w:rFonts w:hint="eastAsia" w:ascii="宋体" w:hAnsi="宋体" w:eastAsia="宋体" w:cs="宋体"/>
                <w:color w:val="auto"/>
                <w:sz w:val="24"/>
                <w:szCs w:val="24"/>
                <w:lang w:eastAsia="zh-CN"/>
              </w:rPr>
              <w:t>：</w:t>
            </w:r>
            <w:r>
              <w:rPr>
                <w:rFonts w:hint="eastAsia" w:ascii="宋体" w:hAnsi="宋体" w:eastAsia="宋体" w:cs="宋体"/>
                <w:spacing w:val="1"/>
                <w:w w:val="100"/>
                <w:sz w:val="24"/>
                <w:szCs w:val="24"/>
              </w:rPr>
              <w:t>合</w:t>
            </w:r>
            <w:r>
              <w:rPr>
                <w:rFonts w:hint="eastAsia" w:ascii="宋体" w:hAnsi="宋体" w:eastAsia="宋体" w:cs="宋体"/>
                <w:spacing w:val="-2"/>
                <w:w w:val="100"/>
                <w:sz w:val="24"/>
                <w:szCs w:val="24"/>
              </w:rPr>
              <w:t>同</w:t>
            </w:r>
            <w:r>
              <w:rPr>
                <w:rFonts w:hint="eastAsia" w:ascii="宋体" w:hAnsi="宋体" w:eastAsia="宋体" w:cs="宋体"/>
                <w:spacing w:val="0"/>
                <w:w w:val="100"/>
                <w:sz w:val="24"/>
                <w:szCs w:val="24"/>
              </w:rPr>
              <w:t>签</w:t>
            </w:r>
            <w:r>
              <w:rPr>
                <w:rFonts w:hint="eastAsia" w:ascii="宋体" w:hAnsi="宋体" w:eastAsia="宋体" w:cs="宋体"/>
                <w:spacing w:val="-14"/>
                <w:w w:val="100"/>
                <w:sz w:val="24"/>
                <w:szCs w:val="24"/>
              </w:rPr>
              <w:t>订</w:t>
            </w:r>
            <w:r>
              <w:rPr>
                <w:rFonts w:hint="eastAsia" w:ascii="宋体" w:hAnsi="宋体" w:eastAsia="宋体" w:cs="宋体"/>
                <w:spacing w:val="0"/>
                <w:w w:val="100"/>
                <w:sz w:val="24"/>
                <w:szCs w:val="24"/>
              </w:rPr>
              <w:t>后</w:t>
            </w:r>
            <w:r>
              <w:rPr>
                <w:rFonts w:hint="eastAsia" w:ascii="宋体" w:hAnsi="宋体" w:eastAsia="宋体" w:cs="宋体"/>
                <w:sz w:val="24"/>
                <w:szCs w:val="24"/>
                <w:u w:val="none"/>
                <w:lang w:val="en-US" w:eastAsia="zh-CN"/>
              </w:rPr>
              <w:t>60</w:t>
            </w:r>
            <w:r>
              <w:rPr>
                <w:rFonts w:hint="eastAsia" w:ascii="宋体" w:hAnsi="宋体" w:eastAsia="宋体" w:cs="宋体"/>
                <w:sz w:val="24"/>
                <w:szCs w:val="24"/>
                <w:u w:val="none"/>
              </w:rPr>
              <w:t>日历天</w:t>
            </w:r>
          </w:p>
        </w:tc>
        <w:tc>
          <w:tcPr>
            <w:tcW w:w="2687" w:type="dxa"/>
            <w:vMerge w:val="continue"/>
            <w:noWrap w:val="0"/>
            <w:vAlign w:val="top"/>
          </w:tcPr>
          <w:p>
            <w:pPr>
              <w:pStyle w:val="10"/>
              <w:tabs>
                <w:tab w:val="left" w:pos="0"/>
              </w:tabs>
              <w:ind w:left="216" w:leftChars="103" w:right="155" w:rightChars="74" w:firstLine="0" w:firstLineChars="0"/>
              <w:rPr>
                <w:rFonts w:ascii="Times New Roman"/>
                <w:b w:val="0"/>
                <w:b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9439" w:type="dxa"/>
            <w:gridSpan w:val="3"/>
            <w:noWrap w:val="0"/>
            <w:vAlign w:val="top"/>
          </w:tcPr>
          <w:p>
            <w:pPr>
              <w:pStyle w:val="10"/>
              <w:tabs>
                <w:tab w:val="left" w:pos="0"/>
              </w:tabs>
              <w:ind w:left="216" w:leftChars="103" w:right="155" w:rightChars="74" w:firstLine="0" w:firstLineChars="0"/>
              <w:rPr>
                <w:rFonts w:ascii="Times New Roman"/>
                <w:b w:val="0"/>
                <w:bCs w:val="0"/>
                <w:sz w:val="24"/>
                <w:szCs w:val="24"/>
              </w:rPr>
            </w:pPr>
            <w:r>
              <w:rPr>
                <w:rFonts w:ascii="Times New Roman"/>
                <w:b w:val="0"/>
                <w:bCs w:val="0"/>
                <w:sz w:val="24"/>
                <w:szCs w:val="24"/>
              </w:rPr>
              <w:t>二、无效标审查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78" w:type="dxa"/>
            <w:noWrap w:val="0"/>
            <w:vAlign w:val="top"/>
          </w:tcPr>
          <w:p>
            <w:pPr>
              <w:pStyle w:val="10"/>
              <w:tabs>
                <w:tab w:val="left" w:pos="0"/>
              </w:tabs>
              <w:ind w:left="9" w:right="-334" w:rightChars="-159"/>
              <w:jc w:val="center"/>
              <w:rPr>
                <w:rFonts w:hint="eastAsia"/>
                <w:b w:val="0"/>
                <w:bCs w:val="0"/>
                <w:sz w:val="24"/>
                <w:szCs w:val="24"/>
                <w:lang w:val="en-US" w:eastAsia="zh-CN"/>
              </w:rPr>
            </w:pPr>
          </w:p>
          <w:p>
            <w:pPr>
              <w:pStyle w:val="10"/>
              <w:tabs>
                <w:tab w:val="left" w:pos="0"/>
              </w:tabs>
              <w:ind w:left="9" w:right="-334" w:rightChars="-159"/>
              <w:jc w:val="center"/>
              <w:rPr>
                <w:rFonts w:hint="eastAsia" w:eastAsia="宋体"/>
                <w:b w:val="0"/>
                <w:bCs w:val="0"/>
                <w:sz w:val="24"/>
                <w:szCs w:val="24"/>
                <w:lang w:val="en-US" w:eastAsia="zh-CN"/>
              </w:rPr>
            </w:pPr>
            <w:r>
              <w:rPr>
                <w:rFonts w:hint="eastAsia"/>
                <w:b w:val="0"/>
                <w:bCs w:val="0"/>
                <w:sz w:val="24"/>
                <w:szCs w:val="24"/>
                <w:lang w:val="en-US" w:eastAsia="zh-CN"/>
              </w:rPr>
              <w:t>1</w:t>
            </w:r>
          </w:p>
        </w:tc>
        <w:tc>
          <w:tcPr>
            <w:tcW w:w="5374" w:type="dxa"/>
            <w:noWrap w:val="0"/>
            <w:vAlign w:val="top"/>
          </w:tcPr>
          <w:p>
            <w:pPr>
              <w:pStyle w:val="10"/>
              <w:tabs>
                <w:tab w:val="left" w:pos="0"/>
              </w:tabs>
              <w:spacing w:before="1" w:line="420" w:lineRule="exact"/>
              <w:ind w:left="108" w:right="34" w:rightChars="16"/>
              <w:rPr>
                <w:b w:val="0"/>
                <w:bCs w:val="0"/>
                <w:sz w:val="24"/>
                <w:szCs w:val="24"/>
              </w:rPr>
            </w:pPr>
            <w:r>
              <w:rPr>
                <w:sz w:val="24"/>
              </w:rPr>
              <w:t>没有出现招标文件中规定的投标无效情况及其他未实质性响应招标文件的情况</w:t>
            </w:r>
          </w:p>
        </w:tc>
        <w:tc>
          <w:tcPr>
            <w:tcW w:w="2687" w:type="dxa"/>
            <w:noWrap w:val="0"/>
            <w:vAlign w:val="top"/>
          </w:tcPr>
          <w:p>
            <w:pPr>
              <w:pStyle w:val="10"/>
              <w:tabs>
                <w:tab w:val="left" w:pos="0"/>
              </w:tabs>
              <w:ind w:left="216" w:leftChars="103" w:right="155" w:rightChars="74" w:firstLine="0" w:firstLineChars="0"/>
              <w:rPr>
                <w:b w:val="0"/>
                <w:bCs w:val="0"/>
                <w:sz w:val="24"/>
                <w:szCs w:val="24"/>
              </w:rPr>
            </w:pPr>
            <w:r>
              <w:rPr>
                <w:b w:val="0"/>
                <w:bCs w:val="0"/>
                <w:sz w:val="24"/>
                <w:szCs w:val="24"/>
              </w:rPr>
              <w:t>（通过或不通过）</w:t>
            </w:r>
          </w:p>
          <w:p>
            <w:pPr>
              <w:pStyle w:val="10"/>
              <w:tabs>
                <w:tab w:val="left" w:pos="0"/>
              </w:tabs>
              <w:ind w:left="216" w:leftChars="103" w:right="155" w:rightChars="74" w:firstLine="0" w:firstLineChars="0"/>
              <w:rPr>
                <w:rFonts w:ascii="Times New Roman"/>
                <w:b w:val="0"/>
                <w:bCs w:val="0"/>
                <w:sz w:val="24"/>
                <w:szCs w:val="24"/>
              </w:rPr>
            </w:pPr>
            <w:r>
              <w:rPr>
                <w:b w:val="0"/>
                <w:bCs w:val="0"/>
                <w:sz w:val="24"/>
                <w:szCs w:val="24"/>
              </w:rPr>
              <w:t>评审专家（签字）</w:t>
            </w:r>
            <w:r>
              <w:rPr>
                <w:rFonts w:hint="eastAsia"/>
                <w:b w:val="0"/>
                <w:bCs w:val="0"/>
                <w:sz w:val="24"/>
                <w:szCs w:val="24"/>
                <w:lang w:eastAsia="zh-CN"/>
              </w:rPr>
              <w:t>：</w:t>
            </w:r>
          </w:p>
        </w:tc>
      </w:tr>
    </w:tbl>
    <w:p>
      <w:pPr>
        <w:pStyle w:val="5"/>
        <w:tabs>
          <w:tab w:val="left" w:pos="0"/>
        </w:tabs>
        <w:spacing w:before="127" w:line="345" w:lineRule="auto"/>
        <w:ind w:left="760" w:right="-334" w:rightChars="-159" w:hanging="32"/>
      </w:pPr>
      <w:r>
        <w:t>（</w:t>
      </w:r>
      <w:r>
        <w:rPr>
          <w:rFonts w:hint="eastAsia"/>
          <w:lang w:val="en-US" w:eastAsia="zh-CN"/>
        </w:rPr>
        <w:t>2</w:t>
      </w:r>
      <w:r>
        <w:t>）详细评分表</w:t>
      </w:r>
    </w:p>
    <w:p>
      <w:pPr>
        <w:pStyle w:val="5"/>
        <w:tabs>
          <w:tab w:val="left" w:pos="0"/>
        </w:tabs>
        <w:spacing w:before="127" w:line="345" w:lineRule="auto"/>
        <w:ind w:right="-334" w:rightChars="-159"/>
      </w:pPr>
      <w:r>
        <w:rPr>
          <w:rFonts w:hint="eastAsia"/>
          <w:lang w:eastAsia="zh-CN"/>
        </w:rPr>
        <w:t>（</w:t>
      </w:r>
      <w:r>
        <w:rPr>
          <w:rFonts w:hint="eastAsia"/>
          <w:lang w:val="en-US" w:eastAsia="zh-CN"/>
        </w:rPr>
        <w:t>2</w:t>
      </w:r>
      <w:r>
        <w:rPr>
          <w:rFonts w:hint="eastAsia"/>
          <w:lang w:eastAsia="zh-CN"/>
        </w:rPr>
        <w:t>）详细</w:t>
      </w:r>
      <w:r>
        <w:t>分标准如下:</w:t>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534"/>
        <w:gridCol w:w="5"/>
        <w:gridCol w:w="6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69" w:type="dxa"/>
            <w:vMerge w:val="restart"/>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534" w:type="dxa"/>
            <w:vMerge w:val="restart"/>
            <w:noWrap w:val="0"/>
            <w:vAlign w:val="center"/>
          </w:tcPr>
          <w:p>
            <w:pPr>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评分内容</w:t>
            </w:r>
          </w:p>
        </w:tc>
        <w:tc>
          <w:tcPr>
            <w:tcW w:w="6265" w:type="dxa"/>
            <w:gridSpan w:val="2"/>
            <w:vMerge w:val="restart"/>
            <w:noWrap w:val="0"/>
            <w:vAlign w:val="center"/>
          </w:tcPr>
          <w:p>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评分参考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69" w:type="dxa"/>
            <w:vMerge w:val="continue"/>
            <w:noWrap w:val="0"/>
            <w:vAlign w:val="center"/>
          </w:tcPr>
          <w:p>
            <w:pPr>
              <w:snapToGrid w:val="0"/>
              <w:spacing w:line="360" w:lineRule="auto"/>
              <w:ind w:left="210"/>
              <w:jc w:val="center"/>
              <w:rPr>
                <w:rFonts w:hint="eastAsia" w:ascii="宋体" w:hAnsi="宋体" w:eastAsia="宋体" w:cs="宋体"/>
                <w:color w:val="auto"/>
                <w:sz w:val="24"/>
                <w:szCs w:val="24"/>
              </w:rPr>
            </w:pPr>
          </w:p>
        </w:tc>
        <w:tc>
          <w:tcPr>
            <w:tcW w:w="2534" w:type="dxa"/>
            <w:vMerge w:val="continue"/>
            <w:noWrap w:val="0"/>
            <w:vAlign w:val="center"/>
          </w:tcPr>
          <w:p>
            <w:pPr>
              <w:snapToGrid w:val="0"/>
              <w:spacing w:line="360" w:lineRule="auto"/>
              <w:ind w:left="210"/>
              <w:jc w:val="center"/>
              <w:rPr>
                <w:rFonts w:hint="eastAsia" w:ascii="宋体" w:hAnsi="宋体" w:eastAsia="宋体" w:cs="宋体"/>
                <w:color w:val="auto"/>
                <w:sz w:val="24"/>
                <w:szCs w:val="24"/>
              </w:rPr>
            </w:pPr>
          </w:p>
        </w:tc>
        <w:tc>
          <w:tcPr>
            <w:tcW w:w="6265" w:type="dxa"/>
            <w:gridSpan w:val="2"/>
            <w:vMerge w:val="continue"/>
            <w:noWrap w:val="0"/>
            <w:vAlign w:val="center"/>
          </w:tcPr>
          <w:p>
            <w:pPr>
              <w:snapToGrid w:val="0"/>
              <w:spacing w:line="360" w:lineRule="auto"/>
              <w:ind w:left="210"/>
              <w:jc w:val="lef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468" w:type="dxa"/>
            <w:gridSpan w:val="4"/>
            <w:noWrap w:val="0"/>
            <w:vAlign w:val="center"/>
          </w:tcPr>
          <w:p>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（一）投标报价（满分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69" w:type="dxa"/>
            <w:vMerge w:val="restart"/>
            <w:noWrap w:val="0"/>
            <w:vAlign w:val="center"/>
          </w:tcPr>
          <w:p>
            <w:pPr>
              <w:snapToGrid w:val="0"/>
              <w:spacing w:line="360" w:lineRule="auto"/>
              <w:ind w:left="23"/>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34" w:type="dxa"/>
            <w:noWrap w:val="0"/>
            <w:vAlign w:val="center"/>
          </w:tcPr>
          <w:p>
            <w:pPr>
              <w:snapToGrid w:val="0"/>
              <w:spacing w:line="360" w:lineRule="auto"/>
              <w:ind w:left="31"/>
              <w:jc w:val="center"/>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投标报价</w:t>
            </w:r>
            <w:r>
              <w:rPr>
                <w:rFonts w:hint="eastAsia" w:ascii="宋体" w:hAnsi="宋体" w:eastAsia="宋体" w:cs="宋体"/>
                <w:b w:val="0"/>
                <w:bCs w:val="0"/>
                <w:color w:val="auto"/>
                <w:sz w:val="24"/>
                <w:szCs w:val="24"/>
                <w:lang w:eastAsia="zh-CN"/>
              </w:rPr>
              <w:t>计算公式</w:t>
            </w:r>
          </w:p>
        </w:tc>
        <w:tc>
          <w:tcPr>
            <w:tcW w:w="6265" w:type="dxa"/>
            <w:gridSpan w:val="2"/>
            <w:noWrap w:val="0"/>
            <w:vAlign w:val="center"/>
          </w:tcPr>
          <w:p>
            <w:pPr>
              <w:numPr>
                <w:ilvl w:val="0"/>
                <w:numId w:val="0"/>
              </w:numPr>
              <w:snapToGrid w:val="0"/>
              <w:spacing w:line="360" w:lineRule="auto"/>
              <w:ind w:leftChars="0"/>
              <w:jc w:val="center"/>
              <w:rPr>
                <w:rFonts w:hint="default" w:eastAsia="宋体"/>
                <w:b w:val="0"/>
                <w:bCs w:val="0"/>
                <w:color w:val="auto"/>
                <w:sz w:val="24"/>
                <w:lang w:val="en-US" w:eastAsia="zh-CN"/>
              </w:rPr>
            </w:pPr>
            <w:r>
              <w:rPr>
                <w:rFonts w:hint="eastAsia" w:ascii="宋体" w:hAnsi="宋体" w:eastAsia="宋体" w:cs="宋体"/>
                <w:b w:val="0"/>
                <w:bCs w:val="0"/>
                <w:color w:val="auto"/>
                <w:sz w:val="24"/>
                <w:szCs w:val="24"/>
              </w:rPr>
              <w:t>价格扣除说明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669" w:type="dxa"/>
            <w:vMerge w:val="continue"/>
            <w:noWrap w:val="0"/>
            <w:vAlign w:val="center"/>
          </w:tcPr>
          <w:p>
            <w:pPr>
              <w:snapToGrid w:val="0"/>
              <w:spacing w:line="360" w:lineRule="auto"/>
              <w:ind w:left="23"/>
              <w:jc w:val="center"/>
              <w:rPr>
                <w:rFonts w:hint="eastAsia" w:ascii="宋体" w:hAnsi="宋体" w:eastAsia="宋体" w:cs="宋体"/>
                <w:color w:val="auto"/>
                <w:sz w:val="24"/>
                <w:szCs w:val="24"/>
              </w:rPr>
            </w:pPr>
          </w:p>
        </w:tc>
        <w:tc>
          <w:tcPr>
            <w:tcW w:w="2534" w:type="dxa"/>
            <w:noWrap w:val="0"/>
            <w:vAlign w:val="center"/>
          </w:tcPr>
          <w:p>
            <w:pPr>
              <w:snapToGrid w:val="0"/>
              <w:spacing w:line="360" w:lineRule="auto"/>
              <w:ind w:left="31" w:lef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投标报价分=（最低有效投标报价/有效投 标报价）×30</w:t>
            </w:r>
          </w:p>
          <w:p>
            <w:pPr>
              <w:snapToGrid w:val="0"/>
              <w:spacing w:line="360" w:lineRule="auto"/>
              <w:ind w:left="31" w:leftChars="0"/>
              <w:jc w:val="center"/>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rPr>
              <w:t>（百分点保留2位小数点，得分保留2位小数点，第3位四舍五入）</w:t>
            </w:r>
          </w:p>
        </w:tc>
        <w:tc>
          <w:tcPr>
            <w:tcW w:w="6265" w:type="dxa"/>
            <w:gridSpan w:val="2"/>
            <w:noWrap w:val="0"/>
            <w:vAlign w:val="center"/>
          </w:tcPr>
          <w:p>
            <w:pPr>
              <w:pStyle w:val="10"/>
              <w:numPr>
                <w:ilvl w:val="0"/>
                <w:numId w:val="0"/>
              </w:numPr>
              <w:tabs>
                <w:tab w:val="left" w:pos="739"/>
              </w:tabs>
              <w:spacing w:before="0" w:after="0" w:line="328" w:lineRule="auto"/>
              <w:ind w:left="0" w:leftChars="0" w:right="116" w:rightChars="0" w:firstLine="0" w:firstLineChars="0"/>
              <w:jc w:val="left"/>
              <w:rPr>
                <w:rFonts w:hint="eastAsia" w:ascii="宋体" w:hAnsi="宋体" w:eastAsia="宋体" w:cs="宋体"/>
                <w:color w:val="auto"/>
                <w:sz w:val="24"/>
                <w:lang w:val="en-US" w:eastAsia="zh-CN"/>
              </w:rPr>
            </w:pPr>
            <w:r>
              <w:rPr>
                <w:rFonts w:hint="eastAsia"/>
                <w:sz w:val="24"/>
                <w:lang w:val="en-US" w:eastAsia="zh-CN"/>
              </w:rPr>
              <w:t>本项目专门面向中小企业采购，请所有投标供应商按照《政府采购促进中小企业发展管理办法》出具规定的《中小企业声明函》。供应商按照《政府采购促进中小企业发展管理办法》规定提供声明函内容不实的，属于提供虚假材料谋取中标、成交，依照《中华人民共和国政府采购法》等国家有关规定追究相应责任）</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468" w:type="dxa"/>
            <w:gridSpan w:val="4"/>
            <w:noWrap w:val="0"/>
            <w:vAlign w:val="center"/>
          </w:tcPr>
          <w:p>
            <w:pPr>
              <w:snapToGrid w:val="0"/>
              <w:spacing w:line="360" w:lineRule="auto"/>
              <w:ind w:left="23"/>
              <w:jc w:val="left"/>
              <w:rPr>
                <w:rFonts w:hint="eastAsia" w:ascii="宋体" w:hAnsi="宋体" w:eastAsia="宋体" w:cs="宋体"/>
                <w:bCs/>
                <w:color w:val="auto"/>
                <w:sz w:val="24"/>
                <w:szCs w:val="24"/>
              </w:rPr>
            </w:pPr>
            <w:r>
              <w:rPr>
                <w:rFonts w:hint="eastAsia" w:ascii="宋体" w:hAnsi="宋体" w:eastAsia="宋体" w:cs="宋体"/>
                <w:color w:val="auto"/>
                <w:sz w:val="24"/>
                <w:szCs w:val="24"/>
              </w:rPr>
              <w:t>二技术部分（满分</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23"/>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施工组织设计（</w:t>
            </w:r>
            <w:r>
              <w:rPr>
                <w:rFonts w:hint="eastAsia" w:ascii="宋体" w:hAnsi="宋体" w:eastAsia="宋体" w:cs="宋体"/>
                <w:bCs/>
                <w:color w:val="auto"/>
                <w:sz w:val="24"/>
                <w:szCs w:val="24"/>
                <w:lang w:val="en-US" w:eastAsia="zh-CN"/>
              </w:rPr>
              <w:t>30</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w:t>
            </w:r>
          </w:p>
        </w:tc>
        <w:tc>
          <w:tcPr>
            <w:tcW w:w="6265" w:type="dxa"/>
            <w:gridSpan w:val="2"/>
            <w:noWrap w:val="0"/>
            <w:vAlign w:val="center"/>
          </w:tcPr>
          <w:p>
            <w:pPr>
              <w:pStyle w:val="6"/>
              <w:spacing w:line="360" w:lineRule="auto"/>
              <w:ind w:firstLine="0" w:firstLineChars="0"/>
              <w:jc w:val="left"/>
              <w:rPr>
                <w:rFonts w:hint="eastAsia"/>
                <w:color w:val="auto"/>
                <w:sz w:val="24"/>
                <w:szCs w:val="24"/>
                <w:lang w:val="en-US" w:eastAsia="zh-CN"/>
              </w:rPr>
            </w:pPr>
            <w:r>
              <w:rPr>
                <w:rFonts w:hint="eastAsia" w:ascii="宋体" w:hAnsi="宋体" w:eastAsia="宋体" w:cs="宋体"/>
                <w:color w:val="auto"/>
                <w:sz w:val="24"/>
                <w:szCs w:val="24"/>
                <w:lang w:eastAsia="zh-CN"/>
              </w:rPr>
              <w:t>施工组织设计</w:t>
            </w:r>
            <w:r>
              <w:rPr>
                <w:rFonts w:hint="eastAsia" w:ascii="宋体" w:hAnsi="宋体" w:eastAsia="宋体" w:cs="宋体"/>
                <w:bCs/>
                <w:color w:val="auto"/>
                <w:sz w:val="24"/>
                <w:szCs w:val="24"/>
                <w:lang w:val="en-US" w:eastAsia="zh-CN"/>
              </w:rPr>
              <w:t>包含以下要点：</w:t>
            </w:r>
            <w:r>
              <w:rPr>
                <w:rFonts w:hint="eastAsia" w:ascii="宋体" w:hAnsi="宋体" w:eastAsia="宋体" w:cs="宋体"/>
                <w:color w:val="auto"/>
                <w:sz w:val="24"/>
                <w:szCs w:val="24"/>
                <w:lang w:val="en-US" w:eastAsia="zh-CN"/>
              </w:rPr>
              <w:t>①</w:t>
            </w:r>
            <w:r>
              <w:rPr>
                <w:rFonts w:hint="eastAsia" w:ascii="宋体" w:hAnsi="宋体" w:eastAsia="宋体" w:cs="宋体"/>
                <w:bCs/>
                <w:color w:val="auto"/>
                <w:sz w:val="24"/>
                <w:szCs w:val="24"/>
                <w:lang w:val="en-US" w:eastAsia="zh-CN"/>
              </w:rPr>
              <w:t>施工方案与技术措施、</w:t>
            </w:r>
            <w:r>
              <w:rPr>
                <w:rFonts w:hint="eastAsia" w:ascii="宋体" w:hAnsi="宋体" w:eastAsia="宋体" w:cs="宋体"/>
                <w:color w:val="auto"/>
                <w:sz w:val="24"/>
                <w:szCs w:val="24"/>
                <w:lang w:val="en-US" w:eastAsia="zh-CN"/>
              </w:rPr>
              <w:t>②</w:t>
            </w:r>
            <w:r>
              <w:rPr>
                <w:rFonts w:hint="eastAsia" w:ascii="宋体" w:hAnsi="宋体" w:eastAsia="宋体" w:cs="宋体"/>
                <w:sz w:val="24"/>
                <w:szCs w:val="24"/>
              </w:rPr>
              <w:t>质量保证措施</w:t>
            </w:r>
            <w:r>
              <w:rPr>
                <w:rFonts w:hint="eastAsia" w:ascii="宋体" w:hAnsi="宋体" w:eastAsia="宋体" w:cs="宋体"/>
                <w:bCs/>
                <w:color w:val="auto"/>
                <w:sz w:val="24"/>
                <w:szCs w:val="24"/>
                <w:lang w:val="en-US" w:eastAsia="zh-CN"/>
              </w:rPr>
              <w:t>、</w:t>
            </w:r>
            <w:r>
              <w:rPr>
                <w:rFonts w:hint="eastAsia" w:ascii="宋体" w:hAnsi="宋体" w:eastAsia="宋体" w:cs="宋体"/>
                <w:color w:val="auto"/>
                <w:sz w:val="24"/>
                <w:szCs w:val="24"/>
                <w:lang w:val="en-US" w:eastAsia="zh-CN"/>
              </w:rPr>
              <w:t>③</w:t>
            </w:r>
            <w:r>
              <w:rPr>
                <w:rFonts w:hint="eastAsia" w:ascii="宋体" w:hAnsi="宋体" w:eastAsia="宋体" w:cs="宋体"/>
                <w:sz w:val="24"/>
                <w:szCs w:val="24"/>
              </w:rPr>
              <w:t>施工总进度</w:t>
            </w:r>
            <w:r>
              <w:rPr>
                <w:rFonts w:hint="eastAsia" w:ascii="宋体" w:hAnsi="宋体" w:eastAsia="宋体" w:cs="宋体"/>
                <w:sz w:val="24"/>
                <w:szCs w:val="24"/>
                <w:lang w:eastAsia="zh-CN"/>
              </w:rPr>
              <w:t>计划</w:t>
            </w:r>
            <w:r>
              <w:rPr>
                <w:rFonts w:hint="eastAsia" w:ascii="宋体" w:hAnsi="宋体" w:eastAsia="宋体" w:cs="宋体"/>
                <w:bCs/>
                <w:color w:val="auto"/>
                <w:sz w:val="24"/>
                <w:szCs w:val="24"/>
                <w:lang w:val="en-US" w:eastAsia="zh-CN"/>
              </w:rPr>
              <w:t>、</w:t>
            </w:r>
            <w:r>
              <w:rPr>
                <w:rFonts w:hint="eastAsia" w:ascii="宋体" w:hAnsi="宋体" w:eastAsia="宋体" w:cs="宋体"/>
                <w:color w:val="auto"/>
                <w:sz w:val="24"/>
                <w:szCs w:val="24"/>
                <w:lang w:val="en-US" w:eastAsia="zh-CN"/>
              </w:rPr>
              <w:t>④</w:t>
            </w:r>
            <w:r>
              <w:rPr>
                <w:rFonts w:hint="eastAsia" w:ascii="宋体" w:hAnsi="宋体" w:eastAsia="宋体" w:cs="宋体"/>
                <w:sz w:val="24"/>
                <w:szCs w:val="24"/>
              </w:rPr>
              <w:t>施工安全措施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⑤</w:t>
            </w:r>
            <w:r>
              <w:rPr>
                <w:rFonts w:hint="eastAsia" w:ascii="宋体" w:hAnsi="宋体" w:eastAsia="宋体" w:cs="宋体"/>
                <w:sz w:val="24"/>
                <w:szCs w:val="24"/>
              </w:rPr>
              <w:t>文明施工措施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⑥</w:t>
            </w:r>
            <w:r>
              <w:rPr>
                <w:rFonts w:hint="eastAsia" w:ascii="宋体" w:hAnsi="宋体" w:eastAsia="宋体" w:cs="宋体"/>
                <w:sz w:val="24"/>
                <w:szCs w:val="24"/>
              </w:rPr>
              <w:t>施工场地治安保卫管理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⑦</w:t>
            </w:r>
            <w:r>
              <w:rPr>
                <w:rFonts w:hint="eastAsia" w:ascii="宋体" w:hAnsi="宋体" w:eastAsia="宋体" w:cs="宋体"/>
                <w:sz w:val="24"/>
                <w:szCs w:val="24"/>
              </w:rPr>
              <w:t>施工环保措施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⑧</w:t>
            </w:r>
            <w:r>
              <w:rPr>
                <w:rFonts w:hint="eastAsia" w:ascii="宋体" w:hAnsi="宋体" w:eastAsia="宋体" w:cs="宋体"/>
                <w:sz w:val="24"/>
                <w:szCs w:val="24"/>
              </w:rPr>
              <w:t>现场组织管理机构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⑨与</w:t>
            </w:r>
            <w:r>
              <w:rPr>
                <w:rFonts w:hint="eastAsia" w:ascii="宋体" w:hAnsi="宋体" w:eastAsia="宋体" w:cs="宋体"/>
                <w:sz w:val="24"/>
                <w:szCs w:val="24"/>
              </w:rPr>
              <w:t>发包人、监理及设计单位的配合</w:t>
            </w:r>
            <w:r>
              <w:rPr>
                <w:rFonts w:hint="eastAsia" w:ascii="宋体" w:hAnsi="宋体" w:eastAsia="宋体" w:cs="宋体"/>
                <w:sz w:val="24"/>
                <w:szCs w:val="24"/>
                <w:lang w:eastAsia="zh-CN"/>
              </w:rPr>
              <w:t>等</w:t>
            </w:r>
            <w:r>
              <w:rPr>
                <w:rFonts w:hint="eastAsia" w:ascii="宋体" w:hAnsi="宋体" w:eastAsia="宋体" w:cs="宋体"/>
                <w:bCs/>
                <w:color w:val="auto"/>
                <w:sz w:val="24"/>
                <w:szCs w:val="24"/>
                <w:lang w:val="en-US" w:eastAsia="zh-CN"/>
              </w:rPr>
              <w:t>方案</w:t>
            </w:r>
            <w:r>
              <w:rPr>
                <w:rFonts w:hint="eastAsia"/>
                <w:color w:val="auto"/>
                <w:sz w:val="24"/>
                <w:szCs w:val="24"/>
                <w:lang w:val="en-US" w:eastAsia="zh-CN"/>
              </w:rPr>
              <w:t>。</w:t>
            </w:r>
          </w:p>
          <w:p>
            <w:pPr>
              <w:pStyle w:val="6"/>
              <w:spacing w:line="360" w:lineRule="auto"/>
              <w:ind w:firstLine="0" w:firstLineChars="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提供包含以上9个要点的</w:t>
            </w:r>
            <w:r>
              <w:rPr>
                <w:rFonts w:hint="eastAsia" w:ascii="宋体" w:hAnsi="宋体" w:eastAsia="宋体" w:cs="宋体"/>
                <w:color w:val="auto"/>
                <w:sz w:val="24"/>
                <w:szCs w:val="24"/>
                <w:lang w:eastAsia="zh-CN"/>
              </w:rPr>
              <w:t>施工组织设计方案</w:t>
            </w:r>
            <w:r>
              <w:rPr>
                <w:rFonts w:hint="eastAsia" w:ascii="宋体" w:hAnsi="宋体" w:eastAsia="宋体" w:cs="宋体"/>
                <w:bCs/>
                <w:color w:val="auto"/>
                <w:sz w:val="24"/>
                <w:szCs w:val="24"/>
                <w:lang w:val="en-US" w:eastAsia="zh-CN"/>
              </w:rPr>
              <w:t>得基本分20分；评标委员会再根据方案的可行性、针对性和合理性进行打分（0—10分），不提供或提供不完整不得分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23"/>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售后保障措施和服务方案（</w:t>
            </w:r>
            <w:r>
              <w:rPr>
                <w:rFonts w:hint="eastAsia" w:ascii="宋体" w:hAnsi="宋体" w:eastAsia="宋体" w:cs="宋体"/>
                <w:color w:val="auto"/>
                <w:sz w:val="24"/>
                <w:szCs w:val="24"/>
                <w:lang w:val="en-US" w:eastAsia="zh-CN"/>
              </w:rPr>
              <w:t>7分</w:t>
            </w:r>
            <w:r>
              <w:rPr>
                <w:rFonts w:hint="eastAsia" w:ascii="宋体" w:hAnsi="宋体" w:eastAsia="宋体" w:cs="宋体"/>
                <w:color w:val="auto"/>
                <w:sz w:val="24"/>
                <w:szCs w:val="24"/>
                <w:lang w:eastAsia="zh-CN"/>
              </w:rPr>
              <w:t>）</w:t>
            </w:r>
          </w:p>
        </w:tc>
        <w:tc>
          <w:tcPr>
            <w:tcW w:w="6265" w:type="dxa"/>
            <w:gridSpan w:val="2"/>
            <w:noWrap w:val="0"/>
            <w:vAlign w:val="center"/>
          </w:tcPr>
          <w:p>
            <w:pPr>
              <w:pStyle w:val="6"/>
              <w:spacing w:line="360" w:lineRule="auto"/>
              <w:ind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售后</w:t>
            </w:r>
            <w:r>
              <w:rPr>
                <w:rFonts w:hint="eastAsia" w:ascii="宋体" w:hAnsi="宋体" w:eastAsia="宋体" w:cs="宋体"/>
                <w:bCs/>
                <w:color w:val="auto"/>
                <w:sz w:val="24"/>
                <w:szCs w:val="24"/>
                <w:lang w:val="en-US" w:eastAsia="zh-CN"/>
              </w:rPr>
              <w:t>保障措施和服务方案包含以下要点：</w:t>
            </w:r>
          </w:p>
          <w:p>
            <w:pPr>
              <w:pStyle w:val="11"/>
              <w:spacing w:line="360" w:lineRule="auto"/>
              <w:jc w:val="left"/>
              <w:rPr>
                <w:rFonts w:hint="eastAsia"/>
                <w:color w:val="auto"/>
                <w:sz w:val="24"/>
                <w:szCs w:val="24"/>
                <w:lang w:val="en-US" w:eastAsia="zh-CN"/>
              </w:rPr>
            </w:pPr>
            <w:r>
              <w:rPr>
                <w:rFonts w:hint="eastAsia" w:ascii="宋体" w:hAnsi="宋体" w:eastAsia="宋体" w:cs="宋体"/>
                <w:bCs/>
                <w:color w:val="auto"/>
                <w:sz w:val="24"/>
                <w:szCs w:val="24"/>
                <w:lang w:val="en-US" w:eastAsia="zh-CN"/>
              </w:rPr>
              <w:t>质量保证期、保修期、响应时间、及相应配合方案</w:t>
            </w:r>
            <w:r>
              <w:rPr>
                <w:rFonts w:hint="eastAsia"/>
                <w:color w:val="auto"/>
                <w:sz w:val="24"/>
                <w:szCs w:val="24"/>
                <w:lang w:val="en-US" w:eastAsia="zh-CN"/>
              </w:rPr>
              <w:t>。</w:t>
            </w:r>
          </w:p>
          <w:p>
            <w:pPr>
              <w:pStyle w:val="11"/>
              <w:spacing w:line="360" w:lineRule="auto"/>
              <w:jc w:val="left"/>
              <w:rPr>
                <w:rFonts w:hint="default" w:hAnsi="宋体" w:eastAsia="宋体" w:cs="宋体"/>
                <w:sz w:val="24"/>
                <w:szCs w:val="24"/>
                <w:lang w:val="en-US" w:eastAsia="zh-CN"/>
              </w:rPr>
            </w:pPr>
            <w:r>
              <w:rPr>
                <w:rFonts w:hint="eastAsia" w:ascii="宋体" w:hAnsi="宋体" w:eastAsia="宋体" w:cs="宋体"/>
                <w:bCs/>
                <w:color w:val="auto"/>
                <w:sz w:val="24"/>
                <w:szCs w:val="24"/>
                <w:lang w:val="en-US" w:eastAsia="zh-CN"/>
              </w:rPr>
              <w:t>评标委员会再根据方案的可行性、针对性和合理性进行打分（0—7分），不提供或提供不完整不得分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6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23" w:left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2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工程运输业务发包承诺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w:t>
            </w:r>
          </w:p>
        </w:tc>
        <w:tc>
          <w:tcPr>
            <w:tcW w:w="6265" w:type="dxa"/>
            <w:gridSpan w:val="2"/>
            <w:noWrap w:val="0"/>
            <w:vAlign w:val="center"/>
          </w:tcPr>
          <w:p>
            <w:pPr>
              <w:pStyle w:val="11"/>
              <w:spacing w:line="360" w:lineRule="auto"/>
              <w:jc w:val="left"/>
              <w:rPr>
                <w:rFonts w:hint="eastAsia" w:ascii="宋体" w:hAnsi="宋体" w:eastAsia="宋体" w:cs="宋体"/>
                <w:color w:val="auto"/>
                <w:sz w:val="24"/>
                <w:szCs w:val="24"/>
                <w:lang w:val="zh-CN"/>
              </w:rPr>
            </w:pPr>
            <w:r>
              <w:rPr>
                <w:rFonts w:hint="eastAsia"/>
                <w:color w:val="auto"/>
                <w:sz w:val="24"/>
                <w:szCs w:val="24"/>
                <w:lang w:val="en-US" w:eastAsia="zh-CN"/>
              </w:rPr>
              <w:t>根据铜仁市人民政府办公室《关于印发铜仁市重型车辆安全专项整治工作方案的通知》（铜府办发电【2017】209号文件）要求，投标供应商在投标文件中明确承诺将工程运输业务发包给有资质和证照齐全、尊章守法的工程运输单位，并纳入诚信建设和文明工地考核得3分，</w:t>
            </w:r>
            <w:r>
              <w:rPr>
                <w:rFonts w:hint="eastAsia" w:ascii="宋体" w:hAnsi="宋体" w:eastAsia="宋体" w:cs="宋体"/>
                <w:bCs/>
                <w:color w:val="auto"/>
                <w:sz w:val="24"/>
                <w:szCs w:val="24"/>
                <w:lang w:val="en-US" w:eastAsia="zh-CN"/>
              </w:rPr>
              <w:t>不提供不得分</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468" w:type="dxa"/>
            <w:gridSpan w:val="4"/>
            <w:noWrap w:val="0"/>
            <w:vAlign w:val="center"/>
          </w:tcPr>
          <w:p>
            <w:pPr>
              <w:snapToGrid w:val="0"/>
              <w:spacing w:line="360" w:lineRule="auto"/>
              <w:ind w:left="57"/>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三．商务部分（</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r>
              <w:rPr>
                <w:rFonts w:hint="eastAsia" w:ascii="宋体" w:hAnsi="宋体" w:eastAsia="宋体" w:cs="宋体"/>
                <w:color w:val="auto"/>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69" w:type="dxa"/>
            <w:noWrap w:val="0"/>
            <w:vAlign w:val="center"/>
          </w:tcPr>
          <w:p>
            <w:pPr>
              <w:snapToGrid w:val="0"/>
              <w:spacing w:line="360" w:lineRule="auto"/>
              <w:ind w:left="23"/>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000000"/>
                <w:sz w:val="24"/>
                <w:szCs w:val="24"/>
              </w:rPr>
              <w:t>拟投入本项目</w:t>
            </w:r>
            <w:r>
              <w:rPr>
                <w:rFonts w:hint="eastAsia" w:ascii="宋体" w:hAnsi="宋体" w:eastAsia="宋体" w:cs="宋体"/>
                <w:color w:val="000000"/>
                <w:sz w:val="24"/>
                <w:szCs w:val="24"/>
                <w:lang w:eastAsia="zh-CN"/>
              </w:rPr>
              <w:t>管理</w:t>
            </w:r>
            <w:r>
              <w:rPr>
                <w:rFonts w:hint="eastAsia" w:ascii="宋体" w:hAnsi="宋体" w:eastAsia="宋体" w:cs="宋体"/>
                <w:color w:val="000000"/>
                <w:sz w:val="24"/>
                <w:szCs w:val="24"/>
              </w:rPr>
              <w:t>人员</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lang w:val="en-US" w:eastAsia="zh-CN"/>
              </w:rPr>
              <w:t>18</w:t>
            </w:r>
            <w:r>
              <w:rPr>
                <w:rFonts w:hint="eastAsia" w:ascii="宋体" w:hAnsi="宋体" w:eastAsia="宋体" w:cs="宋体"/>
                <w:bCs/>
                <w:color w:val="auto"/>
                <w:sz w:val="24"/>
                <w:szCs w:val="24"/>
              </w:rPr>
              <w:t>分</w:t>
            </w:r>
            <w:r>
              <w:rPr>
                <w:rFonts w:hint="eastAsia" w:ascii="宋体" w:hAnsi="宋体" w:eastAsia="宋体" w:cs="宋体"/>
                <w:bCs/>
                <w:color w:val="auto"/>
                <w:sz w:val="24"/>
                <w:szCs w:val="24"/>
                <w:lang w:eastAsia="zh-CN"/>
              </w:rPr>
              <w:t>）</w:t>
            </w:r>
          </w:p>
        </w:tc>
        <w:tc>
          <w:tcPr>
            <w:tcW w:w="6265" w:type="dxa"/>
            <w:gridSpan w:val="2"/>
            <w:noWrap w:val="0"/>
            <w:vAlign w:val="center"/>
          </w:tcPr>
          <w:p>
            <w:pPr>
              <w:pStyle w:val="4"/>
              <w:pageBreakBefore w:val="0"/>
              <w:widowControl w:val="0"/>
              <w:numPr>
                <w:ilvl w:val="0"/>
                <w:numId w:val="0"/>
              </w:numPr>
              <w:kinsoku/>
              <w:wordWrap/>
              <w:overflowPunct/>
              <w:bidi w:val="0"/>
              <w:adjustRightInd w:val="0"/>
              <w:snapToGrid w:val="0"/>
              <w:spacing w:before="0" w:after="0" w:line="360" w:lineRule="auto"/>
              <w:ind w:left="0" w:leftChars="0" w:right="-50" w:rightChars="-24" w:firstLine="0" w:firstLineChars="0"/>
              <w:jc w:val="left"/>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rPr>
              <w:t>项目负责人：具备建筑工程专业二级注册建造师执业资格，具备有效的安全生产考核合格证书，得</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分；同时具有</w:t>
            </w:r>
            <w:r>
              <w:rPr>
                <w:rFonts w:hint="eastAsia" w:ascii="宋体" w:hAnsi="宋体" w:eastAsia="宋体" w:cs="宋体"/>
                <w:color w:val="000000"/>
                <w:sz w:val="24"/>
                <w:szCs w:val="24"/>
                <w:lang w:val="zh-CN" w:eastAsia="zh-CN"/>
              </w:rPr>
              <w:t>中级或以上</w:t>
            </w:r>
            <w:r>
              <w:rPr>
                <w:rFonts w:hint="eastAsia" w:ascii="宋体" w:hAnsi="宋体" w:eastAsia="宋体" w:cs="宋体"/>
                <w:color w:val="000000"/>
                <w:sz w:val="24"/>
                <w:szCs w:val="24"/>
                <w:lang w:val="zh-CN"/>
              </w:rPr>
              <w:t>职称加</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分，本项满分</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val="zh-CN"/>
              </w:rPr>
              <w:t>；</w:t>
            </w:r>
          </w:p>
          <w:p>
            <w:pPr>
              <w:pageBreakBefore w:val="0"/>
              <w:widowControl w:val="0"/>
              <w:kinsoku/>
              <w:wordWrap/>
              <w:overflowPunct/>
              <w:bidi w:val="0"/>
              <w:adjustRightInd w:val="0"/>
              <w:snapToGrid w:val="0"/>
              <w:spacing w:line="360" w:lineRule="auto"/>
              <w:ind w:left="0" w:leftChars="0" w:right="-50" w:rightChars="-24" w:firstLine="0" w:firstLineChars="0"/>
              <w:jc w:val="left"/>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技术负责人</w:t>
            </w:r>
            <w:r>
              <w:rPr>
                <w:rFonts w:hint="eastAsia" w:ascii="宋体" w:hAnsi="宋体" w:eastAsia="宋体" w:cs="宋体"/>
                <w:color w:val="000000"/>
                <w:sz w:val="24"/>
                <w:szCs w:val="24"/>
                <w:lang w:eastAsia="zh-CN"/>
              </w:rPr>
              <w:t>：具有中级</w:t>
            </w:r>
            <w:r>
              <w:rPr>
                <w:rFonts w:hint="eastAsia" w:ascii="宋体" w:hAnsi="宋体" w:eastAsia="宋体" w:cs="宋体"/>
                <w:color w:val="000000"/>
                <w:sz w:val="24"/>
                <w:szCs w:val="24"/>
              </w:rPr>
              <w:t>职称</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2分，</w:t>
            </w:r>
            <w:r>
              <w:rPr>
                <w:rFonts w:hint="eastAsia" w:ascii="宋体" w:hAnsi="宋体" w:eastAsia="宋体" w:cs="宋体"/>
                <w:color w:val="000000"/>
                <w:sz w:val="24"/>
                <w:szCs w:val="24"/>
                <w:lang w:eastAsia="zh-CN"/>
              </w:rPr>
              <w:t>具有高级</w:t>
            </w:r>
            <w:r>
              <w:rPr>
                <w:rFonts w:hint="eastAsia" w:ascii="宋体" w:hAnsi="宋体" w:eastAsia="宋体" w:cs="宋体"/>
                <w:color w:val="000000"/>
                <w:sz w:val="24"/>
                <w:szCs w:val="24"/>
              </w:rPr>
              <w:t>职称</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3分，本项满分3分</w:t>
            </w:r>
            <w:r>
              <w:rPr>
                <w:rFonts w:hint="eastAsia" w:ascii="宋体" w:hAnsi="宋体" w:eastAsia="宋体" w:cs="宋体"/>
                <w:color w:val="000000"/>
                <w:sz w:val="24"/>
                <w:szCs w:val="24"/>
              </w:rPr>
              <w:t>。</w:t>
            </w:r>
          </w:p>
          <w:p>
            <w:pPr>
              <w:pStyle w:val="4"/>
              <w:pageBreakBefore w:val="0"/>
              <w:widowControl w:val="0"/>
              <w:numPr>
                <w:ilvl w:val="0"/>
                <w:numId w:val="0"/>
              </w:numPr>
              <w:kinsoku/>
              <w:wordWrap/>
              <w:overflowPunct/>
              <w:bidi w:val="0"/>
              <w:adjustRightInd w:val="0"/>
              <w:snapToGrid w:val="0"/>
              <w:spacing w:before="0" w:after="0" w:line="360" w:lineRule="auto"/>
              <w:ind w:left="0" w:leftChars="0" w:right="-50" w:rightChars="-24" w:firstLine="0" w:firstLineChars="0"/>
              <w:jc w:val="lef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zh-CN"/>
              </w:rPr>
              <w:t>其他主要人员（施工员1人，质量员1人，安全员</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rPr>
              <w:t>人，材料员1人，资料员1人）：全有计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val="zh-CN"/>
              </w:rPr>
              <w:t>分，每少一员扣</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rPr>
              <w:t>分，扣完为止</w:t>
            </w:r>
            <w:r>
              <w:rPr>
                <w:rFonts w:hint="eastAsia" w:ascii="宋体" w:hAnsi="宋体" w:eastAsia="宋体" w:cs="宋体"/>
                <w:color w:val="000000"/>
                <w:sz w:val="24"/>
                <w:szCs w:val="24"/>
                <w:lang w:val="zh-CN" w:eastAsia="zh-CN"/>
              </w:rPr>
              <w:t>，满分</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lang w:val="zh-CN" w:eastAsia="zh-CN"/>
              </w:rPr>
              <w:t>分。</w:t>
            </w:r>
          </w:p>
          <w:p>
            <w:pPr>
              <w:pStyle w:val="11"/>
              <w:spacing w:line="360" w:lineRule="auto"/>
              <w:jc w:val="left"/>
              <w:rPr>
                <w:rFonts w:hint="eastAsia"/>
                <w:color w:val="auto"/>
                <w:spacing w:val="-1"/>
                <w:sz w:val="24"/>
                <w:lang w:val="zh-CN" w:eastAsia="zh-CN"/>
              </w:rPr>
            </w:pPr>
            <w:r>
              <w:rPr>
                <w:rFonts w:hint="eastAsia" w:ascii="宋体" w:hAnsi="宋体" w:eastAsia="宋体" w:cs="宋体"/>
                <w:b w:val="0"/>
                <w:bCs w:val="0"/>
                <w:color w:val="000000"/>
                <w:sz w:val="24"/>
                <w:szCs w:val="24"/>
                <w:lang w:val="zh-CN" w:eastAsia="zh-CN"/>
              </w:rPr>
              <w:t>注：</w:t>
            </w:r>
            <w:r>
              <w:rPr>
                <w:rFonts w:hint="eastAsia" w:ascii="宋体" w:hAnsi="宋体" w:eastAsia="宋体" w:cs="宋体"/>
                <w:color w:val="auto"/>
                <w:sz w:val="24"/>
                <w:szCs w:val="24"/>
                <w:lang w:val="en-US" w:eastAsia="zh-CN"/>
              </w:rPr>
              <w:t>上述注册证、职称证、岗位证、考核证等证件上的单位应与投标人单位一致，如与投标人单位不一致的，由发证单位提供正在变更的证明，否则视为非本单位人员。岗位证未注明单位的，由投标人单位提供缴纳养老保险为准。职称证的单位与投标人单位不一致或未注明单位的，由投标人单位提供劳动合同或缴纳养老保险的复印件为准，如有其他特殊情况，应提供上级主管部门出具的有效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669" w:type="dxa"/>
            <w:noWrap w:val="0"/>
            <w:vAlign w:val="center"/>
          </w:tcPr>
          <w:p>
            <w:pPr>
              <w:snapToGrid w:val="0"/>
              <w:spacing w:line="360" w:lineRule="auto"/>
              <w:ind w:left="23"/>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34" w:type="dxa"/>
            <w:noWrap w:val="0"/>
            <w:vAlign w:val="center"/>
          </w:tcPr>
          <w:p>
            <w:pPr>
              <w:keepNext w:val="0"/>
              <w:keepLines w:val="0"/>
              <w:widowControl/>
              <w:suppressLineNumbers w:val="0"/>
              <w:jc w:val="center"/>
              <w:rPr>
                <w:rFonts w:hint="eastAsia" w:eastAsia="宋体"/>
                <w:color w:val="auto"/>
                <w:lang w:eastAsia="zh-CN"/>
              </w:rPr>
            </w:pPr>
            <w:r>
              <w:rPr>
                <w:b w:val="0"/>
                <w:bCs/>
                <w:color w:val="auto"/>
                <w:sz w:val="24"/>
              </w:rPr>
              <w:t>企业</w:t>
            </w:r>
            <w:r>
              <w:rPr>
                <w:rFonts w:hint="eastAsia"/>
                <w:b w:val="0"/>
                <w:bCs/>
                <w:color w:val="auto"/>
                <w:sz w:val="24"/>
                <w:lang w:eastAsia="zh-CN"/>
              </w:rPr>
              <w:t>业绩</w:t>
            </w:r>
          </w:p>
          <w:p>
            <w:pPr>
              <w:keepNext w:val="0"/>
              <w:keepLines w:val="0"/>
              <w:pageBreakBefore w:val="0"/>
              <w:widowControl w:val="0"/>
              <w:kinsoku/>
              <w:wordWrap/>
              <w:overflowPunct/>
              <w:topLinePunct w:val="0"/>
              <w:autoSpaceDE/>
              <w:autoSpaceDN/>
              <w:bidi w:val="0"/>
              <w:adjustRightInd w:val="0"/>
              <w:snapToGrid w:val="0"/>
              <w:spacing w:line="360" w:lineRule="auto"/>
              <w:ind w:left="31"/>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6265" w:type="dxa"/>
            <w:gridSpan w:val="2"/>
            <w:noWrap w:val="0"/>
            <w:vAlign w:val="center"/>
          </w:tcPr>
          <w:p>
            <w:pPr>
              <w:pStyle w:val="10"/>
              <w:spacing w:before="75" w:line="328" w:lineRule="auto"/>
              <w:ind w:left="108" w:right="75"/>
              <w:jc w:val="left"/>
              <w:rPr>
                <w:rFonts w:hint="eastAsia"/>
                <w:color w:val="auto"/>
                <w:sz w:val="24"/>
                <w:lang w:val="zh-CN" w:eastAsia="zh-CN"/>
              </w:rPr>
            </w:pPr>
            <w:r>
              <w:rPr>
                <w:rFonts w:hint="eastAsia" w:ascii="宋体" w:hAnsi="宋体" w:eastAsia="宋体" w:cs="宋体"/>
                <w:sz w:val="24"/>
                <w:szCs w:val="24"/>
                <w:lang w:eastAsia="zh-CN"/>
              </w:rPr>
              <w:t>提供</w:t>
            </w:r>
            <w:r>
              <w:rPr>
                <w:rFonts w:hint="eastAsia" w:ascii="宋体" w:hAnsi="宋体" w:eastAsia="宋体" w:cs="宋体"/>
                <w:sz w:val="24"/>
                <w:szCs w:val="24"/>
              </w:rPr>
              <w:t>近三年（20</w:t>
            </w:r>
            <w:r>
              <w:rPr>
                <w:rFonts w:hint="eastAsia" w:ascii="宋体" w:hAnsi="宋体" w:eastAsia="宋体" w:cs="宋体"/>
                <w:sz w:val="24"/>
                <w:szCs w:val="24"/>
                <w:lang w:val="en-US" w:eastAsia="zh-CN"/>
              </w:rPr>
              <w:t>19</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月1日至今）</w:t>
            </w:r>
            <w:r>
              <w:rPr>
                <w:rFonts w:hint="eastAsia" w:ascii="宋体" w:hAnsi="宋体" w:eastAsia="宋体" w:cs="宋体"/>
                <w:sz w:val="24"/>
                <w:szCs w:val="24"/>
                <w:lang w:eastAsia="zh-CN"/>
              </w:rPr>
              <w:t>类似工程业绩一个得</w:t>
            </w:r>
            <w:r>
              <w:rPr>
                <w:rFonts w:hint="eastAsia" w:ascii="宋体" w:hAnsi="宋体" w:eastAsia="宋体" w:cs="宋体"/>
                <w:sz w:val="24"/>
                <w:szCs w:val="24"/>
                <w:lang w:val="en-US" w:eastAsia="zh-CN"/>
              </w:rPr>
              <w:t>3分，本项满分6分。</w:t>
            </w:r>
            <w:r>
              <w:rPr>
                <w:rFonts w:hint="eastAsia" w:ascii="宋体" w:hAnsi="宋体" w:eastAsia="宋体" w:cs="宋体"/>
                <w:sz w:val="24"/>
                <w:szCs w:val="24"/>
              </w:rPr>
              <w:t>（证明材料：以中标通知书</w:t>
            </w:r>
            <w:r>
              <w:rPr>
                <w:rFonts w:hint="eastAsia" w:ascii="宋体" w:hAnsi="宋体" w:eastAsia="宋体" w:cs="宋体"/>
                <w:sz w:val="24"/>
                <w:szCs w:val="24"/>
                <w:lang w:eastAsia="zh-CN"/>
              </w:rPr>
              <w:t>或</w:t>
            </w:r>
            <w:r>
              <w:rPr>
                <w:rFonts w:hint="eastAsia" w:ascii="宋体" w:hAnsi="宋体" w:eastAsia="宋体" w:cs="宋体"/>
                <w:sz w:val="24"/>
                <w:szCs w:val="24"/>
              </w:rPr>
              <w:t>合同协议书、工程竣工验收证书（或工程接收证书或工程竣工验收备案表）的复印件为准。）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69" w:type="dxa"/>
            <w:noWrap w:val="0"/>
            <w:vAlign w:val="center"/>
          </w:tcPr>
          <w:p>
            <w:pPr>
              <w:pStyle w:val="10"/>
              <w:spacing w:line="328" w:lineRule="auto"/>
              <w:ind w:left="108" w:leftChars="0" w:right="85" w:rightChars="0"/>
              <w:jc w:val="center"/>
              <w:rPr>
                <w:rFonts w:hint="default" w:eastAsia="宋体"/>
                <w:color w:val="auto"/>
                <w:sz w:val="24"/>
                <w:lang w:val="en-US" w:eastAsia="zh-CN"/>
              </w:rPr>
            </w:pPr>
            <w:r>
              <w:rPr>
                <w:rFonts w:hint="eastAsia" w:eastAsia="宋体"/>
                <w:color w:val="auto"/>
                <w:sz w:val="24"/>
                <w:lang w:val="en-US" w:eastAsia="zh-CN"/>
              </w:rPr>
              <w:t>3</w:t>
            </w:r>
          </w:p>
        </w:tc>
        <w:tc>
          <w:tcPr>
            <w:tcW w:w="25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default" w:eastAsia="宋体"/>
                <w:color w:val="auto"/>
                <w:sz w:val="24"/>
                <w:lang w:val="en-US" w:eastAsia="zh-CN"/>
              </w:rPr>
            </w:pPr>
            <w:r>
              <w:rPr>
                <w:rFonts w:hint="eastAsia"/>
                <w:lang w:eastAsia="zh-CN"/>
              </w:rPr>
              <w:t>企业信誉</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tc>
        <w:tc>
          <w:tcPr>
            <w:tcW w:w="6260" w:type="dxa"/>
            <w:noWrap w:val="0"/>
            <w:vAlign w:val="center"/>
          </w:tcPr>
          <w:p>
            <w:pPr>
              <w:pStyle w:val="10"/>
              <w:spacing w:line="328" w:lineRule="auto"/>
              <w:ind w:left="108" w:leftChars="0" w:right="85" w:rightChars="0"/>
              <w:jc w:val="left"/>
              <w:rPr>
                <w:rFonts w:hint="default" w:eastAsia="宋体"/>
                <w:color w:val="auto"/>
                <w:sz w:val="24"/>
                <w:lang w:val="en-US" w:eastAsia="zh-CN"/>
              </w:rPr>
            </w:pPr>
            <w:r>
              <w:rPr>
                <w:rFonts w:hint="eastAsia" w:ascii="宋体" w:hAnsi="宋体" w:eastAsia="宋体" w:cs="宋体"/>
                <w:sz w:val="24"/>
                <w:szCs w:val="24"/>
                <w:lang w:eastAsia="zh-CN"/>
              </w:rPr>
              <w:t>投标人具有经认证机构颁发的 ISO9001质量管理体系认证、职业健康安全管理体系认证和ISO14001环境管理体系认证，提供一个认证得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分，满分</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9468" w:type="dxa"/>
            <w:gridSpan w:val="4"/>
            <w:noWrap w:val="0"/>
            <w:vAlign w:val="center"/>
          </w:tcPr>
          <w:p>
            <w:pPr>
              <w:pStyle w:val="10"/>
              <w:spacing w:line="328" w:lineRule="auto"/>
              <w:ind w:left="108" w:leftChars="0" w:right="85" w:rightChars="0"/>
              <w:jc w:val="left"/>
              <w:rPr>
                <w:rFonts w:hint="eastAsia"/>
                <w:color w:val="auto"/>
                <w:sz w:val="24"/>
                <w:lang w:eastAsia="zh-CN"/>
              </w:rPr>
            </w:pPr>
            <w:r>
              <w:rPr>
                <w:rFonts w:hint="eastAsia"/>
                <w:color w:val="auto"/>
                <w:sz w:val="24"/>
                <w:lang w:eastAsia="zh-CN"/>
              </w:rPr>
              <w:t>合计分值：</w:t>
            </w:r>
            <w:r>
              <w:rPr>
                <w:rFonts w:hint="eastAsia"/>
                <w:color w:val="auto"/>
                <w:sz w:val="24"/>
                <w:lang w:val="en-US" w:eastAsia="zh-CN"/>
              </w:rPr>
              <w:t>100分</w:t>
            </w:r>
          </w:p>
        </w:tc>
      </w:tr>
    </w:tbl>
    <w:p>
      <w:pPr>
        <w:pStyle w:val="9"/>
        <w:numPr>
          <w:ilvl w:val="0"/>
          <w:numId w:val="0"/>
        </w:numPr>
        <w:tabs>
          <w:tab w:val="left" w:pos="943"/>
        </w:tabs>
        <w:spacing w:before="2" w:after="0" w:line="240" w:lineRule="auto"/>
        <w:ind w:leftChars="200" w:right="0" w:rightChars="0" w:firstLine="241" w:firstLineChars="100"/>
        <w:jc w:val="left"/>
        <w:rPr>
          <w:rFonts w:hint="eastAsia"/>
          <w:b/>
          <w:sz w:val="24"/>
          <w:lang w:val="en-US" w:eastAsia="zh-CN"/>
        </w:rPr>
      </w:pPr>
    </w:p>
    <w:p>
      <w:pPr>
        <w:pStyle w:val="9"/>
        <w:numPr>
          <w:ilvl w:val="0"/>
          <w:numId w:val="0"/>
        </w:numPr>
        <w:tabs>
          <w:tab w:val="left" w:pos="943"/>
        </w:tabs>
        <w:spacing w:before="0" w:after="0" w:line="360" w:lineRule="auto"/>
        <w:ind w:right="0" w:rightChars="0" w:firstLine="241" w:firstLineChars="100"/>
        <w:jc w:val="left"/>
        <w:rPr>
          <w:rFonts w:hint="eastAsia" w:ascii="宋体" w:hAnsi="宋体" w:eastAsia="宋体" w:cs="宋体"/>
          <w:b/>
          <w:sz w:val="24"/>
          <w:szCs w:val="24"/>
        </w:rPr>
      </w:pPr>
      <w:r>
        <w:rPr>
          <w:rFonts w:hint="eastAsia" w:ascii="宋体" w:hAnsi="宋体" w:eastAsia="宋体" w:cs="宋体"/>
          <w:b/>
          <w:sz w:val="24"/>
          <w:szCs w:val="24"/>
          <w:lang w:val="en-US" w:eastAsia="zh-CN"/>
        </w:rPr>
        <w:t>3.3</w:t>
      </w:r>
      <w:r>
        <w:rPr>
          <w:rFonts w:hint="eastAsia" w:ascii="宋体" w:hAnsi="宋体" w:eastAsia="宋体" w:cs="宋体"/>
          <w:b/>
          <w:sz w:val="24"/>
          <w:szCs w:val="24"/>
        </w:rPr>
        <w:t>评标总得分计算方法：</w:t>
      </w:r>
    </w:p>
    <w:p>
      <w:pPr>
        <w:pStyle w:val="3"/>
        <w:spacing w:before="151" w:line="360" w:lineRule="auto"/>
        <w:ind w:right="84" w:rightChars="40"/>
        <w:rPr>
          <w:rFonts w:hint="eastAsia" w:ascii="宋体" w:hAnsi="宋体" w:eastAsia="宋体" w:cs="宋体"/>
          <w:sz w:val="24"/>
          <w:szCs w:val="24"/>
        </w:rPr>
      </w:pPr>
      <w:r>
        <w:rPr>
          <w:rFonts w:hint="eastAsia" w:ascii="宋体" w:hAnsi="宋体" w:eastAsia="宋体" w:cs="宋体"/>
          <w:spacing w:val="-1"/>
          <w:sz w:val="24"/>
          <w:szCs w:val="24"/>
          <w:lang w:val="en-US" w:eastAsia="zh-CN"/>
        </w:rPr>
        <w:t>3.3.1</w:t>
      </w:r>
      <w:r>
        <w:rPr>
          <w:rFonts w:hint="eastAsia" w:ascii="宋体" w:hAnsi="宋体" w:eastAsia="宋体" w:cs="宋体"/>
          <w:spacing w:val="-1"/>
          <w:sz w:val="24"/>
          <w:szCs w:val="24"/>
        </w:rPr>
        <w:t>对所有实质响应性投标文件进行技术、商务、价格、政府采购优惠政策打分。</w:t>
      </w:r>
    </w:p>
    <w:p>
      <w:pPr>
        <w:pStyle w:val="6"/>
        <w:snapToGrid w:val="0"/>
        <w:spacing w:line="360" w:lineRule="auto"/>
        <w:ind w:firstLine="0"/>
        <w:jc w:val="center"/>
        <w:rPr>
          <w:rFonts w:hint="eastAsia" w:ascii="宋体" w:hAnsi="宋体" w:eastAsia="宋体" w:cs="宋体"/>
          <w:spacing w:val="-10"/>
          <w:sz w:val="24"/>
          <w:szCs w:val="24"/>
        </w:rPr>
      </w:pPr>
    </w:p>
    <w:p>
      <w:pPr>
        <w:pStyle w:val="6"/>
        <w:snapToGrid w:val="0"/>
        <w:spacing w:line="360" w:lineRule="auto"/>
        <w:ind w:firstLine="0"/>
        <w:jc w:val="left"/>
        <w:rPr>
          <w:rFonts w:hint="eastAsia" w:ascii="宋体" w:hAnsi="宋体" w:eastAsia="宋体" w:cs="宋体"/>
          <w:sz w:val="24"/>
          <w:szCs w:val="24"/>
        </w:rPr>
      </w:pPr>
      <w:r>
        <w:rPr>
          <w:rFonts w:hint="eastAsia" w:ascii="宋体" w:hAnsi="宋体" w:eastAsia="宋体" w:cs="宋体"/>
          <w:spacing w:val="-10"/>
          <w:sz w:val="24"/>
          <w:szCs w:val="24"/>
          <w:lang w:val="en-US" w:eastAsia="zh-CN"/>
        </w:rPr>
        <w:t>3.3.2</w:t>
      </w:r>
      <w:r>
        <w:rPr>
          <w:rFonts w:hint="eastAsia" w:ascii="宋体" w:hAnsi="宋体" w:eastAsia="宋体" w:cs="宋体"/>
          <w:spacing w:val="-10"/>
          <w:sz w:val="24"/>
          <w:szCs w:val="24"/>
        </w:rPr>
        <w:t>中标原则：评标委员会根据计算各有效投标供应商的最终得分由高到低排名向采购人推荐</w:t>
      </w:r>
      <w:r>
        <w:rPr>
          <w:rFonts w:hint="eastAsia" w:ascii="宋体" w:hAnsi="宋体" w:eastAsia="宋体" w:cs="宋体"/>
          <w:sz w:val="24"/>
          <w:szCs w:val="24"/>
        </w:rPr>
        <w:t>前三名中标候选人，采购人按照</w:t>
      </w:r>
      <w:r>
        <w:rPr>
          <w:rFonts w:hint="eastAsia" w:ascii="宋体" w:hAnsi="宋体" w:eastAsia="宋体" w:cs="宋体"/>
          <w:sz w:val="24"/>
          <w:szCs w:val="24"/>
          <w:lang w:eastAsia="zh-CN"/>
        </w:rPr>
        <w:t>政府采购相关要求，</w:t>
      </w:r>
      <w:r>
        <w:rPr>
          <w:rFonts w:hint="eastAsia" w:ascii="宋体" w:hAnsi="宋体" w:eastAsia="宋体" w:cs="宋体"/>
          <w:sz w:val="24"/>
          <w:szCs w:val="24"/>
        </w:rPr>
        <w:t>确定</w:t>
      </w:r>
      <w:r>
        <w:rPr>
          <w:rFonts w:hint="eastAsia" w:ascii="宋体" w:hAnsi="宋体" w:eastAsia="宋体" w:cs="宋体"/>
          <w:sz w:val="24"/>
          <w:szCs w:val="24"/>
          <w:lang w:eastAsia="zh-CN"/>
        </w:rPr>
        <w:t>得分最高的供应商为</w:t>
      </w:r>
      <w:r>
        <w:rPr>
          <w:rFonts w:hint="eastAsia" w:ascii="宋体" w:hAnsi="宋体" w:eastAsia="宋体" w:cs="宋体"/>
          <w:sz w:val="24"/>
          <w:szCs w:val="24"/>
        </w:rPr>
        <w:t>中标供应商。</w:t>
      </w:r>
    </w:p>
    <w:bookmarkEnd w:id="0"/>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3350"/>
    <w:multiLevelType w:val="multilevel"/>
    <w:tmpl w:val="B53F3350"/>
    <w:lvl w:ilvl="0" w:tentative="0">
      <w:start w:val="1"/>
      <w:numFmt w:val="decimal"/>
      <w:lvlText w:val="%1"/>
      <w:lvlJc w:val="left"/>
      <w:pPr>
        <w:ind w:left="942" w:hanging="423"/>
        <w:jc w:val="left"/>
      </w:pPr>
      <w:rPr>
        <w:rFonts w:hint="default"/>
        <w:lang w:val="zh-CN" w:eastAsia="zh-CN" w:bidi="zh-CN"/>
      </w:rPr>
    </w:lvl>
    <w:lvl w:ilvl="1" w:tentative="0">
      <w:start w:val="1"/>
      <w:numFmt w:val="decimal"/>
      <w:lvlText w:val="%1.%2"/>
      <w:lvlJc w:val="left"/>
      <w:pPr>
        <w:ind w:left="942" w:hanging="423"/>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598" w:hanging="660"/>
        <w:jc w:val="left"/>
      </w:pPr>
      <w:rPr>
        <w:rFonts w:hint="default"/>
        <w:w w:val="100"/>
        <w:lang w:val="zh-CN" w:eastAsia="zh-CN" w:bidi="zh-CN"/>
      </w:rPr>
    </w:lvl>
    <w:lvl w:ilvl="3" w:tentative="0">
      <w:start w:val="0"/>
      <w:numFmt w:val="bullet"/>
      <w:lvlText w:val="•"/>
      <w:lvlJc w:val="left"/>
      <w:pPr>
        <w:ind w:left="3528" w:hanging="660"/>
      </w:pPr>
      <w:rPr>
        <w:rFonts w:hint="default"/>
        <w:lang w:val="zh-CN" w:eastAsia="zh-CN" w:bidi="zh-CN"/>
      </w:rPr>
    </w:lvl>
    <w:lvl w:ilvl="4" w:tentative="0">
      <w:start w:val="0"/>
      <w:numFmt w:val="bullet"/>
      <w:lvlText w:val="•"/>
      <w:lvlJc w:val="left"/>
      <w:pPr>
        <w:ind w:left="4602" w:hanging="660"/>
      </w:pPr>
      <w:rPr>
        <w:rFonts w:hint="default"/>
        <w:lang w:val="zh-CN" w:eastAsia="zh-CN" w:bidi="zh-CN"/>
      </w:rPr>
    </w:lvl>
    <w:lvl w:ilvl="5" w:tentative="0">
      <w:start w:val="0"/>
      <w:numFmt w:val="bullet"/>
      <w:lvlText w:val="•"/>
      <w:lvlJc w:val="left"/>
      <w:pPr>
        <w:ind w:left="5676" w:hanging="660"/>
      </w:pPr>
      <w:rPr>
        <w:rFonts w:hint="default"/>
        <w:lang w:val="zh-CN" w:eastAsia="zh-CN" w:bidi="zh-CN"/>
      </w:rPr>
    </w:lvl>
    <w:lvl w:ilvl="6" w:tentative="0">
      <w:start w:val="0"/>
      <w:numFmt w:val="bullet"/>
      <w:lvlText w:val="•"/>
      <w:lvlJc w:val="left"/>
      <w:pPr>
        <w:ind w:left="6750" w:hanging="660"/>
      </w:pPr>
      <w:rPr>
        <w:rFonts w:hint="default"/>
        <w:lang w:val="zh-CN" w:eastAsia="zh-CN" w:bidi="zh-CN"/>
      </w:rPr>
    </w:lvl>
    <w:lvl w:ilvl="7" w:tentative="0">
      <w:start w:val="0"/>
      <w:numFmt w:val="bullet"/>
      <w:lvlText w:val="•"/>
      <w:lvlJc w:val="left"/>
      <w:pPr>
        <w:ind w:left="7824" w:hanging="660"/>
      </w:pPr>
      <w:rPr>
        <w:rFonts w:hint="default"/>
        <w:lang w:val="zh-CN" w:eastAsia="zh-CN" w:bidi="zh-CN"/>
      </w:rPr>
    </w:lvl>
    <w:lvl w:ilvl="8" w:tentative="0">
      <w:start w:val="0"/>
      <w:numFmt w:val="bullet"/>
      <w:lvlText w:val="•"/>
      <w:lvlJc w:val="left"/>
      <w:pPr>
        <w:ind w:left="8898" w:hanging="660"/>
      </w:pPr>
      <w:rPr>
        <w:rFonts w:hint="default"/>
        <w:lang w:val="zh-CN" w:eastAsia="zh-CN" w:bidi="zh-CN"/>
      </w:rPr>
    </w:lvl>
  </w:abstractNum>
  <w:abstractNum w:abstractNumId="1">
    <w:nsid w:val="DA8F3AB3"/>
    <w:multiLevelType w:val="singleLevel"/>
    <w:tmpl w:val="DA8F3AB3"/>
    <w:lvl w:ilvl="0" w:tentative="0">
      <w:start w:val="1"/>
      <w:numFmt w:val="decimal"/>
      <w:suff w:val="nothing"/>
      <w:lvlText w:val="（%1）"/>
      <w:lvlJc w:val="left"/>
    </w:lvl>
  </w:abstractNum>
  <w:abstractNum w:abstractNumId="2">
    <w:nsid w:val="0F9F9CCA"/>
    <w:multiLevelType w:val="multilevel"/>
    <w:tmpl w:val="0F9F9CCA"/>
    <w:lvl w:ilvl="0" w:tentative="0">
      <w:start w:val="3"/>
      <w:numFmt w:val="decimal"/>
      <w:lvlText w:val="%1"/>
      <w:lvlJc w:val="left"/>
      <w:pPr>
        <w:ind w:left="942" w:hanging="423"/>
        <w:jc w:val="left"/>
      </w:pPr>
      <w:rPr>
        <w:rFonts w:hint="default"/>
        <w:lang w:val="zh-CN" w:eastAsia="zh-CN" w:bidi="zh-CN"/>
      </w:rPr>
    </w:lvl>
    <w:lvl w:ilvl="1" w:tentative="0">
      <w:start w:val="1"/>
      <w:numFmt w:val="decimal"/>
      <w:lvlText w:val="%1.%2"/>
      <w:lvlJc w:val="left"/>
      <w:pPr>
        <w:ind w:left="942" w:hanging="423"/>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184" w:hanging="665"/>
        <w:jc w:val="left"/>
      </w:pPr>
      <w:rPr>
        <w:rFonts w:hint="default" w:ascii="宋体" w:hAnsi="宋体" w:eastAsia="宋体" w:cs="宋体"/>
        <w:b/>
        <w:bCs/>
        <w:spacing w:val="0"/>
        <w:w w:val="99"/>
        <w:sz w:val="24"/>
        <w:szCs w:val="24"/>
        <w:lang w:val="zh-CN" w:eastAsia="zh-CN" w:bidi="zh-CN"/>
      </w:rPr>
    </w:lvl>
    <w:lvl w:ilvl="3" w:tentative="0">
      <w:start w:val="0"/>
      <w:numFmt w:val="bullet"/>
      <w:lvlText w:val="•"/>
      <w:lvlJc w:val="left"/>
      <w:pPr>
        <w:ind w:left="3372" w:hanging="665"/>
      </w:pPr>
      <w:rPr>
        <w:rFonts w:hint="default"/>
        <w:lang w:val="zh-CN" w:eastAsia="zh-CN" w:bidi="zh-CN"/>
      </w:rPr>
    </w:lvl>
    <w:lvl w:ilvl="4" w:tentative="0">
      <w:start w:val="0"/>
      <w:numFmt w:val="bullet"/>
      <w:lvlText w:val="•"/>
      <w:lvlJc w:val="left"/>
      <w:pPr>
        <w:ind w:left="4468" w:hanging="665"/>
      </w:pPr>
      <w:rPr>
        <w:rFonts w:hint="default"/>
        <w:lang w:val="zh-CN" w:eastAsia="zh-CN" w:bidi="zh-CN"/>
      </w:rPr>
    </w:lvl>
    <w:lvl w:ilvl="5" w:tentative="0">
      <w:start w:val="0"/>
      <w:numFmt w:val="bullet"/>
      <w:lvlText w:val="•"/>
      <w:lvlJc w:val="left"/>
      <w:pPr>
        <w:ind w:left="5564" w:hanging="665"/>
      </w:pPr>
      <w:rPr>
        <w:rFonts w:hint="default"/>
        <w:lang w:val="zh-CN" w:eastAsia="zh-CN" w:bidi="zh-CN"/>
      </w:rPr>
    </w:lvl>
    <w:lvl w:ilvl="6" w:tentative="0">
      <w:start w:val="0"/>
      <w:numFmt w:val="bullet"/>
      <w:lvlText w:val="•"/>
      <w:lvlJc w:val="left"/>
      <w:pPr>
        <w:ind w:left="6661" w:hanging="665"/>
      </w:pPr>
      <w:rPr>
        <w:rFonts w:hint="default"/>
        <w:lang w:val="zh-CN" w:eastAsia="zh-CN" w:bidi="zh-CN"/>
      </w:rPr>
    </w:lvl>
    <w:lvl w:ilvl="7" w:tentative="0">
      <w:start w:val="0"/>
      <w:numFmt w:val="bullet"/>
      <w:lvlText w:val="•"/>
      <w:lvlJc w:val="left"/>
      <w:pPr>
        <w:ind w:left="7757" w:hanging="665"/>
      </w:pPr>
      <w:rPr>
        <w:rFonts w:hint="default"/>
        <w:lang w:val="zh-CN" w:eastAsia="zh-CN" w:bidi="zh-CN"/>
      </w:rPr>
    </w:lvl>
    <w:lvl w:ilvl="8" w:tentative="0">
      <w:start w:val="0"/>
      <w:numFmt w:val="bullet"/>
      <w:lvlText w:val="•"/>
      <w:lvlJc w:val="left"/>
      <w:pPr>
        <w:ind w:left="8853" w:hanging="665"/>
      </w:pPr>
      <w:rPr>
        <w:rFonts w:hint="default"/>
        <w:lang w:val="zh-CN" w:eastAsia="zh-CN" w:bidi="zh-C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ZDU1ZGE3OTVlYWQ3NjI3MjAyZTEzZDg1ZjdlYjkifQ=="/>
  </w:docVars>
  <w:rsids>
    <w:rsidRoot w:val="78925E73"/>
    <w:rsid w:val="78925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5">
    <w:name w:val="heading 7"/>
    <w:basedOn w:val="1"/>
    <w:next w:val="1"/>
    <w:qFormat/>
    <w:uiPriority w:val="0"/>
    <w:pPr>
      <w:keepNext/>
      <w:widowControl w:val="0"/>
      <w:autoSpaceDE w:val="0"/>
      <w:autoSpaceDN w:val="0"/>
      <w:adjustRightInd w:val="0"/>
      <w:snapToGrid w:val="0"/>
      <w:spacing w:before="240" w:beforeLines="0" w:after="64" w:afterLines="0" w:line="319" w:lineRule="auto"/>
      <w:jc w:val="both"/>
      <w:outlineLvl w:val="6"/>
    </w:pPr>
    <w:rPr>
      <w:rFonts w:ascii="宋体"/>
      <w:b/>
      <w:color w:val="000000"/>
      <w:sz w:val="2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1"/>
    <w:uiPriority w:val="0"/>
    <w:pPr>
      <w:spacing w:after="120" w:afterLines="0"/>
    </w:pPr>
    <w:rPr>
      <w:rFonts w:ascii="Tahoma" w:hAnsi="Tahoma"/>
      <w:szCs w:val="20"/>
    </w:rPr>
  </w:style>
  <w:style w:type="paragraph" w:styleId="6">
    <w:name w:val="Normal Indent"/>
    <w:basedOn w:val="1"/>
    <w:uiPriority w:val="0"/>
    <w:pPr>
      <w:ind w:firstLine="420"/>
    </w:pPr>
    <w:rPr>
      <w:kern w:val="0"/>
      <w:szCs w:val="20"/>
    </w:rPr>
  </w:style>
  <w:style w:type="paragraph" w:styleId="9">
    <w:name w:val="List Paragraph"/>
    <w:basedOn w:val="1"/>
    <w:qFormat/>
    <w:uiPriority w:val="34"/>
    <w:pPr>
      <w:ind w:firstLine="420" w:firstLineChars="200"/>
    </w:pPr>
    <w:rPr>
      <w:rFonts w:ascii="Calibri" w:hAnsi="Calibri" w:eastAsia="宋体"/>
    </w:rPr>
  </w:style>
  <w:style w:type="paragraph" w:customStyle="1" w:styleId="10">
    <w:name w:val="Table Paragraph"/>
    <w:basedOn w:val="1"/>
    <w:uiPriority w:val="0"/>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2022-09-15T08:44:00Z</dcterms:created>
  <dc:creator>Administrator</dc:creator>
  <cp:lastModifiedBy>Administrator</cp:lastModifiedBy>
  <dcterms:modified xsi:type="dcterms:W3CDTF">2022-09-15T08:44:41Z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E3E0474F0FB14DA48CDD7BDE8019DFAF</vt:lpwstr>
  </property>
</Properties>
</file>