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资格审查表</w:t>
      </w:r>
    </w:p>
    <w:tbl>
      <w:tblPr>
        <w:tblStyle w:val="6"/>
        <w:tblW w:w="84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73"/>
        <w:gridCol w:w="3188"/>
        <w:gridCol w:w="38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73" w:type="dxa"/>
            <w:tcBorders>
              <w:top w:val="single" w:color="auto" w:sz="4" w:space="0"/>
              <w:bottom w:val="single" w:color="auto" w:sz="4" w:space="0"/>
              <w:right w:val="single" w:color="auto" w:sz="4" w:space="0"/>
            </w:tcBorders>
            <w:vAlign w:val="center"/>
          </w:tcPr>
          <w:p>
            <w:pPr>
              <w:spacing w:line="440" w:lineRule="exact"/>
              <w:jc w:val="center"/>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评审内容</w:t>
            </w:r>
          </w:p>
        </w:tc>
        <w:tc>
          <w:tcPr>
            <w:tcW w:w="318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评审因素</w:t>
            </w:r>
          </w:p>
        </w:tc>
        <w:tc>
          <w:tcPr>
            <w:tcW w:w="38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73" w:type="dxa"/>
            <w:vMerge w:val="restart"/>
            <w:tcBorders>
              <w:top w:val="single" w:color="auto" w:sz="4" w:space="0"/>
              <w:right w:val="single" w:color="auto" w:sz="4" w:space="0"/>
            </w:tcBorders>
            <w:vAlign w:val="center"/>
          </w:tcPr>
          <w:p>
            <w:pPr>
              <w:spacing w:line="44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经营资格审查资格评审标准</w:t>
            </w:r>
          </w:p>
        </w:tc>
        <w:tc>
          <w:tcPr>
            <w:tcW w:w="3188" w:type="dxa"/>
            <w:tcBorders>
              <w:top w:val="single" w:color="auto" w:sz="4" w:space="0"/>
              <w:left w:val="single" w:color="auto" w:sz="4" w:space="0"/>
              <w:bottom w:val="single" w:color="auto" w:sz="4" w:space="0"/>
              <w:right w:val="single" w:color="auto" w:sz="4" w:space="0"/>
            </w:tcBorders>
            <w:vAlign w:val="center"/>
          </w:tcPr>
          <w:p>
            <w:pPr>
              <w:pStyle w:val="3"/>
              <w:rPr>
                <w:szCs w:val="21"/>
              </w:rPr>
            </w:pPr>
            <w:r>
              <w:rPr>
                <w:szCs w:val="21"/>
              </w:rPr>
              <w:t>法人或负责人或其他组织的营业执照</w:t>
            </w:r>
            <w:r>
              <w:rPr>
                <w:rFonts w:hint="eastAsia"/>
                <w:szCs w:val="21"/>
              </w:rPr>
              <w:t>或</w:t>
            </w:r>
            <w:r>
              <w:rPr>
                <w:szCs w:val="21"/>
              </w:rPr>
              <w:t>事业单位法人证书等证明文件</w:t>
            </w:r>
          </w:p>
        </w:tc>
        <w:tc>
          <w:tcPr>
            <w:tcW w:w="3861" w:type="dxa"/>
            <w:tcBorders>
              <w:top w:val="single" w:color="auto" w:sz="4" w:space="0"/>
              <w:left w:val="single" w:color="auto" w:sz="4" w:space="0"/>
              <w:bottom w:val="single" w:color="auto" w:sz="4" w:space="0"/>
              <w:right w:val="single" w:color="auto" w:sz="4" w:space="0"/>
            </w:tcBorders>
            <w:vAlign w:val="center"/>
          </w:tcPr>
          <w:p>
            <w:pPr>
              <w:pStyle w:val="3"/>
              <w:rPr>
                <w:szCs w:val="21"/>
              </w:rPr>
            </w:pPr>
            <w:r>
              <w:rPr>
                <w:rFonts w:hint="eastAsia"/>
                <w:szCs w:val="21"/>
              </w:rPr>
              <w:t>有效期内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73" w:type="dxa"/>
            <w:vMerge w:val="continue"/>
            <w:tcBorders>
              <w:right w:val="single" w:color="auto" w:sz="4" w:space="0"/>
            </w:tcBorders>
            <w:vAlign w:val="center"/>
          </w:tcPr>
          <w:p>
            <w:pPr>
              <w:spacing w:line="440" w:lineRule="exact"/>
              <w:jc w:val="center"/>
              <w:rPr>
                <w:color w:val="000000" w:themeColor="text1"/>
                <w:sz w:val="24"/>
                <w:szCs w:val="24"/>
                <w14:textFill>
                  <w14:solidFill>
                    <w14:schemeClr w14:val="tx1"/>
                  </w14:solidFill>
                </w14:textFill>
              </w:rPr>
            </w:pPr>
          </w:p>
        </w:tc>
        <w:tc>
          <w:tcPr>
            <w:tcW w:w="3188" w:type="dxa"/>
            <w:tcBorders>
              <w:top w:val="single" w:color="auto" w:sz="4" w:space="0"/>
              <w:left w:val="single" w:color="auto" w:sz="4" w:space="0"/>
              <w:bottom w:val="single" w:color="auto" w:sz="4" w:space="0"/>
              <w:right w:val="single" w:color="auto" w:sz="4" w:space="0"/>
            </w:tcBorders>
            <w:vAlign w:val="center"/>
          </w:tcPr>
          <w:p>
            <w:pPr>
              <w:pStyle w:val="3"/>
              <w:rPr>
                <w:color w:val="000000" w:themeColor="text1"/>
                <w:szCs w:val="21"/>
                <w14:textFill>
                  <w14:solidFill>
                    <w14:schemeClr w14:val="tx1"/>
                  </w14:solidFill>
                </w14:textFill>
              </w:rPr>
            </w:pPr>
            <w:r>
              <w:rPr>
                <w:color w:val="000000" w:themeColor="text1"/>
                <w:szCs w:val="21"/>
                <w14:textFill>
                  <w14:solidFill>
                    <w14:schemeClr w14:val="tx1"/>
                  </w14:solidFill>
                </w14:textFill>
              </w:rPr>
              <w:t>财务状况报告</w:t>
            </w:r>
          </w:p>
        </w:tc>
        <w:tc>
          <w:tcPr>
            <w:tcW w:w="3861" w:type="dxa"/>
            <w:tcBorders>
              <w:top w:val="single" w:color="auto" w:sz="4" w:space="0"/>
              <w:left w:val="single" w:color="auto" w:sz="4" w:space="0"/>
              <w:bottom w:val="single" w:color="auto" w:sz="4" w:space="0"/>
              <w:right w:val="single" w:color="auto" w:sz="4" w:space="0"/>
            </w:tcBorders>
            <w:vAlign w:val="center"/>
          </w:tcPr>
          <w:p>
            <w:pPr>
              <w:pStyle w:val="3"/>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财务状况报告（经合法审计机构出具的2021年度财务审计报告，或2022年1月以来其开户行出具的银行资信证明）</w:t>
            </w:r>
            <w:r>
              <w:rPr>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73" w:type="dxa"/>
            <w:vMerge w:val="continue"/>
            <w:tcBorders>
              <w:right w:val="single" w:color="auto" w:sz="4" w:space="0"/>
            </w:tcBorders>
            <w:vAlign w:val="center"/>
          </w:tcPr>
          <w:p>
            <w:pPr>
              <w:spacing w:line="440" w:lineRule="exact"/>
              <w:jc w:val="center"/>
              <w:rPr>
                <w:color w:val="000000" w:themeColor="text1"/>
                <w:sz w:val="24"/>
                <w:szCs w:val="24"/>
                <w14:textFill>
                  <w14:solidFill>
                    <w14:schemeClr w14:val="tx1"/>
                  </w14:solidFill>
                </w14:textFill>
              </w:rPr>
            </w:pPr>
          </w:p>
        </w:tc>
        <w:tc>
          <w:tcPr>
            <w:tcW w:w="3188" w:type="dxa"/>
            <w:tcBorders>
              <w:top w:val="single" w:color="auto" w:sz="4" w:space="0"/>
              <w:left w:val="single" w:color="auto" w:sz="4" w:space="0"/>
              <w:bottom w:val="single" w:color="auto" w:sz="4" w:space="0"/>
              <w:right w:val="single" w:color="auto" w:sz="4" w:space="0"/>
            </w:tcBorders>
            <w:vAlign w:val="center"/>
          </w:tcPr>
          <w:p>
            <w:pPr>
              <w:pStyle w:val="3"/>
              <w:rPr>
                <w:color w:val="000000" w:themeColor="text1"/>
                <w:szCs w:val="21"/>
                <w14:textFill>
                  <w14:solidFill>
                    <w14:schemeClr w14:val="tx1"/>
                  </w14:solidFill>
                </w14:textFill>
              </w:rPr>
            </w:pPr>
            <w:r>
              <w:rPr>
                <w:color w:val="000000" w:themeColor="text1"/>
                <w:szCs w:val="21"/>
                <w14:textFill>
                  <w14:solidFill>
                    <w14:schemeClr w14:val="tx1"/>
                  </w14:solidFill>
                </w14:textFill>
              </w:rPr>
              <w:t>依法缴纳税收和社会保障资金的相关材料</w:t>
            </w:r>
          </w:p>
        </w:tc>
        <w:tc>
          <w:tcPr>
            <w:tcW w:w="3861" w:type="dxa"/>
            <w:tcBorders>
              <w:top w:val="single" w:color="auto" w:sz="4" w:space="0"/>
              <w:left w:val="single" w:color="auto" w:sz="4" w:space="0"/>
              <w:bottom w:val="single" w:color="auto" w:sz="4" w:space="0"/>
              <w:right w:val="single" w:color="auto" w:sz="4" w:space="0"/>
            </w:tcBorders>
            <w:vAlign w:val="center"/>
          </w:tcPr>
          <w:p>
            <w:pPr>
              <w:pStyle w:val="3"/>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依法缴纳税收（2022年1月起至投标截止时间前任何3月的缴纳凭证）和社会保障资金的相关材料（2022年1月起至投标截止时间前任何3月的缴纳凭证，不需要缴纳税收或社保资金的投标人须提供相应证明文件）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73" w:type="dxa"/>
            <w:vMerge w:val="continue"/>
            <w:tcBorders>
              <w:right w:val="single" w:color="auto" w:sz="4" w:space="0"/>
            </w:tcBorders>
            <w:vAlign w:val="center"/>
          </w:tcPr>
          <w:p>
            <w:pPr>
              <w:spacing w:line="440" w:lineRule="exact"/>
              <w:jc w:val="center"/>
              <w:rPr>
                <w:color w:val="000000" w:themeColor="text1"/>
                <w:sz w:val="24"/>
                <w:szCs w:val="24"/>
                <w14:textFill>
                  <w14:solidFill>
                    <w14:schemeClr w14:val="tx1"/>
                  </w14:solidFill>
                </w14:textFill>
              </w:rPr>
            </w:pPr>
          </w:p>
        </w:tc>
        <w:tc>
          <w:tcPr>
            <w:tcW w:w="3188" w:type="dxa"/>
            <w:tcBorders>
              <w:top w:val="single" w:color="auto" w:sz="4" w:space="0"/>
              <w:left w:val="single" w:color="auto" w:sz="4" w:space="0"/>
              <w:right w:val="single" w:color="auto" w:sz="4" w:space="0"/>
            </w:tcBorders>
            <w:vAlign w:val="center"/>
          </w:tcPr>
          <w:p>
            <w:pPr>
              <w:pStyle w:val="3"/>
              <w:rPr>
                <w:color w:val="000000" w:themeColor="text1"/>
                <w:szCs w:val="21"/>
                <w14:textFill>
                  <w14:solidFill>
                    <w14:schemeClr w14:val="tx1"/>
                  </w14:solidFill>
                </w14:textFill>
              </w:rPr>
            </w:pPr>
            <w:r>
              <w:rPr>
                <w:color w:val="000000" w:themeColor="text1"/>
                <w:szCs w:val="21"/>
                <w14:textFill>
                  <w14:solidFill>
                    <w14:schemeClr w14:val="tx1"/>
                  </w14:solidFill>
                </w14:textFill>
              </w:rPr>
              <w:t>具备履行合同所必需的设备和专业技术能力的证明材料</w:t>
            </w:r>
          </w:p>
        </w:tc>
        <w:tc>
          <w:tcPr>
            <w:tcW w:w="3861" w:type="dxa"/>
            <w:tcBorders>
              <w:top w:val="single" w:color="auto" w:sz="4" w:space="0"/>
              <w:left w:val="single" w:color="auto" w:sz="4" w:space="0"/>
              <w:bottom w:val="single" w:color="auto" w:sz="4" w:space="0"/>
              <w:right w:val="single" w:color="auto" w:sz="4" w:space="0"/>
            </w:tcBorders>
            <w:vAlign w:val="center"/>
          </w:tcPr>
          <w:p>
            <w:pPr>
              <w:pStyle w:val="3"/>
              <w:rPr>
                <w:color w:val="000000" w:themeColor="text1"/>
                <w:szCs w:val="21"/>
                <w14:textFill>
                  <w14:solidFill>
                    <w14:schemeClr w14:val="tx1"/>
                  </w14:solidFill>
                </w14:textFill>
              </w:rPr>
            </w:pPr>
            <w:r>
              <w:rPr>
                <w:color w:val="000000" w:themeColor="text1"/>
                <w:szCs w:val="21"/>
                <w14:textFill>
                  <w14:solidFill>
                    <w14:schemeClr w14:val="tx1"/>
                  </w14:solidFill>
                </w14:textFill>
              </w:rPr>
              <w:t>提供具备履行合同所必需的设备和专业能力的资料或承诺函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73" w:type="dxa"/>
            <w:vMerge w:val="continue"/>
            <w:tcBorders>
              <w:right w:val="single" w:color="auto" w:sz="4" w:space="0"/>
            </w:tcBorders>
            <w:vAlign w:val="center"/>
          </w:tcPr>
          <w:p>
            <w:pPr>
              <w:spacing w:line="440" w:lineRule="exact"/>
              <w:jc w:val="center"/>
              <w:rPr>
                <w:color w:val="000000" w:themeColor="text1"/>
                <w:sz w:val="24"/>
                <w:szCs w:val="24"/>
                <w14:textFill>
                  <w14:solidFill>
                    <w14:schemeClr w14:val="tx1"/>
                  </w14:solidFill>
                </w14:textFill>
              </w:rPr>
            </w:pPr>
          </w:p>
        </w:tc>
        <w:tc>
          <w:tcPr>
            <w:tcW w:w="3188" w:type="dxa"/>
            <w:tcBorders>
              <w:top w:val="single" w:color="auto" w:sz="4" w:space="0"/>
              <w:left w:val="single" w:color="auto" w:sz="4" w:space="0"/>
              <w:bottom w:val="single" w:color="auto" w:sz="4" w:space="0"/>
              <w:right w:val="single" w:color="auto" w:sz="4" w:space="0"/>
            </w:tcBorders>
            <w:vAlign w:val="center"/>
          </w:tcPr>
          <w:p>
            <w:pPr>
              <w:pStyle w:val="3"/>
              <w:rPr>
                <w:color w:val="000000" w:themeColor="text1"/>
                <w:szCs w:val="21"/>
                <w14:textFill>
                  <w14:solidFill>
                    <w14:schemeClr w14:val="tx1"/>
                  </w14:solidFill>
                </w14:textFill>
              </w:rPr>
            </w:pPr>
            <w:r>
              <w:rPr>
                <w:color w:val="000000" w:themeColor="text1"/>
                <w:szCs w:val="21"/>
                <w14:textFill>
                  <w14:solidFill>
                    <w14:schemeClr w14:val="tx1"/>
                  </w14:solidFill>
                </w14:textFill>
              </w:rPr>
              <w:t>参加政府采购活动前3年内在经营活动中没有重大违法记录的书面声明</w:t>
            </w:r>
          </w:p>
        </w:tc>
        <w:tc>
          <w:tcPr>
            <w:tcW w:w="3861" w:type="dxa"/>
            <w:tcBorders>
              <w:top w:val="single" w:color="auto" w:sz="4" w:space="0"/>
              <w:left w:val="single" w:color="auto" w:sz="4" w:space="0"/>
              <w:bottom w:val="single" w:color="auto" w:sz="4" w:space="0"/>
              <w:right w:val="single" w:color="auto" w:sz="4" w:space="0"/>
            </w:tcBorders>
            <w:vAlign w:val="center"/>
          </w:tcPr>
          <w:p>
            <w:pPr>
              <w:pStyle w:val="3"/>
              <w:rPr>
                <w:color w:val="000000" w:themeColor="text1"/>
                <w:szCs w:val="21"/>
                <w14:textFill>
                  <w14:solidFill>
                    <w14:schemeClr w14:val="tx1"/>
                  </w14:solidFill>
                </w14:textFill>
              </w:rPr>
            </w:pPr>
            <w:r>
              <w:rPr>
                <w:color w:val="000000" w:themeColor="text1"/>
                <w:szCs w:val="21"/>
                <w14:textFill>
                  <w14:solidFill>
                    <w14:schemeClr w14:val="tx1"/>
                  </w14:solidFill>
                </w14:textFill>
              </w:rPr>
              <w:t>自行声明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73" w:type="dxa"/>
            <w:vMerge w:val="continue"/>
            <w:tcBorders>
              <w:right w:val="single" w:color="auto" w:sz="4" w:space="0"/>
            </w:tcBorders>
            <w:vAlign w:val="center"/>
          </w:tcPr>
          <w:p>
            <w:pPr>
              <w:spacing w:line="440" w:lineRule="exact"/>
              <w:jc w:val="center"/>
              <w:rPr>
                <w:color w:val="000000" w:themeColor="text1"/>
                <w:sz w:val="24"/>
                <w:szCs w:val="24"/>
                <w14:textFill>
                  <w14:solidFill>
                    <w14:schemeClr w14:val="tx1"/>
                  </w14:solidFill>
                </w14:textFill>
              </w:rPr>
            </w:pPr>
          </w:p>
        </w:tc>
        <w:tc>
          <w:tcPr>
            <w:tcW w:w="3188" w:type="dxa"/>
            <w:tcBorders>
              <w:top w:val="single" w:color="auto" w:sz="4" w:space="0"/>
              <w:left w:val="single" w:color="auto" w:sz="4" w:space="0"/>
              <w:bottom w:val="single" w:color="auto" w:sz="4" w:space="0"/>
              <w:right w:val="single" w:color="auto" w:sz="4" w:space="0"/>
            </w:tcBorders>
            <w:vAlign w:val="center"/>
          </w:tcPr>
          <w:p>
            <w:pPr>
              <w:pStyle w:val="3"/>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供应商信用信息</w:t>
            </w:r>
          </w:p>
        </w:tc>
        <w:tc>
          <w:tcPr>
            <w:tcW w:w="3861" w:type="dxa"/>
            <w:tcBorders>
              <w:top w:val="single" w:color="auto" w:sz="4" w:space="0"/>
              <w:left w:val="single" w:color="auto" w:sz="4" w:space="0"/>
              <w:bottom w:val="single" w:color="auto" w:sz="4" w:space="0"/>
              <w:right w:val="single" w:color="auto" w:sz="4" w:space="0"/>
            </w:tcBorders>
            <w:vAlign w:val="center"/>
          </w:tcPr>
          <w:p>
            <w:pPr>
              <w:pStyle w:val="3"/>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供应商需自行承诺“未在“信用中国”网站上及中国政府采购网上被列入失信被执行人、重大税收违法案件当事人名单、政府采购严重违法失信行为记录名单，如有被列入的情况，将视为无效投标</w:t>
            </w: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73" w:type="dxa"/>
            <w:vMerge w:val="continue"/>
            <w:tcBorders>
              <w:right w:val="single" w:color="auto" w:sz="4" w:space="0"/>
            </w:tcBorders>
            <w:vAlign w:val="center"/>
          </w:tcPr>
          <w:p>
            <w:pPr>
              <w:spacing w:line="440" w:lineRule="exact"/>
              <w:jc w:val="center"/>
              <w:rPr>
                <w:color w:val="000000" w:themeColor="text1"/>
                <w:sz w:val="24"/>
                <w:szCs w:val="24"/>
                <w14:textFill>
                  <w14:solidFill>
                    <w14:schemeClr w14:val="tx1"/>
                  </w14:solidFill>
                </w14:textFill>
              </w:rPr>
            </w:pPr>
          </w:p>
        </w:tc>
        <w:tc>
          <w:tcPr>
            <w:tcW w:w="3188" w:type="dxa"/>
            <w:tcBorders>
              <w:top w:val="single" w:color="auto" w:sz="4" w:space="0"/>
              <w:left w:val="single" w:color="auto" w:sz="4" w:space="0"/>
              <w:bottom w:val="single" w:color="auto" w:sz="4" w:space="0"/>
              <w:right w:val="single" w:color="auto" w:sz="4" w:space="0"/>
            </w:tcBorders>
            <w:vAlign w:val="center"/>
          </w:tcPr>
          <w:p>
            <w:pPr>
              <w:pStyle w:val="3"/>
              <w:rPr>
                <w:color w:val="000000" w:themeColor="text1"/>
                <w:szCs w:val="21"/>
                <w14:textFill>
                  <w14:solidFill>
                    <w14:schemeClr w14:val="tx1"/>
                  </w14:solidFill>
                </w14:textFill>
              </w:rPr>
            </w:pPr>
            <w:r>
              <w:rPr>
                <w:rFonts w:hint="eastAsia" w:ascii="Calibri" w:hAnsi="Calibri"/>
                <w:color w:val="000000" w:themeColor="text1"/>
                <w:sz w:val="24"/>
                <w:szCs w:val="24"/>
                <w14:textFill>
                  <w14:solidFill>
                    <w14:schemeClr w14:val="tx1"/>
                  </w14:solidFill>
                </w14:textFill>
              </w:rPr>
              <w:t>特殊资格要求</w:t>
            </w:r>
          </w:p>
        </w:tc>
        <w:tc>
          <w:tcPr>
            <w:tcW w:w="3861" w:type="dxa"/>
            <w:tcBorders>
              <w:top w:val="single" w:color="auto" w:sz="4" w:space="0"/>
              <w:left w:val="single" w:color="auto" w:sz="4" w:space="0"/>
              <w:bottom w:val="single" w:color="auto" w:sz="4" w:space="0"/>
              <w:right w:val="single" w:color="auto" w:sz="4" w:space="0"/>
            </w:tcBorders>
            <w:vAlign w:val="center"/>
          </w:tcPr>
          <w:p>
            <w:pPr>
              <w:pStyle w:val="3"/>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行业主管部门颁发的有效的测</w:t>
            </w:r>
            <w:r>
              <w:rPr>
                <w:rFonts w:hint="eastAsia"/>
                <w:szCs w:val="21"/>
              </w:rPr>
              <w:t>绘甲级及以上资质（专业范围须包括摄影测量与遥感、地理信息系统、不动产测绘）</w:t>
            </w:r>
            <w:r>
              <w:rPr>
                <w:rFonts w:hint="eastAsia"/>
                <w:color w:val="000000" w:themeColor="text1"/>
                <w:szCs w:val="21"/>
                <w14:textFill>
                  <w14:solidFill>
                    <w14:schemeClr w14:val="tx1"/>
                  </w14:solidFill>
                </w14:textFill>
              </w:rPr>
              <w:t>。</w:t>
            </w:r>
          </w:p>
        </w:tc>
      </w:tr>
    </w:tbl>
    <w:p>
      <w:pPr>
        <w:pStyle w:val="3"/>
        <w:jc w:val="center"/>
        <w:rPr>
          <w:b/>
          <w:color w:val="000000" w:themeColor="text1"/>
          <w:sz w:val="28"/>
          <w:szCs w:val="28"/>
          <w14:textFill>
            <w14:solidFill>
              <w14:schemeClr w14:val="tx1"/>
            </w14:solidFill>
          </w14:textFill>
        </w:rPr>
      </w:pPr>
    </w:p>
    <w:p>
      <w:pPr>
        <w:pStyle w:val="3"/>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符合性审查表</w:t>
      </w:r>
    </w:p>
    <w:tbl>
      <w:tblPr>
        <w:tblStyle w:val="6"/>
        <w:tblW w:w="86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7"/>
        <w:gridCol w:w="3966"/>
        <w:gridCol w:w="37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957" w:type="dxa"/>
            <w:vMerge w:val="restart"/>
            <w:tcBorders>
              <w:top w:val="single" w:color="auto" w:sz="4" w:space="0"/>
              <w:right w:val="single" w:color="auto" w:sz="4" w:space="0"/>
            </w:tcBorders>
            <w:vAlign w:val="center"/>
          </w:tcPr>
          <w:p>
            <w:pPr>
              <w:snapToGrid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符合性性审查</w:t>
            </w:r>
          </w:p>
        </w:tc>
        <w:tc>
          <w:tcPr>
            <w:tcW w:w="39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投标人签字盖章</w:t>
            </w:r>
          </w:p>
        </w:tc>
        <w:tc>
          <w:tcPr>
            <w:tcW w:w="3758" w:type="dxa"/>
            <w:tcBorders>
              <w:top w:val="single" w:color="auto" w:sz="4" w:space="0"/>
              <w:left w:val="single" w:color="auto" w:sz="4" w:space="0"/>
              <w:bottom w:val="single" w:color="auto" w:sz="4" w:space="0"/>
              <w:right w:val="single" w:color="auto" w:sz="4" w:space="0"/>
            </w:tcBorders>
            <w:vAlign w:val="center"/>
          </w:tcPr>
          <w:p>
            <w:pPr>
              <w:snapToGrid w:val="0"/>
              <w:rPr>
                <w:color w:val="000000" w:themeColor="text1"/>
                <w:szCs w:val="21"/>
                <w14:textFill>
                  <w14:solidFill>
                    <w14:schemeClr w14:val="tx1"/>
                  </w14:solidFill>
                </w14:textFill>
              </w:rPr>
            </w:pPr>
            <w:r>
              <w:rPr>
                <w:rFonts w:hint="eastAsia"/>
                <w:color w:val="000000" w:themeColor="text1"/>
                <w:szCs w:val="22"/>
                <w14:textFill>
                  <w14:solidFill>
                    <w14:schemeClr w14:val="tx1"/>
                  </w14:solidFill>
                </w14:textFill>
              </w:rPr>
              <w:t>投标文件格式中要求签字盖章处，有法定代表人或负责人或其委托代理人签字（或盖章）并加盖单位章。委托代理人签字（或盖章）的，应附委托书。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957" w:type="dxa"/>
            <w:vMerge w:val="continue"/>
            <w:tcBorders>
              <w:right w:val="single" w:color="auto" w:sz="4" w:space="0"/>
            </w:tcBorders>
            <w:vAlign w:val="center"/>
          </w:tcPr>
          <w:p>
            <w:pPr>
              <w:snapToGrid w:val="0"/>
              <w:spacing w:line="360" w:lineRule="auto"/>
              <w:ind w:firstLine="777" w:firstLineChars="370"/>
              <w:rPr>
                <w:color w:val="000000" w:themeColor="text1"/>
                <w:szCs w:val="21"/>
                <w14:textFill>
                  <w14:solidFill>
                    <w14:schemeClr w14:val="tx1"/>
                  </w14:solidFill>
                </w14:textFill>
              </w:rPr>
            </w:pPr>
          </w:p>
        </w:tc>
        <w:tc>
          <w:tcPr>
            <w:tcW w:w="39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投标有效期</w:t>
            </w:r>
          </w:p>
        </w:tc>
        <w:tc>
          <w:tcPr>
            <w:tcW w:w="37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符合招标文件要求(90天)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957" w:type="dxa"/>
            <w:vMerge w:val="continue"/>
            <w:tcBorders>
              <w:right w:val="single" w:color="auto" w:sz="4" w:space="0"/>
            </w:tcBorders>
            <w:vAlign w:val="center"/>
          </w:tcPr>
          <w:p>
            <w:pPr>
              <w:snapToGrid w:val="0"/>
              <w:spacing w:line="360" w:lineRule="auto"/>
              <w:ind w:firstLine="777" w:firstLineChars="370"/>
              <w:rPr>
                <w:color w:val="000000" w:themeColor="text1"/>
                <w:szCs w:val="21"/>
                <w14:textFill>
                  <w14:solidFill>
                    <w14:schemeClr w14:val="tx1"/>
                  </w14:solidFill>
                </w14:textFill>
              </w:rPr>
            </w:pPr>
          </w:p>
        </w:tc>
        <w:tc>
          <w:tcPr>
            <w:tcW w:w="39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服务期</w:t>
            </w:r>
          </w:p>
        </w:tc>
        <w:tc>
          <w:tcPr>
            <w:tcW w:w="37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w:t>
            </w:r>
            <w:r>
              <w:rPr>
                <w:rFonts w:hint="eastAsia"/>
                <w:color w:val="000000" w:themeColor="text1"/>
                <w:szCs w:val="21"/>
                <w:lang w:val="en-US" w:eastAsia="zh-CN"/>
                <w14:textFill>
                  <w14:solidFill>
                    <w14:schemeClr w14:val="tx1"/>
                  </w14:solidFill>
                </w14:textFill>
              </w:rPr>
              <w:t>18个月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957" w:type="dxa"/>
            <w:vMerge w:val="continue"/>
            <w:tcBorders>
              <w:right w:val="single" w:color="auto" w:sz="4" w:space="0"/>
            </w:tcBorders>
            <w:vAlign w:val="center"/>
          </w:tcPr>
          <w:p>
            <w:pPr>
              <w:snapToGrid w:val="0"/>
              <w:spacing w:line="360" w:lineRule="auto"/>
              <w:ind w:firstLine="777" w:firstLineChars="370"/>
              <w:rPr>
                <w:color w:val="000000" w:themeColor="text1"/>
                <w:szCs w:val="21"/>
                <w14:textFill>
                  <w14:solidFill>
                    <w14:schemeClr w14:val="tx1"/>
                  </w14:solidFill>
                </w14:textFill>
              </w:rPr>
            </w:pPr>
          </w:p>
        </w:tc>
        <w:tc>
          <w:tcPr>
            <w:tcW w:w="39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服务地点</w:t>
            </w:r>
          </w:p>
        </w:tc>
        <w:tc>
          <w:tcPr>
            <w:tcW w:w="3758" w:type="dxa"/>
            <w:tcBorders>
              <w:top w:val="single" w:color="auto" w:sz="4" w:space="0"/>
              <w:left w:val="single" w:color="auto" w:sz="4" w:space="0"/>
              <w:bottom w:val="single" w:color="auto" w:sz="4" w:space="0"/>
              <w:right w:val="single" w:color="auto" w:sz="4" w:space="0"/>
            </w:tcBorders>
            <w:vAlign w:val="center"/>
          </w:tcPr>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2" w:hRule="atLeast"/>
          <w:jc w:val="center"/>
        </w:trPr>
        <w:tc>
          <w:tcPr>
            <w:tcW w:w="957" w:type="dxa"/>
            <w:vMerge w:val="continue"/>
            <w:tcBorders>
              <w:right w:val="single" w:color="auto" w:sz="4" w:space="0"/>
            </w:tcBorders>
            <w:vAlign w:val="center"/>
          </w:tcPr>
          <w:p>
            <w:pPr>
              <w:snapToGrid w:val="0"/>
              <w:spacing w:line="360" w:lineRule="auto"/>
              <w:ind w:firstLine="777" w:firstLineChars="370"/>
              <w:rPr>
                <w:color w:val="000000" w:themeColor="text1"/>
                <w:szCs w:val="21"/>
                <w14:textFill>
                  <w14:solidFill>
                    <w14:schemeClr w14:val="tx1"/>
                  </w14:solidFill>
                </w14:textFill>
              </w:rPr>
            </w:pPr>
          </w:p>
        </w:tc>
        <w:tc>
          <w:tcPr>
            <w:tcW w:w="39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付款方式</w:t>
            </w:r>
          </w:p>
        </w:tc>
        <w:tc>
          <w:tcPr>
            <w:tcW w:w="3758" w:type="dxa"/>
            <w:tcBorders>
              <w:top w:val="single" w:color="auto" w:sz="4" w:space="0"/>
              <w:left w:val="single" w:color="auto" w:sz="4" w:space="0"/>
              <w:bottom w:val="single" w:color="auto" w:sz="4" w:space="0"/>
              <w:right w:val="single" w:color="auto" w:sz="4" w:space="0"/>
            </w:tcBorders>
            <w:vAlign w:val="center"/>
          </w:tcPr>
          <w:p>
            <w:pPr>
              <w:pStyle w:val="3"/>
              <w:rPr>
                <w:color w:val="000000" w:themeColor="text1"/>
                <w14:textFill>
                  <w14:solidFill>
                    <w14:schemeClr w14:val="tx1"/>
                  </w14:solidFill>
                </w14:textFill>
              </w:rPr>
            </w:pPr>
            <w:r>
              <w:rPr>
                <w:rFonts w:hint="eastAsia"/>
                <w:color w:val="auto"/>
                <w:lang w:val="en-US" w:eastAsia="zh-CN"/>
              </w:rPr>
              <w:t>以合同约定的付款方式为准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957" w:type="dxa"/>
            <w:vMerge w:val="continue"/>
            <w:tcBorders>
              <w:bottom w:val="single" w:color="auto" w:sz="4" w:space="0"/>
              <w:right w:val="single" w:color="auto" w:sz="4" w:space="0"/>
            </w:tcBorders>
            <w:vAlign w:val="center"/>
          </w:tcPr>
          <w:p>
            <w:pPr>
              <w:snapToGrid w:val="0"/>
              <w:spacing w:line="360" w:lineRule="auto"/>
              <w:ind w:firstLine="777" w:firstLineChars="370"/>
              <w:rPr>
                <w:color w:val="000000" w:themeColor="text1"/>
                <w:szCs w:val="21"/>
                <w14:textFill>
                  <w14:solidFill>
                    <w14:schemeClr w14:val="tx1"/>
                  </w14:solidFill>
                </w14:textFill>
              </w:rPr>
            </w:pPr>
          </w:p>
        </w:tc>
        <w:tc>
          <w:tcPr>
            <w:tcW w:w="39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投标保证金</w:t>
            </w:r>
          </w:p>
        </w:tc>
        <w:tc>
          <w:tcPr>
            <w:tcW w:w="3758" w:type="dxa"/>
            <w:tcBorders>
              <w:top w:val="single" w:color="auto" w:sz="4" w:space="0"/>
              <w:left w:val="single" w:color="auto" w:sz="4" w:space="0"/>
              <w:bottom w:val="single" w:color="auto" w:sz="4" w:space="0"/>
              <w:right w:val="single" w:color="auto" w:sz="4" w:space="0"/>
            </w:tcBorders>
            <w:vAlign w:val="center"/>
          </w:tcPr>
          <w:p>
            <w:pPr>
              <w:pStyle w:val="3"/>
              <w:rPr>
                <w:color w:val="000000" w:themeColor="text1"/>
                <w:szCs w:val="21"/>
                <w14:textFill>
                  <w14:solidFill>
                    <w14:schemeClr w14:val="tx1"/>
                  </w14:solidFill>
                </w14:textFill>
              </w:rPr>
            </w:pPr>
            <w:r>
              <w:rPr>
                <w:color w:val="000000" w:themeColor="text1"/>
                <w:szCs w:val="21"/>
                <w14:textFill>
                  <w14:solidFill>
                    <w14:schemeClr w14:val="tx1"/>
                  </w14:solidFill>
                </w14:textFill>
              </w:rPr>
              <w:t>提供保证金已缴纳的依据（系统缴纳的出具系统提示已缴纳的回执截图并加盖单位公章）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957" w:type="dxa"/>
            <w:tcBorders>
              <w:top w:val="single" w:color="auto" w:sz="4" w:space="0"/>
              <w:right w:val="single" w:color="auto" w:sz="4" w:space="0"/>
            </w:tcBorders>
            <w:vAlign w:val="center"/>
          </w:tcPr>
          <w:p>
            <w:pPr>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无效标审查</w:t>
            </w:r>
          </w:p>
        </w:tc>
        <w:tc>
          <w:tcPr>
            <w:tcW w:w="772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按本项目招标文件第三章中“无效标审查”无效标条款规定，审查是否通过</w:t>
            </w:r>
          </w:p>
        </w:tc>
      </w:tr>
    </w:tbl>
    <w:p>
      <w:pPr>
        <w:pStyle w:val="8"/>
        <w:ind w:firstLine="480"/>
        <w:rPr>
          <w:lang w:eastAsia="zh-CN"/>
        </w:rPr>
      </w:pPr>
    </w:p>
    <w:p/>
    <w:p>
      <w:pPr>
        <w:pStyle w:val="3"/>
      </w:pPr>
    </w:p>
    <w:p>
      <w:pPr>
        <w:spacing w:line="36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 详细评审</w:t>
      </w:r>
    </w:p>
    <w:p>
      <w:pPr>
        <w:snapToGrid w:val="0"/>
        <w:spacing w:line="360" w:lineRule="auto"/>
        <w:ind w:firstLine="420" w:firstLineChars="200"/>
        <w:rPr>
          <w:bCs/>
          <w:color w:val="000000" w:themeColor="text1"/>
          <w:szCs w:val="21"/>
          <w14:textFill>
            <w14:solidFill>
              <w14:schemeClr w14:val="tx1"/>
            </w14:solidFill>
          </w14:textFill>
        </w:rPr>
      </w:pPr>
      <w:r>
        <w:rPr>
          <w:color w:val="000000" w:themeColor="text1"/>
          <w:szCs w:val="21"/>
          <w14:textFill>
            <w14:solidFill>
              <w14:schemeClr w14:val="tx1"/>
            </w14:solidFill>
          </w14:textFill>
        </w:rPr>
        <w:t>评标委员会只对通过初步评审的供应商按项进行评审。总分值105分（其中：5分为政策性加分），评分细则及各项评标因素如下：</w:t>
      </w:r>
    </w:p>
    <w:tbl>
      <w:tblPr>
        <w:tblStyle w:val="6"/>
        <w:tblW w:w="8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5386"/>
        <w:gridCol w:w="1078"/>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495" w:type="dxa"/>
            <w:shd w:val="clear" w:color="000000" w:fill="FFFFFF"/>
            <w:vAlign w:val="center"/>
          </w:tcPr>
          <w:p>
            <w:pPr>
              <w:pStyle w:val="9"/>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·评因素</w:t>
            </w:r>
          </w:p>
        </w:tc>
        <w:tc>
          <w:tcPr>
            <w:tcW w:w="5386" w:type="dxa"/>
            <w:shd w:val="clear" w:color="000000" w:fill="FFFFFF"/>
            <w:vAlign w:val="center"/>
          </w:tcPr>
          <w:p>
            <w:pPr>
              <w:pStyle w:val="9"/>
              <w:ind w:firstLine="1470" w:firstLineChars="7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评分标准</w:t>
            </w:r>
          </w:p>
        </w:tc>
        <w:tc>
          <w:tcPr>
            <w:tcW w:w="1078" w:type="dxa"/>
            <w:shd w:val="clear" w:color="000000" w:fill="FFFFFF"/>
            <w:vAlign w:val="center"/>
          </w:tcPr>
          <w:p>
            <w:pPr>
              <w:pStyle w:val="9"/>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分值</w:t>
            </w:r>
          </w:p>
        </w:tc>
        <w:tc>
          <w:tcPr>
            <w:tcW w:w="675" w:type="dxa"/>
            <w:shd w:val="clear" w:color="000000" w:fill="FFFFFF"/>
            <w:vAlign w:val="center"/>
          </w:tcPr>
          <w:p>
            <w:pPr>
              <w:pStyle w:val="9"/>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1495" w:type="dxa"/>
            <w:shd w:val="clear" w:color="000000" w:fill="FFFFFF"/>
            <w:vAlign w:val="center"/>
          </w:tcPr>
          <w:p>
            <w:pPr>
              <w:pStyle w:val="9"/>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价格分</w:t>
            </w:r>
            <w:r>
              <w:rPr>
                <w:rFonts w:hint="eastAsia" w:ascii="宋体" w:hAnsi="宋体" w:cs="宋体"/>
                <w:color w:val="000000" w:themeColor="text1"/>
                <w:sz w:val="21"/>
                <w:szCs w:val="21"/>
                <w14:textFill>
                  <w14:solidFill>
                    <w14:schemeClr w14:val="tx1"/>
                  </w14:solidFill>
                </w14:textFill>
              </w:rPr>
              <w:br w:type="textWrapping"/>
            </w:r>
            <w:r>
              <w:rPr>
                <w:rFonts w:hint="eastAsia" w:ascii="宋体" w:hAnsi="宋体" w:cs="宋体"/>
                <w:color w:val="000000" w:themeColor="text1"/>
                <w:sz w:val="21"/>
                <w:szCs w:val="21"/>
                <w14:textFill>
                  <w14:solidFill>
                    <w14:schemeClr w14:val="tx1"/>
                  </w14:solidFill>
                </w14:textFill>
              </w:rPr>
              <w:t>（10分）</w:t>
            </w:r>
          </w:p>
        </w:tc>
        <w:tc>
          <w:tcPr>
            <w:tcW w:w="5386" w:type="dxa"/>
            <w:shd w:val="clear" w:color="000000" w:fill="FFFFFF"/>
            <w:vAlign w:val="center"/>
          </w:tcPr>
          <w:p>
            <w:pPr>
              <w:pStyle w:val="9"/>
              <w:rPr>
                <w:rFonts w:ascii="宋体" w:hAnsi="宋体" w:cs="宋体"/>
                <w:color w:val="000000" w:themeColor="text1"/>
                <w:sz w:val="21"/>
                <w:szCs w:val="21"/>
                <w14:textFill>
                  <w14:solidFill>
                    <w14:schemeClr w14:val="tx1"/>
                  </w14:solidFill>
                </w14:textFill>
              </w:rPr>
            </w:pPr>
            <w:bookmarkStart w:id="0" w:name="_Toc799"/>
            <w:r>
              <w:rPr>
                <w:rFonts w:hint="eastAsia" w:ascii="宋体" w:hAnsi="宋体" w:cs="宋体"/>
                <w:color w:val="000000" w:themeColor="text1"/>
                <w:sz w:val="21"/>
                <w:szCs w:val="21"/>
                <w14:textFill>
                  <w14:solidFill>
                    <w14:schemeClr w14:val="tx1"/>
                  </w14:solidFill>
                </w14:textFill>
              </w:rPr>
              <w:t>投标报价得分＝（评标基准价/投标报价）×价格权重×100。</w:t>
            </w:r>
            <w:bookmarkEnd w:id="0"/>
          </w:p>
          <w:p>
            <w:pPr>
              <w:pStyle w:val="9"/>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注：根据《政府采购促进中小企业发展管理办法》的规定投标单位所投产品属于小型和微型企业产品的，其价格给予6%的扣除，用扣除后的价格参与评审。</w:t>
            </w:r>
          </w:p>
        </w:tc>
        <w:tc>
          <w:tcPr>
            <w:tcW w:w="1078" w:type="dxa"/>
            <w:shd w:val="clear" w:color="000000" w:fill="FFFFFF"/>
            <w:vAlign w:val="center"/>
          </w:tcPr>
          <w:p>
            <w:pPr>
              <w:pStyle w:val="9"/>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0-10分</w:t>
            </w:r>
          </w:p>
        </w:tc>
        <w:tc>
          <w:tcPr>
            <w:tcW w:w="675" w:type="dxa"/>
            <w:shd w:val="clear" w:color="000000" w:fill="FFFFFF"/>
            <w:vAlign w:val="center"/>
          </w:tcPr>
          <w:p>
            <w:pPr>
              <w:pStyle w:val="9"/>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1495" w:type="dxa"/>
            <w:vMerge w:val="restart"/>
            <w:shd w:val="clear" w:color="000000" w:fill="FFFFFF"/>
            <w:vAlign w:val="center"/>
          </w:tcPr>
          <w:p>
            <w:pPr>
              <w:pStyle w:val="10"/>
              <w:rPr>
                <w:rFonts w:ascii="宋体" w:hAnsi="宋体" w:eastAsia="宋体" w:cs="宋体"/>
                <w:bCs/>
                <w:color w:val="000000" w:themeColor="text1"/>
                <w:spacing w:val="10"/>
                <w:kern w:val="2"/>
                <w:sz w:val="21"/>
                <w:szCs w:val="21"/>
                <w14:textFill>
                  <w14:solidFill>
                    <w14:schemeClr w14:val="tx1"/>
                  </w14:solidFill>
                </w14:textFill>
              </w:rPr>
            </w:pPr>
            <w:r>
              <w:rPr>
                <w:rFonts w:hint="eastAsia" w:ascii="宋体" w:hAnsi="宋体" w:eastAsia="宋体" w:cs="宋体"/>
                <w:bCs/>
                <w:color w:val="000000" w:themeColor="text1"/>
                <w:spacing w:val="10"/>
                <w:kern w:val="2"/>
                <w:sz w:val="21"/>
                <w:szCs w:val="21"/>
                <w14:textFill>
                  <w14:solidFill>
                    <w14:schemeClr w14:val="tx1"/>
                  </w14:solidFill>
                </w14:textFill>
              </w:rPr>
              <w:t>技术分</w:t>
            </w:r>
          </w:p>
          <w:p>
            <w:pPr>
              <w:pStyle w:val="10"/>
              <w:rPr>
                <w:rFonts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bCs/>
                <w:color w:val="000000" w:themeColor="text1"/>
                <w:spacing w:val="10"/>
                <w:kern w:val="2"/>
                <w:sz w:val="21"/>
                <w:szCs w:val="21"/>
                <w14:textFill>
                  <w14:solidFill>
                    <w14:schemeClr w14:val="tx1"/>
                  </w14:solidFill>
                </w14:textFill>
              </w:rPr>
              <w:t>（</w:t>
            </w:r>
            <w:r>
              <w:rPr>
                <w:rFonts w:ascii="宋体" w:hAnsi="宋体" w:eastAsia="宋体" w:cs="宋体"/>
                <w:bCs/>
                <w:spacing w:val="10"/>
                <w:kern w:val="2"/>
                <w:sz w:val="21"/>
                <w:szCs w:val="21"/>
              </w:rPr>
              <w:t>15</w:t>
            </w:r>
            <w:r>
              <w:rPr>
                <w:rFonts w:hint="eastAsia" w:ascii="宋体" w:hAnsi="宋体" w:eastAsia="宋体" w:cs="宋体"/>
                <w:bCs/>
                <w:color w:val="000000" w:themeColor="text1"/>
                <w:spacing w:val="10"/>
                <w:kern w:val="2"/>
                <w:sz w:val="21"/>
                <w:szCs w:val="21"/>
                <w14:textFill>
                  <w14:solidFill>
                    <w14:schemeClr w14:val="tx1"/>
                  </w14:solidFill>
                </w14:textFill>
              </w:rPr>
              <w:t>分）</w:t>
            </w:r>
          </w:p>
        </w:tc>
        <w:tc>
          <w:tcPr>
            <w:tcW w:w="5386" w:type="dxa"/>
            <w:shd w:val="clear" w:color="000000" w:fill="FFFFFF"/>
            <w:vAlign w:val="center"/>
          </w:tcPr>
          <w:p>
            <w:pPr>
              <w:pStyle w:val="10"/>
              <w:rPr>
                <w:rFonts w:ascii="宋体" w:hAnsi="宋体" w:eastAsia="宋体" w:cs="宋体"/>
                <w:bCs/>
                <w:color w:val="000000" w:themeColor="text1"/>
                <w:spacing w:val="10"/>
                <w:kern w:val="2"/>
                <w:sz w:val="21"/>
                <w:szCs w:val="21"/>
                <w14:textFill>
                  <w14:solidFill>
                    <w14:schemeClr w14:val="tx1"/>
                  </w14:solidFill>
                </w14:textFill>
              </w:rPr>
            </w:pPr>
            <w:r>
              <w:rPr>
                <w:rFonts w:hint="eastAsia" w:ascii="宋体" w:hAnsi="宋体" w:eastAsia="宋体" w:cs="宋体"/>
                <w:bCs/>
                <w:color w:val="000000" w:themeColor="text1"/>
                <w:spacing w:val="10"/>
                <w:kern w:val="2"/>
                <w:sz w:val="21"/>
                <w:szCs w:val="21"/>
                <w14:textFill>
                  <w14:solidFill>
                    <w14:schemeClr w14:val="tx1"/>
                  </w14:solidFill>
                </w14:textFill>
              </w:rPr>
              <w:t>一、服务方案(</w:t>
            </w:r>
            <w:r>
              <w:rPr>
                <w:rFonts w:ascii="宋体" w:hAnsi="宋体" w:eastAsia="宋体" w:cs="宋体"/>
                <w:bCs/>
                <w:color w:val="000000" w:themeColor="text1"/>
                <w:spacing w:val="10"/>
                <w:kern w:val="2"/>
                <w:sz w:val="21"/>
                <w:szCs w:val="21"/>
                <w14:textFill>
                  <w14:solidFill>
                    <w14:schemeClr w14:val="tx1"/>
                  </w14:solidFill>
                </w14:textFill>
              </w:rPr>
              <w:t>10</w:t>
            </w:r>
            <w:r>
              <w:rPr>
                <w:rFonts w:hint="eastAsia" w:ascii="宋体" w:hAnsi="宋体" w:eastAsia="宋体" w:cs="宋体"/>
                <w:bCs/>
                <w:color w:val="000000" w:themeColor="text1"/>
                <w:spacing w:val="10"/>
                <w:kern w:val="2"/>
                <w:sz w:val="21"/>
                <w:szCs w:val="21"/>
                <w14:textFill>
                  <w14:solidFill>
                    <w14:schemeClr w14:val="tx1"/>
                  </w14:solidFill>
                </w14:textFill>
              </w:rPr>
              <w:t>分)</w:t>
            </w:r>
          </w:p>
          <w:p>
            <w:pPr>
              <w:pStyle w:val="10"/>
              <w:ind w:firstLine="460" w:firstLineChars="200"/>
              <w:rPr>
                <w:rFonts w:ascii="宋体" w:hAnsi="宋体" w:eastAsia="宋体" w:cs="宋体"/>
                <w:bCs/>
                <w:color w:val="000000" w:themeColor="text1"/>
                <w:spacing w:val="10"/>
                <w:kern w:val="2"/>
                <w:sz w:val="21"/>
                <w:szCs w:val="21"/>
                <w14:textFill>
                  <w14:solidFill>
                    <w14:schemeClr w14:val="tx1"/>
                  </w14:solidFill>
                </w14:textFill>
              </w:rPr>
            </w:pPr>
            <w:r>
              <w:rPr>
                <w:rFonts w:hint="eastAsia" w:ascii="宋体" w:hAnsi="宋体" w:eastAsia="宋体" w:cs="宋体"/>
                <w:bCs/>
                <w:color w:val="000000" w:themeColor="text1"/>
                <w:spacing w:val="10"/>
                <w:kern w:val="2"/>
                <w:sz w:val="21"/>
                <w:szCs w:val="21"/>
                <w14:textFill>
                  <w14:solidFill>
                    <w14:schemeClr w14:val="tx1"/>
                  </w14:solidFill>
                </w14:textFill>
              </w:rPr>
              <w:t>方案科学、合理，具有非常强的可操作性的得</w:t>
            </w:r>
            <w:r>
              <w:rPr>
                <w:rFonts w:hint="eastAsia" w:ascii="宋体" w:hAnsi="宋体" w:eastAsia="宋体" w:cs="宋体"/>
                <w:bCs/>
                <w:color w:val="000000" w:themeColor="text1"/>
                <w:spacing w:val="10"/>
                <w:kern w:val="2"/>
                <w:sz w:val="21"/>
                <w:szCs w:val="21"/>
                <w:lang w:val="en-US" w:eastAsia="zh-CN"/>
                <w14:textFill>
                  <w14:solidFill>
                    <w14:schemeClr w14:val="tx1"/>
                  </w14:solidFill>
                </w14:textFill>
              </w:rPr>
              <w:t>6</w:t>
            </w:r>
            <w:r>
              <w:rPr>
                <w:rFonts w:hint="eastAsia" w:ascii="宋体" w:hAnsi="宋体" w:eastAsia="宋体" w:cs="宋体"/>
                <w:bCs/>
                <w:color w:val="000000" w:themeColor="text1"/>
                <w:spacing w:val="10"/>
                <w:kern w:val="2"/>
                <w:sz w:val="21"/>
                <w:szCs w:val="21"/>
                <w14:textFill>
                  <w14:solidFill>
                    <w14:schemeClr w14:val="tx1"/>
                  </w14:solidFill>
                </w14:textFill>
              </w:rPr>
              <w:t>-</w:t>
            </w:r>
            <w:r>
              <w:rPr>
                <w:rFonts w:hint="eastAsia" w:ascii="宋体" w:hAnsi="宋体" w:eastAsia="宋体" w:cs="宋体"/>
                <w:bCs/>
                <w:color w:val="000000" w:themeColor="text1"/>
                <w:spacing w:val="10"/>
                <w:kern w:val="2"/>
                <w:sz w:val="21"/>
                <w:szCs w:val="21"/>
                <w:lang w:val="en-US" w:eastAsia="zh-CN"/>
                <w14:textFill>
                  <w14:solidFill>
                    <w14:schemeClr w14:val="tx1"/>
                  </w14:solidFill>
                </w14:textFill>
              </w:rPr>
              <w:t>10</w:t>
            </w:r>
            <w:r>
              <w:rPr>
                <w:rFonts w:hint="eastAsia" w:ascii="宋体" w:hAnsi="宋体" w:eastAsia="宋体" w:cs="宋体"/>
                <w:bCs/>
                <w:color w:val="000000" w:themeColor="text1"/>
                <w:spacing w:val="10"/>
                <w:kern w:val="2"/>
                <w:sz w:val="21"/>
                <w:szCs w:val="21"/>
                <w14:textFill>
                  <w14:solidFill>
                    <w14:schemeClr w14:val="tx1"/>
                  </w14:solidFill>
                </w14:textFill>
              </w:rPr>
              <w:t>分；</w:t>
            </w:r>
          </w:p>
          <w:p>
            <w:pPr>
              <w:pStyle w:val="10"/>
              <w:ind w:firstLine="460" w:firstLineChars="200"/>
              <w:rPr>
                <w:rFonts w:ascii="宋体" w:hAnsi="宋体" w:eastAsia="宋体" w:cs="宋体"/>
                <w:bCs/>
                <w:color w:val="000000" w:themeColor="text1"/>
                <w:spacing w:val="10"/>
                <w:kern w:val="2"/>
                <w:sz w:val="21"/>
                <w:szCs w:val="21"/>
                <w14:textFill>
                  <w14:solidFill>
                    <w14:schemeClr w14:val="tx1"/>
                  </w14:solidFill>
                </w14:textFill>
              </w:rPr>
            </w:pPr>
            <w:r>
              <w:rPr>
                <w:rFonts w:hint="eastAsia" w:ascii="宋体" w:hAnsi="宋体" w:eastAsia="宋体" w:cs="宋体"/>
                <w:bCs/>
                <w:color w:val="000000" w:themeColor="text1"/>
                <w:spacing w:val="10"/>
                <w:kern w:val="2"/>
                <w:sz w:val="21"/>
                <w:szCs w:val="21"/>
                <w14:textFill>
                  <w14:solidFill>
                    <w14:schemeClr w14:val="tx1"/>
                  </w14:solidFill>
                </w14:textFill>
              </w:rPr>
              <w:t>方案科学、合理，具有较强的可操作性的得</w:t>
            </w:r>
            <w:r>
              <w:rPr>
                <w:rFonts w:hint="eastAsia" w:ascii="宋体" w:hAnsi="宋体" w:eastAsia="宋体" w:cs="宋体"/>
                <w:bCs/>
                <w:color w:val="000000" w:themeColor="text1"/>
                <w:spacing w:val="10"/>
                <w:kern w:val="2"/>
                <w:sz w:val="21"/>
                <w:szCs w:val="21"/>
                <w:lang w:val="en-US" w:eastAsia="zh-CN"/>
                <w14:textFill>
                  <w14:solidFill>
                    <w14:schemeClr w14:val="tx1"/>
                  </w14:solidFill>
                </w14:textFill>
              </w:rPr>
              <w:t>3</w:t>
            </w:r>
            <w:r>
              <w:rPr>
                <w:rFonts w:hint="eastAsia" w:ascii="宋体" w:hAnsi="宋体" w:eastAsia="宋体" w:cs="宋体"/>
                <w:bCs/>
                <w:color w:val="000000" w:themeColor="text1"/>
                <w:spacing w:val="10"/>
                <w:kern w:val="2"/>
                <w:sz w:val="21"/>
                <w:szCs w:val="21"/>
                <w14:textFill>
                  <w14:solidFill>
                    <w14:schemeClr w14:val="tx1"/>
                  </w14:solidFill>
                </w14:textFill>
              </w:rPr>
              <w:t>-</w:t>
            </w:r>
            <w:r>
              <w:rPr>
                <w:rFonts w:hint="eastAsia" w:ascii="宋体" w:hAnsi="宋体" w:eastAsia="宋体" w:cs="宋体"/>
                <w:bCs/>
                <w:color w:val="000000" w:themeColor="text1"/>
                <w:spacing w:val="10"/>
                <w:kern w:val="2"/>
                <w:sz w:val="21"/>
                <w:szCs w:val="21"/>
                <w:lang w:val="en-US" w:eastAsia="zh-CN"/>
                <w14:textFill>
                  <w14:solidFill>
                    <w14:schemeClr w14:val="tx1"/>
                  </w14:solidFill>
                </w14:textFill>
              </w:rPr>
              <w:t>6</w:t>
            </w:r>
            <w:r>
              <w:rPr>
                <w:rFonts w:hint="eastAsia" w:ascii="宋体" w:hAnsi="宋体" w:eastAsia="宋体" w:cs="宋体"/>
                <w:bCs/>
                <w:color w:val="000000" w:themeColor="text1"/>
                <w:spacing w:val="10"/>
                <w:kern w:val="2"/>
                <w:sz w:val="21"/>
                <w:szCs w:val="21"/>
                <w14:textFill>
                  <w14:solidFill>
                    <w14:schemeClr w14:val="tx1"/>
                  </w14:solidFill>
                </w14:textFill>
              </w:rPr>
              <w:t>分；</w:t>
            </w:r>
          </w:p>
          <w:p>
            <w:pPr>
              <w:ind w:firstLine="460" w:firstLineChars="200"/>
              <w:rPr>
                <w:rFonts w:ascii="宋体" w:hAnsi="宋体" w:cs="宋体"/>
                <w:bCs/>
                <w:color w:val="000000" w:themeColor="text1"/>
                <w:spacing w:val="10"/>
                <w:szCs w:val="21"/>
                <w14:textFill>
                  <w14:solidFill>
                    <w14:schemeClr w14:val="tx1"/>
                  </w14:solidFill>
                </w14:textFill>
              </w:rPr>
            </w:pPr>
            <w:r>
              <w:rPr>
                <w:rFonts w:hint="eastAsia" w:ascii="宋体" w:hAnsi="宋体" w:cs="宋体"/>
                <w:bCs/>
                <w:color w:val="000000" w:themeColor="text1"/>
                <w:spacing w:val="10"/>
                <w:szCs w:val="21"/>
                <w14:textFill>
                  <w14:solidFill>
                    <w14:schemeClr w14:val="tx1"/>
                  </w14:solidFill>
                </w14:textFill>
              </w:rPr>
              <w:t>方案科学、合理，具有一般的可操作性的得</w:t>
            </w:r>
            <w:r>
              <w:rPr>
                <w:rFonts w:hint="eastAsia" w:ascii="宋体" w:hAnsi="宋体" w:cs="宋体"/>
                <w:bCs/>
                <w:color w:val="000000" w:themeColor="text1"/>
                <w:spacing w:val="10"/>
                <w:szCs w:val="21"/>
                <w:lang w:val="en-US" w:eastAsia="zh-CN"/>
                <w14:textFill>
                  <w14:solidFill>
                    <w14:schemeClr w14:val="tx1"/>
                  </w14:solidFill>
                </w14:textFill>
              </w:rPr>
              <w:t>1</w:t>
            </w:r>
            <w:r>
              <w:rPr>
                <w:rFonts w:hint="eastAsia" w:ascii="宋体" w:hAnsi="宋体" w:cs="宋体"/>
                <w:bCs/>
                <w:color w:val="000000" w:themeColor="text1"/>
                <w:spacing w:val="10"/>
                <w:szCs w:val="21"/>
                <w14:textFill>
                  <w14:solidFill>
                    <w14:schemeClr w14:val="tx1"/>
                  </w14:solidFill>
                </w14:textFill>
              </w:rPr>
              <w:t>-</w:t>
            </w:r>
            <w:r>
              <w:rPr>
                <w:rFonts w:hint="eastAsia" w:ascii="宋体" w:hAnsi="宋体" w:cs="宋体"/>
                <w:bCs/>
                <w:color w:val="000000" w:themeColor="text1"/>
                <w:spacing w:val="10"/>
                <w:szCs w:val="21"/>
                <w:lang w:val="en-US" w:eastAsia="zh-CN"/>
                <w14:textFill>
                  <w14:solidFill>
                    <w14:schemeClr w14:val="tx1"/>
                  </w14:solidFill>
                </w14:textFill>
              </w:rPr>
              <w:t>3</w:t>
            </w:r>
            <w:r>
              <w:rPr>
                <w:rFonts w:hint="eastAsia" w:ascii="宋体" w:hAnsi="宋体" w:cs="宋体"/>
                <w:bCs/>
                <w:color w:val="000000" w:themeColor="text1"/>
                <w:spacing w:val="10"/>
                <w:szCs w:val="21"/>
                <w14:textFill>
                  <w14:solidFill>
                    <w14:schemeClr w14:val="tx1"/>
                  </w14:solidFill>
                </w14:textFill>
              </w:rPr>
              <w:t>分。</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相关内容缺失，不得分。</w:t>
            </w:r>
          </w:p>
        </w:tc>
        <w:tc>
          <w:tcPr>
            <w:tcW w:w="1078" w:type="dxa"/>
            <w:shd w:val="clear" w:color="000000" w:fill="FFFFFF"/>
            <w:vAlign w:val="center"/>
          </w:tcPr>
          <w:p>
            <w:pPr>
              <w:pStyle w:val="9"/>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w:t>
            </w:r>
            <w:r>
              <w:rPr>
                <w:rFonts w:ascii="宋体" w:hAnsi="宋体" w:cs="宋体"/>
                <w:color w:val="000000" w:themeColor="text1"/>
                <w:sz w:val="21"/>
                <w:szCs w:val="21"/>
                <w14:textFill>
                  <w14:solidFill>
                    <w14:schemeClr w14:val="tx1"/>
                  </w14:solidFill>
                </w14:textFill>
              </w:rPr>
              <w:t>10</w:t>
            </w:r>
            <w:r>
              <w:rPr>
                <w:rFonts w:hint="eastAsia" w:ascii="宋体" w:hAnsi="宋体" w:cs="宋体"/>
                <w:color w:val="000000" w:themeColor="text1"/>
                <w:sz w:val="21"/>
                <w:szCs w:val="21"/>
                <w14:textFill>
                  <w14:solidFill>
                    <w14:schemeClr w14:val="tx1"/>
                  </w14:solidFill>
                </w14:textFill>
              </w:rPr>
              <w:t>分</w:t>
            </w:r>
          </w:p>
        </w:tc>
        <w:tc>
          <w:tcPr>
            <w:tcW w:w="675" w:type="dxa"/>
            <w:shd w:val="clear" w:color="000000" w:fill="FFFFFF"/>
            <w:vAlign w:val="center"/>
          </w:tcPr>
          <w:p>
            <w:pPr>
              <w:pStyle w:val="9"/>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1495" w:type="dxa"/>
            <w:vMerge w:val="continue"/>
            <w:shd w:val="clear" w:color="000000" w:fill="FFFFFF"/>
            <w:vAlign w:val="center"/>
          </w:tcPr>
          <w:p>
            <w:pPr>
              <w:pStyle w:val="10"/>
              <w:rPr>
                <w:rFonts w:ascii="宋体" w:hAnsi="宋体" w:eastAsia="宋体" w:cs="宋体"/>
                <w:bCs/>
                <w:color w:val="000000" w:themeColor="text1"/>
                <w:spacing w:val="10"/>
                <w:kern w:val="2"/>
                <w:sz w:val="21"/>
                <w:szCs w:val="21"/>
                <w14:textFill>
                  <w14:solidFill>
                    <w14:schemeClr w14:val="tx1"/>
                  </w14:solidFill>
                </w14:textFill>
              </w:rPr>
            </w:pPr>
          </w:p>
        </w:tc>
        <w:tc>
          <w:tcPr>
            <w:tcW w:w="5386" w:type="dxa"/>
            <w:shd w:val="clear" w:color="000000" w:fill="FFFFFF"/>
            <w:vAlign w:val="center"/>
          </w:tcPr>
          <w:p>
            <w:pPr>
              <w:pStyle w:val="10"/>
              <w:rPr>
                <w:rFonts w:ascii="宋体" w:hAnsi="宋体" w:eastAsia="宋体" w:cs="宋体"/>
                <w:bCs/>
                <w:color w:val="000000" w:themeColor="text1"/>
                <w:spacing w:val="10"/>
                <w:kern w:val="2"/>
                <w:sz w:val="21"/>
                <w:szCs w:val="21"/>
                <w14:textFill>
                  <w14:solidFill>
                    <w14:schemeClr w14:val="tx1"/>
                  </w14:solidFill>
                </w14:textFill>
              </w:rPr>
            </w:pPr>
            <w:r>
              <w:rPr>
                <w:rFonts w:hint="eastAsia" w:ascii="宋体" w:hAnsi="宋体" w:eastAsia="宋体" w:cs="宋体"/>
                <w:bCs/>
                <w:color w:val="000000" w:themeColor="text1"/>
                <w:spacing w:val="10"/>
                <w:kern w:val="2"/>
                <w:sz w:val="21"/>
                <w:szCs w:val="21"/>
                <w14:textFill>
                  <w14:solidFill>
                    <w14:schemeClr w14:val="tx1"/>
                  </w14:solidFill>
                </w14:textFill>
              </w:rPr>
              <w:t>二、质量控制措施（</w:t>
            </w:r>
            <w:r>
              <w:rPr>
                <w:rFonts w:ascii="宋体" w:hAnsi="宋体" w:eastAsia="宋体" w:cs="宋体"/>
                <w:bCs/>
                <w:color w:val="000000" w:themeColor="text1"/>
                <w:spacing w:val="10"/>
                <w:kern w:val="2"/>
                <w:sz w:val="21"/>
                <w:szCs w:val="21"/>
                <w14:textFill>
                  <w14:solidFill>
                    <w14:schemeClr w14:val="tx1"/>
                  </w14:solidFill>
                </w14:textFill>
              </w:rPr>
              <w:t>2</w:t>
            </w:r>
            <w:r>
              <w:rPr>
                <w:rFonts w:hint="eastAsia" w:ascii="宋体" w:hAnsi="宋体" w:eastAsia="宋体" w:cs="宋体"/>
                <w:bCs/>
                <w:color w:val="000000" w:themeColor="text1"/>
                <w:spacing w:val="10"/>
                <w:kern w:val="2"/>
                <w:sz w:val="21"/>
                <w:szCs w:val="21"/>
                <w14:textFill>
                  <w14:solidFill>
                    <w14:schemeClr w14:val="tx1"/>
                  </w14:solidFill>
                </w14:textFill>
              </w:rPr>
              <w:t>分）</w:t>
            </w:r>
          </w:p>
          <w:p>
            <w:pPr>
              <w:pStyle w:val="10"/>
              <w:ind w:firstLine="460" w:firstLineChars="200"/>
              <w:rPr>
                <w:rFonts w:ascii="宋体" w:hAnsi="宋体" w:eastAsia="宋体" w:cs="宋体"/>
                <w:bCs/>
                <w:color w:val="000000" w:themeColor="text1"/>
                <w:spacing w:val="10"/>
                <w:kern w:val="2"/>
                <w:sz w:val="21"/>
                <w:szCs w:val="21"/>
                <w14:textFill>
                  <w14:solidFill>
                    <w14:schemeClr w14:val="tx1"/>
                  </w14:solidFill>
                </w14:textFill>
              </w:rPr>
            </w:pPr>
            <w:r>
              <w:rPr>
                <w:rFonts w:hint="eastAsia" w:ascii="宋体" w:hAnsi="宋体" w:eastAsia="宋体" w:cs="宋体"/>
                <w:bCs/>
                <w:color w:val="000000" w:themeColor="text1"/>
                <w:spacing w:val="10"/>
                <w:kern w:val="2"/>
                <w:sz w:val="21"/>
                <w:szCs w:val="21"/>
                <w14:textFill>
                  <w14:solidFill>
                    <w14:schemeClr w14:val="tx1"/>
                  </w14:solidFill>
                </w14:textFill>
              </w:rPr>
              <w:t>质量控制点设置充分、清晰；质量控制及保障措施具有针对性有效可行，明确承诺完成后续质量保障和服务工作，</w:t>
            </w:r>
            <w:r>
              <w:rPr>
                <w:rFonts w:ascii="宋体" w:hAnsi="宋体" w:eastAsia="宋体" w:cs="宋体"/>
                <w:bCs/>
                <w:color w:val="000000" w:themeColor="text1"/>
                <w:spacing w:val="10"/>
                <w:kern w:val="2"/>
                <w:sz w:val="21"/>
                <w:szCs w:val="21"/>
                <w14:textFill>
                  <w14:solidFill>
                    <w14:schemeClr w14:val="tx1"/>
                  </w14:solidFill>
                </w14:textFill>
              </w:rPr>
              <w:t>2</w:t>
            </w:r>
            <w:r>
              <w:rPr>
                <w:rFonts w:hint="eastAsia" w:ascii="宋体" w:hAnsi="宋体" w:eastAsia="宋体" w:cs="宋体"/>
                <w:bCs/>
                <w:color w:val="000000" w:themeColor="text1"/>
                <w:spacing w:val="10"/>
                <w:kern w:val="2"/>
                <w:sz w:val="21"/>
                <w:szCs w:val="21"/>
                <w14:textFill>
                  <w14:solidFill>
                    <w14:schemeClr w14:val="tx1"/>
                  </w14:solidFill>
                </w14:textFill>
              </w:rPr>
              <w:t>分；</w:t>
            </w:r>
          </w:p>
          <w:p>
            <w:pPr>
              <w:pStyle w:val="10"/>
              <w:ind w:firstLine="460" w:firstLineChars="200"/>
              <w:rPr>
                <w:rFonts w:ascii="宋体" w:hAnsi="宋体" w:eastAsia="宋体" w:cs="宋体"/>
                <w:bCs/>
                <w:color w:val="000000" w:themeColor="text1"/>
                <w:spacing w:val="10"/>
                <w:kern w:val="2"/>
                <w:sz w:val="21"/>
                <w:szCs w:val="21"/>
                <w14:textFill>
                  <w14:solidFill>
                    <w14:schemeClr w14:val="tx1"/>
                  </w14:solidFill>
                </w14:textFill>
              </w:rPr>
            </w:pPr>
            <w:r>
              <w:rPr>
                <w:rFonts w:hint="eastAsia" w:ascii="宋体" w:hAnsi="宋体" w:eastAsia="宋体" w:cs="宋体"/>
                <w:bCs/>
                <w:color w:val="000000" w:themeColor="text1"/>
                <w:spacing w:val="10"/>
                <w:kern w:val="2"/>
                <w:sz w:val="21"/>
                <w:szCs w:val="21"/>
                <w14:textFill>
                  <w14:solidFill>
                    <w14:schemeClr w14:val="tx1"/>
                  </w14:solidFill>
                </w14:textFill>
              </w:rPr>
              <w:t>质量控制点设置基本合理，有质量控制及保障措施，明确承诺完成后续质量保障和服务工作，对违约承担责任；</w:t>
            </w:r>
            <w:r>
              <w:rPr>
                <w:rFonts w:ascii="宋体" w:hAnsi="宋体" w:eastAsia="宋体" w:cs="宋体"/>
                <w:bCs/>
                <w:color w:val="000000" w:themeColor="text1"/>
                <w:spacing w:val="10"/>
                <w:kern w:val="2"/>
                <w:sz w:val="21"/>
                <w:szCs w:val="21"/>
                <w14:textFill>
                  <w14:solidFill>
                    <w14:schemeClr w14:val="tx1"/>
                  </w14:solidFill>
                </w14:textFill>
              </w:rPr>
              <w:t>1</w:t>
            </w:r>
            <w:r>
              <w:rPr>
                <w:rFonts w:hint="eastAsia" w:ascii="宋体" w:hAnsi="宋体" w:eastAsia="宋体" w:cs="宋体"/>
                <w:bCs/>
                <w:color w:val="000000" w:themeColor="text1"/>
                <w:spacing w:val="10"/>
                <w:kern w:val="2"/>
                <w:sz w:val="21"/>
                <w:szCs w:val="21"/>
                <w14:textFill>
                  <w14:solidFill>
                    <w14:schemeClr w14:val="tx1"/>
                  </w14:solidFill>
                </w14:textFill>
              </w:rPr>
              <w:t>分；</w:t>
            </w:r>
          </w:p>
          <w:p>
            <w:pPr>
              <w:pStyle w:val="10"/>
              <w:ind w:firstLine="460" w:firstLineChars="200"/>
              <w:rPr>
                <w:rFonts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bCs/>
                <w:color w:val="000000" w:themeColor="text1"/>
                <w:spacing w:val="10"/>
                <w:kern w:val="2"/>
                <w:sz w:val="21"/>
                <w:szCs w:val="21"/>
                <w14:textFill>
                  <w14:solidFill>
                    <w14:schemeClr w14:val="tx1"/>
                  </w14:solidFill>
                </w14:textFill>
              </w:rPr>
              <w:t>基本承诺完成后续质量保障和服务工作；</w:t>
            </w:r>
            <w:r>
              <w:rPr>
                <w:rFonts w:ascii="宋体" w:hAnsi="宋体" w:eastAsia="宋体" w:cs="宋体"/>
                <w:bCs/>
                <w:color w:val="000000" w:themeColor="text1"/>
                <w:spacing w:val="10"/>
                <w:kern w:val="2"/>
                <w:sz w:val="21"/>
                <w:szCs w:val="21"/>
                <w14:textFill>
                  <w14:solidFill>
                    <w14:schemeClr w14:val="tx1"/>
                  </w14:solidFill>
                </w14:textFill>
              </w:rPr>
              <w:t>0.5</w:t>
            </w:r>
            <w:r>
              <w:rPr>
                <w:rFonts w:hint="eastAsia" w:ascii="宋体" w:hAnsi="宋体" w:eastAsia="宋体" w:cs="宋体"/>
                <w:bCs/>
                <w:color w:val="000000" w:themeColor="text1"/>
                <w:spacing w:val="10"/>
                <w:kern w:val="2"/>
                <w:sz w:val="21"/>
                <w:szCs w:val="21"/>
                <w14:textFill>
                  <w14:solidFill>
                    <w14:schemeClr w14:val="tx1"/>
                  </w14:solidFill>
                </w14:textFill>
              </w:rPr>
              <w:t>分；相关内容缺失，不得分。</w:t>
            </w:r>
          </w:p>
        </w:tc>
        <w:tc>
          <w:tcPr>
            <w:tcW w:w="1078" w:type="dxa"/>
            <w:shd w:val="clear" w:color="000000" w:fill="FFFFFF"/>
            <w:vAlign w:val="center"/>
          </w:tcPr>
          <w:p>
            <w:pPr>
              <w:pStyle w:val="9"/>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w:t>
            </w:r>
            <w:r>
              <w:rPr>
                <w:rFonts w:ascii="宋体" w:hAnsi="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分</w:t>
            </w:r>
          </w:p>
        </w:tc>
        <w:tc>
          <w:tcPr>
            <w:tcW w:w="675" w:type="dxa"/>
            <w:shd w:val="clear" w:color="000000" w:fill="FFFFFF"/>
            <w:vAlign w:val="center"/>
          </w:tcPr>
          <w:p>
            <w:pPr>
              <w:pStyle w:val="9"/>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6" w:hRule="atLeast"/>
          <w:jc w:val="center"/>
        </w:trPr>
        <w:tc>
          <w:tcPr>
            <w:tcW w:w="1495" w:type="dxa"/>
            <w:vMerge w:val="continue"/>
            <w:shd w:val="clear" w:color="000000" w:fill="FFFFFF"/>
            <w:vAlign w:val="center"/>
          </w:tcPr>
          <w:p>
            <w:pPr>
              <w:pStyle w:val="10"/>
              <w:rPr>
                <w:rFonts w:ascii="宋体" w:hAnsi="宋体" w:eastAsia="宋体" w:cs="宋体"/>
                <w:bCs/>
                <w:color w:val="000000" w:themeColor="text1"/>
                <w:spacing w:val="10"/>
                <w:kern w:val="2"/>
                <w:sz w:val="21"/>
                <w:szCs w:val="21"/>
                <w14:textFill>
                  <w14:solidFill>
                    <w14:schemeClr w14:val="tx1"/>
                  </w14:solidFill>
                </w14:textFill>
              </w:rPr>
            </w:pPr>
          </w:p>
        </w:tc>
        <w:tc>
          <w:tcPr>
            <w:tcW w:w="5386" w:type="dxa"/>
            <w:shd w:val="clear" w:color="000000" w:fill="FFFFFF"/>
            <w:vAlign w:val="center"/>
          </w:tcPr>
          <w:p>
            <w:pPr>
              <w:pStyle w:val="10"/>
              <w:rPr>
                <w:rFonts w:ascii="宋体" w:hAnsi="宋体" w:eastAsia="宋体" w:cs="宋体"/>
                <w:bCs/>
                <w:color w:val="000000" w:themeColor="text1"/>
                <w:spacing w:val="10"/>
                <w:kern w:val="2"/>
                <w:sz w:val="21"/>
                <w:szCs w:val="21"/>
                <w14:textFill>
                  <w14:solidFill>
                    <w14:schemeClr w14:val="tx1"/>
                  </w14:solidFill>
                </w14:textFill>
              </w:rPr>
            </w:pPr>
            <w:r>
              <w:rPr>
                <w:rFonts w:hint="eastAsia" w:ascii="宋体" w:hAnsi="宋体" w:eastAsia="宋体" w:cs="宋体"/>
                <w:bCs/>
                <w:color w:val="000000" w:themeColor="text1"/>
                <w:spacing w:val="10"/>
                <w:kern w:val="2"/>
                <w:sz w:val="21"/>
                <w:szCs w:val="21"/>
                <w14:textFill>
                  <w14:solidFill>
                    <w14:schemeClr w14:val="tx1"/>
                  </w14:solidFill>
                </w14:textFill>
              </w:rPr>
              <w:t>三、进度控制（</w:t>
            </w:r>
            <w:r>
              <w:rPr>
                <w:rFonts w:ascii="宋体" w:hAnsi="宋体" w:eastAsia="宋体" w:cs="宋体"/>
                <w:bCs/>
                <w:color w:val="000000" w:themeColor="text1"/>
                <w:spacing w:val="10"/>
                <w:kern w:val="2"/>
                <w:sz w:val="21"/>
                <w:szCs w:val="21"/>
                <w14:textFill>
                  <w14:solidFill>
                    <w14:schemeClr w14:val="tx1"/>
                  </w14:solidFill>
                </w14:textFill>
              </w:rPr>
              <w:t>1</w:t>
            </w:r>
            <w:r>
              <w:rPr>
                <w:rFonts w:hint="eastAsia" w:ascii="宋体" w:hAnsi="宋体" w:eastAsia="宋体" w:cs="宋体"/>
                <w:bCs/>
                <w:color w:val="000000" w:themeColor="text1"/>
                <w:spacing w:val="10"/>
                <w:kern w:val="2"/>
                <w:sz w:val="21"/>
                <w:szCs w:val="21"/>
                <w14:textFill>
                  <w14:solidFill>
                    <w14:schemeClr w14:val="tx1"/>
                  </w14:solidFill>
                </w14:textFill>
              </w:rPr>
              <w:t>分）</w:t>
            </w:r>
          </w:p>
          <w:p>
            <w:pPr>
              <w:pStyle w:val="10"/>
              <w:ind w:firstLine="460" w:firstLineChars="200"/>
              <w:rPr>
                <w:rFonts w:ascii="宋体" w:hAnsi="宋体" w:eastAsia="宋体" w:cs="宋体"/>
                <w:bCs/>
                <w:color w:val="000000" w:themeColor="text1"/>
                <w:spacing w:val="10"/>
                <w:kern w:val="2"/>
                <w:sz w:val="21"/>
                <w:szCs w:val="21"/>
                <w14:textFill>
                  <w14:solidFill>
                    <w14:schemeClr w14:val="tx1"/>
                  </w14:solidFill>
                </w14:textFill>
              </w:rPr>
            </w:pPr>
            <w:r>
              <w:rPr>
                <w:rFonts w:hint="eastAsia" w:ascii="宋体" w:hAnsi="宋体" w:eastAsia="宋体" w:cs="宋体"/>
                <w:bCs/>
                <w:color w:val="000000" w:themeColor="text1"/>
                <w:spacing w:val="10"/>
                <w:kern w:val="2"/>
                <w:sz w:val="21"/>
                <w:szCs w:val="21"/>
                <w14:textFill>
                  <w14:solidFill>
                    <w14:schemeClr w14:val="tx1"/>
                  </w14:solidFill>
                </w14:textFill>
              </w:rPr>
              <w:t>严格按成果提交时限要求、内容要求，根据生产各环节关键时间点有序推进，进度控制科学，职责分工合理的；</w:t>
            </w:r>
            <w:r>
              <w:rPr>
                <w:rFonts w:ascii="宋体" w:hAnsi="宋体" w:eastAsia="宋体" w:cs="宋体"/>
                <w:bCs/>
                <w:color w:val="000000" w:themeColor="text1"/>
                <w:spacing w:val="10"/>
                <w:kern w:val="2"/>
                <w:sz w:val="21"/>
                <w:szCs w:val="21"/>
                <w14:textFill>
                  <w14:solidFill>
                    <w14:schemeClr w14:val="tx1"/>
                  </w14:solidFill>
                </w14:textFill>
              </w:rPr>
              <w:t>1</w:t>
            </w:r>
            <w:r>
              <w:rPr>
                <w:rFonts w:hint="eastAsia" w:ascii="宋体" w:hAnsi="宋体" w:eastAsia="宋体" w:cs="宋体"/>
                <w:bCs/>
                <w:color w:val="000000" w:themeColor="text1"/>
                <w:spacing w:val="10"/>
                <w:kern w:val="2"/>
                <w:sz w:val="21"/>
                <w:szCs w:val="21"/>
                <w14:textFill>
                  <w14:solidFill>
                    <w14:schemeClr w14:val="tx1"/>
                  </w14:solidFill>
                </w14:textFill>
              </w:rPr>
              <w:t>分；</w:t>
            </w:r>
          </w:p>
          <w:p>
            <w:pPr>
              <w:pStyle w:val="10"/>
              <w:ind w:firstLine="460" w:firstLineChars="200"/>
              <w:rPr>
                <w:rFonts w:ascii="宋体" w:hAnsi="宋体" w:eastAsia="宋体" w:cs="宋体"/>
                <w:bCs/>
                <w:color w:val="000000" w:themeColor="text1"/>
                <w:spacing w:val="10"/>
                <w:kern w:val="2"/>
                <w:sz w:val="21"/>
                <w:szCs w:val="21"/>
                <w14:textFill>
                  <w14:solidFill>
                    <w14:schemeClr w14:val="tx1"/>
                  </w14:solidFill>
                </w14:textFill>
              </w:rPr>
            </w:pPr>
            <w:r>
              <w:rPr>
                <w:rFonts w:hint="eastAsia" w:ascii="宋体" w:hAnsi="宋体" w:eastAsia="宋体" w:cs="宋体"/>
                <w:bCs/>
                <w:color w:val="000000" w:themeColor="text1"/>
                <w:spacing w:val="10"/>
                <w:kern w:val="2"/>
                <w:sz w:val="21"/>
                <w:szCs w:val="21"/>
                <w14:textFill>
                  <w14:solidFill>
                    <w14:schemeClr w14:val="tx1"/>
                  </w14:solidFill>
                </w14:textFill>
              </w:rPr>
              <w:t>满足成果提交时限、内容要求，各环节时间节点较为明确，并附有较清晰的职责分工；</w:t>
            </w:r>
            <w:r>
              <w:rPr>
                <w:rFonts w:ascii="宋体" w:hAnsi="宋体" w:eastAsia="宋体" w:cs="宋体"/>
                <w:bCs/>
                <w:color w:val="000000" w:themeColor="text1"/>
                <w:spacing w:val="10"/>
                <w:kern w:val="2"/>
                <w:sz w:val="21"/>
                <w:szCs w:val="21"/>
                <w14:textFill>
                  <w14:solidFill>
                    <w14:schemeClr w14:val="tx1"/>
                  </w14:solidFill>
                </w14:textFill>
              </w:rPr>
              <w:t>0.5</w:t>
            </w:r>
            <w:r>
              <w:rPr>
                <w:rFonts w:hint="eastAsia" w:ascii="宋体" w:hAnsi="宋体" w:eastAsia="宋体" w:cs="宋体"/>
                <w:bCs/>
                <w:color w:val="000000" w:themeColor="text1"/>
                <w:spacing w:val="10"/>
                <w:kern w:val="2"/>
                <w:sz w:val="21"/>
                <w:szCs w:val="21"/>
                <w14:textFill>
                  <w14:solidFill>
                    <w14:schemeClr w14:val="tx1"/>
                  </w14:solidFill>
                </w14:textFill>
              </w:rPr>
              <w:t>分；</w:t>
            </w:r>
          </w:p>
          <w:p>
            <w:pPr>
              <w:pStyle w:val="10"/>
              <w:ind w:firstLine="460" w:firstLineChars="200"/>
              <w:rPr>
                <w:rFonts w:ascii="宋体" w:hAnsi="宋体" w:eastAsia="宋体" w:cs="宋体"/>
                <w:bCs/>
                <w:color w:val="000000" w:themeColor="text1"/>
                <w:spacing w:val="10"/>
                <w:kern w:val="2"/>
                <w:sz w:val="21"/>
                <w:szCs w:val="21"/>
                <w14:textFill>
                  <w14:solidFill>
                    <w14:schemeClr w14:val="tx1"/>
                  </w14:solidFill>
                </w14:textFill>
              </w:rPr>
            </w:pPr>
            <w:r>
              <w:rPr>
                <w:rFonts w:hint="eastAsia" w:ascii="宋体" w:hAnsi="宋体" w:eastAsia="宋体" w:cs="宋体"/>
                <w:bCs/>
                <w:color w:val="000000" w:themeColor="text1"/>
                <w:spacing w:val="10"/>
                <w:kern w:val="2"/>
                <w:sz w:val="21"/>
                <w:szCs w:val="21"/>
                <w14:textFill>
                  <w14:solidFill>
                    <w14:schemeClr w14:val="tx1"/>
                  </w14:solidFill>
                </w14:textFill>
              </w:rPr>
              <w:t>只承诺满足成果提交时限、内容要求，时间节点划分不清晰，职责分工较为简单；不得分。</w:t>
            </w:r>
          </w:p>
        </w:tc>
        <w:tc>
          <w:tcPr>
            <w:tcW w:w="1078" w:type="dxa"/>
            <w:shd w:val="clear" w:color="000000" w:fill="FFFFFF"/>
            <w:vAlign w:val="center"/>
          </w:tcPr>
          <w:p>
            <w:pPr>
              <w:pStyle w:val="9"/>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w:t>
            </w:r>
            <w:r>
              <w:rPr>
                <w:rFonts w:ascii="宋体" w:hAnsi="宋体" w:cs="宋体"/>
                <w:color w:val="000000" w:themeColor="text1"/>
                <w:sz w:val="21"/>
                <w:szCs w:val="21"/>
                <w14:textFill>
                  <w14:solidFill>
                    <w14:schemeClr w14:val="tx1"/>
                  </w14:solidFill>
                </w14:textFill>
              </w:rPr>
              <w:t>1</w:t>
            </w:r>
            <w:r>
              <w:rPr>
                <w:rFonts w:hint="eastAsia" w:ascii="宋体" w:hAnsi="宋体" w:cs="宋体"/>
                <w:color w:val="000000" w:themeColor="text1"/>
                <w:sz w:val="21"/>
                <w:szCs w:val="21"/>
                <w14:textFill>
                  <w14:solidFill>
                    <w14:schemeClr w14:val="tx1"/>
                  </w14:solidFill>
                </w14:textFill>
              </w:rPr>
              <w:t>分</w:t>
            </w:r>
          </w:p>
        </w:tc>
        <w:tc>
          <w:tcPr>
            <w:tcW w:w="675" w:type="dxa"/>
            <w:shd w:val="clear" w:color="000000" w:fill="FFFFFF"/>
            <w:vAlign w:val="center"/>
          </w:tcPr>
          <w:p>
            <w:pPr>
              <w:pStyle w:val="9"/>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495" w:type="dxa"/>
            <w:vMerge w:val="continue"/>
            <w:shd w:val="clear" w:color="000000" w:fill="FFFFFF"/>
            <w:vAlign w:val="center"/>
          </w:tcPr>
          <w:p>
            <w:pPr>
              <w:pStyle w:val="10"/>
              <w:rPr>
                <w:rFonts w:ascii="宋体" w:hAnsi="宋体" w:eastAsia="宋体" w:cs="宋体"/>
                <w:bCs/>
                <w:color w:val="000000" w:themeColor="text1"/>
                <w:spacing w:val="10"/>
                <w:kern w:val="2"/>
                <w:sz w:val="21"/>
                <w:szCs w:val="21"/>
                <w14:textFill>
                  <w14:solidFill>
                    <w14:schemeClr w14:val="tx1"/>
                  </w14:solidFill>
                </w14:textFill>
              </w:rPr>
            </w:pPr>
          </w:p>
        </w:tc>
        <w:tc>
          <w:tcPr>
            <w:tcW w:w="5386" w:type="dxa"/>
            <w:shd w:val="clear" w:color="000000" w:fill="FFFFFF"/>
            <w:vAlign w:val="center"/>
          </w:tcPr>
          <w:p>
            <w:pPr>
              <w:pStyle w:val="10"/>
              <w:rPr>
                <w:rFonts w:ascii="宋体" w:hAnsi="宋体" w:eastAsia="宋体" w:cs="宋体"/>
                <w:bCs/>
                <w:color w:val="000000" w:themeColor="text1"/>
                <w:spacing w:val="10"/>
                <w:kern w:val="2"/>
                <w:sz w:val="21"/>
                <w:szCs w:val="21"/>
                <w14:textFill>
                  <w14:solidFill>
                    <w14:schemeClr w14:val="tx1"/>
                  </w14:solidFill>
                </w14:textFill>
              </w:rPr>
            </w:pPr>
            <w:r>
              <w:rPr>
                <w:rFonts w:hint="eastAsia" w:ascii="宋体" w:hAnsi="宋体" w:eastAsia="宋体" w:cs="宋体"/>
                <w:bCs/>
                <w:color w:val="000000" w:themeColor="text1"/>
                <w:spacing w:val="10"/>
                <w:kern w:val="2"/>
                <w:sz w:val="21"/>
                <w:szCs w:val="21"/>
                <w14:textFill>
                  <w14:solidFill>
                    <w14:schemeClr w14:val="tx1"/>
                  </w14:solidFill>
                </w14:textFill>
              </w:rPr>
              <w:t>四、保密制度（</w:t>
            </w:r>
            <w:r>
              <w:rPr>
                <w:rFonts w:ascii="宋体" w:hAnsi="宋体" w:eastAsia="宋体" w:cs="宋体"/>
                <w:bCs/>
                <w:color w:val="000000" w:themeColor="text1"/>
                <w:spacing w:val="10"/>
                <w:kern w:val="2"/>
                <w:sz w:val="21"/>
                <w:szCs w:val="21"/>
                <w14:textFill>
                  <w14:solidFill>
                    <w14:schemeClr w14:val="tx1"/>
                  </w14:solidFill>
                </w14:textFill>
              </w:rPr>
              <w:t>2</w:t>
            </w:r>
            <w:r>
              <w:rPr>
                <w:rFonts w:hint="eastAsia" w:ascii="宋体" w:hAnsi="宋体" w:eastAsia="宋体" w:cs="宋体"/>
                <w:bCs/>
                <w:color w:val="000000" w:themeColor="text1"/>
                <w:spacing w:val="10"/>
                <w:kern w:val="2"/>
                <w:sz w:val="21"/>
                <w:szCs w:val="21"/>
                <w14:textFill>
                  <w14:solidFill>
                    <w14:schemeClr w14:val="tx1"/>
                  </w14:solidFill>
                </w14:textFill>
              </w:rPr>
              <w:t>分）</w:t>
            </w:r>
          </w:p>
          <w:p>
            <w:pPr>
              <w:pStyle w:val="10"/>
              <w:ind w:firstLine="460" w:firstLineChars="200"/>
              <w:rPr>
                <w:rFonts w:ascii="宋体" w:hAnsi="宋体" w:eastAsia="宋体" w:cs="宋体"/>
                <w:bCs/>
                <w:color w:val="000000" w:themeColor="text1"/>
                <w:spacing w:val="10"/>
                <w:kern w:val="2"/>
                <w:sz w:val="21"/>
                <w:szCs w:val="21"/>
                <w14:textFill>
                  <w14:solidFill>
                    <w14:schemeClr w14:val="tx1"/>
                  </w14:solidFill>
                </w14:textFill>
              </w:rPr>
            </w:pPr>
            <w:r>
              <w:rPr>
                <w:rFonts w:hint="eastAsia" w:ascii="宋体" w:hAnsi="宋体" w:eastAsia="宋体" w:cs="宋体"/>
                <w:bCs/>
                <w:color w:val="000000" w:themeColor="text1"/>
                <w:spacing w:val="10"/>
                <w:kern w:val="2"/>
                <w:sz w:val="21"/>
                <w:szCs w:val="21"/>
                <w14:textFill>
                  <w14:solidFill>
                    <w14:schemeClr w14:val="tx1"/>
                  </w14:solidFill>
                </w14:textFill>
              </w:rPr>
              <w:t>有保密承诺，且有数据保密管理制度，措施合理有效，</w:t>
            </w:r>
            <w:r>
              <w:rPr>
                <w:rFonts w:ascii="宋体" w:hAnsi="宋体" w:eastAsia="宋体" w:cs="宋体"/>
                <w:bCs/>
                <w:color w:val="000000" w:themeColor="text1"/>
                <w:spacing w:val="10"/>
                <w:kern w:val="2"/>
                <w:sz w:val="21"/>
                <w:szCs w:val="21"/>
                <w14:textFill>
                  <w14:solidFill>
                    <w14:schemeClr w14:val="tx1"/>
                  </w14:solidFill>
                </w14:textFill>
              </w:rPr>
              <w:t>2</w:t>
            </w:r>
            <w:r>
              <w:rPr>
                <w:rFonts w:hint="eastAsia" w:ascii="宋体" w:hAnsi="宋体" w:eastAsia="宋体" w:cs="宋体"/>
                <w:bCs/>
                <w:color w:val="000000" w:themeColor="text1"/>
                <w:spacing w:val="10"/>
                <w:kern w:val="2"/>
                <w:sz w:val="21"/>
                <w:szCs w:val="21"/>
                <w14:textFill>
                  <w14:solidFill>
                    <w14:schemeClr w14:val="tx1"/>
                  </w14:solidFill>
                </w14:textFill>
              </w:rPr>
              <w:t>分；</w:t>
            </w:r>
          </w:p>
          <w:p>
            <w:pPr>
              <w:pStyle w:val="10"/>
              <w:ind w:firstLine="460" w:firstLineChars="200"/>
              <w:rPr>
                <w:rFonts w:ascii="宋体" w:hAnsi="宋体" w:eastAsia="宋体" w:cs="宋体"/>
                <w:bCs/>
                <w:color w:val="000000" w:themeColor="text1"/>
                <w:spacing w:val="10"/>
                <w:kern w:val="2"/>
                <w:sz w:val="21"/>
                <w:szCs w:val="21"/>
                <w14:textFill>
                  <w14:solidFill>
                    <w14:schemeClr w14:val="tx1"/>
                  </w14:solidFill>
                </w14:textFill>
              </w:rPr>
            </w:pPr>
            <w:r>
              <w:rPr>
                <w:rFonts w:hint="eastAsia" w:ascii="宋体" w:hAnsi="宋体" w:eastAsia="宋体" w:cs="宋体"/>
                <w:bCs/>
                <w:color w:val="000000" w:themeColor="text1"/>
                <w:spacing w:val="10"/>
                <w:kern w:val="2"/>
                <w:sz w:val="21"/>
                <w:szCs w:val="21"/>
                <w14:textFill>
                  <w14:solidFill>
                    <w14:schemeClr w14:val="tx1"/>
                  </w14:solidFill>
                </w14:textFill>
              </w:rPr>
              <w:t>有保密承诺、数据保密管理制度，但措施针对性不强或无具体措施，</w:t>
            </w:r>
            <w:r>
              <w:rPr>
                <w:rFonts w:ascii="宋体" w:hAnsi="宋体" w:eastAsia="宋体" w:cs="宋体"/>
                <w:bCs/>
                <w:color w:val="000000" w:themeColor="text1"/>
                <w:spacing w:val="10"/>
                <w:kern w:val="2"/>
                <w:sz w:val="21"/>
                <w:szCs w:val="21"/>
                <w14:textFill>
                  <w14:solidFill>
                    <w14:schemeClr w14:val="tx1"/>
                  </w14:solidFill>
                </w14:textFill>
              </w:rPr>
              <w:t>1</w:t>
            </w:r>
            <w:r>
              <w:rPr>
                <w:rFonts w:hint="eastAsia" w:ascii="宋体" w:hAnsi="宋体" w:eastAsia="宋体" w:cs="宋体"/>
                <w:bCs/>
                <w:color w:val="000000" w:themeColor="text1"/>
                <w:spacing w:val="10"/>
                <w:kern w:val="2"/>
                <w:sz w:val="21"/>
                <w:szCs w:val="21"/>
                <w14:textFill>
                  <w14:solidFill>
                    <w14:schemeClr w14:val="tx1"/>
                  </w14:solidFill>
                </w14:textFill>
              </w:rPr>
              <w:t>分；</w:t>
            </w:r>
          </w:p>
          <w:p>
            <w:pPr>
              <w:pStyle w:val="10"/>
              <w:ind w:firstLine="460" w:firstLineChars="200"/>
              <w:rPr>
                <w:rFonts w:ascii="宋体" w:hAnsi="宋体" w:eastAsia="宋体" w:cs="宋体"/>
                <w:bCs/>
                <w:color w:val="000000" w:themeColor="text1"/>
                <w:spacing w:val="10"/>
                <w:kern w:val="2"/>
                <w:sz w:val="21"/>
                <w:szCs w:val="21"/>
                <w14:textFill>
                  <w14:solidFill>
                    <w14:schemeClr w14:val="tx1"/>
                  </w14:solidFill>
                </w14:textFill>
              </w:rPr>
            </w:pPr>
            <w:r>
              <w:rPr>
                <w:rFonts w:hint="eastAsia" w:ascii="宋体" w:hAnsi="宋体" w:eastAsia="宋体" w:cs="宋体"/>
                <w:bCs/>
                <w:color w:val="000000" w:themeColor="text1"/>
                <w:spacing w:val="10"/>
                <w:kern w:val="2"/>
                <w:sz w:val="21"/>
                <w:szCs w:val="21"/>
                <w14:textFill>
                  <w14:solidFill>
                    <w14:schemeClr w14:val="tx1"/>
                  </w14:solidFill>
                </w14:textFill>
              </w:rPr>
              <w:t>仅有保密承诺，无具体措施和制度，</w:t>
            </w:r>
            <w:r>
              <w:rPr>
                <w:rFonts w:ascii="宋体" w:hAnsi="宋体" w:eastAsia="宋体" w:cs="宋体"/>
                <w:bCs/>
                <w:color w:val="000000" w:themeColor="text1"/>
                <w:spacing w:val="10"/>
                <w:kern w:val="2"/>
                <w:sz w:val="21"/>
                <w:szCs w:val="21"/>
                <w14:textFill>
                  <w14:solidFill>
                    <w14:schemeClr w14:val="tx1"/>
                  </w14:solidFill>
                </w14:textFill>
              </w:rPr>
              <w:t>0.5</w:t>
            </w:r>
            <w:r>
              <w:rPr>
                <w:rFonts w:hint="eastAsia" w:ascii="宋体" w:hAnsi="宋体" w:eastAsia="宋体" w:cs="宋体"/>
                <w:bCs/>
                <w:color w:val="000000" w:themeColor="text1"/>
                <w:spacing w:val="10"/>
                <w:kern w:val="2"/>
                <w:sz w:val="21"/>
                <w:szCs w:val="21"/>
                <w14:textFill>
                  <w14:solidFill>
                    <w14:schemeClr w14:val="tx1"/>
                  </w14:solidFill>
                </w14:textFill>
              </w:rPr>
              <w:t>分；</w:t>
            </w:r>
          </w:p>
          <w:p>
            <w:pPr>
              <w:pStyle w:val="10"/>
              <w:ind w:firstLine="460" w:firstLineChars="200"/>
              <w:rPr>
                <w:rFonts w:ascii="宋体" w:hAnsi="宋体" w:eastAsia="宋体" w:cs="宋体"/>
                <w:bCs/>
                <w:color w:val="000000" w:themeColor="text1"/>
                <w:spacing w:val="10"/>
                <w:kern w:val="2"/>
                <w:sz w:val="21"/>
                <w:szCs w:val="21"/>
                <w14:textFill>
                  <w14:solidFill>
                    <w14:schemeClr w14:val="tx1"/>
                  </w14:solidFill>
                </w14:textFill>
              </w:rPr>
            </w:pPr>
            <w:r>
              <w:rPr>
                <w:rFonts w:hint="eastAsia" w:ascii="宋体" w:hAnsi="宋体" w:eastAsia="宋体" w:cs="宋体"/>
                <w:bCs/>
                <w:color w:val="000000" w:themeColor="text1"/>
                <w:spacing w:val="10"/>
                <w:kern w:val="2"/>
                <w:sz w:val="21"/>
                <w:szCs w:val="21"/>
                <w14:textFill>
                  <w14:solidFill>
                    <w14:schemeClr w14:val="tx1"/>
                  </w14:solidFill>
                </w14:textFill>
              </w:rPr>
              <w:t>无保密承诺，不得分。</w:t>
            </w:r>
          </w:p>
        </w:tc>
        <w:tc>
          <w:tcPr>
            <w:tcW w:w="1078" w:type="dxa"/>
            <w:shd w:val="clear" w:color="000000" w:fill="FFFFFF"/>
            <w:vAlign w:val="center"/>
          </w:tcPr>
          <w:p>
            <w:pPr>
              <w:pStyle w:val="9"/>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w:t>
            </w:r>
            <w:r>
              <w:rPr>
                <w:rFonts w:ascii="宋体" w:hAnsi="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分</w:t>
            </w:r>
          </w:p>
        </w:tc>
        <w:tc>
          <w:tcPr>
            <w:tcW w:w="675" w:type="dxa"/>
            <w:shd w:val="clear" w:color="000000" w:fill="FFFFFF"/>
            <w:vAlign w:val="center"/>
          </w:tcPr>
          <w:p>
            <w:pPr>
              <w:pStyle w:val="9"/>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5" w:type="dxa"/>
            <w:vMerge w:val="restart"/>
            <w:shd w:val="clear" w:color="000000" w:fill="FFFFFF"/>
            <w:vAlign w:val="center"/>
          </w:tcPr>
          <w:p>
            <w:pPr>
              <w:pStyle w:val="9"/>
              <w:jc w:val="center"/>
              <w:rPr>
                <w:rFonts w:ascii="宋体" w:hAnsi="宋体" w:cs="宋体"/>
                <w:color w:val="000000" w:themeColor="text1"/>
                <w:sz w:val="21"/>
                <w:szCs w:val="21"/>
                <w14:textFill>
                  <w14:solidFill>
                    <w14:schemeClr w14:val="tx1"/>
                  </w14:solidFill>
                </w14:textFill>
              </w:rPr>
            </w:pPr>
          </w:p>
          <w:p>
            <w:pPr>
              <w:pStyle w:val="9"/>
              <w:jc w:val="center"/>
              <w:rPr>
                <w:rFonts w:ascii="宋体" w:hAnsi="宋体" w:cs="宋体"/>
                <w:color w:val="000000" w:themeColor="text1"/>
                <w:sz w:val="21"/>
                <w:szCs w:val="21"/>
                <w14:textFill>
                  <w14:solidFill>
                    <w14:schemeClr w14:val="tx1"/>
                  </w14:solidFill>
                </w14:textFill>
              </w:rPr>
            </w:pPr>
          </w:p>
          <w:p>
            <w:pPr>
              <w:pStyle w:val="9"/>
              <w:jc w:val="center"/>
              <w:rPr>
                <w:rFonts w:ascii="宋体" w:hAnsi="宋体" w:cs="宋体"/>
                <w:color w:val="000000" w:themeColor="text1"/>
                <w:sz w:val="21"/>
                <w:szCs w:val="21"/>
                <w14:textFill>
                  <w14:solidFill>
                    <w14:schemeClr w14:val="tx1"/>
                  </w14:solidFill>
                </w14:textFill>
              </w:rPr>
            </w:pPr>
          </w:p>
          <w:p>
            <w:pPr>
              <w:pStyle w:val="9"/>
              <w:jc w:val="center"/>
              <w:rPr>
                <w:rFonts w:ascii="宋体" w:hAnsi="宋体" w:cs="宋体"/>
                <w:color w:val="000000" w:themeColor="text1"/>
                <w:sz w:val="21"/>
                <w:szCs w:val="21"/>
                <w14:textFill>
                  <w14:solidFill>
                    <w14:schemeClr w14:val="tx1"/>
                  </w14:solidFill>
                </w14:textFill>
              </w:rPr>
            </w:pPr>
          </w:p>
          <w:p>
            <w:pPr>
              <w:pStyle w:val="9"/>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商务分</w:t>
            </w:r>
            <w:r>
              <w:rPr>
                <w:rFonts w:hint="eastAsia" w:ascii="宋体" w:hAnsi="宋体" w:cs="宋体"/>
                <w:color w:val="000000" w:themeColor="text1"/>
                <w:sz w:val="21"/>
                <w:szCs w:val="21"/>
                <w14:textFill>
                  <w14:solidFill>
                    <w14:schemeClr w14:val="tx1"/>
                  </w14:solidFill>
                </w14:textFill>
              </w:rPr>
              <w:br w:type="textWrapping"/>
            </w:r>
            <w:r>
              <w:rPr>
                <w:rFonts w:hint="eastAsia" w:ascii="宋体" w:hAnsi="宋体" w:cs="宋体"/>
                <w:color w:val="000000" w:themeColor="text1"/>
                <w:sz w:val="21"/>
                <w:szCs w:val="21"/>
                <w14:textFill>
                  <w14:solidFill>
                    <w14:schemeClr w14:val="tx1"/>
                  </w14:solidFill>
                </w14:textFill>
              </w:rPr>
              <w:t>（</w:t>
            </w:r>
            <w:r>
              <w:rPr>
                <w:rFonts w:ascii="宋体" w:hAnsi="宋体" w:cs="宋体"/>
                <w:sz w:val="21"/>
                <w:szCs w:val="21"/>
              </w:rPr>
              <w:t>75</w:t>
            </w:r>
            <w:r>
              <w:rPr>
                <w:rFonts w:hint="eastAsia" w:ascii="宋体" w:hAnsi="宋体" w:cs="宋体"/>
                <w:color w:val="000000" w:themeColor="text1"/>
                <w:sz w:val="21"/>
                <w:szCs w:val="21"/>
                <w14:textFill>
                  <w14:solidFill>
                    <w14:schemeClr w14:val="tx1"/>
                  </w14:solidFill>
                </w14:textFill>
              </w:rPr>
              <w:t>分）</w:t>
            </w:r>
          </w:p>
        </w:tc>
        <w:tc>
          <w:tcPr>
            <w:tcW w:w="5386" w:type="dxa"/>
            <w:shd w:val="clear" w:color="000000" w:fill="FFFFFF"/>
            <w:vAlign w:val="center"/>
          </w:tcPr>
          <w:p>
            <w:pPr>
              <w:pStyle w:val="10"/>
              <w:rPr>
                <w:rFonts w:ascii="宋体" w:hAnsi="宋体" w:eastAsia="宋体" w:cs="宋体"/>
                <w:bCs/>
                <w:spacing w:val="10"/>
                <w:sz w:val="21"/>
                <w:szCs w:val="21"/>
              </w:rPr>
            </w:pPr>
            <w:r>
              <w:rPr>
                <w:rFonts w:hint="eastAsia" w:ascii="宋体" w:hAnsi="宋体" w:eastAsia="宋体" w:cs="宋体"/>
                <w:bCs/>
                <w:spacing w:val="10"/>
                <w:sz w:val="21"/>
                <w:szCs w:val="21"/>
              </w:rPr>
              <w:t>1、投入仪器及设备情况</w:t>
            </w:r>
          </w:p>
          <w:p>
            <w:pPr>
              <w:pStyle w:val="10"/>
              <w:ind w:firstLine="420" w:firstLineChars="200"/>
              <w:rPr>
                <w:rFonts w:ascii="宋体" w:hAnsi="宋体" w:eastAsia="宋体" w:cs="宋体"/>
                <w:bCs/>
                <w:kern w:val="2"/>
                <w:sz w:val="21"/>
                <w:szCs w:val="21"/>
              </w:rPr>
            </w:pPr>
            <w:r>
              <w:rPr>
                <w:rFonts w:hint="eastAsia" w:ascii="宋体" w:hAnsi="宋体" w:eastAsia="宋体" w:cs="宋体"/>
                <w:bCs/>
                <w:kern w:val="2"/>
                <w:sz w:val="21"/>
                <w:szCs w:val="21"/>
              </w:rPr>
              <w:t>（1）投标供应商拟投入本项目无人机十台以下（不含十台）每台得1分，十台及以上的得</w:t>
            </w:r>
            <w:r>
              <w:rPr>
                <w:rFonts w:ascii="宋体" w:hAnsi="宋体" w:eastAsia="宋体" w:cs="宋体"/>
                <w:bCs/>
                <w:kern w:val="2"/>
                <w:sz w:val="21"/>
                <w:szCs w:val="21"/>
              </w:rPr>
              <w:t>10</w:t>
            </w:r>
            <w:r>
              <w:rPr>
                <w:rFonts w:hint="eastAsia" w:ascii="宋体" w:hAnsi="宋体" w:eastAsia="宋体" w:cs="宋体"/>
                <w:bCs/>
                <w:kern w:val="2"/>
                <w:sz w:val="21"/>
                <w:szCs w:val="21"/>
              </w:rPr>
              <w:t>分，本项满分</w:t>
            </w:r>
            <w:r>
              <w:rPr>
                <w:rFonts w:ascii="宋体" w:hAnsi="宋体" w:eastAsia="宋体" w:cs="宋体"/>
                <w:bCs/>
                <w:kern w:val="2"/>
                <w:sz w:val="21"/>
                <w:szCs w:val="21"/>
              </w:rPr>
              <w:t>10</w:t>
            </w:r>
            <w:r>
              <w:rPr>
                <w:rFonts w:hint="eastAsia" w:ascii="宋体" w:hAnsi="宋体" w:eastAsia="宋体" w:cs="宋体"/>
                <w:bCs/>
                <w:kern w:val="2"/>
                <w:sz w:val="21"/>
                <w:szCs w:val="21"/>
              </w:rPr>
              <w:t>分。注：须在投标文件中提供购买设备发票复印件并加盖公章作为证明材料，不提供或不齐全本项不得分。</w:t>
            </w:r>
          </w:p>
          <w:p>
            <w:pPr>
              <w:pStyle w:val="10"/>
              <w:ind w:firstLine="420" w:firstLineChars="200"/>
              <w:rPr>
                <w:rFonts w:ascii="宋体" w:hAnsi="宋体" w:eastAsia="宋体" w:cs="宋体"/>
                <w:color w:val="0070C0"/>
                <w:kern w:val="2"/>
                <w:sz w:val="21"/>
                <w:szCs w:val="21"/>
              </w:rPr>
            </w:pPr>
            <w:r>
              <w:rPr>
                <w:rFonts w:hint="eastAsia" w:ascii="宋体" w:hAnsi="宋体" w:eastAsia="宋体" w:cs="宋体"/>
                <w:bCs/>
                <w:kern w:val="2"/>
                <w:sz w:val="21"/>
                <w:szCs w:val="21"/>
              </w:rPr>
              <w:t>（2）投标供应商拟投入本项目GPS-RTK，十五台以下每两台得1分，十五台及以上的得</w:t>
            </w:r>
            <w:r>
              <w:rPr>
                <w:rFonts w:ascii="宋体" w:hAnsi="宋体" w:eastAsia="宋体" w:cs="宋体"/>
                <w:bCs/>
                <w:kern w:val="2"/>
                <w:sz w:val="21"/>
                <w:szCs w:val="21"/>
              </w:rPr>
              <w:t>10</w:t>
            </w:r>
            <w:r>
              <w:rPr>
                <w:rFonts w:hint="eastAsia" w:ascii="宋体" w:hAnsi="宋体" w:eastAsia="宋体" w:cs="宋体"/>
                <w:bCs/>
                <w:kern w:val="2"/>
                <w:sz w:val="21"/>
                <w:szCs w:val="21"/>
              </w:rPr>
              <w:t>分，本项满分</w:t>
            </w:r>
            <w:r>
              <w:rPr>
                <w:rFonts w:ascii="宋体" w:hAnsi="宋体" w:eastAsia="宋体" w:cs="宋体"/>
                <w:bCs/>
                <w:kern w:val="2"/>
                <w:sz w:val="21"/>
                <w:szCs w:val="21"/>
              </w:rPr>
              <w:t>10</w:t>
            </w:r>
            <w:r>
              <w:rPr>
                <w:rFonts w:hint="eastAsia" w:ascii="宋体" w:hAnsi="宋体" w:eastAsia="宋体" w:cs="宋体"/>
                <w:bCs/>
                <w:kern w:val="2"/>
                <w:sz w:val="21"/>
                <w:szCs w:val="21"/>
              </w:rPr>
              <w:t>分。注：须投标文件中须提供购买设备发票复印件并加盖公章作为证明材料，不提供或不齐全本项不得分</w:t>
            </w:r>
            <w:r>
              <w:rPr>
                <w:rFonts w:hint="eastAsia" w:ascii="宋体" w:hAnsi="宋体" w:eastAsia="宋体" w:cs="宋体"/>
                <w:b/>
                <w:bCs/>
                <w:kern w:val="2"/>
                <w:sz w:val="21"/>
                <w:szCs w:val="21"/>
              </w:rPr>
              <w:t>。</w:t>
            </w:r>
          </w:p>
        </w:tc>
        <w:tc>
          <w:tcPr>
            <w:tcW w:w="1078" w:type="dxa"/>
            <w:shd w:val="clear" w:color="000000" w:fill="FFFFFF"/>
            <w:vAlign w:val="center"/>
          </w:tcPr>
          <w:p>
            <w:pPr>
              <w:pStyle w:val="9"/>
              <w:jc w:val="center"/>
              <w:rPr>
                <w:rFonts w:ascii="宋体" w:hAnsi="宋体" w:cs="宋体"/>
                <w:color w:val="0070C0"/>
                <w:sz w:val="21"/>
                <w:szCs w:val="21"/>
              </w:rPr>
            </w:pPr>
            <w:r>
              <w:rPr>
                <w:rFonts w:hint="eastAsia" w:ascii="宋体" w:hAnsi="宋体" w:cs="宋体"/>
                <w:sz w:val="21"/>
                <w:szCs w:val="21"/>
              </w:rPr>
              <w:t>0-</w:t>
            </w:r>
            <w:r>
              <w:rPr>
                <w:rFonts w:ascii="宋体" w:hAnsi="宋体" w:cs="宋体"/>
                <w:sz w:val="21"/>
                <w:szCs w:val="21"/>
              </w:rPr>
              <w:t>20</w:t>
            </w:r>
            <w:r>
              <w:rPr>
                <w:rFonts w:hint="eastAsia" w:ascii="宋体" w:hAnsi="宋体" w:cs="宋体"/>
                <w:sz w:val="21"/>
                <w:szCs w:val="21"/>
              </w:rPr>
              <w:t>分</w:t>
            </w:r>
          </w:p>
        </w:tc>
        <w:tc>
          <w:tcPr>
            <w:tcW w:w="675" w:type="dxa"/>
            <w:shd w:val="clear" w:color="000000" w:fill="FFFFFF"/>
            <w:vAlign w:val="center"/>
          </w:tcPr>
          <w:p>
            <w:pPr>
              <w:pStyle w:val="9"/>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5" w:type="dxa"/>
            <w:vMerge w:val="continue"/>
            <w:shd w:val="clear" w:color="000000" w:fill="FFFFFF"/>
            <w:vAlign w:val="center"/>
          </w:tcPr>
          <w:p>
            <w:pPr>
              <w:pStyle w:val="9"/>
              <w:jc w:val="center"/>
              <w:rPr>
                <w:rFonts w:ascii="宋体" w:hAnsi="宋体" w:cs="宋体"/>
                <w:color w:val="000000" w:themeColor="text1"/>
                <w:sz w:val="21"/>
                <w:szCs w:val="21"/>
                <w14:textFill>
                  <w14:solidFill>
                    <w14:schemeClr w14:val="tx1"/>
                  </w14:solidFill>
                </w14:textFill>
              </w:rPr>
            </w:pPr>
          </w:p>
        </w:tc>
        <w:tc>
          <w:tcPr>
            <w:tcW w:w="5386" w:type="dxa"/>
            <w:shd w:val="clear" w:color="000000" w:fill="FFFFFF"/>
          </w:tcPr>
          <w:p>
            <w:pPr>
              <w:pStyle w:val="10"/>
              <w:rPr>
                <w:rFonts w:ascii="宋体" w:hAnsi="宋体" w:eastAsia="宋体" w:cs="宋体"/>
                <w:kern w:val="2"/>
                <w:sz w:val="21"/>
                <w:szCs w:val="21"/>
              </w:rPr>
            </w:pPr>
            <w:r>
              <w:rPr>
                <w:rFonts w:hint="eastAsia" w:ascii="宋体" w:hAnsi="宋体" w:eastAsia="宋体" w:cs="宋体"/>
                <w:kern w:val="2"/>
                <w:sz w:val="21"/>
                <w:szCs w:val="21"/>
              </w:rPr>
              <w:t>2、人员配备情况</w:t>
            </w:r>
          </w:p>
          <w:p>
            <w:pPr>
              <w:pStyle w:val="10"/>
              <w:ind w:firstLine="420" w:firstLineChars="200"/>
              <w:rPr>
                <w:rFonts w:ascii="宋体" w:hAnsi="宋体" w:eastAsia="宋体" w:cs="宋体"/>
                <w:kern w:val="2"/>
                <w:sz w:val="21"/>
                <w:szCs w:val="21"/>
              </w:rPr>
            </w:pPr>
            <w:r>
              <w:rPr>
                <w:rFonts w:hint="eastAsia" w:ascii="宋体" w:hAnsi="宋体" w:eastAsia="宋体" w:cs="宋体"/>
                <w:kern w:val="2"/>
                <w:sz w:val="21"/>
                <w:szCs w:val="21"/>
              </w:rPr>
              <w:t>（1）项目负责人：拟派项目负责人具备注册测绘师执业资格，且具备测绘专业正高级职称的得5分，具备测绘专业中级职称得3分；本项满分5分。</w:t>
            </w:r>
          </w:p>
          <w:p>
            <w:pPr>
              <w:pStyle w:val="10"/>
              <w:ind w:firstLine="420" w:firstLineChars="200"/>
              <w:rPr>
                <w:rFonts w:ascii="宋体" w:hAnsi="宋体" w:eastAsia="宋体" w:cs="宋体"/>
                <w:kern w:val="2"/>
                <w:sz w:val="21"/>
                <w:szCs w:val="21"/>
              </w:rPr>
            </w:pPr>
            <w:r>
              <w:rPr>
                <w:rFonts w:hint="eastAsia" w:ascii="宋体" w:hAnsi="宋体" w:eastAsia="宋体" w:cs="宋体"/>
                <w:kern w:val="2"/>
                <w:sz w:val="21"/>
                <w:szCs w:val="21"/>
              </w:rPr>
              <w:t>（2）技术负责人：拟派技术负责人具备注册测绘师执业资格，且备测绘专业正高级职称的得5分，具备测绘专业中级职称得3分；本项满分5分。</w:t>
            </w:r>
          </w:p>
          <w:p>
            <w:pPr>
              <w:pStyle w:val="10"/>
              <w:ind w:firstLine="420" w:firstLineChars="200"/>
              <w:rPr>
                <w:rFonts w:ascii="宋体" w:hAnsi="宋体" w:eastAsia="宋体" w:cs="宋体"/>
                <w:kern w:val="2"/>
                <w:sz w:val="21"/>
                <w:szCs w:val="21"/>
              </w:rPr>
            </w:pPr>
            <w:r>
              <w:rPr>
                <w:rFonts w:hint="eastAsia" w:ascii="宋体" w:hAnsi="宋体" w:eastAsia="宋体" w:cs="宋体"/>
                <w:kern w:val="2"/>
                <w:sz w:val="21"/>
                <w:szCs w:val="21"/>
              </w:rPr>
              <w:t>（3）投标供应商拟投入本项目的测绘或相关专业中级职称及以上的技术人员（除项目负责人及技术负责人以外）拟投入本项目技术人员二十人（不包括二十人）以下得</w:t>
            </w:r>
            <w:r>
              <w:rPr>
                <w:rFonts w:ascii="宋体" w:hAnsi="宋体" w:eastAsia="宋体" w:cs="宋体"/>
                <w:kern w:val="2"/>
                <w:sz w:val="21"/>
                <w:szCs w:val="21"/>
              </w:rPr>
              <w:t>10</w:t>
            </w:r>
            <w:r>
              <w:rPr>
                <w:rFonts w:hint="eastAsia" w:ascii="宋体" w:hAnsi="宋体" w:eastAsia="宋体" w:cs="宋体"/>
                <w:kern w:val="2"/>
                <w:sz w:val="21"/>
                <w:szCs w:val="21"/>
              </w:rPr>
              <w:t>分；二十人以上的得1</w:t>
            </w:r>
            <w:r>
              <w:rPr>
                <w:rFonts w:ascii="宋体" w:hAnsi="宋体" w:eastAsia="宋体" w:cs="宋体"/>
                <w:kern w:val="2"/>
                <w:sz w:val="21"/>
                <w:szCs w:val="21"/>
              </w:rPr>
              <w:t>5</w:t>
            </w:r>
            <w:r>
              <w:rPr>
                <w:rFonts w:hint="eastAsia" w:ascii="宋体" w:hAnsi="宋体" w:eastAsia="宋体" w:cs="宋体"/>
                <w:kern w:val="2"/>
                <w:sz w:val="21"/>
                <w:szCs w:val="21"/>
              </w:rPr>
              <w:t>分，没有不得分，本项满分1</w:t>
            </w:r>
            <w:r>
              <w:rPr>
                <w:rFonts w:ascii="宋体" w:hAnsi="宋体" w:eastAsia="宋体" w:cs="宋体"/>
                <w:kern w:val="2"/>
                <w:sz w:val="21"/>
                <w:szCs w:val="21"/>
              </w:rPr>
              <w:t>5</w:t>
            </w:r>
            <w:r>
              <w:rPr>
                <w:rFonts w:hint="eastAsia" w:ascii="宋体" w:hAnsi="宋体" w:eastAsia="宋体" w:cs="宋体"/>
                <w:kern w:val="2"/>
                <w:sz w:val="21"/>
                <w:szCs w:val="21"/>
              </w:rPr>
              <w:t>分；</w:t>
            </w:r>
          </w:p>
          <w:p>
            <w:pPr>
              <w:pStyle w:val="10"/>
              <w:ind w:firstLine="420" w:firstLineChars="200"/>
              <w:rPr>
                <w:rFonts w:ascii="宋体" w:hAnsi="宋体" w:eastAsia="宋体" w:cs="宋体"/>
                <w:kern w:val="2"/>
                <w:sz w:val="21"/>
                <w:szCs w:val="21"/>
              </w:rPr>
            </w:pPr>
            <w:r>
              <w:rPr>
                <w:rFonts w:hint="eastAsia" w:ascii="宋体" w:hAnsi="宋体" w:eastAsia="宋体" w:cs="宋体"/>
                <w:kern w:val="2"/>
                <w:sz w:val="21"/>
                <w:szCs w:val="21"/>
              </w:rPr>
              <w:t>（4）投入本项目的技术人员中具有国家相关部门颁发的涉密测绘成果管理人员岗位培训合格证人员一人得</w:t>
            </w:r>
            <w:r>
              <w:rPr>
                <w:rFonts w:ascii="宋体" w:hAnsi="宋体" w:eastAsia="宋体" w:cs="宋体"/>
                <w:kern w:val="2"/>
                <w:sz w:val="21"/>
                <w:szCs w:val="21"/>
              </w:rPr>
              <w:t>一分</w:t>
            </w:r>
            <w:r>
              <w:rPr>
                <w:rFonts w:hint="eastAsia" w:ascii="宋体" w:hAnsi="宋体" w:eastAsia="宋体" w:cs="宋体"/>
                <w:kern w:val="2"/>
                <w:sz w:val="21"/>
                <w:szCs w:val="21"/>
              </w:rPr>
              <w:t>；本项满分5 分。</w:t>
            </w:r>
          </w:p>
          <w:p>
            <w:pPr>
              <w:pStyle w:val="10"/>
              <w:ind w:firstLine="420" w:firstLineChars="200"/>
              <w:rPr>
                <w:rFonts w:ascii="宋体" w:hAnsi="宋体" w:eastAsia="宋体" w:cs="宋体"/>
                <w:kern w:val="2"/>
                <w:sz w:val="21"/>
                <w:szCs w:val="21"/>
              </w:rPr>
            </w:pPr>
            <w:r>
              <w:rPr>
                <w:rFonts w:hint="eastAsia" w:ascii="宋体" w:hAnsi="宋体" w:eastAsia="宋体" w:cs="宋体"/>
                <w:kern w:val="2"/>
                <w:sz w:val="21"/>
                <w:szCs w:val="21"/>
              </w:rPr>
              <w:t>注：提供上述人员相应有效资格证书复印件加盖鲜章及2021年始至投标截止日期任意一个月为其缴纳社保证明材料复印件，不提供或提供不齐全的不得分。</w:t>
            </w:r>
          </w:p>
        </w:tc>
        <w:tc>
          <w:tcPr>
            <w:tcW w:w="1078" w:type="dxa"/>
            <w:shd w:val="clear" w:color="000000" w:fill="FFFFFF"/>
            <w:vAlign w:val="center"/>
          </w:tcPr>
          <w:p>
            <w:pPr>
              <w:pStyle w:val="9"/>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w:t>
            </w:r>
            <w:r>
              <w:rPr>
                <w:rFonts w:ascii="宋体" w:hAnsi="宋体" w:cs="宋体"/>
                <w:color w:val="000000" w:themeColor="text1"/>
                <w:sz w:val="21"/>
                <w:szCs w:val="21"/>
                <w14:textFill>
                  <w14:solidFill>
                    <w14:schemeClr w14:val="tx1"/>
                  </w14:solidFill>
                </w14:textFill>
              </w:rPr>
              <w:t>30</w:t>
            </w:r>
            <w:r>
              <w:rPr>
                <w:rFonts w:hint="eastAsia" w:ascii="宋体" w:hAnsi="宋体" w:cs="宋体"/>
                <w:color w:val="000000" w:themeColor="text1"/>
                <w:sz w:val="21"/>
                <w:szCs w:val="21"/>
                <w14:textFill>
                  <w14:solidFill>
                    <w14:schemeClr w14:val="tx1"/>
                  </w14:solidFill>
                </w14:textFill>
              </w:rPr>
              <w:t>分</w:t>
            </w:r>
          </w:p>
        </w:tc>
        <w:tc>
          <w:tcPr>
            <w:tcW w:w="675" w:type="dxa"/>
            <w:shd w:val="clear" w:color="000000" w:fill="FFFFFF"/>
            <w:vAlign w:val="center"/>
          </w:tcPr>
          <w:p>
            <w:pPr>
              <w:pStyle w:val="9"/>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6" w:hRule="atLeast"/>
          <w:jc w:val="center"/>
        </w:trPr>
        <w:tc>
          <w:tcPr>
            <w:tcW w:w="1495" w:type="dxa"/>
            <w:vMerge w:val="continue"/>
            <w:shd w:val="clear" w:color="000000" w:fill="FFFFFF"/>
            <w:vAlign w:val="center"/>
          </w:tcPr>
          <w:p>
            <w:pPr>
              <w:pStyle w:val="9"/>
              <w:jc w:val="center"/>
              <w:rPr>
                <w:rFonts w:ascii="宋体" w:hAnsi="宋体" w:cs="宋体"/>
                <w:color w:val="000000" w:themeColor="text1"/>
                <w:sz w:val="21"/>
                <w:szCs w:val="21"/>
                <w14:textFill>
                  <w14:solidFill>
                    <w14:schemeClr w14:val="tx1"/>
                  </w14:solidFill>
                </w14:textFill>
              </w:rPr>
            </w:pPr>
          </w:p>
        </w:tc>
        <w:tc>
          <w:tcPr>
            <w:tcW w:w="5386" w:type="dxa"/>
            <w:shd w:val="clear" w:color="auto" w:fill="auto"/>
            <w:vAlign w:val="center"/>
          </w:tcPr>
          <w:p>
            <w:pPr>
              <w:pStyle w:val="10"/>
              <w:rPr>
                <w:rFonts w:ascii="宋体" w:hAnsi="宋体" w:eastAsia="宋体" w:cs="宋体"/>
                <w:kern w:val="2"/>
                <w:sz w:val="21"/>
                <w:szCs w:val="21"/>
              </w:rPr>
            </w:pPr>
            <w:r>
              <w:rPr>
                <w:rFonts w:ascii="宋体" w:hAnsi="宋体" w:eastAsia="宋体" w:cs="宋体"/>
                <w:kern w:val="2"/>
                <w:sz w:val="21"/>
                <w:szCs w:val="21"/>
              </w:rPr>
              <w:t>3</w:t>
            </w:r>
            <w:r>
              <w:rPr>
                <w:rFonts w:hint="eastAsia" w:ascii="宋体" w:hAnsi="宋体" w:eastAsia="宋体" w:cs="宋体"/>
                <w:kern w:val="2"/>
                <w:sz w:val="21"/>
                <w:szCs w:val="21"/>
              </w:rPr>
              <w:t>、类似业绩</w:t>
            </w:r>
          </w:p>
          <w:p>
            <w:pPr>
              <w:pStyle w:val="10"/>
              <w:ind w:firstLine="420" w:firstLineChars="200"/>
              <w:rPr>
                <w:rFonts w:ascii="宋体" w:hAnsi="宋体" w:eastAsia="宋体" w:cs="宋体"/>
                <w:kern w:val="2"/>
                <w:sz w:val="21"/>
                <w:szCs w:val="21"/>
              </w:rPr>
            </w:pPr>
            <w:r>
              <w:rPr>
                <w:rFonts w:ascii="宋体" w:hAnsi="宋体" w:eastAsia="宋体" w:cs="宋体"/>
                <w:kern w:val="2"/>
                <w:sz w:val="21"/>
                <w:szCs w:val="21"/>
              </w:rPr>
              <w:t>（</w:t>
            </w:r>
            <w:r>
              <w:rPr>
                <w:rFonts w:hint="eastAsia" w:ascii="宋体" w:hAnsi="宋体" w:eastAsia="宋体" w:cs="宋体"/>
                <w:kern w:val="2"/>
                <w:sz w:val="21"/>
                <w:szCs w:val="21"/>
              </w:rPr>
              <w:t>1</w:t>
            </w:r>
            <w:r>
              <w:rPr>
                <w:rFonts w:ascii="宋体" w:hAnsi="宋体" w:eastAsia="宋体" w:cs="宋体"/>
                <w:kern w:val="2"/>
                <w:sz w:val="21"/>
                <w:szCs w:val="21"/>
              </w:rPr>
              <w:t>）</w:t>
            </w:r>
            <w:r>
              <w:rPr>
                <w:rFonts w:hint="eastAsia" w:ascii="宋体" w:hAnsi="宋体" w:eastAsia="宋体" w:cs="宋体"/>
                <w:kern w:val="2"/>
                <w:sz w:val="21"/>
                <w:szCs w:val="21"/>
              </w:rPr>
              <w:t>投标供应商承担过自然资源确权项目，每提供一个得</w:t>
            </w:r>
            <w:r>
              <w:rPr>
                <w:rFonts w:ascii="宋体" w:hAnsi="宋体" w:eastAsia="宋体" w:cs="宋体"/>
                <w:kern w:val="2"/>
                <w:sz w:val="21"/>
                <w:szCs w:val="21"/>
              </w:rPr>
              <w:t>5</w:t>
            </w:r>
            <w:r>
              <w:rPr>
                <w:rFonts w:hint="eastAsia" w:ascii="宋体" w:hAnsi="宋体" w:eastAsia="宋体" w:cs="宋体"/>
                <w:kern w:val="2"/>
                <w:sz w:val="21"/>
                <w:szCs w:val="21"/>
              </w:rPr>
              <w:t>分，满分为15分。</w:t>
            </w:r>
          </w:p>
          <w:p>
            <w:pPr>
              <w:pStyle w:val="10"/>
              <w:ind w:firstLine="420" w:firstLineChars="200"/>
              <w:rPr>
                <w:rFonts w:ascii="宋体" w:hAnsi="宋体" w:eastAsia="宋体" w:cs="宋体"/>
                <w:kern w:val="2"/>
                <w:sz w:val="21"/>
                <w:szCs w:val="21"/>
              </w:rPr>
            </w:pPr>
            <w:r>
              <w:rPr>
                <w:rFonts w:ascii="宋体" w:hAnsi="宋体" w:eastAsia="宋体" w:cs="宋体"/>
                <w:kern w:val="2"/>
                <w:sz w:val="21"/>
                <w:szCs w:val="21"/>
              </w:rPr>
              <w:t>（</w:t>
            </w:r>
            <w:r>
              <w:rPr>
                <w:rFonts w:hint="eastAsia" w:ascii="宋体" w:hAnsi="宋体" w:eastAsia="宋体" w:cs="宋体"/>
                <w:kern w:val="2"/>
                <w:sz w:val="21"/>
                <w:szCs w:val="21"/>
              </w:rPr>
              <w:t>2</w:t>
            </w:r>
            <w:r>
              <w:rPr>
                <w:rFonts w:ascii="宋体" w:hAnsi="宋体" w:eastAsia="宋体" w:cs="宋体"/>
                <w:kern w:val="2"/>
                <w:sz w:val="21"/>
                <w:szCs w:val="21"/>
              </w:rPr>
              <w:t>）投标供应商</w:t>
            </w:r>
            <w:r>
              <w:rPr>
                <w:rFonts w:hint="eastAsia" w:ascii="宋体" w:hAnsi="宋体" w:eastAsia="宋体" w:cs="宋体"/>
                <w:kern w:val="2"/>
                <w:sz w:val="21"/>
                <w:szCs w:val="21"/>
              </w:rPr>
              <w:t>承担</w:t>
            </w:r>
            <w:r>
              <w:rPr>
                <w:rFonts w:ascii="宋体" w:hAnsi="宋体" w:eastAsia="宋体" w:cs="宋体"/>
                <w:kern w:val="2"/>
                <w:sz w:val="21"/>
                <w:szCs w:val="21"/>
              </w:rPr>
              <w:t>过自然资源资产清查项目，每提供一个得</w:t>
            </w:r>
            <w:r>
              <w:rPr>
                <w:rFonts w:hint="eastAsia" w:ascii="宋体" w:hAnsi="宋体" w:eastAsia="宋体" w:cs="宋体"/>
                <w:kern w:val="2"/>
                <w:sz w:val="21"/>
                <w:szCs w:val="21"/>
              </w:rPr>
              <w:t>5分，满分1</w:t>
            </w:r>
            <w:r>
              <w:rPr>
                <w:rFonts w:ascii="宋体" w:hAnsi="宋体" w:eastAsia="宋体" w:cs="宋体"/>
                <w:kern w:val="2"/>
                <w:sz w:val="21"/>
                <w:szCs w:val="21"/>
              </w:rPr>
              <w:t>0分。</w:t>
            </w:r>
          </w:p>
          <w:p>
            <w:pPr>
              <w:pStyle w:val="10"/>
              <w:ind w:firstLine="420" w:firstLineChars="200"/>
              <w:rPr>
                <w:rFonts w:ascii="宋体" w:hAnsi="宋体" w:eastAsia="宋体" w:cs="宋体"/>
                <w:kern w:val="2"/>
                <w:sz w:val="21"/>
                <w:szCs w:val="21"/>
              </w:rPr>
            </w:pPr>
            <w:r>
              <w:rPr>
                <w:rFonts w:hint="eastAsia" w:ascii="宋体" w:hAnsi="宋体" w:eastAsia="宋体" w:cs="宋体"/>
                <w:kern w:val="2"/>
                <w:sz w:val="21"/>
                <w:szCs w:val="21"/>
              </w:rPr>
              <w:t>注：须提供中标（成交）通知书、合同、相关行政部门向供应商批复项目（资金批复文件或工作方案等）的相关证明材料复印件盖鲜章，不提供或提供不齐全的本项不得分。</w:t>
            </w:r>
          </w:p>
        </w:tc>
        <w:tc>
          <w:tcPr>
            <w:tcW w:w="1078" w:type="dxa"/>
            <w:shd w:val="clear" w:color="000000" w:fill="FFFFFF"/>
            <w:vAlign w:val="center"/>
          </w:tcPr>
          <w:p>
            <w:pPr>
              <w:pStyle w:val="9"/>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w:t>
            </w:r>
            <w:r>
              <w:rPr>
                <w:rFonts w:ascii="宋体" w:hAnsi="宋体" w:cs="宋体"/>
                <w:color w:val="000000" w:themeColor="text1"/>
                <w:sz w:val="21"/>
                <w:szCs w:val="21"/>
                <w14:textFill>
                  <w14:solidFill>
                    <w14:schemeClr w14:val="tx1"/>
                  </w14:solidFill>
                </w14:textFill>
              </w:rPr>
              <w:t>25</w:t>
            </w:r>
            <w:r>
              <w:rPr>
                <w:rFonts w:hint="eastAsia" w:ascii="宋体" w:hAnsi="宋体" w:cs="宋体"/>
                <w:color w:val="000000" w:themeColor="text1"/>
                <w:sz w:val="21"/>
                <w:szCs w:val="21"/>
                <w14:textFill>
                  <w14:solidFill>
                    <w14:schemeClr w14:val="tx1"/>
                  </w14:solidFill>
                </w14:textFill>
              </w:rPr>
              <w:t>分</w:t>
            </w:r>
          </w:p>
        </w:tc>
        <w:tc>
          <w:tcPr>
            <w:tcW w:w="675" w:type="dxa"/>
            <w:shd w:val="clear" w:color="000000" w:fill="FFFFFF"/>
            <w:vAlign w:val="center"/>
          </w:tcPr>
          <w:p>
            <w:pPr>
              <w:pStyle w:val="9"/>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495" w:type="dxa"/>
            <w:shd w:val="clear" w:color="000000" w:fill="auto"/>
            <w:vAlign w:val="center"/>
          </w:tcPr>
          <w:p>
            <w:pPr>
              <w:pStyle w:val="9"/>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节能环保产品加分项</w:t>
            </w:r>
          </w:p>
          <w:p>
            <w:pPr>
              <w:pStyle w:val="9"/>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（2分）</w:t>
            </w:r>
          </w:p>
          <w:p>
            <w:pPr>
              <w:pStyle w:val="9"/>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本项目为服务类招标不适用</w:t>
            </w:r>
          </w:p>
        </w:tc>
        <w:tc>
          <w:tcPr>
            <w:tcW w:w="5386" w:type="dxa"/>
            <w:shd w:val="clear" w:color="000000" w:fill="auto"/>
            <w:vAlign w:val="center"/>
          </w:tcPr>
          <w:p>
            <w:pPr>
              <w:pStyle w:val="9"/>
              <w:rPr>
                <w:rFonts w:ascii="宋体" w:hAnsi="宋体" w:cs="宋体"/>
                <w:sz w:val="21"/>
                <w:szCs w:val="21"/>
              </w:rPr>
            </w:pPr>
            <w:r>
              <w:rPr>
                <w:rFonts w:hint="eastAsia" w:ascii="宋体" w:hAnsi="宋体" w:cs="宋体"/>
                <w:sz w:val="21"/>
                <w:szCs w:val="21"/>
              </w:rPr>
              <w:t>据黔财采﹝2014﹞15号和财库〔2019〕9号，所投产品属于“节能产品”或“环保产品”有效期内中的产品（强制采购产品除外），每一项加0.3分；所投产品同时属于“节能产品”和“环保产品”两个中产品的，每一项加0.5分，最高不超过2分。</w:t>
            </w:r>
          </w:p>
          <w:p>
            <w:pPr>
              <w:pStyle w:val="9"/>
              <w:rPr>
                <w:rFonts w:ascii="宋体" w:hAnsi="宋体" w:cs="宋体"/>
                <w:sz w:val="21"/>
                <w:szCs w:val="21"/>
              </w:rPr>
            </w:pPr>
            <w:r>
              <w:rPr>
                <w:rFonts w:hint="eastAsia" w:ascii="宋体" w:hAnsi="宋体" w:cs="宋体"/>
                <w:sz w:val="21"/>
                <w:szCs w:val="21"/>
              </w:rPr>
              <w:t>注：须提供最新一期节能环保产品目录上的相应证明材料或网上截图，并加盖投标供应商鲜章。</w:t>
            </w:r>
          </w:p>
        </w:tc>
        <w:tc>
          <w:tcPr>
            <w:tcW w:w="1078" w:type="dxa"/>
            <w:shd w:val="clear" w:color="000000" w:fill="auto"/>
            <w:vAlign w:val="center"/>
          </w:tcPr>
          <w:p>
            <w:pPr>
              <w:pStyle w:val="9"/>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0-2分</w:t>
            </w:r>
          </w:p>
        </w:tc>
        <w:tc>
          <w:tcPr>
            <w:tcW w:w="675" w:type="dxa"/>
            <w:shd w:val="clear" w:color="000000" w:fill="auto"/>
            <w:vAlign w:val="center"/>
          </w:tcPr>
          <w:p>
            <w:pPr>
              <w:pStyle w:val="9"/>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1" w:hRule="atLeast"/>
          <w:jc w:val="center"/>
        </w:trPr>
        <w:tc>
          <w:tcPr>
            <w:tcW w:w="1495" w:type="dxa"/>
            <w:shd w:val="clear" w:color="000000" w:fill="FFFFFF"/>
            <w:vAlign w:val="center"/>
          </w:tcPr>
          <w:p>
            <w:pPr>
              <w:pStyle w:val="9"/>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少数民族产品加分项</w:t>
            </w:r>
          </w:p>
          <w:p>
            <w:pPr>
              <w:pStyle w:val="9"/>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（3分）</w:t>
            </w:r>
          </w:p>
        </w:tc>
        <w:tc>
          <w:tcPr>
            <w:tcW w:w="5386" w:type="dxa"/>
            <w:shd w:val="clear" w:color="000000" w:fill="FFFFFF"/>
            <w:vAlign w:val="center"/>
          </w:tcPr>
          <w:p>
            <w:pPr>
              <w:pStyle w:val="9"/>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据黔财采﹝2014﹞15号，投标主产品原产地在少数民族自治区和少数民族自治待遇的省份投标主产品（不含附带产品）（省份：云南、贵州、青海），在总得分基础上加3分。</w:t>
            </w:r>
          </w:p>
          <w:p>
            <w:pPr>
              <w:pStyle w:val="9"/>
              <w:rPr>
                <w:rFonts w:ascii="宋体" w:hAnsi="宋体" w:cs="宋体"/>
                <w:color w:val="000000" w:themeColor="text1"/>
                <w:sz w:val="21"/>
                <w:szCs w:val="21"/>
                <w14:textFill>
                  <w14:solidFill>
                    <w14:schemeClr w14:val="tx1"/>
                  </w14:solidFill>
                </w14:textFill>
              </w:rPr>
            </w:pPr>
            <w:r>
              <w:rPr>
                <w:rFonts w:hint="eastAsia" w:ascii="宋体" w:hAnsi="宋体" w:cs="宋体"/>
                <w:bCs/>
                <w:sz w:val="21"/>
                <w:szCs w:val="21"/>
              </w:rPr>
              <w:t>注：须提供其投标主产品原产地在少数民族自治区和享受少数民族自治待遇省份的证明材料，若提供的证明材料不能充分证明其投标主产品原产地在少数民族自治区和享受少数民族自治待遇省份的证明材料，则评审优惠不予考虑。</w:t>
            </w:r>
          </w:p>
        </w:tc>
        <w:tc>
          <w:tcPr>
            <w:tcW w:w="1078" w:type="dxa"/>
            <w:shd w:val="clear" w:color="000000" w:fill="FFFFFF"/>
            <w:vAlign w:val="center"/>
          </w:tcPr>
          <w:p>
            <w:pPr>
              <w:pStyle w:val="9"/>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0-3分</w:t>
            </w:r>
          </w:p>
        </w:tc>
        <w:tc>
          <w:tcPr>
            <w:tcW w:w="675" w:type="dxa"/>
            <w:shd w:val="clear" w:color="000000" w:fill="FFFFFF"/>
            <w:vAlign w:val="center"/>
          </w:tcPr>
          <w:p>
            <w:pPr>
              <w:pStyle w:val="9"/>
              <w:rPr>
                <w:rFonts w:ascii="宋体" w:hAnsi="宋体" w:cs="宋体"/>
                <w:color w:val="000000" w:themeColor="text1"/>
                <w:sz w:val="21"/>
                <w:szCs w:val="21"/>
                <w14:textFill>
                  <w14:solidFill>
                    <w14:schemeClr w14:val="tx1"/>
                  </w14:solidFill>
                </w14:textFill>
              </w:rPr>
            </w:pPr>
          </w:p>
        </w:tc>
      </w:tr>
    </w:tbl>
    <w:p>
      <w:pPr>
        <w:rPr>
          <w:b/>
          <w:bCs/>
          <w:color w:val="000000" w:themeColor="text1"/>
          <w:szCs w:val="21"/>
          <w14:textFill>
            <w14:solidFill>
              <w14:schemeClr w14:val="tx1"/>
            </w14:solidFill>
          </w14:textFill>
        </w:rPr>
      </w:pPr>
    </w:p>
    <w:p>
      <w:pP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政府采购优惠政策：</w:t>
      </w:r>
    </w:p>
    <w:p>
      <w:pPr>
        <w:spacing w:before="120" w:beforeLines="50" w:line="360" w:lineRule="auto"/>
        <w:ind w:firstLine="422" w:firstLine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（1）根据《政府采购促进中小企业发展管理办法》[财库〔2020〕46号]规定的政府采购优惠政策。小型和微型企业产品的价格给予 6%的扣除，用扣除后的价格参与评审。</w:t>
      </w:r>
    </w:p>
    <w:p>
      <w:pPr>
        <w:spacing w:before="120" w:beforeLines="5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中小企业（含中型、小型、微型企业，下同）应当同时符合以下条件： （1）符合中小企业划分标准；（2）提供本企业制造的货物、承担的工程或者服务，或者提供其他中小企业制造的货物。本项所称货物不包括使用大型企业注册商标的货物。 中小企业划分标准，是指《工业和信息化部、国家统计局、国家发展和改革委员会、财政部关于印 发中小企业划型标准规定的通知》[工信部联企业(2011)300 号]规定的划分标准。 小型、微型企业提供中型企业制造的货物的，视同为中型企业。</w:t>
      </w:r>
    </w:p>
    <w:p>
      <w:pPr>
        <w:spacing w:before="120" w:beforeLines="5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小型、微型企业应按招标文件规定的格式提供了《小微企业声明函》。</w:t>
      </w:r>
    </w:p>
    <w:p>
      <w:pPr>
        <w:spacing w:before="120" w:beforeLines="5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（2）根据《财政部 司法部关于政府采购支持监狱企业发展有关问题的通知》[财库（2014）68 号]规定的政府采购优惠政策。</w:t>
      </w:r>
    </w:p>
    <w:p>
      <w:pPr>
        <w:spacing w:before="120" w:beforeLines="5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监狱企业视同小型、微型企业，价格给予 6%的扣除，用扣除后的价格参与评审。</w:t>
      </w:r>
    </w:p>
    <w:p>
      <w:pPr>
        <w:spacing w:before="120" w:beforeLines="5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监狱企业提供了省级以上监狱管理局、戒毒管理局（含新疆生产建设兵团）出具的属于监狱企业的证明文件，才能按规定进行价格扣除。</w:t>
      </w:r>
    </w:p>
    <w:p>
      <w:pPr>
        <w:spacing w:before="120" w:beforeLines="5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（3）《三部门联合发布关于促进残疾人就业政府采购政策的通知》[财库（2017）141 号]规定的政府采购优惠政策。</w:t>
      </w:r>
    </w:p>
    <w:p>
      <w:pPr>
        <w:spacing w:before="120" w:beforeLines="5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亨受政府采购支持政策的残疾人福利性单位应当满足[财库（2017）141 号]规定的条件。残疾人福利性单位视同小型、微型企业，价格给予 6%的扣除，用扣除后的价格参与评审。残疾人福利性单位按招标文件规定的格式提供了《残疾人福利性单位声明函》，才能按规定进行价格扣除。</w:t>
      </w:r>
    </w:p>
    <w:p>
      <w:pPr>
        <w:spacing w:before="120" w:beforeLines="5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残疾人福利性单位属于小型、微型企业的，不重复进行价格扣除。</w:t>
      </w:r>
    </w:p>
    <w:p>
      <w:pPr>
        <w:spacing w:before="120" w:beforeLines="50" w:line="360" w:lineRule="auto"/>
        <w:ind w:firstLine="422" w:firstLine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政策性加分的相关说明：</w:t>
      </w:r>
    </w:p>
    <w:p>
      <w:pPr>
        <w:spacing w:before="120" w:beforeLines="5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1、节能产品、环境标志产品须提供投标产品在财政部、发展改革委、生态环境部等部门出具的品目清单所在页和国家市场监管总局确定的认证机构出具的、 处于有效期之内的节能产品、环境标志产品认证证书（复印件加盖投标 单位公章）。</w:t>
      </w:r>
    </w:p>
    <w:p>
      <w:pPr>
        <w:spacing w:before="120" w:beforeLines="5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2、少数民族自治区包括内蒙古自治区、新疆维吾尔自治区、宁夏回族自治区、广西壮族自治区、西藏自治区，享受少数民族自治待遇的省份包括云南省、贵州省、青海省。</w:t>
      </w:r>
    </w:p>
    <w:p>
      <w:pPr>
        <w:rPr>
          <w:color w:val="000000" w:themeColor="text1"/>
          <w14:textFill>
            <w14:solidFill>
              <w14:schemeClr w14:val="tx1"/>
            </w14:solidFill>
          </w14:textFill>
        </w:rPr>
      </w:pPr>
    </w:p>
    <w:p>
      <w:pPr>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评标总得分计算方法：</w:t>
      </w:r>
    </w:p>
    <w:p>
      <w:pPr>
        <w:spacing w:before="120" w:beforeLines="5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评标时，评标委员会各成员独立对每个有效投标人的投标文件进行评价、打分，然后汇总每个投标人每项评分因素的得分。 </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每个投标人的最终得分为评标委员会成员有效评分的算术平均值。</w:t>
      </w:r>
    </w:p>
    <w:p>
      <w:pPr>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排序原则：</w:t>
      </w:r>
      <w:r>
        <w:rPr>
          <w:color w:val="000000" w:themeColor="text1"/>
          <w:szCs w:val="21"/>
          <w14:textFill>
            <w14:solidFill>
              <w14:schemeClr w14:val="tx1"/>
            </w14:solidFill>
          </w14:textFill>
        </w:rPr>
        <w:t>按评审得分由高到低顺序排序。得分相同的，按投标报价由低到高顺序排列。得分且投标报价相同的，按技术指标优劣顺序排列。</w:t>
      </w:r>
    </w:p>
    <w:p>
      <w:pPr>
        <w:spacing w:line="360" w:lineRule="auto"/>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定标原则：</w:t>
      </w:r>
      <w:r>
        <w:rPr>
          <w:color w:val="000000" w:themeColor="text1"/>
          <w:szCs w:val="21"/>
          <w14:textFill>
            <w14:solidFill>
              <w14:schemeClr w14:val="tx1"/>
            </w14:solidFill>
          </w14:textFill>
        </w:rPr>
        <w:t>由评标委员会根据评分办法对各包各有效投标人的最终得分进行排序，由招标人依序确定各包入围供应商。</w:t>
      </w:r>
    </w:p>
    <w:p>
      <w:pPr>
        <w:snapToGrid w:val="0"/>
        <w:spacing w:line="360" w:lineRule="auto"/>
        <w:ind w:firstLine="413" w:firstLineChars="196"/>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五、废标条款：</w:t>
      </w:r>
    </w:p>
    <w:p>
      <w:pPr>
        <w:spacing w:line="360" w:lineRule="auto"/>
        <w:ind w:firstLine="405"/>
        <w:rPr>
          <w:b/>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在招标采购中，出现下列情形之一的，应予废标：</w:t>
      </w:r>
    </w:p>
    <w:p>
      <w:pPr>
        <w:spacing w:line="36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1.符合专业条件的供应商或者对招标文件作实质响应的供应商不足三家的。</w:t>
      </w:r>
    </w:p>
    <w:p>
      <w:pPr>
        <w:spacing w:line="36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2.出现影响采购公正的违法、违规行为的。</w:t>
      </w:r>
    </w:p>
    <w:p>
      <w:pPr>
        <w:spacing w:line="360" w:lineRule="auto"/>
        <w:ind w:firstLine="420" w:firstLineChars="200"/>
        <w:rPr>
          <w:rFonts w:eastAsia="华文琥珀"/>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3.投标人的报价均超过了</w:t>
      </w:r>
      <w:r>
        <w:rPr>
          <w:rFonts w:hint="eastAsia"/>
          <w:color w:val="000000" w:themeColor="text1"/>
          <w:kern w:val="0"/>
          <w:szCs w:val="21"/>
          <w14:textFill>
            <w14:solidFill>
              <w14:schemeClr w14:val="tx1"/>
            </w14:solidFill>
          </w14:textFill>
        </w:rPr>
        <w:t>最高限价</w:t>
      </w:r>
      <w:r>
        <w:rPr>
          <w:color w:val="000000" w:themeColor="text1"/>
          <w:kern w:val="0"/>
          <w:szCs w:val="21"/>
          <w14:textFill>
            <w14:solidFill>
              <w14:schemeClr w14:val="tx1"/>
            </w14:solidFill>
          </w14:textFill>
        </w:rPr>
        <w:t>，采购人不能支付的。</w:t>
      </w:r>
    </w:p>
    <w:p>
      <w:pPr>
        <w:spacing w:line="36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4.因重大变故，采购任务取消的。</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altName w:val="Segoe Print"/>
    <w:panose1 w:val="020B0502020202020204"/>
    <w:charset w:val="00"/>
    <w:family w:val="swiss"/>
    <w:pitch w:val="default"/>
    <w:sig w:usb0="00000000" w:usb1="000000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琥珀">
    <w:altName w:val="宋体"/>
    <w:panose1 w:val="0201080004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890261"/>
    <w:rsid w:val="2A890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line="416" w:lineRule="auto"/>
      <w:outlineLvl w:val="1"/>
    </w:pPr>
    <w:rPr>
      <w:rFonts w:ascii="Arial" w:hAnsi="Arial" w:eastAsia="黑体"/>
      <w:b/>
      <w:bCs/>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style>
  <w:style w:type="paragraph" w:styleId="4">
    <w:name w:val="Body Text Indent"/>
    <w:basedOn w:val="1"/>
    <w:next w:val="5"/>
    <w:qFormat/>
    <w:uiPriority w:val="0"/>
    <w:pPr>
      <w:ind w:firstLine="601" w:firstLineChars="200"/>
    </w:pPr>
    <w:rPr>
      <w:rFonts w:eastAsia="仿宋_GB2312"/>
      <w:b/>
      <w:bCs/>
      <w:sz w:val="30"/>
    </w:rPr>
  </w:style>
  <w:style w:type="paragraph" w:customStyle="1" w:styleId="5">
    <w:name w:val="font5"/>
    <w:basedOn w:val="1"/>
    <w:qFormat/>
    <w:uiPriority w:val="0"/>
    <w:pPr>
      <w:widowControl/>
      <w:spacing w:beforeAutospacing="1" w:afterAutospacing="1"/>
      <w:jc w:val="left"/>
    </w:pPr>
    <w:rPr>
      <w:rFonts w:ascii="宋体" w:hAnsi="宋体" w:cs="宋体"/>
      <w:kern w:val="0"/>
      <w:sz w:val="18"/>
      <w:szCs w:val="18"/>
    </w:rPr>
  </w:style>
  <w:style w:type="paragraph" w:customStyle="1" w:styleId="8">
    <w:name w:val="*正文"/>
    <w:basedOn w:val="1"/>
    <w:qFormat/>
    <w:uiPriority w:val="0"/>
    <w:pPr>
      <w:spacing w:line="360" w:lineRule="auto"/>
      <w:ind w:firstLine="200" w:firstLineChars="200"/>
      <w:jc w:val="left"/>
    </w:pPr>
    <w:rPr>
      <w:color w:val="000000"/>
      <w:kern w:val="0"/>
      <w:sz w:val="24"/>
      <w:szCs w:val="24"/>
      <w:lang w:eastAsia="en-US" w:bidi="en-US"/>
    </w:rPr>
  </w:style>
  <w:style w:type="paragraph" w:customStyle="1" w:styleId="9">
    <w:name w:val="表格文字"/>
    <w:basedOn w:val="4"/>
    <w:qFormat/>
    <w:uiPriority w:val="0"/>
    <w:pPr>
      <w:ind w:firstLine="0" w:firstLineChars="0"/>
    </w:pPr>
    <w:rPr>
      <w:rFonts w:ascii="Century Gothic" w:hAnsi="Century Gothic" w:eastAsia="宋体"/>
      <w:b w:val="0"/>
      <w:bCs w:val="0"/>
      <w:sz w:val="20"/>
    </w:rPr>
  </w:style>
  <w:style w:type="paragraph" w:customStyle="1" w:styleId="10">
    <w:name w:val="_Style 1"/>
    <w:qFormat/>
    <w:uiPriority w:val="1"/>
    <w:pPr>
      <w:adjustRightInd w:val="0"/>
      <w:snapToGrid w:val="0"/>
    </w:pPr>
    <w:rPr>
      <w:rFonts w:ascii="Tahoma" w:hAnsi="Tahoma" w:eastAsiaTheme="minorEastAsia" w:cstheme="minorBidi"/>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2022-04-20T04:25:00Z</dcterms:created>
  <dc:creator>球球</dc:creator>
  <cp:lastModifiedBy>球球</cp:lastModifiedBy>
  <dcterms:modified xsi:type="dcterms:W3CDTF">2022-04-20T04:26:04Z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6F03E0B2B3BA4B38B85BE7DEEDD6AFB2</vt:lpwstr>
  </property>
</Properties>
</file>