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0" w:name="_Toc35393790"/>
      <w:bookmarkStart w:id="1" w:name="_Toc35393621"/>
      <w:bookmarkStart w:id="2" w:name="_Toc28359002"/>
      <w:bookmarkStart w:id="3" w:name="_Toc28359079"/>
      <w:bookmarkStart w:id="4" w:name="_Hlk24379207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项目编号：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CQYX-2022-03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项目名称：碧江区全民所有自然资源资产清查采购</w:t>
      </w:r>
    </w:p>
    <w:bookmarkEnd w:id="4"/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预算金额：100万元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最高限价：100万元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采购需求：碧江区全民所有自然资源资产清查。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>招标方式：公开招标。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本项目（</w:t>
      </w:r>
      <w:r>
        <w:rPr>
          <w:rFonts w:hint="eastAsia" w:ascii="宋体" w:hAnsi="宋体" w:cs="宋体"/>
          <w:iCs/>
          <w:sz w:val="24"/>
          <w:szCs w:val="24"/>
        </w:rPr>
        <w:t>否</w:t>
      </w:r>
      <w:r>
        <w:rPr>
          <w:rFonts w:hint="eastAsia" w:ascii="宋体" w:hAnsi="宋体" w:cs="宋体"/>
          <w:sz w:val="24"/>
          <w:szCs w:val="24"/>
        </w:rPr>
        <w:t>）接受联合体投标。</w:t>
      </w:r>
    </w:p>
    <w:p>
      <w:pPr>
        <w:pStyle w:val="2"/>
        <w:spacing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5" w:name="_Toc28359080"/>
      <w:bookmarkStart w:id="6" w:name="_Toc28359003"/>
      <w:bookmarkStart w:id="7" w:name="_Toc35393791"/>
      <w:bookmarkStart w:id="8" w:name="_Toc35393622"/>
      <w:r>
        <w:rPr>
          <w:rFonts w:hint="eastAsia" w:ascii="宋体" w:hAnsi="宋体" w:eastAsia="宋体" w:cs="宋体"/>
          <w:b w:val="0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9" w:name="_Toc28359004"/>
      <w:bookmarkStart w:id="10" w:name="_Toc28359081"/>
      <w:r>
        <w:rPr>
          <w:rFonts w:hint="eastAsia" w:ascii="宋体" w:hAnsi="宋体" w:cs="宋体"/>
          <w:sz w:val="24"/>
          <w:szCs w:val="24"/>
        </w:rPr>
        <w:t>①法人或者其他组织的营业执照等证明文件（工商营业执照副本、组织机构代码证副本和税务登记证副本，或三证合一的营业执照等其他证明）或事业单位法人证书，自然人的身份证明；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②财务状况报告（经合法审计机构出具的2021年度财务审计报告，或2022年1月以来其开户行出具的银行资信证明）；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③依法缴纳税收（2022年1月起至投标截止时间前任何3月的缴纳凭证）和社会保障资金的相关材料（2022年1月起至投标截止时间前任何3月的缴纳凭证，不需要缴纳税收或社保资金的投标人须提供相应证明文件）；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④具备履行合同所必需的设备和专业技术能力的证明材料（投标人提供证明材料或承诺）；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⑤参加政府采购活动前3年内在经营活动中没有重大违法记录的书面声明（自行声明）；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⑥供应商需自行承诺“未在“信用中国”网站上及中国政府采购网上被列入失信被执行人、重大税收违法案件当事人名单、政府采购严重违法失信行为记录名单，如有被列入的情况，将视为无效投标；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⑦不接受联合体投标；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⑧投标法律、行政法规规定的其他条件：投标保证金已缴纳证明。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2.落实政府采购政策需满足的资格要求：</w:t>
      </w:r>
      <w:r>
        <w:rPr>
          <w:rFonts w:hint="eastAsia" w:ascii="宋体" w:hAnsi="宋体" w:cs="宋体"/>
          <w:sz w:val="24"/>
          <w:szCs w:val="24"/>
          <w:u w:val="single"/>
        </w:rPr>
        <w:t>已落实</w:t>
      </w:r>
    </w:p>
    <w:p>
      <w:pPr>
        <w:spacing w:line="360" w:lineRule="auto"/>
        <w:ind w:firstLine="480" w:firstLineChars="200"/>
        <w:rPr>
          <w:rFonts w:ascii="宋体" w:hAnsi="宋体" w:cs="宋体"/>
          <w:i/>
          <w:iCs/>
          <w:color w:val="FF000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3.本项目的特定资格要求：同时具有土地评估、房地产评估、资产评估类资质。</w:t>
      </w:r>
    </w:p>
    <w:bookmarkEnd w:id="9"/>
    <w:bookmarkEnd w:id="10"/>
    <w:p>
      <w:pPr>
        <w:spacing w:line="360" w:lineRule="auto"/>
        <w:jc w:val="center"/>
        <w:outlineLvl w:val="0"/>
        <w:rPr>
          <w:rFonts w:hint="eastAsia"/>
          <w:b/>
          <w:color w:val="auto"/>
          <w:sz w:val="32"/>
          <w:szCs w:val="32"/>
        </w:rPr>
      </w:pPr>
      <w:bookmarkStart w:id="12" w:name="_GoBack"/>
      <w:bookmarkEnd w:id="12"/>
    </w:p>
    <w:p>
      <w:pPr>
        <w:spacing w:line="360" w:lineRule="auto"/>
        <w:jc w:val="center"/>
        <w:outlineLvl w:val="0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Theme="minorEastAsia"/>
          <w:color w:val="auto"/>
          <w:szCs w:val="21"/>
        </w:rPr>
      </w:pPr>
      <w:r>
        <w:rPr>
          <w:rFonts w:hint="eastAsia"/>
          <w:b/>
          <w:color w:val="auto"/>
          <w:sz w:val="32"/>
          <w:szCs w:val="32"/>
        </w:rPr>
        <w:t>服务及商务</w:t>
      </w:r>
      <w:r>
        <w:rPr>
          <w:b/>
          <w:color w:val="auto"/>
          <w:sz w:val="32"/>
          <w:szCs w:val="32"/>
        </w:rPr>
        <w:t>要求</w:t>
      </w:r>
    </w:p>
    <w:p>
      <w:pPr>
        <w:widowControl/>
        <w:numPr>
          <w:ilvl w:val="0"/>
          <w:numId w:val="1"/>
        </w:numPr>
        <w:spacing w:line="360" w:lineRule="auto"/>
        <w:ind w:left="392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服务要求</w:t>
      </w:r>
    </w:p>
    <w:p>
      <w:pPr>
        <w:spacing w:line="360" w:lineRule="auto"/>
        <w:ind w:left="200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一、工作目标</w:t>
      </w:r>
    </w:p>
    <w:p>
      <w:pPr>
        <w:spacing w:line="360" w:lineRule="auto"/>
        <w:ind w:left="200"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通过清查第二批试点工作，全面摸清碧江区土地、森林、草原和湿地等4类全民所有自然资源资产家底。进一步验证并优化技术路线与方法，统一资产经济价值内涵并建立碧江区资产清查价格体系，估算碧江区全民所有自然资源资产经济价值，探索核实国家所有者权益，建立健全组织方式与协调机制，助力探索形成适合贵州实际的资产清查制度及方法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二、工作服务范围</w:t>
      </w:r>
    </w:p>
    <w:p>
      <w:pPr>
        <w:spacing w:line="360" w:lineRule="auto"/>
        <w:ind w:left="210" w:leftChars="100" w:firstLine="398" w:firstLineChars="166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完成碧江区全民所有自然资源资产实物量清查，包括土地（农用地、建设用地、未利用地、储备土地）森林、草原、湿地等；在省级价格体系的基础上，构建碧江区修正体系，估算全民所有自然资源资产价值量。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三、内容及重点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1、开展前期准备和相关资料收集；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2、编制县级实施方案；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3、组织宣传和培训工作；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4、开展土地（农用地、建设用地、未利用地、储备土地）、森林、草原、湿地等全民所有自然资源资产的数量、质量、分布、用途、使用权、成本、价格、收益等属性信息采集；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5、建立资源资产清查价格体系；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6、估算资源资产经济价值；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lang w:bidi="en-US"/>
        </w:rPr>
      </w:pPr>
      <w:r>
        <w:rPr>
          <w:rFonts w:hint="eastAsia" w:ascii="宋体" w:hAnsi="宋体" w:cs="宋体"/>
          <w:color w:val="auto"/>
          <w:sz w:val="24"/>
          <w:szCs w:val="24"/>
        </w:rPr>
        <w:t>7、</w:t>
      </w:r>
      <w:r>
        <w:rPr>
          <w:rFonts w:hint="eastAsia" w:ascii="宋体" w:hAnsi="宋体" w:cs="宋体"/>
          <w:color w:val="auto"/>
          <w:sz w:val="24"/>
          <w:szCs w:val="24"/>
          <w:lang w:bidi="en-US"/>
        </w:rPr>
        <w:t>建立县级资产清查成果数据库；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lang w:bidi="en-US"/>
        </w:rPr>
      </w:pPr>
      <w:r>
        <w:rPr>
          <w:rFonts w:hint="eastAsia" w:ascii="宋体" w:hAnsi="宋体" w:cs="宋体"/>
          <w:color w:val="auto"/>
          <w:sz w:val="24"/>
          <w:szCs w:val="24"/>
          <w:lang w:bidi="en-US"/>
        </w:rPr>
        <w:t>8、编制县级资产清查试点工作报告、技术报告、数据集以及专题图件等；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bidi="en-US"/>
        </w:rPr>
        <w:t>9、</w:t>
      </w:r>
      <w:r>
        <w:rPr>
          <w:rFonts w:hint="eastAsia" w:ascii="宋体" w:hAnsi="宋体" w:cs="宋体"/>
          <w:color w:val="auto"/>
          <w:sz w:val="24"/>
          <w:szCs w:val="24"/>
        </w:rPr>
        <w:t>开展县级成果预检；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10、成果上报；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四、提交成果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lang w:bidi="en-US"/>
        </w:rPr>
      </w:pPr>
      <w:r>
        <w:rPr>
          <w:rFonts w:hint="eastAsia" w:ascii="宋体" w:hAnsi="宋体" w:cs="宋体"/>
          <w:color w:val="auto"/>
          <w:sz w:val="24"/>
          <w:szCs w:val="24"/>
          <w:lang w:bidi="en-US"/>
        </w:rPr>
        <w:t xml:space="preserve">1、碧江区全民所有自然资源资产清查试点工作报告；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lang w:bidi="en-US"/>
        </w:rPr>
      </w:pPr>
      <w:r>
        <w:rPr>
          <w:rFonts w:hint="eastAsia" w:ascii="宋体" w:hAnsi="宋体" w:cs="宋体"/>
          <w:color w:val="auto"/>
          <w:sz w:val="24"/>
          <w:szCs w:val="24"/>
          <w:lang w:bidi="en-US"/>
        </w:rPr>
        <w:t xml:space="preserve">2、碧江区全民所有自然资源资产清查试点技术报告；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bidi="en-US"/>
        </w:rPr>
      </w:pPr>
      <w:r>
        <w:rPr>
          <w:rFonts w:hint="eastAsia" w:ascii="宋体" w:hAnsi="宋体" w:cs="宋体"/>
          <w:color w:val="auto"/>
          <w:sz w:val="24"/>
          <w:szCs w:val="24"/>
          <w:lang w:bidi="en-US"/>
        </w:rPr>
        <w:t>3、碧江区各类自然资源资产清查价格体系成果；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lang w:bidi="en-US"/>
        </w:rPr>
      </w:pPr>
      <w:r>
        <w:rPr>
          <w:rFonts w:hint="eastAsia" w:ascii="宋体" w:hAnsi="宋体" w:cs="宋体"/>
          <w:color w:val="auto"/>
          <w:sz w:val="24"/>
          <w:szCs w:val="24"/>
          <w:lang w:bidi="en-US"/>
        </w:rPr>
        <w:t xml:space="preserve">4、碧江区全民所有自然资源资产清查试点数据库；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lang w:bidi="en-US"/>
        </w:rPr>
      </w:pPr>
      <w:r>
        <w:rPr>
          <w:rFonts w:hint="eastAsia" w:ascii="宋体" w:hAnsi="宋体" w:cs="宋体"/>
          <w:color w:val="auto"/>
          <w:sz w:val="24"/>
          <w:szCs w:val="24"/>
          <w:lang w:bidi="en-US"/>
        </w:rPr>
        <w:t xml:space="preserve">5、碧江区全民所有自然资源资产清查试点数据报表；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lang w:bidi="en-US"/>
        </w:rPr>
      </w:pPr>
      <w:r>
        <w:rPr>
          <w:rFonts w:hint="eastAsia" w:ascii="宋体" w:hAnsi="宋体" w:cs="宋体"/>
          <w:color w:val="auto"/>
          <w:sz w:val="24"/>
          <w:szCs w:val="24"/>
          <w:lang w:bidi="en-US"/>
        </w:rPr>
        <w:t xml:space="preserve">6、碧江区全民所有自然资源资产清查试点图件；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bidi="en-US"/>
        </w:rPr>
      </w:pPr>
      <w:r>
        <w:rPr>
          <w:rFonts w:hint="eastAsia" w:ascii="宋体" w:hAnsi="宋体" w:cs="宋体"/>
          <w:color w:val="auto"/>
          <w:sz w:val="24"/>
          <w:szCs w:val="24"/>
          <w:lang w:bidi="en-US"/>
        </w:rPr>
        <w:t>7、碧江区全民所有自然资源资产清查试点数据自检报告。</w:t>
      </w:r>
      <w:bookmarkStart w:id="11" w:name="_Toc9015"/>
    </w:p>
    <w:p>
      <w:pPr>
        <w:pStyle w:val="2"/>
        <w:ind w:firstLine="240" w:firstLineChars="100"/>
        <w:rPr>
          <w:rFonts w:hint="eastAsia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8 、所有提交成果通过省级审核验收合格，所有成果及版权归甲方所有。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</w:p>
    <w:p>
      <w:pPr>
        <w:spacing w:line="360" w:lineRule="auto"/>
        <w:ind w:firstLine="420" w:firstLineChars="20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（二）商务要求</w:t>
      </w:r>
      <w:bookmarkEnd w:id="11"/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1、服务期：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3个月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2、服务地点：采购人指定地点。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3、付款方式：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以合同约定的付款方式为准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79D9C"/>
    <w:multiLevelType w:val="singleLevel"/>
    <w:tmpl w:val="81779D9C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2346"/>
    <w:rsid w:val="2E7E2346"/>
    <w:rsid w:val="7286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750</Characters>
  <Lines>0</Lines>
  <Paragraphs>0</Paragraphs>
  <TotalTime>0</TotalTime>
  <ScaleCrop>false</ScaleCrop>
  <LinksUpToDate>false</LinksUpToDate>
  <CharactersWithSpaces>761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2022-04-20T04:19:00Z</dcterms:created>
  <dc:creator>球球</dc:creator>
  <cp:lastModifiedBy>球球</cp:lastModifiedBy>
  <dcterms:modified xsi:type="dcterms:W3CDTF">2022-04-20T05:29:26Z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9E5350D0501B42C78E65C6E69FC75B0F</vt:lpwstr>
  </property>
</Properties>
</file>