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color w:val="000000" w:themeColor="text1"/>
          <w:szCs w:val="21"/>
          <w14:textFill>
            <w14:solidFill>
              <w14:schemeClr w14:val="tx1"/>
            </w14:solidFill>
          </w14:textFill>
        </w:rPr>
      </w:pPr>
    </w:p>
    <w:p>
      <w:pPr>
        <w:pStyle w:val="3"/>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资格审查表</w:t>
      </w:r>
    </w:p>
    <w:tbl>
      <w:tblPr>
        <w:tblStyle w:val="6"/>
        <w:tblW w:w="84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3"/>
        <w:gridCol w:w="3188"/>
        <w:gridCol w:w="3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tcBorders>
              <w:top w:val="single" w:color="auto" w:sz="4" w:space="0"/>
              <w:bottom w:val="single" w:color="auto" w:sz="4" w:space="0"/>
              <w:right w:val="single" w:color="auto" w:sz="4" w:space="0"/>
            </w:tcBorders>
            <w:vAlign w:val="center"/>
          </w:tcPr>
          <w:p>
            <w:pPr>
              <w:spacing w:line="44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评审内容</w:t>
            </w:r>
          </w:p>
        </w:tc>
        <w:tc>
          <w:tcPr>
            <w:tcW w:w="3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评审因素</w:t>
            </w:r>
          </w:p>
        </w:tc>
        <w:tc>
          <w:tcPr>
            <w:tcW w:w="38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restart"/>
            <w:tcBorders>
              <w:top w:val="single" w:color="auto" w:sz="4" w:space="0"/>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经营资格审查资格评审标准</w:t>
            </w: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szCs w:val="21"/>
              </w:rPr>
              <w:t>法人或负责人或其他组织的营业执照</w:t>
            </w:r>
            <w:r>
              <w:rPr>
                <w:rFonts w:hint="eastAsia"/>
                <w:szCs w:val="21"/>
              </w:rPr>
              <w:t>或</w:t>
            </w:r>
            <w:r>
              <w:rPr>
                <w:szCs w:val="21"/>
              </w:rPr>
              <w:t>事业单位法人证书等证明文件</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rFonts w:hint="eastAsia"/>
                <w:szCs w:val="21"/>
              </w:rPr>
              <w:t>有效期内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财务状况报告</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财务状况报告</w:t>
            </w:r>
            <w:r>
              <w:rPr>
                <w:rFonts w:hint="eastAsia"/>
                <w:szCs w:val="21"/>
              </w:rPr>
              <w:t>（经合法审计机构出具的2021年度财务审计报告</w:t>
            </w:r>
            <w:r>
              <w:rPr>
                <w:rFonts w:hint="eastAsia"/>
                <w:color w:val="000000" w:themeColor="text1"/>
                <w:szCs w:val="21"/>
                <w14:textFill>
                  <w14:solidFill>
                    <w14:schemeClr w14:val="tx1"/>
                  </w14:solidFill>
                </w14:textFill>
              </w:rPr>
              <w:t>，或2022年1月以来其开户行出具的银行资信证明）</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依法缴纳税收和社会保障资金的相关材料</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依法缴纳税收（2022年1月起至投标截止时间前任何3月的缴纳凭证）和社会保障资金的相关材料（2022年1月起至投标截止时间前任何3月的缴纳凭证，不需要缴纳税收或社保资金的投标人须提供相应证明文件）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具备履行合同所必需的设备和专业技术能力的证明材料</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提供具备履行合同所必需的设备和专业能力的资料或承诺函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参加政府采购活动前3年内在经营活动中没有重大违法记录的书面声明</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自行声明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供应商信用信息</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供应商需自行承诺“未在“信用中国”网站上及中国政府采购网上被列入失信被执行人、重大税收违法案件当事人名单、政府采购严重违法失信行为记录名单，如有被列入的情况，将视为无效投标</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ascii="Calibri" w:hAnsi="Calibri"/>
                <w:color w:val="000000" w:themeColor="text1"/>
                <w:sz w:val="24"/>
                <w:szCs w:val="24"/>
                <w14:textFill>
                  <w14:solidFill>
                    <w14:schemeClr w14:val="tx1"/>
                  </w14:solidFill>
                </w14:textFill>
              </w:rPr>
              <w:t>特殊资格要求</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szCs w:val="21"/>
              </w:rPr>
              <w:t>同时具有土地评估、房地产评估、资产评估类资质。</w:t>
            </w:r>
          </w:p>
        </w:tc>
      </w:tr>
    </w:tbl>
    <w:p>
      <w:pPr>
        <w:pStyle w:val="3"/>
        <w:jc w:val="center"/>
        <w:rPr>
          <w:b/>
          <w:color w:val="000000" w:themeColor="text1"/>
          <w:sz w:val="28"/>
          <w:szCs w:val="28"/>
          <w14:textFill>
            <w14:solidFill>
              <w14:schemeClr w14:val="tx1"/>
            </w14:solidFill>
          </w14:textFill>
        </w:rPr>
      </w:pPr>
    </w:p>
    <w:p>
      <w:pPr>
        <w:pStyle w:val="3"/>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符合性审查表</w:t>
      </w:r>
    </w:p>
    <w:tbl>
      <w:tblPr>
        <w:tblStyle w:val="6"/>
        <w:tblW w:w="86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7"/>
        <w:gridCol w:w="3966"/>
        <w:gridCol w:w="3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restart"/>
            <w:tcBorders>
              <w:top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符合性性审查</w:t>
            </w: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投标人签字盖章</w:t>
            </w:r>
          </w:p>
        </w:tc>
        <w:tc>
          <w:tcPr>
            <w:tcW w:w="3758" w:type="dxa"/>
            <w:tcBorders>
              <w:top w:val="single" w:color="auto" w:sz="4" w:space="0"/>
              <w:left w:val="single" w:color="auto" w:sz="4" w:space="0"/>
              <w:bottom w:val="single" w:color="auto" w:sz="4" w:space="0"/>
              <w:right w:val="single" w:color="auto" w:sz="4" w:space="0"/>
            </w:tcBorders>
            <w:vAlign w:val="center"/>
          </w:tcPr>
          <w:p>
            <w:pPr>
              <w:snapToGrid w:val="0"/>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投标文件格式中要求签字盖章处，有法定代表人或负责人或其委托代理人签字（或盖章）并加盖单位章。委托代理人签字（或盖章）的，应附委托书。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r>
              <w:rPr>
                <w:rFonts w:hint="eastAsia"/>
                <w:color w:val="000000" w:themeColor="text1"/>
                <w:szCs w:val="21"/>
                <w14:textFill>
                  <w14:solidFill>
                    <w14:schemeClr w14:val="tx1"/>
                  </w14:solidFill>
                </w14:textFill>
              </w:rPr>
              <w:t xml:space="preserve"> </w:t>
            </w:r>
          </w:p>
        </w:tc>
        <w:tc>
          <w:tcPr>
            <w:tcW w:w="37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符合招标文件要求(90天)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w:t>
            </w:r>
          </w:p>
        </w:tc>
        <w:tc>
          <w:tcPr>
            <w:tcW w:w="37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eastAsia="宋体"/>
                <w:color w:val="000000" w:themeColor="text1"/>
                <w:szCs w:val="21"/>
                <w:lang w:eastAsia="zh-CN"/>
                <w14:textFill>
                  <w14:solidFill>
                    <w14:schemeClr w14:val="tx1"/>
                  </w14:solidFill>
                </w14:textFill>
              </w:rPr>
            </w:pPr>
            <w:r>
              <w:rPr>
                <w:rFonts w:hint="eastAsia"/>
                <w:color w:val="auto"/>
                <w:szCs w:val="21"/>
                <w:lang w:val="en-US" w:eastAsia="zh-CN"/>
              </w:rPr>
              <w:t>3个月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服务地点</w:t>
            </w:r>
          </w:p>
        </w:tc>
        <w:tc>
          <w:tcPr>
            <w:tcW w:w="375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付款方式</w:t>
            </w:r>
          </w:p>
        </w:tc>
        <w:tc>
          <w:tcPr>
            <w:tcW w:w="3758" w:type="dxa"/>
            <w:tcBorders>
              <w:top w:val="single" w:color="auto" w:sz="4" w:space="0"/>
              <w:left w:val="single" w:color="auto" w:sz="4" w:space="0"/>
              <w:bottom w:val="single" w:color="auto" w:sz="4" w:space="0"/>
              <w:right w:val="single" w:color="auto" w:sz="4" w:space="0"/>
            </w:tcBorders>
            <w:vAlign w:val="center"/>
          </w:tcPr>
          <w:p>
            <w:pPr>
              <w:pStyle w:val="3"/>
              <w:rPr>
                <w:rFonts w:hint="eastAsia" w:eastAsia="宋体"/>
                <w:color w:val="000000" w:themeColor="text1"/>
                <w:lang w:val="en-US" w:eastAsia="zh-CN"/>
                <w14:textFill>
                  <w14:solidFill>
                    <w14:schemeClr w14:val="tx1"/>
                  </w14:solidFill>
                </w14:textFill>
              </w:rPr>
            </w:pPr>
            <w:r>
              <w:rPr>
                <w:rFonts w:hint="eastAsia" w:ascii="宋体" w:hAnsi="宋体" w:cs="宋体"/>
                <w:color w:val="auto"/>
                <w:sz w:val="24"/>
                <w:szCs w:val="24"/>
                <w:lang w:val="en-US" w:eastAsia="zh-CN"/>
              </w:rPr>
              <w:t>以合同约定的付款方式为准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continue"/>
            <w:tcBorders>
              <w:bottom w:val="single" w:color="auto" w:sz="4" w:space="0"/>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投标保证金</w:t>
            </w:r>
          </w:p>
        </w:tc>
        <w:tc>
          <w:tcPr>
            <w:tcW w:w="375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提供保证金已缴纳的依据（系统缴纳的出具系统提示已缴纳的回执截图并加盖单位公章）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57" w:type="dxa"/>
            <w:tcBorders>
              <w:top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无效标审查</w:t>
            </w:r>
          </w:p>
        </w:tc>
        <w:tc>
          <w:tcPr>
            <w:tcW w:w="77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按本项目招标文件第三章中“无效标审查”无效标条款规定，审查是否通过</w:t>
            </w:r>
          </w:p>
        </w:tc>
      </w:tr>
    </w:tbl>
    <w:p>
      <w:pPr>
        <w:pStyle w:val="8"/>
        <w:ind w:firstLine="480"/>
        <w:rPr>
          <w:lang w:eastAsia="zh-CN"/>
        </w:rPr>
      </w:pP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 详细评审</w:t>
      </w:r>
    </w:p>
    <w:p>
      <w:pPr>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评标委员会只对通过初步评审的供应商按项进行评审。总分值10</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分，评分细则及各项评标因素如下：</w:t>
      </w:r>
    </w:p>
    <w:tbl>
      <w:tblPr>
        <w:tblStyle w:val="6"/>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5386"/>
        <w:gridCol w:w="107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9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·评因素</w:t>
            </w:r>
          </w:p>
        </w:tc>
        <w:tc>
          <w:tcPr>
            <w:tcW w:w="5386" w:type="dxa"/>
            <w:shd w:val="clear" w:color="000000" w:fill="FFFFFF"/>
            <w:vAlign w:val="center"/>
          </w:tcPr>
          <w:p>
            <w:pPr>
              <w:pStyle w:val="9"/>
              <w:ind w:firstLine="1470" w:firstLineChars="7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评分标准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分值</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495"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价格分</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（10分）</w:t>
            </w:r>
          </w:p>
        </w:tc>
        <w:tc>
          <w:tcPr>
            <w:tcW w:w="5386"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bookmarkStart w:id="0" w:name="_Toc799"/>
            <w:r>
              <w:rPr>
                <w:rFonts w:hint="eastAsia" w:ascii="宋体" w:hAnsi="宋体" w:cs="宋体"/>
                <w:color w:val="000000" w:themeColor="text1"/>
                <w:sz w:val="21"/>
                <w:szCs w:val="21"/>
                <w14:textFill>
                  <w14:solidFill>
                    <w14:schemeClr w14:val="tx1"/>
                  </w14:solidFill>
                </w14:textFill>
              </w:rPr>
              <w:t>投标报价得分＝（评标基准价/投标报价）×价格权重×100。</w:t>
            </w:r>
            <w:bookmarkEnd w:id="0"/>
          </w:p>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注：根据《政府采购促进中小企业发展管理办法》的规定投标单位所投产品属于小型和微型企业产品的，其价格给予6%的扣除，用扣除后的价格参与评审。</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0-10分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95" w:type="dxa"/>
            <w:vMerge w:val="restart"/>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技术分</w:t>
            </w:r>
          </w:p>
          <w:p>
            <w:pPr>
              <w:pStyle w:val="1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w:t>
            </w:r>
            <w:r>
              <w:rPr>
                <w:rFonts w:ascii="宋体" w:hAnsi="宋体" w:eastAsia="宋体" w:cs="宋体"/>
                <w:bCs/>
                <w:spacing w:val="10"/>
                <w:kern w:val="2"/>
                <w:sz w:val="21"/>
                <w:szCs w:val="21"/>
              </w:rPr>
              <w:t>15</w:t>
            </w:r>
            <w:r>
              <w:rPr>
                <w:rFonts w:hint="eastAsia" w:ascii="宋体" w:hAnsi="宋体" w:eastAsia="宋体" w:cs="宋体"/>
                <w:bCs/>
                <w:color w:val="000000" w:themeColor="text1"/>
                <w:spacing w:val="10"/>
                <w:kern w:val="2"/>
                <w:sz w:val="21"/>
                <w:szCs w:val="21"/>
                <w14:textFill>
                  <w14:solidFill>
                    <w14:schemeClr w14:val="tx1"/>
                  </w14:solidFill>
                </w14:textFill>
              </w:rPr>
              <w:t>分）</w:t>
            </w: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一、服务方案(</w:t>
            </w:r>
            <w:r>
              <w:rPr>
                <w:rFonts w:ascii="宋体" w:hAnsi="宋体" w:eastAsia="宋体" w:cs="宋体"/>
                <w:bCs/>
                <w:color w:val="000000" w:themeColor="text1"/>
                <w:spacing w:val="10"/>
                <w:kern w:val="2"/>
                <w:sz w:val="21"/>
                <w:szCs w:val="21"/>
                <w14:textFill>
                  <w14:solidFill>
                    <w14:schemeClr w14:val="tx1"/>
                  </w14:solidFill>
                </w14:textFill>
              </w:rPr>
              <w:t>10</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方案科学、合理，具有非常强的可操作性的得</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6</w:t>
            </w:r>
            <w:r>
              <w:rPr>
                <w:rFonts w:hint="eastAsia" w:ascii="宋体" w:hAnsi="宋体" w:eastAsia="宋体" w:cs="宋体"/>
                <w:bCs/>
                <w:color w:val="000000" w:themeColor="text1"/>
                <w:spacing w:val="10"/>
                <w:kern w:val="2"/>
                <w:sz w:val="21"/>
                <w:szCs w:val="21"/>
                <w14:textFill>
                  <w14:solidFill>
                    <w14:schemeClr w14:val="tx1"/>
                  </w14:solidFill>
                </w14:textFill>
              </w:rPr>
              <w:t>-</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10</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方案科学、合理，具有较强的可操作性的得</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3</w:t>
            </w:r>
            <w:r>
              <w:rPr>
                <w:rFonts w:hint="eastAsia" w:ascii="宋体" w:hAnsi="宋体" w:eastAsia="宋体" w:cs="宋体"/>
                <w:bCs/>
                <w:color w:val="000000" w:themeColor="text1"/>
                <w:spacing w:val="10"/>
                <w:kern w:val="2"/>
                <w:sz w:val="21"/>
                <w:szCs w:val="21"/>
                <w14:textFill>
                  <w14:solidFill>
                    <w14:schemeClr w14:val="tx1"/>
                  </w14:solidFill>
                </w14:textFill>
              </w:rPr>
              <w:t>-</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6</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ind w:firstLine="460" w:firstLineChars="200"/>
              <w:rPr>
                <w:rFonts w:ascii="宋体" w:hAnsi="宋体" w:cs="宋体"/>
                <w:bCs/>
                <w:color w:val="000000" w:themeColor="text1"/>
                <w:spacing w:val="10"/>
                <w:szCs w:val="21"/>
                <w14:textFill>
                  <w14:solidFill>
                    <w14:schemeClr w14:val="tx1"/>
                  </w14:solidFill>
                </w14:textFill>
              </w:rPr>
            </w:pPr>
            <w:r>
              <w:rPr>
                <w:rFonts w:hint="eastAsia" w:ascii="宋体" w:hAnsi="宋体" w:cs="宋体"/>
                <w:bCs/>
                <w:color w:val="000000" w:themeColor="text1"/>
                <w:spacing w:val="10"/>
                <w:szCs w:val="21"/>
                <w14:textFill>
                  <w14:solidFill>
                    <w14:schemeClr w14:val="tx1"/>
                  </w14:solidFill>
                </w14:textFill>
              </w:rPr>
              <w:t>方案科学、合理，具有一般的可操作性的得</w:t>
            </w:r>
            <w:r>
              <w:rPr>
                <w:rFonts w:hint="eastAsia" w:ascii="宋体" w:hAnsi="宋体" w:cs="宋体"/>
                <w:bCs/>
                <w:color w:val="000000" w:themeColor="text1"/>
                <w:spacing w:val="10"/>
                <w:szCs w:val="21"/>
                <w:lang w:val="en-US" w:eastAsia="zh-CN"/>
                <w14:textFill>
                  <w14:solidFill>
                    <w14:schemeClr w14:val="tx1"/>
                  </w14:solidFill>
                </w14:textFill>
              </w:rPr>
              <w:t>1</w:t>
            </w:r>
            <w:r>
              <w:rPr>
                <w:rFonts w:hint="eastAsia" w:ascii="宋体" w:hAnsi="宋体" w:cs="宋体"/>
                <w:bCs/>
                <w:color w:val="000000" w:themeColor="text1"/>
                <w:spacing w:val="10"/>
                <w:szCs w:val="21"/>
                <w14:textFill>
                  <w14:solidFill>
                    <w14:schemeClr w14:val="tx1"/>
                  </w14:solidFill>
                </w14:textFill>
              </w:rPr>
              <w:t>-</w:t>
            </w:r>
            <w:r>
              <w:rPr>
                <w:rFonts w:hint="eastAsia" w:ascii="宋体" w:hAnsi="宋体" w:cs="宋体"/>
                <w:bCs/>
                <w:color w:val="000000" w:themeColor="text1"/>
                <w:spacing w:val="10"/>
                <w:szCs w:val="21"/>
                <w:lang w:val="en-US" w:eastAsia="zh-CN"/>
                <w14:textFill>
                  <w14:solidFill>
                    <w14:schemeClr w14:val="tx1"/>
                  </w14:solidFill>
                </w14:textFill>
              </w:rPr>
              <w:t>3</w:t>
            </w:r>
            <w:r>
              <w:rPr>
                <w:rFonts w:hint="eastAsia" w:ascii="宋体" w:hAnsi="宋体" w:cs="宋体"/>
                <w:bCs/>
                <w:color w:val="000000" w:themeColor="text1"/>
                <w:spacing w:val="10"/>
                <w:szCs w:val="21"/>
                <w14:textFill>
                  <w14:solidFill>
                    <w14:schemeClr w14:val="tx1"/>
                  </w14:solidFill>
                </w14:textFill>
              </w:rPr>
              <w:t>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相关内容缺失，不得分。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495" w:type="dxa"/>
            <w:vMerge w:val="continue"/>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二、质量控制措施（</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质量控制点设置充分、清晰；质量控制及保障措施具有针对性有效可行，明确承诺完成后续质量保障和服务工作，</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质量控制点设置基本合理，有质量控制及保障措施，明确承诺完成后续质量保障和服务工作，对违约承担责任；</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基本承诺完成后续质量保障和服务工作；</w:t>
            </w:r>
            <w:r>
              <w:rPr>
                <w:rFonts w:ascii="宋体" w:hAnsi="宋体" w:eastAsia="宋体" w:cs="宋体"/>
                <w:bCs/>
                <w:color w:val="000000" w:themeColor="text1"/>
                <w:spacing w:val="10"/>
                <w:kern w:val="2"/>
                <w:sz w:val="21"/>
                <w:szCs w:val="21"/>
                <w14:textFill>
                  <w14:solidFill>
                    <w14:schemeClr w14:val="tx1"/>
                  </w14:solidFill>
                </w14:textFill>
              </w:rPr>
              <w:t>0.5</w:t>
            </w:r>
            <w:r>
              <w:rPr>
                <w:rFonts w:hint="eastAsia" w:ascii="宋体" w:hAnsi="宋体" w:eastAsia="宋体" w:cs="宋体"/>
                <w:bCs/>
                <w:color w:val="000000" w:themeColor="text1"/>
                <w:spacing w:val="10"/>
                <w:kern w:val="2"/>
                <w:sz w:val="21"/>
                <w:szCs w:val="21"/>
                <w14:textFill>
                  <w14:solidFill>
                    <w14:schemeClr w14:val="tx1"/>
                  </w14:solidFill>
                </w14:textFill>
              </w:rPr>
              <w:t>分；相关内容缺失，不得分。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495" w:type="dxa"/>
            <w:vMerge w:val="continue"/>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三、进度控制（</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严格按成果提交时限要求、内容要求，根据生产各环节关键时间点有序推进，进度控制科学，职责分工合理的；</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满足成果提交时限、内容要求，各环节时间节点较为明确，并附有较清晰的职责分工；</w:t>
            </w:r>
            <w:r>
              <w:rPr>
                <w:rFonts w:ascii="宋体" w:hAnsi="宋体" w:eastAsia="宋体" w:cs="宋体"/>
                <w:bCs/>
                <w:color w:val="000000" w:themeColor="text1"/>
                <w:spacing w:val="10"/>
                <w:kern w:val="2"/>
                <w:sz w:val="21"/>
                <w:szCs w:val="21"/>
                <w14:textFill>
                  <w14:solidFill>
                    <w14:schemeClr w14:val="tx1"/>
                  </w14:solidFill>
                </w14:textFill>
              </w:rPr>
              <w:t>0.5</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只承诺满足成果提交时限、内容要求，时间节点划分不清晰，职责分工较为简单；不得分。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95" w:type="dxa"/>
            <w:vMerge w:val="continue"/>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四、保密制度（</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有保密承诺，且有数据保密管理制度，措施合理有效，</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有保密承诺、数据保密管理制度，但措施针对性不强或无具体措施，</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仅有保密承诺，无具体措施和制度，</w:t>
            </w:r>
            <w:r>
              <w:rPr>
                <w:rFonts w:ascii="宋体" w:hAnsi="宋体" w:eastAsia="宋体" w:cs="宋体"/>
                <w:bCs/>
                <w:color w:val="000000" w:themeColor="text1"/>
                <w:spacing w:val="10"/>
                <w:kern w:val="2"/>
                <w:sz w:val="21"/>
                <w:szCs w:val="21"/>
                <w14:textFill>
                  <w14:solidFill>
                    <w14:schemeClr w14:val="tx1"/>
                  </w14:solidFill>
                </w14:textFill>
              </w:rPr>
              <w:t>0.5</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无保密承诺，不得分。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5" w:type="dxa"/>
            <w:vMerge w:val="restart"/>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商务分</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w:t>
            </w:r>
            <w:r>
              <w:rPr>
                <w:rFonts w:ascii="宋体" w:hAnsi="宋体" w:cs="宋体"/>
                <w:sz w:val="21"/>
                <w:szCs w:val="21"/>
              </w:rPr>
              <w:t>75</w:t>
            </w:r>
            <w:r>
              <w:rPr>
                <w:rFonts w:hint="eastAsia" w:ascii="宋体" w:hAnsi="宋体" w:cs="宋体"/>
                <w:color w:val="000000" w:themeColor="text1"/>
                <w:sz w:val="21"/>
                <w:szCs w:val="21"/>
                <w14:textFill>
                  <w14:solidFill>
                    <w14:schemeClr w14:val="tx1"/>
                  </w14:solidFill>
                </w14:textFill>
              </w:rPr>
              <w:t>分）</w:t>
            </w:r>
          </w:p>
        </w:tc>
        <w:tc>
          <w:tcPr>
            <w:tcW w:w="5386" w:type="dxa"/>
            <w:shd w:val="clear" w:color="000000" w:fill="FFFFFF"/>
            <w:vAlign w:val="center"/>
          </w:tcPr>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1、人员配备情况</w:t>
            </w:r>
          </w:p>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b/>
                <w:color w:val="auto"/>
                <w:kern w:val="2"/>
                <w:sz w:val="21"/>
                <w:szCs w:val="21"/>
              </w:rPr>
              <w:t>项目负责人</w:t>
            </w:r>
            <w:r>
              <w:rPr>
                <w:rFonts w:hint="eastAsia" w:ascii="宋体" w:hAnsi="宋体" w:eastAsia="宋体" w:cs="宋体"/>
                <w:color w:val="auto"/>
                <w:kern w:val="2"/>
                <w:sz w:val="21"/>
                <w:szCs w:val="21"/>
              </w:rPr>
              <w:t>：拟派项目负责人须同时具备土地估价师、房地产估价师执业资格:</w:t>
            </w:r>
          </w:p>
          <w:p>
            <w:pPr>
              <w:pStyle w:val="10"/>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a、</w:t>
            </w:r>
            <w:r>
              <w:rPr>
                <w:rFonts w:hint="eastAsia" w:ascii="宋体" w:hAnsi="宋体" w:eastAsia="宋体" w:cs="宋体"/>
                <w:color w:val="auto"/>
                <w:kern w:val="2"/>
                <w:sz w:val="21"/>
                <w:szCs w:val="21"/>
              </w:rPr>
              <w:t>且具备土地管理专业（或土地资源管理专业）高级职称的得10分；</w:t>
            </w:r>
          </w:p>
          <w:p>
            <w:pPr>
              <w:pStyle w:val="10"/>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b、</w:t>
            </w:r>
            <w:r>
              <w:rPr>
                <w:rFonts w:hint="eastAsia" w:ascii="宋体" w:hAnsi="宋体" w:eastAsia="宋体" w:cs="宋体"/>
                <w:color w:val="auto"/>
                <w:kern w:val="2"/>
                <w:sz w:val="21"/>
                <w:szCs w:val="21"/>
              </w:rPr>
              <w:t>具备土地管理专业（或土地资源管理专业）中级职称得6分；</w:t>
            </w:r>
          </w:p>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c</w:t>
            </w:r>
            <w:r>
              <w:rPr>
                <w:rFonts w:ascii="宋体" w:hAnsi="宋体" w:eastAsia="宋体" w:cs="宋体"/>
                <w:color w:val="auto"/>
                <w:kern w:val="2"/>
                <w:sz w:val="21"/>
                <w:szCs w:val="21"/>
              </w:rPr>
              <w:t>、</w:t>
            </w:r>
            <w:r>
              <w:rPr>
                <w:rFonts w:hint="eastAsia" w:ascii="宋体" w:hAnsi="宋体" w:eastAsia="宋体" w:cs="宋体"/>
                <w:color w:val="auto"/>
                <w:kern w:val="2"/>
                <w:sz w:val="21"/>
                <w:szCs w:val="21"/>
              </w:rPr>
              <w:t>其它职称不得分；本项满分10分。</w:t>
            </w:r>
          </w:p>
          <w:p>
            <w:pPr>
              <w:pStyle w:val="10"/>
              <w:spacing w:before="24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（2）</w:t>
            </w:r>
            <w:r>
              <w:rPr>
                <w:rFonts w:hint="eastAsia" w:ascii="宋体" w:hAnsi="宋体" w:eastAsia="宋体" w:cs="宋体"/>
                <w:b/>
                <w:color w:val="auto"/>
                <w:kern w:val="2"/>
                <w:sz w:val="21"/>
                <w:szCs w:val="21"/>
              </w:rPr>
              <w:t>技术负责人</w:t>
            </w:r>
            <w:r>
              <w:rPr>
                <w:rFonts w:hint="eastAsia" w:ascii="宋体" w:hAnsi="宋体" w:eastAsia="宋体" w:cs="宋体"/>
                <w:color w:val="auto"/>
                <w:kern w:val="2"/>
                <w:sz w:val="21"/>
                <w:szCs w:val="21"/>
              </w:rPr>
              <w:t>：拟派项目负责人须同时具备土地估价师、房地产估价师执业资格:</w:t>
            </w:r>
          </w:p>
          <w:p>
            <w:pPr>
              <w:pStyle w:val="10"/>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a、</w:t>
            </w:r>
            <w:r>
              <w:rPr>
                <w:rFonts w:hint="eastAsia" w:ascii="宋体" w:hAnsi="宋体" w:eastAsia="宋体" w:cs="宋体"/>
                <w:color w:val="auto"/>
                <w:kern w:val="2"/>
                <w:sz w:val="21"/>
                <w:szCs w:val="21"/>
              </w:rPr>
              <w:t>且具备土地管理专业（或土地资源管理专业）高级职称的得10分，</w:t>
            </w:r>
          </w:p>
          <w:p>
            <w:pPr>
              <w:pStyle w:val="10"/>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b、</w:t>
            </w:r>
            <w:r>
              <w:rPr>
                <w:rFonts w:hint="eastAsia" w:ascii="宋体" w:hAnsi="宋体" w:eastAsia="宋体" w:cs="宋体"/>
                <w:color w:val="auto"/>
                <w:kern w:val="2"/>
                <w:sz w:val="21"/>
                <w:szCs w:val="21"/>
              </w:rPr>
              <w:t>具备土地管理专业（或土地资源管理专业）中级职称得6分；</w:t>
            </w:r>
          </w:p>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c</w:t>
            </w:r>
            <w:r>
              <w:rPr>
                <w:rFonts w:ascii="宋体" w:hAnsi="宋体" w:eastAsia="宋体" w:cs="宋体"/>
                <w:color w:val="auto"/>
                <w:kern w:val="2"/>
                <w:sz w:val="21"/>
                <w:szCs w:val="21"/>
              </w:rPr>
              <w:t>、</w:t>
            </w:r>
            <w:r>
              <w:rPr>
                <w:rFonts w:hint="eastAsia" w:ascii="宋体" w:hAnsi="宋体" w:eastAsia="宋体" w:cs="宋体"/>
                <w:color w:val="auto"/>
                <w:kern w:val="2"/>
                <w:sz w:val="21"/>
                <w:szCs w:val="21"/>
              </w:rPr>
              <w:t>其它职称不得分；本项满分10分。</w:t>
            </w:r>
          </w:p>
          <w:p>
            <w:pPr>
              <w:pStyle w:val="10"/>
              <w:ind w:firstLine="420" w:firstLineChars="200"/>
              <w:rPr>
                <w:rFonts w:ascii="宋体" w:hAnsi="宋体" w:eastAsia="宋体" w:cs="宋体"/>
                <w:color w:val="auto"/>
                <w:kern w:val="2"/>
                <w:sz w:val="21"/>
                <w:szCs w:val="21"/>
              </w:rPr>
            </w:pPr>
          </w:p>
          <w:p>
            <w:pPr>
              <w:pStyle w:val="10"/>
              <w:spacing w:line="360" w:lineRule="auto"/>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（3）</w:t>
            </w:r>
            <w:r>
              <w:rPr>
                <w:rFonts w:hint="eastAsia" w:ascii="宋体" w:hAnsi="宋体" w:eastAsia="宋体" w:cs="宋体"/>
                <w:b/>
                <w:color w:val="auto"/>
                <w:kern w:val="2"/>
                <w:sz w:val="21"/>
                <w:szCs w:val="21"/>
              </w:rPr>
              <w:t>技术人员</w:t>
            </w:r>
            <w:r>
              <w:rPr>
                <w:rFonts w:hint="eastAsia" w:ascii="宋体" w:hAnsi="宋体" w:eastAsia="宋体" w:cs="宋体"/>
                <w:color w:val="auto"/>
                <w:kern w:val="2"/>
                <w:sz w:val="21"/>
                <w:szCs w:val="21"/>
              </w:rPr>
              <w:t>：投标供应商拟投入的技术人员：</w:t>
            </w:r>
          </w:p>
          <w:p>
            <w:pPr>
              <w:pStyle w:val="10"/>
              <w:spacing w:line="360" w:lineRule="auto"/>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a、</w:t>
            </w:r>
            <w:r>
              <w:rPr>
                <w:rFonts w:hint="eastAsia" w:ascii="宋体" w:hAnsi="宋体" w:eastAsia="宋体" w:cs="宋体"/>
                <w:color w:val="auto"/>
                <w:kern w:val="2"/>
                <w:sz w:val="21"/>
                <w:szCs w:val="21"/>
              </w:rPr>
              <w:t>同时具有土地估价师、房地产估价师执业资格，且具备土地管理专业（或测绘等相关专业）中级及以上职称，每投入1人得</w:t>
            </w:r>
            <w:r>
              <w:rPr>
                <w:rFonts w:ascii="宋体" w:hAnsi="宋体" w:eastAsia="宋体" w:cs="宋体"/>
                <w:color w:val="auto"/>
                <w:kern w:val="2"/>
                <w:sz w:val="21"/>
                <w:szCs w:val="21"/>
              </w:rPr>
              <w:t>4</w:t>
            </w:r>
            <w:r>
              <w:rPr>
                <w:rFonts w:hint="eastAsia" w:ascii="宋体" w:hAnsi="宋体" w:eastAsia="宋体" w:cs="宋体"/>
                <w:color w:val="auto"/>
                <w:kern w:val="2"/>
                <w:sz w:val="21"/>
                <w:szCs w:val="21"/>
              </w:rPr>
              <w:t>分；</w:t>
            </w:r>
          </w:p>
          <w:p>
            <w:pPr>
              <w:pStyle w:val="10"/>
              <w:spacing w:line="360" w:lineRule="auto"/>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b、</w:t>
            </w:r>
            <w:r>
              <w:rPr>
                <w:rFonts w:hint="eastAsia" w:ascii="宋体" w:hAnsi="宋体" w:eastAsia="宋体" w:cs="宋体"/>
                <w:color w:val="auto"/>
                <w:kern w:val="2"/>
                <w:sz w:val="21"/>
                <w:szCs w:val="21"/>
              </w:rPr>
              <w:t>同时具有土地估价师、房地产估价师执业资格，不具备相关职称的，每投入1人得2分；</w:t>
            </w:r>
          </w:p>
          <w:p>
            <w:pPr>
              <w:pStyle w:val="10"/>
              <w:spacing w:line="360" w:lineRule="auto"/>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c、</w:t>
            </w:r>
            <w:r>
              <w:rPr>
                <w:rFonts w:hint="eastAsia" w:ascii="宋体" w:hAnsi="宋体" w:eastAsia="宋体" w:cs="宋体"/>
                <w:color w:val="auto"/>
                <w:kern w:val="2"/>
                <w:sz w:val="21"/>
                <w:szCs w:val="21"/>
              </w:rPr>
              <w:t>只具备土地估价师执业资格或房地产估价师执业资格其中一项的，每投入1人得1分；</w:t>
            </w:r>
          </w:p>
          <w:p>
            <w:pPr>
              <w:pStyle w:val="10"/>
              <w:spacing w:line="360" w:lineRule="auto"/>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d</w:t>
            </w:r>
            <w:r>
              <w:rPr>
                <w:rFonts w:ascii="宋体" w:hAnsi="宋体" w:eastAsia="宋体" w:cs="宋体"/>
                <w:color w:val="auto"/>
                <w:kern w:val="2"/>
                <w:sz w:val="21"/>
                <w:szCs w:val="21"/>
              </w:rPr>
              <w:t>、</w:t>
            </w:r>
            <w:r>
              <w:rPr>
                <w:rFonts w:hint="eastAsia" w:ascii="宋体" w:hAnsi="宋体" w:eastAsia="宋体" w:cs="宋体"/>
                <w:color w:val="auto"/>
                <w:kern w:val="2"/>
                <w:sz w:val="21"/>
                <w:szCs w:val="21"/>
              </w:rPr>
              <w:t>其它情况不得分；本项满分20分；</w:t>
            </w:r>
          </w:p>
          <w:p>
            <w:pPr>
              <w:pStyle w:val="10"/>
              <w:spacing w:line="360" w:lineRule="auto"/>
              <w:ind w:firstLine="420" w:firstLineChars="200"/>
              <w:rPr>
                <w:rFonts w:ascii="宋体" w:hAnsi="宋体" w:eastAsia="宋体" w:cs="宋体"/>
                <w:color w:val="auto"/>
                <w:kern w:val="2"/>
                <w:sz w:val="21"/>
                <w:szCs w:val="21"/>
              </w:rPr>
            </w:pPr>
            <w:r>
              <w:rPr>
                <w:rFonts w:ascii="宋体" w:hAnsi="宋体" w:eastAsia="宋体" w:cs="宋体"/>
                <w:color w:val="auto"/>
                <w:kern w:val="2"/>
                <w:sz w:val="21"/>
                <w:szCs w:val="21"/>
              </w:rPr>
              <w:t>（注：以上人员只加分一次，不重复加分；</w:t>
            </w:r>
            <w:r>
              <w:rPr>
                <w:rFonts w:hint="eastAsia" w:ascii="宋体" w:hAnsi="宋体" w:eastAsia="宋体" w:cs="宋体"/>
                <w:color w:val="auto"/>
                <w:kern w:val="2"/>
                <w:sz w:val="21"/>
                <w:szCs w:val="21"/>
              </w:rPr>
              <w:t>提供上述人员相应有效资格证书复印件加盖鲜章及202</w:t>
            </w:r>
            <w:r>
              <w:rPr>
                <w:rFonts w:ascii="宋体" w:hAnsi="宋体" w:eastAsia="宋体" w:cs="宋体"/>
                <w:color w:val="auto"/>
                <w:kern w:val="2"/>
                <w:sz w:val="21"/>
                <w:szCs w:val="21"/>
              </w:rPr>
              <w:t>2</w:t>
            </w:r>
            <w:r>
              <w:rPr>
                <w:rFonts w:hint="eastAsia" w:ascii="宋体" w:hAnsi="宋体" w:eastAsia="宋体" w:cs="宋体"/>
                <w:color w:val="auto"/>
                <w:kern w:val="2"/>
                <w:sz w:val="21"/>
                <w:szCs w:val="21"/>
              </w:rPr>
              <w:t>年1月至投标截止日期任意一个月为其缴纳社保证明材料复印件，不提供或提供不齐全的不得分。</w:t>
            </w:r>
            <w:r>
              <w:rPr>
                <w:rFonts w:ascii="宋体" w:hAnsi="宋体" w:eastAsia="宋体" w:cs="宋体"/>
                <w:color w:val="auto"/>
                <w:kern w:val="2"/>
                <w:sz w:val="21"/>
                <w:szCs w:val="21"/>
              </w:rPr>
              <w:t>）</w:t>
            </w:r>
          </w:p>
        </w:tc>
        <w:tc>
          <w:tcPr>
            <w:tcW w:w="1078" w:type="dxa"/>
            <w:shd w:val="clear" w:color="000000" w:fill="FFFFFF"/>
            <w:vAlign w:val="center"/>
          </w:tcPr>
          <w:p>
            <w:pPr>
              <w:pStyle w:val="9"/>
              <w:jc w:val="center"/>
              <w:rPr>
                <w:rFonts w:ascii="宋体" w:hAnsi="宋体" w:cs="宋体"/>
                <w:color w:val="0070C0"/>
                <w:sz w:val="21"/>
                <w:szCs w:val="21"/>
              </w:rPr>
            </w:pPr>
            <w:r>
              <w:rPr>
                <w:rFonts w:hint="eastAsia" w:ascii="宋体" w:hAnsi="宋体" w:cs="宋体"/>
                <w:color w:val="auto"/>
                <w:sz w:val="21"/>
                <w:szCs w:val="21"/>
              </w:rPr>
              <w:t>0-40分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5" w:type="dxa"/>
            <w:vMerge w:val="continue"/>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color w:val="auto"/>
                <w:kern w:val="2"/>
                <w:sz w:val="21"/>
                <w:szCs w:val="21"/>
              </w:rPr>
            </w:pPr>
            <w:r>
              <w:rPr>
                <w:rFonts w:hint="eastAsia" w:ascii="宋体" w:hAnsi="宋体" w:eastAsia="宋体" w:cs="宋体"/>
                <w:color w:val="auto"/>
                <w:kern w:val="2"/>
                <w:sz w:val="21"/>
                <w:szCs w:val="21"/>
              </w:rPr>
              <w:t>2、荣誉</w:t>
            </w:r>
          </w:p>
          <w:p>
            <w:pPr>
              <w:pStyle w:val="10"/>
              <w:rPr>
                <w:rFonts w:ascii="宋体" w:hAnsi="宋体" w:eastAsia="宋体" w:cs="宋体"/>
                <w:color w:val="auto"/>
                <w:kern w:val="2"/>
                <w:sz w:val="21"/>
                <w:szCs w:val="21"/>
              </w:rPr>
            </w:pPr>
            <w:bookmarkStart w:id="1" w:name="_GoBack"/>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投入本项目的人员中同时是省土地估价师协会专家和</w:t>
            </w:r>
            <w:r>
              <w:rPr>
                <w:rFonts w:hint="eastAsia" w:ascii="宋体" w:hAnsi="宋体" w:eastAsia="宋体" w:cs="宋体"/>
                <w:color w:val="auto"/>
                <w:kern w:val="2"/>
                <w:sz w:val="21"/>
                <w:szCs w:val="21"/>
                <w:lang w:eastAsia="zh-CN"/>
              </w:rPr>
              <w:t>省</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房地产估价行业协会专家的，每提供1人得</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分；是省土地估价师协会专家或省房地产估价行业协会专家其中之一的，每提供1人得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分；本项满分</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分。</w:t>
            </w:r>
          </w:p>
          <w:p>
            <w:pPr>
              <w:pStyle w:val="10"/>
              <w:rPr>
                <w:rFonts w:ascii="宋体" w:hAnsi="宋体" w:eastAsia="宋体" w:cs="宋体"/>
                <w:color w:val="auto"/>
                <w:kern w:val="2"/>
                <w:sz w:val="21"/>
                <w:szCs w:val="21"/>
              </w:rPr>
            </w:pPr>
            <w:r>
              <w:rPr>
                <w:rFonts w:hint="eastAsia" w:ascii="宋体" w:hAnsi="宋体" w:eastAsia="宋体" w:cs="宋体"/>
                <w:color w:val="auto"/>
                <w:kern w:val="2"/>
                <w:sz w:val="21"/>
                <w:szCs w:val="21"/>
              </w:rPr>
              <w:t>注：提供上述人员相应有效资格证书复印件加盖鲜章及2022年1月至投标截止日期任意一个月为其缴纳社保证明材料复印件，不提供或提供不齐全的不得分。</w:t>
            </w:r>
          </w:p>
          <w:bookmarkEnd w:id="1"/>
          <w:p>
            <w:pPr>
              <w:pStyle w:val="10"/>
              <w:rPr>
                <w:rFonts w:ascii="宋体" w:hAnsi="宋体" w:eastAsia="宋体" w:cs="宋体"/>
                <w:color w:val="auto"/>
                <w:kern w:val="2"/>
                <w:sz w:val="21"/>
                <w:szCs w:val="21"/>
              </w:rPr>
            </w:pPr>
          </w:p>
        </w:tc>
        <w:tc>
          <w:tcPr>
            <w:tcW w:w="1078" w:type="dxa"/>
            <w:shd w:val="clear" w:color="000000" w:fill="FFFFFF"/>
            <w:vAlign w:val="center"/>
          </w:tcPr>
          <w:p>
            <w:pPr>
              <w:pStyle w:val="9"/>
              <w:jc w:val="center"/>
              <w:rPr>
                <w:rFonts w:ascii="宋体" w:hAnsi="宋体" w:cs="宋体"/>
                <w:color w:val="auto"/>
                <w:sz w:val="21"/>
                <w:szCs w:val="21"/>
              </w:rPr>
            </w:pPr>
            <w:r>
              <w:rPr>
                <w:rFonts w:hint="eastAsia" w:ascii="宋体" w:hAnsi="宋体" w:cs="宋体"/>
                <w:color w:val="auto"/>
                <w:sz w:val="21"/>
                <w:szCs w:val="21"/>
              </w:rPr>
              <w:t>0-10分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5" w:type="dxa"/>
            <w:vMerge w:val="continue"/>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color w:val="auto"/>
                <w:kern w:val="2"/>
                <w:sz w:val="21"/>
                <w:szCs w:val="21"/>
              </w:rPr>
            </w:pPr>
            <w:r>
              <w:rPr>
                <w:rFonts w:hint="eastAsia" w:ascii="宋体" w:hAnsi="宋体" w:eastAsia="宋体" w:cs="宋体"/>
                <w:color w:val="auto"/>
                <w:kern w:val="2"/>
                <w:sz w:val="21"/>
                <w:szCs w:val="21"/>
              </w:rPr>
              <w:t>3、类似业绩</w:t>
            </w:r>
          </w:p>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（1）投标供应商近三年（2019-2022年）承担过自然资源资产清查项目，每提供一个得5分，满分为10分。</w:t>
            </w:r>
          </w:p>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（2）投标供应商近三年（2019-2022年）承担过公示地价相关项目（城镇基准地价、集体建设用地基准地价、农用地基准地价、征地区片价等），每提供一个得3分，满分15分。</w:t>
            </w:r>
          </w:p>
          <w:p>
            <w:pPr>
              <w:pStyle w:val="10"/>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注：须提供中标（成交）通知书或合同的相关证明材料复印件盖鲜章，不提供的本项不得分。</w:t>
            </w:r>
          </w:p>
        </w:tc>
        <w:tc>
          <w:tcPr>
            <w:tcW w:w="1078" w:type="dxa"/>
            <w:shd w:val="clear" w:color="000000" w:fill="FFFFFF"/>
            <w:vAlign w:val="center"/>
          </w:tcPr>
          <w:p>
            <w:pPr>
              <w:pStyle w:val="9"/>
              <w:jc w:val="center"/>
              <w:rPr>
                <w:rFonts w:ascii="宋体" w:hAnsi="宋体" w:cs="宋体"/>
                <w:color w:val="auto"/>
                <w:sz w:val="21"/>
                <w:szCs w:val="21"/>
              </w:rPr>
            </w:pPr>
            <w:r>
              <w:rPr>
                <w:rFonts w:hint="eastAsia" w:ascii="宋体" w:hAnsi="宋体" w:cs="宋体"/>
                <w:color w:val="auto"/>
                <w:sz w:val="21"/>
                <w:szCs w:val="21"/>
              </w:rPr>
              <w:t>0-25分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bl>
    <w:p>
      <w:pPr>
        <w:rPr>
          <w:b/>
          <w:bCs/>
          <w:color w:val="000000" w:themeColor="text1"/>
          <w:szCs w:val="21"/>
          <w14:textFill>
            <w14:solidFill>
              <w14:schemeClr w14:val="tx1"/>
            </w14:solidFill>
          </w14:textFill>
        </w:rPr>
      </w:pP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政府采购优惠政策：</w:t>
      </w:r>
    </w:p>
    <w:p>
      <w:pPr>
        <w:spacing w:before="120" w:beforeLines="50"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（1）根据《政府采购促进中小企业发展管理办法》[财库〔2020〕46号]规定的政府采购优惠政策。小型和微型企业产品的价格给予 6%的扣除，用扣除后的价格参与评审。</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中小企业（含中型、小型、微型企业，下同）应当同时符合以下条件： （1）符合中小企业划分标准；（2）提供本企业制造的货物、承担的工程或者服务，或者提供其他中小企业制造的货物。本项所称货物不包括使用大型企业注册商标的货物。中小企业划分标准，是指《工业和信息化部、国家统计局、国家发展和改革委员会、财政部关于印 发中小企业划型标准规定的通知》[工信部联企业(2011)300号]规定的划分标准。 小型、微型企业提供中型企业制造的货物的，视同为中型企业。</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小型、微型企业应按招标文件规定的格式提供了《小微企业声明函》。</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（2）根据《财政部 司法部关于政府采购支持监狱企业发展有关问题的通知》[财库（2014）68 号]规定的政府采购优惠政策。</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监狱企业视同小型、微型企业，价格给予 6%的扣除，用扣除后的价格参与评审。</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监狱企业提供了省级以上监狱管理局、戒毒管理局（含新疆生产建设兵团）出具的属于监狱企业的证明文件，才能按规定进行价格扣除。</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（3）《三部门联合发布关于促进残疾人就业政府采购政策的通知》[财库（2017）141 号]规定的政府采购优惠政策。</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亨受政府采购支持政策的残疾人福利性单位应当满足[财库（2017）141 号]规定的条件。残疾人福利性单位视同小型、微型企业，价格给予 6%的扣除，用扣除后的价格参与评审。残疾人福利性单位按招标文件规定的格式提供了《残疾人福利性单位声明函》，才能按规定进行价格扣除。</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残疾人福利性单位属于小型、微型企业的，不重复进行价格扣除。</w:t>
      </w:r>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评标总得分计算方法：</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评标时，评标委员会各成员独立对每个有效投标人的投标文件进行评价、打分，然后汇总每个投标人每项评分因素的得分。 </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每个投标人的最终得分为评标委员会成员有效评分的算术平均值。</w:t>
      </w:r>
    </w:p>
    <w:p>
      <w:pPr>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排序原则：</w:t>
      </w:r>
      <w:r>
        <w:rPr>
          <w:color w:val="000000" w:themeColor="text1"/>
          <w:szCs w:val="21"/>
          <w14:textFill>
            <w14:solidFill>
              <w14:schemeClr w14:val="tx1"/>
            </w14:solidFill>
          </w14:textFill>
        </w:rPr>
        <w:t>按评审得分由高到低顺序排序。得分相同的，按投标报价由低到高顺序排列。得分且投标报价相同的，按技术指标优劣顺序排列。</w:t>
      </w:r>
    </w:p>
    <w:p>
      <w:pPr>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定标原则：</w:t>
      </w:r>
      <w:r>
        <w:rPr>
          <w:color w:val="000000" w:themeColor="text1"/>
          <w:szCs w:val="21"/>
          <w14:textFill>
            <w14:solidFill>
              <w14:schemeClr w14:val="tx1"/>
            </w14:solidFill>
          </w14:textFill>
        </w:rPr>
        <w:t>由评标委员会根据评分办法对各包各有效投标人的最终得分进行排序，由招标人依序确定各包入围供应商。</w:t>
      </w:r>
    </w:p>
    <w:p>
      <w:pPr>
        <w:snapToGrid w:val="0"/>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五、废标条款：</w:t>
      </w:r>
    </w:p>
    <w:p>
      <w:pPr>
        <w:spacing w:line="360" w:lineRule="auto"/>
        <w:ind w:firstLine="405"/>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在招标采购中，出现下列情形之一的，应予废标：</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1.符合专业条件的供应商或者对招标文件作实质响应的供应商不足三家的。</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2.出现影响采购公正的违法、违规行为的。</w:t>
      </w:r>
    </w:p>
    <w:p>
      <w:pPr>
        <w:spacing w:line="360" w:lineRule="auto"/>
        <w:ind w:firstLine="420" w:firstLineChars="200"/>
        <w:rPr>
          <w:rFonts w:eastAsia="华文琥珀"/>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3.投标人的报价均超过了</w:t>
      </w:r>
      <w:r>
        <w:rPr>
          <w:rFonts w:hint="eastAsia"/>
          <w:color w:val="000000" w:themeColor="text1"/>
          <w:kern w:val="0"/>
          <w:szCs w:val="21"/>
          <w14:textFill>
            <w14:solidFill>
              <w14:schemeClr w14:val="tx1"/>
            </w14:solidFill>
          </w14:textFill>
        </w:rPr>
        <w:t>最高限价</w:t>
      </w:r>
      <w:r>
        <w:rPr>
          <w:color w:val="000000" w:themeColor="text1"/>
          <w:kern w:val="0"/>
          <w:szCs w:val="21"/>
          <w14:textFill>
            <w14:solidFill>
              <w14:schemeClr w14:val="tx1"/>
            </w14:solidFill>
          </w14:textFill>
        </w:rPr>
        <w:t>，采购人不能支付的。</w:t>
      </w:r>
    </w:p>
    <w:p>
      <w:r>
        <w:rPr>
          <w:color w:val="000000" w:themeColor="text1"/>
          <w:kern w:val="0"/>
          <w:szCs w:val="21"/>
          <w14:textFill>
            <w14:solidFill>
              <w14:schemeClr w14:val="tx1"/>
            </w14:solidFill>
          </w14:textFill>
        </w:rPr>
        <w:t>4.因重大变故，采购任务取消的。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MS Gothic"/>
    <w:panose1 w:val="020B050202020202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琥珀">
    <w:altName w:val="宋体"/>
    <w:panose1 w:val="02010800040101010101"/>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26F27"/>
    <w:rsid w:val="67B26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Body Text Indent"/>
    <w:basedOn w:val="1"/>
    <w:next w:val="5"/>
    <w:qFormat/>
    <w:uiPriority w:val="0"/>
    <w:pPr>
      <w:ind w:firstLine="601" w:firstLineChars="200"/>
    </w:pPr>
    <w:rPr>
      <w:rFonts w:eastAsia="仿宋_GB2312"/>
      <w:b/>
      <w:bCs/>
      <w:sz w:val="30"/>
    </w:rPr>
  </w:style>
  <w:style w:type="paragraph" w:customStyle="1" w:styleId="5">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8">
    <w:name w:val="*正文"/>
    <w:basedOn w:val="1"/>
    <w:qFormat/>
    <w:uiPriority w:val="0"/>
    <w:pPr>
      <w:spacing w:line="360" w:lineRule="auto"/>
      <w:ind w:firstLine="200" w:firstLineChars="200"/>
      <w:jc w:val="left"/>
    </w:pPr>
    <w:rPr>
      <w:color w:val="000000"/>
      <w:kern w:val="0"/>
      <w:sz w:val="24"/>
      <w:szCs w:val="24"/>
      <w:lang w:eastAsia="en-US" w:bidi="en-US"/>
    </w:rPr>
  </w:style>
  <w:style w:type="paragraph" w:customStyle="1" w:styleId="9">
    <w:name w:val="表格文字"/>
    <w:basedOn w:val="4"/>
    <w:qFormat/>
    <w:uiPriority w:val="0"/>
    <w:pPr>
      <w:ind w:firstLine="0" w:firstLineChars="0"/>
    </w:pPr>
    <w:rPr>
      <w:rFonts w:ascii="Century Gothic" w:hAnsi="Century Gothic" w:eastAsia="宋体"/>
      <w:b w:val="0"/>
      <w:bCs w:val="0"/>
      <w:sz w:val="20"/>
    </w:rPr>
  </w:style>
  <w:style w:type="paragraph" w:customStyle="1" w:styleId="10">
    <w:name w:val="_Style 1"/>
    <w:qFormat/>
    <w:uiPriority w:val="1"/>
    <w:pPr>
      <w:adjustRightInd w:val="0"/>
      <w:snapToGrid w:val="0"/>
    </w:pPr>
    <w:rPr>
      <w:rFonts w:ascii="Tahoma" w:hAnsi="Tahoma"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2022-04-20T04:20:00Z</dcterms:created>
  <dc:creator>球球</dc:creator>
  <cp:lastModifiedBy>球球</cp:lastModifiedBy>
  <dcterms:modified xsi:type="dcterms:W3CDTF">2022-04-20T04:21:17Z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683576DF5424413091CC6A7D96D70E21</vt:lpwstr>
  </property>
</Properties>
</file>