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9"/>
        <w:jc w:val="left"/>
        <w:rPr>
          <w:rFonts w:hint="eastAsia"/>
          <w:b/>
          <w:color w:val="auto"/>
          <w:sz w:val="43"/>
          <w:lang w:eastAsia="zh-CN"/>
        </w:rPr>
        <w:sectPr>
          <w:pgSz w:w="11910" w:h="16850"/>
          <w:pgMar w:top="1440" w:right="0" w:bottom="280" w:left="1260" w:header="720" w:footer="720" w:gutter="0"/>
          <w:cols w:space="720" w:num="1"/>
        </w:sectPr>
      </w:pPr>
      <w:r>
        <w:rPr>
          <w:rFonts w:hint="eastAsia"/>
          <w:b/>
          <w:color w:val="auto"/>
          <w:sz w:val="43"/>
          <w:lang w:eastAsia="zh-CN"/>
        </w:rPr>
        <w:drawing>
          <wp:inline distT="0" distB="0" distL="114300" distR="114300">
            <wp:extent cx="6217920" cy="9067165"/>
            <wp:effectExtent l="0" t="0" r="11430" b="635"/>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8"/>
                    <a:stretch>
                      <a:fillRect/>
                    </a:stretch>
                  </pic:blipFill>
                  <pic:spPr>
                    <a:xfrm>
                      <a:off x="0" y="0"/>
                      <a:ext cx="6217920" cy="9067165"/>
                    </a:xfrm>
                    <a:prstGeom prst="rect">
                      <a:avLst/>
                    </a:prstGeom>
                  </pic:spPr>
                </pic:pic>
              </a:graphicData>
            </a:graphic>
          </wp:inline>
        </w:drawing>
      </w:r>
    </w:p>
    <w:p>
      <w:pPr>
        <w:pStyle w:val="8"/>
        <w:spacing w:before="9"/>
        <w:jc w:val="center"/>
        <w:rPr>
          <w:rFonts w:hint="eastAsia" w:eastAsia="宋体"/>
          <w:b/>
          <w:color w:val="auto"/>
          <w:sz w:val="43"/>
          <w:lang w:eastAsia="zh-CN"/>
        </w:rPr>
      </w:pPr>
      <w:r>
        <w:rPr>
          <w:rFonts w:hint="eastAsia"/>
          <w:b/>
          <w:color w:val="auto"/>
          <w:sz w:val="43"/>
          <w:lang w:eastAsia="zh-CN"/>
        </w:rPr>
        <w:t>江口县生态系统生产总值（GEP）核算服务</w:t>
      </w:r>
    </w:p>
    <w:p>
      <w:pPr>
        <w:spacing w:before="0"/>
        <w:ind w:right="0"/>
        <w:jc w:val="center"/>
        <w:rPr>
          <w:rFonts w:hint="eastAsia" w:ascii="黑体" w:eastAsia="黑体"/>
          <w:b/>
          <w:color w:val="auto"/>
          <w:sz w:val="40"/>
        </w:rPr>
      </w:pPr>
      <w:r>
        <w:rPr>
          <w:rFonts w:hint="eastAsia" w:ascii="黑体" w:eastAsia="黑体"/>
          <w:b/>
          <w:color w:val="auto"/>
          <w:sz w:val="40"/>
        </w:rPr>
        <w:t>（政府采购）</w:t>
      </w:r>
    </w:p>
    <w:p>
      <w:pPr>
        <w:pStyle w:val="8"/>
        <w:rPr>
          <w:rFonts w:ascii="黑体"/>
          <w:b/>
          <w:color w:val="auto"/>
          <w:sz w:val="40"/>
        </w:rPr>
      </w:pPr>
    </w:p>
    <w:p>
      <w:pPr>
        <w:pStyle w:val="8"/>
        <w:spacing w:before="1"/>
        <w:rPr>
          <w:rFonts w:ascii="黑体"/>
          <w:b/>
          <w:color w:val="auto"/>
          <w:sz w:val="57"/>
        </w:rPr>
      </w:pPr>
    </w:p>
    <w:p>
      <w:pPr>
        <w:spacing w:before="1" w:line="364" w:lineRule="auto"/>
        <w:ind w:left="4402" w:right="5442" w:firstLine="0"/>
        <w:jc w:val="both"/>
        <w:rPr>
          <w:b/>
          <w:color w:val="auto"/>
          <w:sz w:val="52"/>
        </w:rPr>
      </w:pPr>
      <w:r>
        <w:rPr>
          <w:b/>
          <w:color w:val="auto"/>
          <w:sz w:val="52"/>
        </w:rPr>
        <w:t>谈判文件</w:t>
      </w:r>
      <w:r>
        <w:rPr>
          <w:b/>
          <w:color w:val="auto"/>
          <w:w w:val="100"/>
          <w:sz w:val="52"/>
        </w:rPr>
        <w:t xml:space="preserve"> </w:t>
      </w:r>
    </w:p>
    <w:p>
      <w:pPr>
        <w:pStyle w:val="8"/>
        <w:rPr>
          <w:b/>
          <w:color w:val="auto"/>
          <w:sz w:val="52"/>
        </w:rPr>
      </w:pPr>
    </w:p>
    <w:p>
      <w:pPr>
        <w:pStyle w:val="8"/>
        <w:rPr>
          <w:b/>
          <w:color w:val="auto"/>
          <w:sz w:val="52"/>
        </w:rPr>
      </w:pPr>
    </w:p>
    <w:p>
      <w:pPr>
        <w:bidi w:val="0"/>
        <w:rPr>
          <w:rFonts w:hint="eastAsia" w:eastAsia="宋体"/>
          <w:b/>
          <w:bCs/>
          <w:color w:val="auto"/>
          <w:sz w:val="32"/>
          <w:szCs w:val="32"/>
          <w:lang w:eastAsia="zh-CN"/>
        </w:rPr>
      </w:pPr>
      <w:r>
        <w:rPr>
          <w:b/>
          <w:bCs/>
          <w:color w:val="auto"/>
          <w:sz w:val="32"/>
          <w:szCs w:val="32"/>
        </w:rPr>
        <w:t>项目名称：</w:t>
      </w:r>
      <w:r>
        <w:rPr>
          <w:rFonts w:hint="eastAsia"/>
          <w:b/>
          <w:bCs/>
          <w:color w:val="auto"/>
          <w:sz w:val="32"/>
          <w:szCs w:val="32"/>
          <w:lang w:eastAsia="zh-CN"/>
        </w:rPr>
        <w:t>江口县生态系统生产总值（GEP）核算服务</w:t>
      </w:r>
    </w:p>
    <w:p>
      <w:pPr>
        <w:bidi w:val="0"/>
        <w:rPr>
          <w:b/>
          <w:bCs/>
          <w:color w:val="auto"/>
          <w:sz w:val="32"/>
          <w:szCs w:val="32"/>
        </w:rPr>
      </w:pPr>
    </w:p>
    <w:p>
      <w:pPr>
        <w:bidi w:val="0"/>
        <w:rPr>
          <w:b/>
          <w:bCs/>
          <w:color w:val="auto"/>
          <w:sz w:val="32"/>
          <w:szCs w:val="32"/>
        </w:rPr>
      </w:pPr>
      <w:r>
        <w:rPr>
          <w:b/>
          <w:bCs/>
          <w:color w:val="auto"/>
          <w:sz w:val="32"/>
          <w:szCs w:val="32"/>
        </w:rPr>
        <w:t>项目编号：</w:t>
      </w:r>
      <w:r>
        <w:rPr>
          <w:rFonts w:hint="eastAsia"/>
          <w:b/>
          <w:bCs/>
          <w:color w:val="auto"/>
          <w:sz w:val="32"/>
          <w:szCs w:val="32"/>
          <w:lang w:val="en-US" w:eastAsia="zh-CN"/>
        </w:rPr>
        <w:t>GDCZ-2022-001</w:t>
      </w:r>
      <w:r>
        <w:rPr>
          <w:b/>
          <w:bCs/>
          <w:color w:val="auto"/>
          <w:sz w:val="32"/>
          <w:szCs w:val="32"/>
        </w:rPr>
        <w:t xml:space="preserve"> </w:t>
      </w:r>
    </w:p>
    <w:p>
      <w:pPr>
        <w:bidi w:val="0"/>
        <w:rPr>
          <w:b/>
          <w:bCs/>
          <w:color w:val="auto"/>
          <w:sz w:val="32"/>
          <w:szCs w:val="32"/>
        </w:rPr>
      </w:pPr>
    </w:p>
    <w:p>
      <w:pPr>
        <w:bidi w:val="0"/>
        <w:rPr>
          <w:b/>
          <w:bCs/>
          <w:color w:val="auto"/>
          <w:sz w:val="32"/>
          <w:szCs w:val="32"/>
        </w:rPr>
      </w:pPr>
      <w:r>
        <w:rPr>
          <w:b/>
          <w:bCs/>
          <w:color w:val="auto"/>
          <w:sz w:val="32"/>
          <w:szCs w:val="32"/>
        </w:rPr>
        <w:t xml:space="preserve">招标方式：竞争性谈判   </w:t>
      </w:r>
    </w:p>
    <w:p>
      <w:pPr>
        <w:bidi w:val="0"/>
        <w:rPr>
          <w:b/>
          <w:bCs/>
          <w:color w:val="auto"/>
          <w:sz w:val="32"/>
          <w:szCs w:val="32"/>
        </w:rPr>
      </w:pPr>
    </w:p>
    <w:p>
      <w:pPr>
        <w:bidi w:val="0"/>
        <w:rPr>
          <w:rFonts w:hint="eastAsia"/>
          <w:b/>
          <w:bCs/>
          <w:color w:val="auto"/>
          <w:sz w:val="32"/>
          <w:szCs w:val="32"/>
          <w:lang w:eastAsia="zh-CN"/>
        </w:rPr>
      </w:pPr>
      <w:r>
        <w:rPr>
          <w:rFonts w:hint="eastAsia"/>
          <w:b/>
          <w:bCs/>
          <w:color w:val="auto"/>
          <w:sz w:val="32"/>
          <w:szCs w:val="32"/>
          <w:lang w:val="en-US" w:eastAsia="zh-CN"/>
        </w:rPr>
        <w:t>采购人</w:t>
      </w:r>
      <w:r>
        <w:rPr>
          <w:b/>
          <w:bCs/>
          <w:color w:val="auto"/>
          <w:sz w:val="32"/>
          <w:szCs w:val="32"/>
        </w:rPr>
        <w:t>：</w:t>
      </w:r>
      <w:r>
        <w:rPr>
          <w:rFonts w:hint="eastAsia"/>
          <w:b/>
          <w:bCs/>
          <w:color w:val="auto"/>
          <w:sz w:val="32"/>
          <w:szCs w:val="32"/>
          <w:lang w:eastAsia="zh-CN"/>
        </w:rPr>
        <w:t>江口县发展和改革局</w:t>
      </w:r>
    </w:p>
    <w:p>
      <w:pPr>
        <w:bidi w:val="0"/>
        <w:rPr>
          <w:rFonts w:hint="eastAsia"/>
          <w:b/>
          <w:bCs/>
          <w:color w:val="auto"/>
          <w:sz w:val="32"/>
          <w:szCs w:val="32"/>
          <w:lang w:eastAsia="zh-CN"/>
        </w:rPr>
      </w:pPr>
    </w:p>
    <w:p>
      <w:pPr>
        <w:bidi w:val="0"/>
        <w:rPr>
          <w:rFonts w:hint="eastAsia"/>
          <w:b/>
          <w:bCs/>
          <w:color w:val="auto"/>
          <w:sz w:val="32"/>
          <w:szCs w:val="32"/>
          <w:lang w:val="en-US" w:eastAsia="zh-CN"/>
        </w:rPr>
      </w:pPr>
      <w:r>
        <w:rPr>
          <w:rFonts w:hint="eastAsia"/>
          <w:b/>
          <w:bCs/>
          <w:color w:val="auto"/>
          <w:sz w:val="32"/>
          <w:szCs w:val="32"/>
          <w:lang w:val="en-US" w:eastAsia="zh-CN"/>
        </w:rPr>
        <w:t>采购代理机构：河南省光大建设管理有限公司</w:t>
      </w:r>
    </w:p>
    <w:p>
      <w:pPr>
        <w:bidi w:val="0"/>
        <w:rPr>
          <w:rFonts w:hint="eastAsia"/>
          <w:b/>
          <w:bCs/>
          <w:color w:val="auto"/>
          <w:sz w:val="32"/>
          <w:szCs w:val="32"/>
          <w:lang w:val="en-US" w:eastAsia="zh-CN"/>
        </w:rPr>
      </w:pPr>
    </w:p>
    <w:p>
      <w:pPr>
        <w:bidi w:val="0"/>
        <w:rPr>
          <w:rFonts w:hint="default"/>
          <w:b/>
          <w:bCs/>
          <w:color w:val="auto"/>
          <w:sz w:val="32"/>
          <w:szCs w:val="32"/>
          <w:lang w:val="en-US" w:eastAsia="zh-CN"/>
        </w:rPr>
      </w:pPr>
      <w:r>
        <w:rPr>
          <w:rFonts w:hint="eastAsia"/>
          <w:b/>
          <w:bCs/>
          <w:color w:val="auto"/>
          <w:sz w:val="32"/>
          <w:szCs w:val="32"/>
          <w:lang w:val="en-US" w:eastAsia="zh-CN"/>
        </w:rPr>
        <w:t>日期：2022年1月</w:t>
      </w:r>
    </w:p>
    <w:p>
      <w:pPr>
        <w:spacing w:before="17"/>
        <w:ind w:left="481" w:right="0" w:firstLine="0"/>
        <w:jc w:val="left"/>
        <w:rPr>
          <w:b/>
          <w:color w:val="auto"/>
          <w:sz w:val="28"/>
        </w:rPr>
      </w:pPr>
      <w:r>
        <w:rPr>
          <w:b/>
          <w:color w:val="auto"/>
          <w:spacing w:val="-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38"/>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spacing w:val="22"/>
          <w:w w:val="100"/>
          <w:sz w:val="28"/>
        </w:rPr>
        <w:t xml:space="preserve"> </w:t>
      </w:r>
      <w:r>
        <w:rPr>
          <w:b/>
          <w:color w:val="auto"/>
          <w:spacing w:val="-23"/>
          <w:w w:val="100"/>
          <w:sz w:val="28"/>
        </w:rPr>
        <w:t xml:space="preserve"> </w:t>
      </w:r>
      <w:r>
        <w:rPr>
          <w:b/>
          <w:color w:val="auto"/>
          <w:w w:val="100"/>
          <w:sz w:val="28"/>
        </w:rPr>
        <w:t xml:space="preserve"> </w:t>
      </w:r>
    </w:p>
    <w:p>
      <w:pPr>
        <w:pStyle w:val="8"/>
        <w:rPr>
          <w:b/>
          <w:color w:val="auto"/>
          <w:sz w:val="20"/>
        </w:rPr>
      </w:pPr>
    </w:p>
    <w:p>
      <w:pPr>
        <w:pStyle w:val="8"/>
        <w:rPr>
          <w:b/>
          <w:color w:val="auto"/>
          <w:sz w:val="36"/>
        </w:rPr>
      </w:pPr>
    </w:p>
    <w:p>
      <w:pPr>
        <w:pStyle w:val="8"/>
        <w:spacing w:before="2"/>
        <w:rPr>
          <w:b/>
          <w:color w:val="auto"/>
          <w:sz w:val="27"/>
        </w:rPr>
      </w:pPr>
    </w:p>
    <w:p>
      <w:pPr>
        <w:pStyle w:val="2"/>
        <w:ind w:right="1122"/>
        <w:jc w:val="center"/>
        <w:rPr>
          <w:color w:val="auto"/>
        </w:rPr>
      </w:pPr>
      <w:r>
        <w:rPr>
          <w:color w:val="auto"/>
          <w:w w:val="99"/>
        </w:rPr>
        <w:t xml:space="preserve"> </w:t>
      </w:r>
    </w:p>
    <w:p>
      <w:pPr>
        <w:spacing w:after="0"/>
        <w:jc w:val="center"/>
        <w:rPr>
          <w:color w:val="auto"/>
        </w:rPr>
        <w:sectPr>
          <w:pgSz w:w="11910" w:h="16850"/>
          <w:pgMar w:top="1440" w:right="0" w:bottom="280" w:left="1260" w:header="720" w:footer="720" w:gutter="0"/>
          <w:cols w:space="720" w:num="1"/>
        </w:sectPr>
      </w:pPr>
    </w:p>
    <w:p>
      <w:pPr>
        <w:spacing w:before="0" w:line="899" w:lineRule="exact"/>
        <w:ind w:left="557" w:right="1514" w:firstLine="0"/>
        <w:jc w:val="center"/>
        <w:rPr>
          <w:b/>
          <w:color w:val="auto"/>
          <w:sz w:val="72"/>
        </w:rPr>
      </w:pPr>
      <w:r>
        <w:rPr>
          <w:b/>
          <w:color w:val="auto"/>
          <w:spacing w:val="106"/>
          <w:sz w:val="72"/>
        </w:rPr>
        <w:t>目  录</w:t>
      </w:r>
      <w:r>
        <w:rPr>
          <w:b/>
          <w:color w:val="auto"/>
          <w:w w:val="99"/>
          <w:sz w:val="72"/>
        </w:rPr>
        <w:t xml:space="preserve"> </w:t>
      </w:r>
    </w:p>
    <w:p>
      <w:pPr>
        <w:pStyle w:val="3"/>
        <w:spacing w:before="473"/>
        <w:ind w:left="557" w:right="1867"/>
        <w:jc w:val="left"/>
        <w:rPr>
          <w:color w:val="auto"/>
        </w:rPr>
      </w:pPr>
      <w:r>
        <w:rPr>
          <w:color w:val="auto"/>
          <w:spacing w:val="3"/>
        </w:rPr>
        <w:t>第一章 谈判公告---------------------------------</w:t>
      </w:r>
      <w:r>
        <w:rPr>
          <w:b w:val="0"/>
          <w:color w:val="auto"/>
          <w:spacing w:val="3"/>
          <w:sz w:val="36"/>
        </w:rPr>
        <w:t>4</w:t>
      </w:r>
      <w:r>
        <w:rPr>
          <w:color w:val="auto"/>
          <w:w w:val="100"/>
        </w:rPr>
        <w:t xml:space="preserve"> </w:t>
      </w:r>
    </w:p>
    <w:p>
      <w:pPr>
        <w:pStyle w:val="8"/>
        <w:spacing w:before="2"/>
        <w:jc w:val="left"/>
        <w:rPr>
          <w:b/>
          <w:color w:val="auto"/>
          <w:sz w:val="38"/>
        </w:rPr>
      </w:pPr>
    </w:p>
    <w:p>
      <w:pPr>
        <w:spacing w:before="0"/>
        <w:ind w:left="481" w:right="0" w:firstLine="0"/>
        <w:jc w:val="left"/>
        <w:rPr>
          <w:b/>
          <w:color w:val="auto"/>
          <w:sz w:val="31"/>
        </w:rPr>
      </w:pPr>
      <w:r>
        <w:rPr>
          <w:b/>
          <w:color w:val="auto"/>
          <w:spacing w:val="3"/>
          <w:sz w:val="31"/>
        </w:rPr>
        <w:t>第二章 谈判供应商须知---------------------------8</w:t>
      </w:r>
      <w:r>
        <w:rPr>
          <w:b/>
          <w:color w:val="auto"/>
          <w:sz w:val="31"/>
        </w:rPr>
        <w:t xml:space="preserve"> </w:t>
      </w:r>
    </w:p>
    <w:p>
      <w:pPr>
        <w:pStyle w:val="8"/>
        <w:spacing w:before="6"/>
        <w:jc w:val="left"/>
        <w:rPr>
          <w:b/>
          <w:color w:val="auto"/>
          <w:sz w:val="33"/>
        </w:rPr>
      </w:pPr>
    </w:p>
    <w:p>
      <w:pPr>
        <w:spacing w:before="0"/>
        <w:ind w:left="557" w:right="1822" w:firstLine="0"/>
        <w:jc w:val="left"/>
        <w:rPr>
          <w:b/>
          <w:color w:val="auto"/>
          <w:sz w:val="31"/>
        </w:rPr>
      </w:pPr>
      <w:r>
        <w:rPr>
          <w:b/>
          <w:color w:val="auto"/>
          <w:sz w:val="31"/>
        </w:rPr>
        <w:t xml:space="preserve">第三章 谈判供应商须知正文部分-------------------19 </w:t>
      </w:r>
    </w:p>
    <w:p>
      <w:pPr>
        <w:tabs>
          <w:tab w:val="right" w:leader="hyphen" w:pos="8757"/>
        </w:tabs>
        <w:spacing w:before="429"/>
        <w:ind w:left="481" w:right="0" w:firstLine="0"/>
        <w:jc w:val="left"/>
        <w:rPr>
          <w:b/>
          <w:color w:val="auto"/>
          <w:sz w:val="31"/>
        </w:rPr>
      </w:pPr>
      <w:r>
        <w:rPr>
          <w:b/>
          <w:color w:val="auto"/>
          <w:spacing w:val="15"/>
          <w:sz w:val="31"/>
        </w:rPr>
        <w:t>第四章</w:t>
      </w:r>
      <w:r>
        <w:rPr>
          <w:b/>
          <w:color w:val="auto"/>
          <w:spacing w:val="-21"/>
          <w:sz w:val="31"/>
        </w:rPr>
        <w:t xml:space="preserve"> </w:t>
      </w:r>
      <w:r>
        <w:rPr>
          <w:b/>
          <w:color w:val="auto"/>
          <w:spacing w:val="15"/>
          <w:sz w:val="31"/>
        </w:rPr>
        <w:t>谈判内容及要求</w:t>
      </w:r>
      <w:r>
        <w:rPr>
          <w:b/>
          <w:color w:val="auto"/>
          <w:sz w:val="31"/>
        </w:rPr>
        <w:t>-----------------------</w:t>
      </w:r>
      <w:r>
        <w:rPr>
          <w:rFonts w:hint="eastAsia"/>
          <w:b/>
          <w:color w:val="auto"/>
          <w:sz w:val="31"/>
          <w:lang w:val="en-US" w:eastAsia="zh-CN"/>
        </w:rPr>
        <w:t>----</w:t>
      </w:r>
      <w:r>
        <w:rPr>
          <w:b/>
          <w:color w:val="auto"/>
          <w:spacing w:val="7"/>
          <w:sz w:val="31"/>
        </w:rPr>
        <w:t>31</w:t>
      </w:r>
    </w:p>
    <w:p>
      <w:pPr>
        <w:pStyle w:val="8"/>
        <w:spacing w:before="8"/>
        <w:jc w:val="left"/>
        <w:rPr>
          <w:b/>
          <w:color w:val="auto"/>
          <w:sz w:val="34"/>
        </w:rPr>
      </w:pPr>
    </w:p>
    <w:p>
      <w:pPr>
        <w:numPr>
          <w:ilvl w:val="0"/>
          <w:numId w:val="1"/>
        </w:numPr>
        <w:spacing w:before="0" w:line="499" w:lineRule="auto"/>
        <w:ind w:left="481" w:right="1732" w:hanging="15"/>
        <w:jc w:val="left"/>
        <w:rPr>
          <w:b/>
          <w:color w:val="auto"/>
          <w:sz w:val="31"/>
        </w:rPr>
      </w:pPr>
      <w:r>
        <w:rPr>
          <w:b/>
          <w:color w:val="auto"/>
          <w:sz w:val="31"/>
        </w:rPr>
        <w:t xml:space="preserve">铜仁市政府采购合同（参考文本）------------33 </w:t>
      </w:r>
    </w:p>
    <w:p>
      <w:pPr>
        <w:numPr>
          <w:ilvl w:val="0"/>
          <w:numId w:val="1"/>
        </w:numPr>
        <w:spacing w:before="0" w:line="499" w:lineRule="auto"/>
        <w:ind w:left="481" w:right="1732" w:hanging="15"/>
        <w:jc w:val="left"/>
        <w:rPr>
          <w:b/>
          <w:color w:val="auto"/>
          <w:sz w:val="31"/>
        </w:rPr>
      </w:pPr>
      <w:r>
        <w:rPr>
          <w:b/>
          <w:color w:val="auto"/>
          <w:sz w:val="31"/>
        </w:rPr>
        <w:t xml:space="preserve">第六章 响应文件格式-----------------------36 </w:t>
      </w:r>
    </w:p>
    <w:p>
      <w:pPr>
        <w:spacing w:before="0" w:line="440" w:lineRule="exact"/>
        <w:ind w:left="0" w:right="1122" w:firstLine="0"/>
        <w:jc w:val="center"/>
        <w:rPr>
          <w:b/>
          <w:color w:val="auto"/>
          <w:sz w:val="36"/>
        </w:rPr>
      </w:pPr>
      <w:r>
        <w:rPr>
          <w:b/>
          <w:color w:val="auto"/>
          <w:w w:val="99"/>
          <w:sz w:val="36"/>
        </w:rPr>
        <w:t xml:space="preserve"> </w:t>
      </w:r>
    </w:p>
    <w:p>
      <w:pPr>
        <w:spacing w:before="245"/>
        <w:ind w:left="0" w:right="1122" w:firstLine="0"/>
        <w:jc w:val="center"/>
        <w:rPr>
          <w:b/>
          <w:color w:val="auto"/>
          <w:sz w:val="36"/>
        </w:rPr>
      </w:pPr>
      <w:r>
        <w:rPr>
          <w:b/>
          <w:color w:val="auto"/>
          <w:w w:val="99"/>
          <w:sz w:val="36"/>
        </w:rPr>
        <w:t xml:space="preserve"> </w:t>
      </w:r>
    </w:p>
    <w:p>
      <w:pPr>
        <w:spacing w:after="0"/>
        <w:jc w:val="center"/>
        <w:rPr>
          <w:color w:val="auto"/>
          <w:sz w:val="36"/>
        </w:rPr>
        <w:sectPr>
          <w:pgSz w:w="11910" w:h="16850"/>
          <w:pgMar w:top="1460" w:right="0" w:bottom="280" w:left="1260" w:header="720" w:footer="720" w:gutter="0"/>
          <w:cols w:space="720" w:num="1"/>
        </w:sectPr>
      </w:pPr>
    </w:p>
    <w:p>
      <w:pPr>
        <w:spacing w:before="21"/>
        <w:ind w:left="1668" w:right="0" w:firstLine="0"/>
        <w:jc w:val="left"/>
        <w:rPr>
          <w:b/>
          <w:color w:val="auto"/>
          <w:sz w:val="36"/>
        </w:rPr>
      </w:pPr>
      <w:r>
        <w:rPr>
          <w:b/>
          <w:color w:val="auto"/>
          <w:sz w:val="36"/>
        </w:rPr>
        <w:t>温馨提示：供应商投标特别注意事项</w:t>
      </w:r>
      <w:r>
        <w:rPr>
          <w:b/>
          <w:color w:val="auto"/>
          <w:w w:val="99"/>
          <w:sz w:val="36"/>
        </w:rPr>
        <w:t xml:space="preserve"> </w:t>
      </w:r>
    </w:p>
    <w:p>
      <w:pPr>
        <w:pStyle w:val="8"/>
        <w:spacing w:before="274" w:line="362" w:lineRule="auto"/>
        <w:ind w:left="481" w:right="1765" w:firstLine="420"/>
        <w:jc w:val="both"/>
        <w:rPr>
          <w:color w:val="auto"/>
        </w:rPr>
      </w:pPr>
      <w:r>
        <w:rPr>
          <w:color w:val="auto"/>
        </w:rPr>
        <w:t>一、 参加投标之前，供应商应确认铜仁市公共资源交易诚信库档案是否办</w:t>
      </w:r>
      <w:r>
        <w:rPr>
          <w:color w:val="auto"/>
          <w:spacing w:val="-5"/>
        </w:rPr>
        <w:t>理，以免出现铜仁市公共资源交易诚信库档案不能被使用等问题。上述情况有可</w:t>
      </w:r>
      <w:r>
        <w:rPr>
          <w:color w:val="auto"/>
          <w:spacing w:val="-2"/>
        </w:rPr>
        <w:t>能导致投标报名信息无法导入全国公共资源交易平台</w:t>
      </w:r>
      <w:r>
        <w:rPr>
          <w:color w:val="auto"/>
          <w:spacing w:val="15"/>
        </w:rPr>
        <w:t>（</w:t>
      </w:r>
      <w:r>
        <w:rPr>
          <w:color w:val="auto"/>
          <w:spacing w:val="1"/>
        </w:rPr>
        <w:t>贵州省.铜仁市</w:t>
      </w:r>
      <w:r>
        <w:rPr>
          <w:color w:val="auto"/>
        </w:rPr>
        <w:t>）（以下</w:t>
      </w:r>
      <w:r>
        <w:rPr>
          <w:color w:val="auto"/>
          <w:spacing w:val="-6"/>
        </w:rPr>
        <w:t>简称“交易中心”</w:t>
      </w:r>
      <w:r>
        <w:rPr>
          <w:color w:val="auto"/>
          <w:spacing w:val="-15"/>
        </w:rPr>
        <w:t>）</w:t>
      </w:r>
      <w:r>
        <w:rPr>
          <w:color w:val="auto"/>
          <w:spacing w:val="-1"/>
        </w:rPr>
        <w:t>政府采购交易系统。</w:t>
      </w:r>
      <w:r>
        <w:rPr>
          <w:b/>
          <w:color w:val="auto"/>
          <w:spacing w:val="-1"/>
        </w:rPr>
        <w:t>一律不接受纸质投标文件，只接受具备</w:t>
      </w:r>
      <w:r>
        <w:rPr>
          <w:b/>
          <w:color w:val="auto"/>
          <w:spacing w:val="-2"/>
        </w:rPr>
        <w:t>法律效力的电子投标文件。</w:t>
      </w:r>
      <w:r>
        <w:rPr>
          <w:color w:val="auto"/>
          <w:spacing w:val="-2"/>
        </w:rPr>
        <w:t>供应商参加投标前，应当到依法设立的电子认证服务</w:t>
      </w:r>
      <w:r>
        <w:rPr>
          <w:color w:val="auto"/>
          <w:spacing w:val="-3"/>
        </w:rPr>
        <w:t xml:space="preserve">机构在交易中心设立的办理点，办理 </w:t>
      </w:r>
      <w:r>
        <w:rPr>
          <w:color w:val="auto"/>
        </w:rPr>
        <w:t>CA</w:t>
      </w:r>
      <w:r>
        <w:rPr>
          <w:color w:val="auto"/>
          <w:spacing w:val="-4"/>
        </w:rPr>
        <w:t xml:space="preserve"> 数字证书和电子签章。【因交易中心处</w:t>
      </w:r>
      <w:r>
        <w:rPr>
          <w:color w:val="auto"/>
          <w:spacing w:val="-7"/>
        </w:rPr>
        <w:t>于推行电子标阶段，请各位投标人上传加密的电子投标文件后，并携带密封好的</w:t>
      </w:r>
    </w:p>
    <w:p>
      <w:pPr>
        <w:spacing w:before="0" w:line="373" w:lineRule="exact"/>
        <w:ind w:left="481" w:right="0" w:firstLine="0"/>
        <w:jc w:val="left"/>
        <w:rPr>
          <w:b/>
          <w:color w:val="auto"/>
          <w:sz w:val="24"/>
        </w:rPr>
      </w:pPr>
      <w:r>
        <w:rPr>
          <w:color w:val="auto"/>
          <w:spacing w:val="-3"/>
          <w:w w:val="95"/>
          <w:sz w:val="24"/>
        </w:rPr>
        <w:t>纸质投标文件</w:t>
      </w:r>
      <w:r>
        <w:rPr>
          <w:color w:val="auto"/>
          <w:w w:val="95"/>
          <w:sz w:val="24"/>
        </w:rPr>
        <w:t>（</w:t>
      </w:r>
      <w:r>
        <w:rPr>
          <w:b/>
          <w:color w:val="auto"/>
          <w:spacing w:val="1"/>
          <w:w w:val="95"/>
          <w:sz w:val="24"/>
        </w:rPr>
        <w:t>一正二副、备用</w:t>
      </w:r>
      <w:r>
        <w:rPr>
          <w:color w:val="auto"/>
          <w:spacing w:val="-15"/>
          <w:w w:val="95"/>
          <w:sz w:val="24"/>
        </w:rPr>
        <w:t>）</w:t>
      </w:r>
      <w:r>
        <w:rPr>
          <w:color w:val="auto"/>
          <w:spacing w:val="-4"/>
          <w:w w:val="95"/>
          <w:sz w:val="24"/>
        </w:rPr>
        <w:t>前往交易中心投标。】</w:t>
      </w:r>
      <w:r>
        <w:rPr>
          <w:b/>
          <w:color w:val="auto"/>
          <w:spacing w:val="3"/>
          <w:w w:val="95"/>
          <w:sz w:val="24"/>
        </w:rPr>
        <w:t>本次招标</w:t>
      </w:r>
      <w:r>
        <w:rPr>
          <w:rFonts w:hint="eastAsia" w:ascii="HCR Batang" w:hAnsi="HCR Batang" w:eastAsia="HCR Batang"/>
          <w:b/>
          <w:color w:val="auto"/>
          <w:w w:val="95"/>
          <w:sz w:val="24"/>
        </w:rPr>
        <w:t>☑</w:t>
      </w:r>
      <w:r>
        <w:rPr>
          <w:b/>
          <w:color w:val="auto"/>
          <w:w w:val="95"/>
          <w:sz w:val="24"/>
        </w:rPr>
        <w:t>采用电子招</w:t>
      </w:r>
    </w:p>
    <w:p>
      <w:pPr>
        <w:pStyle w:val="5"/>
        <w:spacing w:before="116" w:line="362" w:lineRule="auto"/>
        <w:ind w:right="1784"/>
        <w:jc w:val="both"/>
        <w:rPr>
          <w:b w:val="0"/>
          <w:color w:val="auto"/>
        </w:rPr>
      </w:pPr>
      <w:r>
        <w:rPr>
          <w:color w:val="auto"/>
        </w:rPr>
        <w:t>标的，具体要求：非加密电子投标文件（.nTRTF）光盘或 U 盘要求：非加密的电子投标文件（</w:t>
      </w:r>
      <w:r>
        <w:rPr>
          <w:color w:val="auto"/>
          <w:spacing w:val="-34"/>
        </w:rPr>
        <w:t xml:space="preserve">. </w:t>
      </w:r>
      <w:r>
        <w:rPr>
          <w:color w:val="auto"/>
          <w:spacing w:val="2"/>
        </w:rPr>
        <w:t>nTRTF）</w:t>
      </w:r>
      <w:r>
        <w:rPr>
          <w:color w:val="auto"/>
          <w:spacing w:val="-4"/>
        </w:rPr>
        <w:t xml:space="preserve">光盘或 </w:t>
      </w:r>
      <w:r>
        <w:rPr>
          <w:color w:val="auto"/>
        </w:rPr>
        <w:t>U</w:t>
      </w:r>
      <w:r>
        <w:rPr>
          <w:color w:val="auto"/>
          <w:spacing w:val="-2"/>
        </w:rPr>
        <w:t xml:space="preserve"> 盘单独密封在一个包封套内，并在包封套的</w:t>
      </w:r>
      <w:r>
        <w:rPr>
          <w:color w:val="auto"/>
          <w:spacing w:val="2"/>
        </w:rPr>
        <w:t>封口处加盖投标人单位章。</w:t>
      </w:r>
      <w:r>
        <w:rPr>
          <w:b w:val="0"/>
          <w:color w:val="auto"/>
          <w:spacing w:val="2"/>
        </w:rPr>
        <w:t xml:space="preserve"> </w:t>
      </w:r>
    </w:p>
    <w:p>
      <w:pPr>
        <w:pStyle w:val="8"/>
        <w:spacing w:before="153" w:line="403" w:lineRule="auto"/>
        <w:ind w:left="481" w:right="1778" w:firstLine="420"/>
        <w:jc w:val="both"/>
        <w:rPr>
          <w:color w:val="auto"/>
        </w:rPr>
      </w:pPr>
      <w:r>
        <w:rPr>
          <w:color w:val="auto"/>
        </w:rPr>
        <w:t>二、 如更正公告有重新发布电子招标文件的，供应商需使用更正公告后最</w:t>
      </w:r>
      <w:r>
        <w:rPr>
          <w:color w:val="auto"/>
          <w:spacing w:val="-2"/>
        </w:rPr>
        <w:t xml:space="preserve">新发布的电子招标文件来制作电子投标文件，否则投标时将无法正常提交电子投标文件。 </w:t>
      </w:r>
    </w:p>
    <w:p>
      <w:pPr>
        <w:pStyle w:val="8"/>
        <w:spacing w:before="11" w:line="403" w:lineRule="auto"/>
        <w:ind w:left="481" w:right="1784" w:firstLine="420"/>
        <w:jc w:val="both"/>
        <w:rPr>
          <w:color w:val="auto"/>
        </w:rPr>
      </w:pPr>
      <w:r>
        <w:rPr>
          <w:color w:val="auto"/>
        </w:rPr>
        <w:t>三、 电子投标文件需在提交投标文件截止时间前完整上传并保存在交易中</w:t>
      </w:r>
      <w:r>
        <w:rPr>
          <w:color w:val="auto"/>
          <w:spacing w:val="-3"/>
        </w:rPr>
        <w:t xml:space="preserve">心政府采购交易系统，且取得成功提示。逾期送达或错误投递方式送达的投标文件交易中心及代理机构恕不接收。 </w:t>
      </w:r>
    </w:p>
    <w:p>
      <w:pPr>
        <w:pStyle w:val="8"/>
        <w:spacing w:before="12" w:line="403" w:lineRule="auto"/>
        <w:ind w:left="481" w:right="1783" w:firstLine="420"/>
        <w:jc w:val="both"/>
        <w:rPr>
          <w:color w:val="auto"/>
        </w:rPr>
      </w:pPr>
      <w:r>
        <w:rPr>
          <w:color w:val="auto"/>
        </w:rPr>
        <w:t>四、 对收取投标保证金的项目，只接受供应商基本账户以银行转账方式交</w:t>
      </w:r>
      <w:r>
        <w:rPr>
          <w:color w:val="auto"/>
          <w:spacing w:val="-4"/>
        </w:rPr>
        <w:t xml:space="preserve">纳投标保证金。由于转账当天不一定能够到账，建议至少提前二个工作日转账并绑定。 </w:t>
      </w:r>
    </w:p>
    <w:p>
      <w:pPr>
        <w:pStyle w:val="8"/>
        <w:spacing w:before="12" w:line="410" w:lineRule="auto"/>
        <w:ind w:left="902" w:right="6741"/>
        <w:rPr>
          <w:color w:val="auto"/>
        </w:rPr>
      </w:pPr>
      <w:r>
        <w:rPr>
          <w:color w:val="auto"/>
        </w:rPr>
        <w:t xml:space="preserve">保证金缴纳流程如下：    1.线上报名获取缴纳随机码 </w:t>
      </w:r>
    </w:p>
    <w:p>
      <w:pPr>
        <w:pStyle w:val="8"/>
        <w:spacing w:line="291" w:lineRule="exact"/>
        <w:ind w:left="902"/>
        <w:rPr>
          <w:color w:val="auto"/>
        </w:rPr>
      </w:pPr>
      <w:r>
        <w:rPr>
          <w:color w:val="auto"/>
        </w:rPr>
        <w:t>·登录公共资源电子交易系统（</w:t>
      </w:r>
      <w:r>
        <w:rPr>
          <w:color w:val="auto"/>
        </w:rPr>
        <w:fldChar w:fldCharType="begin"/>
      </w:r>
      <w:r>
        <w:rPr>
          <w:color w:val="auto"/>
        </w:rPr>
        <w:instrText xml:space="preserve"> HYPERLINK "http://www.trizy.cn/" \h </w:instrText>
      </w:r>
      <w:r>
        <w:rPr>
          <w:color w:val="auto"/>
        </w:rPr>
        <w:fldChar w:fldCharType="separate"/>
      </w:r>
      <w:r>
        <w:rPr>
          <w:color w:val="auto"/>
        </w:rPr>
        <w:t>www.trizy.cn</w:t>
      </w:r>
      <w:r>
        <w:rPr>
          <w:color w:val="auto"/>
        </w:rPr>
        <w:fldChar w:fldCharType="end"/>
      </w:r>
      <w:r>
        <w:rPr>
          <w:color w:val="auto"/>
        </w:rPr>
        <w:t xml:space="preserve">） </w:t>
      </w:r>
    </w:p>
    <w:p>
      <w:pPr>
        <w:pStyle w:val="8"/>
        <w:rPr>
          <w:color w:val="auto"/>
          <w:sz w:val="17"/>
        </w:rPr>
      </w:pPr>
    </w:p>
    <w:p>
      <w:pPr>
        <w:pStyle w:val="12"/>
        <w:numPr>
          <w:ilvl w:val="0"/>
          <w:numId w:val="2"/>
        </w:numPr>
        <w:tabs>
          <w:tab w:val="left" w:pos="1144"/>
        </w:tabs>
        <w:spacing w:before="0" w:after="0" w:line="410" w:lineRule="auto"/>
        <w:ind w:left="902" w:right="1783" w:firstLine="0"/>
        <w:jc w:val="left"/>
        <w:rPr>
          <w:color w:val="auto"/>
          <w:sz w:val="24"/>
        </w:rPr>
      </w:pPr>
      <w:r>
        <w:rPr>
          <w:color w:val="auto"/>
          <w:spacing w:val="-14"/>
          <w:sz w:val="24"/>
        </w:rPr>
        <w:t xml:space="preserve">进入【业务管理】-【填写投标信息】 搜索或直接找到拟报名项目，点【操作】按钮，进入该项目报名页面。 </w:t>
      </w:r>
    </w:p>
    <w:p>
      <w:pPr>
        <w:pStyle w:val="8"/>
        <w:spacing w:line="292" w:lineRule="exact"/>
        <w:ind w:left="902"/>
        <w:rPr>
          <w:color w:val="auto"/>
        </w:rPr>
      </w:pPr>
      <w:r>
        <w:rPr>
          <w:color w:val="auto"/>
        </w:rPr>
        <w:t>·进入报名页面 填写完报名信息后（带*号为必填项），点左上角【保存修</w:t>
      </w:r>
    </w:p>
    <w:p>
      <w:pPr>
        <w:spacing w:after="0" w:line="292" w:lineRule="exact"/>
        <w:rPr>
          <w:color w:val="auto"/>
        </w:rPr>
        <w:sectPr>
          <w:footerReference r:id="rId5" w:type="default"/>
          <w:pgSz w:w="11910" w:h="16850"/>
          <w:pgMar w:top="1400" w:right="0" w:bottom="1080" w:left="1260" w:header="0" w:footer="891" w:gutter="0"/>
          <w:pgNumType w:start="1"/>
          <w:cols w:space="720" w:num="1"/>
        </w:sectPr>
      </w:pPr>
    </w:p>
    <w:p>
      <w:pPr>
        <w:pStyle w:val="8"/>
        <w:spacing w:before="41"/>
        <w:ind w:left="902"/>
        <w:rPr>
          <w:color w:val="auto"/>
        </w:rPr>
      </w:pPr>
      <w:r>
        <w:rPr>
          <w:color w:val="auto"/>
        </w:rPr>
        <w:t xml:space="preserve">改】按钮。 </w:t>
      </w:r>
    </w:p>
    <w:p>
      <w:pPr>
        <w:pStyle w:val="8"/>
        <w:rPr>
          <w:color w:val="auto"/>
          <w:sz w:val="17"/>
        </w:rPr>
      </w:pPr>
    </w:p>
    <w:p>
      <w:pPr>
        <w:pStyle w:val="12"/>
        <w:numPr>
          <w:ilvl w:val="0"/>
          <w:numId w:val="2"/>
        </w:numPr>
        <w:tabs>
          <w:tab w:val="left" w:pos="1144"/>
        </w:tabs>
        <w:spacing w:before="0" w:after="0" w:line="398" w:lineRule="auto"/>
        <w:ind w:left="902" w:right="1678" w:firstLine="0"/>
        <w:jc w:val="left"/>
        <w:rPr>
          <w:color w:val="auto"/>
          <w:sz w:val="24"/>
        </w:rPr>
      </w:pPr>
      <w:r>
        <w:rPr>
          <w:color w:val="auto"/>
          <w:spacing w:val="-7"/>
          <w:sz w:val="24"/>
        </w:rPr>
        <w:t>报名成功后 在该页面会生成【保证金缴纳随机码】，务必记录留存备用。该随机码一旦生成，即使修改报名信息，也不可更改。</w:t>
      </w:r>
      <w:r>
        <w:rPr>
          <w:color w:val="auto"/>
          <w:sz w:val="24"/>
        </w:rPr>
        <w:t xml:space="preserve"> </w:t>
      </w:r>
    </w:p>
    <w:p>
      <w:pPr>
        <w:pStyle w:val="8"/>
        <w:spacing w:before="15"/>
        <w:ind w:left="902"/>
        <w:rPr>
          <w:color w:val="auto"/>
        </w:rPr>
      </w:pPr>
      <w:r>
        <w:rPr>
          <w:color w:val="auto"/>
        </w:rPr>
        <w:t xml:space="preserve">2.缴纳保证金 </w:t>
      </w:r>
    </w:p>
    <w:p>
      <w:pPr>
        <w:pStyle w:val="8"/>
        <w:rPr>
          <w:color w:val="auto"/>
          <w:sz w:val="17"/>
        </w:rPr>
      </w:pPr>
    </w:p>
    <w:p>
      <w:pPr>
        <w:pStyle w:val="8"/>
        <w:spacing w:before="1" w:line="405" w:lineRule="auto"/>
        <w:ind w:left="902" w:right="1794"/>
        <w:jc w:val="both"/>
        <w:rPr>
          <w:color w:val="auto"/>
        </w:rPr>
      </w:pPr>
      <w:r>
        <w:rPr>
          <w:color w:val="auto"/>
        </w:rPr>
        <w:t>·按照招标文件要求将投标保证金缴纳到交易中心保证金账户，打款账户必</w:t>
      </w:r>
      <w:r>
        <w:rPr>
          <w:color w:val="auto"/>
          <w:spacing w:val="-4"/>
        </w:rPr>
        <w:t>须与交易系统中登记的账户信息一致</w:t>
      </w:r>
      <w:r>
        <w:rPr>
          <w:color w:val="auto"/>
        </w:rPr>
        <w:t>（要求从登记的基本户打款</w:t>
      </w:r>
      <w:r>
        <w:rPr>
          <w:color w:val="auto"/>
          <w:spacing w:val="-53"/>
        </w:rPr>
        <w:t>）</w:t>
      </w:r>
      <w:r>
        <w:rPr>
          <w:color w:val="auto"/>
          <w:spacing w:val="-24"/>
        </w:rPr>
        <w:t>，即与【诚</w:t>
      </w:r>
      <w:r>
        <w:rPr>
          <w:color w:val="auto"/>
          <w:spacing w:val="-18"/>
        </w:rPr>
        <w:t xml:space="preserve">信库管理】-【基本信息】中的 基本户开户银行、基本户开户账号、基本账户名称保持一致。 </w:t>
      </w:r>
    </w:p>
    <w:p>
      <w:pPr>
        <w:pStyle w:val="8"/>
        <w:spacing w:line="410" w:lineRule="auto"/>
        <w:ind w:left="902" w:right="1794"/>
        <w:rPr>
          <w:color w:val="auto"/>
        </w:rPr>
      </w:pPr>
      <w:r>
        <w:rPr>
          <w:color w:val="auto"/>
        </w:rPr>
        <w:t xml:space="preserve">·不论何种渠道转款（不可用现金转账），转款备注（用途）栏唯一必填报名时生成获取的【保证金缴纳随机码】； </w:t>
      </w:r>
    </w:p>
    <w:p>
      <w:pPr>
        <w:pStyle w:val="12"/>
        <w:numPr>
          <w:ilvl w:val="0"/>
          <w:numId w:val="2"/>
        </w:numPr>
        <w:tabs>
          <w:tab w:val="left" w:pos="1189"/>
        </w:tabs>
        <w:spacing w:before="22" w:after="0" w:line="386" w:lineRule="auto"/>
        <w:ind w:left="482" w:right="1768" w:firstLine="466"/>
        <w:jc w:val="left"/>
        <w:rPr>
          <w:color w:val="auto"/>
          <w:sz w:val="24"/>
        </w:rPr>
      </w:pPr>
      <w:r>
        <w:rPr>
          <w:color w:val="auto"/>
          <w:spacing w:val="-3"/>
          <w:sz w:val="24"/>
        </w:rPr>
        <w:t>打款账户信息与中心注册不一致、备注栏为空、书写其他</w:t>
      </w:r>
      <w:r>
        <w:rPr>
          <w:color w:val="auto"/>
          <w:sz w:val="24"/>
        </w:rPr>
        <w:t>（XX</w:t>
      </w:r>
      <w:r>
        <w:rPr>
          <w:color w:val="auto"/>
          <w:spacing w:val="-13"/>
          <w:sz w:val="24"/>
        </w:rPr>
        <w:t xml:space="preserve"> 项目保证金之类）、随机码填写错误，均会造成保证金无法匹配进交易系统。</w:t>
      </w:r>
      <w:r>
        <w:rPr>
          <w:color w:val="auto"/>
          <w:sz w:val="24"/>
        </w:rPr>
        <w:t xml:space="preserve"> </w:t>
      </w:r>
    </w:p>
    <w:p>
      <w:pPr>
        <w:pStyle w:val="8"/>
        <w:spacing w:before="1" w:line="393" w:lineRule="auto"/>
        <w:ind w:left="481" w:right="1752" w:firstLine="466"/>
        <w:jc w:val="both"/>
        <w:rPr>
          <w:color w:val="auto"/>
        </w:rPr>
      </w:pPr>
      <w:r>
        <w:rPr>
          <w:color w:val="auto"/>
        </w:rPr>
        <w:t xml:space="preserve">.投标保证金交纳方式:采用银行转账、电汇形式提交:具体缴退流程见铜仁市公共资源交易中心网站，点击首页-办事指南-保证金缴退，自行缴纳保证金； 或采用《投标保证金保函》（电子保函）提交：具体操作方式见铜仁市公共资源交易中心首页-办事指南-政府采购-常见问题解答-《投标电子保函申请操作步骤》 </w:t>
      </w:r>
    </w:p>
    <w:p>
      <w:pPr>
        <w:pStyle w:val="8"/>
        <w:spacing w:line="293" w:lineRule="exact"/>
        <w:ind w:left="948"/>
        <w:rPr>
          <w:color w:val="auto"/>
        </w:rPr>
      </w:pPr>
      <w:r>
        <w:rPr>
          <w:color w:val="auto"/>
        </w:rPr>
        <w:t xml:space="preserve">3.打印回执 </w:t>
      </w:r>
    </w:p>
    <w:p>
      <w:pPr>
        <w:pStyle w:val="8"/>
        <w:spacing w:before="157"/>
        <w:ind w:left="3260"/>
        <w:rPr>
          <w:color w:val="auto"/>
        </w:rPr>
      </w:pPr>
      <w:r>
        <w:rPr>
          <w:color w:val="auto"/>
        </w:rPr>
        <w:drawing>
          <wp:anchor distT="0" distB="0" distL="0" distR="0" simplePos="0" relativeHeight="251661312" behindDoc="1" locked="0" layoutInCell="1" allowOverlap="1">
            <wp:simplePos x="0" y="0"/>
            <wp:positionH relativeFrom="page">
              <wp:posOffset>1372870</wp:posOffset>
            </wp:positionH>
            <wp:positionV relativeFrom="paragraph">
              <wp:posOffset>118110</wp:posOffset>
            </wp:positionV>
            <wp:extent cx="1647190"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647063" cy="152400"/>
                    </a:xfrm>
                    <a:prstGeom prst="rect">
                      <a:avLst/>
                    </a:prstGeom>
                  </pic:spPr>
                </pic:pic>
              </a:graphicData>
            </a:graphic>
          </wp:anchor>
        </w:drawing>
      </w:r>
      <w:r>
        <w:rPr>
          <w:color w:val="auto"/>
        </w:rPr>
        <w:t>-【查询投标保证金缴纳情况】 搜索或直接找到项目，</w:t>
      </w:r>
    </w:p>
    <w:p>
      <w:pPr>
        <w:pStyle w:val="8"/>
        <w:spacing w:before="11"/>
        <w:rPr>
          <w:color w:val="auto"/>
          <w:sz w:val="11"/>
        </w:rPr>
      </w:pPr>
    </w:p>
    <w:p>
      <w:pPr>
        <w:pStyle w:val="8"/>
        <w:spacing w:before="66"/>
        <w:ind w:left="902"/>
        <w:rPr>
          <w:color w:val="auto"/>
        </w:rPr>
      </w:pPr>
      <w:r>
        <w:rPr>
          <w:color w:val="auto"/>
        </w:rPr>
        <w:t xml:space="preserve">查看【缴纳状态】，如支付成功，将显示“已缴纳保证金” 。 </w:t>
      </w:r>
    </w:p>
    <w:p>
      <w:pPr>
        <w:pStyle w:val="8"/>
        <w:spacing w:before="7"/>
        <w:rPr>
          <w:color w:val="auto"/>
          <w:sz w:val="15"/>
        </w:rPr>
      </w:pPr>
      <w:r>
        <w:rPr>
          <w:color w:val="auto"/>
        </w:rPr>
        <w:pict>
          <v:group id="_x0000_s1028" o:spid="_x0000_s1028" o:spt="203" style="position:absolute;left:0pt;margin-left:108.1pt;margin-top:12.4pt;height:12.2pt;width:409.75pt;mso-position-horizontal-relative:page;mso-wrap-distance-bottom:0pt;mso-wrap-distance-top:0pt;z-index:-251653120;mso-width-relative:page;mso-height-relative:page;" coordorigin="2162,249" coordsize="8195,244">
            <o:lock v:ext="edit"/>
            <v:shape id="_x0000_s1029" o:spid="_x0000_s1029" o:spt="75" type="#_x0000_t75" style="position:absolute;left:2162;top:248;height:240;width:8195;" filled="f" stroked="f" coordsize="21600,21600">
              <v:path/>
              <v:fill on="f" focussize="0,0"/>
              <v:stroke on="f"/>
              <v:imagedata r:id="rId10" o:title=""/>
              <o:lock v:ext="edit" aspectratio="t"/>
            </v:shape>
            <v:shape id="_x0000_s1030" o:spid="_x0000_s1030" o:spt="202" type="#_x0000_t202" style="position:absolute;left:10123;top:252;height:240;width:140;" filled="f" stroked="f" coordsize="21600,21600">
              <v:path/>
              <v:fill on="f" focussize="0,0"/>
              <v:stroke on="f" joinstyle="miter"/>
              <v:imagedata o:title=""/>
              <o:lock v:ext="edit"/>
              <v:textbox inset="0mm,0mm,0mm,0mm">
                <w:txbxContent>
                  <w:p>
                    <w:pPr>
                      <w:spacing w:before="0" w:line="240" w:lineRule="exact"/>
                      <w:ind w:left="0" w:right="0" w:firstLine="0"/>
                      <w:jc w:val="left"/>
                      <w:rPr>
                        <w:sz w:val="24"/>
                      </w:rPr>
                    </w:pPr>
                    <w:r>
                      <w:rPr>
                        <w:sz w:val="24"/>
                      </w:rPr>
                      <w:t xml:space="preserve"> </w:t>
                    </w:r>
                  </w:p>
                </w:txbxContent>
              </v:textbox>
            </v:shape>
            <w10:wrap type="topAndBottom"/>
          </v:group>
        </w:pict>
      </w:r>
    </w:p>
    <w:p>
      <w:pPr>
        <w:pStyle w:val="8"/>
        <w:spacing w:before="7"/>
        <w:rPr>
          <w:color w:val="auto"/>
          <w:sz w:val="10"/>
        </w:rPr>
      </w:pPr>
    </w:p>
    <w:p>
      <w:pPr>
        <w:pStyle w:val="8"/>
        <w:spacing w:before="66" w:line="410" w:lineRule="auto"/>
        <w:ind w:left="902" w:right="1798"/>
        <w:rPr>
          <w:color w:val="auto"/>
        </w:rPr>
      </w:pPr>
      <w:r>
        <w:rPr>
          <w:color w:val="auto"/>
          <w:sz w:val="21"/>
        </w:rPr>
        <w:t xml:space="preserve">五、  </w:t>
      </w:r>
      <w:r>
        <w:rPr>
          <w:color w:val="auto"/>
        </w:rPr>
        <w:t>投标人报价低于最高限价 60%的，必须在投标文件中说明报价理由。六、 投标人的报价明显低于其他通过符合性审查投标人的报价，有可能影</w:t>
      </w:r>
    </w:p>
    <w:p>
      <w:pPr>
        <w:pStyle w:val="8"/>
        <w:spacing w:line="403" w:lineRule="auto"/>
        <w:ind w:left="481" w:right="1778"/>
        <w:jc w:val="both"/>
        <w:rPr>
          <w:color w:val="auto"/>
        </w:rPr>
      </w:pPr>
      <w:r>
        <w:rPr>
          <w:color w:val="auto"/>
          <w:spacing w:val="-2"/>
        </w:rPr>
        <w:t>响产品质量或者不能诚信履约的，应当按评标委员会的要求，在评标现场合理的</w:t>
      </w:r>
      <w:r>
        <w:rPr>
          <w:color w:val="auto"/>
          <w:spacing w:val="-5"/>
        </w:rPr>
        <w:t xml:space="preserve">时间内提供书面说明，必要时提交相关证明材料；投标人不能证明其报价合理性的，将被作为无效投标处理。 </w:t>
      </w:r>
    </w:p>
    <w:p>
      <w:pPr>
        <w:pStyle w:val="8"/>
        <w:spacing w:before="11"/>
        <w:ind w:left="902"/>
        <w:rPr>
          <w:color w:val="auto"/>
        </w:rPr>
      </w:pPr>
      <w:r>
        <w:rPr>
          <w:color w:val="auto"/>
        </w:rPr>
        <w:t>七、 对可接受分公司投标的项目，分公司投标的，需提供具有法人资格的</w:t>
      </w:r>
    </w:p>
    <w:p>
      <w:pPr>
        <w:spacing w:after="0"/>
        <w:rPr>
          <w:color w:val="auto"/>
        </w:rPr>
        <w:sectPr>
          <w:pgSz w:w="11910" w:h="16850"/>
          <w:pgMar w:top="1560" w:right="0" w:bottom="1160" w:left="1260" w:header="0" w:footer="891" w:gutter="0"/>
          <w:cols w:space="720" w:num="1"/>
        </w:sectPr>
      </w:pPr>
    </w:p>
    <w:p>
      <w:pPr>
        <w:pStyle w:val="8"/>
        <w:spacing w:before="41" w:line="403" w:lineRule="auto"/>
        <w:ind w:left="481" w:right="1769"/>
        <w:jc w:val="both"/>
        <w:rPr>
          <w:color w:val="auto"/>
        </w:rPr>
      </w:pPr>
      <w:r>
        <w:rPr>
          <w:color w:val="auto"/>
          <w:spacing w:val="-1"/>
        </w:rPr>
        <w:t>总公司的营业执照原件扫描件及授权书，</w:t>
      </w:r>
      <w:r>
        <w:rPr>
          <w:b/>
          <w:color w:val="auto"/>
        </w:rPr>
        <w:t>授权书须加盖总公司公章</w:t>
      </w:r>
      <w:r>
        <w:rPr>
          <w:color w:val="auto"/>
          <w:spacing w:val="-4"/>
        </w:rPr>
        <w:t>。总公司可就</w:t>
      </w:r>
      <w:r>
        <w:rPr>
          <w:color w:val="auto"/>
          <w:spacing w:val="-6"/>
        </w:rPr>
        <w:t>本项目或此类项目在一定范围或时间内出具授权书。已由总公司授权的，总公司取得的相关资质证书对分公司有效，法律法规或者行业另有规定的除外。</w:t>
      </w:r>
      <w:r>
        <w:rPr>
          <w:color w:val="auto"/>
        </w:rPr>
        <w:t xml:space="preserve"> </w:t>
      </w:r>
    </w:p>
    <w:p>
      <w:pPr>
        <w:pStyle w:val="8"/>
        <w:spacing w:before="12" w:line="410" w:lineRule="auto"/>
        <w:ind w:left="481" w:right="1798" w:firstLine="420"/>
        <w:jc w:val="both"/>
        <w:rPr>
          <w:color w:val="auto"/>
        </w:rPr>
      </w:pPr>
      <w:r>
        <w:rPr>
          <w:color w:val="auto"/>
        </w:rPr>
        <w:t xml:space="preserve">八、 联合体投标的，供应商录入报名投标信息时，须将联合体所有成员单位的全称录入交易中心政府采购交易系统。 </w:t>
      </w:r>
    </w:p>
    <w:p>
      <w:pPr>
        <w:pStyle w:val="8"/>
        <w:spacing w:line="292" w:lineRule="exact"/>
        <w:ind w:left="902"/>
        <w:rPr>
          <w:color w:val="auto"/>
        </w:rPr>
      </w:pPr>
      <w:r>
        <w:rPr>
          <w:color w:val="auto"/>
        </w:rPr>
        <w:t>九、 评标委员会评标时，对供应商部分信息直接取自供应商在交易中心企</w:t>
      </w:r>
    </w:p>
    <w:p>
      <w:pPr>
        <w:pStyle w:val="8"/>
        <w:rPr>
          <w:color w:val="auto"/>
          <w:sz w:val="17"/>
        </w:rPr>
      </w:pPr>
    </w:p>
    <w:p>
      <w:pPr>
        <w:pStyle w:val="8"/>
        <w:spacing w:line="410" w:lineRule="auto"/>
        <w:ind w:left="902" w:right="1798" w:hanging="421"/>
        <w:rPr>
          <w:color w:val="auto"/>
        </w:rPr>
      </w:pPr>
      <w:r>
        <w:rPr>
          <w:color w:val="auto"/>
          <w:spacing w:val="-1"/>
        </w:rPr>
        <w:t xml:space="preserve">业库登记的信息，请供应商及时维护、更新企业库的信息，确保其有效性。  </w:t>
      </w:r>
      <w:r>
        <w:rPr>
          <w:color w:val="auto"/>
        </w:rPr>
        <w:t>十、 供应商一旦依法被确认为中标、成交供应商，其投标（</w:t>
      </w:r>
      <w:r>
        <w:rPr>
          <w:color w:val="auto"/>
          <w:spacing w:val="7"/>
        </w:rPr>
        <w:t>响应</w:t>
      </w:r>
      <w:r>
        <w:rPr>
          <w:color w:val="auto"/>
        </w:rPr>
        <w:t>）文件中</w:t>
      </w:r>
    </w:p>
    <w:p>
      <w:pPr>
        <w:pStyle w:val="8"/>
        <w:spacing w:line="292" w:lineRule="exact"/>
        <w:ind w:left="481"/>
        <w:rPr>
          <w:color w:val="auto"/>
        </w:rPr>
      </w:pPr>
      <w:r>
        <w:rPr>
          <w:color w:val="auto"/>
          <w:spacing w:val="-3"/>
        </w:rPr>
        <w:t>的相关内容</w:t>
      </w:r>
      <w:r>
        <w:rPr>
          <w:color w:val="auto"/>
        </w:rPr>
        <w:t>（主要中标或者成交标的的名称等</w:t>
      </w:r>
      <w:r>
        <w:rPr>
          <w:color w:val="auto"/>
          <w:spacing w:val="-8"/>
        </w:rPr>
        <w:t>）</w:t>
      </w:r>
      <w:r>
        <w:rPr>
          <w:color w:val="auto"/>
          <w:spacing w:val="-5"/>
        </w:rPr>
        <w:t>，将会随中标、成交结果公告一</w:t>
      </w:r>
    </w:p>
    <w:p>
      <w:pPr>
        <w:pStyle w:val="8"/>
        <w:spacing w:before="12"/>
        <w:rPr>
          <w:color w:val="auto"/>
          <w:sz w:val="16"/>
        </w:rPr>
      </w:pPr>
    </w:p>
    <w:p>
      <w:pPr>
        <w:pStyle w:val="8"/>
        <w:ind w:left="481"/>
        <w:rPr>
          <w:color w:val="auto"/>
        </w:rPr>
      </w:pPr>
      <w:r>
        <w:rPr>
          <w:color w:val="auto"/>
        </w:rPr>
        <w:t xml:space="preserve">并发布在采购信息发布网上，接受社会监督。 </w:t>
      </w:r>
    </w:p>
    <w:p>
      <w:pPr>
        <w:pStyle w:val="8"/>
        <w:rPr>
          <w:color w:val="auto"/>
          <w:sz w:val="17"/>
        </w:rPr>
      </w:pPr>
    </w:p>
    <w:p>
      <w:pPr>
        <w:pStyle w:val="8"/>
        <w:spacing w:before="1" w:line="403" w:lineRule="auto"/>
        <w:ind w:left="481" w:right="1780" w:firstLine="481"/>
        <w:jc w:val="both"/>
        <w:rPr>
          <w:color w:val="auto"/>
        </w:rPr>
      </w:pPr>
      <w:r>
        <w:rPr>
          <w:color w:val="auto"/>
          <w:spacing w:val="-5"/>
        </w:rPr>
        <w:t>十一、本公司为采购代理机构，不对供应商报名时提交的相关资料的真实性</w:t>
      </w:r>
      <w:r>
        <w:rPr>
          <w:color w:val="auto"/>
          <w:spacing w:val="-7"/>
        </w:rPr>
        <w:t xml:space="preserve">负责，如供应商发现相关资料被盗用或复制，应遵循法律途径解决，追究侵权者责任。 </w:t>
      </w:r>
    </w:p>
    <w:p>
      <w:pPr>
        <w:pStyle w:val="8"/>
        <w:spacing w:before="11" w:line="398" w:lineRule="auto"/>
        <w:ind w:left="481" w:right="1748" w:firstLine="481"/>
        <w:jc w:val="both"/>
        <w:rPr>
          <w:color w:val="auto"/>
        </w:rPr>
      </w:pPr>
      <w:r>
        <w:rPr>
          <w:color w:val="auto"/>
        </w:rPr>
        <w:t xml:space="preserve">十二、（本提示内容非招标文件的组成部分，仅为善意提醒。如有不一致， 以招标文件为准。） </w:t>
      </w:r>
    </w:p>
    <w:p>
      <w:pPr>
        <w:spacing w:after="0" w:line="398" w:lineRule="auto"/>
        <w:jc w:val="both"/>
        <w:rPr>
          <w:color w:val="auto"/>
        </w:rPr>
        <w:sectPr>
          <w:pgSz w:w="11910" w:h="16850"/>
          <w:pgMar w:top="1560" w:right="0" w:bottom="1160" w:left="1260" w:header="0" w:footer="891" w:gutter="0"/>
          <w:cols w:space="720" w:num="1"/>
        </w:sectPr>
      </w:pPr>
    </w:p>
    <w:p>
      <w:pPr>
        <w:pStyle w:val="2"/>
        <w:spacing w:before="36" w:after="4"/>
        <w:ind w:left="2600"/>
        <w:rPr>
          <w:color w:val="auto"/>
          <w:sz w:val="28"/>
        </w:rPr>
      </w:pPr>
      <w:r>
        <w:rPr>
          <w:color w:val="auto"/>
        </w:rPr>
        <w:t>第一章 竞争性谈判公告</w:t>
      </w:r>
      <w:r>
        <w:rPr>
          <w:color w:val="auto"/>
          <w:w w:val="100"/>
          <w:sz w:val="28"/>
        </w:rPr>
        <w:t xml:space="preserve"> </w:t>
      </w:r>
    </w:p>
    <w:p>
      <w:pPr>
        <w:pStyle w:val="8"/>
        <w:ind w:left="361"/>
        <w:rPr>
          <w:color w:val="auto"/>
          <w:sz w:val="20"/>
        </w:rPr>
      </w:pPr>
      <w:r>
        <w:rPr>
          <w:color w:val="auto"/>
          <w:position w:val="0"/>
          <w:sz w:val="20"/>
        </w:rPr>
        <w:pict>
          <v:shape id="_x0000_s1031" o:spid="_x0000_s1031" o:spt="202" type="#_x0000_t202" style="height:117.85pt;width:426.55pt;" filled="f" stroked="t" coordsize="21600,21600">
            <v:path/>
            <v:fill on="f" focussize="0,0"/>
            <v:stroke color="#000000"/>
            <v:imagedata o:title=""/>
            <o:lock v:ext="edit"/>
            <v:textbox inset="0mm,0mm,0mm,0mm">
              <w:txbxContent>
                <w:p>
                  <w:pPr>
                    <w:spacing w:before="110"/>
                    <w:ind w:left="105" w:right="0" w:firstLine="0"/>
                    <w:jc w:val="left"/>
                    <w:rPr>
                      <w:b/>
                      <w:sz w:val="28"/>
                    </w:rPr>
                  </w:pPr>
                  <w:r>
                    <w:rPr>
                      <w:b/>
                      <w:sz w:val="28"/>
                    </w:rPr>
                    <w:t>项目概况</w:t>
                  </w:r>
                  <w:r>
                    <w:rPr>
                      <w:b/>
                      <w:w w:val="100"/>
                      <w:sz w:val="28"/>
                    </w:rPr>
                    <w:t xml:space="preserve"> </w:t>
                  </w:r>
                </w:p>
                <w:p>
                  <w:pPr>
                    <w:spacing w:before="27" w:line="362" w:lineRule="auto"/>
                    <w:ind w:left="105" w:right="49" w:firstLine="466"/>
                    <w:jc w:val="both"/>
                    <w:rPr>
                      <w:sz w:val="19"/>
                    </w:rPr>
                  </w:pPr>
                  <w:r>
                    <w:rPr>
                      <w:rFonts w:hint="eastAsia"/>
                      <w:b w:val="0"/>
                      <w:bCs/>
                      <w:spacing w:val="-5"/>
                      <w:sz w:val="24"/>
                      <w:u w:val="none"/>
                      <w:lang w:eastAsia="zh-CN"/>
                    </w:rPr>
                    <w:t>根据《中华人民共和国政府采购法》、《政府采购非招标采购方式管理办法》  及相关规定，</w:t>
                  </w:r>
                  <w:r>
                    <w:rPr>
                      <w:rFonts w:hint="eastAsia"/>
                      <w:b/>
                      <w:spacing w:val="-5"/>
                      <w:sz w:val="24"/>
                      <w:u w:val="single"/>
                      <w:lang w:eastAsia="zh-CN"/>
                    </w:rPr>
                    <w:t>河南省光大建设管理有限公司</w:t>
                  </w:r>
                  <w:r>
                    <w:rPr>
                      <w:rFonts w:hint="eastAsia"/>
                      <w:b w:val="0"/>
                      <w:bCs/>
                      <w:spacing w:val="-5"/>
                      <w:sz w:val="24"/>
                      <w:u w:val="single"/>
                      <w:lang w:eastAsia="zh-CN"/>
                    </w:rPr>
                    <w:t>受</w:t>
                  </w:r>
                  <w:r>
                    <w:rPr>
                      <w:rFonts w:hint="eastAsia"/>
                      <w:b/>
                      <w:spacing w:val="-5"/>
                      <w:sz w:val="24"/>
                      <w:u w:val="single"/>
                      <w:lang w:eastAsia="zh-CN"/>
                    </w:rPr>
                    <w:t xml:space="preserve"> 江口县发展和改革局，</w:t>
                  </w:r>
                  <w:r>
                    <w:rPr>
                      <w:rFonts w:hint="eastAsia"/>
                      <w:b w:val="0"/>
                      <w:bCs/>
                      <w:spacing w:val="-5"/>
                      <w:sz w:val="24"/>
                      <w:u w:val="single"/>
                      <w:lang w:eastAsia="zh-CN"/>
                    </w:rPr>
                    <w:t>对</w:t>
                  </w:r>
                  <w:r>
                    <w:rPr>
                      <w:rFonts w:hint="eastAsia"/>
                      <w:b/>
                      <w:spacing w:val="-5"/>
                      <w:sz w:val="24"/>
                      <w:u w:val="single"/>
                      <w:lang w:eastAsia="zh-CN"/>
                    </w:rPr>
                    <w:t>江口县生态系统生产总值（GEP）核算服务项目</w:t>
                  </w:r>
                  <w:r>
                    <w:rPr>
                      <w:rFonts w:hint="eastAsia" w:ascii="宋体" w:hAnsi="宋体" w:eastAsia="宋体" w:cs="宋体"/>
                      <w:spacing w:val="-4"/>
                      <w:sz w:val="24"/>
                      <w:szCs w:val="24"/>
                      <w:lang w:val="en-US" w:eastAsia="zh-CN" w:bidi="ar-SA"/>
                    </w:rPr>
                    <w:t xml:space="preserve">采用竞争性谈判的方式进行采购，欢迎具备 投标资质条件的供货商参加投标。 </w:t>
                  </w:r>
                </w:p>
              </w:txbxContent>
            </v:textbox>
            <w10:wrap type="none"/>
            <w10:anchorlock/>
          </v:shape>
        </w:pict>
      </w:r>
    </w:p>
    <w:p>
      <w:pPr>
        <w:pStyle w:val="3"/>
        <w:spacing w:before="18"/>
        <w:rPr>
          <w:color w:val="auto"/>
        </w:rPr>
      </w:pPr>
      <w:r>
        <w:rPr>
          <w:color w:val="auto"/>
        </w:rPr>
        <w:t>一、项目基本情况</w:t>
      </w:r>
    </w:p>
    <w:p>
      <w:pPr>
        <w:pStyle w:val="5"/>
        <w:spacing w:before="153" w:line="362" w:lineRule="auto"/>
        <w:ind w:left="963" w:right="3482"/>
        <w:rPr>
          <w:color w:val="auto"/>
        </w:rPr>
      </w:pPr>
      <w:r>
        <w:rPr>
          <w:b w:val="0"/>
          <w:bCs w:val="0"/>
          <w:color w:val="auto"/>
        </w:rPr>
        <w:t>项目名称：</w:t>
      </w:r>
      <w:r>
        <w:rPr>
          <w:rFonts w:hint="eastAsia"/>
          <w:color w:val="auto"/>
          <w:lang w:eastAsia="zh-CN"/>
        </w:rPr>
        <w:t>江口县生态系统生产</w:t>
      </w:r>
      <w:bookmarkStart w:id="19" w:name="_GoBack"/>
      <w:bookmarkEnd w:id="19"/>
      <w:r>
        <w:rPr>
          <w:rFonts w:hint="eastAsia"/>
          <w:color w:val="auto"/>
          <w:lang w:eastAsia="zh-CN"/>
        </w:rPr>
        <w:t>总值（GEP）核算服务</w:t>
      </w:r>
      <w:r>
        <w:rPr>
          <w:color w:val="auto"/>
        </w:rPr>
        <w:t>项目</w:t>
      </w:r>
      <w:r>
        <w:rPr>
          <w:b w:val="0"/>
          <w:bCs w:val="0"/>
          <w:color w:val="auto"/>
        </w:rPr>
        <w:t>项目编号:</w:t>
      </w:r>
      <w:r>
        <w:rPr>
          <w:rFonts w:hint="eastAsia"/>
          <w:b w:val="0"/>
          <w:bCs w:val="0"/>
          <w:color w:val="auto"/>
          <w:lang w:val="en-US" w:eastAsia="zh-CN"/>
        </w:rPr>
        <w:t>GDCZ-2022-001</w:t>
      </w:r>
      <w:r>
        <w:rPr>
          <w:color w:val="auto"/>
        </w:rPr>
        <w:t xml:space="preserve"> </w:t>
      </w:r>
    </w:p>
    <w:p>
      <w:pPr>
        <w:spacing w:before="0" w:line="353" w:lineRule="exact"/>
        <w:ind w:left="963" w:right="0" w:firstLine="0"/>
        <w:jc w:val="left"/>
        <w:rPr>
          <w:b/>
          <w:color w:val="auto"/>
          <w:sz w:val="24"/>
        </w:rPr>
      </w:pPr>
      <w:r>
        <w:rPr>
          <w:b w:val="0"/>
          <w:bCs/>
          <w:color w:val="auto"/>
          <w:sz w:val="24"/>
        </w:rPr>
        <w:t>采购方式:</w:t>
      </w:r>
      <w:r>
        <w:rPr>
          <w:b/>
          <w:color w:val="auto"/>
          <w:sz w:val="24"/>
        </w:rPr>
        <w:t xml:space="preserve">□公开招标 </w:t>
      </w:r>
      <w:r>
        <w:rPr>
          <w:rFonts w:hint="eastAsia" w:ascii="HCR Batang" w:hAnsi="HCR Batang" w:eastAsia="HCR Batang"/>
          <w:b/>
          <w:color w:val="auto"/>
          <w:sz w:val="24"/>
        </w:rPr>
        <w:t>☑</w:t>
      </w:r>
      <w:r>
        <w:rPr>
          <w:b/>
          <w:color w:val="auto"/>
          <w:sz w:val="24"/>
        </w:rPr>
        <w:t>竞争性谈判 □竞争性磋商 □询价</w:t>
      </w:r>
      <w:r>
        <w:rPr>
          <w:b/>
          <w:color w:val="auto"/>
          <w:w w:val="99"/>
          <w:sz w:val="24"/>
        </w:rPr>
        <w:t xml:space="preserve"> </w:t>
      </w:r>
    </w:p>
    <w:p>
      <w:pPr>
        <w:pStyle w:val="8"/>
        <w:spacing w:before="11"/>
        <w:rPr>
          <w:b/>
          <w:color w:val="auto"/>
          <w:sz w:val="22"/>
        </w:rPr>
      </w:pPr>
    </w:p>
    <w:p>
      <w:pPr>
        <w:spacing w:before="0" w:line="374" w:lineRule="auto"/>
        <w:ind w:left="481" w:right="1664" w:firstLine="481"/>
        <w:jc w:val="left"/>
        <w:rPr>
          <w:b/>
          <w:color w:val="auto"/>
          <w:sz w:val="24"/>
        </w:rPr>
      </w:pPr>
      <w:r>
        <w:rPr>
          <w:b w:val="0"/>
          <w:bCs/>
          <w:color w:val="auto"/>
          <w:sz w:val="24"/>
        </w:rPr>
        <w:t>采购主要内容:</w:t>
      </w:r>
      <w:r>
        <w:rPr>
          <w:rFonts w:hint="eastAsia"/>
          <w:b/>
          <w:color w:val="auto"/>
          <w:sz w:val="24"/>
          <w:lang w:eastAsia="zh-CN"/>
        </w:rPr>
        <w:t>江口县生态系统生产总值（GEP）核算服务</w:t>
      </w:r>
      <w:r>
        <w:rPr>
          <w:b/>
          <w:color w:val="auto"/>
          <w:w w:val="99"/>
          <w:sz w:val="24"/>
        </w:rPr>
        <w:t xml:space="preserve"> </w:t>
      </w:r>
    </w:p>
    <w:p>
      <w:pPr>
        <w:spacing w:before="4"/>
        <w:ind w:left="963" w:right="0" w:firstLine="0"/>
        <w:jc w:val="left"/>
        <w:rPr>
          <w:b/>
          <w:color w:val="auto"/>
          <w:sz w:val="24"/>
        </w:rPr>
      </w:pPr>
      <w:r>
        <w:rPr>
          <w:b w:val="0"/>
          <w:bCs/>
          <w:color w:val="auto"/>
          <w:sz w:val="24"/>
        </w:rPr>
        <w:t>采购数量:</w:t>
      </w:r>
      <w:r>
        <w:rPr>
          <w:b/>
          <w:color w:val="auto"/>
          <w:sz w:val="24"/>
        </w:rPr>
        <w:t>1 批；</w:t>
      </w:r>
      <w:r>
        <w:rPr>
          <w:b/>
          <w:color w:val="auto"/>
          <w:w w:val="99"/>
          <w:sz w:val="24"/>
        </w:rPr>
        <w:t xml:space="preserve"> </w:t>
      </w:r>
    </w:p>
    <w:p>
      <w:pPr>
        <w:spacing w:before="173" w:line="343" w:lineRule="auto"/>
        <w:ind w:left="963" w:right="6756" w:firstLine="0"/>
        <w:jc w:val="left"/>
        <w:rPr>
          <w:b/>
          <w:color w:val="auto"/>
          <w:sz w:val="24"/>
        </w:rPr>
      </w:pPr>
      <w:r>
        <w:rPr>
          <w:b w:val="0"/>
          <w:bCs/>
          <w:color w:val="auto"/>
          <w:spacing w:val="11"/>
          <w:sz w:val="24"/>
        </w:rPr>
        <w:t>采购预算</w:t>
      </w:r>
      <w:r>
        <w:rPr>
          <w:b w:val="0"/>
          <w:bCs/>
          <w:color w:val="auto"/>
          <w:sz w:val="24"/>
        </w:rPr>
        <w:t>:</w:t>
      </w:r>
      <w:r>
        <w:rPr>
          <w:rFonts w:hint="eastAsia"/>
          <w:b/>
          <w:color w:val="auto"/>
          <w:sz w:val="24"/>
          <w:lang w:eastAsia="zh-CN"/>
        </w:rPr>
        <w:t>810000.00</w:t>
      </w:r>
      <w:r>
        <w:rPr>
          <w:b/>
          <w:color w:val="auto"/>
          <w:spacing w:val="-21"/>
          <w:sz w:val="24"/>
        </w:rPr>
        <w:t xml:space="preserve"> 元。</w:t>
      </w:r>
      <w:r>
        <w:rPr>
          <w:b w:val="0"/>
          <w:bCs/>
          <w:color w:val="auto"/>
          <w:spacing w:val="11"/>
          <w:sz w:val="24"/>
        </w:rPr>
        <w:t>最高限价</w:t>
      </w:r>
      <w:r>
        <w:rPr>
          <w:b w:val="0"/>
          <w:bCs/>
          <w:color w:val="auto"/>
          <w:sz w:val="24"/>
        </w:rPr>
        <w:t>:</w:t>
      </w:r>
      <w:r>
        <w:rPr>
          <w:rFonts w:hint="eastAsia"/>
          <w:b/>
          <w:color w:val="auto"/>
          <w:sz w:val="24"/>
          <w:lang w:eastAsia="zh-CN"/>
        </w:rPr>
        <w:t>810000.00</w:t>
      </w:r>
      <w:r>
        <w:rPr>
          <w:b/>
          <w:color w:val="auto"/>
          <w:spacing w:val="-60"/>
          <w:sz w:val="24"/>
        </w:rPr>
        <w:t xml:space="preserve"> </w:t>
      </w:r>
      <w:r>
        <w:rPr>
          <w:b/>
          <w:color w:val="auto"/>
          <w:sz w:val="28"/>
        </w:rPr>
        <w:t>元</w:t>
      </w:r>
      <w:r>
        <w:rPr>
          <w:b/>
          <w:color w:val="auto"/>
          <w:sz w:val="24"/>
        </w:rPr>
        <w:t>。</w:t>
      </w:r>
      <w:r>
        <w:rPr>
          <w:b/>
          <w:color w:val="auto"/>
          <w:w w:val="99"/>
          <w:sz w:val="24"/>
        </w:rPr>
        <w:t xml:space="preserve"> </w:t>
      </w:r>
    </w:p>
    <w:p>
      <w:pPr>
        <w:spacing w:before="7"/>
        <w:ind w:left="963" w:right="0" w:firstLine="0"/>
        <w:jc w:val="left"/>
        <w:rPr>
          <w:b/>
          <w:color w:val="auto"/>
          <w:sz w:val="24"/>
        </w:rPr>
      </w:pPr>
      <w:r>
        <w:rPr>
          <w:b/>
          <w:color w:val="auto"/>
          <w:sz w:val="24"/>
        </w:rPr>
        <w:t>本项目（是/否）接受联合体投标:否</w:t>
      </w:r>
      <w:r>
        <w:rPr>
          <w:b/>
          <w:color w:val="auto"/>
          <w:w w:val="99"/>
          <w:sz w:val="24"/>
        </w:rPr>
        <w:t xml:space="preserve"> </w:t>
      </w:r>
    </w:p>
    <w:p>
      <w:pPr>
        <w:spacing w:before="103"/>
        <w:ind w:left="481" w:right="0" w:firstLine="0"/>
        <w:jc w:val="left"/>
        <w:rPr>
          <w:b/>
          <w:color w:val="auto"/>
          <w:sz w:val="31"/>
        </w:rPr>
      </w:pPr>
      <w:r>
        <w:rPr>
          <w:b/>
          <w:color w:val="auto"/>
          <w:sz w:val="31"/>
        </w:rPr>
        <w:t>二、申请人的资格要求：</w:t>
      </w:r>
      <w:r>
        <w:rPr>
          <w:b/>
          <w:color w:val="auto"/>
          <w:w w:val="100"/>
          <w:sz w:val="31"/>
        </w:rPr>
        <w:t xml:space="preserve"> </w:t>
      </w:r>
    </w:p>
    <w:p>
      <w:pPr>
        <w:spacing w:before="199"/>
        <w:ind w:left="948" w:right="0" w:firstLine="0"/>
        <w:jc w:val="left"/>
        <w:rPr>
          <w:color w:val="auto"/>
          <w:sz w:val="24"/>
        </w:rPr>
      </w:pPr>
      <w:r>
        <w:rPr>
          <w:b/>
          <w:color w:val="auto"/>
          <w:sz w:val="24"/>
        </w:rPr>
        <w:t>（1）一般资格要求：</w:t>
      </w:r>
      <w:r>
        <w:rPr>
          <w:color w:val="auto"/>
          <w:sz w:val="24"/>
        </w:rPr>
        <w:t xml:space="preserve"> </w:t>
      </w:r>
    </w:p>
    <w:p>
      <w:pPr>
        <w:pStyle w:val="8"/>
        <w:spacing w:before="83" w:line="316" w:lineRule="auto"/>
        <w:ind w:left="481" w:right="1766" w:firstLine="466"/>
        <w:rPr>
          <w:color w:val="auto"/>
        </w:rPr>
      </w:pPr>
      <w:r>
        <w:rPr>
          <w:color w:val="auto"/>
          <w:spacing w:val="-16"/>
        </w:rPr>
        <w:t>符合《中华人民共和国政府采购法》第二十二条规定的供应商条件，提供《中</w:t>
      </w:r>
      <w:r>
        <w:rPr>
          <w:color w:val="auto"/>
          <w:spacing w:val="-15"/>
        </w:rPr>
        <w:t>华人民共和国政府采购法实施条例》第十七条规定的证明材料。</w:t>
      </w:r>
    </w:p>
    <w:p>
      <w:pPr>
        <w:pStyle w:val="8"/>
        <w:spacing w:line="309" w:lineRule="auto"/>
        <w:ind w:left="481" w:right="1763" w:firstLine="466"/>
        <w:jc w:val="both"/>
        <w:rPr>
          <w:color w:val="auto"/>
        </w:rPr>
      </w:pPr>
      <w:r>
        <w:rPr>
          <w:color w:val="auto"/>
        </w:rPr>
        <w:t>a.提供事业单位法人证书或营业执照复印件、组织机构代码证复印件、税务登记证复印件（或三证合一或五证合一的营业执照复印件或扫描件，加盖单位公章）；</w:t>
      </w:r>
    </w:p>
    <w:p>
      <w:pPr>
        <w:pStyle w:val="8"/>
        <w:spacing w:before="9" w:line="304" w:lineRule="auto"/>
        <w:ind w:left="481" w:right="1769" w:firstLine="466"/>
        <w:rPr>
          <w:color w:val="auto"/>
        </w:rPr>
      </w:pPr>
      <w:r>
        <w:rPr>
          <w:color w:val="auto"/>
        </w:rPr>
        <w:t>b.</w:t>
      </w:r>
      <w:r>
        <w:rPr>
          <w:color w:val="auto"/>
          <w:spacing w:val="-10"/>
        </w:rPr>
        <w:t>具有良好的商业信誉和健全的财务会计制度：</w:t>
      </w:r>
      <w:r>
        <w:rPr>
          <w:rFonts w:hint="eastAsia"/>
          <w:color w:val="auto"/>
          <w:spacing w:val="-10"/>
          <w:lang w:eastAsia="zh-CN"/>
        </w:rPr>
        <w:t>提供</w:t>
      </w:r>
      <w:r>
        <w:rPr>
          <w:color w:val="auto"/>
          <w:spacing w:val="-10"/>
          <w:lang w:eastAsia="zh-CN"/>
        </w:rPr>
        <w:t xml:space="preserve"> 2019-2020 年度（任意一年）经审计的完整有效的财务报告复印件（加盖公章），或 2019-2020 年度（任意一年）投标人内部的财务报表复印件（加盖公章）</w:t>
      </w:r>
      <w:r>
        <w:rPr>
          <w:color w:val="auto"/>
          <w:spacing w:val="-10"/>
        </w:rPr>
        <w:t xml:space="preserve">，成立不满一年的企业提供银行资信证明； </w:t>
      </w:r>
    </w:p>
    <w:p>
      <w:pPr>
        <w:pStyle w:val="8"/>
        <w:spacing w:before="15"/>
        <w:ind w:left="948"/>
        <w:rPr>
          <w:color w:val="auto"/>
        </w:rPr>
      </w:pPr>
      <w:r>
        <w:rPr>
          <w:color w:val="auto"/>
        </w:rPr>
        <w:t xml:space="preserve">c.具有履行合同所必须的设备和专业技术能力：提供书面承诺； </w:t>
      </w:r>
    </w:p>
    <w:p>
      <w:pPr>
        <w:spacing w:after="0"/>
        <w:rPr>
          <w:color w:val="auto"/>
        </w:rPr>
        <w:sectPr>
          <w:pgSz w:w="11910" w:h="16850"/>
          <w:pgMar w:top="1400" w:right="0" w:bottom="1160" w:left="1260" w:header="0" w:footer="891" w:gutter="0"/>
          <w:cols w:space="720" w:num="1"/>
        </w:sectPr>
      </w:pPr>
    </w:p>
    <w:p>
      <w:pPr>
        <w:pStyle w:val="8"/>
        <w:spacing w:before="46" w:line="316" w:lineRule="auto"/>
        <w:ind w:left="481" w:right="1750" w:firstLine="466"/>
        <w:rPr>
          <w:color w:val="auto"/>
        </w:rPr>
      </w:pPr>
      <w:r>
        <w:rPr>
          <w:color w:val="auto"/>
        </w:rPr>
        <w:t>d.具有依法缴纳税收和社会保障资金的良好记录：提供依法缴纳税收和社会保障资金的相关凭证（提供 2021 年度</w:t>
      </w:r>
      <w:r>
        <w:rPr>
          <w:rFonts w:hint="eastAsia"/>
          <w:color w:val="auto"/>
          <w:lang w:eastAsia="zh-CN"/>
        </w:rPr>
        <w:t>任意</w:t>
      </w:r>
      <w:r>
        <w:rPr>
          <w:color w:val="auto"/>
        </w:rPr>
        <w:t xml:space="preserve">三个月复印件加盖公章）； </w:t>
      </w:r>
    </w:p>
    <w:p>
      <w:pPr>
        <w:pStyle w:val="8"/>
        <w:spacing w:line="291" w:lineRule="exact"/>
        <w:ind w:left="948"/>
        <w:rPr>
          <w:color w:val="auto"/>
        </w:rPr>
      </w:pPr>
      <w:r>
        <w:rPr>
          <w:color w:val="auto"/>
        </w:rPr>
        <w:t>e. 近 3 年内在经营活动中没有重大违法记录：提供参加本次采购活动前 3 年</w:t>
      </w:r>
    </w:p>
    <w:p>
      <w:pPr>
        <w:pStyle w:val="8"/>
        <w:spacing w:before="98"/>
        <w:ind w:left="481"/>
        <w:rPr>
          <w:color w:val="auto"/>
        </w:rPr>
      </w:pPr>
      <w:r>
        <w:rPr>
          <w:color w:val="auto"/>
        </w:rPr>
        <w:t xml:space="preserve">内在经营活动中没有重大违法记录的书面声明； </w:t>
      </w:r>
    </w:p>
    <w:p>
      <w:pPr>
        <w:pStyle w:val="8"/>
        <w:spacing w:before="98"/>
        <w:ind w:left="948"/>
        <w:rPr>
          <w:color w:val="auto"/>
        </w:rPr>
      </w:pPr>
      <w:r>
        <w:rPr>
          <w:color w:val="auto"/>
        </w:rPr>
        <w:t>f.法律、行政法规规定的其他条件：供应商须提供：在“信用中国”网站</w:t>
      </w:r>
    </w:p>
    <w:p>
      <w:pPr>
        <w:pStyle w:val="8"/>
        <w:spacing w:before="83" w:line="314" w:lineRule="auto"/>
        <w:ind w:left="481" w:right="1778"/>
        <w:rPr>
          <w:color w:val="auto"/>
        </w:rPr>
      </w:pPr>
      <w:r>
        <w:rPr>
          <w:color w:val="auto"/>
        </w:rPr>
        <w:fldChar w:fldCharType="begin"/>
      </w:r>
      <w:r>
        <w:rPr>
          <w:color w:val="auto"/>
        </w:rPr>
        <w:instrText xml:space="preserve"> HYPERLINK "http://www.creditchina.gov.cn/" \h </w:instrText>
      </w:r>
      <w:r>
        <w:rPr>
          <w:color w:val="auto"/>
        </w:rPr>
        <w:fldChar w:fldCharType="separate"/>
      </w:r>
      <w:r>
        <w:rPr>
          <w:color w:val="auto"/>
        </w:rPr>
        <w:t>（www.creditchina.gov.cn</w:t>
      </w:r>
      <w:r>
        <w:rPr>
          <w:color w:val="auto"/>
        </w:rPr>
        <w:fldChar w:fldCharType="end"/>
      </w:r>
      <w:r>
        <w:rPr>
          <w:color w:val="auto"/>
        </w:rPr>
        <w:t>）、中国政府采购网（</w:t>
      </w:r>
      <w:r>
        <w:rPr>
          <w:color w:val="auto"/>
        </w:rPr>
        <w:fldChar w:fldCharType="begin"/>
      </w:r>
      <w:r>
        <w:rPr>
          <w:color w:val="auto"/>
        </w:rPr>
        <w:instrText xml:space="preserve"> HYPERLINK "http://www.ccgp.gov.cn/" \h </w:instrText>
      </w:r>
      <w:r>
        <w:rPr>
          <w:color w:val="auto"/>
        </w:rPr>
        <w:fldChar w:fldCharType="separate"/>
      </w:r>
      <w:r>
        <w:rPr>
          <w:color w:val="auto"/>
        </w:rPr>
        <w:t>www.ccgp.gov.cn</w:t>
      </w:r>
      <w:r>
        <w:rPr>
          <w:color w:val="auto"/>
        </w:rPr>
        <w:fldChar w:fldCharType="end"/>
      </w:r>
      <w:r>
        <w:rPr>
          <w:color w:val="auto"/>
        </w:rPr>
        <w:t>）等渠道查</w:t>
      </w:r>
      <w:r>
        <w:rPr>
          <w:color w:val="auto"/>
          <w:spacing w:val="-2"/>
        </w:rPr>
        <w:t>询中未被列入失信被执行人名单、重大税收违法案件当事人名单、政府采购严重</w:t>
      </w:r>
      <w:r>
        <w:rPr>
          <w:color w:val="auto"/>
          <w:spacing w:val="-4"/>
        </w:rPr>
        <w:t>违法失信行为记录名单中的截图。如被列入失信被执行人、重大税收违法案件当</w:t>
      </w:r>
      <w:r>
        <w:rPr>
          <w:color w:val="auto"/>
          <w:spacing w:val="-7"/>
        </w:rPr>
        <w:t>事人名单、政府采购严重违法失信行为记录名单中的供应商取消其投标资格，并承担由此造成的一切法律责任及后果。</w:t>
      </w:r>
      <w:r>
        <w:rPr>
          <w:color w:val="auto"/>
        </w:rPr>
        <w:t xml:space="preserve"> </w:t>
      </w:r>
    </w:p>
    <w:p>
      <w:pPr>
        <w:pStyle w:val="8"/>
        <w:spacing w:before="103"/>
        <w:ind w:left="948"/>
        <w:rPr>
          <w:b/>
          <w:color w:val="auto"/>
        </w:rPr>
      </w:pPr>
      <w:r>
        <w:rPr>
          <w:color w:val="auto"/>
        </w:rPr>
        <w:t>注：相关网站查询时间为本项目公告发布之日起至响应文件递交前一天时间。</w:t>
      </w:r>
      <w:r>
        <w:rPr>
          <w:color w:val="auto"/>
          <w:w w:val="102"/>
          <w:sz w:val="22"/>
        </w:rPr>
        <w:t xml:space="preserve"> </w:t>
      </w:r>
      <w:r>
        <w:rPr>
          <w:b/>
          <w:color w:val="auto"/>
          <w:w w:val="99"/>
        </w:rPr>
        <w:t xml:space="preserve"> </w:t>
      </w:r>
    </w:p>
    <w:p>
      <w:pPr>
        <w:pStyle w:val="5"/>
        <w:spacing w:before="188"/>
        <w:ind w:left="948"/>
        <w:rPr>
          <w:color w:val="auto"/>
        </w:rPr>
      </w:pPr>
      <w:r>
        <w:rPr>
          <w:color w:val="auto"/>
        </w:rPr>
        <w:t>（2）特殊资格要求</w:t>
      </w:r>
      <w:r>
        <w:rPr>
          <w:color w:val="auto"/>
          <w:w w:val="99"/>
        </w:rPr>
        <w:t xml:space="preserve"> </w:t>
      </w:r>
      <w:r>
        <w:rPr>
          <w:rFonts w:hint="eastAsia"/>
          <w:color w:val="auto"/>
          <w:w w:val="99"/>
          <w:lang w:eastAsia="zh-CN"/>
        </w:rPr>
        <w:t>：无</w:t>
      </w:r>
      <w:r>
        <w:rPr>
          <w:color w:val="auto"/>
        </w:rPr>
        <w:t xml:space="preserve"> </w:t>
      </w:r>
    </w:p>
    <w:p>
      <w:pPr>
        <w:pStyle w:val="5"/>
        <w:spacing w:before="103"/>
        <w:ind w:left="948"/>
        <w:rPr>
          <w:color w:val="auto"/>
        </w:rPr>
      </w:pPr>
      <w:r>
        <w:rPr>
          <w:color w:val="auto"/>
        </w:rPr>
        <w:t>本项目不接受联合体进行投标。</w:t>
      </w:r>
      <w:r>
        <w:rPr>
          <w:color w:val="auto"/>
          <w:w w:val="99"/>
        </w:rPr>
        <w:t xml:space="preserve"> </w:t>
      </w:r>
    </w:p>
    <w:p>
      <w:pPr>
        <w:spacing w:before="13"/>
        <w:ind w:left="481" w:right="0" w:firstLine="0"/>
        <w:jc w:val="left"/>
        <w:rPr>
          <w:b/>
          <w:color w:val="auto"/>
          <w:sz w:val="31"/>
        </w:rPr>
      </w:pPr>
      <w:r>
        <w:rPr>
          <w:b/>
          <w:color w:val="auto"/>
          <w:sz w:val="31"/>
        </w:rPr>
        <w:t>评标时，投标供应商需提供以下原件：</w:t>
      </w:r>
      <w:r>
        <w:rPr>
          <w:b/>
          <w:color w:val="auto"/>
          <w:w w:val="100"/>
          <w:sz w:val="31"/>
        </w:rPr>
        <w:t xml:space="preserve">  </w:t>
      </w:r>
    </w:p>
    <w:p>
      <w:pPr>
        <w:pStyle w:val="8"/>
        <w:spacing w:before="229"/>
        <w:ind w:left="481"/>
        <w:rPr>
          <w:b/>
          <w:color w:val="auto"/>
        </w:rPr>
      </w:pPr>
      <w:r>
        <w:rPr>
          <w:color w:val="auto"/>
        </w:rPr>
        <w:t>开标评标时，投标供应商需提供以下资料(复印件须加盖公章现场提交)：</w:t>
      </w:r>
      <w:r>
        <w:rPr>
          <w:b/>
          <w:color w:val="auto"/>
          <w:w w:val="99"/>
        </w:rPr>
        <w:t xml:space="preserve"> </w:t>
      </w:r>
    </w:p>
    <w:p>
      <w:pPr>
        <w:pStyle w:val="8"/>
        <w:rPr>
          <w:b/>
          <w:color w:val="auto"/>
          <w:sz w:val="17"/>
        </w:rPr>
      </w:pPr>
    </w:p>
    <w:p>
      <w:pPr>
        <w:pStyle w:val="8"/>
        <w:spacing w:line="316" w:lineRule="auto"/>
        <w:ind w:left="481" w:right="1839" w:firstLine="466"/>
        <w:jc w:val="both"/>
        <w:rPr>
          <w:color w:val="auto"/>
        </w:rPr>
      </w:pPr>
      <w:r>
        <w:rPr>
          <w:color w:val="auto"/>
        </w:rPr>
        <w:t>a.</w:t>
      </w:r>
      <w:r>
        <w:rPr>
          <w:color w:val="auto"/>
          <w:spacing w:val="-6"/>
        </w:rPr>
        <w:t>提供事业单位法人证书或营业执照复印件、组织机构代码证复印件、税务登记证复印件（</w:t>
      </w:r>
      <w:r>
        <w:rPr>
          <w:color w:val="auto"/>
          <w:spacing w:val="-12"/>
        </w:rPr>
        <w:t>或三证合一或五证合一的营业执照复印件或扫描件，加盖单位公章）；</w:t>
      </w:r>
      <w:r>
        <w:rPr>
          <w:color w:val="auto"/>
          <w:spacing w:val="-15"/>
        </w:rPr>
        <w:t xml:space="preserve"> </w:t>
      </w:r>
      <w:r>
        <w:rPr>
          <w:color w:val="auto"/>
        </w:rPr>
        <w:t xml:space="preserve"> </w:t>
      </w:r>
    </w:p>
    <w:p>
      <w:pPr>
        <w:pStyle w:val="8"/>
        <w:spacing w:line="291" w:lineRule="exact"/>
        <w:ind w:left="948"/>
        <w:rPr>
          <w:b/>
          <w:color w:val="auto"/>
        </w:rPr>
      </w:pPr>
      <w:r>
        <w:rPr>
          <w:color w:val="auto"/>
        </w:rPr>
        <w:t>b.参加政府采购活动前三年内，在经营活动中没有重大违法记录；</w:t>
      </w:r>
      <w:r>
        <w:rPr>
          <w:b/>
          <w:color w:val="auto"/>
          <w:w w:val="99"/>
        </w:rPr>
        <w:t xml:space="preserve"> </w:t>
      </w:r>
    </w:p>
    <w:p>
      <w:pPr>
        <w:pStyle w:val="8"/>
        <w:spacing w:before="98" w:line="316" w:lineRule="auto"/>
        <w:ind w:left="481" w:right="2011" w:firstLine="466"/>
        <w:rPr>
          <w:color w:val="auto"/>
        </w:rPr>
      </w:pPr>
      <w:r>
        <w:rPr>
          <w:color w:val="auto"/>
        </w:rPr>
        <w:t xml:space="preserve">c.法定代表人身份证复印件或委托代理人持授权委托书及代理人身份证原件；  </w:t>
      </w:r>
    </w:p>
    <w:p>
      <w:pPr>
        <w:pStyle w:val="8"/>
        <w:spacing w:before="104"/>
        <w:ind w:left="948"/>
        <w:rPr>
          <w:color w:val="auto"/>
        </w:rPr>
      </w:pPr>
      <w:r>
        <w:rPr>
          <w:color w:val="auto"/>
        </w:rPr>
        <w:t xml:space="preserve">d.投标保证金凭证（以系统打印回执凭证为准）或电子保函。 </w:t>
      </w:r>
    </w:p>
    <w:p>
      <w:pPr>
        <w:pStyle w:val="3"/>
        <w:spacing w:before="103"/>
        <w:rPr>
          <w:color w:val="auto"/>
        </w:rPr>
      </w:pPr>
      <w:r>
        <w:rPr>
          <w:color w:val="auto"/>
        </w:rPr>
        <w:t>三、获取招标文件</w:t>
      </w:r>
      <w:r>
        <w:rPr>
          <w:color w:val="auto"/>
          <w:w w:val="100"/>
        </w:rPr>
        <w:t xml:space="preserve"> </w:t>
      </w:r>
    </w:p>
    <w:p>
      <w:pPr>
        <w:pStyle w:val="8"/>
        <w:spacing w:before="198"/>
        <w:ind w:left="948"/>
        <w:rPr>
          <w:color w:val="auto"/>
        </w:rPr>
      </w:pPr>
      <w:r>
        <w:rPr>
          <w:color w:val="auto"/>
        </w:rPr>
        <w:t>时间:202</w:t>
      </w:r>
      <w:r>
        <w:rPr>
          <w:rFonts w:hint="eastAsia"/>
          <w:color w:val="auto"/>
          <w:lang w:val="en-US" w:eastAsia="zh-CN"/>
        </w:rPr>
        <w:t>2</w:t>
      </w:r>
      <w:r>
        <w:rPr>
          <w:color w:val="auto"/>
        </w:rPr>
        <w:t xml:space="preserve"> 年 </w:t>
      </w:r>
      <w:r>
        <w:rPr>
          <w:rFonts w:hint="eastAsia"/>
          <w:color w:val="auto"/>
          <w:lang w:val="en-US" w:eastAsia="zh-CN"/>
        </w:rPr>
        <w:t>2</w:t>
      </w:r>
      <w:r>
        <w:rPr>
          <w:color w:val="auto"/>
        </w:rPr>
        <w:t xml:space="preserve">月 </w:t>
      </w:r>
      <w:r>
        <w:rPr>
          <w:rFonts w:hint="eastAsia"/>
          <w:color w:val="auto"/>
          <w:lang w:val="en-US" w:eastAsia="zh-CN"/>
        </w:rPr>
        <w:t>15</w:t>
      </w:r>
      <w:r>
        <w:rPr>
          <w:color w:val="auto"/>
        </w:rPr>
        <w:t xml:space="preserve"> 日 09:00 至 202</w:t>
      </w:r>
      <w:r>
        <w:rPr>
          <w:rFonts w:hint="eastAsia"/>
          <w:color w:val="auto"/>
          <w:lang w:val="en-US" w:eastAsia="zh-CN"/>
        </w:rPr>
        <w:t>2</w:t>
      </w:r>
      <w:r>
        <w:rPr>
          <w:color w:val="auto"/>
        </w:rPr>
        <w:t xml:space="preserve"> 年 </w:t>
      </w:r>
      <w:r>
        <w:rPr>
          <w:rFonts w:hint="eastAsia"/>
          <w:color w:val="auto"/>
          <w:lang w:val="en-US" w:eastAsia="zh-CN"/>
        </w:rPr>
        <w:t>2</w:t>
      </w:r>
      <w:r>
        <w:rPr>
          <w:color w:val="auto"/>
        </w:rPr>
        <w:t xml:space="preserve"> 月 </w:t>
      </w:r>
      <w:r>
        <w:rPr>
          <w:rFonts w:hint="eastAsia"/>
          <w:color w:val="auto"/>
          <w:lang w:val="en-US" w:eastAsia="zh-CN"/>
        </w:rPr>
        <w:t>17</w:t>
      </w:r>
      <w:r>
        <w:rPr>
          <w:color w:val="auto"/>
        </w:rPr>
        <w:t xml:space="preserve"> 日 17:00（提供期限自本</w:t>
      </w:r>
    </w:p>
    <w:p>
      <w:pPr>
        <w:pStyle w:val="8"/>
        <w:spacing w:before="188" w:line="398" w:lineRule="auto"/>
        <w:ind w:left="481" w:right="1770"/>
        <w:rPr>
          <w:color w:val="auto"/>
        </w:rPr>
      </w:pPr>
      <w:r>
        <w:rPr>
          <w:color w:val="auto"/>
          <w:spacing w:val="-10"/>
        </w:rPr>
        <w:t xml:space="preserve">公告发布之日起不得少于 </w:t>
      </w:r>
      <w:r>
        <w:rPr>
          <w:color w:val="auto"/>
        </w:rPr>
        <w:t>3</w:t>
      </w:r>
      <w:r>
        <w:rPr>
          <w:color w:val="auto"/>
          <w:spacing w:val="-12"/>
        </w:rPr>
        <w:t xml:space="preserve"> 个工作日</w:t>
      </w:r>
      <w:r>
        <w:rPr>
          <w:color w:val="auto"/>
          <w:spacing w:val="-15"/>
        </w:rPr>
        <w:t>）</w:t>
      </w:r>
      <w:r>
        <w:rPr>
          <w:color w:val="auto"/>
          <w:spacing w:val="-12"/>
        </w:rPr>
        <w:t xml:space="preserve">每天上午 </w:t>
      </w:r>
      <w:r>
        <w:rPr>
          <w:color w:val="auto"/>
          <w:spacing w:val="-4"/>
        </w:rPr>
        <w:t>09:00</w:t>
      </w:r>
      <w:r>
        <w:rPr>
          <w:color w:val="auto"/>
          <w:spacing w:val="-39"/>
        </w:rPr>
        <w:t xml:space="preserve"> 至 </w:t>
      </w:r>
      <w:r>
        <w:rPr>
          <w:color w:val="auto"/>
        </w:rPr>
        <w:t>12:00</w:t>
      </w:r>
      <w:r>
        <w:rPr>
          <w:color w:val="auto"/>
          <w:spacing w:val="-13"/>
        </w:rPr>
        <w:t xml:space="preserve"> ，下午 </w:t>
      </w:r>
      <w:r>
        <w:rPr>
          <w:color w:val="auto"/>
          <w:spacing w:val="-4"/>
        </w:rPr>
        <w:t>14:30</w:t>
      </w:r>
      <w:r>
        <w:rPr>
          <w:color w:val="auto"/>
          <w:spacing w:val="-29"/>
        </w:rPr>
        <w:t xml:space="preserve"> 至17:00（</w:t>
      </w:r>
      <w:r>
        <w:rPr>
          <w:color w:val="auto"/>
          <w:spacing w:val="-26"/>
        </w:rPr>
        <w:t>北京时间，法定节假日除外</w:t>
      </w:r>
      <w:r>
        <w:rPr>
          <w:color w:val="auto"/>
          <w:spacing w:val="-3"/>
        </w:rPr>
        <w:t>）</w:t>
      </w:r>
      <w:r>
        <w:rPr>
          <w:color w:val="auto"/>
        </w:rPr>
        <w:t xml:space="preserve"> </w:t>
      </w:r>
    </w:p>
    <w:p>
      <w:pPr>
        <w:pStyle w:val="8"/>
        <w:spacing w:line="293" w:lineRule="exact"/>
        <w:ind w:left="948"/>
        <w:rPr>
          <w:color w:val="auto"/>
        </w:rPr>
      </w:pPr>
      <w:r>
        <w:rPr>
          <w:color w:val="auto"/>
        </w:rPr>
        <w:t xml:space="preserve">地点: 全国公共资源交易平台（贵州省.铜仁市） </w:t>
      </w:r>
    </w:p>
    <w:p>
      <w:pPr>
        <w:pStyle w:val="8"/>
        <w:spacing w:before="187"/>
        <w:ind w:left="948"/>
        <w:rPr>
          <w:color w:val="auto"/>
        </w:rPr>
      </w:pPr>
      <w:r>
        <w:rPr>
          <w:color w:val="auto"/>
        </w:rPr>
        <w:t xml:space="preserve">方式: 网上购买。 </w:t>
      </w:r>
    </w:p>
    <w:p>
      <w:pPr>
        <w:spacing w:after="0"/>
        <w:rPr>
          <w:color w:val="auto"/>
        </w:rPr>
        <w:sectPr>
          <w:pgSz w:w="11910" w:h="16850"/>
          <w:pgMar w:top="1480" w:right="0" w:bottom="1160" w:left="1260" w:header="0" w:footer="891" w:gutter="0"/>
          <w:cols w:space="720" w:num="1"/>
        </w:sectPr>
      </w:pPr>
    </w:p>
    <w:p>
      <w:pPr>
        <w:pStyle w:val="8"/>
        <w:spacing w:before="51" w:line="386" w:lineRule="auto"/>
        <w:ind w:left="948" w:right="6172"/>
        <w:rPr>
          <w:b/>
          <w:color w:val="auto"/>
        </w:rPr>
      </w:pPr>
      <w:r>
        <w:rPr>
          <w:color w:val="auto"/>
        </w:rPr>
        <w:t>售价:0</w:t>
      </w:r>
      <w:r>
        <w:rPr>
          <w:color w:val="auto"/>
          <w:spacing w:val="16"/>
        </w:rPr>
        <w:t xml:space="preserve">  元</w:t>
      </w:r>
      <w:r>
        <w:rPr>
          <w:color w:val="auto"/>
        </w:rPr>
        <w:t>/套（含电子文档） 投标保证金额（元）:5000.00</w:t>
      </w:r>
      <w:r>
        <w:rPr>
          <w:color w:val="auto"/>
          <w:spacing w:val="-38"/>
        </w:rPr>
        <w:t xml:space="preserve"> 元</w:t>
      </w:r>
      <w:r>
        <w:rPr>
          <w:b/>
          <w:color w:val="auto"/>
          <w:w w:val="99"/>
        </w:rPr>
        <w:t xml:space="preserve"> </w:t>
      </w:r>
    </w:p>
    <w:p>
      <w:pPr>
        <w:pStyle w:val="8"/>
        <w:spacing w:before="16" w:line="386" w:lineRule="auto"/>
        <w:ind w:left="948" w:right="1769"/>
        <w:rPr>
          <w:color w:val="auto"/>
        </w:rPr>
      </w:pPr>
      <w:r>
        <w:rPr>
          <w:color w:val="auto"/>
        </w:rPr>
        <w:t>投标保证金交纳时间:</w:t>
      </w:r>
      <w:r>
        <w:rPr>
          <w:rFonts w:hint="eastAsia" w:ascii="宋体" w:hAnsi="宋体" w:eastAsia="宋体" w:cs="宋体"/>
          <w:color w:val="auto"/>
          <w:spacing w:val="8"/>
          <w:kern w:val="2"/>
          <w:sz w:val="24"/>
          <w:szCs w:val="24"/>
        </w:rPr>
        <w:t>同开标截止时间</w:t>
      </w:r>
      <w:r>
        <w:rPr>
          <w:rFonts w:hint="eastAsia" w:ascii="宋体" w:hAnsi="宋体" w:eastAsia="宋体" w:cs="宋体"/>
          <w:color w:val="auto"/>
          <w:spacing w:val="8"/>
          <w:kern w:val="2"/>
          <w:sz w:val="24"/>
          <w:szCs w:val="24"/>
          <w:lang w:val="en-US" w:eastAsia="zh-CN"/>
        </w:rPr>
        <w:t xml:space="preserve">                            </w:t>
      </w:r>
      <w:r>
        <w:rPr>
          <w:color w:val="auto"/>
          <w:spacing w:val="-4"/>
        </w:rPr>
        <w:t xml:space="preserve"> </w:t>
      </w:r>
      <w:r>
        <w:rPr>
          <w:color w:val="auto"/>
        </w:rPr>
        <w:t>投标保证金交纳方式:采用银行转账、电汇形式提交:具体缴退流程见铜仁市</w:t>
      </w:r>
    </w:p>
    <w:p>
      <w:pPr>
        <w:pStyle w:val="8"/>
        <w:spacing w:before="1" w:line="393" w:lineRule="auto"/>
        <w:ind w:left="481" w:right="1726"/>
        <w:jc w:val="both"/>
        <w:rPr>
          <w:color w:val="auto"/>
        </w:rPr>
      </w:pPr>
      <w:r>
        <w:rPr>
          <w:color w:val="auto"/>
        </w:rPr>
        <w:t xml:space="preserve">公共资源交易中心网站，点击首页-办事指南-保证金缴退，自行缴纳保证金；或采用《投标保证金保函》（电子保函）提交：具体操作方式见铜仁市公共资源交易中心首页-办事指南-政府采购-常见问题解答-《投标电子保函申请操作步骤》 </w:t>
      </w:r>
    </w:p>
    <w:p>
      <w:pPr>
        <w:pStyle w:val="8"/>
        <w:spacing w:line="398" w:lineRule="auto"/>
        <w:ind w:left="948" w:right="4685"/>
        <w:rPr>
          <w:color w:val="auto"/>
        </w:rPr>
      </w:pPr>
      <w:r>
        <w:rPr>
          <w:color w:val="auto"/>
        </w:rPr>
        <w:t xml:space="preserve">单位名称:铜仁市公共资源交易中心江口分中心开户银行:贵州银行股份有限公司江口支行 </w:t>
      </w:r>
    </w:p>
    <w:p>
      <w:pPr>
        <w:pStyle w:val="8"/>
        <w:spacing w:line="293" w:lineRule="exact"/>
        <w:ind w:left="948"/>
        <w:rPr>
          <w:color w:val="auto"/>
        </w:rPr>
      </w:pPr>
      <w:r>
        <w:rPr>
          <w:color w:val="auto"/>
        </w:rPr>
        <w:t xml:space="preserve">账 号 :0614001600000057 </w:t>
      </w:r>
    </w:p>
    <w:p>
      <w:pPr>
        <w:pStyle w:val="3"/>
        <w:spacing w:before="76"/>
        <w:rPr>
          <w:color w:val="auto"/>
        </w:rPr>
      </w:pPr>
      <w:r>
        <w:rPr>
          <w:color w:val="auto"/>
        </w:rPr>
        <w:t>四、响应文件提交</w:t>
      </w:r>
      <w:r>
        <w:rPr>
          <w:color w:val="auto"/>
          <w:w w:val="100"/>
        </w:rPr>
        <w:t xml:space="preserve">  </w:t>
      </w:r>
    </w:p>
    <w:p>
      <w:pPr>
        <w:pStyle w:val="8"/>
        <w:spacing w:before="213" w:line="386" w:lineRule="auto"/>
        <w:ind w:left="481" w:right="1769" w:firstLine="466"/>
        <w:rPr>
          <w:color w:val="auto"/>
        </w:rPr>
      </w:pPr>
      <w:r>
        <w:rPr>
          <w:color w:val="auto"/>
          <w:spacing w:val="-1"/>
        </w:rPr>
        <w:t>截止时间：</w:t>
      </w:r>
      <w:r>
        <w:rPr>
          <w:color w:val="auto"/>
          <w:spacing w:val="-4"/>
        </w:rPr>
        <w:t>202</w:t>
      </w:r>
      <w:r>
        <w:rPr>
          <w:rFonts w:hint="eastAsia"/>
          <w:color w:val="auto"/>
          <w:spacing w:val="-4"/>
          <w:lang w:val="en-US" w:eastAsia="zh-CN"/>
        </w:rPr>
        <w:t>2</w:t>
      </w:r>
      <w:r>
        <w:rPr>
          <w:color w:val="auto"/>
          <w:spacing w:val="-20"/>
        </w:rPr>
        <w:t xml:space="preserve"> 年 </w:t>
      </w:r>
      <w:r>
        <w:rPr>
          <w:rFonts w:hint="eastAsia"/>
          <w:color w:val="auto"/>
          <w:spacing w:val="-8"/>
          <w:lang w:val="en-US" w:eastAsia="zh-CN"/>
        </w:rPr>
        <w:t xml:space="preserve"> 2 </w:t>
      </w:r>
      <w:r>
        <w:rPr>
          <w:color w:val="auto"/>
          <w:spacing w:val="-20"/>
        </w:rPr>
        <w:t xml:space="preserve"> 月 </w:t>
      </w:r>
      <w:r>
        <w:rPr>
          <w:rFonts w:hint="eastAsia"/>
          <w:color w:val="auto"/>
          <w:spacing w:val="-8"/>
          <w:lang w:val="en-US" w:eastAsia="zh-CN"/>
        </w:rPr>
        <w:t xml:space="preserve"> 22 </w:t>
      </w:r>
      <w:r>
        <w:rPr>
          <w:color w:val="auto"/>
        </w:rPr>
        <w:t xml:space="preserve"> 日 09</w:t>
      </w:r>
      <w:r>
        <w:rPr>
          <w:color w:val="auto"/>
          <w:spacing w:val="-5"/>
        </w:rPr>
        <w:t xml:space="preserve"> 时 </w:t>
      </w:r>
      <w:r>
        <w:rPr>
          <w:color w:val="auto"/>
        </w:rPr>
        <w:t>30</w:t>
      </w:r>
      <w:r>
        <w:rPr>
          <w:color w:val="auto"/>
          <w:spacing w:val="-6"/>
        </w:rPr>
        <w:t xml:space="preserve"> 分 </w:t>
      </w:r>
      <w:r>
        <w:rPr>
          <w:color w:val="auto"/>
        </w:rPr>
        <w:t>（</w:t>
      </w:r>
      <w:r>
        <w:rPr>
          <w:color w:val="auto"/>
          <w:spacing w:val="-4"/>
        </w:rPr>
        <w:t>北京时间</w:t>
      </w:r>
      <w:r>
        <w:rPr>
          <w:color w:val="auto"/>
          <w:spacing w:val="-7"/>
        </w:rPr>
        <w:t>）（</w:t>
      </w:r>
      <w:r>
        <w:rPr>
          <w:color w:val="auto"/>
          <w:spacing w:val="-4"/>
        </w:rPr>
        <w:t>自招标文件开</w:t>
      </w:r>
      <w:r>
        <w:rPr>
          <w:color w:val="auto"/>
          <w:spacing w:val="-6"/>
        </w:rPr>
        <w:t>始发出之日起至投标人提交投标文件截止之日止，不得少于</w:t>
      </w:r>
      <w:r>
        <w:rPr>
          <w:color w:val="auto"/>
        </w:rPr>
        <w:t>3</w:t>
      </w:r>
      <w:r>
        <w:rPr>
          <w:color w:val="auto"/>
          <w:spacing w:val="-19"/>
        </w:rPr>
        <w:t xml:space="preserve"> 工作日</w:t>
      </w:r>
      <w:r>
        <w:rPr>
          <w:color w:val="auto"/>
        </w:rPr>
        <w:t xml:space="preserve">） </w:t>
      </w:r>
    </w:p>
    <w:p>
      <w:pPr>
        <w:pStyle w:val="8"/>
        <w:spacing w:before="1"/>
        <w:ind w:left="948"/>
        <w:rPr>
          <w:color w:val="auto"/>
        </w:rPr>
      </w:pPr>
      <w:r>
        <w:rPr>
          <w:color w:val="auto"/>
        </w:rPr>
        <w:t>开标时间：202</w:t>
      </w:r>
      <w:r>
        <w:rPr>
          <w:rFonts w:hint="eastAsia"/>
          <w:color w:val="auto"/>
          <w:lang w:val="en-US" w:eastAsia="zh-CN"/>
        </w:rPr>
        <w:t>2</w:t>
      </w:r>
      <w:r>
        <w:rPr>
          <w:color w:val="auto"/>
        </w:rPr>
        <w:t xml:space="preserve"> 年 </w:t>
      </w:r>
      <w:r>
        <w:rPr>
          <w:rFonts w:hint="eastAsia"/>
          <w:color w:val="auto"/>
          <w:lang w:val="en-US" w:eastAsia="zh-CN"/>
        </w:rPr>
        <w:t xml:space="preserve"> 2 </w:t>
      </w:r>
      <w:r>
        <w:rPr>
          <w:color w:val="auto"/>
        </w:rPr>
        <w:t xml:space="preserve"> 月 </w:t>
      </w:r>
      <w:r>
        <w:rPr>
          <w:rFonts w:hint="eastAsia"/>
          <w:color w:val="auto"/>
          <w:lang w:val="en-US" w:eastAsia="zh-CN"/>
        </w:rPr>
        <w:t xml:space="preserve"> 22 </w:t>
      </w:r>
      <w:r>
        <w:rPr>
          <w:color w:val="auto"/>
        </w:rPr>
        <w:t xml:space="preserve"> 日 09 点 30 分（北京时间） </w:t>
      </w:r>
    </w:p>
    <w:p>
      <w:pPr>
        <w:pStyle w:val="8"/>
        <w:spacing w:before="203" w:line="306" w:lineRule="exact"/>
        <w:ind w:left="948"/>
        <w:rPr>
          <w:color w:val="auto"/>
        </w:rPr>
      </w:pPr>
      <w:r>
        <w:rPr>
          <w:color w:val="auto"/>
        </w:rPr>
        <w:t xml:space="preserve">地点：铜仁市公共资源交易中心江口分中心（江口县庄尚大厦第 3 层）  </w:t>
      </w:r>
    </w:p>
    <w:p>
      <w:pPr>
        <w:pStyle w:val="3"/>
        <w:spacing w:line="396" w:lineRule="exact"/>
        <w:jc w:val="both"/>
        <w:rPr>
          <w:color w:val="auto"/>
        </w:rPr>
      </w:pPr>
      <w:r>
        <w:rPr>
          <w:color w:val="auto"/>
        </w:rPr>
        <w:t>五、公告期限</w:t>
      </w:r>
      <w:r>
        <w:rPr>
          <w:color w:val="auto"/>
          <w:w w:val="100"/>
        </w:rPr>
        <w:t xml:space="preserve"> </w:t>
      </w:r>
    </w:p>
    <w:p>
      <w:pPr>
        <w:pStyle w:val="8"/>
        <w:spacing w:before="108" w:line="307" w:lineRule="exact"/>
        <w:ind w:left="948"/>
        <w:rPr>
          <w:color w:val="auto"/>
        </w:rPr>
      </w:pPr>
      <w:r>
        <w:rPr>
          <w:color w:val="auto"/>
        </w:rPr>
        <w:t xml:space="preserve">自本公告发布之日起 3 个工作日。 </w:t>
      </w:r>
    </w:p>
    <w:p>
      <w:pPr>
        <w:pStyle w:val="3"/>
        <w:spacing w:line="396" w:lineRule="exact"/>
        <w:jc w:val="both"/>
        <w:rPr>
          <w:color w:val="auto"/>
        </w:rPr>
      </w:pPr>
      <w:r>
        <w:rPr>
          <w:color w:val="auto"/>
        </w:rPr>
        <w:t>六、其他补充事宜</w:t>
      </w:r>
      <w:r>
        <w:rPr>
          <w:color w:val="auto"/>
          <w:w w:val="100"/>
        </w:rPr>
        <w:t xml:space="preserve"> </w:t>
      </w:r>
    </w:p>
    <w:p>
      <w:pPr>
        <w:pStyle w:val="8"/>
        <w:spacing w:before="108"/>
        <w:ind w:left="948"/>
        <w:rPr>
          <w:color w:val="auto"/>
        </w:rPr>
      </w:pPr>
      <w:r>
        <w:rPr>
          <w:color w:val="auto"/>
        </w:rPr>
        <w:t xml:space="preserve">采购项目需要落实的政府采购政策: 已落实 </w:t>
      </w:r>
    </w:p>
    <w:p>
      <w:pPr>
        <w:pStyle w:val="8"/>
        <w:spacing w:before="203"/>
        <w:ind w:left="948"/>
        <w:rPr>
          <w:color w:val="auto"/>
        </w:rPr>
      </w:pPr>
      <w:r>
        <w:rPr>
          <w:color w:val="auto"/>
        </w:rPr>
        <w:t xml:space="preserve">PPP 项目:否 </w:t>
      </w:r>
    </w:p>
    <w:p>
      <w:pPr>
        <w:pStyle w:val="8"/>
        <w:spacing w:before="188" w:line="386" w:lineRule="auto"/>
        <w:ind w:left="948" w:right="4685"/>
        <w:rPr>
          <w:color w:val="auto"/>
        </w:rPr>
      </w:pPr>
      <w:r>
        <w:rPr>
          <w:color w:val="auto"/>
        </w:rPr>
        <w:t xml:space="preserve">简要技术要求、服务和安全要求:详见采购文件交货地点或服务地点:采购人指定的地点 </w:t>
      </w:r>
    </w:p>
    <w:p>
      <w:pPr>
        <w:pStyle w:val="8"/>
        <w:spacing w:before="16" w:line="386" w:lineRule="auto"/>
        <w:ind w:left="948" w:right="3815"/>
        <w:rPr>
          <w:color w:val="auto"/>
        </w:rPr>
      </w:pPr>
      <w:r>
        <w:rPr>
          <w:color w:val="auto"/>
        </w:rPr>
        <w:t>其他事项（如样品提交、现场踏勘等）:详见采购文件交货时间或服务时间:</w:t>
      </w:r>
      <w:r>
        <w:rPr>
          <w:rFonts w:hint="eastAsia"/>
          <w:color w:val="auto"/>
          <w:sz w:val="24"/>
          <w:szCs w:val="24"/>
          <w:lang w:val="en-US" w:eastAsia="zh-CN"/>
        </w:rPr>
        <w:t>具体详见第四章采购服务要求</w:t>
      </w:r>
      <w:r>
        <w:rPr>
          <w:color w:val="auto"/>
        </w:rPr>
        <w:t xml:space="preserve">。 </w:t>
      </w:r>
    </w:p>
    <w:p>
      <w:pPr>
        <w:pStyle w:val="3"/>
        <w:spacing w:line="298" w:lineRule="exact"/>
        <w:rPr>
          <w:color w:val="auto"/>
        </w:rPr>
      </w:pPr>
      <w:r>
        <w:rPr>
          <w:color w:val="auto"/>
        </w:rPr>
        <w:t>七、对本次招标提出询问，请按以下方式联系</w:t>
      </w:r>
      <w:r>
        <w:rPr>
          <w:color w:val="auto"/>
          <w:w w:val="100"/>
        </w:rPr>
        <w:t xml:space="preserve"> </w:t>
      </w:r>
    </w:p>
    <w:p>
      <w:pPr>
        <w:pStyle w:val="8"/>
        <w:spacing w:before="213"/>
        <w:ind w:left="722"/>
        <w:rPr>
          <w:color w:val="auto"/>
        </w:rPr>
      </w:pPr>
      <w:r>
        <w:rPr>
          <w:color w:val="auto"/>
        </w:rPr>
        <w:t xml:space="preserve">1.采购人信息 </w:t>
      </w:r>
    </w:p>
    <w:p>
      <w:pPr>
        <w:pStyle w:val="8"/>
        <w:spacing w:before="188" w:line="386" w:lineRule="auto"/>
        <w:ind w:left="1247" w:right="6412"/>
        <w:jc w:val="center"/>
        <w:rPr>
          <w:rFonts w:hint="eastAsia" w:eastAsia="宋体"/>
          <w:color w:val="auto"/>
          <w:lang w:eastAsia="zh-CN"/>
        </w:rPr>
      </w:pPr>
      <w:r>
        <w:rPr>
          <w:color w:val="auto"/>
        </w:rPr>
        <w:t>名 称:</w:t>
      </w:r>
      <w:r>
        <w:rPr>
          <w:rFonts w:hint="eastAsia"/>
          <w:color w:val="auto"/>
          <w:lang w:eastAsia="zh-CN"/>
        </w:rPr>
        <w:t>江口县发展和改革局</w:t>
      </w:r>
    </w:p>
    <w:p>
      <w:pPr>
        <w:pStyle w:val="8"/>
        <w:spacing w:before="188" w:line="386" w:lineRule="auto"/>
        <w:ind w:right="6412" w:firstLine="1200" w:firstLineChars="500"/>
        <w:jc w:val="both"/>
        <w:rPr>
          <w:color w:val="auto"/>
        </w:rPr>
      </w:pPr>
      <w:r>
        <w:rPr>
          <w:color w:val="auto"/>
        </w:rPr>
        <w:t>地 址:</w:t>
      </w:r>
      <w:r>
        <w:rPr>
          <w:rFonts w:hint="eastAsia"/>
          <w:color w:val="auto"/>
          <w:lang w:eastAsia="zh-CN"/>
        </w:rPr>
        <w:t>江口县发展和改革局</w:t>
      </w:r>
      <w:r>
        <w:rPr>
          <w:color w:val="auto"/>
        </w:rPr>
        <w:t xml:space="preserve"> </w:t>
      </w:r>
    </w:p>
    <w:p>
      <w:pPr>
        <w:spacing w:before="51" w:line="331" w:lineRule="auto"/>
        <w:ind w:left="1248" w:right="6621" w:firstLine="0"/>
        <w:jc w:val="left"/>
        <w:rPr>
          <w:rFonts w:hint="eastAsia"/>
          <w:color w:val="auto"/>
          <w:sz w:val="24"/>
          <w:lang w:eastAsia="zh-CN"/>
        </w:rPr>
      </w:pPr>
      <w:r>
        <w:rPr>
          <w:color w:val="auto"/>
          <w:sz w:val="24"/>
        </w:rPr>
        <w:t xml:space="preserve">项目联系人:      </w:t>
      </w:r>
      <w:r>
        <w:rPr>
          <w:rFonts w:hint="eastAsia"/>
          <w:color w:val="auto"/>
          <w:sz w:val="24"/>
          <w:lang w:eastAsia="zh-CN"/>
        </w:rPr>
        <w:t>龙浩</w:t>
      </w:r>
    </w:p>
    <w:p>
      <w:pPr>
        <w:spacing w:before="51" w:line="331" w:lineRule="auto"/>
        <w:ind w:left="1248" w:right="6621" w:firstLine="0"/>
        <w:jc w:val="left"/>
        <w:rPr>
          <w:color w:val="auto"/>
          <w:sz w:val="24"/>
        </w:rPr>
      </w:pPr>
      <w:r>
        <w:rPr>
          <w:rFonts w:hint="eastAsia"/>
          <w:color w:val="auto"/>
          <w:sz w:val="24"/>
          <w:lang w:eastAsia="zh-CN"/>
        </w:rPr>
        <w:t>联</w:t>
      </w:r>
      <w:r>
        <w:rPr>
          <w:color w:val="auto"/>
          <w:sz w:val="24"/>
        </w:rPr>
        <w:t>系方式:</w:t>
      </w:r>
      <w:r>
        <w:rPr>
          <w:rFonts w:hint="eastAsia"/>
          <w:color w:val="auto"/>
          <w:sz w:val="28"/>
          <w:lang w:eastAsia="zh-CN"/>
        </w:rPr>
        <w:t>15086292038</w:t>
      </w:r>
      <w:r>
        <w:rPr>
          <w:color w:val="auto"/>
          <w:sz w:val="24"/>
        </w:rPr>
        <w:t xml:space="preserve"> </w:t>
      </w:r>
    </w:p>
    <w:p>
      <w:pPr>
        <w:pStyle w:val="8"/>
        <w:spacing w:before="87"/>
        <w:ind w:left="722"/>
        <w:rPr>
          <w:color w:val="auto"/>
        </w:rPr>
      </w:pPr>
      <w:r>
        <w:rPr>
          <w:color w:val="auto"/>
        </w:rPr>
        <w:t xml:space="preserve">2.采购代理机构信息 </w:t>
      </w:r>
    </w:p>
    <w:p>
      <w:pPr>
        <w:pStyle w:val="8"/>
        <w:spacing w:before="188"/>
        <w:ind w:left="1248"/>
        <w:rPr>
          <w:color w:val="auto"/>
        </w:rPr>
      </w:pPr>
      <w:r>
        <w:rPr>
          <w:color w:val="auto"/>
        </w:rPr>
        <w:t>名 称:</w:t>
      </w:r>
      <w:r>
        <w:rPr>
          <w:rFonts w:hint="eastAsia"/>
          <w:color w:val="auto"/>
          <w:lang w:eastAsia="zh-CN"/>
        </w:rPr>
        <w:t>河南省光大建设管理有限公司</w:t>
      </w:r>
      <w:r>
        <w:rPr>
          <w:color w:val="auto"/>
        </w:rPr>
        <w:t xml:space="preserve"> </w:t>
      </w:r>
    </w:p>
    <w:p>
      <w:pPr>
        <w:pStyle w:val="8"/>
        <w:spacing w:before="188" w:line="398" w:lineRule="auto"/>
        <w:ind w:left="1248" w:right="3422"/>
        <w:rPr>
          <w:color w:val="auto"/>
        </w:rPr>
      </w:pPr>
      <w:r>
        <w:rPr>
          <w:color w:val="auto"/>
          <w:spacing w:val="-4"/>
        </w:rPr>
        <w:t>联系地址:</w:t>
      </w:r>
      <w:r>
        <w:rPr>
          <w:rFonts w:hint="eastAsia"/>
          <w:color w:val="auto"/>
          <w:spacing w:val="-4"/>
          <w:lang w:eastAsia="zh-CN"/>
        </w:rPr>
        <w:t>铜仁市金滩半岛豪苑h栋1单元</w:t>
      </w:r>
      <w:r>
        <w:rPr>
          <w:color w:val="auto"/>
        </w:rPr>
        <w:t xml:space="preserve"> </w:t>
      </w:r>
    </w:p>
    <w:p>
      <w:pPr>
        <w:pStyle w:val="8"/>
        <w:spacing w:before="188" w:line="398" w:lineRule="auto"/>
        <w:ind w:left="1248" w:right="3422"/>
        <w:rPr>
          <w:color w:val="auto"/>
        </w:rPr>
      </w:pPr>
      <w:r>
        <w:rPr>
          <w:color w:val="auto"/>
        </w:rPr>
        <w:t>联系人:</w:t>
      </w:r>
      <w:r>
        <w:rPr>
          <w:rFonts w:hint="eastAsia" w:ascii="宋体" w:hAnsi="宋体" w:eastAsia="宋体" w:cs="宋体"/>
          <w:color w:val="auto"/>
          <w:spacing w:val="8"/>
          <w:kern w:val="2"/>
          <w:sz w:val="24"/>
          <w:szCs w:val="24"/>
          <w:lang w:val="en-US" w:eastAsia="zh-CN"/>
        </w:rPr>
        <w:t>郭莹莹</w:t>
      </w:r>
      <w:r>
        <w:rPr>
          <w:color w:val="auto"/>
        </w:rPr>
        <w:t xml:space="preserve"> </w:t>
      </w:r>
    </w:p>
    <w:p>
      <w:pPr>
        <w:pStyle w:val="8"/>
        <w:spacing w:line="360" w:lineRule="auto"/>
        <w:ind w:left="1248"/>
        <w:rPr>
          <w:color w:val="auto"/>
        </w:rPr>
      </w:pPr>
      <w:r>
        <w:rPr>
          <w:color w:val="auto"/>
        </w:rPr>
        <w:t>联系方式:</w:t>
      </w:r>
      <w:r>
        <w:rPr>
          <w:rFonts w:hint="eastAsia" w:ascii="宋体" w:hAnsi="宋体" w:eastAsia="宋体" w:cs="宋体"/>
          <w:color w:val="auto"/>
          <w:spacing w:val="8"/>
          <w:kern w:val="2"/>
          <w:sz w:val="24"/>
          <w:szCs w:val="24"/>
          <w:lang w:val="en-US" w:eastAsia="zh-CN"/>
        </w:rPr>
        <w:t>18808561700</w:t>
      </w:r>
    </w:p>
    <w:p>
      <w:pPr>
        <w:pStyle w:val="8"/>
        <w:numPr>
          <w:ilvl w:val="0"/>
          <w:numId w:val="3"/>
        </w:numPr>
        <w:bidi w:val="0"/>
        <w:spacing w:line="360" w:lineRule="auto"/>
        <w:ind w:firstLine="720" w:firstLineChars="300"/>
        <w:rPr>
          <w:color w:val="auto"/>
        </w:rPr>
      </w:pPr>
      <w:r>
        <w:rPr>
          <w:color w:val="auto"/>
        </w:rPr>
        <w:t>项目联系方式</w:t>
      </w:r>
    </w:p>
    <w:p>
      <w:pPr>
        <w:pStyle w:val="8"/>
        <w:numPr>
          <w:ilvl w:val="0"/>
          <w:numId w:val="0"/>
        </w:numPr>
        <w:bidi w:val="0"/>
        <w:spacing w:line="360" w:lineRule="auto"/>
        <w:ind w:leftChars="300" w:right="0" w:rightChars="0" w:firstLine="720" w:firstLineChars="300"/>
        <w:rPr>
          <w:rFonts w:hint="eastAsia" w:eastAsia="宋体"/>
          <w:color w:val="auto"/>
          <w:lang w:eastAsia="zh-CN"/>
        </w:rPr>
      </w:pPr>
      <w:r>
        <w:rPr>
          <w:color w:val="auto"/>
        </w:rPr>
        <w:t xml:space="preserve"> 项目联系人:</w:t>
      </w:r>
      <w:r>
        <w:rPr>
          <w:rFonts w:hint="eastAsia" w:ascii="宋体" w:hAnsi="宋体" w:eastAsia="宋体" w:cs="宋体"/>
          <w:color w:val="auto"/>
          <w:spacing w:val="8"/>
          <w:kern w:val="2"/>
          <w:sz w:val="24"/>
          <w:szCs w:val="24"/>
          <w:lang w:val="en-US" w:eastAsia="zh-CN"/>
        </w:rPr>
        <w:t>郭莹莹</w:t>
      </w:r>
      <w:r>
        <w:rPr>
          <w:color w:val="auto"/>
        </w:rPr>
        <w:t xml:space="preserve"> </w:t>
      </w:r>
    </w:p>
    <w:p>
      <w:pPr>
        <w:pStyle w:val="8"/>
        <w:spacing w:line="360" w:lineRule="auto"/>
        <w:ind w:left="1248" w:firstLine="240" w:firstLineChars="100"/>
        <w:rPr>
          <w:color w:val="auto"/>
        </w:rPr>
      </w:pPr>
      <w:r>
        <w:rPr>
          <w:color w:val="auto"/>
        </w:rPr>
        <w:t>联系方式:</w:t>
      </w:r>
      <w:r>
        <w:rPr>
          <w:rFonts w:hint="eastAsia" w:ascii="宋体" w:hAnsi="宋体" w:eastAsia="宋体" w:cs="宋体"/>
          <w:color w:val="auto"/>
          <w:spacing w:val="8"/>
          <w:kern w:val="2"/>
          <w:sz w:val="24"/>
          <w:szCs w:val="24"/>
          <w:lang w:val="en-US" w:eastAsia="zh-CN"/>
        </w:rPr>
        <w:t>18808561700</w:t>
      </w:r>
      <w:r>
        <w:rPr>
          <w:color w:val="auto"/>
        </w:rPr>
        <w:t xml:space="preserve"> </w:t>
      </w:r>
    </w:p>
    <w:p>
      <w:pPr>
        <w:pStyle w:val="8"/>
        <w:spacing w:before="188" w:line="393" w:lineRule="auto"/>
        <w:ind w:left="481" w:right="1726" w:firstLine="766"/>
        <w:jc w:val="both"/>
        <w:rPr>
          <w:color w:val="auto"/>
        </w:rPr>
      </w:pPr>
      <w:r>
        <w:rPr>
          <w:color w:val="auto"/>
          <w:spacing w:val="-17"/>
        </w:rPr>
        <w:t>注：以上信息如有变更将通过贵州省政府采购或全国公共资源交易平台</w:t>
      </w:r>
      <w:r>
        <w:rPr>
          <w:color w:val="auto"/>
        </w:rPr>
        <w:t>（贵</w:t>
      </w:r>
      <w:r>
        <w:rPr>
          <w:color w:val="auto"/>
          <w:spacing w:val="-3"/>
        </w:rPr>
        <w:t>州省.铜仁市</w:t>
      </w:r>
      <w:r>
        <w:rPr>
          <w:color w:val="auto"/>
        </w:rPr>
        <w:t>）</w:t>
      </w:r>
      <w:r>
        <w:rPr>
          <w:color w:val="auto"/>
          <w:spacing w:val="-11"/>
        </w:rPr>
        <w:t>网发布。请供应商关注查看、处理采购人发出的文件澄清、补充、</w:t>
      </w:r>
      <w:r>
        <w:rPr>
          <w:color w:val="auto"/>
          <w:spacing w:val="-15"/>
        </w:rPr>
        <w:t>更正等通知内容，如因投标人未及时上网查询导致的后果，由投标人自己承担。</w:t>
      </w:r>
      <w:r>
        <w:rPr>
          <w:color w:val="auto"/>
        </w:rPr>
        <w:t xml:space="preserve"> </w:t>
      </w:r>
    </w:p>
    <w:p>
      <w:pPr>
        <w:spacing w:after="0" w:line="393" w:lineRule="auto"/>
        <w:jc w:val="both"/>
        <w:rPr>
          <w:color w:val="auto"/>
        </w:rPr>
        <w:sectPr>
          <w:pgSz w:w="11910" w:h="16850"/>
          <w:pgMar w:top="1580" w:right="0" w:bottom="1160" w:left="1260" w:header="0" w:footer="891" w:gutter="0"/>
          <w:cols w:space="720" w:num="1"/>
        </w:sectPr>
      </w:pPr>
    </w:p>
    <w:p>
      <w:pPr>
        <w:pStyle w:val="2"/>
        <w:spacing w:before="21"/>
        <w:ind w:left="2600"/>
        <w:rPr>
          <w:color w:val="auto"/>
        </w:rPr>
      </w:pPr>
      <w:r>
        <w:rPr>
          <w:color w:val="auto"/>
        </w:rPr>
        <w:t>第二章 谈判供应商须知</w:t>
      </w:r>
      <w:r>
        <w:rPr>
          <w:color w:val="auto"/>
          <w:w w:val="99"/>
        </w:rPr>
        <w:t xml:space="preserve"> </w:t>
      </w:r>
    </w:p>
    <w:p>
      <w:pPr>
        <w:pStyle w:val="5"/>
        <w:spacing w:before="274"/>
        <w:ind w:left="3291"/>
        <w:rPr>
          <w:color w:val="auto"/>
          <w:sz w:val="31"/>
        </w:rPr>
      </w:pPr>
      <w:r>
        <w:rPr>
          <w:color w:val="auto"/>
        </w:rPr>
        <w:t>谈判供应商须知前附表 1</w:t>
      </w:r>
      <w:r>
        <w:rPr>
          <w:color w:val="auto"/>
          <w:w w:val="100"/>
          <w:sz w:val="31"/>
        </w:rPr>
        <w:t xml:space="preserve"> </w:t>
      </w:r>
    </w:p>
    <w:p>
      <w:pPr>
        <w:pStyle w:val="8"/>
        <w:spacing w:before="218" w:line="304" w:lineRule="auto"/>
        <w:ind w:left="481" w:right="1630" w:rightChars="0" w:firstLine="526"/>
        <w:rPr>
          <w:color w:val="auto"/>
        </w:rPr>
      </w:pPr>
      <w:r>
        <w:rPr>
          <w:color w:val="auto"/>
        </w:rPr>
        <w:pict>
          <v:shape id="_x0000_s1032" o:spid="_x0000_s1032" o:spt="202" type="#_x0000_t202" style="position:absolute;left:0pt;margin-left:68.3pt;margin-top:46.9pt;height:486.55pt;width:452.6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751"/>
                    <w:gridCol w:w="7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511" w:type="dxa"/>
                        <w:tcBorders>
                          <w:left w:val="single" w:color="000000" w:sz="8" w:space="0"/>
                        </w:tcBorders>
                      </w:tcPr>
                      <w:p>
                        <w:pPr>
                          <w:pStyle w:val="13"/>
                          <w:spacing w:before="3" w:line="390" w:lineRule="exact"/>
                          <w:ind w:left="110" w:right="22"/>
                          <w:rPr>
                            <w:sz w:val="24"/>
                          </w:rPr>
                        </w:pPr>
                        <w:r>
                          <w:rPr>
                            <w:sz w:val="24"/>
                          </w:rPr>
                          <w:t xml:space="preserve">项号 </w:t>
                        </w:r>
                      </w:p>
                    </w:tc>
                    <w:tc>
                      <w:tcPr>
                        <w:tcW w:w="751" w:type="dxa"/>
                      </w:tcPr>
                      <w:p>
                        <w:pPr>
                          <w:pStyle w:val="13"/>
                          <w:spacing w:before="3" w:line="390" w:lineRule="exact"/>
                          <w:ind w:left="112" w:right="20"/>
                          <w:rPr>
                            <w:sz w:val="24"/>
                          </w:rPr>
                        </w:pPr>
                        <w:r>
                          <w:rPr>
                            <w:sz w:val="24"/>
                          </w:rPr>
                          <w:t xml:space="preserve">条款号 </w:t>
                        </w:r>
                      </w:p>
                    </w:tc>
                    <w:tc>
                      <w:tcPr>
                        <w:tcW w:w="7524" w:type="dxa"/>
                      </w:tcPr>
                      <w:p>
                        <w:pPr>
                          <w:pStyle w:val="13"/>
                          <w:spacing w:before="75"/>
                          <w:ind w:left="2722" w:right="2587"/>
                          <w:jc w:val="center"/>
                          <w:rPr>
                            <w:sz w:val="24"/>
                          </w:rPr>
                        </w:pPr>
                        <w:r>
                          <w:rPr>
                            <w:sz w:val="24"/>
                          </w:rPr>
                          <w:t xml:space="preserve">编   列   内    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0" w:hRule="atLeast"/>
                    </w:trPr>
                    <w:tc>
                      <w:tcPr>
                        <w:tcW w:w="511" w:type="dxa"/>
                        <w:tcBorders>
                          <w:left w:val="single" w:color="000000" w:sz="8" w:space="0"/>
                        </w:tcBorders>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2"/>
                          </w:rPr>
                        </w:pPr>
                      </w:p>
                      <w:p>
                        <w:pPr>
                          <w:pStyle w:val="13"/>
                          <w:ind w:right="52"/>
                          <w:jc w:val="right"/>
                          <w:rPr>
                            <w:sz w:val="24"/>
                          </w:rPr>
                        </w:pPr>
                        <w:r>
                          <w:rPr>
                            <w:sz w:val="24"/>
                          </w:rPr>
                          <w:t xml:space="preserve">1 </w:t>
                        </w:r>
                      </w:p>
                    </w:tc>
                    <w:tc>
                      <w:tcPr>
                        <w:tcW w:w="751"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32"/>
                          </w:rPr>
                        </w:pPr>
                      </w:p>
                      <w:p>
                        <w:pPr>
                          <w:pStyle w:val="13"/>
                          <w:ind w:left="202"/>
                          <w:rPr>
                            <w:sz w:val="24"/>
                          </w:rPr>
                        </w:pPr>
                        <w:r>
                          <w:rPr>
                            <w:sz w:val="24"/>
                          </w:rPr>
                          <w:t xml:space="preserve">1.1 </w:t>
                        </w:r>
                      </w:p>
                    </w:tc>
                    <w:tc>
                      <w:tcPr>
                        <w:tcW w:w="7524" w:type="dxa"/>
                      </w:tcPr>
                      <w:p>
                        <w:pPr>
                          <w:pStyle w:val="8"/>
                          <w:bidi w:val="0"/>
                          <w:rPr>
                            <w:rFonts w:hint="eastAsia" w:ascii="宋体" w:hAnsi="宋体" w:eastAsia="宋体" w:cs="宋体"/>
                            <w:sz w:val="24"/>
                            <w:szCs w:val="22"/>
                            <w:lang w:val="en-US" w:eastAsia="zh-CN" w:bidi="ar-SA"/>
                          </w:rPr>
                        </w:pPr>
                        <w:r>
                          <w:rPr>
                            <w:rFonts w:ascii="宋体" w:hAnsi="宋体" w:eastAsia="宋体" w:cs="宋体"/>
                            <w:sz w:val="24"/>
                            <w:szCs w:val="22"/>
                            <w:lang w:val="en-US" w:eastAsia="en-US" w:bidi="ar-SA"/>
                          </w:rPr>
                          <w:t>项目名称：</w:t>
                        </w:r>
                        <w:r>
                          <w:rPr>
                            <w:rFonts w:hint="eastAsia" w:ascii="宋体" w:hAnsi="宋体" w:eastAsia="宋体" w:cs="宋体"/>
                            <w:b/>
                            <w:bCs/>
                            <w:sz w:val="24"/>
                            <w:szCs w:val="22"/>
                            <w:u w:val="single"/>
                            <w:lang w:val="en-US" w:eastAsia="zh-CN" w:bidi="ar-SA"/>
                          </w:rPr>
                          <w:t>江口县生态系统生产总值（GEP）核算服务</w:t>
                        </w:r>
                      </w:p>
                      <w:p>
                        <w:pPr>
                          <w:pStyle w:val="8"/>
                          <w:bidi w:val="0"/>
                          <w:rPr>
                            <w:rFonts w:ascii="宋体" w:hAnsi="宋体" w:eastAsia="宋体" w:cs="宋体"/>
                            <w:sz w:val="24"/>
                            <w:szCs w:val="22"/>
                            <w:lang w:val="en-US" w:eastAsia="en-US" w:bidi="ar-SA"/>
                          </w:rPr>
                        </w:pPr>
                        <w:r>
                          <w:rPr>
                            <w:rFonts w:ascii="宋体" w:hAnsi="宋体" w:eastAsia="宋体" w:cs="宋体"/>
                            <w:sz w:val="24"/>
                            <w:szCs w:val="22"/>
                            <w:lang w:val="en-US" w:eastAsia="en-US" w:bidi="ar-SA"/>
                          </w:rPr>
                          <w:t xml:space="preserve">项目采购人名称： </w:t>
                        </w:r>
                        <w:r>
                          <w:rPr>
                            <w:rFonts w:hint="eastAsia" w:ascii="宋体" w:hAnsi="宋体" w:eastAsia="宋体" w:cs="宋体"/>
                            <w:b/>
                            <w:bCs/>
                            <w:sz w:val="24"/>
                            <w:szCs w:val="22"/>
                            <w:u w:val="single"/>
                            <w:lang w:val="en-US" w:eastAsia="zh-CN" w:bidi="ar-SA"/>
                          </w:rPr>
                          <w:t>江口县发展和改革局</w:t>
                        </w:r>
                        <w:r>
                          <w:rPr>
                            <w:rFonts w:ascii="宋体" w:hAnsi="宋体" w:eastAsia="宋体" w:cs="宋体"/>
                            <w:b/>
                            <w:bCs/>
                            <w:sz w:val="24"/>
                            <w:szCs w:val="22"/>
                            <w:u w:val="single"/>
                            <w:lang w:val="en-US" w:eastAsia="en-US" w:bidi="ar-SA"/>
                          </w:rPr>
                          <w:t xml:space="preserve"> </w:t>
                        </w:r>
                        <w:r>
                          <w:rPr>
                            <w:rFonts w:ascii="宋体" w:hAnsi="宋体" w:eastAsia="宋体" w:cs="宋体"/>
                            <w:sz w:val="24"/>
                            <w:szCs w:val="22"/>
                            <w:lang w:val="en-US" w:eastAsia="en-US" w:bidi="ar-SA"/>
                          </w:rPr>
                          <w:t xml:space="preserve">     </w:t>
                        </w:r>
                      </w:p>
                      <w:p>
                        <w:pPr>
                          <w:pStyle w:val="8"/>
                          <w:bidi w:val="0"/>
                          <w:rPr>
                            <w:rFonts w:ascii="宋体" w:hAnsi="宋体" w:eastAsia="宋体" w:cs="宋体"/>
                            <w:sz w:val="24"/>
                            <w:szCs w:val="22"/>
                            <w:lang w:val="en-US" w:eastAsia="en-US" w:bidi="ar-SA"/>
                          </w:rPr>
                        </w:pPr>
                        <w:r>
                          <w:rPr>
                            <w:rFonts w:ascii="宋体" w:hAnsi="宋体" w:eastAsia="宋体" w:cs="宋体"/>
                            <w:sz w:val="24"/>
                            <w:szCs w:val="22"/>
                            <w:lang w:val="en-US" w:eastAsia="en-US" w:bidi="ar-SA"/>
                          </w:rPr>
                          <w:t xml:space="preserve">采购人地址：  </w:t>
                        </w:r>
                        <w:r>
                          <w:rPr>
                            <w:rFonts w:hint="eastAsia" w:ascii="宋体" w:hAnsi="宋体" w:eastAsia="宋体" w:cs="宋体"/>
                            <w:b/>
                            <w:bCs/>
                            <w:sz w:val="24"/>
                            <w:szCs w:val="22"/>
                            <w:u w:val="single"/>
                            <w:lang w:val="en-US" w:eastAsia="zh-CN" w:bidi="ar-SA"/>
                          </w:rPr>
                          <w:t>江口县发展和改革局</w:t>
                        </w:r>
                        <w:r>
                          <w:rPr>
                            <w:rFonts w:ascii="宋体" w:hAnsi="宋体" w:eastAsia="宋体" w:cs="宋体"/>
                            <w:sz w:val="24"/>
                            <w:szCs w:val="22"/>
                            <w:lang w:val="en-US" w:eastAsia="en-US" w:bidi="ar-SA"/>
                          </w:rPr>
                          <w:t xml:space="preserve">      </w:t>
                        </w:r>
                      </w:p>
                      <w:p>
                        <w:pPr>
                          <w:pStyle w:val="8"/>
                          <w:bidi w:val="0"/>
                          <w:rPr>
                            <w:rFonts w:ascii="宋体" w:hAnsi="宋体" w:eastAsia="宋体" w:cs="宋体"/>
                            <w:sz w:val="24"/>
                            <w:szCs w:val="22"/>
                            <w:lang w:val="en-US" w:eastAsia="en-US" w:bidi="ar-SA"/>
                          </w:rPr>
                        </w:pPr>
                        <w:r>
                          <w:rPr>
                            <w:rFonts w:ascii="宋体" w:hAnsi="宋体" w:eastAsia="宋体" w:cs="宋体"/>
                            <w:sz w:val="24"/>
                            <w:szCs w:val="22"/>
                            <w:lang w:val="en-US" w:eastAsia="en-US" w:bidi="ar-SA"/>
                          </w:rPr>
                          <w:t xml:space="preserve">项目内容： </w:t>
                        </w:r>
                        <w:r>
                          <w:rPr>
                            <w:rFonts w:hint="eastAsia" w:ascii="宋体" w:hAnsi="宋体" w:eastAsia="宋体" w:cs="宋体"/>
                            <w:b/>
                            <w:bCs/>
                            <w:sz w:val="24"/>
                            <w:szCs w:val="22"/>
                            <w:u w:val="single"/>
                            <w:lang w:val="en-US" w:eastAsia="zh-CN" w:bidi="ar-SA"/>
                          </w:rPr>
                          <w:t>江口县生态系统生产总值（GEP）核算服务</w:t>
                        </w:r>
                        <w:r>
                          <w:rPr>
                            <w:rFonts w:ascii="宋体" w:hAnsi="宋体" w:eastAsia="宋体" w:cs="宋体"/>
                            <w:sz w:val="24"/>
                            <w:szCs w:val="22"/>
                            <w:lang w:val="en-US" w:eastAsia="en-US" w:bidi="ar-SA"/>
                          </w:rPr>
                          <w:t xml:space="preserve"> </w:t>
                        </w:r>
                      </w:p>
                      <w:p>
                        <w:pPr>
                          <w:pStyle w:val="8"/>
                          <w:bidi w:val="0"/>
                          <w:rPr>
                            <w:rFonts w:ascii="宋体" w:hAnsi="宋体" w:eastAsia="宋体" w:cs="宋体"/>
                            <w:sz w:val="24"/>
                            <w:szCs w:val="22"/>
                            <w:lang w:val="en-US" w:eastAsia="en-US" w:bidi="ar-SA"/>
                          </w:rPr>
                        </w:pPr>
                        <w:r>
                          <w:rPr>
                            <w:rFonts w:ascii="宋体" w:hAnsi="宋体" w:eastAsia="宋体" w:cs="宋体"/>
                            <w:sz w:val="24"/>
                            <w:szCs w:val="22"/>
                            <w:lang w:val="en-US" w:eastAsia="en-US" w:bidi="ar-SA"/>
                          </w:rPr>
                          <w:t xml:space="preserve">项目编号： </w:t>
                        </w:r>
                        <w:r>
                          <w:rPr>
                            <w:rFonts w:hint="eastAsia" w:ascii="宋体" w:hAnsi="宋体" w:eastAsia="宋体" w:cs="宋体"/>
                            <w:b/>
                            <w:bCs/>
                            <w:sz w:val="24"/>
                            <w:szCs w:val="22"/>
                            <w:u w:val="single"/>
                            <w:lang w:val="en-US" w:eastAsia="zh-CN" w:bidi="ar-SA"/>
                          </w:rPr>
                          <w:t>GDCZ-2022-</w:t>
                        </w:r>
                        <w:r>
                          <w:rPr>
                            <w:rFonts w:hint="eastAsia" w:cs="宋体"/>
                            <w:b/>
                            <w:bCs/>
                            <w:sz w:val="24"/>
                            <w:szCs w:val="22"/>
                            <w:u w:val="single"/>
                            <w:lang w:val="en-US" w:eastAsia="zh-CN" w:bidi="ar-SA"/>
                          </w:rPr>
                          <w:t>001</w:t>
                        </w:r>
                        <w:r>
                          <w:rPr>
                            <w:rFonts w:ascii="宋体" w:hAnsi="宋体" w:eastAsia="宋体" w:cs="宋体"/>
                            <w:sz w:val="24"/>
                            <w:szCs w:val="22"/>
                            <w:lang w:val="en-US" w:eastAsia="en-US" w:bidi="ar-SA"/>
                          </w:rPr>
                          <w:t xml:space="preserve">  </w:t>
                        </w:r>
                      </w:p>
                      <w:p>
                        <w:pPr>
                          <w:pStyle w:val="8"/>
                          <w:bidi w:val="0"/>
                          <w:rPr>
                            <w:rFonts w:ascii="宋体" w:hAnsi="宋体" w:eastAsia="宋体" w:cs="宋体"/>
                            <w:sz w:val="24"/>
                            <w:szCs w:val="22"/>
                            <w:lang w:val="en-US" w:eastAsia="en-US" w:bidi="ar-SA"/>
                          </w:rPr>
                        </w:pPr>
                        <w:r>
                          <w:rPr>
                            <w:rFonts w:ascii="宋体" w:hAnsi="宋体" w:eastAsia="宋体" w:cs="宋体"/>
                            <w:sz w:val="24"/>
                            <w:szCs w:val="22"/>
                            <w:lang w:val="en-US" w:eastAsia="en-US" w:bidi="ar-SA"/>
                          </w:rPr>
                          <w:t>财政审核控制价（预算价）：</w:t>
                        </w:r>
                        <w:r>
                          <w:rPr>
                            <w:rFonts w:ascii="宋体" w:hAnsi="宋体" w:eastAsia="宋体" w:cs="宋体"/>
                            <w:sz w:val="24"/>
                            <w:szCs w:val="22"/>
                            <w:u w:val="single"/>
                            <w:lang w:val="en-US" w:eastAsia="en-US" w:bidi="ar-SA"/>
                          </w:rPr>
                          <w:t xml:space="preserve"> </w:t>
                        </w:r>
                        <w:r>
                          <w:rPr>
                            <w:rFonts w:hint="eastAsia" w:ascii="宋体" w:hAnsi="宋体" w:eastAsia="宋体" w:cs="宋体"/>
                            <w:sz w:val="24"/>
                            <w:szCs w:val="22"/>
                            <w:u w:val="single"/>
                            <w:lang w:val="en-US" w:eastAsia="zh-CN" w:bidi="ar-SA"/>
                          </w:rPr>
                          <w:t>810000.00</w:t>
                        </w:r>
                        <w:r>
                          <w:rPr>
                            <w:rFonts w:ascii="宋体" w:hAnsi="宋体" w:eastAsia="宋体" w:cs="宋体"/>
                            <w:sz w:val="24"/>
                            <w:szCs w:val="22"/>
                            <w:u w:val="single"/>
                            <w:lang w:val="en-US" w:eastAsia="en-US" w:bidi="ar-SA"/>
                          </w:rPr>
                          <w:t xml:space="preserve"> 元</w:t>
                        </w:r>
                        <w:r>
                          <w:rPr>
                            <w:rFonts w:ascii="宋体" w:hAnsi="宋体" w:eastAsia="宋体" w:cs="宋体"/>
                            <w:sz w:val="24"/>
                            <w:szCs w:val="22"/>
                            <w:lang w:val="en-US" w:eastAsia="en-US" w:bidi="ar-SA"/>
                          </w:rPr>
                          <w:t>、最高限价：</w:t>
                        </w:r>
                        <w:r>
                          <w:rPr>
                            <w:rFonts w:hint="eastAsia" w:ascii="宋体" w:hAnsi="宋体" w:eastAsia="宋体" w:cs="宋体"/>
                            <w:sz w:val="24"/>
                            <w:szCs w:val="22"/>
                            <w:u w:val="single"/>
                            <w:lang w:val="en-US" w:eastAsia="zh-CN" w:bidi="ar-SA"/>
                          </w:rPr>
                          <w:t>810000.00</w:t>
                        </w:r>
                        <w:r>
                          <w:rPr>
                            <w:rFonts w:ascii="宋体" w:hAnsi="宋体" w:eastAsia="宋体" w:cs="宋体"/>
                            <w:sz w:val="24"/>
                            <w:szCs w:val="22"/>
                            <w:lang w:val="en-US" w:eastAsia="en-US" w:bidi="ar-SA"/>
                          </w:rPr>
                          <w:t xml:space="preserve"> 元</w:t>
                        </w:r>
                      </w:p>
                      <w:p>
                        <w:pPr>
                          <w:pStyle w:val="8"/>
                          <w:bidi w:val="0"/>
                        </w:pPr>
                        <w:r>
                          <w:rPr>
                            <w:rFonts w:ascii="宋体" w:hAnsi="宋体" w:eastAsia="宋体" w:cs="宋体"/>
                            <w:sz w:val="24"/>
                            <w:szCs w:val="22"/>
                            <w:lang w:val="en-US" w:eastAsia="en-US" w:bidi="ar-SA"/>
                          </w:rPr>
                          <w:t xml:space="preserve">（谈判首次报价不能超过最高限价）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11" w:type="dxa"/>
                        <w:tcBorders>
                          <w:left w:val="single" w:color="000000" w:sz="8" w:space="0"/>
                        </w:tcBorders>
                      </w:tcPr>
                      <w:p>
                        <w:pPr>
                          <w:pStyle w:val="13"/>
                          <w:spacing w:before="165"/>
                          <w:ind w:right="52"/>
                          <w:jc w:val="right"/>
                          <w:rPr>
                            <w:sz w:val="24"/>
                          </w:rPr>
                        </w:pPr>
                        <w:r>
                          <w:rPr>
                            <w:sz w:val="24"/>
                          </w:rPr>
                          <w:t xml:space="preserve">2 </w:t>
                        </w:r>
                      </w:p>
                    </w:tc>
                    <w:tc>
                      <w:tcPr>
                        <w:tcW w:w="751" w:type="dxa"/>
                      </w:tcPr>
                      <w:p>
                        <w:pPr>
                          <w:pStyle w:val="13"/>
                          <w:spacing w:before="165"/>
                          <w:ind w:left="383"/>
                          <w:rPr>
                            <w:sz w:val="24"/>
                          </w:rPr>
                        </w:pPr>
                        <w:r>
                          <w:rPr>
                            <w:sz w:val="24"/>
                          </w:rPr>
                          <w:t xml:space="preserve"> </w:t>
                        </w:r>
                      </w:p>
                    </w:tc>
                    <w:tc>
                      <w:tcPr>
                        <w:tcW w:w="7524" w:type="dxa"/>
                      </w:tcPr>
                      <w:p>
                        <w:pPr>
                          <w:pStyle w:val="13"/>
                          <w:spacing w:before="93"/>
                          <w:ind w:left="112"/>
                          <w:rPr>
                            <w:sz w:val="24"/>
                          </w:rPr>
                        </w:pPr>
                        <w:r>
                          <w:rPr>
                            <w:sz w:val="24"/>
                          </w:rPr>
                          <w:t>是否允许中国境外供应商参加本采购项目：</w:t>
                        </w:r>
                        <w:r>
                          <w:rPr>
                            <w:b/>
                            <w:sz w:val="24"/>
                          </w:rPr>
                          <w:t>□</w:t>
                        </w:r>
                        <w:r>
                          <w:rPr>
                            <w:sz w:val="24"/>
                          </w:rPr>
                          <w:t xml:space="preserve">是/ </w:t>
                        </w:r>
                        <w:r>
                          <w:rPr>
                            <w:rFonts w:hint="eastAsia" w:ascii="HCR Batang" w:hAnsi="HCR Batang" w:eastAsia="HCR Batang"/>
                            <w:b/>
                            <w:sz w:val="24"/>
                          </w:rPr>
                          <w:t>☑</w:t>
                        </w:r>
                        <w:r>
                          <w:rPr>
                            <w:sz w:val="24"/>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3" w:hRule="atLeast"/>
                    </w:trPr>
                    <w:tc>
                      <w:tcPr>
                        <w:tcW w:w="511" w:type="dxa"/>
                        <w:tcBorders>
                          <w:left w:val="single" w:color="000000" w:sz="8" w:space="0"/>
                        </w:tcBorders>
                      </w:tcPr>
                      <w:p>
                        <w:pPr>
                          <w:pStyle w:val="13"/>
                          <w:rPr>
                            <w:sz w:val="24"/>
                          </w:rPr>
                        </w:pPr>
                      </w:p>
                      <w:p>
                        <w:pPr>
                          <w:pStyle w:val="13"/>
                          <w:spacing w:before="158"/>
                          <w:ind w:right="52"/>
                          <w:jc w:val="right"/>
                          <w:rPr>
                            <w:sz w:val="24"/>
                          </w:rPr>
                        </w:pPr>
                        <w:r>
                          <w:rPr>
                            <w:sz w:val="24"/>
                          </w:rPr>
                          <w:t xml:space="preserve">3 </w:t>
                        </w:r>
                      </w:p>
                    </w:tc>
                    <w:tc>
                      <w:tcPr>
                        <w:tcW w:w="751" w:type="dxa"/>
                      </w:tcPr>
                      <w:p>
                        <w:pPr>
                          <w:pStyle w:val="13"/>
                          <w:rPr>
                            <w:sz w:val="24"/>
                          </w:rPr>
                        </w:pPr>
                      </w:p>
                      <w:p>
                        <w:pPr>
                          <w:pStyle w:val="13"/>
                          <w:spacing w:before="158"/>
                          <w:ind w:left="323"/>
                          <w:rPr>
                            <w:sz w:val="24"/>
                          </w:rPr>
                        </w:pPr>
                        <w:r>
                          <w:rPr>
                            <w:sz w:val="24"/>
                          </w:rPr>
                          <w:t xml:space="preserve">3 </w:t>
                        </w:r>
                      </w:p>
                    </w:tc>
                    <w:tc>
                      <w:tcPr>
                        <w:tcW w:w="7524" w:type="dxa"/>
                      </w:tcPr>
                      <w:p>
                        <w:pPr>
                          <w:pStyle w:val="13"/>
                          <w:spacing w:before="75"/>
                          <w:ind w:left="112"/>
                          <w:rPr>
                            <w:sz w:val="24"/>
                          </w:rPr>
                        </w:pPr>
                        <w:r>
                          <w:rPr>
                            <w:sz w:val="24"/>
                          </w:rPr>
                          <w:t xml:space="preserve">资格标准： </w:t>
                        </w:r>
                      </w:p>
                      <w:p>
                        <w:pPr>
                          <w:pStyle w:val="13"/>
                          <w:spacing w:before="83"/>
                          <w:ind w:left="112"/>
                          <w:rPr>
                            <w:sz w:val="24"/>
                          </w:rPr>
                        </w:pPr>
                        <w:r>
                          <w:rPr>
                            <w:sz w:val="24"/>
                          </w:rPr>
                          <w:t>详见第三章《谈判响应供应商须知》第 3 条，以及第四章《采购内容</w:t>
                        </w:r>
                      </w:p>
                      <w:p>
                        <w:pPr>
                          <w:pStyle w:val="13"/>
                          <w:spacing w:before="98"/>
                          <w:ind w:left="112"/>
                          <w:rPr>
                            <w:sz w:val="24"/>
                          </w:rPr>
                        </w:pPr>
                        <w:r>
                          <w:rPr>
                            <w:sz w:val="24"/>
                          </w:rPr>
                          <w:t xml:space="preserve">及要求》有关内容。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511" w:type="dxa"/>
                        <w:tcBorders>
                          <w:left w:val="single" w:color="000000" w:sz="8" w:space="0"/>
                        </w:tcBorders>
                      </w:tcPr>
                      <w:p>
                        <w:pPr>
                          <w:pStyle w:val="13"/>
                          <w:rPr>
                            <w:sz w:val="24"/>
                          </w:rPr>
                        </w:pPr>
                      </w:p>
                      <w:p>
                        <w:pPr>
                          <w:pStyle w:val="13"/>
                          <w:spacing w:before="158"/>
                          <w:ind w:right="52"/>
                          <w:jc w:val="right"/>
                          <w:rPr>
                            <w:sz w:val="24"/>
                          </w:rPr>
                        </w:pPr>
                        <w:r>
                          <w:rPr>
                            <w:sz w:val="24"/>
                          </w:rPr>
                          <w:t xml:space="preserve">4 </w:t>
                        </w:r>
                      </w:p>
                    </w:tc>
                    <w:tc>
                      <w:tcPr>
                        <w:tcW w:w="751" w:type="dxa"/>
                      </w:tcPr>
                      <w:p>
                        <w:pPr>
                          <w:pStyle w:val="13"/>
                          <w:rPr>
                            <w:sz w:val="24"/>
                          </w:rPr>
                        </w:pPr>
                      </w:p>
                      <w:p>
                        <w:pPr>
                          <w:pStyle w:val="13"/>
                          <w:spacing w:before="158"/>
                          <w:ind w:left="112"/>
                          <w:rPr>
                            <w:sz w:val="24"/>
                          </w:rPr>
                        </w:pPr>
                        <w:r>
                          <w:rPr>
                            <w:sz w:val="24"/>
                          </w:rPr>
                          <w:t xml:space="preserve"> </w:t>
                        </w:r>
                      </w:p>
                    </w:tc>
                    <w:tc>
                      <w:tcPr>
                        <w:tcW w:w="7524" w:type="dxa"/>
                      </w:tcPr>
                      <w:p>
                        <w:pPr>
                          <w:pStyle w:val="13"/>
                          <w:spacing w:before="60" w:line="316" w:lineRule="auto"/>
                          <w:ind w:left="112" w:right="94"/>
                          <w:rPr>
                            <w:sz w:val="24"/>
                          </w:rPr>
                        </w:pPr>
                        <w:r>
                          <w:rPr>
                            <w:sz w:val="24"/>
                          </w:rPr>
                          <w:t xml:space="preserve">响应文件递交地址：铜仁市公共资源交易中心江口分中心（江口县庄尚大厦第 3 层）     </w:t>
                        </w:r>
                      </w:p>
                      <w:p>
                        <w:pPr>
                          <w:pStyle w:val="13"/>
                          <w:spacing w:line="294" w:lineRule="exact"/>
                          <w:ind w:left="112"/>
                          <w:rPr>
                            <w:sz w:val="24"/>
                          </w:rPr>
                        </w:pPr>
                        <w:r>
                          <w:rPr>
                            <w:sz w:val="24"/>
                          </w:rPr>
                          <w:t xml:space="preserve">响应文件提交截止时间：详见谈判邀请。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2" w:hRule="atLeast"/>
                    </w:trPr>
                    <w:tc>
                      <w:tcPr>
                        <w:tcW w:w="511" w:type="dxa"/>
                        <w:tcBorders>
                          <w:left w:val="single" w:color="000000" w:sz="8" w:space="0"/>
                        </w:tcBorders>
                      </w:tcPr>
                      <w:p>
                        <w:pPr>
                          <w:pStyle w:val="13"/>
                          <w:rPr>
                            <w:sz w:val="24"/>
                          </w:rPr>
                        </w:pPr>
                      </w:p>
                      <w:p>
                        <w:pPr>
                          <w:pStyle w:val="13"/>
                          <w:rPr>
                            <w:sz w:val="24"/>
                          </w:rPr>
                        </w:pPr>
                      </w:p>
                      <w:p>
                        <w:pPr>
                          <w:pStyle w:val="13"/>
                          <w:rPr>
                            <w:sz w:val="24"/>
                          </w:rPr>
                        </w:pPr>
                      </w:p>
                      <w:p>
                        <w:pPr>
                          <w:pStyle w:val="13"/>
                          <w:rPr>
                            <w:sz w:val="24"/>
                          </w:rPr>
                        </w:pPr>
                      </w:p>
                      <w:p>
                        <w:pPr>
                          <w:pStyle w:val="13"/>
                          <w:spacing w:before="10"/>
                          <w:rPr>
                            <w:sz w:val="18"/>
                          </w:rPr>
                        </w:pPr>
                      </w:p>
                      <w:p>
                        <w:pPr>
                          <w:pStyle w:val="13"/>
                          <w:spacing w:before="1"/>
                          <w:ind w:right="52"/>
                          <w:jc w:val="right"/>
                          <w:rPr>
                            <w:sz w:val="24"/>
                          </w:rPr>
                        </w:pPr>
                        <w:r>
                          <w:rPr>
                            <w:sz w:val="24"/>
                          </w:rPr>
                          <w:t xml:space="preserve">5 </w:t>
                        </w:r>
                      </w:p>
                    </w:tc>
                    <w:tc>
                      <w:tcPr>
                        <w:tcW w:w="751" w:type="dxa"/>
                      </w:tcPr>
                      <w:p>
                        <w:pPr>
                          <w:pStyle w:val="13"/>
                          <w:rPr>
                            <w:sz w:val="24"/>
                          </w:rPr>
                        </w:pPr>
                      </w:p>
                      <w:p>
                        <w:pPr>
                          <w:pStyle w:val="13"/>
                          <w:rPr>
                            <w:sz w:val="24"/>
                          </w:rPr>
                        </w:pPr>
                      </w:p>
                      <w:p>
                        <w:pPr>
                          <w:pStyle w:val="13"/>
                          <w:rPr>
                            <w:sz w:val="24"/>
                          </w:rPr>
                        </w:pPr>
                      </w:p>
                      <w:p>
                        <w:pPr>
                          <w:pStyle w:val="13"/>
                          <w:rPr>
                            <w:sz w:val="24"/>
                          </w:rPr>
                        </w:pPr>
                      </w:p>
                      <w:p>
                        <w:pPr>
                          <w:pStyle w:val="13"/>
                          <w:spacing w:before="10"/>
                          <w:rPr>
                            <w:sz w:val="18"/>
                          </w:rPr>
                        </w:pPr>
                      </w:p>
                      <w:p>
                        <w:pPr>
                          <w:pStyle w:val="13"/>
                          <w:spacing w:before="1"/>
                          <w:ind w:left="262"/>
                          <w:rPr>
                            <w:sz w:val="24"/>
                          </w:rPr>
                        </w:pPr>
                        <w:r>
                          <w:rPr>
                            <w:sz w:val="24"/>
                          </w:rPr>
                          <w:t xml:space="preserve">12 </w:t>
                        </w:r>
                      </w:p>
                    </w:tc>
                    <w:tc>
                      <w:tcPr>
                        <w:tcW w:w="7524" w:type="dxa"/>
                      </w:tcPr>
                      <w:p>
                        <w:pPr>
                          <w:pStyle w:val="13"/>
                          <w:spacing w:before="75" w:line="312" w:lineRule="auto"/>
                          <w:ind w:left="112" w:right="64"/>
                          <w:rPr>
                            <w:sz w:val="24"/>
                          </w:rPr>
                        </w:pPr>
                        <w:r>
                          <w:rPr>
                            <w:sz w:val="24"/>
                          </w:rPr>
                          <w:t>谈判保证金：响应文件应附有人民币</w:t>
                        </w:r>
                        <w:r>
                          <w:rPr>
                            <w:sz w:val="24"/>
                            <w:u w:val="single"/>
                          </w:rPr>
                          <w:t xml:space="preserve">：5000.00 </w:t>
                        </w:r>
                        <w:r>
                          <w:rPr>
                            <w:sz w:val="24"/>
                          </w:rPr>
                          <w:t xml:space="preserve">元整的谈判保证金， 保证金必须从供应商账户支付且在响应文件提交截止时间前到账，保证金应当采用支票、汇票、本票、网上银行支付等非现金形式交纳。为方便谈判保证金的收、退结算，请在银行汇款凭证上标注项目随机码，谈判保证金缴交凭证请随同响应文件同时送达。 （保证金不得超过采购项目预算金额的 </w:t>
                        </w:r>
                        <w:r>
                          <w:rPr>
                            <w:rFonts w:ascii="Arial" w:eastAsia="Arial"/>
                            <w:sz w:val="24"/>
                          </w:rPr>
                          <w:t>2%</w:t>
                        </w:r>
                        <w:r>
                          <w:rPr>
                            <w:sz w:val="24"/>
                          </w:rPr>
                          <w:t>）</w:t>
                        </w:r>
                      </w:p>
                      <w:p>
                        <w:pPr>
                          <w:pStyle w:val="13"/>
                          <w:spacing w:before="4"/>
                          <w:ind w:left="112"/>
                          <w:rPr>
                            <w:sz w:val="24"/>
                          </w:rPr>
                        </w:pPr>
                        <w:r>
                          <w:rPr>
                            <w:sz w:val="24"/>
                          </w:rPr>
                          <w:t>注：谈判保证金必须在提交响应文件截止时间前到帐，否则视为无效</w:t>
                        </w:r>
                      </w:p>
                      <w:p>
                        <w:pPr>
                          <w:pStyle w:val="13"/>
                          <w:spacing w:before="97" w:line="295" w:lineRule="exact"/>
                          <w:ind w:left="112"/>
                          <w:rPr>
                            <w:sz w:val="24"/>
                          </w:rPr>
                        </w:pPr>
                        <w:r>
                          <w:rPr>
                            <w:sz w:val="24"/>
                          </w:rPr>
                          <w:t xml:space="preserve">响应。          </w:t>
                        </w:r>
                      </w:p>
                    </w:tc>
                  </w:tr>
                </w:tbl>
                <w:p>
                  <w:pPr>
                    <w:pStyle w:val="8"/>
                  </w:pPr>
                </w:p>
              </w:txbxContent>
            </v:textbox>
          </v:shape>
        </w:pict>
      </w:r>
      <w:r>
        <w:rPr>
          <w:color w:val="auto"/>
        </w:rPr>
        <w:t xml:space="preserve">本须知前附表的条款号是与《谈判供应商须知》中条款的项号相对应的。如果有矛盾的话，应以本附表为准。  </w:t>
      </w:r>
    </w:p>
    <w:p>
      <w:pPr>
        <w:spacing w:after="0" w:line="304" w:lineRule="auto"/>
        <w:rPr>
          <w:color w:val="auto"/>
        </w:rPr>
        <w:sectPr>
          <w:pgSz w:w="11910" w:h="16850"/>
          <w:pgMar w:top="1400" w:right="0" w:bottom="1160" w:left="1260" w:header="0" w:footer="891" w:gutter="0"/>
          <w:cols w:space="720" w:num="1"/>
        </w:sectPr>
      </w:pPr>
    </w:p>
    <w:tbl>
      <w:tblPr>
        <w:tblStyle w:val="9"/>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751"/>
        <w:gridCol w:w="7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8" w:hRule="atLeast"/>
        </w:trPr>
        <w:tc>
          <w:tcPr>
            <w:tcW w:w="511" w:type="dxa"/>
            <w:tcBorders>
              <w:left w:val="single" w:color="000000" w:sz="8" w:space="0"/>
            </w:tcBorders>
          </w:tcPr>
          <w:p>
            <w:pPr>
              <w:pStyle w:val="13"/>
              <w:spacing w:before="11"/>
              <w:rPr>
                <w:color w:val="auto"/>
                <w:sz w:val="27"/>
              </w:rPr>
            </w:pPr>
          </w:p>
          <w:p>
            <w:pPr>
              <w:pStyle w:val="13"/>
              <w:ind w:left="200"/>
              <w:rPr>
                <w:color w:val="auto"/>
                <w:sz w:val="24"/>
              </w:rPr>
            </w:pPr>
            <w:r>
              <w:rPr>
                <w:color w:val="auto"/>
                <w:sz w:val="24"/>
              </w:rPr>
              <w:t xml:space="preserve">6 </w:t>
            </w:r>
          </w:p>
        </w:tc>
        <w:tc>
          <w:tcPr>
            <w:tcW w:w="751" w:type="dxa"/>
          </w:tcPr>
          <w:p>
            <w:pPr>
              <w:pStyle w:val="13"/>
              <w:spacing w:before="11"/>
              <w:rPr>
                <w:color w:val="auto"/>
                <w:sz w:val="27"/>
              </w:rPr>
            </w:pPr>
          </w:p>
          <w:p>
            <w:pPr>
              <w:pStyle w:val="13"/>
              <w:ind w:left="150"/>
              <w:jc w:val="center"/>
              <w:rPr>
                <w:color w:val="auto"/>
                <w:sz w:val="24"/>
              </w:rPr>
            </w:pPr>
            <w:r>
              <w:rPr>
                <w:color w:val="auto"/>
                <w:sz w:val="24"/>
              </w:rPr>
              <w:t xml:space="preserve"> </w:t>
            </w:r>
          </w:p>
        </w:tc>
        <w:tc>
          <w:tcPr>
            <w:tcW w:w="7524" w:type="dxa"/>
          </w:tcPr>
          <w:p>
            <w:pPr>
              <w:pStyle w:val="13"/>
              <w:spacing w:before="71" w:line="304" w:lineRule="auto"/>
              <w:ind w:left="112" w:right="3429"/>
              <w:rPr>
                <w:color w:val="auto"/>
                <w:sz w:val="24"/>
              </w:rPr>
            </w:pPr>
            <w:r>
              <w:rPr>
                <w:color w:val="auto"/>
                <w:sz w:val="24"/>
                <w:u w:val="single"/>
              </w:rPr>
              <w:t>谈判规则、评审标准：最低评标价法详见《谈判供应商须知前附表 3》；</w:t>
            </w: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4" w:hRule="atLeast"/>
        </w:trPr>
        <w:tc>
          <w:tcPr>
            <w:tcW w:w="511" w:type="dxa"/>
            <w:tcBorders>
              <w:left w:val="single" w:color="000000" w:sz="8" w:space="0"/>
            </w:tcBorders>
          </w:tcPr>
          <w:p>
            <w:pPr>
              <w:pStyle w:val="13"/>
              <w:rPr>
                <w:color w:val="auto"/>
                <w:sz w:val="24"/>
              </w:rPr>
            </w:pPr>
          </w:p>
          <w:p>
            <w:pPr>
              <w:pStyle w:val="13"/>
              <w:rPr>
                <w:color w:val="auto"/>
                <w:sz w:val="24"/>
              </w:rPr>
            </w:pPr>
          </w:p>
          <w:p>
            <w:pPr>
              <w:pStyle w:val="13"/>
              <w:spacing w:before="9"/>
              <w:rPr>
                <w:color w:val="auto"/>
                <w:sz w:val="19"/>
              </w:rPr>
            </w:pPr>
          </w:p>
          <w:p>
            <w:pPr>
              <w:pStyle w:val="13"/>
              <w:ind w:left="200"/>
              <w:rPr>
                <w:color w:val="auto"/>
                <w:sz w:val="24"/>
              </w:rPr>
            </w:pPr>
            <w:r>
              <w:rPr>
                <w:color w:val="auto"/>
                <w:sz w:val="24"/>
              </w:rPr>
              <w:t xml:space="preserve">7 </w:t>
            </w:r>
          </w:p>
        </w:tc>
        <w:tc>
          <w:tcPr>
            <w:tcW w:w="751" w:type="dxa"/>
          </w:tcPr>
          <w:p>
            <w:pPr>
              <w:pStyle w:val="13"/>
              <w:rPr>
                <w:color w:val="auto"/>
                <w:sz w:val="24"/>
              </w:rPr>
            </w:pPr>
          </w:p>
          <w:p>
            <w:pPr>
              <w:pStyle w:val="13"/>
              <w:rPr>
                <w:color w:val="auto"/>
                <w:sz w:val="24"/>
              </w:rPr>
            </w:pPr>
          </w:p>
          <w:p>
            <w:pPr>
              <w:pStyle w:val="13"/>
              <w:spacing w:before="9"/>
              <w:rPr>
                <w:color w:val="auto"/>
                <w:sz w:val="19"/>
              </w:rPr>
            </w:pPr>
          </w:p>
          <w:p>
            <w:pPr>
              <w:pStyle w:val="13"/>
              <w:ind w:left="186" w:right="29"/>
              <w:jc w:val="center"/>
              <w:rPr>
                <w:color w:val="auto"/>
                <w:sz w:val="24"/>
              </w:rPr>
            </w:pPr>
            <w:r>
              <w:rPr>
                <w:color w:val="auto"/>
                <w:sz w:val="24"/>
              </w:rPr>
              <w:t xml:space="preserve">22.4 </w:t>
            </w:r>
          </w:p>
        </w:tc>
        <w:tc>
          <w:tcPr>
            <w:tcW w:w="7524" w:type="dxa"/>
          </w:tcPr>
          <w:p>
            <w:pPr>
              <w:pStyle w:val="13"/>
              <w:spacing w:before="72" w:line="312" w:lineRule="auto"/>
              <w:ind w:left="112" w:right="-44"/>
              <w:rPr>
                <w:color w:val="auto"/>
                <w:sz w:val="24"/>
              </w:rPr>
            </w:pPr>
            <w:r>
              <w:rPr>
                <w:color w:val="auto"/>
                <w:sz w:val="24"/>
              </w:rPr>
              <w:t>谈判代理服务费标准及收取方式：</w:t>
            </w:r>
            <w:r>
              <w:rPr>
                <w:color w:val="auto"/>
                <w:spacing w:val="1"/>
                <w:sz w:val="24"/>
                <w:u w:val="single"/>
              </w:rPr>
              <w:t>中标人保证在领取中标通知书前，</w:t>
            </w:r>
            <w:r>
              <w:rPr>
                <w:color w:val="auto"/>
                <w:spacing w:val="1"/>
                <w:sz w:val="24"/>
              </w:rPr>
              <w:t xml:space="preserve"> </w:t>
            </w:r>
            <w:r>
              <w:rPr>
                <w:color w:val="auto"/>
                <w:sz w:val="24"/>
                <w:u w:val="single"/>
              </w:rPr>
              <w:t>按招标代理合同</w:t>
            </w:r>
            <w:r>
              <w:rPr>
                <w:rFonts w:hint="eastAsia"/>
                <w:color w:val="auto"/>
                <w:sz w:val="24"/>
                <w:u w:val="single"/>
              </w:rPr>
              <w:t>国家发改委发改办价格[2011]534 号</w:t>
            </w:r>
            <w:r>
              <w:rPr>
                <w:color w:val="auto"/>
                <w:spacing w:val="-20"/>
                <w:sz w:val="24"/>
                <w:u w:val="single"/>
              </w:rPr>
              <w:t>的“招标代理服务收费标准”，</w:t>
            </w:r>
            <w:r>
              <w:rPr>
                <w:color w:val="auto"/>
                <w:spacing w:val="-20"/>
                <w:sz w:val="24"/>
              </w:rPr>
              <w:t xml:space="preserve"> </w:t>
            </w:r>
            <w:r>
              <w:rPr>
                <w:color w:val="auto"/>
                <w:sz w:val="24"/>
                <w:u w:val="single"/>
              </w:rPr>
              <w:t>以中标金额为基数向代理机构交纳中标服务费，专家论证费和评审费</w:t>
            </w:r>
          </w:p>
          <w:p>
            <w:pPr>
              <w:pStyle w:val="13"/>
              <w:spacing w:line="300" w:lineRule="exact"/>
              <w:ind w:left="112"/>
              <w:rPr>
                <w:color w:val="auto"/>
                <w:sz w:val="24"/>
              </w:rPr>
            </w:pPr>
            <w:r>
              <w:rPr>
                <w:color w:val="auto"/>
                <w:sz w:val="24"/>
                <w:u w:val="single"/>
              </w:rPr>
              <w:t>由中标人承担。</w:t>
            </w: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trPr>
        <w:tc>
          <w:tcPr>
            <w:tcW w:w="511" w:type="dxa"/>
            <w:tcBorders>
              <w:left w:val="single" w:color="000000" w:sz="8" w:space="0"/>
            </w:tcBorders>
          </w:tcPr>
          <w:p>
            <w:pPr>
              <w:pStyle w:val="13"/>
              <w:rPr>
                <w:color w:val="auto"/>
                <w:sz w:val="24"/>
              </w:rPr>
            </w:pPr>
          </w:p>
          <w:p>
            <w:pPr>
              <w:pStyle w:val="13"/>
              <w:rPr>
                <w:color w:val="auto"/>
                <w:sz w:val="24"/>
              </w:rPr>
            </w:pPr>
          </w:p>
          <w:p>
            <w:pPr>
              <w:pStyle w:val="13"/>
              <w:rPr>
                <w:color w:val="auto"/>
                <w:sz w:val="22"/>
              </w:rPr>
            </w:pPr>
          </w:p>
          <w:p>
            <w:pPr>
              <w:pStyle w:val="13"/>
              <w:ind w:left="200"/>
              <w:rPr>
                <w:color w:val="auto"/>
                <w:sz w:val="24"/>
              </w:rPr>
            </w:pPr>
            <w:r>
              <w:rPr>
                <w:color w:val="auto"/>
                <w:sz w:val="24"/>
              </w:rPr>
              <w:t xml:space="preserve">8 </w:t>
            </w:r>
          </w:p>
        </w:tc>
        <w:tc>
          <w:tcPr>
            <w:tcW w:w="751" w:type="dxa"/>
          </w:tcPr>
          <w:p>
            <w:pPr>
              <w:pStyle w:val="13"/>
              <w:rPr>
                <w:color w:val="auto"/>
                <w:sz w:val="24"/>
              </w:rPr>
            </w:pPr>
          </w:p>
          <w:p>
            <w:pPr>
              <w:pStyle w:val="13"/>
              <w:rPr>
                <w:color w:val="auto"/>
                <w:sz w:val="24"/>
              </w:rPr>
            </w:pPr>
          </w:p>
          <w:p>
            <w:pPr>
              <w:pStyle w:val="13"/>
              <w:rPr>
                <w:color w:val="auto"/>
                <w:sz w:val="22"/>
              </w:rPr>
            </w:pPr>
          </w:p>
          <w:p>
            <w:pPr>
              <w:pStyle w:val="13"/>
              <w:ind w:left="150"/>
              <w:jc w:val="center"/>
              <w:rPr>
                <w:color w:val="auto"/>
                <w:sz w:val="24"/>
              </w:rPr>
            </w:pPr>
            <w:r>
              <w:rPr>
                <w:color w:val="auto"/>
                <w:sz w:val="24"/>
              </w:rPr>
              <w:t xml:space="preserve"> </w:t>
            </w:r>
          </w:p>
        </w:tc>
        <w:tc>
          <w:tcPr>
            <w:tcW w:w="7524" w:type="dxa"/>
          </w:tcPr>
          <w:p>
            <w:pPr>
              <w:pStyle w:val="13"/>
              <w:ind w:left="112"/>
              <w:rPr>
                <w:color w:val="auto"/>
                <w:sz w:val="24"/>
              </w:rPr>
            </w:pPr>
            <w:r>
              <w:rPr>
                <w:color w:val="auto"/>
                <w:sz w:val="24"/>
              </w:rPr>
              <w:t xml:space="preserve">履约保证金额： </w:t>
            </w:r>
          </w:p>
          <w:p>
            <w:pPr>
              <w:pStyle w:val="13"/>
              <w:tabs>
                <w:tab w:val="left" w:pos="532"/>
              </w:tabs>
              <w:spacing w:before="83"/>
              <w:ind w:left="112"/>
              <w:rPr>
                <w:color w:val="auto"/>
                <w:sz w:val="24"/>
              </w:rPr>
            </w:pPr>
            <w:r>
              <w:rPr>
                <w:color w:val="auto"/>
                <w:sz w:val="24"/>
              </w:rPr>
              <w:t xml:space="preserve"> </w:t>
            </w:r>
            <w:r>
              <w:rPr>
                <w:color w:val="auto"/>
                <w:sz w:val="24"/>
              </w:rPr>
              <w:tab/>
            </w:r>
            <w:r>
              <w:rPr>
                <w:color w:val="auto"/>
                <w:spacing w:val="-5"/>
                <w:sz w:val="24"/>
              </w:rPr>
              <w:t xml:space="preserve">如有履约履约保证金，担保金额为合同价款的 </w:t>
            </w:r>
            <w:r>
              <w:rPr>
                <w:color w:val="auto"/>
                <w:spacing w:val="-4"/>
                <w:sz w:val="24"/>
              </w:rPr>
              <w:t>10%</w:t>
            </w:r>
            <w:r>
              <w:rPr>
                <w:color w:val="auto"/>
                <w:spacing w:val="-2"/>
                <w:sz w:val="24"/>
              </w:rPr>
              <w:t>，币种为人民币</w:t>
            </w:r>
          </w:p>
          <w:p>
            <w:pPr>
              <w:pStyle w:val="13"/>
              <w:spacing w:before="98" w:line="316" w:lineRule="auto"/>
              <w:ind w:left="112" w:right="80"/>
              <w:rPr>
                <w:color w:val="auto"/>
                <w:sz w:val="24"/>
              </w:rPr>
            </w:pPr>
            <w:r>
              <w:rPr>
                <w:color w:val="auto"/>
                <w:sz w:val="24"/>
              </w:rPr>
              <w:t>（不计息</w:t>
            </w:r>
            <w:r>
              <w:rPr>
                <w:color w:val="auto"/>
                <w:spacing w:val="-15"/>
                <w:sz w:val="24"/>
              </w:rPr>
              <w:t>）</w:t>
            </w:r>
            <w:r>
              <w:rPr>
                <w:color w:val="auto"/>
                <w:spacing w:val="-9"/>
                <w:sz w:val="24"/>
              </w:rPr>
              <w:t xml:space="preserve">。供应商为中小企业的，按《谈判须知前附表 </w:t>
            </w:r>
            <w:r>
              <w:rPr>
                <w:color w:val="auto"/>
                <w:sz w:val="24"/>
              </w:rPr>
              <w:t>4</w:t>
            </w:r>
            <w:r>
              <w:rPr>
                <w:color w:val="auto"/>
                <w:spacing w:val="-4"/>
                <w:sz w:val="24"/>
              </w:rPr>
              <w:t xml:space="preserve">》的相关要求执行。 </w:t>
            </w:r>
          </w:p>
        </w:tc>
      </w:tr>
    </w:tbl>
    <w:p>
      <w:pPr>
        <w:spacing w:after="0"/>
        <w:rPr>
          <w:color w:val="auto"/>
          <w:sz w:val="24"/>
        </w:rPr>
        <w:sectPr>
          <w:pgSz w:w="11910" w:h="16850"/>
          <w:pgMar w:top="1440" w:right="0" w:bottom="1080" w:left="1260" w:header="0" w:footer="891" w:gutter="0"/>
          <w:cols w:space="720" w:num="1"/>
        </w:sectPr>
      </w:pPr>
    </w:p>
    <w:p>
      <w:pPr>
        <w:pStyle w:val="5"/>
        <w:spacing w:before="111"/>
        <w:ind w:left="1953"/>
        <w:rPr>
          <w:color w:val="auto"/>
          <w:sz w:val="31"/>
        </w:rPr>
      </w:pPr>
      <w:r>
        <w:rPr>
          <w:color w:val="auto"/>
          <w:u w:val="single"/>
        </w:rPr>
        <w:t>谈判供应商须知前附表 2:资格性、符合性检查表</w:t>
      </w:r>
      <w:r>
        <w:rPr>
          <w:color w:val="auto"/>
          <w:w w:val="100"/>
          <w:sz w:val="31"/>
        </w:rPr>
        <w:t xml:space="preserve"> </w:t>
      </w:r>
    </w:p>
    <w:p>
      <w:pPr>
        <w:pStyle w:val="8"/>
        <w:spacing w:before="98" w:line="304" w:lineRule="auto"/>
        <w:ind w:left="481" w:right="1796" w:firstLine="496"/>
        <w:rPr>
          <w:color w:val="auto"/>
        </w:rPr>
      </w:pPr>
      <w:r>
        <w:rPr>
          <w:color w:val="auto"/>
        </w:rPr>
        <w:pict>
          <v:shape id="_x0000_s1033" o:spid="_x0000_s1033" o:spt="202" type="#_x0000_t202" style="position:absolute;left:0pt;margin-left:81.05pt;margin-top:40.9pt;height:658pt;width:427.7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5"/>
                    <w:gridCol w:w="511"/>
                    <w:gridCol w:w="540"/>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30" w:type="dxa"/>
                        <w:gridSpan w:val="4"/>
                      </w:tcPr>
                      <w:p>
                        <w:pPr>
                          <w:pStyle w:val="13"/>
                          <w:spacing w:before="75" w:line="295" w:lineRule="exact"/>
                          <w:ind w:left="3703" w:right="3567"/>
                          <w:jc w:val="center"/>
                          <w:rPr>
                            <w:b/>
                            <w:sz w:val="24"/>
                          </w:rPr>
                        </w:pPr>
                        <w:r>
                          <w:rPr>
                            <w:b/>
                            <w:sz w:val="24"/>
                          </w:rPr>
                          <w:t>资格性要求</w:t>
                        </w:r>
                        <w:r>
                          <w:rPr>
                            <w:b/>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435" w:type="dxa"/>
                      </w:tcPr>
                      <w:p>
                        <w:pPr>
                          <w:pStyle w:val="13"/>
                          <w:spacing w:before="1"/>
                          <w:rPr>
                            <w:sz w:val="21"/>
                          </w:rPr>
                        </w:pPr>
                      </w:p>
                      <w:p>
                        <w:pPr>
                          <w:pStyle w:val="13"/>
                          <w:spacing w:line="316" w:lineRule="auto"/>
                          <w:ind w:left="112" w:right="-58"/>
                          <w:rPr>
                            <w:sz w:val="24"/>
                          </w:rPr>
                        </w:pPr>
                        <w:r>
                          <w:rPr>
                            <w:sz w:val="24"/>
                          </w:rPr>
                          <w:t xml:space="preserve">项号 </w:t>
                        </w:r>
                      </w:p>
                    </w:tc>
                    <w:tc>
                      <w:tcPr>
                        <w:tcW w:w="511" w:type="dxa"/>
                      </w:tcPr>
                      <w:p>
                        <w:pPr>
                          <w:pStyle w:val="13"/>
                          <w:rPr>
                            <w:sz w:val="24"/>
                          </w:rPr>
                        </w:pPr>
                      </w:p>
                      <w:p>
                        <w:pPr>
                          <w:pStyle w:val="13"/>
                          <w:spacing w:before="173"/>
                          <w:ind w:left="187" w:right="29"/>
                          <w:jc w:val="center"/>
                          <w:rPr>
                            <w:sz w:val="24"/>
                          </w:rPr>
                        </w:pPr>
                        <w:r>
                          <w:rPr>
                            <w:sz w:val="24"/>
                          </w:rPr>
                          <w:t xml:space="preserve">章 </w:t>
                        </w:r>
                      </w:p>
                    </w:tc>
                    <w:tc>
                      <w:tcPr>
                        <w:tcW w:w="540" w:type="dxa"/>
                      </w:tcPr>
                      <w:p>
                        <w:pPr>
                          <w:pStyle w:val="13"/>
                          <w:spacing w:before="75"/>
                          <w:ind w:left="158"/>
                          <w:rPr>
                            <w:sz w:val="24"/>
                          </w:rPr>
                        </w:pPr>
                        <w:r>
                          <w:rPr>
                            <w:sz w:val="24"/>
                          </w:rPr>
                          <w:t>条</w:t>
                        </w:r>
                      </w:p>
                      <w:p>
                        <w:pPr>
                          <w:pStyle w:val="13"/>
                          <w:spacing w:before="16" w:line="390" w:lineRule="atLeast"/>
                          <w:ind w:left="158" w:right="4"/>
                          <w:rPr>
                            <w:sz w:val="24"/>
                          </w:rPr>
                        </w:pPr>
                        <w:r>
                          <w:rPr>
                            <w:sz w:val="24"/>
                          </w:rPr>
                          <w:t xml:space="preserve">款号 </w:t>
                        </w:r>
                      </w:p>
                    </w:tc>
                    <w:tc>
                      <w:tcPr>
                        <w:tcW w:w="7044" w:type="dxa"/>
                      </w:tcPr>
                      <w:p>
                        <w:pPr>
                          <w:pStyle w:val="13"/>
                          <w:rPr>
                            <w:sz w:val="24"/>
                          </w:rPr>
                        </w:pPr>
                      </w:p>
                      <w:p>
                        <w:pPr>
                          <w:pStyle w:val="13"/>
                          <w:spacing w:before="173"/>
                          <w:ind w:left="3098" w:right="2931"/>
                          <w:jc w:val="center"/>
                          <w:rPr>
                            <w:sz w:val="24"/>
                          </w:rPr>
                        </w:pPr>
                        <w:r>
                          <w:rPr>
                            <w:sz w:val="24"/>
                          </w:rPr>
                          <w:t xml:space="preserve">具体内容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35" w:type="dxa"/>
                      </w:tcPr>
                      <w:p>
                        <w:pPr>
                          <w:pStyle w:val="13"/>
                          <w:spacing w:before="75"/>
                          <w:ind w:right="21"/>
                          <w:jc w:val="right"/>
                          <w:rPr>
                            <w:sz w:val="24"/>
                          </w:rPr>
                        </w:pPr>
                        <w:r>
                          <w:rPr>
                            <w:sz w:val="24"/>
                          </w:rPr>
                          <w:t xml:space="preserve">1 </w:t>
                        </w:r>
                      </w:p>
                    </w:tc>
                    <w:tc>
                      <w:tcPr>
                        <w:tcW w:w="511" w:type="dxa"/>
                      </w:tcPr>
                      <w:p>
                        <w:pPr>
                          <w:pStyle w:val="13"/>
                          <w:spacing w:before="75"/>
                          <w:ind w:left="187" w:right="29"/>
                          <w:jc w:val="center"/>
                          <w:rPr>
                            <w:sz w:val="24"/>
                          </w:rPr>
                        </w:pPr>
                        <w:r>
                          <w:rPr>
                            <w:sz w:val="24"/>
                          </w:rPr>
                          <w:t xml:space="preserve">二 </w:t>
                        </w:r>
                      </w:p>
                    </w:tc>
                    <w:tc>
                      <w:tcPr>
                        <w:tcW w:w="540" w:type="dxa"/>
                      </w:tcPr>
                      <w:p>
                        <w:pPr>
                          <w:pStyle w:val="13"/>
                          <w:spacing w:before="1"/>
                          <w:rPr>
                            <w:sz w:val="21"/>
                          </w:rPr>
                        </w:pPr>
                      </w:p>
                      <w:p>
                        <w:pPr>
                          <w:pStyle w:val="13"/>
                          <w:ind w:right="64"/>
                          <w:jc w:val="right"/>
                          <w:rPr>
                            <w:sz w:val="24"/>
                          </w:rPr>
                        </w:pPr>
                        <w:r>
                          <w:rPr>
                            <w:sz w:val="24"/>
                          </w:rPr>
                          <w:t xml:space="preserve">3 </w:t>
                        </w:r>
                      </w:p>
                    </w:tc>
                    <w:tc>
                      <w:tcPr>
                        <w:tcW w:w="7044" w:type="dxa"/>
                      </w:tcPr>
                      <w:p>
                        <w:pPr>
                          <w:pStyle w:val="13"/>
                          <w:spacing w:before="75"/>
                          <w:ind w:left="128"/>
                          <w:rPr>
                            <w:sz w:val="24"/>
                          </w:rPr>
                        </w:pPr>
                        <w:r>
                          <w:rPr>
                            <w:sz w:val="24"/>
                          </w:rPr>
                          <w:t xml:space="preserve">合格的谈判供应商 </w:t>
                        </w:r>
                      </w:p>
                      <w:p>
                        <w:pPr>
                          <w:pStyle w:val="13"/>
                          <w:spacing w:before="83"/>
                          <w:ind w:left="128"/>
                          <w:rPr>
                            <w:sz w:val="24"/>
                          </w:rPr>
                        </w:pPr>
                        <w:r>
                          <w:rPr>
                            <w:sz w:val="24"/>
                          </w:rPr>
                          <w:t xml:space="preserve">具体内容详见第三章第 3 条“合格的谈判供应商”。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435" w:type="dxa"/>
                      </w:tcPr>
                      <w:p>
                        <w:pPr>
                          <w:pStyle w:val="13"/>
                          <w:spacing w:before="75"/>
                          <w:ind w:right="21"/>
                          <w:jc w:val="right"/>
                          <w:rPr>
                            <w:sz w:val="24"/>
                          </w:rPr>
                        </w:pPr>
                        <w:r>
                          <w:rPr>
                            <w:sz w:val="24"/>
                          </w:rPr>
                          <w:t xml:space="preserve">2 </w:t>
                        </w:r>
                      </w:p>
                    </w:tc>
                    <w:tc>
                      <w:tcPr>
                        <w:tcW w:w="511" w:type="dxa"/>
                      </w:tcPr>
                      <w:p>
                        <w:pPr>
                          <w:pStyle w:val="13"/>
                          <w:spacing w:before="75"/>
                          <w:ind w:left="151"/>
                          <w:jc w:val="center"/>
                          <w:rPr>
                            <w:sz w:val="24"/>
                          </w:rPr>
                        </w:pPr>
                        <w:r>
                          <w:rPr>
                            <w:sz w:val="24"/>
                          </w:rPr>
                          <w:t xml:space="preserve"> </w:t>
                        </w:r>
                      </w:p>
                    </w:tc>
                    <w:tc>
                      <w:tcPr>
                        <w:tcW w:w="540" w:type="dxa"/>
                      </w:tcPr>
                      <w:p>
                        <w:pPr>
                          <w:pStyle w:val="13"/>
                          <w:spacing w:before="1"/>
                          <w:rPr>
                            <w:sz w:val="21"/>
                          </w:rPr>
                        </w:pPr>
                      </w:p>
                      <w:p>
                        <w:pPr>
                          <w:pStyle w:val="13"/>
                          <w:ind w:right="124"/>
                          <w:jc w:val="right"/>
                          <w:rPr>
                            <w:sz w:val="24"/>
                          </w:rPr>
                        </w:pPr>
                        <w:r>
                          <w:rPr>
                            <w:sz w:val="24"/>
                          </w:rPr>
                          <w:t xml:space="preserve"> </w:t>
                        </w:r>
                      </w:p>
                    </w:tc>
                    <w:tc>
                      <w:tcPr>
                        <w:tcW w:w="7044" w:type="dxa"/>
                      </w:tcPr>
                      <w:p>
                        <w:pPr>
                          <w:pStyle w:val="13"/>
                          <w:spacing w:before="3" w:line="390" w:lineRule="exact"/>
                          <w:ind w:left="128" w:right="49"/>
                          <w:rPr>
                            <w:sz w:val="24"/>
                          </w:rPr>
                        </w:pPr>
                        <w:r>
                          <w:rPr>
                            <w:sz w:val="24"/>
                          </w:rPr>
                          <w:t xml:space="preserve">谈判代表若不是法定代表人，则必须提供法定代表人对谈判代表的授权书原件及谈判代表的身份证复印件（正反面均需复印）。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3" w:hRule="atLeast"/>
                    </w:trPr>
                    <w:tc>
                      <w:tcPr>
                        <w:tcW w:w="435" w:type="dxa"/>
                      </w:tcPr>
                      <w:p>
                        <w:pPr>
                          <w:pStyle w:val="13"/>
                          <w:spacing w:before="75"/>
                          <w:ind w:right="21"/>
                          <w:jc w:val="right"/>
                          <w:rPr>
                            <w:sz w:val="24"/>
                          </w:rPr>
                        </w:pPr>
                        <w:r>
                          <w:rPr>
                            <w:sz w:val="24"/>
                          </w:rPr>
                          <w:t xml:space="preserve">3 </w:t>
                        </w:r>
                      </w:p>
                    </w:tc>
                    <w:tc>
                      <w:tcPr>
                        <w:tcW w:w="511" w:type="dxa"/>
                      </w:tcPr>
                      <w:p>
                        <w:pPr>
                          <w:pStyle w:val="13"/>
                          <w:spacing w:before="75"/>
                          <w:ind w:left="187" w:right="29"/>
                          <w:jc w:val="center"/>
                          <w:rPr>
                            <w:sz w:val="24"/>
                          </w:rPr>
                        </w:pPr>
                        <w:r>
                          <w:rPr>
                            <w:sz w:val="24"/>
                          </w:rPr>
                          <w:t xml:space="preserve">二 </w:t>
                        </w:r>
                      </w:p>
                    </w:tc>
                    <w:tc>
                      <w:tcPr>
                        <w:tcW w:w="54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21"/>
                          </w:rPr>
                        </w:pPr>
                      </w:p>
                      <w:p>
                        <w:pPr>
                          <w:pStyle w:val="13"/>
                          <w:ind w:left="158"/>
                          <w:rPr>
                            <w:sz w:val="24"/>
                          </w:rPr>
                        </w:pPr>
                        <w:r>
                          <w:rPr>
                            <w:sz w:val="24"/>
                          </w:rPr>
                          <w:t>3.</w:t>
                        </w:r>
                      </w:p>
                      <w:p>
                        <w:pPr>
                          <w:pStyle w:val="13"/>
                          <w:spacing w:before="83"/>
                          <w:ind w:left="218"/>
                          <w:rPr>
                            <w:sz w:val="24"/>
                          </w:rPr>
                        </w:pPr>
                        <w:r>
                          <w:rPr>
                            <w:sz w:val="24"/>
                          </w:rPr>
                          <w:t xml:space="preserve">1 </w:t>
                        </w:r>
                      </w:p>
                    </w:tc>
                    <w:tc>
                      <w:tcPr>
                        <w:tcW w:w="7044" w:type="dxa"/>
                      </w:tcPr>
                      <w:p>
                        <w:pPr>
                          <w:pStyle w:val="13"/>
                          <w:spacing w:before="75" w:line="304" w:lineRule="auto"/>
                          <w:ind w:left="128" w:right="168" w:firstLine="480"/>
                          <w:rPr>
                            <w:sz w:val="24"/>
                          </w:rPr>
                        </w:pPr>
                        <w:r>
                          <w:rPr>
                            <w:sz w:val="24"/>
                          </w:rPr>
                          <w:t xml:space="preserve">参加政府采购活动的谈判供应商应当符合《中华人民共和国政府采购法》第二十二条规定： </w:t>
                        </w:r>
                      </w:p>
                      <w:p>
                        <w:pPr>
                          <w:pStyle w:val="13"/>
                          <w:spacing w:before="30" w:line="309" w:lineRule="auto"/>
                          <w:ind w:left="128" w:right="46" w:firstLine="465"/>
                          <w:jc w:val="both"/>
                          <w:rPr>
                            <w:sz w:val="24"/>
                          </w:rPr>
                        </w:pPr>
                        <w:r>
                          <w:rPr>
                            <w:spacing w:val="-12"/>
                            <w:sz w:val="24"/>
                          </w:rPr>
                          <w:t>符合《中华人民共和国政府采购法》第二十二条规定的供应商</w:t>
                        </w:r>
                        <w:r>
                          <w:rPr>
                            <w:spacing w:val="-14"/>
                            <w:sz w:val="24"/>
                          </w:rPr>
                          <w:t>条件，提供《中华人民共和国政府采购法实施条例》第十七条规定的证明材料。</w:t>
                        </w:r>
                      </w:p>
                      <w:p>
                        <w:pPr>
                          <w:pStyle w:val="13"/>
                          <w:spacing w:before="11" w:line="309" w:lineRule="auto"/>
                          <w:ind w:left="128" w:right="45" w:firstLine="465"/>
                          <w:jc w:val="both"/>
                          <w:rPr>
                            <w:sz w:val="24"/>
                          </w:rPr>
                        </w:pPr>
                        <w:r>
                          <w:rPr>
                            <w:sz w:val="24"/>
                          </w:rPr>
                          <w:t>a.</w:t>
                        </w:r>
                        <w:r>
                          <w:rPr>
                            <w:spacing w:val="-12"/>
                            <w:sz w:val="24"/>
                          </w:rPr>
                          <w:t>提供事业单位法人证书或营业执照复印件、组织机构代码证</w:t>
                        </w:r>
                        <w:r>
                          <w:rPr>
                            <w:spacing w:val="-11"/>
                            <w:sz w:val="24"/>
                          </w:rPr>
                          <w:t>复印件、税务登记证复印件</w:t>
                        </w:r>
                        <w:r>
                          <w:rPr>
                            <w:sz w:val="24"/>
                          </w:rPr>
                          <w:t>（</w:t>
                        </w:r>
                        <w:r>
                          <w:rPr>
                            <w:spacing w:val="-7"/>
                            <w:sz w:val="24"/>
                          </w:rPr>
                          <w:t>或三证合一或五证合一的营业执照复印件或扫描件，加盖单位公章</w:t>
                        </w:r>
                        <w:r>
                          <w:rPr>
                            <w:spacing w:val="-8"/>
                            <w:sz w:val="24"/>
                          </w:rPr>
                          <w:t>）；</w:t>
                        </w:r>
                      </w:p>
                      <w:p>
                        <w:pPr>
                          <w:pStyle w:val="13"/>
                          <w:spacing w:before="98" w:line="304" w:lineRule="auto"/>
                          <w:ind w:left="128" w:right="59"/>
                          <w:rPr>
                            <w:sz w:val="24"/>
                          </w:rPr>
                        </w:pPr>
                        <w:r>
                          <w:rPr>
                            <w:sz w:val="24"/>
                          </w:rPr>
                          <w:t>b.</w:t>
                        </w:r>
                        <w:r>
                          <w:rPr>
                            <w:spacing w:val="-9"/>
                            <w:sz w:val="24"/>
                          </w:rPr>
                          <w:t>具有良好的商业信誉和健全的财务会计制度：</w:t>
                        </w:r>
                        <w:r>
                          <w:rPr>
                            <w:rFonts w:hint="eastAsia"/>
                            <w:spacing w:val="-9"/>
                            <w:sz w:val="24"/>
                            <w:lang w:eastAsia="zh-CN"/>
                          </w:rPr>
                          <w:t>提供 2019-2020 年度（任意一年）经审计的完整有效的财务报告复印件（加盖公章），或 2019-2020 年度（任意一年）投标人内部的财务报表复印件（加盖公章）</w:t>
                        </w:r>
                        <w:r>
                          <w:rPr>
                            <w:sz w:val="24"/>
                          </w:rPr>
                          <w:t xml:space="preserve">，成立不满一年的企业提供银行资信证明； </w:t>
                        </w:r>
                      </w:p>
                      <w:p>
                        <w:pPr>
                          <w:pStyle w:val="13"/>
                          <w:spacing w:before="14" w:line="316" w:lineRule="auto"/>
                          <w:ind w:left="128" w:right="64" w:firstLine="465"/>
                          <w:rPr>
                            <w:sz w:val="24"/>
                          </w:rPr>
                        </w:pPr>
                        <w:r>
                          <w:rPr>
                            <w:sz w:val="24"/>
                          </w:rPr>
                          <w:t xml:space="preserve">c.具有履行合同所必须的设备和专业技术能力：提供书面承诺； </w:t>
                        </w:r>
                      </w:p>
                      <w:p>
                        <w:pPr>
                          <w:pStyle w:val="13"/>
                          <w:spacing w:line="291" w:lineRule="exact"/>
                          <w:ind w:left="594"/>
                          <w:rPr>
                            <w:sz w:val="24"/>
                          </w:rPr>
                        </w:pPr>
                        <w:r>
                          <w:rPr>
                            <w:sz w:val="24"/>
                          </w:rPr>
                          <w:t>d.</w:t>
                        </w:r>
                        <w:r>
                          <w:rPr>
                            <w:spacing w:val="-11"/>
                            <w:sz w:val="24"/>
                          </w:rPr>
                          <w:t>具有依法缴纳税收和社会保障资金的良好记录：提供依法缴</w:t>
                        </w:r>
                      </w:p>
                      <w:p>
                        <w:pPr>
                          <w:pStyle w:val="13"/>
                          <w:spacing w:before="99" w:line="316" w:lineRule="auto"/>
                          <w:ind w:left="128" w:right="63"/>
                          <w:rPr>
                            <w:sz w:val="24"/>
                          </w:rPr>
                        </w:pPr>
                        <w:r>
                          <w:rPr>
                            <w:spacing w:val="-1"/>
                            <w:sz w:val="24"/>
                          </w:rPr>
                          <w:t>纳税收和社会保障资金的相关凭证</w:t>
                        </w:r>
                        <w:r>
                          <w:rPr>
                            <w:sz w:val="24"/>
                          </w:rPr>
                          <w:t>（</w:t>
                        </w:r>
                        <w:r>
                          <w:rPr>
                            <w:spacing w:val="-21"/>
                            <w:sz w:val="24"/>
                          </w:rPr>
                          <w:t xml:space="preserve">提供 </w:t>
                        </w:r>
                        <w:r>
                          <w:rPr>
                            <w:sz w:val="24"/>
                          </w:rPr>
                          <w:t>2021</w:t>
                        </w:r>
                        <w:r>
                          <w:rPr>
                            <w:spacing w:val="-8"/>
                            <w:sz w:val="24"/>
                          </w:rPr>
                          <w:t xml:space="preserve"> 年度</w:t>
                        </w:r>
                        <w:r>
                          <w:rPr>
                            <w:rFonts w:hint="eastAsia"/>
                            <w:color w:val="auto"/>
                            <w:spacing w:val="-8"/>
                            <w:sz w:val="24"/>
                            <w:lang w:eastAsia="zh-CN"/>
                          </w:rPr>
                          <w:t>任意</w:t>
                        </w:r>
                        <w:r>
                          <w:rPr>
                            <w:spacing w:val="-8"/>
                            <w:sz w:val="24"/>
                          </w:rPr>
                          <w:t xml:space="preserve">三个月复印件加盖公章）； </w:t>
                        </w:r>
                      </w:p>
                      <w:p>
                        <w:pPr>
                          <w:pStyle w:val="13"/>
                          <w:spacing w:line="291" w:lineRule="exact"/>
                          <w:ind w:left="594"/>
                          <w:rPr>
                            <w:sz w:val="24"/>
                          </w:rPr>
                        </w:pPr>
                        <w:r>
                          <w:rPr>
                            <w:sz w:val="24"/>
                          </w:rPr>
                          <w:t>e.</w:t>
                        </w:r>
                        <w:r>
                          <w:rPr>
                            <w:spacing w:val="-6"/>
                            <w:sz w:val="24"/>
                          </w:rPr>
                          <w:t xml:space="preserve"> 近 </w:t>
                        </w:r>
                        <w:r>
                          <w:rPr>
                            <w:sz w:val="24"/>
                          </w:rPr>
                          <w:t>3</w:t>
                        </w:r>
                        <w:r>
                          <w:rPr>
                            <w:spacing w:val="-11"/>
                            <w:sz w:val="24"/>
                          </w:rPr>
                          <w:t xml:space="preserve"> 年内在经营活动中没有重大违法记录：提供参加本次</w:t>
                        </w:r>
                      </w:p>
                      <w:p>
                        <w:pPr>
                          <w:pStyle w:val="13"/>
                          <w:spacing w:before="98"/>
                          <w:ind w:left="128"/>
                          <w:rPr>
                            <w:sz w:val="24"/>
                          </w:rPr>
                        </w:pPr>
                        <w:r>
                          <w:rPr>
                            <w:sz w:val="24"/>
                          </w:rPr>
                          <w:t xml:space="preserve">采购活动前 3 年内在经营活动中没有重大违法记录的书面声明； </w:t>
                        </w:r>
                      </w:p>
                      <w:p>
                        <w:pPr>
                          <w:pStyle w:val="13"/>
                          <w:spacing w:before="98" w:line="304" w:lineRule="auto"/>
                          <w:ind w:left="128" w:right="64" w:firstLine="465"/>
                          <w:rPr>
                            <w:sz w:val="24"/>
                          </w:rPr>
                        </w:pPr>
                        <w:r>
                          <w:rPr>
                            <w:sz w:val="24"/>
                          </w:rPr>
                          <w:t>f.</w:t>
                        </w:r>
                        <w:r>
                          <w:rPr>
                            <w:spacing w:val="-11"/>
                            <w:sz w:val="24"/>
                          </w:rPr>
                          <w:t>法律、行政法规规定的其他条件：供应商须提供：在“信用中国”网站（</w:t>
                        </w:r>
                        <w:r>
                          <w:fldChar w:fldCharType="begin"/>
                        </w:r>
                        <w:r>
                          <w:instrText xml:space="preserve"> HYPERLINK "http://www.creditchina.gov.cn/" \h </w:instrText>
                        </w:r>
                        <w:r>
                          <w:fldChar w:fldCharType="separate"/>
                        </w:r>
                        <w:r>
                          <w:rPr>
                            <w:spacing w:val="-11"/>
                            <w:sz w:val="24"/>
                          </w:rPr>
                          <w:t>www.creditchina.gov.cn</w:t>
                        </w:r>
                        <w:r>
                          <w:rPr>
                            <w:spacing w:val="-11"/>
                            <w:sz w:val="24"/>
                          </w:rPr>
                          <w:fldChar w:fldCharType="end"/>
                        </w:r>
                        <w:r>
                          <w:rPr>
                            <w:spacing w:val="-11"/>
                            <w:sz w:val="24"/>
                          </w:rPr>
                          <w:t>）、中国政府采购网</w:t>
                        </w:r>
                      </w:p>
                      <w:p>
                        <w:pPr>
                          <w:pStyle w:val="13"/>
                          <w:spacing w:before="14"/>
                          <w:ind w:left="128"/>
                          <w:rPr>
                            <w:sz w:val="24"/>
                          </w:rPr>
                        </w:pPr>
                        <w:r>
                          <w:fldChar w:fldCharType="begin"/>
                        </w:r>
                        <w:r>
                          <w:instrText xml:space="preserve"> HYPERLINK "http://www.ccgp.gov.cn/" \h </w:instrText>
                        </w:r>
                        <w:r>
                          <w:fldChar w:fldCharType="separate"/>
                        </w:r>
                        <w:r>
                          <w:rPr>
                            <w:sz w:val="24"/>
                          </w:rPr>
                          <w:t>（www.ccgp.gov.cn</w:t>
                        </w:r>
                        <w:r>
                          <w:rPr>
                            <w:sz w:val="24"/>
                          </w:rPr>
                          <w:fldChar w:fldCharType="end"/>
                        </w:r>
                        <w:r>
                          <w:rPr>
                            <w:sz w:val="24"/>
                          </w:rPr>
                          <w:t>）等渠道查询中未被列入失信被执行人名单、</w:t>
                        </w:r>
                      </w:p>
                      <w:p>
                        <w:pPr>
                          <w:pStyle w:val="13"/>
                          <w:spacing w:before="15" w:line="390" w:lineRule="atLeast"/>
                          <w:ind w:left="128" w:right="164"/>
                          <w:rPr>
                            <w:sz w:val="24"/>
                          </w:rPr>
                        </w:pPr>
                        <w:r>
                          <w:rPr>
                            <w:sz w:val="24"/>
                          </w:rPr>
                          <w:t>重大税收违法案件当事人名单、政府采购严重违法失信行为记录名单中的截图。如被列入失信被执行人、重大税收违法案件当事</w:t>
                        </w:r>
                      </w:p>
                    </w:tc>
                  </w:tr>
                </w:tbl>
                <w:p>
                  <w:pPr>
                    <w:pStyle w:val="8"/>
                  </w:pPr>
                </w:p>
              </w:txbxContent>
            </v:textbox>
          </v:shape>
        </w:pict>
      </w:r>
      <w:r>
        <w:rPr>
          <w:color w:val="auto"/>
          <w:spacing w:val="-9"/>
        </w:rPr>
        <w:t xml:space="preserve">本须知前附表 </w:t>
      </w:r>
      <w:r>
        <w:rPr>
          <w:color w:val="auto"/>
        </w:rPr>
        <w:t>2</w:t>
      </w:r>
      <w:r>
        <w:rPr>
          <w:color w:val="auto"/>
          <w:spacing w:val="-11"/>
        </w:rPr>
        <w:t xml:space="preserve"> 集中列示了资格性、符合性检查的所有条款，其内容是谈判小组判断谈判供应商的报价是否有效的重要依据。</w:t>
      </w:r>
      <w:r>
        <w:rPr>
          <w:color w:val="auto"/>
        </w:rPr>
        <w:t xml:space="preserve"> </w:t>
      </w:r>
    </w:p>
    <w:p>
      <w:pPr>
        <w:spacing w:after="0" w:line="304" w:lineRule="auto"/>
        <w:rPr>
          <w:color w:val="auto"/>
        </w:rPr>
        <w:sectPr>
          <w:pgSz w:w="11910" w:h="16850"/>
          <w:pgMar w:top="1400" w:right="0" w:bottom="1080" w:left="1260" w:header="0" w:footer="891" w:gutter="0"/>
          <w:cols w:space="720" w:num="1"/>
        </w:sectPr>
      </w:pPr>
    </w:p>
    <w:tbl>
      <w:tblPr>
        <w:tblStyle w:val="9"/>
        <w:tblW w:w="0" w:type="auto"/>
        <w:tblInd w:w="3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5"/>
        <w:gridCol w:w="511"/>
        <w:gridCol w:w="540"/>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90" w:hRule="atLeast"/>
        </w:trPr>
        <w:tc>
          <w:tcPr>
            <w:tcW w:w="435" w:type="dxa"/>
          </w:tcPr>
          <w:p>
            <w:pPr>
              <w:pStyle w:val="13"/>
              <w:rPr>
                <w:rFonts w:ascii="Times New Roman"/>
                <w:color w:val="auto"/>
                <w:sz w:val="22"/>
              </w:rPr>
            </w:pPr>
          </w:p>
        </w:tc>
        <w:tc>
          <w:tcPr>
            <w:tcW w:w="511" w:type="dxa"/>
          </w:tcPr>
          <w:p>
            <w:pPr>
              <w:pStyle w:val="13"/>
              <w:rPr>
                <w:rFonts w:ascii="Times New Roman"/>
                <w:color w:val="auto"/>
                <w:sz w:val="22"/>
              </w:rPr>
            </w:pPr>
          </w:p>
        </w:tc>
        <w:tc>
          <w:tcPr>
            <w:tcW w:w="540" w:type="dxa"/>
          </w:tcPr>
          <w:p>
            <w:pPr>
              <w:pStyle w:val="13"/>
              <w:rPr>
                <w:rFonts w:ascii="Times New Roman"/>
                <w:color w:val="auto"/>
                <w:sz w:val="22"/>
              </w:rPr>
            </w:pPr>
          </w:p>
        </w:tc>
        <w:tc>
          <w:tcPr>
            <w:tcW w:w="7044" w:type="dxa"/>
          </w:tcPr>
          <w:p>
            <w:pPr>
              <w:pStyle w:val="13"/>
              <w:spacing w:before="86" w:line="304" w:lineRule="auto"/>
              <w:ind w:left="128" w:right="164"/>
              <w:rPr>
                <w:color w:val="auto"/>
                <w:sz w:val="24"/>
              </w:rPr>
            </w:pPr>
            <w:r>
              <w:rPr>
                <w:color w:val="auto"/>
                <w:sz w:val="24"/>
              </w:rPr>
              <w:t xml:space="preserve">人名单、政府采购严重违法失信行为记录名单中的供应商取消其投标资格，并承担由此造成的一切法律责任及后果。 </w:t>
            </w:r>
          </w:p>
          <w:p>
            <w:pPr>
              <w:pStyle w:val="13"/>
              <w:spacing w:line="307" w:lineRule="exact"/>
              <w:ind w:left="609"/>
              <w:rPr>
                <w:color w:val="auto"/>
                <w:sz w:val="24"/>
              </w:rPr>
            </w:pPr>
            <w:r>
              <w:rPr>
                <w:color w:val="auto"/>
                <w:sz w:val="24"/>
              </w:rPr>
              <w:t>采购人可以根据采购项目的特殊要求，规定供应商的特定条</w:t>
            </w:r>
          </w:p>
          <w:p>
            <w:pPr>
              <w:pStyle w:val="13"/>
              <w:spacing w:before="98" w:line="298" w:lineRule="exact"/>
              <w:ind w:left="128" w:right="-58"/>
              <w:rPr>
                <w:color w:val="auto"/>
                <w:sz w:val="24"/>
              </w:rPr>
            </w:pPr>
            <w:r>
              <w:rPr>
                <w:color w:val="auto"/>
                <w:spacing w:val="-9"/>
                <w:sz w:val="24"/>
              </w:rPr>
              <w:t>件，但不得以不合理的条件对供应商实行差别待遇或者歧视待遇。</w:t>
            </w: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435" w:type="dxa"/>
          </w:tcPr>
          <w:p>
            <w:pPr>
              <w:pStyle w:val="13"/>
              <w:spacing w:before="72"/>
              <w:ind w:left="112" w:right="-58"/>
              <w:rPr>
                <w:color w:val="auto"/>
                <w:sz w:val="24"/>
              </w:rPr>
            </w:pPr>
            <w:r>
              <w:rPr>
                <w:color w:val="auto"/>
                <w:sz w:val="24"/>
              </w:rPr>
              <w:t xml:space="preserve">… </w:t>
            </w:r>
          </w:p>
        </w:tc>
        <w:tc>
          <w:tcPr>
            <w:tcW w:w="511" w:type="dxa"/>
          </w:tcPr>
          <w:p>
            <w:pPr>
              <w:pStyle w:val="13"/>
              <w:spacing w:before="72"/>
              <w:ind w:right="-15"/>
              <w:jc w:val="right"/>
              <w:rPr>
                <w:color w:val="auto"/>
                <w:sz w:val="24"/>
              </w:rPr>
            </w:pPr>
            <w:r>
              <w:rPr>
                <w:color w:val="auto"/>
                <w:sz w:val="24"/>
              </w:rPr>
              <w:t xml:space="preserve">… </w:t>
            </w:r>
          </w:p>
        </w:tc>
        <w:tc>
          <w:tcPr>
            <w:tcW w:w="540" w:type="dxa"/>
          </w:tcPr>
          <w:p>
            <w:pPr>
              <w:pStyle w:val="13"/>
              <w:spacing w:before="72"/>
              <w:ind w:left="158"/>
              <w:rPr>
                <w:color w:val="auto"/>
                <w:sz w:val="24"/>
              </w:rPr>
            </w:pPr>
            <w:r>
              <w:rPr>
                <w:color w:val="auto"/>
                <w:sz w:val="24"/>
              </w:rPr>
              <w:t xml:space="preserve">… </w:t>
            </w:r>
          </w:p>
        </w:tc>
        <w:tc>
          <w:tcPr>
            <w:tcW w:w="7044" w:type="dxa"/>
          </w:tcPr>
          <w:p>
            <w:pPr>
              <w:pStyle w:val="13"/>
              <w:spacing w:before="72"/>
              <w:ind w:left="594"/>
              <w:rPr>
                <w:b/>
                <w:color w:val="auto"/>
                <w:sz w:val="24"/>
              </w:rPr>
            </w:pPr>
            <w:r>
              <w:rPr>
                <w:color w:val="auto"/>
                <w:sz w:val="24"/>
              </w:rPr>
              <w:t>……</w:t>
            </w: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435" w:type="dxa"/>
            <w:tcBorders>
              <w:bottom w:val="single" w:color="000000" w:sz="8" w:space="0"/>
              <w:right w:val="nil"/>
            </w:tcBorders>
          </w:tcPr>
          <w:p>
            <w:pPr>
              <w:pStyle w:val="13"/>
              <w:spacing w:before="57"/>
              <w:ind w:left="112"/>
              <w:rPr>
                <w:b/>
                <w:color w:val="auto"/>
                <w:sz w:val="24"/>
              </w:rPr>
            </w:pPr>
            <w:r>
              <w:rPr>
                <w:b/>
                <w:color w:val="auto"/>
                <w:w w:val="99"/>
                <w:sz w:val="24"/>
              </w:rPr>
              <w:t xml:space="preserve"> </w:t>
            </w:r>
          </w:p>
        </w:tc>
        <w:tc>
          <w:tcPr>
            <w:tcW w:w="511" w:type="dxa"/>
            <w:tcBorders>
              <w:left w:val="nil"/>
              <w:bottom w:val="single" w:color="000000" w:sz="8" w:space="0"/>
              <w:right w:val="nil"/>
            </w:tcBorders>
          </w:tcPr>
          <w:p>
            <w:pPr>
              <w:pStyle w:val="13"/>
              <w:rPr>
                <w:rFonts w:ascii="Times New Roman"/>
                <w:color w:val="auto"/>
                <w:sz w:val="22"/>
              </w:rPr>
            </w:pPr>
          </w:p>
        </w:tc>
        <w:tc>
          <w:tcPr>
            <w:tcW w:w="540" w:type="dxa"/>
            <w:tcBorders>
              <w:left w:val="nil"/>
              <w:bottom w:val="single" w:color="000000" w:sz="8" w:space="0"/>
              <w:right w:val="nil"/>
            </w:tcBorders>
          </w:tcPr>
          <w:p>
            <w:pPr>
              <w:pStyle w:val="13"/>
              <w:rPr>
                <w:rFonts w:ascii="Times New Roman"/>
                <w:color w:val="auto"/>
                <w:sz w:val="22"/>
              </w:rPr>
            </w:pPr>
          </w:p>
        </w:tc>
        <w:tc>
          <w:tcPr>
            <w:tcW w:w="7044" w:type="dxa"/>
            <w:tcBorders>
              <w:left w:val="nil"/>
              <w:bottom w:val="single" w:color="000000" w:sz="8" w:space="0"/>
            </w:tcBorders>
          </w:tcPr>
          <w:p>
            <w:pPr>
              <w:pStyle w:val="13"/>
              <w:rPr>
                <w:color w:val="auto"/>
                <w:sz w:val="24"/>
              </w:rPr>
            </w:pPr>
          </w:p>
          <w:p>
            <w:pPr>
              <w:pStyle w:val="13"/>
              <w:spacing w:before="154"/>
              <w:ind w:left="2148"/>
              <w:rPr>
                <w:b/>
                <w:color w:val="auto"/>
                <w:sz w:val="24"/>
              </w:rPr>
            </w:pPr>
            <w:r>
              <w:rPr>
                <w:b/>
                <w:color w:val="auto"/>
                <w:sz w:val="24"/>
              </w:rPr>
              <w:t>符合性要求</w:t>
            </w: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435" w:type="dxa"/>
            <w:tcBorders>
              <w:top w:val="single" w:color="000000" w:sz="8" w:space="0"/>
            </w:tcBorders>
          </w:tcPr>
          <w:p>
            <w:pPr>
              <w:pStyle w:val="13"/>
              <w:spacing w:before="8"/>
              <w:rPr>
                <w:color w:val="auto"/>
                <w:sz w:val="20"/>
              </w:rPr>
            </w:pPr>
          </w:p>
          <w:p>
            <w:pPr>
              <w:pStyle w:val="13"/>
              <w:spacing w:line="304" w:lineRule="auto"/>
              <w:ind w:left="112" w:right="-58"/>
              <w:rPr>
                <w:color w:val="auto"/>
                <w:sz w:val="24"/>
              </w:rPr>
            </w:pPr>
            <w:r>
              <w:rPr>
                <w:color w:val="auto"/>
                <w:sz w:val="24"/>
              </w:rPr>
              <w:t xml:space="preserve">项号 </w:t>
            </w:r>
          </w:p>
        </w:tc>
        <w:tc>
          <w:tcPr>
            <w:tcW w:w="511" w:type="dxa"/>
            <w:tcBorders>
              <w:top w:val="single" w:color="000000" w:sz="8" w:space="0"/>
            </w:tcBorders>
          </w:tcPr>
          <w:p>
            <w:pPr>
              <w:pStyle w:val="13"/>
              <w:spacing w:before="11"/>
              <w:rPr>
                <w:color w:val="auto"/>
                <w:sz w:val="35"/>
              </w:rPr>
            </w:pPr>
          </w:p>
          <w:p>
            <w:pPr>
              <w:pStyle w:val="13"/>
              <w:ind w:right="-15"/>
              <w:jc w:val="right"/>
              <w:rPr>
                <w:color w:val="auto"/>
                <w:sz w:val="24"/>
              </w:rPr>
            </w:pPr>
            <w:r>
              <w:rPr>
                <w:color w:val="auto"/>
                <w:sz w:val="24"/>
              </w:rPr>
              <w:t xml:space="preserve">章 </w:t>
            </w:r>
          </w:p>
        </w:tc>
        <w:tc>
          <w:tcPr>
            <w:tcW w:w="540" w:type="dxa"/>
            <w:tcBorders>
              <w:top w:val="single" w:color="000000" w:sz="8" w:space="0"/>
            </w:tcBorders>
          </w:tcPr>
          <w:p>
            <w:pPr>
              <w:pStyle w:val="13"/>
              <w:spacing w:before="54"/>
              <w:ind w:left="158"/>
              <w:rPr>
                <w:color w:val="auto"/>
                <w:sz w:val="24"/>
              </w:rPr>
            </w:pPr>
            <w:r>
              <w:rPr>
                <w:color w:val="auto"/>
                <w:sz w:val="24"/>
              </w:rPr>
              <w:t>条</w:t>
            </w:r>
          </w:p>
          <w:p>
            <w:pPr>
              <w:pStyle w:val="13"/>
              <w:spacing w:before="5" w:line="400" w:lineRule="atLeast"/>
              <w:ind w:left="158" w:right="4"/>
              <w:rPr>
                <w:color w:val="auto"/>
                <w:sz w:val="24"/>
              </w:rPr>
            </w:pPr>
            <w:r>
              <w:rPr>
                <w:color w:val="auto"/>
                <w:sz w:val="24"/>
              </w:rPr>
              <w:t xml:space="preserve">款号 </w:t>
            </w:r>
          </w:p>
        </w:tc>
        <w:tc>
          <w:tcPr>
            <w:tcW w:w="7044" w:type="dxa"/>
            <w:tcBorders>
              <w:top w:val="single" w:color="000000" w:sz="8" w:space="0"/>
            </w:tcBorders>
          </w:tcPr>
          <w:p>
            <w:pPr>
              <w:pStyle w:val="13"/>
              <w:spacing w:before="11"/>
              <w:rPr>
                <w:color w:val="auto"/>
                <w:sz w:val="35"/>
              </w:rPr>
            </w:pPr>
          </w:p>
          <w:p>
            <w:pPr>
              <w:pStyle w:val="13"/>
              <w:ind w:left="3098" w:right="2931"/>
              <w:jc w:val="center"/>
              <w:rPr>
                <w:color w:val="auto"/>
                <w:sz w:val="24"/>
              </w:rPr>
            </w:pPr>
            <w:r>
              <w:rPr>
                <w:color w:val="auto"/>
                <w:sz w:val="24"/>
              </w:rPr>
              <w:t xml:space="preserve">具体内容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435" w:type="dxa"/>
          </w:tcPr>
          <w:p>
            <w:pPr>
              <w:pStyle w:val="13"/>
              <w:spacing w:before="10"/>
              <w:rPr>
                <w:color w:val="auto"/>
                <w:sz w:val="20"/>
              </w:rPr>
            </w:pPr>
          </w:p>
          <w:p>
            <w:pPr>
              <w:pStyle w:val="13"/>
              <w:spacing w:before="1"/>
              <w:ind w:left="158"/>
              <w:rPr>
                <w:color w:val="auto"/>
                <w:sz w:val="24"/>
              </w:rPr>
            </w:pPr>
            <w:r>
              <w:rPr>
                <w:color w:val="auto"/>
                <w:sz w:val="24"/>
              </w:rPr>
              <w:t xml:space="preserve">1 </w:t>
            </w:r>
          </w:p>
        </w:tc>
        <w:tc>
          <w:tcPr>
            <w:tcW w:w="511" w:type="dxa"/>
          </w:tcPr>
          <w:p>
            <w:pPr>
              <w:pStyle w:val="13"/>
              <w:spacing w:before="10"/>
              <w:rPr>
                <w:color w:val="auto"/>
                <w:sz w:val="20"/>
              </w:rPr>
            </w:pPr>
          </w:p>
          <w:p>
            <w:pPr>
              <w:pStyle w:val="13"/>
              <w:spacing w:before="1"/>
              <w:ind w:right="-15"/>
              <w:jc w:val="right"/>
              <w:rPr>
                <w:color w:val="auto"/>
                <w:sz w:val="24"/>
              </w:rPr>
            </w:pPr>
            <w:r>
              <w:rPr>
                <w:color w:val="auto"/>
                <w:sz w:val="24"/>
              </w:rPr>
              <w:t xml:space="preserve">一 </w:t>
            </w:r>
          </w:p>
        </w:tc>
        <w:tc>
          <w:tcPr>
            <w:tcW w:w="540" w:type="dxa"/>
          </w:tcPr>
          <w:p>
            <w:pPr>
              <w:pStyle w:val="13"/>
              <w:spacing w:before="10"/>
              <w:rPr>
                <w:color w:val="auto"/>
                <w:sz w:val="20"/>
              </w:rPr>
            </w:pPr>
          </w:p>
          <w:p>
            <w:pPr>
              <w:pStyle w:val="13"/>
              <w:spacing w:before="1"/>
              <w:ind w:left="218"/>
              <w:rPr>
                <w:color w:val="auto"/>
                <w:sz w:val="24"/>
              </w:rPr>
            </w:pPr>
            <w:r>
              <w:rPr>
                <w:color w:val="auto"/>
                <w:sz w:val="24"/>
              </w:rPr>
              <w:t xml:space="preserve">5 </w:t>
            </w:r>
          </w:p>
        </w:tc>
        <w:tc>
          <w:tcPr>
            <w:tcW w:w="7044" w:type="dxa"/>
          </w:tcPr>
          <w:p>
            <w:pPr>
              <w:pStyle w:val="13"/>
              <w:spacing w:before="71"/>
              <w:ind w:left="128"/>
              <w:rPr>
                <w:color w:val="auto"/>
                <w:sz w:val="24"/>
              </w:rPr>
            </w:pPr>
            <w:r>
              <w:rPr>
                <w:color w:val="auto"/>
                <w:sz w:val="24"/>
              </w:rPr>
              <w:t>谈判供应商的响应文件未按规定的响应截止时间之前提交的，其</w:t>
            </w:r>
          </w:p>
          <w:p>
            <w:pPr>
              <w:pStyle w:val="13"/>
              <w:spacing w:before="98" w:line="298" w:lineRule="exact"/>
              <w:ind w:left="128"/>
              <w:rPr>
                <w:color w:val="auto"/>
                <w:sz w:val="24"/>
              </w:rPr>
            </w:pPr>
            <w:r>
              <w:rPr>
                <w:color w:val="auto"/>
                <w:sz w:val="24"/>
              </w:rPr>
              <w:t xml:space="preserve">响应将被拒绝。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97" w:hRule="atLeast"/>
        </w:trPr>
        <w:tc>
          <w:tcPr>
            <w:tcW w:w="435" w:type="dxa"/>
          </w:tcPr>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spacing w:before="8"/>
              <w:rPr>
                <w:color w:val="auto"/>
                <w:sz w:val="21"/>
              </w:rPr>
            </w:pPr>
          </w:p>
          <w:p>
            <w:pPr>
              <w:pStyle w:val="13"/>
              <w:spacing w:before="1"/>
              <w:ind w:left="158"/>
              <w:rPr>
                <w:color w:val="auto"/>
                <w:sz w:val="24"/>
              </w:rPr>
            </w:pPr>
            <w:r>
              <w:rPr>
                <w:color w:val="auto"/>
                <w:sz w:val="24"/>
              </w:rPr>
              <w:t xml:space="preserve">2 </w:t>
            </w:r>
          </w:p>
        </w:tc>
        <w:tc>
          <w:tcPr>
            <w:tcW w:w="511" w:type="dxa"/>
          </w:tcPr>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spacing w:before="8"/>
              <w:rPr>
                <w:color w:val="auto"/>
                <w:sz w:val="21"/>
              </w:rPr>
            </w:pPr>
          </w:p>
          <w:p>
            <w:pPr>
              <w:pStyle w:val="13"/>
              <w:spacing w:before="1"/>
              <w:ind w:right="-15"/>
              <w:jc w:val="right"/>
              <w:rPr>
                <w:color w:val="auto"/>
                <w:sz w:val="24"/>
              </w:rPr>
            </w:pPr>
            <w:r>
              <w:rPr>
                <w:color w:val="auto"/>
                <w:sz w:val="24"/>
              </w:rPr>
              <w:t xml:space="preserve">二 </w:t>
            </w:r>
          </w:p>
        </w:tc>
        <w:tc>
          <w:tcPr>
            <w:tcW w:w="540" w:type="dxa"/>
          </w:tcPr>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rPr>
                <w:color w:val="auto"/>
                <w:sz w:val="24"/>
              </w:rPr>
            </w:pPr>
          </w:p>
          <w:p>
            <w:pPr>
              <w:pStyle w:val="13"/>
              <w:spacing w:before="6"/>
              <w:rPr>
                <w:color w:val="auto"/>
                <w:sz w:val="30"/>
              </w:rPr>
            </w:pPr>
          </w:p>
          <w:p>
            <w:pPr>
              <w:pStyle w:val="13"/>
              <w:ind w:left="158"/>
              <w:rPr>
                <w:color w:val="auto"/>
                <w:sz w:val="24"/>
              </w:rPr>
            </w:pPr>
            <w:r>
              <w:rPr>
                <w:color w:val="auto"/>
                <w:sz w:val="24"/>
              </w:rPr>
              <w:t>3.</w:t>
            </w:r>
          </w:p>
          <w:p>
            <w:pPr>
              <w:pStyle w:val="13"/>
              <w:spacing w:before="82"/>
              <w:ind w:left="218"/>
              <w:rPr>
                <w:color w:val="auto"/>
                <w:sz w:val="24"/>
              </w:rPr>
            </w:pPr>
            <w:r>
              <w:rPr>
                <w:color w:val="auto"/>
                <w:sz w:val="24"/>
              </w:rPr>
              <w:t xml:space="preserve">8 </w:t>
            </w:r>
          </w:p>
        </w:tc>
        <w:tc>
          <w:tcPr>
            <w:tcW w:w="7044" w:type="dxa"/>
          </w:tcPr>
          <w:p>
            <w:pPr>
              <w:pStyle w:val="13"/>
              <w:spacing w:before="72" w:line="316" w:lineRule="auto"/>
              <w:ind w:left="128" w:right="78" w:firstLine="480"/>
              <w:rPr>
                <w:color w:val="auto"/>
                <w:sz w:val="24"/>
              </w:rPr>
            </w:pPr>
            <w:r>
              <w:rPr>
                <w:color w:val="auto"/>
                <w:sz w:val="24"/>
              </w:rPr>
              <w:t xml:space="preserve">谈判响应供应商存在下列情形之一的，将被认定为串通响应行为并作无效响应处理： </w:t>
            </w:r>
          </w:p>
          <w:p>
            <w:pPr>
              <w:pStyle w:val="13"/>
              <w:spacing w:line="291" w:lineRule="exact"/>
              <w:ind w:left="609"/>
              <w:rPr>
                <w:color w:val="auto"/>
                <w:sz w:val="24"/>
              </w:rPr>
            </w:pPr>
            <w:r>
              <w:rPr>
                <w:color w:val="auto"/>
                <w:sz w:val="24"/>
              </w:rPr>
              <w:t>（1）谈判响应供应商之间协商谈判报价等谈判文件的实质性</w:t>
            </w:r>
          </w:p>
          <w:p>
            <w:pPr>
              <w:pStyle w:val="13"/>
              <w:spacing w:before="98"/>
              <w:ind w:left="128"/>
              <w:rPr>
                <w:color w:val="auto"/>
                <w:sz w:val="24"/>
              </w:rPr>
            </w:pPr>
            <w:r>
              <w:rPr>
                <w:color w:val="auto"/>
                <w:sz w:val="24"/>
              </w:rPr>
              <w:t xml:space="preserve">内容； </w:t>
            </w:r>
          </w:p>
          <w:p>
            <w:pPr>
              <w:pStyle w:val="13"/>
              <w:spacing w:before="97"/>
              <w:ind w:left="609"/>
              <w:rPr>
                <w:color w:val="auto"/>
                <w:sz w:val="24"/>
              </w:rPr>
            </w:pPr>
            <w:r>
              <w:rPr>
                <w:color w:val="auto"/>
                <w:sz w:val="24"/>
              </w:rPr>
              <w:t xml:space="preserve">（2）谈判响应供应商之间约定成交供应商； </w:t>
            </w:r>
          </w:p>
          <w:p>
            <w:pPr>
              <w:pStyle w:val="13"/>
              <w:spacing w:before="83" w:line="316" w:lineRule="auto"/>
              <w:ind w:left="128" w:right="30" w:firstLine="480"/>
              <w:rPr>
                <w:color w:val="auto"/>
                <w:sz w:val="24"/>
              </w:rPr>
            </w:pPr>
            <w:r>
              <w:rPr>
                <w:color w:val="auto"/>
                <w:sz w:val="24"/>
              </w:rPr>
              <w:t xml:space="preserve">（3）谈判响应供应商之间约定部分谈判响应供应商放弃谈判响应或者成交； </w:t>
            </w:r>
          </w:p>
          <w:p>
            <w:pPr>
              <w:pStyle w:val="13"/>
              <w:spacing w:line="304" w:lineRule="auto"/>
              <w:ind w:left="128" w:right="46" w:firstLine="480"/>
              <w:rPr>
                <w:color w:val="auto"/>
                <w:sz w:val="24"/>
              </w:rPr>
            </w:pPr>
            <w:r>
              <w:rPr>
                <w:color w:val="auto"/>
                <w:sz w:val="24"/>
              </w:rPr>
              <w:t xml:space="preserve">（4）属于同一集团、协会、商会等组织成员的谈判响应供应商按照该组织要求协同谈判响应； </w:t>
            </w:r>
          </w:p>
          <w:p>
            <w:pPr>
              <w:pStyle w:val="13"/>
              <w:spacing w:before="14" w:line="316" w:lineRule="auto"/>
              <w:ind w:left="128" w:right="30" w:firstLine="480"/>
              <w:rPr>
                <w:color w:val="auto"/>
                <w:sz w:val="24"/>
              </w:rPr>
            </w:pPr>
            <w:r>
              <w:rPr>
                <w:color w:val="auto"/>
                <w:sz w:val="24"/>
              </w:rPr>
              <w:t xml:space="preserve">（5）谈判响应供应商之间为谋取成交或者排斥特定谈判响应供应商而采取的其他联合行动； </w:t>
            </w:r>
          </w:p>
          <w:p>
            <w:pPr>
              <w:pStyle w:val="13"/>
              <w:spacing w:line="291" w:lineRule="exact"/>
              <w:ind w:left="609"/>
              <w:rPr>
                <w:color w:val="auto"/>
                <w:sz w:val="24"/>
              </w:rPr>
            </w:pPr>
            <w:r>
              <w:rPr>
                <w:color w:val="auto"/>
                <w:sz w:val="24"/>
              </w:rPr>
              <w:t>（6）不同谈判响应供应商的响应文件由同一单位或者个人编</w:t>
            </w:r>
          </w:p>
          <w:p>
            <w:pPr>
              <w:pStyle w:val="13"/>
              <w:spacing w:before="98"/>
              <w:ind w:left="128"/>
              <w:rPr>
                <w:color w:val="auto"/>
                <w:sz w:val="24"/>
              </w:rPr>
            </w:pPr>
            <w:r>
              <w:rPr>
                <w:color w:val="auto"/>
                <w:sz w:val="24"/>
              </w:rPr>
              <w:t xml:space="preserve">制； </w:t>
            </w:r>
          </w:p>
          <w:p>
            <w:pPr>
              <w:pStyle w:val="13"/>
              <w:spacing w:before="98" w:line="304" w:lineRule="auto"/>
              <w:ind w:left="128" w:right="63" w:firstLine="480"/>
              <w:rPr>
                <w:color w:val="auto"/>
                <w:sz w:val="24"/>
              </w:rPr>
            </w:pPr>
            <w:r>
              <w:rPr>
                <w:color w:val="auto"/>
                <w:spacing w:val="-5"/>
                <w:sz w:val="24"/>
              </w:rPr>
              <w:t>（7）</w:t>
            </w:r>
            <w:r>
              <w:rPr>
                <w:color w:val="auto"/>
                <w:sz w:val="24"/>
              </w:rPr>
              <w:t xml:space="preserve">不同谈判响应供应商委托同一单位或者个人办理谈判响应事宜； </w:t>
            </w:r>
          </w:p>
          <w:p>
            <w:pPr>
              <w:pStyle w:val="13"/>
              <w:spacing w:before="14" w:line="316" w:lineRule="auto"/>
              <w:ind w:left="128" w:right="63" w:firstLine="480"/>
              <w:rPr>
                <w:color w:val="auto"/>
                <w:sz w:val="24"/>
              </w:rPr>
            </w:pPr>
            <w:r>
              <w:rPr>
                <w:color w:val="auto"/>
                <w:spacing w:val="-5"/>
                <w:sz w:val="24"/>
              </w:rPr>
              <w:t>（8）</w:t>
            </w:r>
            <w:r>
              <w:rPr>
                <w:color w:val="auto"/>
                <w:sz w:val="24"/>
              </w:rPr>
              <w:t xml:space="preserve">不同谈判响应供应商的响应文件载明的项目管理成员为同一人； </w:t>
            </w:r>
          </w:p>
          <w:p>
            <w:pPr>
              <w:pStyle w:val="13"/>
              <w:spacing w:line="292" w:lineRule="exact"/>
              <w:ind w:left="609"/>
              <w:rPr>
                <w:color w:val="auto"/>
                <w:sz w:val="24"/>
              </w:rPr>
            </w:pPr>
            <w:r>
              <w:rPr>
                <w:color w:val="auto"/>
                <w:sz w:val="24"/>
              </w:rPr>
              <w:t>（9）不同谈判响应供应商的响应文件异常一致或者报价呈规</w:t>
            </w:r>
          </w:p>
          <w:p>
            <w:pPr>
              <w:pStyle w:val="13"/>
              <w:spacing w:before="98"/>
              <w:ind w:left="128"/>
              <w:rPr>
                <w:color w:val="auto"/>
                <w:sz w:val="24"/>
              </w:rPr>
            </w:pPr>
            <w:r>
              <w:rPr>
                <w:color w:val="auto"/>
                <w:sz w:val="24"/>
              </w:rPr>
              <w:t xml:space="preserve">律性差异； </w:t>
            </w:r>
          </w:p>
          <w:p>
            <w:pPr>
              <w:pStyle w:val="13"/>
              <w:spacing w:before="98"/>
              <w:ind w:left="609"/>
              <w:rPr>
                <w:color w:val="auto"/>
                <w:sz w:val="24"/>
              </w:rPr>
            </w:pPr>
            <w:r>
              <w:rPr>
                <w:color w:val="auto"/>
                <w:sz w:val="24"/>
              </w:rPr>
              <w:t xml:space="preserve">（10）不同谈判响应供应商的响应文件相互混装； </w:t>
            </w:r>
          </w:p>
          <w:p>
            <w:pPr>
              <w:pStyle w:val="13"/>
              <w:spacing w:before="83"/>
              <w:ind w:left="609"/>
              <w:rPr>
                <w:color w:val="auto"/>
                <w:sz w:val="24"/>
              </w:rPr>
            </w:pPr>
            <w:r>
              <w:rPr>
                <w:color w:val="auto"/>
                <w:sz w:val="24"/>
              </w:rPr>
              <w:t>（11）不同谈判响应供应商的谈判保证金从同一单位或者个</w:t>
            </w:r>
          </w:p>
          <w:p>
            <w:pPr>
              <w:pStyle w:val="13"/>
              <w:spacing w:before="97" w:line="298" w:lineRule="exact"/>
              <w:ind w:left="128"/>
              <w:rPr>
                <w:color w:val="auto"/>
                <w:sz w:val="24"/>
              </w:rPr>
            </w:pPr>
            <w:r>
              <w:rPr>
                <w:color w:val="auto"/>
                <w:sz w:val="24"/>
              </w:rPr>
              <w:t xml:space="preserve">人的账户转出。 </w:t>
            </w:r>
          </w:p>
        </w:tc>
      </w:tr>
    </w:tbl>
    <w:p>
      <w:pPr>
        <w:spacing w:after="0" w:line="298" w:lineRule="exact"/>
        <w:rPr>
          <w:color w:val="auto"/>
          <w:sz w:val="24"/>
        </w:rPr>
        <w:sectPr>
          <w:pgSz w:w="11910" w:h="16850"/>
          <w:pgMar w:top="1440" w:right="0" w:bottom="1080" w:left="1260" w:header="0" w:footer="891" w:gutter="0"/>
          <w:cols w:space="720" w:num="1"/>
        </w:sectPr>
      </w:pPr>
    </w:p>
    <w:p>
      <w:pPr>
        <w:pStyle w:val="8"/>
        <w:rPr>
          <w:color w:val="auto"/>
          <w:sz w:val="20"/>
        </w:rPr>
      </w:pPr>
      <w:r>
        <w:rPr>
          <w:color w:val="auto"/>
        </w:rPr>
        <w:pict>
          <v:shape id="_x0000_s1034" o:spid="_x0000_s1034" o:spt="202" type="#_x0000_t202" style="position:absolute;left:0pt;margin-left:81.05pt;margin-top:72.05pt;height:683.85pt;width:427.7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5"/>
                    <w:gridCol w:w="511"/>
                    <w:gridCol w:w="540"/>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2" w:hRule="atLeast"/>
                    </w:trPr>
                    <w:tc>
                      <w:tcPr>
                        <w:tcW w:w="435" w:type="dxa"/>
                      </w:tcPr>
                      <w:p>
                        <w:pPr>
                          <w:pStyle w:val="13"/>
                          <w:rPr>
                            <w:rFonts w:ascii="Times New Roman"/>
                            <w:sz w:val="22"/>
                          </w:rPr>
                        </w:pPr>
                      </w:p>
                    </w:tc>
                    <w:tc>
                      <w:tcPr>
                        <w:tcW w:w="511" w:type="dxa"/>
                      </w:tcPr>
                      <w:p>
                        <w:pPr>
                          <w:pStyle w:val="13"/>
                          <w:rPr>
                            <w:rFonts w:ascii="Times New Roman"/>
                            <w:sz w:val="22"/>
                          </w:rPr>
                        </w:pPr>
                      </w:p>
                    </w:tc>
                    <w:tc>
                      <w:tcPr>
                        <w:tcW w:w="540" w:type="dxa"/>
                      </w:tcPr>
                      <w:p>
                        <w:pPr>
                          <w:pStyle w:val="13"/>
                          <w:rPr>
                            <w:rFonts w:ascii="Times New Roman"/>
                            <w:sz w:val="22"/>
                          </w:rPr>
                        </w:pPr>
                      </w:p>
                    </w:tc>
                    <w:tc>
                      <w:tcPr>
                        <w:tcW w:w="7044" w:type="dxa"/>
                      </w:tcPr>
                      <w:p>
                        <w:pPr>
                          <w:pStyle w:val="13"/>
                          <w:spacing w:before="75" w:line="304" w:lineRule="auto"/>
                          <w:ind w:left="128" w:right="78" w:firstLine="480"/>
                          <w:rPr>
                            <w:sz w:val="24"/>
                          </w:rPr>
                        </w:pPr>
                        <w:r>
                          <w:rPr>
                            <w:sz w:val="24"/>
                          </w:rPr>
                          <w:t xml:space="preserve">（12）不同谈判响应供应商的响应文件错、漏之处一致或雷同，且不能合理解释的； </w:t>
                        </w:r>
                      </w:p>
                      <w:p>
                        <w:pPr>
                          <w:pStyle w:val="13"/>
                          <w:spacing w:before="14" w:line="316" w:lineRule="auto"/>
                          <w:ind w:left="128" w:right="78" w:firstLine="480"/>
                          <w:rPr>
                            <w:sz w:val="24"/>
                          </w:rPr>
                        </w:pPr>
                        <w:r>
                          <w:rPr>
                            <w:sz w:val="24"/>
                          </w:rPr>
                          <w:t xml:space="preserve">（13）不同的谈判响应供应商的法定代表人、委托代理人等由同一个单位缴纳社会保险的； </w:t>
                        </w:r>
                      </w:p>
                      <w:p>
                        <w:pPr>
                          <w:pStyle w:val="13"/>
                          <w:spacing w:line="292" w:lineRule="exact"/>
                          <w:ind w:left="609"/>
                          <w:rPr>
                            <w:sz w:val="24"/>
                          </w:rPr>
                        </w:pPr>
                        <w:r>
                          <w:rPr>
                            <w:sz w:val="24"/>
                          </w:rPr>
                          <w:t>（14）由同一人或分别由几个有利害关系的人携带两个以上</w:t>
                        </w:r>
                      </w:p>
                      <w:p>
                        <w:pPr>
                          <w:pStyle w:val="13"/>
                          <w:spacing w:before="98" w:line="309" w:lineRule="auto"/>
                          <w:ind w:left="128" w:right="78"/>
                          <w:jc w:val="both"/>
                          <w:rPr>
                            <w:sz w:val="24"/>
                          </w:rPr>
                        </w:pPr>
                        <w:r>
                          <w:rPr>
                            <w:sz w:val="24"/>
                          </w:rPr>
                          <w:t xml:space="preserve">（含两个）谈判响应供应商的企业资料参与资格审查、领取采购资料，或代表两个以上（含两个）谈判响应供应商参加项目答疑会、交纳或退还谈判保证金、参加谈判的； </w:t>
                        </w:r>
                      </w:p>
                      <w:p>
                        <w:pPr>
                          <w:pStyle w:val="13"/>
                          <w:spacing w:before="11"/>
                          <w:ind w:left="609"/>
                          <w:rPr>
                            <w:sz w:val="24"/>
                          </w:rPr>
                        </w:pPr>
                        <w:r>
                          <w:rPr>
                            <w:sz w:val="24"/>
                          </w:rPr>
                          <w:t>（</w:t>
                        </w:r>
                        <w:r>
                          <w:rPr>
                            <w:rFonts w:ascii="Calibri" w:eastAsia="Calibri"/>
                            <w:sz w:val="24"/>
                          </w:rPr>
                          <w:t>15</w:t>
                        </w:r>
                        <w:r>
                          <w:rPr>
                            <w:sz w:val="24"/>
                          </w:rPr>
                          <w:t xml:space="preserve">）有关法律、法规或规章规定的其他串通行为。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435" w:type="dxa"/>
                      </w:tcPr>
                      <w:p>
                        <w:pPr>
                          <w:pStyle w:val="13"/>
                          <w:rPr>
                            <w:sz w:val="24"/>
                          </w:rPr>
                        </w:pPr>
                      </w:p>
                      <w:p>
                        <w:pPr>
                          <w:pStyle w:val="13"/>
                          <w:spacing w:before="158"/>
                          <w:ind w:right="21"/>
                          <w:jc w:val="right"/>
                          <w:rPr>
                            <w:sz w:val="24"/>
                          </w:rPr>
                        </w:pPr>
                        <w:r>
                          <w:rPr>
                            <w:sz w:val="24"/>
                          </w:rPr>
                          <w:t xml:space="preserve">3 </w:t>
                        </w:r>
                      </w:p>
                    </w:tc>
                    <w:tc>
                      <w:tcPr>
                        <w:tcW w:w="511" w:type="dxa"/>
                      </w:tcPr>
                      <w:p>
                        <w:pPr>
                          <w:pStyle w:val="13"/>
                          <w:rPr>
                            <w:sz w:val="24"/>
                          </w:rPr>
                        </w:pPr>
                      </w:p>
                      <w:p>
                        <w:pPr>
                          <w:pStyle w:val="13"/>
                          <w:spacing w:before="158"/>
                          <w:ind w:right="-15"/>
                          <w:jc w:val="right"/>
                          <w:rPr>
                            <w:sz w:val="24"/>
                          </w:rPr>
                        </w:pPr>
                        <w:r>
                          <w:rPr>
                            <w:sz w:val="24"/>
                          </w:rPr>
                          <w:t xml:space="preserve">二 </w:t>
                        </w:r>
                      </w:p>
                    </w:tc>
                    <w:tc>
                      <w:tcPr>
                        <w:tcW w:w="540" w:type="dxa"/>
                      </w:tcPr>
                      <w:p>
                        <w:pPr>
                          <w:pStyle w:val="13"/>
                          <w:spacing w:before="1"/>
                          <w:rPr>
                            <w:sz w:val="21"/>
                          </w:rPr>
                        </w:pPr>
                      </w:p>
                      <w:p>
                        <w:pPr>
                          <w:pStyle w:val="13"/>
                          <w:ind w:left="158"/>
                          <w:rPr>
                            <w:sz w:val="24"/>
                          </w:rPr>
                        </w:pPr>
                        <w:r>
                          <w:rPr>
                            <w:sz w:val="24"/>
                          </w:rPr>
                          <w:t>11</w:t>
                        </w:r>
                      </w:p>
                      <w:p>
                        <w:pPr>
                          <w:pStyle w:val="13"/>
                          <w:spacing w:before="83"/>
                          <w:ind w:left="158"/>
                          <w:rPr>
                            <w:sz w:val="24"/>
                          </w:rPr>
                        </w:pPr>
                        <w:r>
                          <w:rPr>
                            <w:sz w:val="24"/>
                          </w:rPr>
                          <w:t xml:space="preserve">.1 </w:t>
                        </w:r>
                      </w:p>
                    </w:tc>
                    <w:tc>
                      <w:tcPr>
                        <w:tcW w:w="7044" w:type="dxa"/>
                      </w:tcPr>
                      <w:p>
                        <w:pPr>
                          <w:pStyle w:val="13"/>
                          <w:spacing w:before="60"/>
                          <w:ind w:left="128"/>
                          <w:rPr>
                            <w:sz w:val="24"/>
                          </w:rPr>
                        </w:pPr>
                        <w:r>
                          <w:rPr>
                            <w:sz w:val="24"/>
                          </w:rPr>
                          <w:t xml:space="preserve">响应文件有效期： </w:t>
                        </w:r>
                      </w:p>
                      <w:p>
                        <w:pPr>
                          <w:pStyle w:val="13"/>
                          <w:spacing w:before="5" w:line="400" w:lineRule="atLeast"/>
                          <w:ind w:left="609" w:right="1972"/>
                          <w:rPr>
                            <w:sz w:val="24"/>
                          </w:rPr>
                        </w:pPr>
                        <w:r>
                          <w:rPr>
                            <w:sz w:val="24"/>
                          </w:rPr>
                          <w:t>响应文件提交截止之日起</w:t>
                        </w:r>
                        <w:r>
                          <w:rPr>
                            <w:sz w:val="24"/>
                            <w:u w:val="single"/>
                          </w:rPr>
                          <w:t xml:space="preserve"> 90 </w:t>
                        </w:r>
                        <w:r>
                          <w:rPr>
                            <w:sz w:val="24"/>
                          </w:rPr>
                          <w:t xml:space="preserve">个日历日。有效期不足将导致其响应文件被拒绝。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435" w:type="dxa"/>
                      </w:tcPr>
                      <w:p>
                        <w:pPr>
                          <w:pStyle w:val="13"/>
                          <w:spacing w:before="1"/>
                          <w:rPr>
                            <w:sz w:val="21"/>
                          </w:rPr>
                        </w:pPr>
                      </w:p>
                      <w:p>
                        <w:pPr>
                          <w:pStyle w:val="13"/>
                          <w:ind w:right="21"/>
                          <w:jc w:val="right"/>
                          <w:rPr>
                            <w:sz w:val="24"/>
                          </w:rPr>
                        </w:pPr>
                        <w:r>
                          <w:rPr>
                            <w:sz w:val="24"/>
                          </w:rPr>
                          <w:t xml:space="preserve">4 </w:t>
                        </w:r>
                      </w:p>
                    </w:tc>
                    <w:tc>
                      <w:tcPr>
                        <w:tcW w:w="511" w:type="dxa"/>
                      </w:tcPr>
                      <w:p>
                        <w:pPr>
                          <w:pStyle w:val="13"/>
                          <w:spacing w:before="1"/>
                          <w:rPr>
                            <w:sz w:val="21"/>
                          </w:rPr>
                        </w:pPr>
                      </w:p>
                      <w:p>
                        <w:pPr>
                          <w:pStyle w:val="13"/>
                          <w:ind w:right="-15"/>
                          <w:jc w:val="right"/>
                          <w:rPr>
                            <w:sz w:val="24"/>
                          </w:rPr>
                        </w:pPr>
                        <w:r>
                          <w:rPr>
                            <w:sz w:val="24"/>
                          </w:rPr>
                          <w:t xml:space="preserve">二 </w:t>
                        </w:r>
                      </w:p>
                    </w:tc>
                    <w:tc>
                      <w:tcPr>
                        <w:tcW w:w="540" w:type="dxa"/>
                      </w:tcPr>
                      <w:p>
                        <w:pPr>
                          <w:pStyle w:val="13"/>
                          <w:spacing w:before="75"/>
                          <w:ind w:left="158"/>
                          <w:rPr>
                            <w:sz w:val="24"/>
                          </w:rPr>
                        </w:pPr>
                        <w:r>
                          <w:rPr>
                            <w:sz w:val="24"/>
                          </w:rPr>
                          <w:t>12</w:t>
                        </w:r>
                      </w:p>
                      <w:p>
                        <w:pPr>
                          <w:pStyle w:val="13"/>
                          <w:spacing w:before="98" w:line="295" w:lineRule="exact"/>
                          <w:ind w:left="158"/>
                          <w:rPr>
                            <w:sz w:val="24"/>
                          </w:rPr>
                        </w:pPr>
                        <w:r>
                          <w:rPr>
                            <w:sz w:val="24"/>
                          </w:rPr>
                          <w:t xml:space="preserve">.5 </w:t>
                        </w:r>
                      </w:p>
                    </w:tc>
                    <w:tc>
                      <w:tcPr>
                        <w:tcW w:w="7044" w:type="dxa"/>
                      </w:tcPr>
                      <w:p>
                        <w:pPr>
                          <w:pStyle w:val="13"/>
                          <w:spacing w:before="75"/>
                          <w:ind w:left="128"/>
                          <w:rPr>
                            <w:sz w:val="24"/>
                          </w:rPr>
                        </w:pPr>
                        <w:r>
                          <w:rPr>
                            <w:sz w:val="24"/>
                          </w:rPr>
                          <w:t>未按规定提交谈判保证金，将被视为未响应谈判文件要求，取消</w:t>
                        </w:r>
                      </w:p>
                      <w:p>
                        <w:pPr>
                          <w:pStyle w:val="13"/>
                          <w:spacing w:before="98" w:line="295" w:lineRule="exact"/>
                          <w:ind w:left="128"/>
                          <w:rPr>
                            <w:sz w:val="24"/>
                          </w:rPr>
                        </w:pPr>
                        <w:r>
                          <w:rPr>
                            <w:sz w:val="24"/>
                          </w:rPr>
                          <w:t>其谈判资格。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6" w:hRule="atLeast"/>
                    </w:trPr>
                    <w:tc>
                      <w:tcPr>
                        <w:tcW w:w="435" w:type="dxa"/>
                      </w:tcPr>
                      <w:p>
                        <w:pPr>
                          <w:pStyle w:val="13"/>
                          <w:rPr>
                            <w:sz w:val="24"/>
                          </w:rPr>
                        </w:pPr>
                      </w:p>
                      <w:p>
                        <w:pPr>
                          <w:pStyle w:val="13"/>
                          <w:rPr>
                            <w:sz w:val="24"/>
                          </w:rPr>
                        </w:pPr>
                      </w:p>
                      <w:p>
                        <w:pPr>
                          <w:pStyle w:val="13"/>
                          <w:spacing w:before="12"/>
                          <w:rPr>
                            <w:sz w:val="19"/>
                          </w:rPr>
                        </w:pPr>
                      </w:p>
                      <w:p>
                        <w:pPr>
                          <w:pStyle w:val="13"/>
                          <w:ind w:right="21"/>
                          <w:jc w:val="right"/>
                          <w:rPr>
                            <w:sz w:val="24"/>
                          </w:rPr>
                        </w:pPr>
                        <w:r>
                          <w:rPr>
                            <w:sz w:val="24"/>
                          </w:rPr>
                          <w:t xml:space="preserve">5 </w:t>
                        </w:r>
                      </w:p>
                    </w:tc>
                    <w:tc>
                      <w:tcPr>
                        <w:tcW w:w="511" w:type="dxa"/>
                      </w:tcPr>
                      <w:p>
                        <w:pPr>
                          <w:pStyle w:val="13"/>
                          <w:rPr>
                            <w:sz w:val="24"/>
                          </w:rPr>
                        </w:pPr>
                      </w:p>
                      <w:p>
                        <w:pPr>
                          <w:pStyle w:val="13"/>
                          <w:rPr>
                            <w:sz w:val="24"/>
                          </w:rPr>
                        </w:pPr>
                      </w:p>
                      <w:p>
                        <w:pPr>
                          <w:pStyle w:val="13"/>
                          <w:spacing w:before="12"/>
                          <w:rPr>
                            <w:sz w:val="19"/>
                          </w:rPr>
                        </w:pPr>
                      </w:p>
                      <w:p>
                        <w:pPr>
                          <w:pStyle w:val="13"/>
                          <w:ind w:right="-15"/>
                          <w:jc w:val="right"/>
                          <w:rPr>
                            <w:sz w:val="24"/>
                          </w:rPr>
                        </w:pPr>
                        <w:r>
                          <w:rPr>
                            <w:sz w:val="24"/>
                          </w:rPr>
                          <w:t xml:space="preserve">二 </w:t>
                        </w:r>
                      </w:p>
                    </w:tc>
                    <w:tc>
                      <w:tcPr>
                        <w:tcW w:w="540" w:type="dxa"/>
                      </w:tcPr>
                      <w:p>
                        <w:pPr>
                          <w:pStyle w:val="13"/>
                          <w:rPr>
                            <w:sz w:val="24"/>
                          </w:rPr>
                        </w:pPr>
                      </w:p>
                      <w:p>
                        <w:pPr>
                          <w:pStyle w:val="13"/>
                          <w:spacing w:before="173"/>
                          <w:ind w:left="158"/>
                          <w:rPr>
                            <w:sz w:val="24"/>
                          </w:rPr>
                        </w:pPr>
                        <w:r>
                          <w:rPr>
                            <w:sz w:val="24"/>
                          </w:rPr>
                          <w:t>17</w:t>
                        </w:r>
                      </w:p>
                      <w:p>
                        <w:pPr>
                          <w:pStyle w:val="13"/>
                          <w:spacing w:before="83"/>
                          <w:ind w:left="158"/>
                          <w:rPr>
                            <w:sz w:val="24"/>
                          </w:rPr>
                        </w:pPr>
                        <w:r>
                          <w:rPr>
                            <w:sz w:val="24"/>
                          </w:rPr>
                          <w:t>.3</w:t>
                        </w:r>
                      </w:p>
                      <w:p>
                        <w:pPr>
                          <w:pStyle w:val="13"/>
                          <w:spacing w:before="98"/>
                          <w:ind w:left="158"/>
                          <w:rPr>
                            <w:sz w:val="24"/>
                          </w:rPr>
                        </w:pPr>
                        <w:r>
                          <w:rPr>
                            <w:sz w:val="24"/>
                          </w:rPr>
                          <w:t xml:space="preserve">.2 </w:t>
                        </w:r>
                      </w:p>
                    </w:tc>
                    <w:tc>
                      <w:tcPr>
                        <w:tcW w:w="7044" w:type="dxa"/>
                      </w:tcPr>
                      <w:p>
                        <w:pPr>
                          <w:pStyle w:val="13"/>
                          <w:spacing w:before="75" w:line="312" w:lineRule="auto"/>
                          <w:ind w:left="128" w:right="78"/>
                          <w:rPr>
                            <w:sz w:val="24"/>
                          </w:rPr>
                        </w:pPr>
                        <w:r>
                          <w:rPr>
                            <w:spacing w:val="-5"/>
                            <w:sz w:val="24"/>
                          </w:rPr>
                          <w:t>实质性偏离是指：</w:t>
                        </w:r>
                        <w:r>
                          <w:rPr>
                            <w:spacing w:val="-34"/>
                            <w:sz w:val="24"/>
                          </w:rPr>
                          <w:t>（</w:t>
                        </w:r>
                        <w:r>
                          <w:rPr>
                            <w:rFonts w:ascii="Arial" w:eastAsia="Arial"/>
                            <w:spacing w:val="-34"/>
                            <w:sz w:val="24"/>
                          </w:rPr>
                          <w:t>1</w:t>
                        </w:r>
                        <w:r>
                          <w:rPr>
                            <w:spacing w:val="-34"/>
                            <w:sz w:val="24"/>
                          </w:rPr>
                          <w:t>）</w:t>
                        </w:r>
                        <w:r>
                          <w:rPr>
                            <w:spacing w:val="-7"/>
                            <w:sz w:val="24"/>
                          </w:rPr>
                          <w:t>实质性影响合同的范围、质量和履行；</w:t>
                        </w:r>
                        <w:r>
                          <w:rPr>
                            <w:spacing w:val="-30"/>
                            <w:sz w:val="24"/>
                          </w:rPr>
                          <w:t>（</w:t>
                        </w:r>
                        <w:r>
                          <w:rPr>
                            <w:rFonts w:ascii="Arial" w:eastAsia="Arial"/>
                            <w:spacing w:val="-30"/>
                            <w:sz w:val="24"/>
                          </w:rPr>
                          <w:t xml:space="preserve">2 </w:t>
                        </w:r>
                        <w:r>
                          <w:rPr>
                            <w:sz w:val="24"/>
                          </w:rPr>
                          <w:t>实质性违背谈判文件，限制了采购人的权利和成交供应商合同项</w:t>
                        </w:r>
                        <w:r>
                          <w:rPr>
                            <w:spacing w:val="-3"/>
                            <w:sz w:val="24"/>
                          </w:rPr>
                          <w:t>下的义务；</w:t>
                        </w:r>
                        <w:r>
                          <w:rPr>
                            <w:spacing w:val="-11"/>
                            <w:sz w:val="24"/>
                          </w:rPr>
                          <w:t>（</w:t>
                        </w:r>
                        <w:r>
                          <w:rPr>
                            <w:rFonts w:ascii="Arial" w:eastAsia="Arial"/>
                            <w:spacing w:val="-11"/>
                            <w:sz w:val="24"/>
                          </w:rPr>
                          <w:t>3</w:t>
                        </w:r>
                        <w:r>
                          <w:rPr>
                            <w:spacing w:val="-11"/>
                            <w:sz w:val="24"/>
                          </w:rPr>
                          <w:t>）</w:t>
                        </w:r>
                        <w:r>
                          <w:rPr>
                            <w:sz w:val="24"/>
                          </w:rPr>
                          <w:t>不公正地影响了其他作出实质性响应的谈判供应商的竞争地位。对没有实质性响应的谈判文件将不进行评审，其</w:t>
                        </w:r>
                      </w:p>
                      <w:p>
                        <w:pPr>
                          <w:pStyle w:val="13"/>
                          <w:spacing w:before="8" w:line="295" w:lineRule="exact"/>
                          <w:ind w:left="128"/>
                          <w:rPr>
                            <w:sz w:val="24"/>
                          </w:rPr>
                        </w:pPr>
                        <w:r>
                          <w:rPr>
                            <w:sz w:val="24"/>
                          </w:rPr>
                          <w:t>报价将被拒绝。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5" w:hRule="atLeast"/>
                    </w:trPr>
                    <w:tc>
                      <w:tcPr>
                        <w:tcW w:w="435"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32"/>
                          </w:rPr>
                        </w:pPr>
                      </w:p>
                      <w:p>
                        <w:pPr>
                          <w:pStyle w:val="13"/>
                          <w:ind w:right="21"/>
                          <w:jc w:val="right"/>
                          <w:rPr>
                            <w:sz w:val="24"/>
                          </w:rPr>
                        </w:pPr>
                        <w:r>
                          <w:rPr>
                            <w:sz w:val="24"/>
                          </w:rPr>
                          <w:t xml:space="preserve">6 </w:t>
                        </w:r>
                      </w:p>
                    </w:tc>
                    <w:tc>
                      <w:tcPr>
                        <w:tcW w:w="511"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2"/>
                          <w:rPr>
                            <w:sz w:val="32"/>
                          </w:rPr>
                        </w:pPr>
                      </w:p>
                      <w:p>
                        <w:pPr>
                          <w:pStyle w:val="13"/>
                          <w:ind w:right="-15"/>
                          <w:jc w:val="right"/>
                          <w:rPr>
                            <w:sz w:val="24"/>
                          </w:rPr>
                        </w:pPr>
                        <w:r>
                          <w:rPr>
                            <w:sz w:val="24"/>
                          </w:rPr>
                          <w:t xml:space="preserve">二 </w:t>
                        </w:r>
                      </w:p>
                    </w:tc>
                    <w:tc>
                      <w:tcPr>
                        <w:tcW w:w="54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5"/>
                          </w:rPr>
                        </w:pPr>
                      </w:p>
                      <w:p>
                        <w:pPr>
                          <w:pStyle w:val="13"/>
                          <w:ind w:left="158"/>
                          <w:rPr>
                            <w:sz w:val="24"/>
                          </w:rPr>
                        </w:pPr>
                        <w:r>
                          <w:rPr>
                            <w:sz w:val="24"/>
                          </w:rPr>
                          <w:t>17</w:t>
                        </w:r>
                      </w:p>
                      <w:p>
                        <w:pPr>
                          <w:pStyle w:val="13"/>
                          <w:spacing w:before="98"/>
                          <w:ind w:left="158"/>
                          <w:rPr>
                            <w:sz w:val="24"/>
                          </w:rPr>
                        </w:pPr>
                        <w:r>
                          <w:rPr>
                            <w:sz w:val="24"/>
                          </w:rPr>
                          <w:t>.3</w:t>
                        </w:r>
                      </w:p>
                      <w:p>
                        <w:pPr>
                          <w:pStyle w:val="13"/>
                          <w:spacing w:before="83"/>
                          <w:ind w:left="158"/>
                          <w:rPr>
                            <w:sz w:val="24"/>
                          </w:rPr>
                        </w:pPr>
                        <w:r>
                          <w:rPr>
                            <w:sz w:val="24"/>
                          </w:rPr>
                          <w:t xml:space="preserve">.2 </w:t>
                        </w:r>
                      </w:p>
                    </w:tc>
                    <w:tc>
                      <w:tcPr>
                        <w:tcW w:w="7044" w:type="dxa"/>
                      </w:tcPr>
                      <w:p>
                        <w:pPr>
                          <w:pStyle w:val="13"/>
                          <w:spacing w:before="75" w:line="316" w:lineRule="auto"/>
                          <w:ind w:left="158" w:right="78" w:firstLine="481"/>
                          <w:rPr>
                            <w:sz w:val="24"/>
                          </w:rPr>
                        </w:pPr>
                        <w:r>
                          <w:rPr>
                            <w:sz w:val="24"/>
                          </w:rPr>
                          <w:t xml:space="preserve">凡有下列情况之一者，响应文件也将被视为未实质性响应谈判文件要求： </w:t>
                        </w:r>
                      </w:p>
                      <w:p>
                        <w:pPr>
                          <w:pStyle w:val="13"/>
                          <w:spacing w:line="292" w:lineRule="exact"/>
                          <w:ind w:left="684"/>
                          <w:rPr>
                            <w:sz w:val="24"/>
                          </w:rPr>
                        </w:pPr>
                        <w:r>
                          <w:rPr>
                            <w:sz w:val="24"/>
                          </w:rPr>
                          <w:t xml:space="preserve">(1)响应文件未按照本须知规定进行密封、标记的； </w:t>
                        </w:r>
                      </w:p>
                      <w:p>
                        <w:pPr>
                          <w:pStyle w:val="13"/>
                          <w:spacing w:before="98" w:line="309" w:lineRule="auto"/>
                          <w:ind w:left="203" w:right="74" w:firstLine="481"/>
                          <w:jc w:val="both"/>
                          <w:rPr>
                            <w:sz w:val="24"/>
                          </w:rPr>
                        </w:pPr>
                        <w:r>
                          <w:rPr>
                            <w:sz w:val="24"/>
                          </w:rPr>
                          <w:t xml:space="preserve">(2)未按规定由谈判响应供应商的法定代表人或其授权代表签字；或未加盖公章的；或授权代表未提供法定代表人有效授权委托书的； </w:t>
                        </w:r>
                      </w:p>
                      <w:p>
                        <w:pPr>
                          <w:pStyle w:val="13"/>
                          <w:spacing w:before="11" w:line="316" w:lineRule="auto"/>
                          <w:ind w:left="684" w:right="1055"/>
                          <w:rPr>
                            <w:sz w:val="24"/>
                          </w:rPr>
                        </w:pPr>
                        <w:r>
                          <w:rPr>
                            <w:sz w:val="24"/>
                          </w:rPr>
                          <w:t xml:space="preserve">(3)谈判保证金未在谈判响应截止时间前到账的； (4)响应文件有效期不满足谈判文件要求的； </w:t>
                        </w:r>
                      </w:p>
                      <w:p>
                        <w:pPr>
                          <w:pStyle w:val="13"/>
                          <w:spacing w:line="291" w:lineRule="exact"/>
                          <w:ind w:left="684"/>
                          <w:rPr>
                            <w:sz w:val="24"/>
                          </w:rPr>
                        </w:pPr>
                        <w:r>
                          <w:rPr>
                            <w:sz w:val="24"/>
                          </w:rPr>
                          <w:t xml:space="preserve">(5)响应文件内容与采购内容及要求有重大偏离或保留的； </w:t>
                        </w:r>
                      </w:p>
                      <w:p>
                        <w:pPr>
                          <w:pStyle w:val="13"/>
                          <w:spacing w:before="98" w:line="316" w:lineRule="auto"/>
                          <w:ind w:left="684" w:right="1055"/>
                          <w:rPr>
                            <w:sz w:val="24"/>
                          </w:rPr>
                        </w:pPr>
                        <w:r>
                          <w:rPr>
                            <w:sz w:val="24"/>
                          </w:rPr>
                          <w:t>(6)</w:t>
                        </w:r>
                        <w:r>
                          <w:rPr>
                            <w:spacing w:val="-1"/>
                            <w:sz w:val="24"/>
                          </w:rPr>
                          <w:t xml:space="preserve">响应供应商提交的是可选择的报价；       </w:t>
                        </w:r>
                        <w:r>
                          <w:rPr>
                            <w:sz w:val="24"/>
                          </w:rPr>
                          <w:t>(7)</w:t>
                        </w:r>
                        <w:r>
                          <w:rPr>
                            <w:spacing w:val="-1"/>
                            <w:sz w:val="24"/>
                          </w:rPr>
                          <w:t>响应供应商未按谈判文件要求进行分项报价；</w:t>
                        </w:r>
                        <w:r>
                          <w:rPr>
                            <w:sz w:val="24"/>
                          </w:rPr>
                          <w:t xml:space="preserve"> </w:t>
                        </w:r>
                      </w:p>
                      <w:p>
                        <w:pPr>
                          <w:pStyle w:val="13"/>
                          <w:spacing w:line="291" w:lineRule="exact"/>
                          <w:ind w:left="684"/>
                          <w:rPr>
                            <w:sz w:val="24"/>
                          </w:rPr>
                        </w:pPr>
                        <w:r>
                          <w:rPr>
                            <w:sz w:val="24"/>
                          </w:rPr>
                          <w:t xml:space="preserve">(8)响应文件中提供虚假或失实资料的； </w:t>
                        </w:r>
                      </w:p>
                      <w:p>
                        <w:pPr>
                          <w:pStyle w:val="13"/>
                          <w:spacing w:before="98"/>
                          <w:ind w:left="684"/>
                          <w:rPr>
                            <w:sz w:val="24"/>
                          </w:rPr>
                        </w:pPr>
                        <w:r>
                          <w:rPr>
                            <w:sz w:val="24"/>
                          </w:rPr>
                          <w:t xml:space="preserve">(9)不符合谈判文件中规定的其它实质性条款。  </w:t>
                        </w:r>
                      </w:p>
                      <w:p>
                        <w:pPr>
                          <w:pStyle w:val="13"/>
                          <w:spacing w:before="15" w:line="390" w:lineRule="atLeast"/>
                          <w:ind w:left="203" w:right="74" w:firstLine="481"/>
                          <w:rPr>
                            <w:sz w:val="24"/>
                          </w:rPr>
                        </w:pPr>
                        <w:r>
                          <w:rPr>
                            <w:sz w:val="24"/>
                          </w:rPr>
                          <w:t xml:space="preserve">谈判小组决定谈判响应供应商的响应性只根据响应文件本身的内容，而不寻求其他的外部证据。 </w:t>
                        </w:r>
                      </w:p>
                    </w:tc>
                  </w:tr>
                </w:tbl>
                <w:p>
                  <w:pPr>
                    <w:pStyle w:val="8"/>
                  </w:pPr>
                </w:p>
              </w:txbxContent>
            </v:textbox>
          </v:shape>
        </w:pic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
        <w:rPr>
          <w:color w:val="auto"/>
          <w:sz w:val="20"/>
        </w:rPr>
      </w:pPr>
    </w:p>
    <w:p>
      <w:pPr>
        <w:pStyle w:val="8"/>
        <w:spacing w:before="78"/>
        <w:ind w:right="1695"/>
        <w:jc w:val="right"/>
        <w:rPr>
          <w:color w:val="auto"/>
        </w:rPr>
      </w:pPr>
      <w:r>
        <w:rPr>
          <w:color w:val="auto"/>
        </w:rPr>
        <w:t>）</w:t>
      </w:r>
    </w:p>
    <w:p>
      <w:pPr>
        <w:spacing w:after="0"/>
        <w:jc w:val="right"/>
        <w:rPr>
          <w:color w:val="auto"/>
        </w:rPr>
        <w:sectPr>
          <w:pgSz w:w="11910" w:h="16850"/>
          <w:pgMar w:top="1440" w:right="0" w:bottom="1080" w:left="1260" w:header="0" w:footer="891" w:gutter="0"/>
          <w:cols w:space="720" w:num="1"/>
        </w:sectPr>
      </w:pPr>
    </w:p>
    <w:tbl>
      <w:tblPr>
        <w:tblStyle w:val="9"/>
        <w:tblW w:w="0" w:type="auto"/>
        <w:tblInd w:w="3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5"/>
        <w:gridCol w:w="511"/>
        <w:gridCol w:w="540"/>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0" w:hRule="atLeast"/>
        </w:trPr>
        <w:tc>
          <w:tcPr>
            <w:tcW w:w="435" w:type="dxa"/>
          </w:tcPr>
          <w:p>
            <w:pPr>
              <w:pStyle w:val="13"/>
              <w:rPr>
                <w:color w:val="auto"/>
                <w:sz w:val="24"/>
              </w:rPr>
            </w:pPr>
          </w:p>
          <w:p>
            <w:pPr>
              <w:pStyle w:val="13"/>
              <w:spacing w:before="5"/>
              <w:rPr>
                <w:color w:val="auto"/>
                <w:sz w:val="28"/>
              </w:rPr>
            </w:pPr>
          </w:p>
          <w:p>
            <w:pPr>
              <w:pStyle w:val="13"/>
              <w:ind w:right="21"/>
              <w:jc w:val="right"/>
              <w:rPr>
                <w:color w:val="auto"/>
                <w:sz w:val="24"/>
              </w:rPr>
            </w:pPr>
            <w:r>
              <w:rPr>
                <w:color w:val="auto"/>
                <w:sz w:val="24"/>
              </w:rPr>
              <w:t xml:space="preserve">7 </w:t>
            </w:r>
          </w:p>
        </w:tc>
        <w:tc>
          <w:tcPr>
            <w:tcW w:w="511" w:type="dxa"/>
          </w:tcPr>
          <w:p>
            <w:pPr>
              <w:pStyle w:val="13"/>
              <w:rPr>
                <w:color w:val="auto"/>
                <w:sz w:val="24"/>
              </w:rPr>
            </w:pPr>
          </w:p>
          <w:p>
            <w:pPr>
              <w:pStyle w:val="13"/>
              <w:spacing w:before="5"/>
              <w:rPr>
                <w:color w:val="auto"/>
                <w:sz w:val="28"/>
              </w:rPr>
            </w:pPr>
          </w:p>
          <w:p>
            <w:pPr>
              <w:pStyle w:val="13"/>
              <w:ind w:left="187" w:right="29"/>
              <w:jc w:val="center"/>
              <w:rPr>
                <w:color w:val="auto"/>
                <w:sz w:val="24"/>
              </w:rPr>
            </w:pPr>
            <w:r>
              <w:rPr>
                <w:color w:val="auto"/>
                <w:sz w:val="24"/>
              </w:rPr>
              <w:t xml:space="preserve">二 </w:t>
            </w:r>
          </w:p>
        </w:tc>
        <w:tc>
          <w:tcPr>
            <w:tcW w:w="540" w:type="dxa"/>
          </w:tcPr>
          <w:p>
            <w:pPr>
              <w:pStyle w:val="13"/>
              <w:rPr>
                <w:color w:val="auto"/>
                <w:sz w:val="24"/>
              </w:rPr>
            </w:pPr>
          </w:p>
          <w:p>
            <w:pPr>
              <w:pStyle w:val="13"/>
              <w:spacing w:before="154"/>
              <w:ind w:left="158"/>
              <w:rPr>
                <w:color w:val="auto"/>
                <w:sz w:val="24"/>
              </w:rPr>
            </w:pPr>
            <w:r>
              <w:rPr>
                <w:color w:val="auto"/>
                <w:sz w:val="24"/>
              </w:rPr>
              <w:t>19</w:t>
            </w:r>
          </w:p>
          <w:p>
            <w:pPr>
              <w:pStyle w:val="13"/>
              <w:spacing w:before="98"/>
              <w:ind w:left="158"/>
              <w:rPr>
                <w:color w:val="auto"/>
                <w:sz w:val="24"/>
              </w:rPr>
            </w:pPr>
            <w:r>
              <w:rPr>
                <w:color w:val="auto"/>
                <w:sz w:val="24"/>
              </w:rPr>
              <w:t xml:space="preserve">.2 </w:t>
            </w:r>
          </w:p>
        </w:tc>
        <w:tc>
          <w:tcPr>
            <w:tcW w:w="7044" w:type="dxa"/>
          </w:tcPr>
          <w:p>
            <w:pPr>
              <w:pStyle w:val="13"/>
              <w:spacing w:before="71" w:line="309" w:lineRule="auto"/>
              <w:ind w:left="128" w:right="78" w:firstLine="480"/>
              <w:jc w:val="both"/>
              <w:rPr>
                <w:color w:val="auto"/>
                <w:sz w:val="24"/>
              </w:rPr>
            </w:pPr>
            <w:r>
              <w:rPr>
                <w:color w:val="auto"/>
                <w:sz w:val="24"/>
              </w:rPr>
              <w:t>若谈判供应商的报价明显低于其他报价，使得其报价可能低于其个别成本的，有可能影响商品质量或不能诚信履约的，谈判供应商应按谈判小组要求作出书面说明并提供相关证明材料，不</w:t>
            </w:r>
          </w:p>
          <w:p>
            <w:pPr>
              <w:pStyle w:val="13"/>
              <w:spacing w:before="11" w:line="298" w:lineRule="exact"/>
              <w:ind w:left="128"/>
              <w:rPr>
                <w:color w:val="auto"/>
                <w:sz w:val="24"/>
              </w:rPr>
            </w:pPr>
            <w:r>
              <w:rPr>
                <w:color w:val="auto"/>
                <w:sz w:val="24"/>
              </w:rPr>
              <w:t xml:space="preserve">能合理说明或不能提供相关证明材料的，可作无效报价处理。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435" w:type="dxa"/>
          </w:tcPr>
          <w:p>
            <w:pPr>
              <w:pStyle w:val="13"/>
              <w:spacing w:before="72"/>
              <w:ind w:right="21"/>
              <w:jc w:val="right"/>
              <w:rPr>
                <w:color w:val="auto"/>
                <w:sz w:val="24"/>
              </w:rPr>
            </w:pPr>
            <w:r>
              <w:rPr>
                <w:color w:val="auto"/>
                <w:sz w:val="24"/>
              </w:rPr>
              <w:t xml:space="preserve">8 </w:t>
            </w:r>
          </w:p>
        </w:tc>
        <w:tc>
          <w:tcPr>
            <w:tcW w:w="511" w:type="dxa"/>
          </w:tcPr>
          <w:p>
            <w:pPr>
              <w:pStyle w:val="13"/>
              <w:spacing w:before="72"/>
              <w:ind w:left="151"/>
              <w:jc w:val="center"/>
              <w:rPr>
                <w:color w:val="auto"/>
                <w:sz w:val="24"/>
              </w:rPr>
            </w:pPr>
            <w:r>
              <w:rPr>
                <w:color w:val="auto"/>
                <w:sz w:val="24"/>
              </w:rPr>
              <w:t xml:space="preserve"> </w:t>
            </w:r>
          </w:p>
        </w:tc>
        <w:tc>
          <w:tcPr>
            <w:tcW w:w="540" w:type="dxa"/>
          </w:tcPr>
          <w:p>
            <w:pPr>
              <w:pStyle w:val="13"/>
              <w:spacing w:before="72"/>
              <w:ind w:right="124"/>
              <w:jc w:val="right"/>
              <w:rPr>
                <w:color w:val="auto"/>
                <w:sz w:val="24"/>
              </w:rPr>
            </w:pPr>
            <w:r>
              <w:rPr>
                <w:color w:val="auto"/>
                <w:sz w:val="24"/>
              </w:rPr>
              <w:t xml:space="preserve"> </w:t>
            </w:r>
          </w:p>
        </w:tc>
        <w:tc>
          <w:tcPr>
            <w:tcW w:w="7044" w:type="dxa"/>
          </w:tcPr>
          <w:p>
            <w:pPr>
              <w:pStyle w:val="13"/>
              <w:spacing w:before="72"/>
              <w:ind w:left="128" w:firstLine="480"/>
              <w:rPr>
                <w:color w:val="auto"/>
                <w:sz w:val="24"/>
              </w:rPr>
            </w:pPr>
            <w:r>
              <w:rPr>
                <w:color w:val="auto"/>
                <w:sz w:val="24"/>
              </w:rPr>
              <w:t>谈判小组将对谈判文件中列明的合格谈判方应符合“资格性</w:t>
            </w:r>
          </w:p>
          <w:p>
            <w:pPr>
              <w:pStyle w:val="13"/>
              <w:spacing w:before="15" w:line="390" w:lineRule="atLeast"/>
              <w:ind w:left="128" w:right="79"/>
              <w:rPr>
                <w:color w:val="auto"/>
                <w:sz w:val="24"/>
              </w:rPr>
            </w:pPr>
            <w:r>
              <w:rPr>
                <w:color w:val="auto"/>
                <w:sz w:val="24"/>
              </w:rPr>
              <w:t xml:space="preserve">要求”部分做资格审查，没有提供相关证明文件或文件未按规定签署盖章者以无效谈判论。 </w:t>
            </w:r>
          </w:p>
        </w:tc>
      </w:tr>
    </w:tbl>
    <w:p>
      <w:pPr>
        <w:pStyle w:val="5"/>
        <w:spacing w:before="71"/>
        <w:rPr>
          <w:color w:val="auto"/>
        </w:rPr>
      </w:pPr>
      <w:r>
        <w:rPr>
          <w:color w:val="auto"/>
          <w:w w:val="99"/>
        </w:rPr>
        <w:t xml:space="preserve"> </w:t>
      </w:r>
    </w:p>
    <w:p>
      <w:pPr>
        <w:pStyle w:val="8"/>
        <w:rPr>
          <w:b/>
          <w:color w:val="auto"/>
        </w:rPr>
      </w:pPr>
    </w:p>
    <w:p>
      <w:pPr>
        <w:pStyle w:val="8"/>
        <w:rPr>
          <w:b/>
          <w:color w:val="auto"/>
        </w:rPr>
      </w:pPr>
    </w:p>
    <w:p>
      <w:pPr>
        <w:pStyle w:val="8"/>
        <w:rPr>
          <w:b/>
          <w:color w:val="auto"/>
        </w:rPr>
      </w:pPr>
    </w:p>
    <w:p>
      <w:pPr>
        <w:pStyle w:val="8"/>
        <w:spacing w:before="5"/>
        <w:rPr>
          <w:b/>
          <w:color w:val="auto"/>
          <w:sz w:val="22"/>
        </w:rPr>
      </w:pPr>
    </w:p>
    <w:p>
      <w:pPr>
        <w:tabs>
          <w:tab w:val="left" w:pos="3365"/>
        </w:tabs>
        <w:spacing w:before="0"/>
        <w:ind w:left="481" w:right="0" w:firstLine="0"/>
        <w:jc w:val="left"/>
        <w:rPr>
          <w:color w:val="auto"/>
          <w:sz w:val="24"/>
        </w:rPr>
        <w:sectPr>
          <w:pgSz w:w="11910" w:h="16850"/>
          <w:pgMar w:top="1440" w:right="0" w:bottom="1160" w:left="1260" w:header="0" w:footer="891" w:gutter="0"/>
          <w:cols w:space="720" w:num="1"/>
        </w:sectPr>
      </w:pPr>
    </w:p>
    <w:p>
      <w:pPr>
        <w:spacing w:before="51"/>
        <w:ind w:left="557" w:right="1739" w:firstLine="0"/>
        <w:jc w:val="center"/>
        <w:rPr>
          <w:b/>
          <w:color w:val="auto"/>
          <w:sz w:val="24"/>
        </w:rPr>
      </w:pPr>
      <w:r>
        <w:rPr>
          <w:color w:val="auto"/>
        </w:rPr>
        <w:pict>
          <v:group id="_x0000_s1035" o:spid="_x0000_s1035" o:spt="203" style="position:absolute;left:0pt;margin-left:81.05pt;margin-top:111.8pt;height:641.8pt;width:427.3pt;mso-position-horizontal-relative:page;mso-position-vertical-relative:page;z-index:-251654144;mso-width-relative:page;mso-height-relative:page;" coordorigin="1622,2237" coordsize="8546,12836">
            <o:lock v:ext="edit"/>
            <v:line id="_x0000_s1036" o:spid="_x0000_s1036" o:spt="20" style="position:absolute;left:1637;top:2244;height:0;width:8516;" stroked="t" coordsize="21600,21600">
              <v:path arrowok="t"/>
              <v:fill focussize="0,0"/>
              <v:stroke color="#000000"/>
              <v:imagedata o:title=""/>
              <o:lock v:ext="edit"/>
            </v:line>
            <v:line id="_x0000_s1037" o:spid="_x0000_s1037" o:spt="20" style="position:absolute;left:1629;top:2237;height:12836;width:0;" stroked="t" coordsize="21600,21600">
              <v:path arrowok="t"/>
              <v:fill focussize="0,0"/>
              <v:stroke color="#000000"/>
              <v:imagedata o:title=""/>
              <o:lock v:ext="edit"/>
            </v:line>
            <v:line id="_x0000_s1038" o:spid="_x0000_s1038" o:spt="20" style="position:absolute;left:1637;top:15065;height:0;width:8516;" stroked="t" coordsize="21600,21600">
              <v:path arrowok="t"/>
              <v:fill focussize="0,0"/>
              <v:stroke color="#000000"/>
              <v:imagedata o:title=""/>
              <o:lock v:ext="edit"/>
            </v:line>
            <v:line id="_x0000_s1039" o:spid="_x0000_s1039" o:spt="20" style="position:absolute;left:10160;top:2237;height:12836;width:0;" stroked="t" coordsize="21600,21600">
              <v:path arrowok="t"/>
              <v:fill focussize="0,0"/>
              <v:stroke color="#000000"/>
              <v:imagedata o:title=""/>
              <o:lock v:ext="edit"/>
            </v:line>
          </v:group>
        </w:pict>
      </w:r>
      <w:r>
        <w:rPr>
          <w:b/>
          <w:color w:val="auto"/>
          <w:sz w:val="24"/>
          <w:u w:val="single"/>
        </w:rPr>
        <w:t>谈判供应商须知前附表 3：谈判规则、方法评分办法及步骤</w:t>
      </w:r>
      <w:r>
        <w:rPr>
          <w:b/>
          <w:color w:val="auto"/>
          <w:w w:val="99"/>
          <w:sz w:val="24"/>
        </w:rPr>
        <w:t xml:space="preserve"> </w:t>
      </w:r>
    </w:p>
    <w:p>
      <w:pPr>
        <w:spacing w:before="98"/>
        <w:ind w:left="0" w:right="1182" w:firstLine="0"/>
        <w:jc w:val="center"/>
        <w:rPr>
          <w:b/>
          <w:color w:val="auto"/>
          <w:sz w:val="24"/>
        </w:rPr>
      </w:pPr>
      <w:r>
        <w:rPr>
          <w:b/>
          <w:color w:val="auto"/>
          <w:w w:val="99"/>
          <w:sz w:val="24"/>
        </w:rPr>
        <w:t xml:space="preserve"> </w:t>
      </w:r>
    </w:p>
    <w:p>
      <w:pPr>
        <w:pStyle w:val="8"/>
        <w:spacing w:before="98"/>
        <w:ind w:left="481"/>
        <w:rPr>
          <w:color w:val="auto"/>
        </w:rPr>
      </w:pPr>
      <w:r>
        <w:rPr>
          <w:color w:val="auto"/>
        </w:rPr>
        <w:t xml:space="preserve">一．评审原则、方法 </w:t>
      </w:r>
    </w:p>
    <w:p>
      <w:pPr>
        <w:pStyle w:val="8"/>
        <w:spacing w:before="98" w:line="304" w:lineRule="auto"/>
        <w:ind w:left="481" w:right="1844" w:firstLine="481"/>
        <w:rPr>
          <w:color w:val="auto"/>
        </w:rPr>
      </w:pPr>
      <w:r>
        <w:rPr>
          <w:color w:val="auto"/>
        </w:rPr>
        <w:t>1.</w:t>
      </w:r>
      <w:r>
        <w:rPr>
          <w:color w:val="auto"/>
          <w:spacing w:val="-9"/>
        </w:rPr>
        <w:t>谈判小组依据《中华人民共和国政府采购法》及其实施条例和相关的法规规章，遵循“公开、公平、公正、择优、信用”的原则进行谈判及评审；</w:t>
      </w:r>
      <w:r>
        <w:rPr>
          <w:color w:val="auto"/>
        </w:rPr>
        <w:t xml:space="preserve"> </w:t>
      </w:r>
    </w:p>
    <w:p>
      <w:pPr>
        <w:pStyle w:val="8"/>
        <w:spacing w:before="15" w:line="316" w:lineRule="auto"/>
        <w:ind w:left="481" w:right="1734" w:firstLine="481"/>
        <w:rPr>
          <w:color w:val="auto"/>
        </w:rPr>
      </w:pPr>
      <w:r>
        <w:rPr>
          <w:color w:val="auto"/>
        </w:rPr>
        <w:t xml:space="preserve">2.谈判小组按照规定只对资格、符合性评审合格的响应文件进行最终评审和比较。如各评委结论不一致，以少数服从多数原则确定； </w:t>
      </w:r>
    </w:p>
    <w:p>
      <w:pPr>
        <w:pStyle w:val="8"/>
        <w:spacing w:line="291" w:lineRule="exact"/>
        <w:ind w:left="963"/>
        <w:rPr>
          <w:color w:val="auto"/>
        </w:rPr>
      </w:pPr>
      <w:r>
        <w:rPr>
          <w:color w:val="auto"/>
        </w:rPr>
        <w:t>3.谈判中，谈判的任何一方不得透露与谈判有关的其他供应商的技术资料、</w:t>
      </w:r>
    </w:p>
    <w:p>
      <w:pPr>
        <w:pStyle w:val="8"/>
        <w:spacing w:before="97"/>
        <w:ind w:left="481"/>
        <w:rPr>
          <w:color w:val="auto"/>
        </w:rPr>
      </w:pPr>
      <w:r>
        <w:rPr>
          <w:color w:val="auto"/>
        </w:rPr>
        <w:t xml:space="preserve">价格和其他信息； </w:t>
      </w:r>
    </w:p>
    <w:p>
      <w:pPr>
        <w:pStyle w:val="8"/>
        <w:spacing w:before="98" w:line="304" w:lineRule="auto"/>
        <w:ind w:left="481" w:right="1734" w:firstLine="481"/>
        <w:rPr>
          <w:color w:val="auto"/>
        </w:rPr>
      </w:pPr>
      <w:r>
        <w:rPr>
          <w:color w:val="auto"/>
        </w:rPr>
        <w:t xml:space="preserve">4.除非在谈判中谈判小组对用户需求内容作调整增加，或对采购内容作实质性变更，否则采购人不接受高于前面轮次谈判报价的最终报价 </w:t>
      </w:r>
    </w:p>
    <w:p>
      <w:pPr>
        <w:pStyle w:val="8"/>
        <w:spacing w:before="15" w:line="316" w:lineRule="auto"/>
        <w:ind w:left="481" w:right="1734" w:firstLine="481"/>
        <w:rPr>
          <w:color w:val="auto"/>
        </w:rPr>
      </w:pPr>
      <w:r>
        <w:rPr>
          <w:color w:val="auto"/>
        </w:rPr>
        <w:t xml:space="preserve">5.评审办法：采用最低评标价法，即供应商提供的产品质量和服务均能满足谈判文件规定的实质性要求，以最低评标价的供应商为供应商。 </w:t>
      </w:r>
    </w:p>
    <w:p>
      <w:pPr>
        <w:pStyle w:val="8"/>
        <w:spacing w:line="291" w:lineRule="exact"/>
        <w:ind w:left="481"/>
        <w:rPr>
          <w:color w:val="auto"/>
        </w:rPr>
      </w:pPr>
      <w:r>
        <w:rPr>
          <w:color w:val="auto"/>
        </w:rPr>
        <w:t xml:space="preserve">二、评审步骤 </w:t>
      </w:r>
    </w:p>
    <w:p>
      <w:pPr>
        <w:pStyle w:val="8"/>
        <w:spacing w:before="98"/>
        <w:ind w:left="481"/>
        <w:rPr>
          <w:color w:val="auto"/>
        </w:rPr>
      </w:pPr>
      <w:r>
        <w:rPr>
          <w:color w:val="auto"/>
        </w:rPr>
        <w:t xml:space="preserve">   1.第一阶段：谈判小组对每位供应商的响应文件进行资格、符合性评审； </w:t>
      </w:r>
    </w:p>
    <w:p>
      <w:pPr>
        <w:pStyle w:val="8"/>
        <w:spacing w:before="98" w:line="309" w:lineRule="auto"/>
        <w:ind w:left="481" w:right="1724"/>
        <w:jc w:val="both"/>
        <w:rPr>
          <w:color w:val="auto"/>
        </w:rPr>
      </w:pPr>
      <w:r>
        <w:rPr>
          <w:color w:val="auto"/>
        </w:rPr>
        <w:t xml:space="preserve">   2.</w:t>
      </w:r>
      <w:r>
        <w:rPr>
          <w:color w:val="auto"/>
          <w:spacing w:val="-9"/>
        </w:rPr>
        <w:t>第二阶段：谈判小组按抽签产生的谈判顺序集中与单一供应商进行谈判</w:t>
      </w:r>
      <w:r>
        <w:rPr>
          <w:color w:val="auto"/>
        </w:rPr>
        <w:t xml:space="preserve">（谈判的内容主要是对报价方案的澄清、修正、补充、确认以及价格调整等。谈判文件有实质性变动的，谈判小组应当以书面形式通知所有供应商）； </w:t>
      </w:r>
    </w:p>
    <w:p>
      <w:pPr>
        <w:pStyle w:val="8"/>
        <w:spacing w:before="11" w:line="304" w:lineRule="auto"/>
        <w:ind w:left="481" w:right="1724"/>
        <w:jc w:val="both"/>
        <w:rPr>
          <w:color w:val="auto"/>
        </w:rPr>
      </w:pPr>
      <w:r>
        <w:rPr>
          <w:color w:val="auto"/>
        </w:rPr>
        <w:t xml:space="preserve">   3.</w:t>
      </w:r>
      <w:r>
        <w:rPr>
          <w:color w:val="auto"/>
          <w:spacing w:val="-11"/>
        </w:rPr>
        <w:t>第三阶段：谈判结束后，谈判小组要求所有供应商在规定时间内提出最终报价，包括最终澄清方案、报价及有关承诺等；</w:t>
      </w:r>
      <w:r>
        <w:rPr>
          <w:color w:val="auto"/>
        </w:rPr>
        <w:t xml:space="preserve"> </w:t>
      </w:r>
    </w:p>
    <w:p>
      <w:pPr>
        <w:pStyle w:val="8"/>
        <w:spacing w:before="14" w:line="309" w:lineRule="auto"/>
        <w:ind w:left="481" w:right="1724"/>
        <w:jc w:val="both"/>
        <w:rPr>
          <w:color w:val="auto"/>
        </w:rPr>
      </w:pPr>
      <w:r>
        <w:rPr>
          <w:color w:val="auto"/>
        </w:rPr>
        <w:t xml:space="preserve">   4.</w:t>
      </w:r>
      <w:r>
        <w:rPr>
          <w:color w:val="auto"/>
          <w:spacing w:val="-9"/>
        </w:rPr>
        <w:t>第四阶段：谈判小组对供应商的最终报价进行评议和比较，并根据评审办法</w:t>
      </w:r>
      <w:r>
        <w:rPr>
          <w:color w:val="auto"/>
          <w:spacing w:val="-8"/>
        </w:rPr>
        <w:t xml:space="preserve">从通过资格、符合性评审的供应商中推荐成交候选人，谈判小组出具谈判结果评审报告； </w:t>
      </w:r>
    </w:p>
    <w:p>
      <w:pPr>
        <w:pStyle w:val="8"/>
        <w:spacing w:before="11" w:line="316" w:lineRule="auto"/>
        <w:ind w:left="481" w:right="1723"/>
        <w:jc w:val="both"/>
        <w:rPr>
          <w:color w:val="auto"/>
        </w:rPr>
      </w:pPr>
      <w:r>
        <w:rPr>
          <w:color w:val="auto"/>
        </w:rPr>
        <w:t xml:space="preserve">   5.</w:t>
      </w:r>
      <w:r>
        <w:rPr>
          <w:color w:val="auto"/>
          <w:spacing w:val="-9"/>
        </w:rPr>
        <w:t>谈判过程中，供应商提交的澄清文件和最终报价，由供应商法定代表人或其授权代表签署后生效，供应商受其约束。</w:t>
      </w:r>
      <w:r>
        <w:rPr>
          <w:color w:val="auto"/>
        </w:rPr>
        <w:t xml:space="preserve"> </w:t>
      </w:r>
    </w:p>
    <w:p>
      <w:pPr>
        <w:pStyle w:val="8"/>
        <w:spacing w:line="292" w:lineRule="exact"/>
        <w:ind w:left="722"/>
        <w:rPr>
          <w:color w:val="auto"/>
        </w:rPr>
      </w:pPr>
      <w:r>
        <w:rPr>
          <w:color w:val="auto"/>
        </w:rPr>
        <w:t>6.评审过程中，谈判小组发现某一供应商的报价明显低于其他供应商，其报价</w:t>
      </w:r>
    </w:p>
    <w:p>
      <w:pPr>
        <w:pStyle w:val="8"/>
        <w:spacing w:before="98" w:line="309" w:lineRule="auto"/>
        <w:ind w:left="481" w:right="1733"/>
        <w:jc w:val="both"/>
        <w:rPr>
          <w:color w:val="auto"/>
        </w:rPr>
      </w:pPr>
      <w:r>
        <w:rPr>
          <w:color w:val="auto"/>
        </w:rPr>
        <w:t xml:space="preserve">可能低于成本价的，谈判小组有权要求该供应商作出书面说明并提供相关证明材料，供应商不能合理说明或者不能提供相关证明材料的，由谈判小组认定该供应商以低于成本报价谈判，以无效响应处理。 </w:t>
      </w:r>
    </w:p>
    <w:p>
      <w:pPr>
        <w:pStyle w:val="8"/>
        <w:spacing w:before="11"/>
        <w:ind w:left="481"/>
        <w:rPr>
          <w:color w:val="auto"/>
        </w:rPr>
      </w:pPr>
      <w:r>
        <w:rPr>
          <w:color w:val="auto"/>
        </w:rPr>
        <w:t xml:space="preserve">三．确定成交候选供应商原则： </w:t>
      </w:r>
    </w:p>
    <w:p>
      <w:pPr>
        <w:pStyle w:val="8"/>
        <w:spacing w:before="98"/>
        <w:ind w:left="963"/>
        <w:rPr>
          <w:color w:val="auto"/>
        </w:rPr>
      </w:pPr>
      <w:r>
        <w:rPr>
          <w:color w:val="auto"/>
        </w:rPr>
        <w:t xml:space="preserve">1.采购人从谈判小组推荐的成交候选人中依法确定供应商； </w:t>
      </w:r>
    </w:p>
    <w:p>
      <w:pPr>
        <w:pStyle w:val="8"/>
        <w:spacing w:before="83" w:line="316" w:lineRule="auto"/>
        <w:ind w:left="481" w:right="1748"/>
        <w:jc w:val="both"/>
        <w:rPr>
          <w:color w:val="auto"/>
        </w:rPr>
      </w:pPr>
      <w:r>
        <w:rPr>
          <w:color w:val="auto"/>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w:t>
      </w:r>
    </w:p>
    <w:p>
      <w:pPr>
        <w:spacing w:after="0" w:line="316" w:lineRule="auto"/>
        <w:jc w:val="both"/>
        <w:rPr>
          <w:color w:val="auto"/>
        </w:rPr>
        <w:sectPr>
          <w:pgSz w:w="11910" w:h="16850"/>
          <w:pgMar w:top="1460" w:right="0" w:bottom="1160" w:left="1260" w:header="0" w:footer="891" w:gutter="0"/>
          <w:cols w:space="720" w:num="1"/>
        </w:sectPr>
      </w:pPr>
    </w:p>
    <w:p>
      <w:pPr>
        <w:pStyle w:val="8"/>
        <w:rPr>
          <w:color w:val="auto"/>
          <w:sz w:val="20"/>
        </w:rPr>
      </w:pPr>
    </w:p>
    <w:p>
      <w:pPr>
        <w:pStyle w:val="8"/>
        <w:rPr>
          <w:color w:val="auto"/>
          <w:sz w:val="20"/>
        </w:rPr>
      </w:pPr>
    </w:p>
    <w:p>
      <w:pPr>
        <w:pStyle w:val="8"/>
        <w:spacing w:before="8"/>
        <w:rPr>
          <w:color w:val="auto"/>
          <w:sz w:val="23"/>
        </w:rPr>
      </w:pPr>
    </w:p>
    <w:p>
      <w:pPr>
        <w:pStyle w:val="8"/>
        <w:spacing w:before="67"/>
        <w:ind w:right="1710"/>
        <w:jc w:val="right"/>
        <w:rPr>
          <w:color w:val="auto"/>
        </w:rPr>
      </w:pPr>
      <w:r>
        <w:rPr>
          <w:color w:val="auto"/>
        </w:rPr>
        <w:pict>
          <v:shape id="_x0000_s1040" o:spid="_x0000_s1040" o:spt="202" type="#_x0000_t202" style="position:absolute;left:0pt;margin-left:81.45pt;margin-top:-40.5pt;height:200.45pt;width:426.55pt;mso-position-horizontal-relative:page;z-index:-251654144;mso-width-relative:page;mso-height-relative:page;" filled="f" stroked="t" coordsize="21600,21600">
            <v:path/>
            <v:fill on="f" focussize="0,0"/>
            <v:stroke color="#000000"/>
            <v:imagedata o:title=""/>
            <o:lock v:ext="edit"/>
            <v:textbox inset="0mm,0mm,0mm,0mm">
              <w:txbxContent>
                <w:p>
                  <w:pPr>
                    <w:pStyle w:val="8"/>
                    <w:spacing w:before="75"/>
                    <w:ind w:left="105"/>
                  </w:pPr>
                  <w:r>
                    <w:t xml:space="preserve">承担任何责任。 </w:t>
                  </w:r>
                </w:p>
                <w:p>
                  <w:pPr>
                    <w:pStyle w:val="8"/>
                    <w:spacing w:before="83" w:line="316" w:lineRule="auto"/>
                    <w:ind w:left="105" w:right="87" w:firstLine="481"/>
                  </w:pPr>
                  <w:r>
                    <w:rPr>
                      <w:spacing w:val="-6"/>
                    </w:rPr>
                    <w:t>在响应文件提交截止时间后至评审前，代理机构将先行查询供应商信用记录</w:t>
                  </w:r>
                  <w:r>
                    <w:rPr>
                      <w:spacing w:val="-7"/>
                    </w:rPr>
                    <w:t>查询渠道包括但不限于：中国政府采购网：</w:t>
                  </w:r>
                  <w:r>
                    <w:fldChar w:fldCharType="begin"/>
                  </w:r>
                  <w:r>
                    <w:instrText xml:space="preserve"> HYPERLINK "http://www.creditchina.gov.cn/" \h </w:instrText>
                  </w:r>
                  <w:r>
                    <w:fldChar w:fldCharType="separate"/>
                  </w:r>
                  <w:r>
                    <w:t>https://www.cr</w:t>
                  </w:r>
                  <w:r>
                    <w:fldChar w:fldCharType="end"/>
                  </w:r>
                  <w:r>
                    <w:t>editchin</w:t>
                  </w:r>
                  <w:r>
                    <w:fldChar w:fldCharType="begin"/>
                  </w:r>
                  <w:r>
                    <w:instrText xml:space="preserve"> HYPERLINK "http://www.creditchina.gov.cn/" \h </w:instrText>
                  </w:r>
                  <w:r>
                    <w:fldChar w:fldCharType="separate"/>
                  </w:r>
                  <w:r>
                    <w:t xml:space="preserve">a.gov.cn/ </w:t>
                  </w:r>
                  <w:r>
                    <w:fldChar w:fldCharType="end"/>
                  </w:r>
                  <w:r>
                    <w:t>用中国：</w:t>
                  </w:r>
                  <w:r>
                    <w:fldChar w:fldCharType="begin"/>
                  </w:r>
                  <w:r>
                    <w:instrText xml:space="preserve"> HYPERLINK "http://www.ccgp.gov.cn/" \h </w:instrText>
                  </w:r>
                  <w:r>
                    <w:fldChar w:fldCharType="separate"/>
                  </w:r>
                  <w:r>
                    <w:t>http://www.ccgp.gov.cn/</w:t>
                  </w:r>
                  <w:r>
                    <w:fldChar w:fldCharType="end"/>
                  </w:r>
                  <w:r>
                    <w:t>、贵州省政府采购网：</w:t>
                  </w:r>
                </w:p>
                <w:p>
                  <w:pPr>
                    <w:pStyle w:val="8"/>
                    <w:spacing w:line="291" w:lineRule="exact"/>
                    <w:ind w:left="105" w:right="-15"/>
                  </w:pPr>
                  <w:r>
                    <w:fldChar w:fldCharType="begin"/>
                  </w:r>
                  <w:r>
                    <w:instrText xml:space="preserve"> HYPERLINK "http://www.ccgp-guizhou.gov.cn/" \h </w:instrText>
                  </w:r>
                  <w:r>
                    <w:fldChar w:fldCharType="separate"/>
                  </w:r>
                  <w:r>
                    <w:t>http://www.ccgp-guizhou.gov.cn/</w:t>
                  </w:r>
                  <w:r>
                    <w:fldChar w:fldCharType="end"/>
                  </w:r>
                  <w:r>
                    <w:t xml:space="preserve"> 等。对参加政府采购活动前三年内被列入失</w:t>
                  </w:r>
                </w:p>
                <w:p>
                  <w:pPr>
                    <w:pStyle w:val="8"/>
                    <w:spacing w:before="97" w:line="312" w:lineRule="auto"/>
                    <w:ind w:left="105" w:right="-15"/>
                  </w:pPr>
                  <w:r>
                    <w:t>信被执行人、重大税收违法案件当事人名单、政府采购严重违法失信行为记录名</w:t>
                  </w:r>
                  <w:r>
                    <w:rPr>
                      <w:spacing w:val="-10"/>
                    </w:rPr>
                    <w:t>单、“信用中国”警示警告名单，受到政府采购行政处罚或者存在行贿犯罪记录且相关信用惩戒期限未满，以及其他不符合《中华人民共和国政府采购法》第二</w:t>
                  </w:r>
                  <w:r>
                    <w:rPr>
                      <w:spacing w:val="-1"/>
                    </w:rPr>
                    <w:t>十二条规定条件的供应商，将查询结果提供给谈判小组，谈判小组将拒绝邀请该</w:t>
                  </w:r>
                </w:p>
                <w:p>
                  <w:pPr>
                    <w:pStyle w:val="8"/>
                    <w:spacing w:before="7"/>
                    <w:ind w:left="105"/>
                  </w:pPr>
                  <w:r>
                    <w:t xml:space="preserve">供应商进行谈判和报价。 </w:t>
                  </w:r>
                </w:p>
              </w:txbxContent>
            </v:textbox>
          </v:shape>
        </w:pict>
      </w:r>
      <w:r>
        <w:rPr>
          <w:color w:val="auto"/>
        </w:rPr>
        <w:t>信</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2"/>
        <w:rPr>
          <w:color w:val="auto"/>
          <w:sz w:val="19"/>
        </w:rPr>
      </w:pPr>
    </w:p>
    <w:p>
      <w:pPr>
        <w:pStyle w:val="5"/>
        <w:spacing w:before="66"/>
        <w:ind w:left="1503"/>
        <w:rPr>
          <w:color w:val="auto"/>
        </w:rPr>
      </w:pPr>
      <w:bookmarkStart w:id="0" w:name="谈判供应商须知前附表4：中小企业及监狱企业优惠办法"/>
      <w:bookmarkEnd w:id="0"/>
      <w:r>
        <w:rPr>
          <w:color w:val="auto"/>
        </w:rPr>
        <w:t>谈判供应商须知前附表 4：中小企业及监狱企业优惠办法</w:t>
      </w:r>
      <w:r>
        <w:rPr>
          <w:color w:val="auto"/>
          <w:w w:val="99"/>
        </w:rPr>
        <w:t xml:space="preserve"> </w:t>
      </w:r>
    </w:p>
    <w:p>
      <w:pPr>
        <w:pStyle w:val="8"/>
        <w:spacing w:before="2"/>
        <w:rPr>
          <w:b/>
          <w:color w:val="auto"/>
          <w:sz w:val="18"/>
        </w:rPr>
      </w:pPr>
    </w:p>
    <w:tbl>
      <w:tblPr>
        <w:tblStyle w:val="9"/>
        <w:tblW w:w="0" w:type="auto"/>
        <w:tblInd w:w="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1487"/>
        <w:gridCol w:w="6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901" w:type="dxa"/>
          </w:tcPr>
          <w:p>
            <w:pPr>
              <w:pStyle w:val="13"/>
              <w:spacing w:before="5"/>
              <w:rPr>
                <w:b/>
                <w:color w:val="auto"/>
                <w:sz w:val="23"/>
              </w:rPr>
            </w:pPr>
          </w:p>
          <w:p>
            <w:pPr>
              <w:pStyle w:val="13"/>
              <w:ind w:left="258" w:right="108"/>
              <w:jc w:val="center"/>
              <w:rPr>
                <w:color w:val="auto"/>
                <w:sz w:val="24"/>
              </w:rPr>
            </w:pPr>
            <w:r>
              <w:rPr>
                <w:color w:val="auto"/>
                <w:sz w:val="24"/>
              </w:rPr>
              <w:t xml:space="preserve">序号 </w:t>
            </w:r>
          </w:p>
        </w:tc>
        <w:tc>
          <w:tcPr>
            <w:tcW w:w="1487" w:type="dxa"/>
          </w:tcPr>
          <w:p>
            <w:pPr>
              <w:pStyle w:val="13"/>
              <w:spacing w:before="5"/>
              <w:rPr>
                <w:b/>
                <w:color w:val="auto"/>
                <w:sz w:val="23"/>
              </w:rPr>
            </w:pPr>
          </w:p>
          <w:p>
            <w:pPr>
              <w:pStyle w:val="13"/>
              <w:ind w:left="503"/>
              <w:rPr>
                <w:color w:val="auto"/>
                <w:sz w:val="24"/>
              </w:rPr>
            </w:pPr>
            <w:r>
              <w:rPr>
                <w:color w:val="auto"/>
                <w:sz w:val="24"/>
              </w:rPr>
              <w:t xml:space="preserve">项目 </w:t>
            </w:r>
          </w:p>
        </w:tc>
        <w:tc>
          <w:tcPr>
            <w:tcW w:w="6263" w:type="dxa"/>
          </w:tcPr>
          <w:p>
            <w:pPr>
              <w:pStyle w:val="13"/>
              <w:spacing w:before="5"/>
              <w:rPr>
                <w:b/>
                <w:color w:val="auto"/>
                <w:sz w:val="23"/>
              </w:rPr>
            </w:pPr>
          </w:p>
          <w:p>
            <w:pPr>
              <w:pStyle w:val="13"/>
              <w:ind w:left="2691" w:right="2556"/>
              <w:jc w:val="center"/>
              <w:rPr>
                <w:color w:val="auto"/>
                <w:sz w:val="24"/>
              </w:rPr>
            </w:pPr>
            <w:r>
              <w:rPr>
                <w:color w:val="auto"/>
                <w:sz w:val="24"/>
              </w:rPr>
              <w:t xml:space="preserve">具体内容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2" w:hRule="atLeast"/>
        </w:trPr>
        <w:tc>
          <w:tcPr>
            <w:tcW w:w="901" w:type="dxa"/>
          </w:tcPr>
          <w:p>
            <w:pPr>
              <w:pStyle w:val="13"/>
              <w:rPr>
                <w:b/>
                <w:color w:val="auto"/>
                <w:sz w:val="24"/>
              </w:rPr>
            </w:pPr>
          </w:p>
          <w:p>
            <w:pPr>
              <w:pStyle w:val="13"/>
              <w:rPr>
                <w:b/>
                <w:color w:val="auto"/>
                <w:sz w:val="24"/>
              </w:rPr>
            </w:pPr>
          </w:p>
          <w:p>
            <w:pPr>
              <w:pStyle w:val="13"/>
              <w:rPr>
                <w:b/>
                <w:color w:val="auto"/>
                <w:sz w:val="24"/>
              </w:rPr>
            </w:pPr>
          </w:p>
          <w:p>
            <w:pPr>
              <w:pStyle w:val="13"/>
              <w:spacing w:before="158"/>
              <w:ind w:left="242" w:right="108"/>
              <w:jc w:val="center"/>
              <w:rPr>
                <w:b/>
                <w:color w:val="auto"/>
                <w:sz w:val="24"/>
              </w:rPr>
            </w:pPr>
            <w:r>
              <w:rPr>
                <w:b/>
                <w:color w:val="auto"/>
                <w:sz w:val="24"/>
              </w:rPr>
              <w:t xml:space="preserve">1 </w:t>
            </w:r>
          </w:p>
        </w:tc>
        <w:tc>
          <w:tcPr>
            <w:tcW w:w="1487" w:type="dxa"/>
          </w:tcPr>
          <w:p>
            <w:pPr>
              <w:pStyle w:val="13"/>
              <w:spacing w:before="75" w:line="314" w:lineRule="auto"/>
              <w:ind w:left="113" w:right="79"/>
              <w:jc w:val="both"/>
              <w:rPr>
                <w:b/>
                <w:color w:val="auto"/>
                <w:sz w:val="24"/>
              </w:rPr>
            </w:pPr>
            <w:r>
              <w:rPr>
                <w:b/>
                <w:color w:val="auto"/>
                <w:w w:val="95"/>
                <w:sz w:val="24"/>
              </w:rPr>
              <w:t>本项目是否属于专门面向中小企业和监狱企业的政府采购</w:t>
            </w:r>
          </w:p>
          <w:p>
            <w:pPr>
              <w:pStyle w:val="13"/>
              <w:spacing w:line="290" w:lineRule="exact"/>
              <w:ind w:left="368"/>
              <w:rPr>
                <w:b/>
                <w:color w:val="auto"/>
                <w:sz w:val="24"/>
              </w:rPr>
            </w:pPr>
            <w:r>
              <w:rPr>
                <w:b/>
                <w:color w:val="auto"/>
                <w:sz w:val="24"/>
              </w:rPr>
              <w:t>活动：</w:t>
            </w:r>
            <w:r>
              <w:rPr>
                <w:b/>
                <w:color w:val="auto"/>
                <w:w w:val="99"/>
                <w:sz w:val="24"/>
              </w:rPr>
              <w:t xml:space="preserve"> </w:t>
            </w:r>
          </w:p>
        </w:tc>
        <w:tc>
          <w:tcPr>
            <w:tcW w:w="6263" w:type="dxa"/>
          </w:tcPr>
          <w:p>
            <w:pPr>
              <w:pStyle w:val="13"/>
              <w:rPr>
                <w:b/>
                <w:color w:val="auto"/>
                <w:sz w:val="26"/>
              </w:rPr>
            </w:pPr>
          </w:p>
          <w:p>
            <w:pPr>
              <w:pStyle w:val="13"/>
              <w:rPr>
                <w:b/>
                <w:color w:val="auto"/>
                <w:sz w:val="26"/>
              </w:rPr>
            </w:pPr>
          </w:p>
          <w:p>
            <w:pPr>
              <w:pStyle w:val="13"/>
              <w:spacing w:before="204"/>
              <w:ind w:left="112"/>
              <w:rPr>
                <w:color w:val="auto"/>
                <w:sz w:val="24"/>
              </w:rPr>
            </w:pPr>
            <w:r>
              <w:rPr>
                <w:b/>
                <w:color w:val="auto"/>
                <w:sz w:val="24"/>
              </w:rPr>
              <w:t>□</w:t>
            </w:r>
            <w:r>
              <w:rPr>
                <w:color w:val="auto"/>
                <w:sz w:val="24"/>
              </w:rPr>
              <w:t xml:space="preserve">是/ </w:t>
            </w:r>
            <w:r>
              <w:rPr>
                <w:rFonts w:ascii="Arial" w:hAnsi="Arial" w:eastAsia="Arial"/>
                <w:b/>
                <w:color w:val="auto"/>
                <w:sz w:val="24"/>
              </w:rPr>
              <w:t>√</w:t>
            </w:r>
            <w:r>
              <w:rPr>
                <w:color w:val="auto"/>
                <w:sz w:val="24"/>
              </w:rPr>
              <w:t xml:space="preserve">否 </w:t>
            </w:r>
          </w:p>
          <w:p>
            <w:pPr>
              <w:pStyle w:val="13"/>
              <w:spacing w:before="98"/>
              <w:ind w:left="112"/>
              <w:rPr>
                <w:color w:val="auto"/>
                <w:sz w:val="24"/>
              </w:rPr>
            </w:pPr>
            <w:r>
              <w:rPr>
                <w:color w:val="auto"/>
                <w:sz w:val="24"/>
              </w:rPr>
              <w:t xml:space="preserve">（监狱企业视同小型、微型企业）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9" w:hRule="atLeast"/>
        </w:trPr>
        <w:tc>
          <w:tcPr>
            <w:tcW w:w="901"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212"/>
              <w:ind w:left="242" w:right="108"/>
              <w:jc w:val="center"/>
              <w:rPr>
                <w:b/>
                <w:color w:val="auto"/>
                <w:sz w:val="24"/>
              </w:rPr>
            </w:pPr>
            <w:r>
              <w:rPr>
                <w:b/>
                <w:color w:val="auto"/>
                <w:sz w:val="24"/>
              </w:rPr>
              <w:t xml:space="preserve">2 </w:t>
            </w:r>
          </w:p>
        </w:tc>
        <w:tc>
          <w:tcPr>
            <w:tcW w:w="1487"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4"/>
              <w:rPr>
                <w:b/>
                <w:color w:val="auto"/>
                <w:sz w:val="25"/>
              </w:rPr>
            </w:pPr>
          </w:p>
          <w:p>
            <w:pPr>
              <w:pStyle w:val="13"/>
              <w:spacing w:line="304" w:lineRule="auto"/>
              <w:ind w:left="233" w:right="79" w:hanging="120"/>
              <w:rPr>
                <w:color w:val="auto"/>
                <w:sz w:val="24"/>
              </w:rPr>
            </w:pPr>
            <w:r>
              <w:rPr>
                <w:b/>
                <w:color w:val="auto"/>
                <w:w w:val="95"/>
                <w:sz w:val="24"/>
              </w:rPr>
              <w:t>中小企业的</w:t>
            </w:r>
            <w:r>
              <w:rPr>
                <w:b/>
                <w:color w:val="auto"/>
                <w:sz w:val="24"/>
              </w:rPr>
              <w:t>认定标准</w:t>
            </w:r>
            <w:r>
              <w:rPr>
                <w:color w:val="auto"/>
                <w:sz w:val="24"/>
              </w:rPr>
              <w:t xml:space="preserve"> </w:t>
            </w:r>
          </w:p>
        </w:tc>
        <w:tc>
          <w:tcPr>
            <w:tcW w:w="6263" w:type="dxa"/>
          </w:tcPr>
          <w:p>
            <w:pPr>
              <w:pStyle w:val="13"/>
              <w:spacing w:before="75" w:line="304" w:lineRule="auto"/>
              <w:ind w:left="112" w:right="91" w:firstLine="481"/>
              <w:rPr>
                <w:color w:val="auto"/>
                <w:sz w:val="24"/>
              </w:rPr>
            </w:pPr>
            <w:r>
              <w:rPr>
                <w:color w:val="auto"/>
                <w:sz w:val="24"/>
              </w:rPr>
              <w:t>谈判供应商须同时满足以下两个条件，才能认定为中小企业</w:t>
            </w:r>
            <w:r>
              <w:rPr>
                <w:b/>
                <w:color w:val="auto"/>
                <w:sz w:val="24"/>
              </w:rPr>
              <w:t>（含中型、小型、微型企业，下同）</w:t>
            </w:r>
            <w:r>
              <w:rPr>
                <w:color w:val="auto"/>
                <w:sz w:val="24"/>
              </w:rPr>
              <w:t xml:space="preserve">： </w:t>
            </w:r>
          </w:p>
          <w:p>
            <w:pPr>
              <w:pStyle w:val="13"/>
              <w:spacing w:before="14" w:line="312" w:lineRule="auto"/>
              <w:ind w:left="112" w:right="63" w:firstLine="481"/>
              <w:jc w:val="both"/>
              <w:rPr>
                <w:color w:val="auto"/>
                <w:sz w:val="24"/>
              </w:rPr>
            </w:pPr>
            <w:r>
              <w:rPr>
                <w:color w:val="auto"/>
                <w:spacing w:val="-5"/>
                <w:sz w:val="24"/>
              </w:rPr>
              <w:t>（1）</w:t>
            </w:r>
            <w:r>
              <w:rPr>
                <w:color w:val="auto"/>
                <w:spacing w:val="-6"/>
                <w:sz w:val="24"/>
              </w:rPr>
              <w:t>符合《工业和信息化部、国家统计局、国家发展</w:t>
            </w:r>
            <w:r>
              <w:rPr>
                <w:color w:val="auto"/>
                <w:spacing w:val="-5"/>
                <w:sz w:val="24"/>
              </w:rPr>
              <w:t>和改革委员会、财政部关于印发中小企业划型标准规定的通知》（工信部联企业〔</w:t>
            </w:r>
            <w:r>
              <w:rPr>
                <w:color w:val="auto"/>
                <w:spacing w:val="3"/>
                <w:sz w:val="24"/>
              </w:rPr>
              <w:t>2011</w:t>
            </w:r>
            <w:r>
              <w:rPr>
                <w:color w:val="auto"/>
                <w:sz w:val="24"/>
              </w:rPr>
              <w:t xml:space="preserve">〕300 号）规定的中小企业划分标准； </w:t>
            </w:r>
          </w:p>
          <w:p>
            <w:pPr>
              <w:pStyle w:val="13"/>
              <w:spacing w:before="8" w:line="304" w:lineRule="auto"/>
              <w:ind w:left="112" w:right="93" w:firstLine="481"/>
              <w:rPr>
                <w:color w:val="auto"/>
                <w:sz w:val="24"/>
              </w:rPr>
            </w:pPr>
            <w:r>
              <w:rPr>
                <w:color w:val="auto"/>
                <w:spacing w:val="-10"/>
                <w:sz w:val="24"/>
              </w:rPr>
              <w:t>注： 联合体参与谈判响应的的，以联合体中划型标准较高的一方，作为该联合体的企业划型标准。</w:t>
            </w:r>
            <w:r>
              <w:rPr>
                <w:color w:val="auto"/>
                <w:sz w:val="24"/>
              </w:rPr>
              <w:t xml:space="preserve"> </w:t>
            </w:r>
          </w:p>
          <w:p>
            <w:pPr>
              <w:pStyle w:val="13"/>
              <w:spacing w:before="15" w:line="309" w:lineRule="auto"/>
              <w:ind w:left="112" w:firstLine="481"/>
              <w:rPr>
                <w:color w:val="auto"/>
                <w:sz w:val="24"/>
              </w:rPr>
            </w:pPr>
            <w:r>
              <w:rPr>
                <w:color w:val="auto"/>
                <w:sz w:val="24"/>
              </w:rPr>
              <w:t xml:space="preserve">（2）提供本企业制造的货物、承担的工程或者服务， 或者提供其他中小企业制造的货物。本项所称货物不包括使用大型企业注册商标的货物； </w:t>
            </w:r>
          </w:p>
          <w:p>
            <w:pPr>
              <w:pStyle w:val="13"/>
              <w:spacing w:before="11"/>
              <w:ind w:left="112" w:firstLine="481"/>
              <w:rPr>
                <w:color w:val="auto"/>
                <w:sz w:val="24"/>
              </w:rPr>
            </w:pPr>
            <w:r>
              <w:rPr>
                <w:color w:val="auto"/>
                <w:sz w:val="24"/>
              </w:rPr>
              <w:t>注：小型、微型企业提供中型企业制造的货物的，视</w:t>
            </w:r>
          </w:p>
          <w:p>
            <w:pPr>
              <w:pStyle w:val="13"/>
              <w:spacing w:before="15" w:line="390" w:lineRule="atLeast"/>
              <w:ind w:left="112" w:right="91"/>
              <w:rPr>
                <w:color w:val="auto"/>
                <w:sz w:val="24"/>
              </w:rPr>
            </w:pPr>
            <w:r>
              <w:rPr>
                <w:color w:val="auto"/>
                <w:sz w:val="24"/>
              </w:rPr>
              <w:t>同为中型企业；中型企业提供小型、微型企业制造的货物</w:t>
            </w:r>
            <w:r>
              <w:rPr>
                <w:color w:val="auto"/>
                <w:spacing w:val="-1"/>
                <w:sz w:val="24"/>
              </w:rPr>
              <w:t>的，视同为中型企业；中小企业提供大型企业制造的货物</w:t>
            </w:r>
          </w:p>
        </w:tc>
      </w:tr>
    </w:tbl>
    <w:p>
      <w:pPr>
        <w:spacing w:after="0" w:line="390" w:lineRule="atLeast"/>
        <w:rPr>
          <w:color w:val="auto"/>
          <w:sz w:val="24"/>
        </w:rPr>
        <w:sectPr>
          <w:pgSz w:w="11910" w:h="16850"/>
          <w:pgMar w:top="1440" w:right="0" w:bottom="1160" w:left="1260" w:header="0" w:footer="891" w:gutter="0"/>
          <w:cols w:space="720" w:num="1"/>
        </w:sectPr>
      </w:pPr>
    </w:p>
    <w:tbl>
      <w:tblPr>
        <w:tblStyle w:val="9"/>
        <w:tblW w:w="0" w:type="auto"/>
        <w:tblInd w:w="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1487"/>
        <w:gridCol w:w="6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trPr>
        <w:tc>
          <w:tcPr>
            <w:tcW w:w="901" w:type="dxa"/>
          </w:tcPr>
          <w:p>
            <w:pPr>
              <w:pStyle w:val="13"/>
              <w:rPr>
                <w:rFonts w:ascii="Times New Roman"/>
                <w:color w:val="auto"/>
                <w:sz w:val="22"/>
              </w:rPr>
            </w:pPr>
          </w:p>
        </w:tc>
        <w:tc>
          <w:tcPr>
            <w:tcW w:w="1487" w:type="dxa"/>
          </w:tcPr>
          <w:p>
            <w:pPr>
              <w:pStyle w:val="13"/>
              <w:rPr>
                <w:rFonts w:ascii="Times New Roman"/>
                <w:color w:val="auto"/>
                <w:sz w:val="22"/>
              </w:rPr>
            </w:pPr>
          </w:p>
        </w:tc>
        <w:tc>
          <w:tcPr>
            <w:tcW w:w="6263" w:type="dxa"/>
          </w:tcPr>
          <w:p>
            <w:pPr>
              <w:pStyle w:val="13"/>
              <w:spacing w:before="71"/>
              <w:ind w:left="112"/>
              <w:rPr>
                <w:color w:val="auto"/>
                <w:sz w:val="24"/>
              </w:rPr>
            </w:pPr>
            <w:r>
              <w:rPr>
                <w:color w:val="auto"/>
                <w:sz w:val="24"/>
              </w:rPr>
              <w:t xml:space="preserve">的，视同为大型企业。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901" w:type="dxa"/>
          </w:tcPr>
          <w:p>
            <w:pPr>
              <w:pStyle w:val="13"/>
              <w:spacing w:before="4"/>
              <w:rPr>
                <w:b/>
                <w:color w:val="auto"/>
                <w:sz w:val="31"/>
              </w:rPr>
            </w:pPr>
          </w:p>
          <w:p>
            <w:pPr>
              <w:pStyle w:val="13"/>
              <w:spacing w:before="1"/>
              <w:ind w:right="246"/>
              <w:jc w:val="right"/>
              <w:rPr>
                <w:b/>
                <w:color w:val="auto"/>
                <w:sz w:val="24"/>
              </w:rPr>
            </w:pPr>
            <w:r>
              <w:rPr>
                <w:b/>
                <w:color w:val="auto"/>
                <w:sz w:val="24"/>
              </w:rPr>
              <w:t xml:space="preserve">3 </w:t>
            </w:r>
          </w:p>
        </w:tc>
        <w:tc>
          <w:tcPr>
            <w:tcW w:w="1487" w:type="dxa"/>
          </w:tcPr>
          <w:p>
            <w:pPr>
              <w:pStyle w:val="13"/>
              <w:spacing w:before="206" w:line="304" w:lineRule="auto"/>
              <w:ind w:left="233" w:right="79" w:hanging="120"/>
              <w:rPr>
                <w:b/>
                <w:color w:val="auto"/>
                <w:sz w:val="24"/>
              </w:rPr>
            </w:pPr>
            <w:r>
              <w:rPr>
                <w:b/>
                <w:color w:val="auto"/>
                <w:w w:val="95"/>
                <w:sz w:val="24"/>
              </w:rPr>
              <w:t>监狱企业的</w:t>
            </w:r>
            <w:r>
              <w:rPr>
                <w:b/>
                <w:color w:val="auto"/>
                <w:sz w:val="24"/>
              </w:rPr>
              <w:t>认定标准</w:t>
            </w:r>
            <w:r>
              <w:rPr>
                <w:b/>
                <w:color w:val="auto"/>
                <w:w w:val="99"/>
                <w:sz w:val="24"/>
              </w:rPr>
              <w:t xml:space="preserve"> </w:t>
            </w:r>
          </w:p>
        </w:tc>
        <w:tc>
          <w:tcPr>
            <w:tcW w:w="6263" w:type="dxa"/>
          </w:tcPr>
          <w:p>
            <w:pPr>
              <w:pStyle w:val="13"/>
              <w:spacing w:before="71" w:line="304" w:lineRule="auto"/>
              <w:ind w:left="112" w:right="5" w:firstLine="481"/>
              <w:rPr>
                <w:color w:val="auto"/>
                <w:sz w:val="24"/>
              </w:rPr>
            </w:pPr>
            <w:r>
              <w:rPr>
                <w:color w:val="auto"/>
                <w:sz w:val="24"/>
              </w:rPr>
              <w:t xml:space="preserve">需提供由省级以上监狱管理局、戒毒管理局（含新疆生产建设兵团）出具的属于监狱企业的证明文件的企业。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8" w:hRule="atLeast"/>
        </w:trPr>
        <w:tc>
          <w:tcPr>
            <w:tcW w:w="901"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6"/>
              <w:rPr>
                <w:b/>
                <w:color w:val="auto"/>
                <w:sz w:val="21"/>
              </w:rPr>
            </w:pPr>
          </w:p>
          <w:p>
            <w:pPr>
              <w:pStyle w:val="13"/>
              <w:ind w:right="246"/>
              <w:jc w:val="right"/>
              <w:rPr>
                <w:b/>
                <w:color w:val="auto"/>
                <w:sz w:val="24"/>
              </w:rPr>
            </w:pPr>
            <w:r>
              <w:rPr>
                <w:b/>
                <w:color w:val="auto"/>
                <w:sz w:val="24"/>
              </w:rPr>
              <w:t xml:space="preserve">4 </w:t>
            </w:r>
          </w:p>
        </w:tc>
        <w:tc>
          <w:tcPr>
            <w:tcW w:w="1487"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6"/>
              <w:rPr>
                <w:b/>
                <w:color w:val="auto"/>
                <w:sz w:val="21"/>
              </w:rPr>
            </w:pPr>
          </w:p>
          <w:p>
            <w:pPr>
              <w:pStyle w:val="13"/>
              <w:ind w:left="157"/>
              <w:jc w:val="center"/>
              <w:rPr>
                <w:b/>
                <w:color w:val="auto"/>
                <w:sz w:val="24"/>
              </w:rPr>
            </w:pPr>
            <w:r>
              <w:rPr>
                <w:b/>
                <w:color w:val="auto"/>
                <w:spacing w:val="14"/>
                <w:sz w:val="24"/>
              </w:rPr>
              <w:t>优惠办法：</w:t>
            </w:r>
            <w:r>
              <w:rPr>
                <w:b/>
                <w:color w:val="auto"/>
                <w:w w:val="99"/>
                <w:sz w:val="24"/>
              </w:rPr>
              <w:t xml:space="preserve"> </w:t>
            </w:r>
          </w:p>
        </w:tc>
        <w:tc>
          <w:tcPr>
            <w:tcW w:w="6263" w:type="dxa"/>
          </w:tcPr>
          <w:p>
            <w:pPr>
              <w:pStyle w:val="13"/>
              <w:spacing w:before="116"/>
              <w:ind w:left="52"/>
              <w:rPr>
                <w:b/>
                <w:color w:val="auto"/>
                <w:sz w:val="24"/>
              </w:rPr>
            </w:pPr>
            <w:r>
              <w:rPr>
                <w:b/>
                <w:color w:val="auto"/>
                <w:sz w:val="24"/>
              </w:rPr>
              <w:t>小型企业或微型企业：</w:t>
            </w:r>
            <w:r>
              <w:rPr>
                <w:b/>
                <w:color w:val="auto"/>
                <w:w w:val="99"/>
                <w:sz w:val="24"/>
              </w:rPr>
              <w:t xml:space="preserve"> </w:t>
            </w:r>
          </w:p>
          <w:p>
            <w:pPr>
              <w:pStyle w:val="13"/>
              <w:spacing w:before="158" w:line="362" w:lineRule="auto"/>
              <w:ind w:left="52" w:right="1492" w:firstLine="465"/>
              <w:rPr>
                <w:b/>
                <w:color w:val="auto"/>
                <w:sz w:val="24"/>
              </w:rPr>
            </w:pPr>
            <w:r>
              <w:rPr>
                <w:color w:val="auto"/>
                <w:sz w:val="24"/>
              </w:rPr>
              <w:t>价格扣除：按报价的</w:t>
            </w:r>
            <w:r>
              <w:rPr>
                <w:color w:val="auto"/>
                <w:sz w:val="24"/>
                <w:u w:val="single"/>
              </w:rPr>
              <w:t>（94%）</w:t>
            </w:r>
            <w:r>
              <w:rPr>
                <w:color w:val="auto"/>
                <w:sz w:val="24"/>
              </w:rPr>
              <w:t>计算评审价</w:t>
            </w:r>
            <w:r>
              <w:rPr>
                <w:b/>
                <w:color w:val="auto"/>
                <w:sz w:val="24"/>
              </w:rPr>
              <w:t>中型企业：</w:t>
            </w:r>
            <w:r>
              <w:rPr>
                <w:b/>
                <w:color w:val="auto"/>
                <w:w w:val="99"/>
                <w:sz w:val="24"/>
              </w:rPr>
              <w:t xml:space="preserve"> </w:t>
            </w:r>
          </w:p>
          <w:p>
            <w:pPr>
              <w:pStyle w:val="13"/>
              <w:spacing w:line="314" w:lineRule="auto"/>
              <w:ind w:left="112" w:right="-44" w:firstLine="481"/>
              <w:rPr>
                <w:color w:val="auto"/>
                <w:sz w:val="24"/>
              </w:rPr>
            </w:pPr>
            <w:r>
              <w:rPr>
                <w:color w:val="auto"/>
                <w:sz w:val="24"/>
              </w:rPr>
              <w:t>大、中型企业与小型、微型企业组成联合体共同参加</w:t>
            </w:r>
            <w:r>
              <w:rPr>
                <w:color w:val="auto"/>
                <w:spacing w:val="-5"/>
                <w:sz w:val="24"/>
              </w:rPr>
              <w:t>非专门面向中小企业的政府采购活动的，不视为中小企业。</w:t>
            </w:r>
            <w:r>
              <w:rPr>
                <w:color w:val="auto"/>
                <w:spacing w:val="-4"/>
                <w:sz w:val="24"/>
              </w:rPr>
              <w:t>但联合协议中若约定，小型、微型企业的协议合同金额占</w:t>
            </w:r>
            <w:r>
              <w:rPr>
                <w:color w:val="auto"/>
                <w:spacing w:val="-8"/>
                <w:sz w:val="24"/>
              </w:rPr>
              <w:t xml:space="preserve">到联合体协议合同总金额 </w:t>
            </w:r>
            <w:r>
              <w:rPr>
                <w:color w:val="auto"/>
                <w:sz w:val="24"/>
              </w:rPr>
              <w:t>30％</w:t>
            </w:r>
            <w:r>
              <w:rPr>
                <w:color w:val="auto"/>
                <w:spacing w:val="-5"/>
                <w:sz w:val="24"/>
              </w:rPr>
              <w:t xml:space="preserve">以上的，可给予联合体 </w:t>
            </w:r>
            <w:r>
              <w:rPr>
                <w:color w:val="auto"/>
                <w:sz w:val="24"/>
              </w:rPr>
              <w:t>2％ 的价格扣除，用扣除后的价格参与评审（包括价格因素得</w:t>
            </w:r>
          </w:p>
          <w:p>
            <w:pPr>
              <w:pStyle w:val="13"/>
              <w:spacing w:line="305" w:lineRule="exact"/>
              <w:ind w:left="112"/>
              <w:rPr>
                <w:color w:val="auto"/>
                <w:sz w:val="24"/>
              </w:rPr>
            </w:pPr>
            <w:r>
              <w:rPr>
                <w:color w:val="auto"/>
                <w:sz w:val="24"/>
              </w:rPr>
              <w:t xml:space="preserve">分的计算）。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6" w:hRule="atLeast"/>
        </w:trPr>
        <w:tc>
          <w:tcPr>
            <w:tcW w:w="901"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7"/>
              <w:rPr>
                <w:b/>
                <w:color w:val="auto"/>
                <w:sz w:val="24"/>
              </w:rPr>
            </w:pPr>
          </w:p>
          <w:p>
            <w:pPr>
              <w:pStyle w:val="13"/>
              <w:ind w:right="246"/>
              <w:jc w:val="right"/>
              <w:rPr>
                <w:b/>
                <w:color w:val="auto"/>
                <w:sz w:val="24"/>
              </w:rPr>
            </w:pPr>
            <w:r>
              <w:rPr>
                <w:b/>
                <w:color w:val="auto"/>
                <w:sz w:val="24"/>
              </w:rPr>
              <w:t xml:space="preserve">5 </w:t>
            </w:r>
          </w:p>
        </w:tc>
        <w:tc>
          <w:tcPr>
            <w:tcW w:w="1487"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12"/>
              <w:rPr>
                <w:b/>
                <w:color w:val="auto"/>
                <w:sz w:val="16"/>
              </w:rPr>
            </w:pPr>
          </w:p>
          <w:p>
            <w:pPr>
              <w:pStyle w:val="13"/>
              <w:spacing w:line="309" w:lineRule="auto"/>
              <w:ind w:left="113" w:right="79"/>
              <w:jc w:val="center"/>
              <w:rPr>
                <w:b/>
                <w:color w:val="auto"/>
                <w:sz w:val="24"/>
              </w:rPr>
            </w:pPr>
            <w:r>
              <w:rPr>
                <w:b/>
                <w:color w:val="auto"/>
                <w:w w:val="95"/>
                <w:sz w:val="24"/>
              </w:rPr>
              <w:t>小型或微型企业产品价</w:t>
            </w:r>
            <w:r>
              <w:rPr>
                <w:b/>
                <w:color w:val="auto"/>
                <w:sz w:val="24"/>
              </w:rPr>
              <w:t>格清单</w:t>
            </w:r>
            <w:r>
              <w:rPr>
                <w:b/>
                <w:color w:val="auto"/>
                <w:w w:val="99"/>
                <w:sz w:val="24"/>
              </w:rPr>
              <w:t xml:space="preserve"> </w:t>
            </w:r>
          </w:p>
        </w:tc>
        <w:tc>
          <w:tcPr>
            <w:tcW w:w="6263" w:type="dxa"/>
          </w:tcPr>
          <w:p>
            <w:pPr>
              <w:pStyle w:val="13"/>
              <w:spacing w:before="72" w:line="316" w:lineRule="auto"/>
              <w:ind w:left="112" w:right="80"/>
              <w:rPr>
                <w:b/>
                <w:color w:val="auto"/>
                <w:sz w:val="24"/>
              </w:rPr>
            </w:pPr>
            <w:r>
              <w:rPr>
                <w:color w:val="auto"/>
                <w:w w:val="95"/>
                <w:sz w:val="24"/>
              </w:rPr>
              <w:t>（</w:t>
            </w:r>
            <w:r>
              <w:rPr>
                <w:b/>
                <w:color w:val="auto"/>
                <w:w w:val="95"/>
                <w:sz w:val="24"/>
              </w:rPr>
              <w:t xml:space="preserve">本清单附在《中小企业声明函》后，不附所投产品视为 </w:t>
            </w:r>
            <w:r>
              <w:rPr>
                <w:b/>
                <w:color w:val="auto"/>
                <w:spacing w:val="5"/>
                <w:sz w:val="24"/>
              </w:rPr>
              <w:t>非小微企业产品</w:t>
            </w:r>
            <w:r>
              <w:rPr>
                <w:b/>
                <w:color w:val="auto"/>
                <w:spacing w:val="15"/>
                <w:sz w:val="24"/>
              </w:rPr>
              <w:t>）</w:t>
            </w:r>
            <w:r>
              <w:rPr>
                <w:b/>
                <w:color w:val="auto"/>
                <w:w w:val="99"/>
                <w:sz w:val="24"/>
              </w:rPr>
              <w:t xml:space="preserve"> </w:t>
            </w: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214"/>
              <w:ind w:left="112"/>
              <w:rPr>
                <w:b/>
                <w:color w:val="auto"/>
                <w:sz w:val="24"/>
              </w:rPr>
            </w:pP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901" w:type="dxa"/>
          </w:tcPr>
          <w:p>
            <w:pPr>
              <w:pStyle w:val="13"/>
              <w:rPr>
                <w:b/>
                <w:color w:val="auto"/>
                <w:sz w:val="24"/>
              </w:rPr>
            </w:pPr>
          </w:p>
          <w:p>
            <w:pPr>
              <w:pStyle w:val="13"/>
              <w:spacing w:before="154"/>
              <w:ind w:right="246"/>
              <w:jc w:val="right"/>
              <w:rPr>
                <w:b/>
                <w:color w:val="auto"/>
                <w:sz w:val="24"/>
              </w:rPr>
            </w:pPr>
            <w:r>
              <w:rPr>
                <w:b/>
                <w:color w:val="auto"/>
                <w:sz w:val="24"/>
              </w:rPr>
              <w:t xml:space="preserve">6 </w:t>
            </w:r>
          </w:p>
        </w:tc>
        <w:tc>
          <w:tcPr>
            <w:tcW w:w="1487" w:type="dxa"/>
          </w:tcPr>
          <w:p>
            <w:pPr>
              <w:pStyle w:val="13"/>
              <w:rPr>
                <w:b/>
                <w:color w:val="auto"/>
                <w:sz w:val="24"/>
              </w:rPr>
            </w:pPr>
          </w:p>
          <w:p>
            <w:pPr>
              <w:pStyle w:val="13"/>
              <w:spacing w:before="154"/>
              <w:ind w:left="135"/>
              <w:jc w:val="center"/>
              <w:rPr>
                <w:b/>
                <w:color w:val="auto"/>
                <w:sz w:val="24"/>
              </w:rPr>
            </w:pPr>
            <w:r>
              <w:rPr>
                <w:b/>
                <w:color w:val="auto"/>
                <w:sz w:val="24"/>
              </w:rPr>
              <w:t>证明材料</w:t>
            </w:r>
            <w:r>
              <w:rPr>
                <w:b/>
                <w:color w:val="auto"/>
                <w:w w:val="99"/>
                <w:sz w:val="24"/>
              </w:rPr>
              <w:t xml:space="preserve"> </w:t>
            </w:r>
          </w:p>
        </w:tc>
        <w:tc>
          <w:tcPr>
            <w:tcW w:w="6263" w:type="dxa"/>
          </w:tcPr>
          <w:p>
            <w:pPr>
              <w:pStyle w:val="13"/>
              <w:spacing w:before="71" w:line="304" w:lineRule="auto"/>
              <w:ind w:left="112" w:right="8" w:firstLine="481"/>
              <w:rPr>
                <w:color w:val="auto"/>
                <w:sz w:val="24"/>
              </w:rPr>
            </w:pPr>
            <w:r>
              <w:rPr>
                <w:color w:val="auto"/>
                <w:sz w:val="24"/>
              </w:rPr>
              <w:t>供应商参与谈判响应时须对照《政府采购促进中小企业发展管理办法》（财库﹝2020﹞46 号）文件规定，提供</w:t>
            </w:r>
          </w:p>
          <w:p>
            <w:pPr>
              <w:pStyle w:val="13"/>
              <w:spacing w:before="15" w:line="298" w:lineRule="exact"/>
              <w:ind w:left="112"/>
              <w:rPr>
                <w:color w:val="auto"/>
                <w:sz w:val="24"/>
              </w:rPr>
            </w:pPr>
            <w:r>
              <w:rPr>
                <w:color w:val="auto"/>
                <w:sz w:val="24"/>
              </w:rPr>
              <w:t xml:space="preserve">《中小企业声明函》。  </w:t>
            </w:r>
          </w:p>
        </w:tc>
      </w:tr>
    </w:tbl>
    <w:p>
      <w:pPr>
        <w:rPr>
          <w:color w:val="auto"/>
          <w:sz w:val="2"/>
          <w:szCs w:val="2"/>
        </w:rPr>
      </w:pPr>
      <w:r>
        <w:rPr>
          <w:color w:val="auto"/>
        </w:rPr>
        <w:pict>
          <v:shape id="_x0000_s1041" o:spid="_x0000_s1041" o:spt="202" type="#_x0000_t202" style="position:absolute;left:0pt;margin-left:205pt;margin-top:393.35pt;height:285.25pt;width:292.5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976"/>
                    <w:gridCol w:w="826"/>
                    <w:gridCol w:w="1907"/>
                    <w:gridCol w:w="1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96" w:hRule="atLeast"/>
                    </w:trPr>
                    <w:tc>
                      <w:tcPr>
                        <w:tcW w:w="5826" w:type="dxa"/>
                        <w:gridSpan w:val="5"/>
                      </w:tcPr>
                      <w:p>
                        <w:pPr>
                          <w:pStyle w:val="13"/>
                          <w:spacing w:before="75"/>
                          <w:ind w:left="1269"/>
                          <w:rPr>
                            <w:sz w:val="24"/>
                          </w:rPr>
                        </w:pPr>
                        <w:r>
                          <w:rPr>
                            <w:b/>
                            <w:sz w:val="24"/>
                          </w:rPr>
                          <w:t>小型或微型企业产品价格清单</w:t>
                        </w:r>
                        <w:r>
                          <w:rPr>
                            <w:sz w:val="24"/>
                          </w:rPr>
                          <w:t xml:space="preserve"> </w:t>
                        </w:r>
                      </w:p>
                      <w:p>
                        <w:pPr>
                          <w:pStyle w:val="13"/>
                          <w:spacing w:before="98" w:line="309" w:lineRule="auto"/>
                          <w:ind w:left="112" w:right="-72"/>
                          <w:rPr>
                            <w:sz w:val="24"/>
                          </w:rPr>
                        </w:pPr>
                        <w:r>
                          <w:rPr>
                            <w:sz w:val="24"/>
                          </w:rPr>
                          <w:t>供应商中小企业性质（中型、小型、微型）：</w:t>
                        </w:r>
                        <w:r>
                          <w:rPr>
                            <w:sz w:val="24"/>
                            <w:u w:val="single"/>
                          </w:rPr>
                          <w:t xml:space="preserve">      </w:t>
                        </w:r>
                        <w:r>
                          <w:rPr>
                            <w:sz w:val="24"/>
                          </w:rPr>
                          <w:t xml:space="preserve"> 备注：如供应商为大型或中型企业，表格以下部分无需填写。如供应商所投货物无论全部或者部分为小微</w:t>
                        </w:r>
                      </w:p>
                      <w:p>
                        <w:pPr>
                          <w:pStyle w:val="13"/>
                          <w:spacing w:before="11" w:line="295" w:lineRule="exact"/>
                          <w:ind w:left="112"/>
                          <w:rPr>
                            <w:sz w:val="24"/>
                          </w:rPr>
                        </w:pPr>
                        <w:r>
                          <w:rPr>
                            <w:sz w:val="24"/>
                          </w:rPr>
                          <w:t xml:space="preserve">企业产品，均需在表格中进行明确。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811" w:type="dxa"/>
                        <w:tcBorders>
                          <w:right w:val="single" w:color="000000" w:sz="8" w:space="0"/>
                        </w:tcBorders>
                      </w:tcPr>
                      <w:p>
                        <w:pPr>
                          <w:pStyle w:val="13"/>
                          <w:spacing w:before="1"/>
                          <w:rPr>
                            <w:b/>
                            <w:sz w:val="21"/>
                          </w:rPr>
                        </w:pPr>
                      </w:p>
                      <w:p>
                        <w:pPr>
                          <w:pStyle w:val="13"/>
                          <w:ind w:left="172"/>
                          <w:rPr>
                            <w:sz w:val="24"/>
                          </w:rPr>
                        </w:pPr>
                        <w:r>
                          <w:rPr>
                            <w:sz w:val="24"/>
                          </w:rPr>
                          <w:t xml:space="preserve">序号 </w:t>
                        </w:r>
                      </w:p>
                    </w:tc>
                    <w:tc>
                      <w:tcPr>
                        <w:tcW w:w="976" w:type="dxa"/>
                        <w:tcBorders>
                          <w:left w:val="single" w:color="000000" w:sz="8" w:space="0"/>
                        </w:tcBorders>
                      </w:tcPr>
                      <w:p>
                        <w:pPr>
                          <w:pStyle w:val="13"/>
                          <w:spacing w:before="75"/>
                          <w:ind w:left="121" w:right="77"/>
                          <w:jc w:val="center"/>
                          <w:rPr>
                            <w:sz w:val="24"/>
                          </w:rPr>
                        </w:pPr>
                        <w:r>
                          <w:rPr>
                            <w:sz w:val="24"/>
                          </w:rPr>
                          <w:t>货物名</w:t>
                        </w:r>
                      </w:p>
                      <w:p>
                        <w:pPr>
                          <w:pStyle w:val="13"/>
                          <w:spacing w:before="98" w:line="295" w:lineRule="exact"/>
                          <w:ind w:left="240" w:right="77"/>
                          <w:jc w:val="center"/>
                          <w:rPr>
                            <w:sz w:val="24"/>
                          </w:rPr>
                        </w:pPr>
                        <w:r>
                          <w:rPr>
                            <w:sz w:val="24"/>
                          </w:rPr>
                          <w:t xml:space="preserve">称 </w:t>
                        </w:r>
                      </w:p>
                    </w:tc>
                    <w:tc>
                      <w:tcPr>
                        <w:tcW w:w="826" w:type="dxa"/>
                      </w:tcPr>
                      <w:p>
                        <w:pPr>
                          <w:pStyle w:val="13"/>
                          <w:spacing w:before="75"/>
                          <w:ind w:left="153" w:right="137"/>
                          <w:jc w:val="center"/>
                          <w:rPr>
                            <w:sz w:val="24"/>
                          </w:rPr>
                        </w:pPr>
                        <w:r>
                          <w:rPr>
                            <w:sz w:val="24"/>
                          </w:rPr>
                          <w:t>制造</w:t>
                        </w:r>
                      </w:p>
                      <w:p>
                        <w:pPr>
                          <w:pStyle w:val="13"/>
                          <w:spacing w:before="98" w:line="295" w:lineRule="exact"/>
                          <w:ind w:left="153" w:right="17"/>
                          <w:jc w:val="center"/>
                          <w:rPr>
                            <w:sz w:val="24"/>
                          </w:rPr>
                        </w:pPr>
                        <w:r>
                          <w:rPr>
                            <w:sz w:val="24"/>
                          </w:rPr>
                          <w:t xml:space="preserve">商 </w:t>
                        </w:r>
                      </w:p>
                    </w:tc>
                    <w:tc>
                      <w:tcPr>
                        <w:tcW w:w="1907" w:type="dxa"/>
                      </w:tcPr>
                      <w:p>
                        <w:pPr>
                          <w:pStyle w:val="13"/>
                          <w:spacing w:before="75"/>
                          <w:ind w:left="94" w:right="77"/>
                          <w:jc w:val="center"/>
                          <w:rPr>
                            <w:sz w:val="24"/>
                          </w:rPr>
                        </w:pPr>
                        <w:r>
                          <w:rPr>
                            <w:sz w:val="24"/>
                          </w:rPr>
                          <w:t>制造商性质（小</w:t>
                        </w:r>
                      </w:p>
                      <w:p>
                        <w:pPr>
                          <w:pStyle w:val="13"/>
                          <w:spacing w:before="98" w:line="295" w:lineRule="exact"/>
                          <w:ind w:left="213" w:right="77"/>
                          <w:jc w:val="center"/>
                          <w:rPr>
                            <w:sz w:val="24"/>
                          </w:rPr>
                        </w:pPr>
                        <w:r>
                          <w:rPr>
                            <w:sz w:val="24"/>
                          </w:rPr>
                          <w:t xml:space="preserve">型、微型） </w:t>
                        </w:r>
                      </w:p>
                    </w:tc>
                    <w:tc>
                      <w:tcPr>
                        <w:tcW w:w="1306" w:type="dxa"/>
                      </w:tcPr>
                      <w:p>
                        <w:pPr>
                          <w:pStyle w:val="13"/>
                          <w:spacing w:before="1"/>
                          <w:rPr>
                            <w:b/>
                            <w:sz w:val="21"/>
                          </w:rPr>
                        </w:pPr>
                      </w:p>
                      <w:p>
                        <w:pPr>
                          <w:pStyle w:val="13"/>
                          <w:ind w:left="113" w:right="-44"/>
                          <w:rPr>
                            <w:sz w:val="24"/>
                          </w:rPr>
                        </w:pPr>
                        <w:r>
                          <w:rPr>
                            <w:sz w:val="24"/>
                          </w:rPr>
                          <w:t>报价（元</w:t>
                        </w:r>
                        <w:r>
                          <w:rPr>
                            <w:spacing w:val="-106"/>
                            <w:sz w:val="24"/>
                          </w:rPr>
                          <w:t>）</w:t>
                        </w: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11" w:type="dxa"/>
                        <w:tcBorders>
                          <w:right w:val="single" w:color="000000" w:sz="8" w:space="0"/>
                        </w:tcBorders>
                      </w:tcPr>
                      <w:p>
                        <w:pPr>
                          <w:pStyle w:val="13"/>
                          <w:spacing w:before="75"/>
                          <w:ind w:left="112"/>
                          <w:rPr>
                            <w:sz w:val="24"/>
                          </w:rPr>
                        </w:pPr>
                        <w:r>
                          <w:rPr>
                            <w:sz w:val="24"/>
                          </w:rPr>
                          <w:t xml:space="preserve">1 </w:t>
                        </w:r>
                      </w:p>
                    </w:tc>
                    <w:tc>
                      <w:tcPr>
                        <w:tcW w:w="976" w:type="dxa"/>
                        <w:tcBorders>
                          <w:left w:val="single" w:color="000000" w:sz="8" w:space="0"/>
                        </w:tcBorders>
                      </w:tcPr>
                      <w:p>
                        <w:pPr>
                          <w:pStyle w:val="13"/>
                          <w:spacing w:before="75"/>
                          <w:ind w:left="125"/>
                          <w:rPr>
                            <w:sz w:val="24"/>
                          </w:rPr>
                        </w:pPr>
                        <w:r>
                          <w:rPr>
                            <w:sz w:val="24"/>
                          </w:rPr>
                          <w:t xml:space="preserve"> </w:t>
                        </w:r>
                      </w:p>
                    </w:tc>
                    <w:tc>
                      <w:tcPr>
                        <w:tcW w:w="826" w:type="dxa"/>
                      </w:tcPr>
                      <w:p>
                        <w:pPr>
                          <w:pStyle w:val="13"/>
                          <w:spacing w:before="75"/>
                          <w:ind w:left="113"/>
                          <w:rPr>
                            <w:sz w:val="24"/>
                          </w:rPr>
                        </w:pPr>
                        <w:r>
                          <w:rPr>
                            <w:sz w:val="24"/>
                          </w:rPr>
                          <w:t xml:space="preserve"> </w:t>
                        </w:r>
                      </w:p>
                    </w:tc>
                    <w:tc>
                      <w:tcPr>
                        <w:tcW w:w="1907" w:type="dxa"/>
                      </w:tcPr>
                      <w:p>
                        <w:pPr>
                          <w:pStyle w:val="13"/>
                          <w:spacing w:before="75"/>
                          <w:ind w:left="112"/>
                          <w:rPr>
                            <w:sz w:val="24"/>
                          </w:rPr>
                        </w:pPr>
                        <w:r>
                          <w:rPr>
                            <w:sz w:val="24"/>
                          </w:rPr>
                          <w:t xml:space="preserve"> </w:t>
                        </w:r>
                      </w:p>
                    </w:tc>
                    <w:tc>
                      <w:tcPr>
                        <w:tcW w:w="1306" w:type="dxa"/>
                      </w:tcPr>
                      <w:p>
                        <w:pPr>
                          <w:pStyle w:val="13"/>
                          <w:spacing w:before="75"/>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1" w:type="dxa"/>
                        <w:tcBorders>
                          <w:right w:val="single" w:color="000000" w:sz="8" w:space="0"/>
                        </w:tcBorders>
                      </w:tcPr>
                      <w:p>
                        <w:pPr>
                          <w:pStyle w:val="13"/>
                          <w:spacing w:before="60"/>
                          <w:ind w:left="112"/>
                          <w:rPr>
                            <w:sz w:val="24"/>
                          </w:rPr>
                        </w:pPr>
                        <w:r>
                          <w:rPr>
                            <w:sz w:val="24"/>
                          </w:rPr>
                          <w:t xml:space="preserve">2 </w:t>
                        </w:r>
                      </w:p>
                    </w:tc>
                    <w:tc>
                      <w:tcPr>
                        <w:tcW w:w="976" w:type="dxa"/>
                        <w:tcBorders>
                          <w:left w:val="single" w:color="000000" w:sz="8" w:space="0"/>
                        </w:tcBorders>
                      </w:tcPr>
                      <w:p>
                        <w:pPr>
                          <w:pStyle w:val="13"/>
                          <w:spacing w:before="60"/>
                          <w:ind w:left="125"/>
                          <w:rPr>
                            <w:sz w:val="24"/>
                          </w:rPr>
                        </w:pPr>
                        <w:r>
                          <w:rPr>
                            <w:sz w:val="24"/>
                          </w:rPr>
                          <w:t xml:space="preserve"> </w:t>
                        </w:r>
                      </w:p>
                    </w:tc>
                    <w:tc>
                      <w:tcPr>
                        <w:tcW w:w="826" w:type="dxa"/>
                      </w:tcPr>
                      <w:p>
                        <w:pPr>
                          <w:pStyle w:val="13"/>
                          <w:spacing w:before="60"/>
                          <w:ind w:left="113"/>
                          <w:rPr>
                            <w:sz w:val="24"/>
                          </w:rPr>
                        </w:pPr>
                        <w:r>
                          <w:rPr>
                            <w:sz w:val="24"/>
                          </w:rPr>
                          <w:t xml:space="preserve"> </w:t>
                        </w:r>
                      </w:p>
                    </w:tc>
                    <w:tc>
                      <w:tcPr>
                        <w:tcW w:w="1907" w:type="dxa"/>
                      </w:tcPr>
                      <w:p>
                        <w:pPr>
                          <w:pStyle w:val="13"/>
                          <w:spacing w:before="60"/>
                          <w:ind w:left="112"/>
                          <w:rPr>
                            <w:sz w:val="24"/>
                          </w:rPr>
                        </w:pPr>
                        <w:r>
                          <w:rPr>
                            <w:sz w:val="24"/>
                          </w:rPr>
                          <w:t xml:space="preserve"> </w:t>
                        </w:r>
                      </w:p>
                    </w:tc>
                    <w:tc>
                      <w:tcPr>
                        <w:tcW w:w="1306" w:type="dxa"/>
                      </w:tcPr>
                      <w:p>
                        <w:pPr>
                          <w:pStyle w:val="13"/>
                          <w:spacing w:before="60"/>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11" w:type="dxa"/>
                        <w:tcBorders>
                          <w:right w:val="single" w:color="000000" w:sz="8" w:space="0"/>
                        </w:tcBorders>
                      </w:tcPr>
                      <w:p>
                        <w:pPr>
                          <w:pStyle w:val="13"/>
                          <w:spacing w:before="75" w:line="295" w:lineRule="exact"/>
                          <w:ind w:left="112"/>
                          <w:rPr>
                            <w:sz w:val="24"/>
                          </w:rPr>
                        </w:pPr>
                        <w:r>
                          <w:rPr>
                            <w:sz w:val="24"/>
                          </w:rPr>
                          <w:t xml:space="preserve">3 </w:t>
                        </w:r>
                      </w:p>
                    </w:tc>
                    <w:tc>
                      <w:tcPr>
                        <w:tcW w:w="976" w:type="dxa"/>
                        <w:tcBorders>
                          <w:left w:val="single" w:color="000000" w:sz="8" w:space="0"/>
                        </w:tcBorders>
                      </w:tcPr>
                      <w:p>
                        <w:pPr>
                          <w:pStyle w:val="13"/>
                          <w:spacing w:before="75" w:line="295" w:lineRule="exact"/>
                          <w:ind w:left="125"/>
                          <w:rPr>
                            <w:sz w:val="24"/>
                          </w:rPr>
                        </w:pPr>
                        <w:r>
                          <w:rPr>
                            <w:sz w:val="24"/>
                          </w:rPr>
                          <w:t xml:space="preserve"> </w:t>
                        </w:r>
                      </w:p>
                    </w:tc>
                    <w:tc>
                      <w:tcPr>
                        <w:tcW w:w="826" w:type="dxa"/>
                      </w:tcPr>
                      <w:p>
                        <w:pPr>
                          <w:pStyle w:val="13"/>
                          <w:spacing w:before="75" w:line="295" w:lineRule="exact"/>
                          <w:ind w:left="113"/>
                          <w:rPr>
                            <w:sz w:val="24"/>
                          </w:rPr>
                        </w:pPr>
                        <w:r>
                          <w:rPr>
                            <w:sz w:val="24"/>
                          </w:rPr>
                          <w:t xml:space="preserve"> </w:t>
                        </w:r>
                      </w:p>
                    </w:tc>
                    <w:tc>
                      <w:tcPr>
                        <w:tcW w:w="1907" w:type="dxa"/>
                      </w:tcPr>
                      <w:p>
                        <w:pPr>
                          <w:pStyle w:val="13"/>
                          <w:spacing w:before="75" w:line="295" w:lineRule="exact"/>
                          <w:ind w:left="112"/>
                          <w:rPr>
                            <w:sz w:val="24"/>
                          </w:rPr>
                        </w:pPr>
                        <w:r>
                          <w:rPr>
                            <w:sz w:val="24"/>
                          </w:rPr>
                          <w:t xml:space="preserve"> </w:t>
                        </w:r>
                      </w:p>
                    </w:tc>
                    <w:tc>
                      <w:tcPr>
                        <w:tcW w:w="1306" w:type="dxa"/>
                      </w:tcPr>
                      <w:p>
                        <w:pPr>
                          <w:pStyle w:val="13"/>
                          <w:spacing w:before="75" w:line="295" w:lineRule="exact"/>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11" w:type="dxa"/>
                        <w:tcBorders>
                          <w:right w:val="single" w:color="000000" w:sz="8" w:space="0"/>
                        </w:tcBorders>
                      </w:tcPr>
                      <w:p>
                        <w:pPr>
                          <w:pStyle w:val="13"/>
                          <w:spacing w:before="75"/>
                          <w:ind w:left="112"/>
                          <w:rPr>
                            <w:sz w:val="24"/>
                          </w:rPr>
                        </w:pPr>
                        <w:r>
                          <w:rPr>
                            <w:sz w:val="24"/>
                          </w:rPr>
                          <w:t xml:space="preserve">…… </w:t>
                        </w:r>
                      </w:p>
                    </w:tc>
                    <w:tc>
                      <w:tcPr>
                        <w:tcW w:w="976" w:type="dxa"/>
                        <w:tcBorders>
                          <w:left w:val="single" w:color="000000" w:sz="8" w:space="0"/>
                        </w:tcBorders>
                      </w:tcPr>
                      <w:p>
                        <w:pPr>
                          <w:pStyle w:val="13"/>
                          <w:spacing w:before="75"/>
                          <w:ind w:left="125"/>
                          <w:rPr>
                            <w:sz w:val="24"/>
                          </w:rPr>
                        </w:pPr>
                        <w:r>
                          <w:rPr>
                            <w:sz w:val="24"/>
                          </w:rPr>
                          <w:t xml:space="preserve"> </w:t>
                        </w:r>
                      </w:p>
                    </w:tc>
                    <w:tc>
                      <w:tcPr>
                        <w:tcW w:w="826" w:type="dxa"/>
                      </w:tcPr>
                      <w:p>
                        <w:pPr>
                          <w:pStyle w:val="13"/>
                          <w:spacing w:before="75"/>
                          <w:ind w:left="113"/>
                          <w:rPr>
                            <w:sz w:val="24"/>
                          </w:rPr>
                        </w:pPr>
                        <w:r>
                          <w:rPr>
                            <w:sz w:val="24"/>
                          </w:rPr>
                          <w:t xml:space="preserve"> </w:t>
                        </w:r>
                      </w:p>
                    </w:tc>
                    <w:tc>
                      <w:tcPr>
                        <w:tcW w:w="1907" w:type="dxa"/>
                      </w:tcPr>
                      <w:p>
                        <w:pPr>
                          <w:pStyle w:val="13"/>
                          <w:spacing w:before="75"/>
                          <w:ind w:left="112"/>
                          <w:rPr>
                            <w:sz w:val="24"/>
                          </w:rPr>
                        </w:pPr>
                        <w:r>
                          <w:rPr>
                            <w:sz w:val="24"/>
                          </w:rPr>
                          <w:t xml:space="preserve"> </w:t>
                        </w:r>
                      </w:p>
                    </w:tc>
                    <w:tc>
                      <w:tcPr>
                        <w:tcW w:w="1306" w:type="dxa"/>
                      </w:tcPr>
                      <w:p>
                        <w:pPr>
                          <w:pStyle w:val="13"/>
                          <w:spacing w:before="75"/>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520" w:type="dxa"/>
                        <w:gridSpan w:val="4"/>
                      </w:tcPr>
                      <w:p>
                        <w:pPr>
                          <w:pStyle w:val="13"/>
                          <w:spacing w:before="60"/>
                          <w:ind w:left="608"/>
                          <w:rPr>
                            <w:sz w:val="24"/>
                          </w:rPr>
                        </w:pPr>
                        <w:r>
                          <w:rPr>
                            <w:sz w:val="24"/>
                          </w:rPr>
                          <w:t xml:space="preserve">小型或微型企业货物金额合计 A </w:t>
                        </w:r>
                      </w:p>
                    </w:tc>
                    <w:tc>
                      <w:tcPr>
                        <w:tcW w:w="1306" w:type="dxa"/>
                      </w:tcPr>
                      <w:p>
                        <w:pPr>
                          <w:pStyle w:val="13"/>
                          <w:spacing w:before="60"/>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520" w:type="dxa"/>
                        <w:gridSpan w:val="4"/>
                      </w:tcPr>
                      <w:p>
                        <w:pPr>
                          <w:pStyle w:val="13"/>
                          <w:spacing w:before="75" w:line="295" w:lineRule="exact"/>
                          <w:ind w:left="728"/>
                          <w:rPr>
                            <w:sz w:val="24"/>
                          </w:rPr>
                        </w:pPr>
                        <w:r>
                          <w:rPr>
                            <w:sz w:val="24"/>
                          </w:rPr>
                          <w:t xml:space="preserve">报价一览表中所有货物报价 B </w:t>
                        </w:r>
                      </w:p>
                    </w:tc>
                    <w:tc>
                      <w:tcPr>
                        <w:tcW w:w="1306" w:type="dxa"/>
                      </w:tcPr>
                      <w:p>
                        <w:pPr>
                          <w:pStyle w:val="13"/>
                          <w:spacing w:before="75" w:line="295" w:lineRule="exact"/>
                          <w:ind w:left="113"/>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4520" w:type="dxa"/>
                        <w:gridSpan w:val="4"/>
                      </w:tcPr>
                      <w:p>
                        <w:pPr>
                          <w:pStyle w:val="13"/>
                          <w:spacing w:before="75" w:line="295" w:lineRule="exact"/>
                          <w:ind w:left="788"/>
                          <w:rPr>
                            <w:sz w:val="24"/>
                          </w:rPr>
                        </w:pPr>
                        <w:r>
                          <w:rPr>
                            <w:sz w:val="24"/>
                          </w:rPr>
                          <w:t>评审价格 C=</w:t>
                        </w:r>
                        <w:r>
                          <w:rPr>
                            <w:sz w:val="24"/>
                            <w:u w:val="single"/>
                          </w:rPr>
                          <w:t>（0.94）</w:t>
                        </w:r>
                        <w:r>
                          <w:rPr>
                            <w:sz w:val="24"/>
                          </w:rPr>
                          <w:t xml:space="preserve">*A+B-A </w:t>
                        </w:r>
                      </w:p>
                    </w:tc>
                    <w:tc>
                      <w:tcPr>
                        <w:tcW w:w="1306" w:type="dxa"/>
                      </w:tcPr>
                      <w:p>
                        <w:pPr>
                          <w:pStyle w:val="13"/>
                          <w:spacing w:before="75" w:line="295" w:lineRule="exact"/>
                          <w:ind w:left="113"/>
                          <w:rPr>
                            <w:sz w:val="24"/>
                          </w:rPr>
                        </w:pPr>
                        <w:r>
                          <w:rPr>
                            <w:sz w:val="24"/>
                          </w:rPr>
                          <w:t xml:space="preserve"> </w:t>
                        </w:r>
                      </w:p>
                    </w:tc>
                  </w:tr>
                </w:tbl>
                <w:p>
                  <w:pPr>
                    <w:pStyle w:val="8"/>
                  </w:pPr>
                </w:p>
              </w:txbxContent>
            </v:textbox>
          </v:shape>
        </w:pict>
      </w:r>
    </w:p>
    <w:p>
      <w:pPr>
        <w:spacing w:after="0"/>
        <w:rPr>
          <w:color w:val="auto"/>
          <w:sz w:val="2"/>
          <w:szCs w:val="2"/>
        </w:rPr>
        <w:sectPr>
          <w:pgSz w:w="11910" w:h="16850"/>
          <w:pgMar w:top="1440" w:right="0" w:bottom="1080" w:left="1260" w:header="0" w:footer="891" w:gutter="0"/>
          <w:cols w:space="720" w:num="1"/>
        </w:sectPr>
      </w:pPr>
    </w:p>
    <w:tbl>
      <w:tblPr>
        <w:tblStyle w:val="9"/>
        <w:tblW w:w="0" w:type="auto"/>
        <w:tblInd w:w="3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1487"/>
        <w:gridCol w:w="6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00" w:hRule="atLeast"/>
        </w:trPr>
        <w:tc>
          <w:tcPr>
            <w:tcW w:w="901" w:type="dxa"/>
          </w:tcPr>
          <w:p>
            <w:pPr>
              <w:pStyle w:val="13"/>
              <w:rPr>
                <w:rFonts w:ascii="Times New Roman"/>
                <w:color w:val="auto"/>
                <w:sz w:val="22"/>
              </w:rPr>
            </w:pPr>
          </w:p>
        </w:tc>
        <w:tc>
          <w:tcPr>
            <w:tcW w:w="1487" w:type="dxa"/>
          </w:tcPr>
          <w:p>
            <w:pPr>
              <w:pStyle w:val="13"/>
              <w:rPr>
                <w:rFonts w:ascii="Times New Roman"/>
                <w:color w:val="auto"/>
                <w:sz w:val="22"/>
              </w:rPr>
            </w:pPr>
          </w:p>
        </w:tc>
        <w:tc>
          <w:tcPr>
            <w:tcW w:w="6263" w:type="dxa"/>
          </w:tcPr>
          <w:p>
            <w:pPr>
              <w:pStyle w:val="13"/>
              <w:spacing w:before="71" w:line="304" w:lineRule="auto"/>
              <w:ind w:left="112" w:right="91" w:firstLine="481"/>
              <w:rPr>
                <w:color w:val="auto"/>
                <w:sz w:val="24"/>
              </w:rPr>
            </w:pPr>
            <w:r>
              <w:rPr>
                <w:color w:val="auto"/>
                <w:sz w:val="24"/>
              </w:rPr>
              <w:t>符合监狱企业政策的供应商参与谈判时需提供省级以上监狱管理局、戒毒管理局（含新疆生产建设兵团）出具</w:t>
            </w:r>
          </w:p>
          <w:p>
            <w:pPr>
              <w:pStyle w:val="13"/>
              <w:spacing w:before="15"/>
              <w:ind w:left="112"/>
              <w:rPr>
                <w:color w:val="auto"/>
                <w:sz w:val="24"/>
              </w:rPr>
            </w:pPr>
            <w:r>
              <w:rPr>
                <w:color w:val="auto"/>
                <w:sz w:val="24"/>
              </w:rPr>
              <w:t xml:space="preserve">的属于监狱企业的证明文件。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1" w:hRule="atLeast"/>
        </w:trPr>
        <w:tc>
          <w:tcPr>
            <w:tcW w:w="901"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5"/>
              <w:rPr>
                <w:b/>
                <w:color w:val="auto"/>
                <w:sz w:val="30"/>
              </w:rPr>
            </w:pPr>
          </w:p>
          <w:p>
            <w:pPr>
              <w:pStyle w:val="13"/>
              <w:ind w:left="383"/>
              <w:rPr>
                <w:b/>
                <w:color w:val="auto"/>
                <w:sz w:val="24"/>
              </w:rPr>
            </w:pPr>
            <w:r>
              <w:rPr>
                <w:b/>
                <w:color w:val="auto"/>
                <w:sz w:val="24"/>
              </w:rPr>
              <w:t xml:space="preserve">7 </w:t>
            </w:r>
          </w:p>
        </w:tc>
        <w:tc>
          <w:tcPr>
            <w:tcW w:w="1487" w:type="dxa"/>
          </w:tcPr>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rPr>
                <w:b/>
                <w:color w:val="auto"/>
                <w:sz w:val="24"/>
              </w:rPr>
            </w:pPr>
          </w:p>
          <w:p>
            <w:pPr>
              <w:pStyle w:val="13"/>
              <w:spacing w:before="5"/>
              <w:rPr>
                <w:b/>
                <w:color w:val="auto"/>
                <w:sz w:val="30"/>
              </w:rPr>
            </w:pPr>
          </w:p>
          <w:p>
            <w:pPr>
              <w:pStyle w:val="13"/>
              <w:ind w:left="233"/>
              <w:rPr>
                <w:b/>
                <w:color w:val="auto"/>
                <w:sz w:val="24"/>
              </w:rPr>
            </w:pPr>
            <w:r>
              <w:rPr>
                <w:b/>
                <w:color w:val="auto"/>
                <w:sz w:val="24"/>
              </w:rPr>
              <w:t>相关风险</w:t>
            </w:r>
            <w:r>
              <w:rPr>
                <w:b/>
                <w:color w:val="auto"/>
                <w:w w:val="99"/>
                <w:sz w:val="24"/>
              </w:rPr>
              <w:t xml:space="preserve"> </w:t>
            </w:r>
          </w:p>
        </w:tc>
        <w:tc>
          <w:tcPr>
            <w:tcW w:w="6263" w:type="dxa"/>
          </w:tcPr>
          <w:p>
            <w:pPr>
              <w:pStyle w:val="13"/>
              <w:spacing w:before="56" w:line="316" w:lineRule="auto"/>
              <w:ind w:left="112" w:right="79" w:firstLine="481"/>
              <w:rPr>
                <w:b/>
                <w:color w:val="auto"/>
                <w:sz w:val="24"/>
              </w:rPr>
            </w:pPr>
            <w:r>
              <w:rPr>
                <w:b/>
                <w:color w:val="auto"/>
                <w:w w:val="95"/>
                <w:sz w:val="24"/>
              </w:rPr>
              <w:t xml:space="preserve">一、经评审委员会评审，存在下列任一情况的，谈判 </w:t>
            </w:r>
            <w:r>
              <w:rPr>
                <w:b/>
                <w:color w:val="auto"/>
                <w:spacing w:val="1"/>
                <w:sz w:val="24"/>
              </w:rPr>
              <w:t>供应商将不被视为中小企业：</w:t>
            </w:r>
            <w:r>
              <w:rPr>
                <w:b/>
                <w:color w:val="auto"/>
                <w:spacing w:val="1"/>
                <w:w w:val="99"/>
                <w:sz w:val="24"/>
              </w:rPr>
              <w:t xml:space="preserve"> </w:t>
            </w:r>
          </w:p>
          <w:p>
            <w:pPr>
              <w:pStyle w:val="13"/>
              <w:spacing w:line="304" w:lineRule="auto"/>
              <w:ind w:left="112" w:right="7" w:firstLine="481"/>
              <w:rPr>
                <w:color w:val="auto"/>
                <w:sz w:val="24"/>
              </w:rPr>
            </w:pPr>
            <w:r>
              <w:rPr>
                <w:color w:val="auto"/>
                <w:sz w:val="24"/>
              </w:rPr>
              <w:t xml:space="preserve">1. 谈判供应商不符合“工信部联企业[2011]300 号” 规定的中小企业标准的； </w:t>
            </w:r>
          </w:p>
          <w:p>
            <w:pPr>
              <w:pStyle w:val="13"/>
              <w:spacing w:before="14" w:line="316" w:lineRule="auto"/>
              <w:ind w:left="112" w:right="91" w:firstLine="481"/>
              <w:rPr>
                <w:color w:val="auto"/>
                <w:sz w:val="24"/>
              </w:rPr>
            </w:pPr>
            <w:r>
              <w:rPr>
                <w:color w:val="auto"/>
                <w:sz w:val="24"/>
              </w:rPr>
              <w:t xml:space="preserve">2.投标货物全部或部分为使用大型企业注册商标的货物的； </w:t>
            </w:r>
          </w:p>
          <w:p>
            <w:pPr>
              <w:pStyle w:val="13"/>
              <w:spacing w:line="291" w:lineRule="exact"/>
              <w:ind w:left="593"/>
              <w:rPr>
                <w:color w:val="auto"/>
                <w:sz w:val="24"/>
              </w:rPr>
            </w:pPr>
            <w:r>
              <w:rPr>
                <w:color w:val="auto"/>
                <w:sz w:val="24"/>
              </w:rPr>
              <w:t>3. 响应文件中标明的中小企业产品的制造商不符合</w:t>
            </w:r>
          </w:p>
          <w:p>
            <w:pPr>
              <w:pStyle w:val="13"/>
              <w:spacing w:before="98"/>
              <w:ind w:left="112"/>
              <w:rPr>
                <w:color w:val="auto"/>
                <w:sz w:val="24"/>
              </w:rPr>
            </w:pPr>
            <w:r>
              <w:rPr>
                <w:color w:val="auto"/>
                <w:sz w:val="24"/>
              </w:rPr>
              <w:t xml:space="preserve">“工信部联企业[2011]300 号”规定的中小企业标准的； </w:t>
            </w:r>
          </w:p>
          <w:p>
            <w:pPr>
              <w:pStyle w:val="13"/>
              <w:spacing w:before="98" w:line="304" w:lineRule="auto"/>
              <w:ind w:left="112" w:right="14" w:firstLine="481"/>
              <w:rPr>
                <w:color w:val="auto"/>
                <w:sz w:val="24"/>
              </w:rPr>
            </w:pPr>
            <w:r>
              <w:rPr>
                <w:color w:val="auto"/>
                <w:sz w:val="24"/>
              </w:rPr>
              <w:t xml:space="preserve">4.、未按本附表第 5 项要求提供合法、有效、完整资料的。 </w:t>
            </w:r>
          </w:p>
          <w:p>
            <w:pPr>
              <w:pStyle w:val="13"/>
              <w:spacing w:before="15"/>
              <w:ind w:left="593"/>
              <w:rPr>
                <w:b/>
                <w:color w:val="auto"/>
                <w:sz w:val="24"/>
              </w:rPr>
            </w:pPr>
            <w:r>
              <w:rPr>
                <w:b/>
                <w:color w:val="auto"/>
                <w:sz w:val="24"/>
              </w:rPr>
              <w:t>二、提供虚假证明材料后果：</w:t>
            </w:r>
            <w:r>
              <w:rPr>
                <w:b/>
                <w:color w:val="auto"/>
                <w:w w:val="99"/>
                <w:sz w:val="24"/>
              </w:rPr>
              <w:t xml:space="preserve"> </w:t>
            </w:r>
          </w:p>
          <w:p>
            <w:pPr>
              <w:pStyle w:val="13"/>
              <w:spacing w:before="98" w:line="312" w:lineRule="auto"/>
              <w:ind w:left="112" w:right="91" w:firstLine="481"/>
              <w:jc w:val="both"/>
              <w:rPr>
                <w:color w:val="auto"/>
                <w:sz w:val="24"/>
              </w:rPr>
            </w:pPr>
            <w:r>
              <w:rPr>
                <w:color w:val="auto"/>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 该供应商还应承担由此引起的其他经济、法律责任。出现此种情形时，采购人、采购代理机构将有关情况上报政府</w:t>
            </w:r>
          </w:p>
          <w:p>
            <w:pPr>
              <w:pStyle w:val="13"/>
              <w:spacing w:before="3" w:line="299" w:lineRule="exact"/>
              <w:ind w:left="112" w:right="-44"/>
              <w:rPr>
                <w:color w:val="auto"/>
                <w:sz w:val="24"/>
              </w:rPr>
            </w:pPr>
            <w:r>
              <w:rPr>
                <w:color w:val="auto"/>
                <w:spacing w:val="-14"/>
                <w:sz w:val="24"/>
              </w:rPr>
              <w:t>采购监管部门，由监管部门按有关规定对其进行相应处罚。</w:t>
            </w:r>
            <w:r>
              <w:rPr>
                <w:color w:val="auto"/>
                <w:sz w:val="24"/>
              </w:rPr>
              <w:t xml:space="preserve"> </w:t>
            </w:r>
          </w:p>
        </w:tc>
      </w:tr>
    </w:tbl>
    <w:p>
      <w:pPr>
        <w:pStyle w:val="8"/>
        <w:rPr>
          <w:b/>
          <w:color w:val="auto"/>
          <w:sz w:val="20"/>
        </w:rPr>
      </w:pPr>
    </w:p>
    <w:p>
      <w:pPr>
        <w:pStyle w:val="8"/>
        <w:spacing w:before="3"/>
        <w:rPr>
          <w:b/>
          <w:color w:val="auto"/>
          <w:sz w:val="17"/>
        </w:rPr>
      </w:pPr>
    </w:p>
    <w:p>
      <w:pPr>
        <w:spacing w:before="0" w:after="8"/>
        <w:ind w:left="993" w:right="0" w:firstLine="0"/>
        <w:jc w:val="left"/>
        <w:rPr>
          <w:b/>
          <w:color w:val="auto"/>
          <w:sz w:val="24"/>
        </w:rPr>
      </w:pPr>
      <w:bookmarkStart w:id="1" w:name="谈判供应商须知前附表5：节能、环境标志信息安全产品采购政策"/>
      <w:bookmarkEnd w:id="1"/>
      <w:r>
        <w:rPr>
          <w:b/>
          <w:color w:val="auto"/>
          <w:sz w:val="24"/>
          <w:u w:val="single"/>
        </w:rPr>
        <w:t>谈判供应商须知前附表 5：节能、环境标志信息安全产品采购政策</w:t>
      </w:r>
      <w:r>
        <w:rPr>
          <w:b/>
          <w:color w:val="auto"/>
          <w:w w:val="99"/>
          <w:sz w:val="24"/>
        </w:rPr>
        <w:t xml:space="preserve"> </w:t>
      </w:r>
    </w:p>
    <w:p>
      <w:pPr>
        <w:pStyle w:val="8"/>
        <w:ind w:left="361"/>
        <w:rPr>
          <w:color w:val="auto"/>
          <w:sz w:val="20"/>
        </w:rPr>
      </w:pPr>
      <w:r>
        <w:rPr>
          <w:color w:val="auto"/>
          <w:position w:val="0"/>
          <w:sz w:val="20"/>
        </w:rPr>
        <w:pict>
          <v:shape id="_x0000_s1042" o:spid="_x0000_s1042" o:spt="202" type="#_x0000_t202" style="height:224.45pt;width:426.55pt;" filled="f" stroked="t" coordsize="21600,21600">
            <v:path/>
            <v:fill on="f" focussize="0,0"/>
            <v:stroke color="#000000"/>
            <v:imagedata o:title=""/>
            <o:lock v:ext="edit"/>
            <v:textbox inset="0mm,0mm,0mm,0mm">
              <w:txbxContent>
                <w:p>
                  <w:pPr>
                    <w:spacing w:before="75"/>
                    <w:ind w:left="1757" w:right="0" w:firstLine="0"/>
                    <w:jc w:val="left"/>
                    <w:rPr>
                      <w:b/>
                      <w:sz w:val="24"/>
                    </w:rPr>
                  </w:pPr>
                  <w:r>
                    <w:rPr>
                      <w:b/>
                      <w:sz w:val="24"/>
                    </w:rPr>
                    <w:t>二、节能、环境标志、信息安全产品优先采购政策</w:t>
                  </w:r>
                  <w:r>
                    <w:rPr>
                      <w:b/>
                      <w:w w:val="99"/>
                      <w:sz w:val="24"/>
                    </w:rPr>
                    <w:t xml:space="preserve"> </w:t>
                  </w:r>
                </w:p>
                <w:p>
                  <w:pPr>
                    <w:pStyle w:val="8"/>
                    <w:spacing w:before="38" w:line="362" w:lineRule="auto"/>
                    <w:ind w:left="105" w:right="102" w:firstLine="601"/>
                  </w:pPr>
                  <w:r>
                    <w:t xml:space="preserve">《关于进一步落实政府采购有关政策的通知》黔财采 〔2014〕15 号文件规定： </w:t>
                  </w:r>
                </w:p>
                <w:p>
                  <w:pPr>
                    <w:pStyle w:val="8"/>
                    <w:spacing w:before="2"/>
                    <w:ind w:left="706"/>
                  </w:pPr>
                  <w:r>
                    <w:t>对投标产品属于“节能产品清单”或“环保产品清单”有效期内中的产品</w:t>
                  </w:r>
                </w:p>
                <w:p>
                  <w:pPr>
                    <w:pStyle w:val="8"/>
                    <w:spacing w:before="157" w:line="362" w:lineRule="auto"/>
                    <w:ind w:left="105" w:right="87"/>
                  </w:pPr>
                  <w:r>
                    <w:t>（强制采购产品除外</w:t>
                  </w:r>
                  <w:r>
                    <w:rPr>
                      <w:spacing w:val="-30"/>
                    </w:rPr>
                    <w:t>），</w:t>
                  </w:r>
                  <w:r>
                    <w:rPr>
                      <w:spacing w:val="-4"/>
                    </w:rPr>
                    <w:t>在招标采购评审工作过程中，给予适当加分，即在总得</w:t>
                  </w:r>
                  <w:r>
                    <w:rPr>
                      <w:spacing w:val="-14"/>
                    </w:rPr>
                    <w:t xml:space="preserve">分基础上，每一项加 </w:t>
                  </w:r>
                  <w:r>
                    <w:t>0.3</w:t>
                  </w:r>
                  <w:r>
                    <w:rPr>
                      <w:spacing w:val="-11"/>
                    </w:rPr>
                    <w:t xml:space="preserve"> 分；如投标产品同时属于“节能产品清单”和“环保产</w:t>
                  </w:r>
                </w:p>
                <w:p>
                  <w:pPr>
                    <w:pStyle w:val="8"/>
                    <w:spacing w:before="3"/>
                    <w:ind w:left="105"/>
                  </w:pPr>
                  <w:r>
                    <w:t xml:space="preserve">品清单”两个清单中产品的，每一项加 0.5 分，最高不得超过 2 分。 </w:t>
                  </w:r>
                </w:p>
                <w:p>
                  <w:pPr>
                    <w:spacing w:before="158"/>
                    <w:ind w:left="885" w:right="164" w:firstLine="0"/>
                    <w:jc w:val="center"/>
                    <w:rPr>
                      <w:sz w:val="24"/>
                    </w:rPr>
                  </w:pPr>
                  <w:r>
                    <w:rPr>
                      <w:b/>
                      <w:sz w:val="24"/>
                    </w:rPr>
                    <w:t>少数民族自治区和享受少数民族自治待遇的省份采购政策</w:t>
                  </w:r>
                  <w:r>
                    <w:rPr>
                      <w:sz w:val="24"/>
                    </w:rPr>
                    <w:t xml:space="preserve"> </w:t>
                  </w:r>
                </w:p>
                <w:p>
                  <w:pPr>
                    <w:pStyle w:val="8"/>
                    <w:spacing w:before="2"/>
                    <w:rPr>
                      <w:b/>
                      <w:sz w:val="18"/>
                    </w:rPr>
                  </w:pPr>
                </w:p>
                <w:p>
                  <w:pPr>
                    <w:pStyle w:val="8"/>
                    <w:ind w:left="646" w:right="164"/>
                    <w:jc w:val="center"/>
                  </w:pPr>
                  <w:r>
                    <w:t>对原产地在少数民族自治区和享受少数民族自治待遇的省份的投标主产品</w:t>
                  </w:r>
                </w:p>
                <w:p>
                  <w:pPr>
                    <w:pStyle w:val="8"/>
                    <w:spacing w:before="83"/>
                    <w:ind w:left="105"/>
                  </w:pPr>
                  <w:r>
                    <w:t>（不含附带产品</w:t>
                  </w:r>
                  <w:r>
                    <w:rPr>
                      <w:spacing w:val="-30"/>
                    </w:rPr>
                    <w:t>），</w:t>
                  </w:r>
                  <w:r>
                    <w:rPr>
                      <w:spacing w:val="-3"/>
                    </w:rPr>
                    <w:t>享受政策性加分和价格扣除，即采用综合评分法或性价比法</w:t>
                  </w:r>
                </w:p>
              </w:txbxContent>
            </v:textbox>
            <w10:wrap type="none"/>
            <w10:anchorlock/>
          </v:shape>
        </w:pict>
      </w:r>
    </w:p>
    <w:p>
      <w:pPr>
        <w:spacing w:after="0"/>
        <w:rPr>
          <w:color w:val="auto"/>
          <w:sz w:val="20"/>
        </w:rPr>
        <w:sectPr>
          <w:pgSz w:w="11910" w:h="16850"/>
          <w:pgMar w:top="1440" w:right="0" w:bottom="1080" w:left="1260" w:header="0" w:footer="891" w:gutter="0"/>
          <w:cols w:space="720" w:num="1"/>
        </w:sectPr>
      </w:pPr>
    </w:p>
    <w:p>
      <w:pPr>
        <w:pStyle w:val="8"/>
        <w:ind w:left="361"/>
        <w:rPr>
          <w:color w:val="auto"/>
          <w:sz w:val="20"/>
        </w:rPr>
      </w:pPr>
      <w:r>
        <w:rPr>
          <w:color w:val="auto"/>
        </w:rPr>
        <w:pict>
          <v:shape id="_x0000_s1043" o:spid="_x0000_s1043" o:spt="202" type="#_x0000_t202" style="position:absolute;left:0pt;margin-left:81.45pt;margin-top:152.7pt;height:52.55pt;width:426.55pt;mso-position-horizontal-relative:page;mso-position-vertical-relative:page;z-index:251660288;mso-width-relative:page;mso-height-relative:page;" filled="f" stroked="t" coordsize="21600,21600">
            <v:path/>
            <v:fill on="f" focussize="0,0"/>
            <v:stroke color="#000000"/>
            <v:imagedata o:title=""/>
            <o:lock v:ext="edit"/>
            <v:textbox inset="0mm,0mm,0mm,0mm">
              <w:txbxContent>
                <w:p>
                  <w:pPr>
                    <w:spacing w:before="75"/>
                    <w:ind w:left="646" w:right="0" w:firstLine="0"/>
                    <w:jc w:val="left"/>
                    <w:rPr>
                      <w:b/>
                      <w:sz w:val="24"/>
                    </w:rPr>
                  </w:pPr>
                  <w:r>
                    <w:rPr>
                      <w:b/>
                      <w:sz w:val="24"/>
                    </w:rPr>
                    <w:t>三、提醒事项：</w:t>
                  </w:r>
                  <w:r>
                    <w:rPr>
                      <w:b/>
                      <w:w w:val="99"/>
                      <w:sz w:val="24"/>
                    </w:rPr>
                    <w:t xml:space="preserve"> </w:t>
                  </w:r>
                </w:p>
                <w:p>
                  <w:pPr>
                    <w:spacing w:before="98"/>
                    <w:ind w:left="646" w:right="0" w:firstLine="0"/>
                    <w:jc w:val="left"/>
                    <w:rPr>
                      <w:sz w:val="24"/>
                    </w:rPr>
                  </w:pPr>
                  <w:r>
                    <w:rPr>
                      <w:b/>
                      <w:sz w:val="24"/>
                    </w:rPr>
                    <w:t>成交供应商必须凭成交通知书的原件与采购人签订《政府采购合同》。</w:t>
                  </w:r>
                  <w:r>
                    <w:rPr>
                      <w:sz w:val="24"/>
                    </w:rPr>
                    <w:t xml:space="preserve"> </w:t>
                  </w:r>
                </w:p>
              </w:txbxContent>
            </v:textbox>
          </v:shape>
        </w:pict>
      </w:r>
      <w:r>
        <w:rPr>
          <w:color w:val="auto"/>
          <w:position w:val="0"/>
          <w:sz w:val="20"/>
        </w:rPr>
        <w:pict>
          <v:shape id="_x0000_s1044" o:spid="_x0000_s1044" o:spt="202" type="#_x0000_t202" style="height:80.3pt;width:426.55pt;" filled="f" stroked="t" coordsize="21600,21600">
            <v:path/>
            <v:fill on="f" focussize="0,0"/>
            <v:stroke color="#000000"/>
            <v:imagedata o:title=""/>
            <o:lock v:ext="edit"/>
            <v:textbox inset="0mm,0mm,0mm,0mm">
              <w:txbxContent>
                <w:p>
                  <w:pPr>
                    <w:pStyle w:val="8"/>
                    <w:spacing w:before="75" w:line="309" w:lineRule="auto"/>
                    <w:ind w:left="105" w:right="87"/>
                    <w:jc w:val="both"/>
                  </w:pPr>
                  <w:r>
                    <w:rPr>
                      <w:spacing w:val="-9"/>
                    </w:rPr>
                    <w:t xml:space="preserve">进行评审的，在总得分基础上加 </w:t>
                  </w:r>
                  <w:r>
                    <w:t>3</w:t>
                  </w:r>
                  <w:r>
                    <w:rPr>
                      <w:spacing w:val="-12"/>
                    </w:rPr>
                    <w:t xml:space="preserve"> 分；采用最低评标价法进行评审的，对其产品</w:t>
                  </w:r>
                  <w:r>
                    <w:rPr>
                      <w:spacing w:val="-13"/>
                    </w:rPr>
                    <w:t xml:space="preserve">的价格给予 </w:t>
                  </w:r>
                  <w:r>
                    <w:t>6%</w:t>
                  </w:r>
                  <w:r>
                    <w:rPr>
                      <w:spacing w:val="-1"/>
                    </w:rPr>
                    <w:t>的扣除，用扣除后的价格参与评审, 具体扣除比例由采购人或者</w:t>
                  </w:r>
                  <w:r>
                    <w:rPr>
                      <w:spacing w:val="-2"/>
                    </w:rPr>
                    <w:t xml:space="preserve">采购代理机构确定。投标主产品按照不得低于本采购项目预算金额 </w:t>
                  </w:r>
                  <w:r>
                    <w:rPr>
                      <w:spacing w:val="3"/>
                    </w:rPr>
                    <w:t>50</w:t>
                  </w:r>
                  <w:r>
                    <w:t>%加以确</w:t>
                  </w:r>
                </w:p>
                <w:p>
                  <w:pPr>
                    <w:pStyle w:val="8"/>
                    <w:spacing w:before="10"/>
                    <w:ind w:left="105"/>
                    <w:jc w:val="both"/>
                  </w:pPr>
                  <w:r>
                    <w:t xml:space="preserve">定，如实行分品目采购的，可以以品目为单位计算。 </w:t>
                  </w:r>
                </w:p>
              </w:txbxContent>
            </v:textbox>
            <w10:wrap type="none"/>
            <w10:anchorlock/>
          </v:shape>
        </w:pict>
      </w: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spacing w:before="8"/>
        <w:rPr>
          <w:b/>
          <w:color w:val="auto"/>
          <w:sz w:val="25"/>
        </w:rPr>
      </w:pPr>
    </w:p>
    <w:p>
      <w:pPr>
        <w:pStyle w:val="8"/>
        <w:spacing w:before="66"/>
        <w:ind w:left="481"/>
        <w:rPr>
          <w:color w:val="auto"/>
        </w:rPr>
      </w:pPr>
      <w:r>
        <w:rPr>
          <w:color w:val="auto"/>
        </w:rPr>
        <w:t xml:space="preserve"> </w:t>
      </w:r>
    </w:p>
    <w:p>
      <w:pPr>
        <w:pStyle w:val="8"/>
        <w:spacing w:before="158"/>
        <w:ind w:left="481"/>
        <w:rPr>
          <w:color w:val="auto"/>
        </w:rPr>
      </w:pPr>
      <w:r>
        <w:rPr>
          <w:color w:val="auto"/>
        </w:rPr>
        <w:t xml:space="preserve"> </w:t>
      </w:r>
    </w:p>
    <w:p>
      <w:pPr>
        <w:pStyle w:val="8"/>
        <w:spacing w:before="158"/>
        <w:ind w:left="481"/>
        <w:rPr>
          <w:color w:val="auto"/>
        </w:rPr>
      </w:pPr>
      <w:r>
        <w:rPr>
          <w:color w:val="auto"/>
        </w:rPr>
        <w:t xml:space="preserve"> </w:t>
      </w:r>
    </w:p>
    <w:p>
      <w:pPr>
        <w:pStyle w:val="8"/>
        <w:spacing w:before="158"/>
        <w:ind w:left="481"/>
        <w:rPr>
          <w:color w:val="auto"/>
        </w:rPr>
      </w:pPr>
      <w:r>
        <w:rPr>
          <w:color w:val="auto"/>
        </w:rPr>
        <w:t xml:space="preserve"> </w:t>
      </w:r>
    </w:p>
    <w:p>
      <w:pPr>
        <w:spacing w:after="0"/>
        <w:rPr>
          <w:color w:val="auto"/>
        </w:rPr>
        <w:sectPr>
          <w:pgSz w:w="11910" w:h="16850"/>
          <w:pgMar w:top="1440" w:right="0" w:bottom="1160" w:left="1260" w:header="0" w:footer="891" w:gutter="0"/>
          <w:cols w:space="720" w:num="1"/>
        </w:sectPr>
      </w:pPr>
    </w:p>
    <w:p>
      <w:pPr>
        <w:bidi w:val="0"/>
        <w:rPr>
          <w:color w:val="auto"/>
          <w:lang w:val="en-US" w:eastAsia="en-US"/>
        </w:rPr>
      </w:pPr>
    </w:p>
    <w:p>
      <w:pPr>
        <w:bidi w:val="0"/>
        <w:rPr>
          <w:color w:val="auto"/>
          <w:lang w:val="en-US" w:eastAsia="en-US"/>
        </w:rPr>
      </w:pPr>
    </w:p>
    <w:p>
      <w:pPr>
        <w:bidi w:val="0"/>
        <w:rPr>
          <w:color w:val="auto"/>
          <w:lang w:val="en-US" w:eastAsia="en-US"/>
        </w:rPr>
      </w:pPr>
    </w:p>
    <w:p>
      <w:pPr>
        <w:tabs>
          <w:tab w:val="left" w:pos="2922"/>
        </w:tabs>
        <w:bidi w:val="0"/>
        <w:jc w:val="left"/>
        <w:rPr>
          <w:rFonts w:hint="eastAsia" w:eastAsia="宋体"/>
          <w:color w:val="auto"/>
          <w:lang w:val="en-US" w:eastAsia="zh-CN"/>
        </w:rPr>
        <w:sectPr>
          <w:type w:val="continuous"/>
          <w:pgSz w:w="11910" w:h="16850"/>
          <w:pgMar w:top="1600" w:right="0" w:bottom="280" w:left="1260" w:header="720" w:footer="720" w:gutter="0"/>
          <w:cols w:equalWidth="0" w:num="2">
            <w:col w:w="1890" w:space="1640"/>
            <w:col w:w="7120"/>
          </w:cols>
        </w:sectPr>
      </w:pPr>
      <w:r>
        <w:rPr>
          <w:rFonts w:hint="eastAsia"/>
          <w:color w:val="auto"/>
          <w:lang w:val="en-US" w:eastAsia="zh-CN"/>
        </w:rPr>
        <w:tab/>
      </w:r>
    </w:p>
    <w:p>
      <w:pPr>
        <w:pStyle w:val="2"/>
        <w:spacing w:before="21"/>
        <w:ind w:left="1848"/>
        <w:rPr>
          <w:color w:val="auto"/>
        </w:rPr>
      </w:pPr>
      <w:r>
        <w:rPr>
          <w:color w:val="auto"/>
        </w:rPr>
        <w:t>第三章 谈判供应商须知正文部分</w:t>
      </w:r>
      <w:r>
        <w:rPr>
          <w:color w:val="auto"/>
          <w:w w:val="99"/>
        </w:rPr>
        <w:t xml:space="preserve"> </w:t>
      </w:r>
    </w:p>
    <w:p>
      <w:pPr>
        <w:pStyle w:val="8"/>
        <w:spacing w:before="11"/>
        <w:rPr>
          <w:b/>
          <w:color w:val="auto"/>
          <w:sz w:val="15"/>
        </w:rPr>
      </w:pPr>
    </w:p>
    <w:p>
      <w:pPr>
        <w:spacing w:after="0"/>
        <w:rPr>
          <w:color w:val="auto"/>
          <w:sz w:val="15"/>
        </w:rPr>
      </w:pPr>
    </w:p>
    <w:p>
      <w:pPr>
        <w:tabs>
          <w:tab w:val="left" w:pos="4253"/>
        </w:tabs>
        <w:bidi w:val="0"/>
        <w:jc w:val="left"/>
        <w:rPr>
          <w:b/>
          <w:color w:val="auto"/>
        </w:rPr>
      </w:pPr>
      <w:r>
        <w:rPr>
          <w:rFonts w:hint="eastAsia"/>
          <w:color w:val="auto"/>
          <w:lang w:val="en-US" w:eastAsia="zh-CN"/>
        </w:rPr>
        <w:tab/>
      </w:r>
      <w:r>
        <w:rPr>
          <w:b/>
          <w:color w:val="auto"/>
          <w:sz w:val="31"/>
        </w:rPr>
        <w:t>一、说明</w:t>
      </w:r>
      <w:r>
        <w:rPr>
          <w:b/>
          <w:color w:val="auto"/>
          <w:w w:val="100"/>
          <w:sz w:val="31"/>
        </w:rPr>
        <w:t xml:space="preserve"> </w:t>
      </w:r>
    </w:p>
    <w:p>
      <w:pPr>
        <w:pStyle w:val="5"/>
        <w:spacing w:before="214"/>
        <w:rPr>
          <w:color w:val="auto"/>
        </w:rPr>
      </w:pPr>
      <w:r>
        <w:rPr>
          <w:color w:val="auto"/>
        </w:rPr>
        <w:t>1.适用范围</w:t>
      </w:r>
      <w:r>
        <w:rPr>
          <w:color w:val="auto"/>
          <w:w w:val="99"/>
        </w:rPr>
        <w:t xml:space="preserve"> </w:t>
      </w:r>
    </w:p>
    <w:p>
      <w:pPr>
        <w:pStyle w:val="8"/>
        <w:spacing w:before="98"/>
        <w:ind w:left="963"/>
        <w:rPr>
          <w:color w:val="auto"/>
        </w:rPr>
      </w:pPr>
      <w:r>
        <w:rPr>
          <w:color w:val="auto"/>
        </w:rPr>
        <w:t xml:space="preserve">1.1 本谈判文件仅适用于邀请中所叙述项目服务采购。 </w:t>
      </w:r>
    </w:p>
    <w:p>
      <w:pPr>
        <w:pStyle w:val="5"/>
        <w:spacing w:before="98"/>
        <w:rPr>
          <w:color w:val="auto"/>
        </w:rPr>
      </w:pPr>
      <w:r>
        <w:rPr>
          <w:color w:val="auto"/>
        </w:rPr>
        <w:t>2.定义</w:t>
      </w:r>
      <w:r>
        <w:rPr>
          <w:color w:val="auto"/>
          <w:w w:val="99"/>
        </w:rPr>
        <w:t xml:space="preserve"> </w:t>
      </w:r>
    </w:p>
    <w:p>
      <w:pPr>
        <w:pStyle w:val="12"/>
        <w:numPr>
          <w:ilvl w:val="1"/>
          <w:numId w:val="4"/>
        </w:numPr>
        <w:tabs>
          <w:tab w:val="left" w:pos="1324"/>
        </w:tabs>
        <w:spacing w:before="83" w:after="0" w:line="316" w:lineRule="auto"/>
        <w:ind w:left="482" w:right="1783" w:firstLine="481"/>
        <w:jc w:val="both"/>
        <w:rPr>
          <w:color w:val="auto"/>
          <w:sz w:val="24"/>
        </w:rPr>
      </w:pPr>
      <w:r>
        <w:rPr>
          <w:color w:val="auto"/>
          <w:spacing w:val="-5"/>
          <w:sz w:val="24"/>
        </w:rPr>
        <w:t>“采购人”系指采购单位。是采购活动当事人之一，负责项目的整体规</w:t>
      </w:r>
      <w:r>
        <w:rPr>
          <w:color w:val="auto"/>
          <w:spacing w:val="-6"/>
          <w:sz w:val="24"/>
        </w:rPr>
        <w:t xml:space="preserve">划、技术方案可行性设计论证与实施，作为合同采购方(用户)的主体承担质疑回复、履行合同、验收等义务。 </w:t>
      </w:r>
    </w:p>
    <w:p>
      <w:pPr>
        <w:pStyle w:val="12"/>
        <w:numPr>
          <w:ilvl w:val="1"/>
          <w:numId w:val="4"/>
        </w:numPr>
        <w:tabs>
          <w:tab w:val="left" w:pos="1324"/>
        </w:tabs>
        <w:spacing w:before="0" w:after="0" w:line="291" w:lineRule="exact"/>
        <w:ind w:left="482" w:right="0" w:firstLine="481"/>
        <w:jc w:val="left"/>
        <w:rPr>
          <w:color w:val="auto"/>
          <w:sz w:val="24"/>
        </w:rPr>
      </w:pPr>
      <w:r>
        <w:rPr>
          <w:color w:val="auto"/>
          <w:spacing w:val="-1"/>
          <w:sz w:val="24"/>
        </w:rPr>
        <w:t>“采购单位”系指组织本次采购活动的采购人或采购代理机构。</w:t>
      </w:r>
      <w:r>
        <w:rPr>
          <w:color w:val="auto"/>
          <w:sz w:val="24"/>
        </w:rPr>
        <w:t xml:space="preserve"> </w:t>
      </w:r>
    </w:p>
    <w:p>
      <w:pPr>
        <w:pStyle w:val="12"/>
        <w:numPr>
          <w:ilvl w:val="1"/>
          <w:numId w:val="4"/>
        </w:numPr>
        <w:tabs>
          <w:tab w:val="left" w:pos="1324"/>
        </w:tabs>
        <w:spacing w:before="98" w:after="0" w:line="309" w:lineRule="auto"/>
        <w:ind w:left="482" w:right="1770" w:firstLine="481"/>
        <w:jc w:val="both"/>
        <w:rPr>
          <w:color w:val="auto"/>
          <w:sz w:val="24"/>
        </w:rPr>
      </w:pPr>
      <w:r>
        <w:rPr>
          <w:color w:val="auto"/>
          <w:spacing w:val="-4"/>
          <w:sz w:val="24"/>
        </w:rPr>
        <w:t>“采购代理机构”系指</w:t>
      </w:r>
      <w:r>
        <w:rPr>
          <w:rFonts w:hint="eastAsia"/>
          <w:color w:val="auto"/>
          <w:spacing w:val="-7"/>
          <w:sz w:val="24"/>
          <w:u w:val="single"/>
          <w:lang w:eastAsia="zh-CN"/>
        </w:rPr>
        <w:t>河南省光大建设管理有限公司</w:t>
      </w:r>
      <w:r>
        <w:rPr>
          <w:color w:val="auto"/>
          <w:spacing w:val="-5"/>
          <w:sz w:val="24"/>
        </w:rPr>
        <w:t xml:space="preserve"> (简称代理机构)。代</w:t>
      </w:r>
      <w:r>
        <w:rPr>
          <w:color w:val="auto"/>
          <w:spacing w:val="-7"/>
          <w:sz w:val="24"/>
        </w:rPr>
        <w:t>理机构是整个采购活动的组织者，依法负责编制和发布招标文件，对招标文件拥有最终的解释权。代理机构不以任何身份出任评委会成员。</w:t>
      </w:r>
      <w:r>
        <w:rPr>
          <w:color w:val="auto"/>
          <w:sz w:val="24"/>
        </w:rPr>
        <w:t xml:space="preserve"> </w:t>
      </w:r>
    </w:p>
    <w:p>
      <w:pPr>
        <w:pStyle w:val="12"/>
        <w:numPr>
          <w:ilvl w:val="1"/>
          <w:numId w:val="4"/>
        </w:numPr>
        <w:tabs>
          <w:tab w:val="left" w:pos="1324"/>
        </w:tabs>
        <w:spacing w:before="11" w:after="0" w:line="316" w:lineRule="auto"/>
        <w:ind w:left="482" w:right="1794" w:firstLine="481"/>
        <w:jc w:val="left"/>
        <w:rPr>
          <w:color w:val="auto"/>
          <w:sz w:val="24"/>
        </w:rPr>
      </w:pPr>
      <w:r>
        <w:rPr>
          <w:color w:val="auto"/>
          <w:spacing w:val="-3"/>
          <w:sz w:val="24"/>
        </w:rPr>
        <w:t xml:space="preserve">“谈判响应供应商”系指购买了本谈判文件，且已经提交或准备提交响应文件的制造商或供货商。 </w:t>
      </w:r>
    </w:p>
    <w:p>
      <w:pPr>
        <w:pStyle w:val="12"/>
        <w:numPr>
          <w:ilvl w:val="1"/>
          <w:numId w:val="4"/>
        </w:numPr>
        <w:tabs>
          <w:tab w:val="left" w:pos="1324"/>
        </w:tabs>
        <w:spacing w:before="0" w:after="0" w:line="291" w:lineRule="exact"/>
        <w:ind w:left="482" w:right="0" w:firstLine="481"/>
        <w:jc w:val="left"/>
        <w:rPr>
          <w:color w:val="auto"/>
          <w:sz w:val="24"/>
        </w:rPr>
      </w:pPr>
      <w:r>
        <w:rPr>
          <w:color w:val="auto"/>
          <w:spacing w:val="-1"/>
          <w:sz w:val="24"/>
        </w:rPr>
        <w:t>本招标文件仅适用于本次采购活动。</w:t>
      </w:r>
      <w:r>
        <w:rPr>
          <w:color w:val="auto"/>
          <w:sz w:val="24"/>
        </w:rPr>
        <w:t xml:space="preserve"> </w:t>
      </w:r>
    </w:p>
    <w:p>
      <w:pPr>
        <w:pStyle w:val="5"/>
        <w:spacing w:before="98"/>
        <w:rPr>
          <w:color w:val="auto"/>
        </w:rPr>
      </w:pPr>
      <w:r>
        <w:rPr>
          <w:color w:val="auto"/>
        </w:rPr>
        <w:t>3.合格的谈判响应供应商</w:t>
      </w:r>
      <w:r>
        <w:rPr>
          <w:color w:val="auto"/>
          <w:w w:val="99"/>
        </w:rPr>
        <w:t xml:space="preserve"> </w:t>
      </w:r>
    </w:p>
    <w:p>
      <w:pPr>
        <w:pStyle w:val="12"/>
        <w:numPr>
          <w:ilvl w:val="1"/>
          <w:numId w:val="5"/>
        </w:numPr>
        <w:tabs>
          <w:tab w:val="left" w:pos="1384"/>
        </w:tabs>
        <w:spacing w:before="98" w:after="0" w:line="304" w:lineRule="auto"/>
        <w:ind w:left="482" w:right="1794" w:firstLine="481"/>
        <w:jc w:val="left"/>
        <w:rPr>
          <w:rFonts w:ascii="Calibri" w:eastAsia="Calibri"/>
          <w:color w:val="auto"/>
          <w:sz w:val="24"/>
        </w:rPr>
      </w:pPr>
      <w:r>
        <w:rPr>
          <w:color w:val="auto"/>
          <w:sz w:val="24"/>
        </w:rPr>
        <w:t>凡有能力提供本谈判文件所述服务的，符合本谈判文件规定资格要求的供应商均可能成为合格的谈判响应供应商。</w:t>
      </w:r>
    </w:p>
    <w:p>
      <w:pPr>
        <w:pStyle w:val="8"/>
        <w:spacing w:before="29" w:line="316" w:lineRule="auto"/>
        <w:ind w:left="481" w:right="1766" w:firstLine="466"/>
        <w:rPr>
          <w:color w:val="auto"/>
        </w:rPr>
      </w:pPr>
      <w:r>
        <w:rPr>
          <w:color w:val="auto"/>
          <w:spacing w:val="-16"/>
        </w:rPr>
        <w:t>符合《中华人民共和国政府采购法》第二十二条规定的供应商条件，提供《中</w:t>
      </w:r>
      <w:r>
        <w:rPr>
          <w:color w:val="auto"/>
          <w:spacing w:val="-15"/>
        </w:rPr>
        <w:t>华人民共和国政府采购法实施条例》第十七条规定的证明材料。</w:t>
      </w:r>
    </w:p>
    <w:p>
      <w:pPr>
        <w:pStyle w:val="8"/>
        <w:spacing w:line="292" w:lineRule="exact"/>
        <w:ind w:left="948" w:right="968" w:rightChars="440"/>
        <w:rPr>
          <w:color w:val="auto"/>
        </w:rPr>
      </w:pPr>
      <w:r>
        <w:rPr>
          <w:color w:val="auto"/>
        </w:rPr>
        <w:t>a.提供事业单位法人证书或营业执照复印件、组织机构代码证复印件、税务</w:t>
      </w:r>
    </w:p>
    <w:p>
      <w:pPr>
        <w:pStyle w:val="8"/>
        <w:spacing w:before="98" w:line="316" w:lineRule="auto"/>
        <w:ind w:left="481" w:right="1729"/>
        <w:rPr>
          <w:color w:val="auto"/>
        </w:rPr>
      </w:pPr>
      <w:r>
        <w:rPr>
          <w:color w:val="auto"/>
        </w:rPr>
        <w:t>登记证复印件（或三证合一或五证合一的营业执照复印件或扫描件，加盖单位公章）；</w:t>
      </w:r>
    </w:p>
    <w:p>
      <w:pPr>
        <w:pStyle w:val="8"/>
        <w:spacing w:before="97"/>
        <w:ind w:left="481" w:right="1188" w:rightChars="540" w:firstLine="240" w:firstLineChars="100"/>
        <w:rPr>
          <w:color w:val="auto"/>
        </w:rPr>
      </w:pPr>
      <w:r>
        <w:rPr>
          <w:color w:val="auto"/>
        </w:rPr>
        <w:t>b.具有良好的商业信誉和健全的财务会计制度：</w:t>
      </w:r>
      <w:r>
        <w:rPr>
          <w:rFonts w:hint="eastAsia"/>
          <w:color w:val="auto"/>
          <w:spacing w:val="-9"/>
          <w:sz w:val="24"/>
          <w:lang w:eastAsia="zh-CN"/>
        </w:rPr>
        <w:t>提供</w:t>
      </w:r>
      <w:r>
        <w:rPr>
          <w:color w:val="auto"/>
          <w:spacing w:val="-9"/>
          <w:sz w:val="24"/>
          <w:lang w:eastAsia="zh-CN"/>
        </w:rPr>
        <w:t xml:space="preserve"> 2019-2020 年度（任意一年）经审计的完整有效的财务报告复印件</w:t>
      </w:r>
      <w:r>
        <w:rPr>
          <w:rFonts w:hint="eastAsia"/>
          <w:color w:val="auto"/>
          <w:spacing w:val="-9"/>
          <w:sz w:val="24"/>
          <w:lang w:eastAsia="zh-CN"/>
        </w:rPr>
        <w:t>（加盖公章）</w:t>
      </w:r>
      <w:r>
        <w:rPr>
          <w:color w:val="auto"/>
          <w:spacing w:val="-9"/>
          <w:sz w:val="24"/>
          <w:lang w:eastAsia="zh-CN"/>
        </w:rPr>
        <w:t>，或 2019-2020 年度（任意一年）投标人内部的财务报表复印件</w:t>
      </w:r>
      <w:r>
        <w:rPr>
          <w:rFonts w:hint="eastAsia"/>
          <w:color w:val="auto"/>
          <w:spacing w:val="-9"/>
          <w:sz w:val="24"/>
          <w:lang w:eastAsia="zh-CN"/>
        </w:rPr>
        <w:t>（加盖公章）</w:t>
      </w:r>
      <w:r>
        <w:rPr>
          <w:color w:val="auto"/>
        </w:rPr>
        <w:t xml:space="preserve">，成立不满一年的企业提供银行资信证明； </w:t>
      </w:r>
    </w:p>
    <w:p>
      <w:pPr>
        <w:pStyle w:val="8"/>
        <w:spacing w:before="98"/>
        <w:ind w:left="948"/>
        <w:rPr>
          <w:color w:val="auto"/>
        </w:rPr>
      </w:pPr>
      <w:r>
        <w:rPr>
          <w:color w:val="auto"/>
        </w:rPr>
        <w:t xml:space="preserve">c.具有履行合同所必须的设备和专业技术能力：提供书面承诺； </w:t>
      </w:r>
    </w:p>
    <w:p>
      <w:pPr>
        <w:pStyle w:val="8"/>
        <w:spacing w:before="83" w:line="316" w:lineRule="auto"/>
        <w:ind w:left="481" w:right="1750" w:firstLine="466"/>
        <w:rPr>
          <w:color w:val="auto"/>
        </w:rPr>
      </w:pPr>
      <w:r>
        <w:rPr>
          <w:color w:val="auto"/>
        </w:rPr>
        <w:t>d.具有依法缴纳税收和社会保障资金的良好记录：提供依法缴纳税收和社会保障资金的相关凭证（提供 2021 年度</w:t>
      </w:r>
      <w:r>
        <w:rPr>
          <w:rFonts w:hint="eastAsia"/>
          <w:color w:val="auto"/>
          <w:lang w:eastAsia="zh-CN"/>
        </w:rPr>
        <w:t>任意</w:t>
      </w:r>
      <w:r>
        <w:rPr>
          <w:color w:val="auto"/>
        </w:rPr>
        <w:t xml:space="preserve">三个月复印件加盖公章）； </w:t>
      </w:r>
    </w:p>
    <w:p>
      <w:pPr>
        <w:pStyle w:val="8"/>
        <w:spacing w:line="304" w:lineRule="auto"/>
        <w:ind w:left="481" w:right="1770" w:firstLine="466"/>
        <w:rPr>
          <w:color w:val="auto"/>
        </w:rPr>
      </w:pPr>
      <w:r>
        <w:rPr>
          <w:color w:val="auto"/>
        </w:rPr>
        <w:t>e.</w:t>
      </w:r>
      <w:r>
        <w:rPr>
          <w:color w:val="auto"/>
          <w:spacing w:val="-20"/>
        </w:rPr>
        <w:t xml:space="preserve"> 近 </w:t>
      </w:r>
      <w:r>
        <w:rPr>
          <w:color w:val="auto"/>
        </w:rPr>
        <w:t>3</w:t>
      </w:r>
      <w:r>
        <w:rPr>
          <w:color w:val="auto"/>
          <w:spacing w:val="-16"/>
        </w:rPr>
        <w:t xml:space="preserve"> 年内在经营活动中没有重大违法记录：提供参加本次采购活动前 </w:t>
      </w:r>
      <w:r>
        <w:rPr>
          <w:color w:val="auto"/>
        </w:rPr>
        <w:t>3</w:t>
      </w:r>
      <w:r>
        <w:rPr>
          <w:color w:val="auto"/>
          <w:spacing w:val="-30"/>
        </w:rPr>
        <w:t xml:space="preserve"> 年</w:t>
      </w:r>
      <w:r>
        <w:rPr>
          <w:color w:val="auto"/>
          <w:spacing w:val="-24"/>
        </w:rPr>
        <w:t>内在经营活动中没有重大违法记录的书面声明；</w:t>
      </w:r>
      <w:r>
        <w:rPr>
          <w:color w:val="auto"/>
        </w:rPr>
        <w:t xml:space="preserve"> </w:t>
      </w:r>
    </w:p>
    <w:p>
      <w:pPr>
        <w:pStyle w:val="8"/>
        <w:spacing w:before="14"/>
        <w:ind w:left="948"/>
        <w:rPr>
          <w:color w:val="auto"/>
        </w:rPr>
      </w:pPr>
      <w:r>
        <w:rPr>
          <w:color w:val="auto"/>
        </w:rPr>
        <w:t>f.法律、行政法规规定的其他条件：供应商须提供：在“信用中国”网站</w:t>
      </w:r>
    </w:p>
    <w:p>
      <w:pPr>
        <w:pStyle w:val="8"/>
        <w:spacing w:before="97" w:line="309" w:lineRule="auto"/>
        <w:ind w:left="481" w:right="1733"/>
        <w:rPr>
          <w:color w:val="auto"/>
        </w:rPr>
      </w:pPr>
      <w:r>
        <w:rPr>
          <w:color w:val="auto"/>
        </w:rPr>
        <w:fldChar w:fldCharType="begin"/>
      </w:r>
      <w:r>
        <w:rPr>
          <w:color w:val="auto"/>
        </w:rPr>
        <w:instrText xml:space="preserve"> HYPERLINK "http://www.creditchina.gov.cn/" \h </w:instrText>
      </w:r>
      <w:r>
        <w:rPr>
          <w:color w:val="auto"/>
        </w:rPr>
        <w:fldChar w:fldCharType="separate"/>
      </w:r>
      <w:r>
        <w:rPr>
          <w:color w:val="auto"/>
        </w:rPr>
        <w:t>（www.creditchina.gov.cn</w:t>
      </w:r>
      <w:r>
        <w:rPr>
          <w:color w:val="auto"/>
        </w:rPr>
        <w:fldChar w:fldCharType="end"/>
      </w:r>
      <w:r>
        <w:rPr>
          <w:color w:val="auto"/>
        </w:rPr>
        <w:t>）、中国政府采购网（</w:t>
      </w:r>
      <w:r>
        <w:rPr>
          <w:color w:val="auto"/>
        </w:rPr>
        <w:fldChar w:fldCharType="begin"/>
      </w:r>
      <w:r>
        <w:rPr>
          <w:color w:val="auto"/>
        </w:rPr>
        <w:instrText xml:space="preserve"> HYPERLINK "http://www.ccgp.gov.cn/" \h </w:instrText>
      </w:r>
      <w:r>
        <w:rPr>
          <w:color w:val="auto"/>
        </w:rPr>
        <w:fldChar w:fldCharType="separate"/>
      </w:r>
      <w:r>
        <w:rPr>
          <w:color w:val="auto"/>
        </w:rPr>
        <w:t>www.ccgp.gov.cn</w:t>
      </w:r>
      <w:r>
        <w:rPr>
          <w:color w:val="auto"/>
        </w:rPr>
        <w:fldChar w:fldCharType="end"/>
      </w:r>
      <w:r>
        <w:rPr>
          <w:color w:val="auto"/>
        </w:rPr>
        <w:t>）等渠道查询中未被列入失信被执行人名单、重大税收违法案件当事人名单、政府采购严重违法失信行为记录名单中的截图。如被列入失信被执行人、重大税收违法案件当</w:t>
      </w:r>
    </w:p>
    <w:p>
      <w:pPr>
        <w:spacing w:after="0" w:line="309" w:lineRule="auto"/>
        <w:rPr>
          <w:color w:val="auto"/>
        </w:rPr>
      </w:pPr>
    </w:p>
    <w:p>
      <w:pPr>
        <w:pStyle w:val="8"/>
        <w:spacing w:before="46" w:line="316" w:lineRule="auto"/>
        <w:ind w:left="481" w:right="1736"/>
        <w:rPr>
          <w:color w:val="auto"/>
        </w:rPr>
      </w:pPr>
      <w:r>
        <w:rPr>
          <w:color w:val="auto"/>
        </w:rPr>
        <w:t xml:space="preserve">事人名单、政府采购严重违法失信行为记录名单中的供应商取消其投标资格，并承担由此造成的一切法律责任及后果。 </w:t>
      </w:r>
    </w:p>
    <w:p>
      <w:pPr>
        <w:pStyle w:val="12"/>
        <w:numPr>
          <w:ilvl w:val="1"/>
          <w:numId w:val="5"/>
        </w:numPr>
        <w:tabs>
          <w:tab w:val="left" w:pos="1324"/>
        </w:tabs>
        <w:spacing w:before="0" w:after="0" w:line="276" w:lineRule="exact"/>
        <w:ind w:left="1324" w:right="0" w:hanging="361"/>
        <w:jc w:val="left"/>
        <w:rPr>
          <w:color w:val="auto"/>
          <w:sz w:val="22"/>
        </w:rPr>
      </w:pPr>
      <w:r>
        <w:rPr>
          <w:color w:val="auto"/>
          <w:spacing w:val="-2"/>
          <w:sz w:val="24"/>
        </w:rPr>
        <w:t>谈判响应供应商应遵守有关法律、法规和规章的规定，同时其响应货物</w:t>
      </w:r>
    </w:p>
    <w:p>
      <w:pPr>
        <w:pStyle w:val="8"/>
        <w:spacing w:before="98"/>
        <w:ind w:left="481"/>
        <w:rPr>
          <w:color w:val="auto"/>
        </w:rPr>
      </w:pPr>
      <w:r>
        <w:rPr>
          <w:color w:val="auto"/>
        </w:rPr>
        <w:t xml:space="preserve">或服务也应符合有关法律、法规和规章的规定。 </w:t>
      </w:r>
    </w:p>
    <w:p>
      <w:pPr>
        <w:pStyle w:val="12"/>
        <w:numPr>
          <w:ilvl w:val="1"/>
          <w:numId w:val="5"/>
        </w:numPr>
        <w:tabs>
          <w:tab w:val="left" w:pos="1414"/>
        </w:tabs>
        <w:spacing w:before="98" w:after="0" w:line="309" w:lineRule="auto"/>
        <w:ind w:left="482" w:right="1778" w:firstLine="481"/>
        <w:jc w:val="both"/>
        <w:rPr>
          <w:color w:val="auto"/>
          <w:sz w:val="24"/>
        </w:rPr>
      </w:pPr>
      <w:r>
        <w:rPr>
          <w:color w:val="auto"/>
          <w:sz w:val="24"/>
        </w:rPr>
        <w:t>经中国政府采购网失信信息查询，有失信信息记录且在禁止参加政府采</w:t>
      </w:r>
      <w:r>
        <w:rPr>
          <w:color w:val="auto"/>
          <w:spacing w:val="-2"/>
          <w:sz w:val="24"/>
        </w:rPr>
        <w:t>购活动处罚期间内的供应商不能成为合格响应供应商；经检察机关行贿犯罪档案查询系统查询，3</w:t>
      </w:r>
      <w:r>
        <w:rPr>
          <w:color w:val="auto"/>
          <w:spacing w:val="-8"/>
          <w:sz w:val="24"/>
        </w:rPr>
        <w:t xml:space="preserve"> 年内有行贿犯罪记录的供应商将取消成交候选资格。</w:t>
      </w:r>
      <w:r>
        <w:rPr>
          <w:color w:val="auto"/>
          <w:sz w:val="24"/>
        </w:rPr>
        <w:t xml:space="preserve"> </w:t>
      </w:r>
    </w:p>
    <w:p>
      <w:pPr>
        <w:pStyle w:val="12"/>
        <w:numPr>
          <w:ilvl w:val="1"/>
          <w:numId w:val="5"/>
        </w:numPr>
        <w:tabs>
          <w:tab w:val="left" w:pos="1414"/>
        </w:tabs>
        <w:spacing w:before="11" w:after="0" w:line="304" w:lineRule="auto"/>
        <w:ind w:left="482" w:right="1778" w:firstLine="481"/>
        <w:jc w:val="left"/>
        <w:rPr>
          <w:color w:val="auto"/>
          <w:sz w:val="24"/>
        </w:rPr>
      </w:pPr>
      <w:r>
        <w:rPr>
          <w:color w:val="auto"/>
          <w:sz w:val="24"/>
        </w:rPr>
        <w:t>谈判响应供应商不得与本次谈判项下设计、编制技术规格和其他文件的</w:t>
      </w:r>
      <w:r>
        <w:rPr>
          <w:color w:val="auto"/>
          <w:spacing w:val="-1"/>
          <w:sz w:val="24"/>
        </w:rPr>
        <w:t>公司或提供咨询服务的公司包括其附属机构有任何关联。</w:t>
      </w:r>
      <w:r>
        <w:rPr>
          <w:color w:val="auto"/>
          <w:sz w:val="24"/>
        </w:rPr>
        <w:t xml:space="preserve">  </w:t>
      </w:r>
    </w:p>
    <w:p>
      <w:pPr>
        <w:pStyle w:val="12"/>
        <w:numPr>
          <w:ilvl w:val="1"/>
          <w:numId w:val="5"/>
        </w:numPr>
        <w:tabs>
          <w:tab w:val="left" w:pos="1414"/>
        </w:tabs>
        <w:spacing w:before="15" w:after="0" w:line="316" w:lineRule="auto"/>
        <w:ind w:left="482" w:right="1778" w:firstLine="481"/>
        <w:jc w:val="left"/>
        <w:rPr>
          <w:color w:val="auto"/>
          <w:sz w:val="24"/>
        </w:rPr>
      </w:pPr>
      <w:r>
        <w:rPr>
          <w:color w:val="auto"/>
          <w:sz w:val="24"/>
        </w:rPr>
        <w:t>若接受联合体谈判，则两个或者两个以上谈判响应供应商可以组成一个</w:t>
      </w:r>
      <w:r>
        <w:rPr>
          <w:color w:val="auto"/>
          <w:spacing w:val="-1"/>
          <w:sz w:val="24"/>
        </w:rPr>
        <w:t>响应联合体，以一个谈判响应供应商的身份响应。</w:t>
      </w:r>
      <w:r>
        <w:rPr>
          <w:color w:val="auto"/>
          <w:sz w:val="24"/>
        </w:rPr>
        <w:t xml:space="preserve"> </w:t>
      </w:r>
    </w:p>
    <w:p>
      <w:pPr>
        <w:pStyle w:val="8"/>
        <w:spacing w:line="292" w:lineRule="exact"/>
        <w:ind w:left="963"/>
        <w:rPr>
          <w:color w:val="auto"/>
        </w:rPr>
      </w:pPr>
      <w:r>
        <w:rPr>
          <w:color w:val="auto"/>
        </w:rPr>
        <w:t>(1)以联合体形式参加谈判的，联合体各方均应当符合合格的谈判响应供应</w:t>
      </w:r>
    </w:p>
    <w:p>
      <w:pPr>
        <w:pStyle w:val="8"/>
        <w:spacing w:before="97" w:line="309" w:lineRule="auto"/>
        <w:ind w:left="481" w:right="1748"/>
        <w:jc w:val="both"/>
        <w:rPr>
          <w:color w:val="auto"/>
        </w:rPr>
      </w:pPr>
      <w:r>
        <w:rPr>
          <w:color w:val="auto"/>
        </w:rPr>
        <w:t xml:space="preserve">商相关规定。采购人根据采购项目的特殊要求规定谈判响应供应商特定条件的， 联合体各方中至少应当有一方符合采购人规定的全部特定条件，如联合体各方中没有一方符合全部特定条件的，该联合体响应无效。 </w:t>
      </w:r>
    </w:p>
    <w:p>
      <w:pPr>
        <w:pStyle w:val="8"/>
        <w:spacing w:before="11" w:line="312" w:lineRule="auto"/>
        <w:ind w:left="481" w:right="1778" w:firstLine="481"/>
        <w:jc w:val="both"/>
        <w:rPr>
          <w:color w:val="auto"/>
        </w:rPr>
      </w:pPr>
      <w:r>
        <w:rPr>
          <w:color w:val="auto"/>
        </w:rPr>
        <w:t>(2)联合体各方之间应当签订共同响应协议，明确约定联合体各方承担的工</w:t>
      </w:r>
      <w:r>
        <w:rPr>
          <w:color w:val="auto"/>
          <w:spacing w:val="-3"/>
        </w:rPr>
        <w:t>作和相应的责任，并将共同响应协议连同响应文件一并提交采购代理机构。联合</w:t>
      </w:r>
      <w:r>
        <w:rPr>
          <w:color w:val="auto"/>
          <w:spacing w:val="-5"/>
        </w:rPr>
        <w:t>体各方签订共同谈判协议后，不得再以自己名义单独在同一项目中响应，也不得组成新的联合体参加同一项目响应。</w:t>
      </w:r>
      <w:r>
        <w:rPr>
          <w:color w:val="auto"/>
        </w:rPr>
        <w:t xml:space="preserve"> </w:t>
      </w:r>
    </w:p>
    <w:p>
      <w:pPr>
        <w:pStyle w:val="8"/>
        <w:spacing w:before="7" w:line="304" w:lineRule="auto"/>
        <w:ind w:left="481" w:right="1798" w:firstLine="481"/>
        <w:rPr>
          <w:color w:val="auto"/>
        </w:rPr>
      </w:pPr>
      <w:r>
        <w:rPr>
          <w:color w:val="auto"/>
        </w:rPr>
        <w:t xml:space="preserve">（3）项目如涉及资质要求，该部分内容应由联合体中具有该资质要求的供应商承担。联合体协议及签订的采购合同应包含此项内容。 </w:t>
      </w:r>
    </w:p>
    <w:p>
      <w:pPr>
        <w:pStyle w:val="8"/>
        <w:spacing w:before="15" w:line="316" w:lineRule="auto"/>
        <w:ind w:left="481" w:right="1733" w:firstLine="601"/>
        <w:rPr>
          <w:color w:val="auto"/>
        </w:rPr>
      </w:pPr>
      <w:r>
        <w:rPr>
          <w:color w:val="auto"/>
        </w:rPr>
        <w:t xml:space="preserve">(4)联合体中有同类资质的供应商按照联合体分工承担相同工作的，应当按照资质等级较低的供应商确定资质等级。 </w:t>
      </w:r>
    </w:p>
    <w:p>
      <w:pPr>
        <w:pStyle w:val="12"/>
        <w:numPr>
          <w:ilvl w:val="1"/>
          <w:numId w:val="5"/>
        </w:numPr>
        <w:tabs>
          <w:tab w:val="left" w:pos="1414"/>
        </w:tabs>
        <w:spacing w:before="0" w:after="0" w:line="291" w:lineRule="exact"/>
        <w:ind w:left="1413" w:right="0" w:hanging="450"/>
        <w:jc w:val="left"/>
        <w:rPr>
          <w:color w:val="auto"/>
          <w:sz w:val="24"/>
        </w:rPr>
      </w:pPr>
      <w:r>
        <w:rPr>
          <w:color w:val="auto"/>
          <w:sz w:val="24"/>
        </w:rPr>
        <w:t>谈判代理人在同一个项目中只能接受一个谈判响应供应商的委托参加谈</w:t>
      </w:r>
    </w:p>
    <w:p>
      <w:pPr>
        <w:pStyle w:val="8"/>
        <w:spacing w:before="99"/>
        <w:ind w:left="481"/>
        <w:rPr>
          <w:color w:val="auto"/>
        </w:rPr>
      </w:pPr>
      <w:r>
        <w:rPr>
          <w:color w:val="auto"/>
        </w:rPr>
        <w:t xml:space="preserve">判响应。 </w:t>
      </w:r>
    </w:p>
    <w:p>
      <w:pPr>
        <w:pStyle w:val="12"/>
        <w:numPr>
          <w:ilvl w:val="1"/>
          <w:numId w:val="5"/>
        </w:numPr>
        <w:tabs>
          <w:tab w:val="left" w:pos="1414"/>
        </w:tabs>
        <w:spacing w:before="98" w:after="0" w:line="304" w:lineRule="auto"/>
        <w:ind w:left="482" w:right="1778" w:firstLine="481"/>
        <w:jc w:val="left"/>
        <w:rPr>
          <w:color w:val="auto"/>
          <w:sz w:val="24"/>
        </w:rPr>
      </w:pPr>
      <w:r>
        <w:rPr>
          <w:color w:val="auto"/>
          <w:sz w:val="24"/>
        </w:rPr>
        <w:t xml:space="preserve">谈判响应供应商存在下列情形之一的，将被认定为串通响应行为并作无效响应处理： </w:t>
      </w:r>
    </w:p>
    <w:p>
      <w:pPr>
        <w:pStyle w:val="8"/>
        <w:spacing w:before="14"/>
        <w:ind w:left="963"/>
        <w:rPr>
          <w:color w:val="auto"/>
        </w:rPr>
      </w:pPr>
      <w:r>
        <w:rPr>
          <w:color w:val="auto"/>
        </w:rPr>
        <w:t xml:space="preserve">（1）谈判响应供应商之间协商谈判报价等谈判文件的实质性内容； </w:t>
      </w:r>
    </w:p>
    <w:p>
      <w:pPr>
        <w:pStyle w:val="8"/>
        <w:spacing w:before="98"/>
        <w:ind w:left="963"/>
        <w:rPr>
          <w:color w:val="auto"/>
        </w:rPr>
      </w:pPr>
      <w:r>
        <w:rPr>
          <w:color w:val="auto"/>
        </w:rPr>
        <w:t xml:space="preserve">（2）谈判响应供应商之间约定成交供应商； </w:t>
      </w:r>
    </w:p>
    <w:p>
      <w:pPr>
        <w:pStyle w:val="8"/>
        <w:spacing w:before="83"/>
        <w:ind w:left="963"/>
        <w:rPr>
          <w:color w:val="auto"/>
        </w:rPr>
      </w:pPr>
      <w:r>
        <w:rPr>
          <w:color w:val="auto"/>
        </w:rPr>
        <w:t xml:space="preserve">（3）谈判响应供应商之间约定部分谈判响应供应商放弃谈判响应或者成交； </w:t>
      </w:r>
    </w:p>
    <w:p>
      <w:pPr>
        <w:pStyle w:val="8"/>
        <w:spacing w:before="97" w:line="316" w:lineRule="auto"/>
        <w:ind w:left="481" w:right="1798" w:firstLine="481"/>
        <w:rPr>
          <w:color w:val="auto"/>
        </w:rPr>
      </w:pPr>
      <w:r>
        <w:rPr>
          <w:color w:val="auto"/>
        </w:rPr>
        <w:t xml:space="preserve">（4）属于同一集团、协会、商会等组织成员的谈判响应供应商按照该组织要求协同谈判响应； </w:t>
      </w:r>
    </w:p>
    <w:p>
      <w:pPr>
        <w:pStyle w:val="8"/>
        <w:spacing w:line="292" w:lineRule="exact"/>
        <w:ind w:left="963"/>
        <w:rPr>
          <w:color w:val="auto"/>
        </w:rPr>
      </w:pPr>
      <w:r>
        <w:rPr>
          <w:color w:val="auto"/>
        </w:rPr>
        <w:t>（5）谈判响应供应商之间为谋取成交或者排斥特定谈判响应供应商而采取</w:t>
      </w:r>
    </w:p>
    <w:p>
      <w:pPr>
        <w:pStyle w:val="8"/>
        <w:spacing w:before="98"/>
        <w:ind w:left="481"/>
        <w:jc w:val="both"/>
        <w:rPr>
          <w:color w:val="auto"/>
        </w:rPr>
      </w:pPr>
      <w:r>
        <w:rPr>
          <w:color w:val="auto"/>
        </w:rPr>
        <w:t xml:space="preserve">的其他联合行动； </w:t>
      </w:r>
    </w:p>
    <w:p>
      <w:pPr>
        <w:pStyle w:val="8"/>
        <w:spacing w:before="98"/>
        <w:ind w:left="481" w:firstLine="480" w:firstLineChars="200"/>
        <w:jc w:val="both"/>
        <w:rPr>
          <w:color w:val="auto"/>
        </w:rPr>
      </w:pPr>
      <w:r>
        <w:rPr>
          <w:color w:val="auto"/>
        </w:rPr>
        <w:t xml:space="preserve">（6）不同谈判响应供应商的响应文件由同一单位或者个人编制； </w:t>
      </w:r>
    </w:p>
    <w:p>
      <w:pPr>
        <w:pStyle w:val="8"/>
        <w:spacing w:before="98"/>
        <w:ind w:left="963"/>
        <w:rPr>
          <w:color w:val="auto"/>
        </w:rPr>
      </w:pPr>
      <w:r>
        <w:rPr>
          <w:color w:val="auto"/>
        </w:rPr>
        <w:t>（7）</w:t>
      </w:r>
      <w:r>
        <w:rPr>
          <w:color w:val="auto"/>
          <w:spacing w:val="-1"/>
        </w:rPr>
        <w:t>不同谈判响应供应商委托同一单位或者个人办理谈判响应事宜；</w:t>
      </w:r>
      <w:r>
        <w:rPr>
          <w:color w:val="auto"/>
        </w:rPr>
        <w:t xml:space="preserve"> </w:t>
      </w:r>
    </w:p>
    <w:p>
      <w:pPr>
        <w:pStyle w:val="8"/>
        <w:spacing w:before="83"/>
        <w:ind w:left="963"/>
        <w:rPr>
          <w:color w:val="auto"/>
        </w:rPr>
      </w:pPr>
      <w:r>
        <w:rPr>
          <w:color w:val="auto"/>
        </w:rPr>
        <w:t>（8）</w:t>
      </w:r>
      <w:r>
        <w:rPr>
          <w:color w:val="auto"/>
          <w:spacing w:val="-1"/>
        </w:rPr>
        <w:t>不同谈判响应供应商的响应文件载明的项目管理成员为同一人；</w:t>
      </w:r>
      <w:r>
        <w:rPr>
          <w:color w:val="auto"/>
        </w:rPr>
        <w:t xml:space="preserve"> </w:t>
      </w:r>
    </w:p>
    <w:p>
      <w:pPr>
        <w:pStyle w:val="8"/>
        <w:spacing w:before="98"/>
        <w:ind w:left="963"/>
        <w:rPr>
          <w:color w:val="auto"/>
        </w:rPr>
      </w:pPr>
      <w:r>
        <w:rPr>
          <w:color w:val="auto"/>
        </w:rPr>
        <w:t xml:space="preserve">（9）不同谈判响应供应商的响应文件异常一致或者报价呈规律性差异； </w:t>
      </w:r>
    </w:p>
    <w:p>
      <w:pPr>
        <w:pStyle w:val="8"/>
        <w:spacing w:before="98"/>
        <w:ind w:left="963"/>
        <w:rPr>
          <w:color w:val="auto"/>
        </w:rPr>
      </w:pPr>
      <w:r>
        <w:rPr>
          <w:color w:val="auto"/>
        </w:rPr>
        <w:t xml:space="preserve">（10）不同谈判响应供应商的响应文件相互混装； </w:t>
      </w:r>
    </w:p>
    <w:p>
      <w:pPr>
        <w:pStyle w:val="8"/>
        <w:spacing w:before="83"/>
        <w:ind w:left="963"/>
        <w:rPr>
          <w:color w:val="auto"/>
        </w:rPr>
      </w:pPr>
      <w:r>
        <w:rPr>
          <w:color w:val="auto"/>
        </w:rPr>
        <w:t xml:space="preserve">（11）不同谈判响应供应商的谈判保证金从同一单位或者个人的账户转出。 </w:t>
      </w:r>
    </w:p>
    <w:p>
      <w:pPr>
        <w:pStyle w:val="8"/>
        <w:spacing w:before="97" w:line="316" w:lineRule="auto"/>
        <w:ind w:left="481" w:right="1742" w:firstLine="481"/>
        <w:rPr>
          <w:color w:val="auto"/>
        </w:rPr>
      </w:pPr>
      <w:r>
        <w:rPr>
          <w:color w:val="auto"/>
        </w:rPr>
        <w:t xml:space="preserve">（12）不同谈判响应供应商的响应文件错、漏之处一致或雷同，且不能合理解释的； </w:t>
      </w:r>
    </w:p>
    <w:p>
      <w:pPr>
        <w:pStyle w:val="8"/>
        <w:spacing w:line="292" w:lineRule="exact"/>
        <w:ind w:left="963"/>
        <w:rPr>
          <w:color w:val="auto"/>
        </w:rPr>
      </w:pPr>
      <w:r>
        <w:rPr>
          <w:color w:val="auto"/>
        </w:rPr>
        <w:t>（13）不同的谈判响应供应商的法定代表人、委托代理人等由同一个单位缴</w:t>
      </w:r>
    </w:p>
    <w:p>
      <w:pPr>
        <w:pStyle w:val="8"/>
        <w:spacing w:before="98"/>
        <w:ind w:left="481"/>
        <w:rPr>
          <w:color w:val="auto"/>
        </w:rPr>
      </w:pPr>
      <w:r>
        <w:rPr>
          <w:color w:val="auto"/>
        </w:rPr>
        <w:t xml:space="preserve">纳社会保险的； </w:t>
      </w:r>
    </w:p>
    <w:p>
      <w:pPr>
        <w:pStyle w:val="8"/>
        <w:spacing w:before="98" w:line="309" w:lineRule="auto"/>
        <w:ind w:left="481" w:right="1644" w:firstLine="481"/>
        <w:rPr>
          <w:color w:val="auto"/>
        </w:rPr>
      </w:pPr>
      <w:r>
        <w:rPr>
          <w:color w:val="auto"/>
          <w:spacing w:val="-4"/>
        </w:rPr>
        <w:t>（14）</w:t>
      </w:r>
      <w:r>
        <w:rPr>
          <w:color w:val="auto"/>
          <w:spacing w:val="-1"/>
        </w:rPr>
        <w:t>由同一人或分别由几个有利害关系的人携带两个以上</w:t>
      </w:r>
      <w:r>
        <w:rPr>
          <w:color w:val="auto"/>
        </w:rPr>
        <w:t>（含两个</w:t>
      </w:r>
      <w:r>
        <w:rPr>
          <w:color w:val="auto"/>
          <w:spacing w:val="-15"/>
        </w:rPr>
        <w:t>）</w:t>
      </w:r>
      <w:r>
        <w:rPr>
          <w:color w:val="auto"/>
        </w:rPr>
        <w:t>谈判</w:t>
      </w:r>
      <w:r>
        <w:rPr>
          <w:color w:val="auto"/>
          <w:spacing w:val="-7"/>
        </w:rPr>
        <w:t>响应供应商的企业资料参与资格审查、领取采购资料，或代表两个以上</w:t>
      </w:r>
      <w:r>
        <w:rPr>
          <w:color w:val="auto"/>
        </w:rPr>
        <w:t xml:space="preserve">（含两个） </w:t>
      </w:r>
      <w:r>
        <w:rPr>
          <w:color w:val="auto"/>
          <w:spacing w:val="-1"/>
        </w:rPr>
        <w:t>谈判响应供应商参加项目答疑会、交纳或退还谈判保证金、参加谈判的；</w:t>
      </w:r>
      <w:r>
        <w:rPr>
          <w:color w:val="auto"/>
        </w:rPr>
        <w:t xml:space="preserve"> </w:t>
      </w:r>
    </w:p>
    <w:p>
      <w:pPr>
        <w:pStyle w:val="8"/>
        <w:spacing w:before="11" w:line="304" w:lineRule="auto"/>
        <w:ind w:left="963" w:right="2357"/>
        <w:rPr>
          <w:color w:val="auto"/>
        </w:rPr>
      </w:pPr>
      <w:r>
        <w:rPr>
          <w:color w:val="auto"/>
        </w:rPr>
        <w:t xml:space="preserve">(15) 法定代表人、单位负责人为同一人或夫妻关系的不同供应商； (16) 存在直接控股、管理关系的不同供应商； </w:t>
      </w:r>
    </w:p>
    <w:p>
      <w:pPr>
        <w:pStyle w:val="8"/>
        <w:spacing w:before="15"/>
        <w:ind w:left="963"/>
        <w:rPr>
          <w:color w:val="auto"/>
        </w:rPr>
      </w:pPr>
      <w:r>
        <w:rPr>
          <w:color w:val="auto"/>
        </w:rPr>
        <w:t xml:space="preserve">(17) 均为同一家母公司直接或间接持股 50％及以上的被投资公司。 </w:t>
      </w:r>
    </w:p>
    <w:p>
      <w:pPr>
        <w:spacing w:before="97" w:line="304" w:lineRule="auto"/>
        <w:ind w:left="481" w:right="4128" w:firstLine="390"/>
        <w:jc w:val="left"/>
        <w:rPr>
          <w:b/>
          <w:color w:val="auto"/>
          <w:sz w:val="24"/>
        </w:rPr>
      </w:pPr>
      <w:r>
        <w:rPr>
          <w:color w:val="auto"/>
          <w:sz w:val="24"/>
        </w:rPr>
        <w:t>（18）有关法律、法规或规章规定的其他串通行为。</w:t>
      </w:r>
      <w:r>
        <w:rPr>
          <w:b/>
          <w:color w:val="auto"/>
          <w:sz w:val="24"/>
        </w:rPr>
        <w:t>4.谈判费用</w:t>
      </w:r>
      <w:r>
        <w:rPr>
          <w:b/>
          <w:color w:val="auto"/>
          <w:w w:val="99"/>
          <w:sz w:val="24"/>
        </w:rPr>
        <w:t xml:space="preserve"> </w:t>
      </w:r>
    </w:p>
    <w:p>
      <w:pPr>
        <w:pStyle w:val="8"/>
        <w:spacing w:before="15"/>
        <w:ind w:left="963"/>
        <w:rPr>
          <w:color w:val="auto"/>
        </w:rPr>
      </w:pPr>
      <w:r>
        <w:rPr>
          <w:color w:val="auto"/>
        </w:rPr>
        <w:t xml:space="preserve">4.1 谈判响应供应商应承担其准备与参加谈判所涉及的一切费用。 </w:t>
      </w:r>
    </w:p>
    <w:p>
      <w:pPr>
        <w:pStyle w:val="5"/>
        <w:spacing w:before="98"/>
        <w:rPr>
          <w:color w:val="auto"/>
        </w:rPr>
      </w:pPr>
      <w:r>
        <w:rPr>
          <w:color w:val="auto"/>
        </w:rPr>
        <w:t>5.知识产权</w:t>
      </w:r>
      <w:r>
        <w:rPr>
          <w:color w:val="auto"/>
          <w:w w:val="99"/>
        </w:rPr>
        <w:t xml:space="preserve"> </w:t>
      </w:r>
    </w:p>
    <w:p>
      <w:pPr>
        <w:pStyle w:val="8"/>
        <w:spacing w:before="82" w:line="316" w:lineRule="auto"/>
        <w:ind w:left="481" w:right="1778" w:firstLine="481"/>
        <w:jc w:val="both"/>
        <w:rPr>
          <w:color w:val="auto"/>
        </w:rPr>
      </w:pPr>
      <w:r>
        <w:rPr>
          <w:color w:val="auto"/>
        </w:rPr>
        <w:t>5.1</w:t>
      </w:r>
      <w:r>
        <w:rPr>
          <w:color w:val="auto"/>
          <w:spacing w:val="-1"/>
        </w:rPr>
        <w:t xml:space="preserve"> 谈判响应供应商应保证在本项目使用任何产品或其任何一部分时，不会</w:t>
      </w:r>
      <w:r>
        <w:rPr>
          <w:color w:val="auto"/>
          <w:spacing w:val="-3"/>
        </w:rPr>
        <w:t>产生因第三方提出侵犯其专利权、商标权或其它知识产权而引起的法律和经济责</w:t>
      </w:r>
      <w:r>
        <w:rPr>
          <w:color w:val="auto"/>
          <w:spacing w:val="-4"/>
        </w:rPr>
        <w:t>任。因此产生的法律和经济责任由谈判响应供应商承担。</w:t>
      </w:r>
      <w:r>
        <w:rPr>
          <w:color w:val="auto"/>
        </w:rPr>
        <w:t xml:space="preserve"> </w:t>
      </w:r>
    </w:p>
    <w:p>
      <w:pPr>
        <w:spacing w:before="0" w:line="310" w:lineRule="exact"/>
        <w:ind w:left="0" w:right="1145" w:firstLine="0"/>
        <w:jc w:val="center"/>
        <w:rPr>
          <w:b/>
          <w:color w:val="auto"/>
          <w:sz w:val="31"/>
        </w:rPr>
      </w:pPr>
      <w:r>
        <w:rPr>
          <w:b/>
          <w:color w:val="auto"/>
          <w:w w:val="100"/>
          <w:sz w:val="31"/>
        </w:rPr>
        <w:t xml:space="preserve"> </w:t>
      </w:r>
    </w:p>
    <w:p>
      <w:pPr>
        <w:spacing w:before="9"/>
        <w:ind w:left="557" w:right="1702" w:firstLine="0"/>
        <w:jc w:val="center"/>
        <w:rPr>
          <w:b/>
          <w:color w:val="auto"/>
          <w:sz w:val="31"/>
        </w:rPr>
      </w:pPr>
      <w:r>
        <w:rPr>
          <w:b/>
          <w:color w:val="auto"/>
          <w:sz w:val="31"/>
        </w:rPr>
        <w:t>二、 谈判文件</w:t>
      </w:r>
      <w:r>
        <w:rPr>
          <w:b/>
          <w:color w:val="auto"/>
          <w:w w:val="100"/>
          <w:sz w:val="31"/>
        </w:rPr>
        <w:t xml:space="preserve"> </w:t>
      </w:r>
    </w:p>
    <w:p>
      <w:pPr>
        <w:pStyle w:val="5"/>
        <w:spacing w:before="78"/>
        <w:rPr>
          <w:color w:val="auto"/>
        </w:rPr>
      </w:pPr>
      <w:r>
        <w:rPr>
          <w:color w:val="auto"/>
        </w:rPr>
        <w:t>6.谈判文件的组成</w:t>
      </w:r>
      <w:r>
        <w:rPr>
          <w:color w:val="auto"/>
          <w:w w:val="99"/>
        </w:rPr>
        <w:t xml:space="preserve"> </w:t>
      </w:r>
    </w:p>
    <w:p>
      <w:pPr>
        <w:pStyle w:val="8"/>
        <w:spacing w:before="83" w:line="316" w:lineRule="auto"/>
        <w:ind w:left="481" w:right="1808" w:firstLine="481"/>
        <w:rPr>
          <w:color w:val="auto"/>
        </w:rPr>
      </w:pPr>
      <w:r>
        <w:rPr>
          <w:color w:val="auto"/>
        </w:rPr>
        <w:t>6.1</w:t>
      </w:r>
      <w:r>
        <w:rPr>
          <w:color w:val="auto"/>
          <w:spacing w:val="-8"/>
        </w:rPr>
        <w:t xml:space="preserve"> 谈判文件用以阐明所需货物及服务、谈判程序和合同格式及条款。谈判文件由下述部分组成： </w:t>
      </w:r>
    </w:p>
    <w:p>
      <w:pPr>
        <w:pStyle w:val="8"/>
        <w:spacing w:line="307" w:lineRule="exact"/>
        <w:ind w:left="481"/>
        <w:rPr>
          <w:color w:val="auto"/>
        </w:rPr>
      </w:pPr>
      <w:r>
        <w:rPr>
          <w:color w:val="auto"/>
        </w:rPr>
        <w:t xml:space="preserve">   （1）谈判公告 </w:t>
      </w:r>
    </w:p>
    <w:p>
      <w:pPr>
        <w:pStyle w:val="8"/>
        <w:spacing w:before="82"/>
        <w:ind w:left="481"/>
        <w:rPr>
          <w:color w:val="auto"/>
        </w:rPr>
      </w:pPr>
      <w:r>
        <w:rPr>
          <w:color w:val="auto"/>
        </w:rPr>
        <w:t xml:space="preserve">   （2）谈判响应供应商须知 </w:t>
      </w:r>
    </w:p>
    <w:p>
      <w:pPr>
        <w:pStyle w:val="8"/>
        <w:spacing w:before="98"/>
        <w:ind w:left="872"/>
        <w:rPr>
          <w:color w:val="auto"/>
        </w:rPr>
      </w:pPr>
      <w:r>
        <w:rPr>
          <w:color w:val="auto"/>
        </w:rPr>
        <w:t xml:space="preserve">（3）谈判供应商须知正文部分 </w:t>
      </w:r>
    </w:p>
    <w:p>
      <w:pPr>
        <w:pStyle w:val="8"/>
        <w:spacing w:before="98"/>
        <w:ind w:left="481"/>
        <w:rPr>
          <w:color w:val="auto"/>
        </w:rPr>
      </w:pPr>
      <w:r>
        <w:rPr>
          <w:color w:val="auto"/>
        </w:rPr>
        <w:t xml:space="preserve">   （4）采购内容及要求 </w:t>
      </w:r>
    </w:p>
    <w:p>
      <w:pPr>
        <w:pStyle w:val="8"/>
        <w:spacing w:before="83"/>
        <w:ind w:left="481"/>
        <w:rPr>
          <w:color w:val="auto"/>
        </w:rPr>
      </w:pPr>
      <w:r>
        <w:rPr>
          <w:color w:val="auto"/>
        </w:rPr>
        <w:t xml:space="preserve">  </w:t>
      </w:r>
      <w:r>
        <w:rPr>
          <w:color w:val="auto"/>
          <w:spacing w:val="-1"/>
        </w:rPr>
        <w:t xml:space="preserve"> （5）</w:t>
      </w:r>
      <w:r>
        <w:rPr>
          <w:color w:val="auto"/>
        </w:rPr>
        <w:t xml:space="preserve">政府采购合同 </w:t>
      </w:r>
    </w:p>
    <w:p>
      <w:pPr>
        <w:pStyle w:val="8"/>
        <w:spacing w:before="98"/>
        <w:ind w:left="842"/>
        <w:rPr>
          <w:color w:val="auto"/>
        </w:rPr>
      </w:pPr>
      <w:r>
        <w:rPr>
          <w:color w:val="auto"/>
          <w:spacing w:val="-1"/>
        </w:rPr>
        <w:t>（6）</w:t>
      </w:r>
      <w:r>
        <w:rPr>
          <w:color w:val="auto"/>
        </w:rPr>
        <w:t xml:space="preserve">响应文件格式 </w:t>
      </w:r>
    </w:p>
    <w:p>
      <w:pPr>
        <w:pStyle w:val="5"/>
        <w:spacing w:before="51"/>
        <w:ind w:left="0" w:leftChars="0" w:firstLine="0" w:firstLineChars="0"/>
        <w:rPr>
          <w:color w:val="auto"/>
        </w:rPr>
      </w:pPr>
      <w:r>
        <w:rPr>
          <w:color w:val="auto"/>
        </w:rPr>
        <w:t>7.谈判文件的澄清与修改</w:t>
      </w:r>
      <w:r>
        <w:rPr>
          <w:color w:val="auto"/>
          <w:w w:val="99"/>
        </w:rPr>
        <w:t xml:space="preserve"> </w:t>
      </w:r>
    </w:p>
    <w:p>
      <w:pPr>
        <w:pStyle w:val="12"/>
        <w:numPr>
          <w:ilvl w:val="1"/>
          <w:numId w:val="6"/>
        </w:numPr>
        <w:tabs>
          <w:tab w:val="left" w:pos="1339"/>
        </w:tabs>
        <w:spacing w:before="98" w:after="0" w:line="312" w:lineRule="auto"/>
        <w:ind w:left="482" w:right="1784" w:firstLine="420"/>
        <w:jc w:val="both"/>
        <w:rPr>
          <w:color w:val="auto"/>
          <w:sz w:val="24"/>
        </w:rPr>
      </w:pPr>
      <w:bookmarkStart w:id="2" w:name="7.1至谈判响应截止时间3个工作日（如至原定截止时间不足3个工作日，则需延长截止"/>
      <w:bookmarkEnd w:id="2"/>
      <w:bookmarkStart w:id="3" w:name="7.1至谈判响应截止时间3个工作日（如至原定截止时间不足3个工作日，则需延长截止"/>
      <w:bookmarkEnd w:id="3"/>
      <w:r>
        <w:rPr>
          <w:color w:val="auto"/>
          <w:spacing w:val="-5"/>
          <w:sz w:val="24"/>
        </w:rPr>
        <w:t xml:space="preserve">至谈判响应截止时间 </w:t>
      </w:r>
      <w:r>
        <w:rPr>
          <w:color w:val="auto"/>
          <w:sz w:val="24"/>
        </w:rPr>
        <w:t>3</w:t>
      </w:r>
      <w:r>
        <w:rPr>
          <w:color w:val="auto"/>
          <w:spacing w:val="-10"/>
          <w:sz w:val="24"/>
        </w:rPr>
        <w:t xml:space="preserve"> 个工作日</w:t>
      </w:r>
      <w:r>
        <w:rPr>
          <w:color w:val="auto"/>
          <w:sz w:val="24"/>
        </w:rPr>
        <w:t>（</w:t>
      </w:r>
      <w:r>
        <w:rPr>
          <w:color w:val="auto"/>
          <w:spacing w:val="-5"/>
          <w:sz w:val="24"/>
        </w:rPr>
        <w:t xml:space="preserve">如至原定截止时间不足 </w:t>
      </w:r>
      <w:r>
        <w:rPr>
          <w:color w:val="auto"/>
          <w:sz w:val="24"/>
        </w:rPr>
        <w:t>3</w:t>
      </w:r>
      <w:r>
        <w:rPr>
          <w:color w:val="auto"/>
          <w:spacing w:val="-9"/>
          <w:sz w:val="24"/>
        </w:rPr>
        <w:t xml:space="preserve"> 个工作日， 则需延长截止时间</w:t>
      </w:r>
      <w:r>
        <w:rPr>
          <w:color w:val="auto"/>
          <w:spacing w:val="-15"/>
          <w:sz w:val="24"/>
        </w:rPr>
        <w:t>）</w:t>
      </w:r>
      <w:r>
        <w:rPr>
          <w:color w:val="auto"/>
          <w:spacing w:val="-4"/>
          <w:sz w:val="24"/>
        </w:rPr>
        <w:t>前，采购代理代理机构可主动或依供应商要求澄清的问题修</w:t>
      </w:r>
      <w:r>
        <w:rPr>
          <w:color w:val="auto"/>
          <w:spacing w:val="-7"/>
          <w:sz w:val="24"/>
        </w:rPr>
        <w:t>改谈判文件，但应当在原信息发布媒体上发布更正公告，并以书面形式通知所有</w:t>
      </w:r>
      <w:r>
        <w:rPr>
          <w:color w:val="auto"/>
          <w:spacing w:val="-9"/>
          <w:sz w:val="24"/>
        </w:rPr>
        <w:t>谈判文件收受人，供应商在收到该通知后应当立即以传真形式予以确认</w:t>
      </w:r>
      <w:r>
        <w:rPr>
          <w:color w:val="auto"/>
          <w:sz w:val="24"/>
        </w:rPr>
        <w:t>（如属网</w:t>
      </w:r>
      <w:r>
        <w:rPr>
          <w:color w:val="auto"/>
          <w:spacing w:val="-4"/>
          <w:sz w:val="24"/>
        </w:rPr>
        <w:t>上采购项目，在采购公告原发布媒体及实施网上采购的网站发布更正公告，不再书面答复</w:t>
      </w:r>
      <w:r>
        <w:rPr>
          <w:color w:val="auto"/>
          <w:spacing w:val="-15"/>
          <w:sz w:val="24"/>
        </w:rPr>
        <w:t>）</w:t>
      </w:r>
      <w:r>
        <w:rPr>
          <w:color w:val="auto"/>
          <w:spacing w:val="-5"/>
          <w:sz w:val="24"/>
        </w:rPr>
        <w:t>。该修改内容为谈判文件的组成部分，对供应商具有约束力。但本谈</w:t>
      </w:r>
      <w:r>
        <w:rPr>
          <w:color w:val="auto"/>
          <w:spacing w:val="-17"/>
          <w:sz w:val="24"/>
        </w:rPr>
        <w:t xml:space="preserve">判文件第 </w:t>
      </w:r>
      <w:r>
        <w:rPr>
          <w:color w:val="auto"/>
          <w:sz w:val="24"/>
        </w:rPr>
        <w:t>7.2</w:t>
      </w:r>
      <w:r>
        <w:rPr>
          <w:color w:val="auto"/>
          <w:spacing w:val="-8"/>
          <w:sz w:val="24"/>
        </w:rPr>
        <w:t xml:space="preserve"> 条规定的推迟响应截止时间情形不受本条约束。</w:t>
      </w:r>
      <w:r>
        <w:rPr>
          <w:color w:val="auto"/>
          <w:sz w:val="24"/>
        </w:rPr>
        <w:t xml:space="preserve"> </w:t>
      </w:r>
    </w:p>
    <w:p>
      <w:pPr>
        <w:pStyle w:val="12"/>
        <w:numPr>
          <w:ilvl w:val="1"/>
          <w:numId w:val="6"/>
        </w:numPr>
        <w:tabs>
          <w:tab w:val="left" w:pos="1384"/>
        </w:tabs>
        <w:spacing w:before="0" w:after="0" w:line="314" w:lineRule="auto"/>
        <w:ind w:left="482" w:right="1778" w:firstLine="420"/>
        <w:jc w:val="both"/>
        <w:rPr>
          <w:color w:val="auto"/>
          <w:sz w:val="31"/>
        </w:rPr>
      </w:pPr>
      <w:bookmarkStart w:id="4" w:name="7.2为使供应商在准备响应文件时有合理的时间考虑响应文件的修改，采购代理机构可酌"/>
      <w:bookmarkEnd w:id="4"/>
      <w:bookmarkStart w:id="5" w:name="7.2为使供应商在准备响应文件时有合理的时间考虑响应文件的修改，采购代理机构可酌"/>
      <w:bookmarkEnd w:id="5"/>
      <w:r>
        <w:rPr>
          <w:color w:val="auto"/>
          <w:sz w:val="24"/>
        </w:rPr>
        <w:t>为使供应商在准备响应文件时有合理的时间考虑响应文件的修改，采购</w:t>
      </w:r>
      <w:r>
        <w:rPr>
          <w:color w:val="auto"/>
          <w:spacing w:val="-5"/>
          <w:sz w:val="24"/>
        </w:rPr>
        <w:t xml:space="preserve">代理机构可酌情推迟谈判响应截止时间，但应当至少在截止时间 </w:t>
      </w:r>
      <w:r>
        <w:rPr>
          <w:color w:val="auto"/>
          <w:sz w:val="24"/>
        </w:rPr>
        <w:t>3</w:t>
      </w:r>
      <w:r>
        <w:rPr>
          <w:color w:val="auto"/>
          <w:spacing w:val="-9"/>
          <w:sz w:val="24"/>
        </w:rPr>
        <w:t xml:space="preserve"> 个工作日前将</w:t>
      </w:r>
      <w:r>
        <w:rPr>
          <w:color w:val="auto"/>
          <w:spacing w:val="-10"/>
          <w:sz w:val="24"/>
        </w:rPr>
        <w:t>变更时间以书面形式通知所有获取谈判文件的供应商，该修改内容为谈判文件的</w:t>
      </w:r>
      <w:r>
        <w:rPr>
          <w:color w:val="auto"/>
          <w:spacing w:val="-9"/>
          <w:sz w:val="24"/>
        </w:rPr>
        <w:t>组成部分。在此情况下，采购人和供应商受谈判响应截止期制约的所有权利和义务均应延长至新的截止日期。</w:t>
      </w:r>
      <w:r>
        <w:rPr>
          <w:color w:val="auto"/>
          <w:spacing w:val="-9"/>
          <w:w w:val="101"/>
          <w:sz w:val="31"/>
        </w:rPr>
        <w:t xml:space="preserve"> </w:t>
      </w:r>
    </w:p>
    <w:p>
      <w:pPr>
        <w:spacing w:after="0" w:line="314" w:lineRule="auto"/>
        <w:jc w:val="both"/>
        <w:rPr>
          <w:color w:val="auto"/>
          <w:sz w:val="31"/>
        </w:rPr>
        <w:sectPr>
          <w:pgSz w:w="11910" w:h="16850"/>
          <w:pgMar w:top="1460" w:right="0" w:bottom="1160" w:left="1260" w:header="0" w:footer="891" w:gutter="0"/>
          <w:cols w:space="720" w:num="1"/>
        </w:sectPr>
      </w:pPr>
    </w:p>
    <w:p>
      <w:pPr>
        <w:pStyle w:val="8"/>
        <w:rPr>
          <w:color w:val="auto"/>
        </w:rPr>
      </w:pPr>
    </w:p>
    <w:p>
      <w:pPr>
        <w:pStyle w:val="8"/>
        <w:rPr>
          <w:color w:val="auto"/>
        </w:rPr>
      </w:pPr>
    </w:p>
    <w:p>
      <w:pPr>
        <w:pStyle w:val="5"/>
        <w:spacing w:before="173"/>
        <w:rPr>
          <w:color w:val="auto"/>
        </w:rPr>
      </w:pPr>
      <w:bookmarkStart w:id="6" w:name="三、响应文件的编写"/>
      <w:bookmarkEnd w:id="6"/>
      <w:r>
        <w:rPr>
          <w:color w:val="auto"/>
        </w:rPr>
        <w:t>8.要求</w:t>
      </w:r>
      <w:r>
        <w:rPr>
          <w:color w:val="auto"/>
          <w:w w:val="99"/>
        </w:rPr>
        <w:t xml:space="preserve"> </w:t>
      </w:r>
    </w:p>
    <w:p>
      <w:pPr>
        <w:spacing w:before="0" w:line="316" w:lineRule="exact"/>
        <w:ind w:left="0" w:right="3848" w:firstLine="0"/>
        <w:jc w:val="center"/>
        <w:rPr>
          <w:b/>
          <w:color w:val="auto"/>
          <w:sz w:val="31"/>
        </w:rPr>
      </w:pPr>
      <w:r>
        <w:rPr>
          <w:color w:val="auto"/>
        </w:rPr>
        <w:br w:type="column"/>
      </w:r>
      <w:r>
        <w:rPr>
          <w:b/>
          <w:color w:val="auto"/>
          <w:w w:val="100"/>
          <w:sz w:val="31"/>
        </w:rPr>
        <w:t xml:space="preserve"> </w:t>
      </w:r>
    </w:p>
    <w:p>
      <w:pPr>
        <w:pStyle w:val="3"/>
        <w:spacing w:line="394" w:lineRule="exact"/>
        <w:ind w:left="0" w:right="3848"/>
        <w:jc w:val="center"/>
        <w:rPr>
          <w:b w:val="0"/>
          <w:color w:val="auto"/>
        </w:rPr>
      </w:pPr>
      <w:r>
        <w:rPr>
          <w:color w:val="auto"/>
        </w:rPr>
        <w:t>三、响应文件的编写</w:t>
      </w:r>
      <w:r>
        <w:rPr>
          <w:b w:val="0"/>
          <w:color w:val="auto"/>
          <w:w w:val="101"/>
        </w:rPr>
        <w:t xml:space="preserve"> </w:t>
      </w:r>
    </w:p>
    <w:p>
      <w:pPr>
        <w:spacing w:after="0" w:line="394" w:lineRule="exact"/>
        <w:jc w:val="center"/>
        <w:rPr>
          <w:color w:val="auto"/>
        </w:rPr>
        <w:sectPr>
          <w:type w:val="continuous"/>
          <w:pgSz w:w="11910" w:h="16850"/>
          <w:pgMar w:top="1600" w:right="0" w:bottom="280" w:left="1260" w:header="720" w:footer="720" w:gutter="0"/>
          <w:cols w:equalWidth="0" w:num="2">
            <w:col w:w="1409" w:space="1295"/>
            <w:col w:w="7946"/>
          </w:cols>
        </w:sectPr>
      </w:pPr>
    </w:p>
    <w:p>
      <w:pPr>
        <w:pStyle w:val="12"/>
        <w:numPr>
          <w:ilvl w:val="1"/>
          <w:numId w:val="7"/>
        </w:numPr>
        <w:tabs>
          <w:tab w:val="left" w:pos="1384"/>
        </w:tabs>
        <w:spacing w:before="97" w:after="0" w:line="309" w:lineRule="auto"/>
        <w:ind w:left="482" w:right="1783" w:firstLine="481"/>
        <w:jc w:val="both"/>
        <w:rPr>
          <w:color w:val="auto"/>
          <w:sz w:val="24"/>
        </w:rPr>
      </w:pPr>
      <w:r>
        <w:rPr>
          <w:color w:val="auto"/>
          <w:sz w:val="24"/>
        </w:rPr>
        <w:t>谈判响应供应商应仔细阅读谈判文件的所有内容，按谈判文件的要求提</w:t>
      </w:r>
      <w:r>
        <w:rPr>
          <w:color w:val="auto"/>
          <w:spacing w:val="-4"/>
          <w:sz w:val="24"/>
        </w:rPr>
        <w:t xml:space="preserve">供响应文件，响应文件应对谈判文件的要求作出实质性响应，并保证所提供的全部资料的真实性，否则其响应文件可被作响应无效处理。 </w:t>
      </w:r>
    </w:p>
    <w:p>
      <w:pPr>
        <w:pStyle w:val="12"/>
        <w:numPr>
          <w:ilvl w:val="1"/>
          <w:numId w:val="7"/>
        </w:numPr>
        <w:tabs>
          <w:tab w:val="left" w:pos="1384"/>
        </w:tabs>
        <w:spacing w:before="11" w:after="0" w:line="309" w:lineRule="auto"/>
        <w:ind w:left="482" w:right="1800" w:firstLine="481"/>
        <w:jc w:val="both"/>
        <w:rPr>
          <w:color w:val="auto"/>
          <w:sz w:val="24"/>
        </w:rPr>
      </w:pPr>
      <w:r>
        <w:rPr>
          <w:color w:val="auto"/>
          <w:spacing w:val="-1"/>
          <w:sz w:val="24"/>
        </w:rPr>
        <w:t>除非有另外的规定，谈判响应供应商应按被邀请参加响应的合同包进行</w:t>
      </w:r>
      <w:r>
        <w:rPr>
          <w:color w:val="auto"/>
          <w:spacing w:val="-7"/>
          <w:sz w:val="24"/>
        </w:rPr>
        <w:t xml:space="preserve">报价，同时，应对所报价合同包下的所有品目号进行报价。采购人不接受有任何可选择性的报价，每一种货物、服务、工程只能有一个报价。 </w:t>
      </w:r>
    </w:p>
    <w:p>
      <w:pPr>
        <w:pStyle w:val="5"/>
        <w:spacing w:before="12"/>
        <w:rPr>
          <w:color w:val="auto"/>
        </w:rPr>
      </w:pPr>
      <w:r>
        <w:rPr>
          <w:color w:val="auto"/>
        </w:rPr>
        <w:t>9.谈判响应文件语言及报价要求</w:t>
      </w:r>
      <w:r>
        <w:rPr>
          <w:color w:val="auto"/>
          <w:w w:val="99"/>
        </w:rPr>
        <w:t xml:space="preserve"> </w:t>
      </w:r>
    </w:p>
    <w:p>
      <w:pPr>
        <w:pStyle w:val="8"/>
        <w:spacing w:before="82" w:line="316" w:lineRule="auto"/>
        <w:ind w:left="481" w:right="1783" w:firstLine="481"/>
        <w:rPr>
          <w:b/>
          <w:color w:val="auto"/>
        </w:rPr>
      </w:pPr>
      <w:r>
        <w:rPr>
          <w:color w:val="auto"/>
        </w:rPr>
        <w:t>谈判响应文件应用中文书写。响应文件中所附或所引用的的原件不是中文</w:t>
      </w:r>
      <w:r>
        <w:rPr>
          <w:color w:val="auto"/>
          <w:spacing w:val="-6"/>
        </w:rPr>
        <w:t>时，应附中文译文。各种计量单位及符号应采用国际上统一使用的公制计量单位和符号。</w:t>
      </w:r>
      <w:r>
        <w:rPr>
          <w:b/>
          <w:color w:val="auto"/>
          <w:spacing w:val="-6"/>
          <w:w w:val="99"/>
        </w:rPr>
        <w:t xml:space="preserve"> </w:t>
      </w:r>
    </w:p>
    <w:p>
      <w:pPr>
        <w:pStyle w:val="5"/>
        <w:spacing w:line="291" w:lineRule="exact"/>
        <w:rPr>
          <w:color w:val="auto"/>
        </w:rPr>
      </w:pPr>
      <w:r>
        <w:rPr>
          <w:color w:val="auto"/>
        </w:rPr>
        <w:t>10.谈判响应文件的组成包括下列部分</w:t>
      </w:r>
      <w:r>
        <w:rPr>
          <w:color w:val="auto"/>
          <w:w w:val="99"/>
        </w:rPr>
        <w:t xml:space="preserve"> </w:t>
      </w:r>
    </w:p>
    <w:p>
      <w:pPr>
        <w:pStyle w:val="8"/>
        <w:spacing w:before="143" w:line="304" w:lineRule="auto"/>
        <w:ind w:left="963" w:right="7342"/>
        <w:rPr>
          <w:color w:val="auto"/>
        </w:rPr>
      </w:pPr>
      <w:r>
        <w:rPr>
          <w:color w:val="auto"/>
        </w:rPr>
        <w:t>10.1 谈判响应声明函10.2 报价一览表</w:t>
      </w:r>
    </w:p>
    <w:p>
      <w:pPr>
        <w:pStyle w:val="8"/>
        <w:spacing w:before="15" w:line="316" w:lineRule="auto"/>
        <w:ind w:left="963" w:right="7267" w:hanging="346"/>
        <w:rPr>
          <w:color w:val="auto"/>
        </w:rPr>
      </w:pPr>
      <w:r>
        <w:rPr>
          <w:color w:val="auto"/>
        </w:rPr>
        <w:t xml:space="preserve">   10.3 谈判分项报价表10.4 技术规格偏离表 </w:t>
      </w:r>
    </w:p>
    <w:p>
      <w:pPr>
        <w:pStyle w:val="12"/>
        <w:numPr>
          <w:ilvl w:val="1"/>
          <w:numId w:val="8"/>
        </w:numPr>
        <w:tabs>
          <w:tab w:val="left" w:pos="1444"/>
        </w:tabs>
        <w:spacing w:before="0" w:after="0" w:line="291" w:lineRule="exact"/>
        <w:ind w:left="1444" w:right="0" w:hanging="481"/>
        <w:jc w:val="left"/>
        <w:rPr>
          <w:color w:val="auto"/>
          <w:sz w:val="24"/>
        </w:rPr>
      </w:pPr>
      <w:r>
        <w:rPr>
          <w:color w:val="auto"/>
          <w:sz w:val="24"/>
        </w:rPr>
        <w:t xml:space="preserve">商务条款偏离表 </w:t>
      </w:r>
    </w:p>
    <w:p>
      <w:pPr>
        <w:pStyle w:val="12"/>
        <w:numPr>
          <w:ilvl w:val="1"/>
          <w:numId w:val="8"/>
        </w:numPr>
        <w:tabs>
          <w:tab w:val="left" w:pos="1504"/>
        </w:tabs>
        <w:spacing w:before="98" w:after="0" w:line="240" w:lineRule="auto"/>
        <w:ind w:left="1503" w:right="0" w:hanging="540"/>
        <w:jc w:val="left"/>
        <w:rPr>
          <w:color w:val="auto"/>
          <w:sz w:val="24"/>
        </w:rPr>
      </w:pPr>
      <w:r>
        <w:rPr>
          <w:color w:val="auto"/>
          <w:sz w:val="24"/>
        </w:rPr>
        <w:t xml:space="preserve">法定代表人授权书 </w:t>
      </w:r>
    </w:p>
    <w:p>
      <w:pPr>
        <w:pStyle w:val="12"/>
        <w:numPr>
          <w:ilvl w:val="1"/>
          <w:numId w:val="8"/>
        </w:numPr>
        <w:tabs>
          <w:tab w:val="left" w:pos="1504"/>
        </w:tabs>
        <w:spacing w:before="97" w:after="0" w:line="240" w:lineRule="auto"/>
        <w:ind w:left="1503" w:right="0" w:hanging="540"/>
        <w:jc w:val="left"/>
        <w:rPr>
          <w:color w:val="auto"/>
          <w:sz w:val="24"/>
        </w:rPr>
      </w:pPr>
      <w:r>
        <w:rPr>
          <w:color w:val="auto"/>
          <w:sz w:val="24"/>
        </w:rPr>
        <w:t xml:space="preserve">资格声明及文件 </w:t>
      </w:r>
    </w:p>
    <w:p>
      <w:pPr>
        <w:spacing w:after="0" w:line="240" w:lineRule="auto"/>
        <w:jc w:val="left"/>
        <w:rPr>
          <w:color w:val="auto"/>
          <w:sz w:val="24"/>
        </w:rPr>
        <w:sectPr>
          <w:type w:val="continuous"/>
          <w:pgSz w:w="11910" w:h="16850"/>
          <w:pgMar w:top="1600" w:right="0" w:bottom="280" w:left="1260" w:header="720" w:footer="720" w:gutter="0"/>
          <w:cols w:space="720" w:num="1"/>
        </w:sectPr>
      </w:pPr>
    </w:p>
    <w:p>
      <w:pPr>
        <w:pStyle w:val="12"/>
        <w:numPr>
          <w:ilvl w:val="1"/>
          <w:numId w:val="8"/>
        </w:numPr>
        <w:tabs>
          <w:tab w:val="left" w:pos="1504"/>
        </w:tabs>
        <w:spacing w:before="51" w:after="0" w:line="240" w:lineRule="auto"/>
        <w:ind w:left="1503" w:right="0" w:hanging="540"/>
        <w:jc w:val="left"/>
        <w:rPr>
          <w:color w:val="auto"/>
          <w:sz w:val="24"/>
        </w:rPr>
      </w:pPr>
      <w:r>
        <w:rPr>
          <w:color w:val="auto"/>
          <w:sz w:val="24"/>
        </w:rPr>
        <w:t xml:space="preserve">售后服务承诺及方案 </w:t>
      </w:r>
    </w:p>
    <w:p>
      <w:pPr>
        <w:pStyle w:val="12"/>
        <w:numPr>
          <w:ilvl w:val="1"/>
          <w:numId w:val="8"/>
        </w:numPr>
        <w:tabs>
          <w:tab w:val="left" w:pos="1504"/>
        </w:tabs>
        <w:spacing w:before="98" w:after="0" w:line="240" w:lineRule="auto"/>
        <w:ind w:left="1503" w:right="0" w:hanging="540"/>
        <w:jc w:val="left"/>
        <w:rPr>
          <w:color w:val="auto"/>
          <w:sz w:val="24"/>
        </w:rPr>
      </w:pPr>
      <w:r>
        <w:rPr>
          <w:color w:val="auto"/>
          <w:spacing w:val="-1"/>
          <w:sz w:val="24"/>
        </w:rPr>
        <w:t>谈判响应供应商提交的其他资料</w:t>
      </w:r>
      <w:r>
        <w:rPr>
          <w:color w:val="auto"/>
          <w:sz w:val="24"/>
        </w:rPr>
        <w:t xml:space="preserve"> </w:t>
      </w:r>
    </w:p>
    <w:p>
      <w:pPr>
        <w:pStyle w:val="5"/>
        <w:spacing w:before="83"/>
        <w:rPr>
          <w:color w:val="auto"/>
        </w:rPr>
      </w:pPr>
      <w:r>
        <w:rPr>
          <w:color w:val="auto"/>
        </w:rPr>
        <w:t>11.谈判响应有效期</w:t>
      </w:r>
      <w:r>
        <w:rPr>
          <w:color w:val="auto"/>
          <w:w w:val="99"/>
        </w:rPr>
        <w:t xml:space="preserve"> </w:t>
      </w:r>
    </w:p>
    <w:p>
      <w:pPr>
        <w:pStyle w:val="12"/>
        <w:numPr>
          <w:ilvl w:val="1"/>
          <w:numId w:val="9"/>
        </w:numPr>
        <w:tabs>
          <w:tab w:val="left" w:pos="1504"/>
        </w:tabs>
        <w:spacing w:before="98" w:after="0" w:line="309" w:lineRule="auto"/>
        <w:ind w:left="482" w:right="1782" w:firstLine="481"/>
        <w:jc w:val="left"/>
        <w:rPr>
          <w:color w:val="auto"/>
          <w:sz w:val="24"/>
        </w:rPr>
      </w:pPr>
      <w:r>
        <w:rPr>
          <w:color w:val="auto"/>
          <w:spacing w:val="-4"/>
          <w:sz w:val="24"/>
        </w:rPr>
        <w:t xml:space="preserve">响应文件从谈判响应供应商须知前附表 </w:t>
      </w:r>
      <w:r>
        <w:rPr>
          <w:color w:val="auto"/>
          <w:sz w:val="24"/>
        </w:rPr>
        <w:t>1</w:t>
      </w:r>
      <w:r>
        <w:rPr>
          <w:color w:val="auto"/>
          <w:spacing w:val="-8"/>
          <w:sz w:val="24"/>
        </w:rPr>
        <w:t xml:space="preserve"> 所规定的谈判响应截止期之</w:t>
      </w:r>
      <w:r>
        <w:rPr>
          <w:color w:val="auto"/>
          <w:spacing w:val="-9"/>
          <w:sz w:val="24"/>
        </w:rPr>
        <w:t xml:space="preserve">日开始生效，在谈判响应供应商须知前附表所规定的期限内保持有效。有效期不足将导致其响应文件被拒绝。 </w:t>
      </w:r>
    </w:p>
    <w:p>
      <w:pPr>
        <w:pStyle w:val="12"/>
        <w:numPr>
          <w:ilvl w:val="1"/>
          <w:numId w:val="9"/>
        </w:numPr>
        <w:tabs>
          <w:tab w:val="left" w:pos="1504"/>
        </w:tabs>
        <w:spacing w:before="11" w:after="0" w:line="312" w:lineRule="auto"/>
        <w:ind w:left="482" w:right="1778" w:firstLine="481"/>
        <w:jc w:val="left"/>
        <w:rPr>
          <w:color w:val="auto"/>
          <w:sz w:val="24"/>
        </w:rPr>
      </w:pPr>
      <w:r>
        <w:rPr>
          <w:color w:val="auto"/>
          <w:sz w:val="24"/>
        </w:rPr>
        <w:t>特殊情况下采购代理机构可于谈判有效期满之前书面要求谈判响应供</w:t>
      </w:r>
      <w:r>
        <w:rPr>
          <w:color w:val="auto"/>
          <w:spacing w:val="-3"/>
          <w:sz w:val="24"/>
        </w:rPr>
        <w:t>应商同意延长有效期，谈判响应供应商应在采购代理机构规定的期限内以书面形</w:t>
      </w:r>
      <w:r>
        <w:rPr>
          <w:color w:val="auto"/>
          <w:spacing w:val="-7"/>
          <w:sz w:val="24"/>
        </w:rPr>
        <w:t>式予以答复。谈判响应供应商可以拒绝上述要求而其谈判保证金可按规定予以退还。谈判响应供应商答复不明确或者逾期未答复的，均视为拒绝上述要求。对于</w:t>
      </w:r>
      <w:r>
        <w:rPr>
          <w:color w:val="auto"/>
          <w:spacing w:val="-9"/>
          <w:sz w:val="24"/>
        </w:rPr>
        <w:t>接受该要求的谈判响应供应商，既不要求也不允许其修改响应文件，但将要求其</w:t>
      </w:r>
      <w:r>
        <w:rPr>
          <w:color w:val="auto"/>
          <w:spacing w:val="-11"/>
          <w:sz w:val="24"/>
        </w:rPr>
        <w:t xml:space="preserve">相应延长谈判保证金有效期，有关退还和不予退还谈判保证金的规定在报价有效期延长期内继续有效。       </w:t>
      </w:r>
    </w:p>
    <w:p>
      <w:pPr>
        <w:pStyle w:val="5"/>
        <w:spacing w:before="9"/>
        <w:rPr>
          <w:color w:val="auto"/>
        </w:rPr>
      </w:pPr>
      <w:r>
        <w:rPr>
          <w:color w:val="auto"/>
        </w:rPr>
        <w:t>12.谈判保证金</w:t>
      </w:r>
      <w:r>
        <w:rPr>
          <w:color w:val="auto"/>
          <w:w w:val="99"/>
        </w:rPr>
        <w:t xml:space="preserve"> </w:t>
      </w:r>
    </w:p>
    <w:p>
      <w:pPr>
        <w:pStyle w:val="12"/>
        <w:numPr>
          <w:ilvl w:val="1"/>
          <w:numId w:val="10"/>
        </w:numPr>
        <w:tabs>
          <w:tab w:val="left" w:pos="1444"/>
        </w:tabs>
        <w:spacing w:before="83" w:after="0" w:line="240" w:lineRule="auto"/>
        <w:ind w:left="482" w:right="0" w:firstLine="481"/>
        <w:jc w:val="left"/>
        <w:rPr>
          <w:color w:val="auto"/>
          <w:sz w:val="24"/>
        </w:rPr>
      </w:pPr>
      <w:r>
        <w:rPr>
          <w:color w:val="auto"/>
          <w:spacing w:val="-1"/>
          <w:sz w:val="24"/>
        </w:rPr>
        <w:t>谈判保证金为响应文件的组成部分之一。</w:t>
      </w:r>
      <w:r>
        <w:rPr>
          <w:color w:val="auto"/>
          <w:sz w:val="24"/>
        </w:rPr>
        <w:t xml:space="preserve"> </w:t>
      </w:r>
    </w:p>
    <w:p>
      <w:pPr>
        <w:pStyle w:val="12"/>
        <w:numPr>
          <w:ilvl w:val="1"/>
          <w:numId w:val="10"/>
        </w:numPr>
        <w:tabs>
          <w:tab w:val="left" w:pos="1564"/>
        </w:tabs>
        <w:spacing w:before="98" w:after="0" w:line="312" w:lineRule="auto"/>
        <w:ind w:left="482" w:right="1783" w:firstLine="481"/>
        <w:jc w:val="both"/>
        <w:rPr>
          <w:color w:val="auto"/>
          <w:sz w:val="24"/>
        </w:rPr>
      </w:pPr>
      <w:r>
        <w:rPr>
          <w:color w:val="auto"/>
          <w:sz w:val="24"/>
        </w:rPr>
        <w:t>谈判响应供应商应在提交响应文件之前向采购代理机构指定的政府采购保证金专户缴交谈判响应供应商须知前附表要求的谈判保证金。联合体谈判</w:t>
      </w:r>
      <w:r>
        <w:rPr>
          <w:color w:val="auto"/>
          <w:spacing w:val="-5"/>
          <w:sz w:val="24"/>
        </w:rPr>
        <w:t>的，可以由联合体中的一方或者共同提交谈判保证金，以一方名义提交谈判保证金的，对联合体各方均具有约束力。</w:t>
      </w:r>
      <w:r>
        <w:rPr>
          <w:color w:val="auto"/>
          <w:sz w:val="24"/>
        </w:rPr>
        <w:t xml:space="preserve"> </w:t>
      </w:r>
    </w:p>
    <w:p>
      <w:pPr>
        <w:pStyle w:val="12"/>
        <w:numPr>
          <w:ilvl w:val="1"/>
          <w:numId w:val="10"/>
        </w:numPr>
        <w:tabs>
          <w:tab w:val="left" w:pos="1444"/>
        </w:tabs>
        <w:spacing w:before="7" w:after="0" w:line="304" w:lineRule="auto"/>
        <w:ind w:left="482" w:right="1875" w:firstLine="481"/>
        <w:jc w:val="left"/>
        <w:rPr>
          <w:color w:val="auto"/>
          <w:sz w:val="24"/>
        </w:rPr>
      </w:pPr>
      <w:r>
        <w:rPr>
          <w:color w:val="auto"/>
          <w:spacing w:val="-1"/>
          <w:sz w:val="24"/>
        </w:rPr>
        <w:t xml:space="preserve">谈判保证金用于保护本次谈判活动免受谈判响应供应商的行为而引起的风险。 </w:t>
      </w:r>
    </w:p>
    <w:p>
      <w:pPr>
        <w:pStyle w:val="12"/>
        <w:numPr>
          <w:ilvl w:val="1"/>
          <w:numId w:val="10"/>
        </w:numPr>
        <w:tabs>
          <w:tab w:val="left" w:pos="1504"/>
        </w:tabs>
        <w:spacing w:before="15" w:after="0" w:line="240" w:lineRule="auto"/>
        <w:ind w:left="1503" w:right="0" w:hanging="540"/>
        <w:jc w:val="left"/>
        <w:rPr>
          <w:color w:val="auto"/>
          <w:sz w:val="24"/>
        </w:rPr>
      </w:pPr>
      <w:r>
        <w:rPr>
          <w:color w:val="auto"/>
          <w:sz w:val="24"/>
        </w:rPr>
        <w:t xml:space="preserve">谈判保证金交纳方式及其它： </w:t>
      </w:r>
    </w:p>
    <w:p>
      <w:pPr>
        <w:pStyle w:val="8"/>
        <w:spacing w:before="98" w:line="304" w:lineRule="auto"/>
        <w:ind w:left="481" w:right="1740" w:firstLine="481"/>
        <w:rPr>
          <w:color w:val="auto"/>
        </w:rPr>
      </w:pPr>
      <w:r>
        <w:rPr>
          <w:color w:val="auto"/>
        </w:rPr>
        <w:t xml:space="preserve">①谈判保证金以保证金应当采用支票、汇票、本票、网上银行支付等非现金形式交纳。。 </w:t>
      </w:r>
    </w:p>
    <w:p>
      <w:pPr>
        <w:pStyle w:val="8"/>
        <w:spacing w:before="14" w:line="316" w:lineRule="auto"/>
        <w:ind w:left="963" w:right="2357"/>
        <w:rPr>
          <w:color w:val="auto"/>
        </w:rPr>
      </w:pPr>
      <w:r>
        <w:rPr>
          <w:color w:val="auto"/>
        </w:rPr>
        <w:t xml:space="preserve">②若项目存在分包的，则谈判保证金应按不同的合同包号分别提交。12.5 未按要求提交谈判保证金的谈判响应，将被视为无效响应。 </w:t>
      </w:r>
    </w:p>
    <w:p>
      <w:pPr>
        <w:pStyle w:val="12"/>
        <w:numPr>
          <w:ilvl w:val="0"/>
          <w:numId w:val="0"/>
        </w:numPr>
        <w:tabs>
          <w:tab w:val="left" w:pos="1444"/>
        </w:tabs>
        <w:spacing w:before="0" w:after="0" w:line="291" w:lineRule="exact"/>
        <w:ind w:left="963" w:leftChars="0" w:right="0" w:rightChars="0"/>
        <w:jc w:val="left"/>
        <w:rPr>
          <w:color w:val="auto"/>
          <w:sz w:val="22"/>
        </w:rPr>
      </w:pPr>
      <w:r>
        <w:rPr>
          <w:rFonts w:hint="eastAsia"/>
          <w:color w:val="auto"/>
          <w:spacing w:val="-4"/>
          <w:sz w:val="24"/>
          <w:lang w:val="en-US" w:eastAsia="zh-CN"/>
        </w:rPr>
        <w:t>12.6</w:t>
      </w:r>
      <w:r>
        <w:rPr>
          <w:color w:val="auto"/>
          <w:spacing w:val="-4"/>
          <w:sz w:val="24"/>
        </w:rPr>
        <w:t xml:space="preserve">采购代理机构将在成交通知书发出之日起 </w:t>
      </w:r>
      <w:r>
        <w:rPr>
          <w:color w:val="auto"/>
          <w:sz w:val="24"/>
        </w:rPr>
        <w:t>5</w:t>
      </w:r>
      <w:r>
        <w:rPr>
          <w:color w:val="auto"/>
          <w:spacing w:val="-8"/>
          <w:sz w:val="24"/>
        </w:rPr>
        <w:t xml:space="preserve"> 个工作日内予以原额无息</w:t>
      </w:r>
    </w:p>
    <w:p>
      <w:pPr>
        <w:pStyle w:val="8"/>
        <w:spacing w:before="98"/>
        <w:ind w:left="481"/>
        <w:rPr>
          <w:color w:val="auto"/>
        </w:rPr>
      </w:pPr>
      <w:r>
        <w:rPr>
          <w:color w:val="auto"/>
        </w:rPr>
        <w:t xml:space="preserve">退还未成交供应商的谈判保证金。 </w:t>
      </w:r>
    </w:p>
    <w:p>
      <w:pPr>
        <w:pStyle w:val="12"/>
        <w:numPr>
          <w:ilvl w:val="0"/>
          <w:numId w:val="0"/>
        </w:numPr>
        <w:tabs>
          <w:tab w:val="left" w:pos="1504"/>
        </w:tabs>
        <w:spacing w:before="98" w:after="0" w:line="304" w:lineRule="auto"/>
        <w:ind w:left="963" w:leftChars="0" w:right="1785" w:rightChars="0"/>
        <w:jc w:val="left"/>
        <w:rPr>
          <w:color w:val="auto"/>
          <w:sz w:val="24"/>
        </w:rPr>
      </w:pPr>
      <w:r>
        <w:rPr>
          <w:rFonts w:hint="eastAsia"/>
          <w:color w:val="auto"/>
          <w:spacing w:val="-3"/>
          <w:sz w:val="24"/>
          <w:lang w:val="en-US" w:eastAsia="zh-CN"/>
        </w:rPr>
        <w:t>12.7</w:t>
      </w:r>
      <w:r>
        <w:rPr>
          <w:color w:val="auto"/>
          <w:spacing w:val="-3"/>
          <w:sz w:val="24"/>
        </w:rPr>
        <w:t xml:space="preserve">在成交供应商支付所有采购代理服务费并签订合同后 </w:t>
      </w:r>
      <w:r>
        <w:rPr>
          <w:color w:val="auto"/>
          <w:sz w:val="24"/>
        </w:rPr>
        <w:t>5</w:t>
      </w:r>
      <w:r>
        <w:rPr>
          <w:color w:val="auto"/>
          <w:spacing w:val="-20"/>
          <w:sz w:val="24"/>
        </w:rPr>
        <w:t xml:space="preserve"> 个工作日内，采购代理机构对成交供应商的谈判保证金予以原额无息退还。 </w:t>
      </w:r>
    </w:p>
    <w:p>
      <w:pPr>
        <w:pStyle w:val="12"/>
        <w:numPr>
          <w:ilvl w:val="0"/>
          <w:numId w:val="0"/>
        </w:numPr>
        <w:tabs>
          <w:tab w:val="left" w:pos="1444"/>
        </w:tabs>
        <w:spacing w:before="15" w:after="0" w:line="316" w:lineRule="auto"/>
        <w:ind w:left="963" w:leftChars="0" w:right="1872" w:rightChars="0"/>
        <w:jc w:val="left"/>
        <w:rPr>
          <w:color w:val="auto"/>
          <w:sz w:val="22"/>
        </w:rPr>
      </w:pPr>
      <w:r>
        <w:rPr>
          <w:rFonts w:hint="eastAsia"/>
          <w:color w:val="auto"/>
          <w:sz w:val="24"/>
          <w:lang w:val="en-US" w:eastAsia="zh-CN"/>
        </w:rPr>
        <w:t>12.8</w:t>
      </w:r>
      <w:r>
        <w:rPr>
          <w:color w:val="auto"/>
          <w:sz w:val="24"/>
        </w:rPr>
        <w:t xml:space="preserve">发生以下情况之一的，谈判保证金将不予退还，由采购代理机构上缴财政部门： </w:t>
      </w:r>
    </w:p>
    <w:p>
      <w:pPr>
        <w:pStyle w:val="8"/>
        <w:spacing w:line="292" w:lineRule="exact"/>
        <w:ind w:left="481"/>
        <w:rPr>
          <w:color w:val="auto"/>
        </w:rPr>
      </w:pPr>
      <w:r>
        <w:rPr>
          <w:color w:val="auto"/>
        </w:rPr>
        <w:t xml:space="preserve">   （1）谈判响应供应商提交最后报价后，撤回谈判响应； </w:t>
      </w:r>
    </w:p>
    <w:p>
      <w:pPr>
        <w:pStyle w:val="8"/>
        <w:spacing w:before="97"/>
        <w:ind w:left="481"/>
        <w:rPr>
          <w:color w:val="auto"/>
        </w:rPr>
      </w:pPr>
      <w:r>
        <w:rPr>
          <w:color w:val="auto"/>
        </w:rPr>
        <w:t xml:space="preserve">   （2）除因不可抗力或谈判文件认可的情形外，成交供应商未能做到按本须知</w:t>
      </w:r>
    </w:p>
    <w:p>
      <w:pPr>
        <w:spacing w:after="0"/>
        <w:rPr>
          <w:color w:val="auto"/>
        </w:rPr>
        <w:sectPr>
          <w:pgSz w:w="11910" w:h="16850"/>
          <w:pgMar w:top="1460" w:right="0" w:bottom="1160" w:left="1260" w:header="0" w:footer="891" w:gutter="0"/>
          <w:cols w:space="720" w:num="1"/>
        </w:sectPr>
      </w:pPr>
    </w:p>
    <w:p>
      <w:pPr>
        <w:pStyle w:val="8"/>
        <w:spacing w:before="51"/>
        <w:ind w:left="481"/>
        <w:rPr>
          <w:color w:val="auto"/>
        </w:rPr>
      </w:pPr>
      <w:r>
        <w:rPr>
          <w:color w:val="auto"/>
        </w:rPr>
        <w:t xml:space="preserve">规定签订合同的； </w:t>
      </w:r>
    </w:p>
    <w:p>
      <w:pPr>
        <w:pStyle w:val="8"/>
        <w:spacing w:before="98"/>
        <w:ind w:left="481"/>
        <w:rPr>
          <w:color w:val="auto"/>
        </w:rPr>
      </w:pPr>
      <w:r>
        <w:rPr>
          <w:color w:val="auto"/>
        </w:rPr>
        <w:t xml:space="preserve">   （3）以他人名义参与谈判响应或者以其他方式弄虚作假，骗取成交的； </w:t>
      </w:r>
    </w:p>
    <w:p>
      <w:pPr>
        <w:pStyle w:val="8"/>
        <w:spacing w:before="83"/>
        <w:ind w:left="481"/>
        <w:rPr>
          <w:color w:val="auto"/>
        </w:rPr>
      </w:pPr>
      <w:r>
        <w:rPr>
          <w:color w:val="auto"/>
        </w:rPr>
        <w:t xml:space="preserve">   （4）谈判响应供应商在响应文件中提供虚假材料的； </w:t>
      </w:r>
    </w:p>
    <w:p>
      <w:pPr>
        <w:pStyle w:val="8"/>
        <w:spacing w:before="98"/>
        <w:ind w:left="842"/>
        <w:rPr>
          <w:color w:val="auto"/>
        </w:rPr>
      </w:pPr>
      <w:r>
        <w:rPr>
          <w:color w:val="auto"/>
        </w:rPr>
        <w:t xml:space="preserve">（5）在禁止参加政府采购活动的处罚期内，仍参加政府采购活动的； </w:t>
      </w:r>
    </w:p>
    <w:p>
      <w:pPr>
        <w:pStyle w:val="8"/>
        <w:spacing w:before="98"/>
        <w:ind w:left="842"/>
        <w:rPr>
          <w:color w:val="auto"/>
        </w:rPr>
      </w:pPr>
      <w:r>
        <w:rPr>
          <w:color w:val="auto"/>
        </w:rPr>
        <w:t xml:space="preserve">（6）以不正当手段诋毁、排挤其他供应商的； </w:t>
      </w:r>
    </w:p>
    <w:p>
      <w:pPr>
        <w:pStyle w:val="8"/>
        <w:spacing w:before="83"/>
        <w:ind w:left="842"/>
        <w:rPr>
          <w:color w:val="auto"/>
        </w:rPr>
      </w:pPr>
      <w:r>
        <w:rPr>
          <w:color w:val="auto"/>
        </w:rPr>
        <w:t xml:space="preserve">（7）因本项目政府采购过程中的违法行为，受到行政处罚的； </w:t>
      </w:r>
    </w:p>
    <w:p>
      <w:pPr>
        <w:pStyle w:val="8"/>
        <w:spacing w:before="97"/>
        <w:ind w:left="842"/>
        <w:rPr>
          <w:color w:val="auto"/>
        </w:rPr>
      </w:pPr>
      <w:r>
        <w:rPr>
          <w:color w:val="auto"/>
        </w:rPr>
        <w:t xml:space="preserve">（8）与采购人、其他供应商或者采购代理机构恶意串通的； </w:t>
      </w:r>
    </w:p>
    <w:p>
      <w:pPr>
        <w:pStyle w:val="8"/>
        <w:spacing w:before="98" w:line="309" w:lineRule="auto"/>
        <w:ind w:left="481" w:right="1666" w:firstLine="360"/>
        <w:rPr>
          <w:color w:val="auto"/>
        </w:rPr>
      </w:pPr>
      <w:r>
        <w:rPr>
          <w:color w:val="auto"/>
        </w:rPr>
        <w:t xml:space="preserve">（9）法律、法规、规章及本谈判文件中规定的其他没收谈判保证金的情形。上述不予退还谈判保证金的情形给采购单位造成损失的，相关责任人还应当承担赔偿责任。 </w:t>
      </w:r>
    </w:p>
    <w:p>
      <w:pPr>
        <w:pStyle w:val="12"/>
        <w:numPr>
          <w:ilvl w:val="0"/>
          <w:numId w:val="0"/>
        </w:numPr>
        <w:tabs>
          <w:tab w:val="left" w:pos="1384"/>
        </w:tabs>
        <w:spacing w:before="101" w:after="0" w:line="240" w:lineRule="auto"/>
        <w:ind w:left="902" w:leftChars="0" w:right="0" w:rightChars="0"/>
        <w:jc w:val="left"/>
        <w:rPr>
          <w:rFonts w:ascii="Calibri" w:eastAsia="Calibri"/>
          <w:color w:val="auto"/>
          <w:sz w:val="24"/>
        </w:rPr>
      </w:pPr>
      <w:r>
        <w:rPr>
          <w:rFonts w:hint="eastAsia"/>
          <w:color w:val="auto"/>
          <w:sz w:val="24"/>
          <w:lang w:val="en-US" w:eastAsia="zh-CN"/>
        </w:rPr>
        <w:t>12.9</w:t>
      </w:r>
      <w:r>
        <w:rPr>
          <w:color w:val="auto"/>
          <w:sz w:val="24"/>
        </w:rPr>
        <w:t xml:space="preserve">保证金缴纳流程如下： </w:t>
      </w:r>
    </w:p>
    <w:p>
      <w:pPr>
        <w:pStyle w:val="8"/>
        <w:spacing w:before="203"/>
        <w:ind w:left="902"/>
        <w:rPr>
          <w:color w:val="auto"/>
        </w:rPr>
      </w:pPr>
      <w:r>
        <w:rPr>
          <w:color w:val="auto"/>
        </w:rPr>
        <w:t xml:space="preserve">1.线上报名获取缴纳随机码 </w:t>
      </w:r>
    </w:p>
    <w:p>
      <w:pPr>
        <w:pStyle w:val="8"/>
        <w:rPr>
          <w:color w:val="auto"/>
          <w:sz w:val="17"/>
        </w:rPr>
      </w:pPr>
    </w:p>
    <w:p>
      <w:pPr>
        <w:pStyle w:val="8"/>
        <w:ind w:left="902"/>
        <w:rPr>
          <w:color w:val="auto"/>
        </w:rPr>
      </w:pPr>
      <w:r>
        <w:rPr>
          <w:color w:val="auto"/>
        </w:rPr>
        <w:t xml:space="preserve">·登录公共资源电子交易系统（jyzx.trs.gov.cn） </w:t>
      </w:r>
    </w:p>
    <w:p>
      <w:pPr>
        <w:pStyle w:val="8"/>
        <w:rPr>
          <w:color w:val="auto"/>
          <w:sz w:val="17"/>
        </w:rPr>
      </w:pPr>
    </w:p>
    <w:p>
      <w:pPr>
        <w:pStyle w:val="12"/>
        <w:numPr>
          <w:ilvl w:val="0"/>
          <w:numId w:val="2"/>
        </w:numPr>
        <w:tabs>
          <w:tab w:val="left" w:pos="1144"/>
        </w:tabs>
        <w:spacing w:before="1" w:after="0" w:line="398" w:lineRule="auto"/>
        <w:ind w:left="902" w:right="1783" w:firstLine="0"/>
        <w:jc w:val="left"/>
        <w:rPr>
          <w:color w:val="auto"/>
          <w:sz w:val="24"/>
        </w:rPr>
      </w:pPr>
      <w:r>
        <w:rPr>
          <w:color w:val="auto"/>
          <w:spacing w:val="-14"/>
          <w:sz w:val="24"/>
        </w:rPr>
        <w:t xml:space="preserve">进入【业务管理】-【填写投标信息】 搜索或直接找到拟报名项目，点【操作】按钮，进入该项目报名页面。 </w:t>
      </w:r>
    </w:p>
    <w:p>
      <w:pPr>
        <w:pStyle w:val="8"/>
        <w:spacing w:before="15" w:line="410" w:lineRule="auto"/>
        <w:ind w:left="902" w:right="1800"/>
        <w:rPr>
          <w:color w:val="auto"/>
        </w:rPr>
      </w:pPr>
      <w:r>
        <w:rPr>
          <w:color w:val="auto"/>
        </w:rPr>
        <w:t xml:space="preserve">·进入报名页面 填写完报名信息后（带*号为必填项），点左上角【保存修改】按钮。 </w:t>
      </w:r>
    </w:p>
    <w:p>
      <w:pPr>
        <w:pStyle w:val="12"/>
        <w:numPr>
          <w:ilvl w:val="0"/>
          <w:numId w:val="2"/>
        </w:numPr>
        <w:tabs>
          <w:tab w:val="left" w:pos="1144"/>
        </w:tabs>
        <w:spacing w:before="0" w:after="0" w:line="292" w:lineRule="exact"/>
        <w:ind w:left="902" w:right="0" w:firstLine="0"/>
        <w:jc w:val="left"/>
        <w:rPr>
          <w:color w:val="auto"/>
          <w:sz w:val="24"/>
        </w:rPr>
      </w:pPr>
      <w:r>
        <w:rPr>
          <w:color w:val="auto"/>
          <w:spacing w:val="-7"/>
          <w:sz w:val="24"/>
        </w:rPr>
        <w:t>报名成功后 在该页面会生成【保证金缴纳随机码】，务必记录留存备用。</w:t>
      </w:r>
    </w:p>
    <w:p>
      <w:pPr>
        <w:pStyle w:val="8"/>
        <w:rPr>
          <w:color w:val="auto"/>
          <w:sz w:val="17"/>
        </w:rPr>
      </w:pPr>
    </w:p>
    <w:p>
      <w:pPr>
        <w:pStyle w:val="8"/>
        <w:ind w:left="902"/>
        <w:rPr>
          <w:color w:val="auto"/>
        </w:rPr>
      </w:pPr>
      <w:r>
        <w:rPr>
          <w:color w:val="auto"/>
        </w:rPr>
        <w:t xml:space="preserve">该随机码一旦生成，即使修改报名信息，也不可更改。 </w:t>
      </w:r>
    </w:p>
    <w:p>
      <w:pPr>
        <w:pStyle w:val="8"/>
        <w:spacing w:before="12"/>
        <w:rPr>
          <w:color w:val="auto"/>
          <w:sz w:val="16"/>
        </w:rPr>
      </w:pPr>
    </w:p>
    <w:p>
      <w:pPr>
        <w:pStyle w:val="8"/>
        <w:ind w:left="902"/>
        <w:rPr>
          <w:color w:val="auto"/>
        </w:rPr>
      </w:pPr>
      <w:r>
        <w:rPr>
          <w:color w:val="auto"/>
        </w:rPr>
        <w:t xml:space="preserve">2.缴纳保证金 </w:t>
      </w:r>
    </w:p>
    <w:p>
      <w:pPr>
        <w:pStyle w:val="8"/>
        <w:spacing w:before="203" w:line="405" w:lineRule="auto"/>
        <w:ind w:left="902" w:right="1794"/>
        <w:jc w:val="both"/>
        <w:rPr>
          <w:color w:val="auto"/>
        </w:rPr>
      </w:pPr>
      <w:r>
        <w:rPr>
          <w:color w:val="auto"/>
        </w:rPr>
        <w:t>·按照招标文件要求将投标保证金缴纳到交易中心保证金账户，打款账户必</w:t>
      </w:r>
      <w:r>
        <w:rPr>
          <w:color w:val="auto"/>
          <w:spacing w:val="-4"/>
        </w:rPr>
        <w:t>须与交易系统中登记的账户信息一致</w:t>
      </w:r>
      <w:r>
        <w:rPr>
          <w:color w:val="auto"/>
        </w:rPr>
        <w:t>（要求从登记的基本户打款</w:t>
      </w:r>
      <w:r>
        <w:rPr>
          <w:color w:val="auto"/>
          <w:spacing w:val="-53"/>
        </w:rPr>
        <w:t>）</w:t>
      </w:r>
      <w:r>
        <w:rPr>
          <w:color w:val="auto"/>
          <w:spacing w:val="-24"/>
        </w:rPr>
        <w:t>，即与【诚</w:t>
      </w:r>
      <w:r>
        <w:rPr>
          <w:color w:val="auto"/>
          <w:spacing w:val="-18"/>
        </w:rPr>
        <w:t xml:space="preserve">信库管理】-【基本信息】中的 基本户开户银行、基本户开户账号、基本账户名称保持一致。 </w:t>
      </w:r>
    </w:p>
    <w:p>
      <w:pPr>
        <w:pStyle w:val="8"/>
        <w:spacing w:before="9" w:line="410" w:lineRule="auto"/>
        <w:ind w:left="902" w:right="1794"/>
        <w:rPr>
          <w:color w:val="auto"/>
        </w:rPr>
      </w:pPr>
      <w:r>
        <w:rPr>
          <w:color w:val="auto"/>
        </w:rPr>
        <w:t xml:space="preserve">·不论何种渠道转款（不可用现金转账），转款备注（用途）栏唯一必填报名时生成获取的【保证金缴纳随机码】； </w:t>
      </w:r>
    </w:p>
    <w:p>
      <w:pPr>
        <w:pStyle w:val="12"/>
        <w:numPr>
          <w:ilvl w:val="0"/>
          <w:numId w:val="2"/>
        </w:numPr>
        <w:tabs>
          <w:tab w:val="left" w:pos="1189"/>
        </w:tabs>
        <w:spacing w:before="14" w:after="0" w:line="398" w:lineRule="auto"/>
        <w:ind w:left="482" w:right="1768" w:firstLine="466"/>
        <w:jc w:val="left"/>
        <w:rPr>
          <w:color w:val="auto"/>
          <w:sz w:val="24"/>
        </w:rPr>
      </w:pPr>
      <w:r>
        <w:rPr>
          <w:color w:val="auto"/>
          <w:spacing w:val="-3"/>
          <w:sz w:val="24"/>
        </w:rPr>
        <w:t>打款账户信息与中心注册不一致、备注栏为空、书写其他</w:t>
      </w:r>
      <w:r>
        <w:rPr>
          <w:color w:val="auto"/>
          <w:sz w:val="24"/>
        </w:rPr>
        <w:t>（XX</w:t>
      </w:r>
      <w:r>
        <w:rPr>
          <w:color w:val="auto"/>
          <w:spacing w:val="-13"/>
          <w:sz w:val="24"/>
        </w:rPr>
        <w:t xml:space="preserve"> 项目保证金之类）、随机码填写错误，均会造成保证金无法匹配进交易系统。</w:t>
      </w:r>
      <w:r>
        <w:rPr>
          <w:color w:val="auto"/>
          <w:sz w:val="24"/>
        </w:rPr>
        <w:t xml:space="preserve"> </w:t>
      </w:r>
    </w:p>
    <w:p>
      <w:pPr>
        <w:spacing w:after="0" w:line="398" w:lineRule="auto"/>
        <w:jc w:val="left"/>
        <w:rPr>
          <w:color w:val="auto"/>
          <w:sz w:val="24"/>
        </w:rPr>
        <w:sectPr>
          <w:pgSz w:w="11910" w:h="16850"/>
          <w:pgMar w:top="1460" w:right="0" w:bottom="1160" w:left="1260" w:header="0" w:footer="891" w:gutter="0"/>
          <w:cols w:space="720" w:num="1"/>
        </w:sectPr>
      </w:pPr>
    </w:p>
    <w:p>
      <w:pPr>
        <w:pStyle w:val="8"/>
        <w:spacing w:before="51" w:line="388" w:lineRule="auto"/>
        <w:ind w:left="481" w:right="1752" w:firstLine="466"/>
        <w:jc w:val="both"/>
        <w:rPr>
          <w:color w:val="auto"/>
        </w:rPr>
      </w:pPr>
      <w:r>
        <w:rPr>
          <w:color w:val="auto"/>
        </w:rPr>
        <w:t xml:space="preserve">.投标保证金交纳方式:采用银行转账、电汇形式提交:具体缴退流程见铜仁市公共资源交易中心网站，点击首页-办事指南-保证金缴退，自行缴纳保证金； 或采用《投标保证金保函》（电子保函）提交：具体操作方式见铜仁市公共资源交易中心首页-办事指南-政府采购-常见问题解答-《投标电子保函申请操作步骤》 </w:t>
      </w:r>
    </w:p>
    <w:p>
      <w:pPr>
        <w:pStyle w:val="8"/>
        <w:spacing w:before="17"/>
        <w:ind w:left="948"/>
        <w:rPr>
          <w:color w:val="auto"/>
        </w:rPr>
      </w:pPr>
      <w:r>
        <w:rPr>
          <w:color w:val="auto"/>
        </w:rPr>
        <w:t xml:space="preserve">3.打印回执 </w:t>
      </w:r>
    </w:p>
    <w:p>
      <w:pPr>
        <w:pStyle w:val="8"/>
        <w:spacing w:before="6"/>
        <w:rPr>
          <w:color w:val="auto"/>
          <w:sz w:val="9"/>
        </w:rPr>
      </w:pPr>
    </w:p>
    <w:p>
      <w:pPr>
        <w:pStyle w:val="8"/>
        <w:spacing w:before="67"/>
        <w:ind w:left="3260"/>
        <w:rPr>
          <w:color w:val="auto"/>
        </w:rPr>
      </w:pPr>
      <w:r>
        <w:rPr>
          <w:color w:val="auto"/>
        </w:rPr>
        <w:drawing>
          <wp:anchor distT="0" distB="0" distL="0" distR="0" simplePos="0" relativeHeight="251661312" behindDoc="1" locked="0" layoutInCell="1" allowOverlap="1">
            <wp:simplePos x="0" y="0"/>
            <wp:positionH relativeFrom="page">
              <wp:posOffset>1402080</wp:posOffset>
            </wp:positionH>
            <wp:positionV relativeFrom="paragraph">
              <wp:posOffset>61595</wp:posOffset>
            </wp:positionV>
            <wp:extent cx="1615440" cy="1524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11" cstate="print"/>
                    <a:stretch>
                      <a:fillRect/>
                    </a:stretch>
                  </pic:blipFill>
                  <pic:spPr>
                    <a:xfrm>
                      <a:off x="0" y="0"/>
                      <a:ext cx="1615567" cy="152400"/>
                    </a:xfrm>
                    <a:prstGeom prst="rect">
                      <a:avLst/>
                    </a:prstGeom>
                  </pic:spPr>
                </pic:pic>
              </a:graphicData>
            </a:graphic>
          </wp:anchor>
        </w:drawing>
      </w:r>
      <w:r>
        <w:rPr>
          <w:color w:val="auto"/>
        </w:rPr>
        <w:t>-【查询投标保证金缴纳情况】 搜索或直接找到项目，</w:t>
      </w:r>
    </w:p>
    <w:p>
      <w:pPr>
        <w:pStyle w:val="8"/>
        <w:spacing w:before="187"/>
        <w:ind w:left="481"/>
        <w:rPr>
          <w:color w:val="auto"/>
        </w:rPr>
      </w:pPr>
      <w:r>
        <w:rPr>
          <w:color w:val="auto"/>
        </w:rPr>
        <w:t xml:space="preserve">查看【缴纳状态】，如支付成功，将显示“已缴纳保证金”。 </w:t>
      </w:r>
    </w:p>
    <w:p>
      <w:pPr>
        <w:pStyle w:val="5"/>
        <w:spacing w:before="83"/>
        <w:rPr>
          <w:color w:val="auto"/>
        </w:rPr>
      </w:pPr>
      <w:r>
        <w:rPr>
          <w:color w:val="auto"/>
        </w:rPr>
        <w:t>13.谈判响应文件的格式</w:t>
      </w:r>
      <w:r>
        <w:rPr>
          <w:color w:val="auto"/>
          <w:w w:val="99"/>
        </w:rPr>
        <w:t xml:space="preserve"> </w:t>
      </w:r>
    </w:p>
    <w:p>
      <w:pPr>
        <w:pStyle w:val="12"/>
        <w:numPr>
          <w:ilvl w:val="1"/>
          <w:numId w:val="11"/>
        </w:numPr>
        <w:tabs>
          <w:tab w:val="left" w:pos="1504"/>
        </w:tabs>
        <w:spacing w:before="83" w:after="0" w:line="312" w:lineRule="auto"/>
        <w:ind w:left="482" w:right="1763" w:firstLine="481"/>
        <w:jc w:val="both"/>
        <w:rPr>
          <w:color w:val="auto"/>
          <w:sz w:val="24"/>
        </w:rPr>
      </w:pPr>
      <w:r>
        <w:rPr>
          <w:color w:val="auto"/>
          <w:spacing w:val="-6"/>
          <w:sz w:val="24"/>
        </w:rPr>
        <w:t>投标人应将投标文件用密封袋密封，正、副本单独封装，投标文件密封</w:t>
      </w:r>
      <w:r>
        <w:rPr>
          <w:color w:val="auto"/>
          <w:spacing w:val="-7"/>
          <w:sz w:val="24"/>
        </w:rPr>
        <w:t>袋及正文封面均应注明“正本”“副本”。正副本信封及投标文件封面均应写明</w:t>
      </w:r>
      <w:r>
        <w:rPr>
          <w:color w:val="auto"/>
          <w:spacing w:val="-8"/>
          <w:sz w:val="24"/>
        </w:rPr>
        <w:t>项目名称、招标编号、投标人名称、地址、联系人及联系人电话，并加盖投标单位公章和法定代表人印章。请将响应文件逐页加盖投标单位公章。</w:t>
      </w:r>
      <w:r>
        <w:rPr>
          <w:color w:val="auto"/>
          <w:sz w:val="24"/>
        </w:rPr>
        <w:t xml:space="preserve"> </w:t>
      </w:r>
    </w:p>
    <w:p>
      <w:pPr>
        <w:pStyle w:val="12"/>
        <w:numPr>
          <w:ilvl w:val="1"/>
          <w:numId w:val="11"/>
        </w:numPr>
        <w:tabs>
          <w:tab w:val="left" w:pos="1504"/>
        </w:tabs>
        <w:spacing w:before="8" w:after="0" w:line="316" w:lineRule="auto"/>
        <w:ind w:left="482" w:right="1929" w:firstLine="481"/>
        <w:jc w:val="left"/>
        <w:rPr>
          <w:color w:val="auto"/>
          <w:sz w:val="24"/>
        </w:rPr>
      </w:pPr>
      <w:r>
        <w:rPr>
          <w:color w:val="auto"/>
          <w:sz w:val="24"/>
        </w:rPr>
        <w:t>响应文件应由谈判响应供应商的法定代表人或其授权代表签字并加盖</w:t>
      </w:r>
      <w:r>
        <w:rPr>
          <w:color w:val="auto"/>
          <w:spacing w:val="-1"/>
          <w:sz w:val="24"/>
        </w:rPr>
        <w:t>公章，如由后者签字，应提供“法定代表人授权委托书”。</w:t>
      </w:r>
      <w:r>
        <w:rPr>
          <w:color w:val="auto"/>
          <w:sz w:val="24"/>
        </w:rPr>
        <w:t xml:space="preserve"> </w:t>
      </w:r>
    </w:p>
    <w:p>
      <w:pPr>
        <w:pStyle w:val="12"/>
        <w:numPr>
          <w:ilvl w:val="1"/>
          <w:numId w:val="11"/>
        </w:numPr>
        <w:tabs>
          <w:tab w:val="left" w:pos="1504"/>
        </w:tabs>
        <w:spacing w:before="0" w:after="0" w:line="291" w:lineRule="exact"/>
        <w:ind w:left="482" w:right="0" w:firstLine="481"/>
        <w:jc w:val="left"/>
        <w:rPr>
          <w:color w:val="auto"/>
          <w:sz w:val="24"/>
        </w:rPr>
      </w:pPr>
      <w:r>
        <w:rPr>
          <w:color w:val="auto"/>
          <w:spacing w:val="-1"/>
          <w:sz w:val="24"/>
        </w:rPr>
        <w:t>除非另有规定或许可，谈判响应使用货币为人民币。</w:t>
      </w:r>
      <w:r>
        <w:rPr>
          <w:color w:val="auto"/>
          <w:sz w:val="24"/>
        </w:rPr>
        <w:t xml:space="preserve"> </w:t>
      </w:r>
    </w:p>
    <w:p>
      <w:pPr>
        <w:pStyle w:val="12"/>
        <w:numPr>
          <w:ilvl w:val="1"/>
          <w:numId w:val="11"/>
        </w:numPr>
        <w:tabs>
          <w:tab w:val="left" w:pos="1504"/>
        </w:tabs>
        <w:spacing w:before="98" w:after="0" w:line="309" w:lineRule="auto"/>
        <w:ind w:left="482" w:right="1754" w:firstLine="481"/>
        <w:jc w:val="both"/>
        <w:rPr>
          <w:color w:val="auto"/>
          <w:sz w:val="24"/>
        </w:rPr>
      </w:pPr>
      <w:r>
        <w:rPr>
          <w:color w:val="auto"/>
          <w:spacing w:val="-6"/>
          <w:sz w:val="24"/>
        </w:rPr>
        <w:t xml:space="preserve">谈判响应供应商应提交证明其拟供货物、服务、工程符合谈判文件要求的技术响应文件，该文件可以是文字资料、图纸和数据，并须提供货物、服务、工程主要技术性能的详细描述。 </w:t>
      </w:r>
    </w:p>
    <w:p>
      <w:pPr>
        <w:pStyle w:val="12"/>
        <w:numPr>
          <w:ilvl w:val="1"/>
          <w:numId w:val="11"/>
        </w:numPr>
        <w:tabs>
          <w:tab w:val="left" w:pos="1504"/>
        </w:tabs>
        <w:spacing w:before="11" w:after="0" w:line="316" w:lineRule="auto"/>
        <w:ind w:left="482" w:right="1779" w:firstLine="481"/>
        <w:jc w:val="both"/>
        <w:rPr>
          <w:color w:val="auto"/>
          <w:sz w:val="24"/>
        </w:rPr>
      </w:pPr>
      <w:r>
        <w:rPr>
          <w:color w:val="auto"/>
          <w:spacing w:val="-4"/>
          <w:sz w:val="24"/>
        </w:rPr>
        <w:t>谈判文件的正本和全部副本均应使用不能擦去的墨料或墨水打印、书写</w:t>
      </w:r>
      <w:r>
        <w:rPr>
          <w:color w:val="auto"/>
          <w:spacing w:val="-5"/>
          <w:sz w:val="24"/>
        </w:rPr>
        <w:t>或复印，并由法定代表人或其授权代表签署，盖谈判响应供应商公章。</w:t>
      </w:r>
      <w:r>
        <w:rPr>
          <w:color w:val="auto"/>
          <w:sz w:val="24"/>
        </w:rPr>
        <w:t xml:space="preserve"> </w:t>
      </w:r>
    </w:p>
    <w:p>
      <w:pPr>
        <w:pStyle w:val="12"/>
        <w:numPr>
          <w:ilvl w:val="1"/>
          <w:numId w:val="11"/>
        </w:numPr>
        <w:tabs>
          <w:tab w:val="left" w:pos="1445"/>
        </w:tabs>
        <w:spacing w:before="0" w:after="0" w:line="291" w:lineRule="exact"/>
        <w:ind w:left="1444" w:right="0" w:hanging="481"/>
        <w:jc w:val="left"/>
        <w:rPr>
          <w:color w:val="auto"/>
          <w:sz w:val="24"/>
        </w:rPr>
      </w:pPr>
      <w:r>
        <w:rPr>
          <w:color w:val="auto"/>
          <w:sz w:val="24"/>
        </w:rPr>
        <w:t>全套响应文件应无涂改和行间插字，除非这些改动是根据采购代理机</w:t>
      </w:r>
    </w:p>
    <w:p>
      <w:pPr>
        <w:pStyle w:val="8"/>
        <w:spacing w:before="98" w:line="309" w:lineRule="auto"/>
        <w:ind w:left="481" w:right="1782"/>
        <w:jc w:val="both"/>
        <w:rPr>
          <w:color w:val="auto"/>
        </w:rPr>
      </w:pPr>
      <w:r>
        <w:rPr>
          <w:color w:val="auto"/>
        </w:rPr>
        <w:t>构的指示进行的，或者是为改正谈判响应供应商造成的必须修改的错误而进行</w:t>
      </w:r>
      <w:r>
        <w:rPr>
          <w:color w:val="auto"/>
          <w:spacing w:val="-6"/>
        </w:rPr>
        <w:t xml:space="preserve">的。有改动时，修改处应由法定代表人或授权代表签字证明或加盖谈判响应供应商公章。 </w:t>
      </w:r>
    </w:p>
    <w:p>
      <w:pPr>
        <w:pStyle w:val="12"/>
        <w:numPr>
          <w:ilvl w:val="1"/>
          <w:numId w:val="11"/>
        </w:numPr>
        <w:tabs>
          <w:tab w:val="left" w:pos="1504"/>
        </w:tabs>
        <w:spacing w:before="11" w:after="0" w:line="316" w:lineRule="auto"/>
        <w:ind w:left="482" w:right="1780" w:firstLine="481"/>
        <w:jc w:val="both"/>
        <w:rPr>
          <w:color w:val="auto"/>
          <w:sz w:val="24"/>
        </w:rPr>
      </w:pPr>
      <w:r>
        <w:rPr>
          <w:color w:val="auto"/>
          <w:spacing w:val="-5"/>
          <w:sz w:val="24"/>
        </w:rPr>
        <w:t xml:space="preserve">未按本须知规定的格式填写响应文件、响应文件字迹模糊不清的，其谈判响应将被拒绝。 </w:t>
      </w:r>
    </w:p>
    <w:p>
      <w:pPr>
        <w:pStyle w:val="12"/>
        <w:numPr>
          <w:ilvl w:val="1"/>
          <w:numId w:val="11"/>
        </w:numPr>
        <w:tabs>
          <w:tab w:val="left" w:pos="1444"/>
        </w:tabs>
        <w:spacing w:before="0" w:after="0" w:line="291" w:lineRule="exact"/>
        <w:ind w:left="1444" w:right="0" w:hanging="481"/>
        <w:jc w:val="left"/>
        <w:rPr>
          <w:color w:val="auto"/>
          <w:sz w:val="24"/>
        </w:rPr>
      </w:pPr>
      <w:r>
        <w:rPr>
          <w:color w:val="auto"/>
          <w:spacing w:val="-1"/>
          <w:sz w:val="24"/>
        </w:rPr>
        <w:t xml:space="preserve">所有资格证明文件复印件须加盖谈判响应供应商公章。 </w:t>
      </w:r>
    </w:p>
    <w:p>
      <w:pPr>
        <w:pStyle w:val="12"/>
        <w:numPr>
          <w:ilvl w:val="1"/>
          <w:numId w:val="11"/>
        </w:numPr>
        <w:tabs>
          <w:tab w:val="left" w:pos="1504"/>
        </w:tabs>
        <w:spacing w:before="98" w:after="0" w:line="309" w:lineRule="auto"/>
        <w:ind w:left="482" w:right="1769" w:firstLine="481"/>
        <w:jc w:val="both"/>
        <w:rPr>
          <w:color w:val="auto"/>
          <w:sz w:val="24"/>
        </w:rPr>
      </w:pPr>
      <w:r>
        <w:rPr>
          <w:color w:val="auto"/>
          <w:sz w:val="24"/>
        </w:rPr>
        <w:t>谈判响应供应商应将上述文件按顺序胶装成册</w:t>
      </w:r>
      <w:r>
        <w:rPr>
          <w:b/>
          <w:color w:val="auto"/>
          <w:spacing w:val="-30"/>
          <w:sz w:val="24"/>
        </w:rPr>
        <w:t>、</w:t>
      </w:r>
      <w:r>
        <w:rPr>
          <w:color w:val="auto"/>
          <w:spacing w:val="-7"/>
          <w:sz w:val="24"/>
        </w:rPr>
        <w:t>打印页码，并编列响应</w:t>
      </w:r>
      <w:r>
        <w:rPr>
          <w:color w:val="auto"/>
          <w:spacing w:val="-8"/>
          <w:sz w:val="24"/>
        </w:rPr>
        <w:t xml:space="preserve">文件目录、资料清单，由于装订不规范或编排顺序混乱而导致响应文件被误读或漏读，该谈判响应可能被视为无效响应或承担不利的评审结果。 </w:t>
      </w:r>
    </w:p>
    <w:p>
      <w:pPr>
        <w:pStyle w:val="8"/>
        <w:spacing w:before="11"/>
        <w:ind w:left="963"/>
        <w:rPr>
          <w:color w:val="auto"/>
        </w:rPr>
      </w:pPr>
      <w:r>
        <w:rPr>
          <w:color w:val="auto"/>
        </w:rPr>
        <w:t xml:space="preserve"> </w:t>
      </w:r>
    </w:p>
    <w:p>
      <w:pPr>
        <w:spacing w:after="0"/>
        <w:rPr>
          <w:color w:val="auto"/>
        </w:rPr>
        <w:sectPr>
          <w:pgSz w:w="11910" w:h="16850"/>
          <w:pgMar w:top="1580" w:right="0" w:bottom="1160" w:left="1260" w:header="0" w:footer="891" w:gutter="0"/>
          <w:cols w:space="720" w:num="1"/>
        </w:sectPr>
      </w:pPr>
    </w:p>
    <w:p>
      <w:pPr>
        <w:pStyle w:val="3"/>
        <w:spacing w:before="41"/>
        <w:ind w:left="3501"/>
        <w:rPr>
          <w:color w:val="auto"/>
        </w:rPr>
      </w:pPr>
      <w:r>
        <w:rPr>
          <w:color w:val="auto"/>
        </w:rPr>
        <w:t>四、响应文件的提交</w:t>
      </w:r>
      <w:r>
        <w:rPr>
          <w:color w:val="auto"/>
          <w:w w:val="100"/>
        </w:rPr>
        <w:t xml:space="preserve"> </w:t>
      </w:r>
    </w:p>
    <w:p>
      <w:pPr>
        <w:pStyle w:val="5"/>
        <w:spacing w:before="79"/>
        <w:rPr>
          <w:color w:val="auto"/>
        </w:rPr>
      </w:pPr>
      <w:r>
        <w:rPr>
          <w:color w:val="auto"/>
        </w:rPr>
        <w:t>14.响应文件的密封、标记和递交</w:t>
      </w:r>
      <w:r>
        <w:rPr>
          <w:color w:val="auto"/>
          <w:w w:val="99"/>
        </w:rPr>
        <w:t xml:space="preserve"> </w:t>
      </w:r>
    </w:p>
    <w:p>
      <w:pPr>
        <w:pStyle w:val="12"/>
        <w:numPr>
          <w:ilvl w:val="1"/>
          <w:numId w:val="12"/>
        </w:numPr>
        <w:tabs>
          <w:tab w:val="left" w:pos="1444"/>
        </w:tabs>
        <w:spacing w:before="82" w:after="0" w:line="316" w:lineRule="auto"/>
        <w:ind w:left="482" w:right="1769" w:firstLine="481"/>
        <w:jc w:val="both"/>
        <w:rPr>
          <w:color w:val="auto"/>
          <w:sz w:val="24"/>
        </w:rPr>
      </w:pPr>
      <w:r>
        <w:rPr>
          <w:color w:val="auto"/>
          <w:sz w:val="24"/>
        </w:rPr>
        <w:t>谈判响应供应商应将响应文件正本和副本分别用信封密封，并标明谈</w:t>
      </w:r>
      <w:r>
        <w:rPr>
          <w:color w:val="auto"/>
          <w:spacing w:val="-1"/>
          <w:sz w:val="24"/>
        </w:rPr>
        <w:t xml:space="preserve">判文件编号、谈判响应供应商名称、采购项目名称及“正本”或“副本”。响应文件未密封可导致其谈判被拒绝。      </w:t>
      </w:r>
    </w:p>
    <w:p>
      <w:pPr>
        <w:pStyle w:val="12"/>
        <w:numPr>
          <w:ilvl w:val="1"/>
          <w:numId w:val="12"/>
        </w:numPr>
        <w:tabs>
          <w:tab w:val="left" w:pos="1445"/>
        </w:tabs>
        <w:spacing w:before="0" w:after="0" w:line="291" w:lineRule="exact"/>
        <w:ind w:left="1444" w:right="0" w:hanging="481"/>
        <w:jc w:val="left"/>
        <w:rPr>
          <w:color w:val="auto"/>
          <w:sz w:val="24"/>
        </w:rPr>
      </w:pPr>
      <w:r>
        <w:rPr>
          <w:color w:val="auto"/>
          <w:spacing w:val="-1"/>
          <w:sz w:val="24"/>
        </w:rPr>
        <w:t>如果未按上述规定进行密封和标记，采购代理机构将不承担由此造成</w:t>
      </w:r>
    </w:p>
    <w:p>
      <w:pPr>
        <w:pStyle w:val="8"/>
        <w:spacing w:before="98"/>
        <w:ind w:left="481"/>
        <w:rPr>
          <w:color w:val="auto"/>
        </w:rPr>
      </w:pPr>
      <w:r>
        <w:rPr>
          <w:color w:val="auto"/>
        </w:rPr>
        <w:t xml:space="preserve">的对响应文件的误投或提前拆封的责任。 </w:t>
      </w:r>
    </w:p>
    <w:p>
      <w:pPr>
        <w:pStyle w:val="12"/>
        <w:numPr>
          <w:ilvl w:val="1"/>
          <w:numId w:val="12"/>
        </w:numPr>
        <w:tabs>
          <w:tab w:val="left" w:pos="1504"/>
        </w:tabs>
        <w:spacing w:before="98" w:after="0" w:line="304" w:lineRule="auto"/>
        <w:ind w:left="482" w:right="1786" w:firstLine="481"/>
        <w:jc w:val="both"/>
        <w:rPr>
          <w:color w:val="auto"/>
          <w:sz w:val="24"/>
        </w:rPr>
      </w:pPr>
      <w:r>
        <w:rPr>
          <w:color w:val="auto"/>
          <w:spacing w:val="-5"/>
          <w:sz w:val="24"/>
        </w:rPr>
        <w:t xml:space="preserve">响应文件应在谈判邀请中规定的截止时间前送达，迟到的响应文件为无效响应文件，将被拒绝。 </w:t>
      </w:r>
    </w:p>
    <w:p>
      <w:pPr>
        <w:pStyle w:val="12"/>
        <w:numPr>
          <w:ilvl w:val="1"/>
          <w:numId w:val="12"/>
        </w:numPr>
        <w:tabs>
          <w:tab w:val="left" w:pos="1504"/>
        </w:tabs>
        <w:spacing w:before="14" w:after="0" w:line="309" w:lineRule="auto"/>
        <w:ind w:left="482" w:right="1779" w:firstLine="481"/>
        <w:jc w:val="both"/>
        <w:rPr>
          <w:color w:val="auto"/>
          <w:sz w:val="24"/>
        </w:rPr>
      </w:pPr>
      <w:r>
        <w:rPr>
          <w:color w:val="auto"/>
          <w:spacing w:val="-5"/>
          <w:sz w:val="24"/>
        </w:rPr>
        <w:t>谈判响应供应商在谈判响应截止时间前，可以对所提交的谈判文件进行</w:t>
      </w:r>
      <w:r>
        <w:rPr>
          <w:color w:val="auto"/>
          <w:spacing w:val="-8"/>
          <w:sz w:val="24"/>
        </w:rPr>
        <w:t>修改或者撤回，并书面通知采购代理机构。修改的内容和撤回通知应当按本须知要求签署、盖章、密封，并作为响应文件的组成部分。</w:t>
      </w:r>
      <w:r>
        <w:rPr>
          <w:color w:val="auto"/>
          <w:sz w:val="24"/>
        </w:rPr>
        <w:t xml:space="preserve"> </w:t>
      </w:r>
    </w:p>
    <w:p>
      <w:pPr>
        <w:pStyle w:val="12"/>
        <w:numPr>
          <w:ilvl w:val="1"/>
          <w:numId w:val="12"/>
        </w:numPr>
        <w:tabs>
          <w:tab w:val="left" w:pos="1504"/>
        </w:tabs>
        <w:spacing w:before="11" w:after="0" w:line="316" w:lineRule="auto"/>
        <w:ind w:left="482" w:right="1785" w:firstLine="481"/>
        <w:jc w:val="both"/>
        <w:rPr>
          <w:color w:val="auto"/>
          <w:sz w:val="24"/>
        </w:rPr>
      </w:pPr>
      <w:r>
        <w:rPr>
          <w:color w:val="auto"/>
          <w:spacing w:val="-6"/>
          <w:sz w:val="24"/>
        </w:rPr>
        <w:t>谈判响应供应商在谈判响应截止期后不得修改、撤回响应文件。谈判响应供应商在报价截止期后修改响应文件的，其谈判响应将被拒绝。</w:t>
      </w:r>
      <w:r>
        <w:rPr>
          <w:color w:val="auto"/>
          <w:sz w:val="24"/>
        </w:rPr>
        <w:t xml:space="preserve"> </w:t>
      </w:r>
    </w:p>
    <w:p>
      <w:pPr>
        <w:pStyle w:val="12"/>
        <w:numPr>
          <w:ilvl w:val="1"/>
          <w:numId w:val="12"/>
        </w:numPr>
        <w:tabs>
          <w:tab w:val="left" w:pos="1534"/>
        </w:tabs>
        <w:spacing w:before="0" w:after="0" w:line="292" w:lineRule="exact"/>
        <w:ind w:left="1533" w:right="0" w:hanging="570"/>
        <w:jc w:val="left"/>
        <w:rPr>
          <w:color w:val="auto"/>
          <w:sz w:val="24"/>
        </w:rPr>
      </w:pPr>
      <w:bookmarkStart w:id="7" w:name="14.6投标文件的签署、密封及规定，投标人应按照要求，准备一式 3 份投标书（ "/>
      <w:bookmarkEnd w:id="7"/>
      <w:bookmarkStart w:id="8" w:name="14.6投标文件的签署、密封及规定，投标人应按照要求，准备一式 3 份投标书（ "/>
      <w:bookmarkEnd w:id="8"/>
      <w:r>
        <w:rPr>
          <w:color w:val="auto"/>
          <w:sz w:val="24"/>
        </w:rPr>
        <w:t>投标文件的签署、密封及规定，投标人应按照要求，准备一式</w:t>
      </w:r>
      <w:r>
        <w:rPr>
          <w:color w:val="auto"/>
          <w:spacing w:val="-1"/>
          <w:sz w:val="24"/>
          <w:u w:val="single"/>
        </w:rPr>
        <w:t xml:space="preserve"> </w:t>
      </w:r>
      <w:r>
        <w:rPr>
          <w:color w:val="auto"/>
          <w:sz w:val="24"/>
          <w:u w:val="single"/>
        </w:rPr>
        <w:t>3</w:t>
      </w:r>
      <w:r>
        <w:rPr>
          <w:color w:val="auto"/>
          <w:sz w:val="24"/>
        </w:rPr>
        <w:t xml:space="preserve"> 份投</w:t>
      </w:r>
    </w:p>
    <w:p>
      <w:pPr>
        <w:pStyle w:val="8"/>
        <w:spacing w:before="98" w:line="309" w:lineRule="auto"/>
        <w:ind w:left="481" w:right="1666"/>
        <w:rPr>
          <w:color w:val="auto"/>
        </w:rPr>
      </w:pPr>
      <w:r>
        <w:rPr>
          <w:color w:val="auto"/>
        </w:rPr>
        <w:t>标书（</w:t>
      </w:r>
      <w:r>
        <w:rPr>
          <w:color w:val="auto"/>
          <w:u w:val="single"/>
        </w:rPr>
        <w:t xml:space="preserve"> 1 </w:t>
      </w:r>
      <w:r>
        <w:rPr>
          <w:color w:val="auto"/>
        </w:rPr>
        <w:t>份正本、</w:t>
      </w:r>
      <w:r>
        <w:rPr>
          <w:color w:val="auto"/>
          <w:u w:val="single"/>
        </w:rPr>
        <w:t xml:space="preserve">  2 </w:t>
      </w:r>
      <w:r>
        <w:rPr>
          <w:color w:val="auto"/>
        </w:rPr>
        <w:t>份副本），投标文件（正、副本）内容均须按页码顺序胶装成册并编制目录，并在投标文件（正本）内容每一页加盖投标单位公章</w:t>
      </w:r>
      <w:r>
        <w:rPr>
          <w:rFonts w:ascii="Calibri" w:eastAsia="Calibri"/>
          <w:color w:val="auto"/>
        </w:rPr>
        <w:t xml:space="preserve">, </w:t>
      </w:r>
      <w:r>
        <w:rPr>
          <w:rFonts w:hint="eastAsia"/>
          <w:color w:val="auto"/>
          <w:lang w:eastAsia="zh-CN"/>
        </w:rPr>
        <w:t>副本为正本的复印件，</w:t>
      </w:r>
      <w:r>
        <w:rPr>
          <w:color w:val="auto"/>
        </w:rPr>
        <w:t xml:space="preserve">投标文件正本与副本不一致时，以正本为准。 </w:t>
      </w:r>
    </w:p>
    <w:p>
      <w:pPr>
        <w:pStyle w:val="8"/>
        <w:spacing w:before="11" w:line="316" w:lineRule="auto"/>
        <w:ind w:left="481" w:right="1784" w:firstLine="481"/>
        <w:jc w:val="both"/>
        <w:rPr>
          <w:color w:val="auto"/>
        </w:rPr>
      </w:pPr>
      <w:r>
        <w:rPr>
          <w:color w:val="auto"/>
          <w:spacing w:val="-4"/>
        </w:rPr>
        <w:t xml:space="preserve">经补充后，对谈判文件作出实质响应的供应商只有两家的，经请示行业主管部门同意后，谈判小组可以与两家供应商进行谈判。 </w:t>
      </w:r>
    </w:p>
    <w:p>
      <w:pPr>
        <w:pStyle w:val="8"/>
        <w:spacing w:line="291" w:lineRule="exact"/>
        <w:ind w:left="963"/>
        <w:rPr>
          <w:color w:val="auto"/>
        </w:rPr>
      </w:pPr>
      <w:r>
        <w:rPr>
          <w:color w:val="auto"/>
        </w:rPr>
        <w:t xml:space="preserve"> </w:t>
      </w:r>
    </w:p>
    <w:p>
      <w:pPr>
        <w:spacing w:after="0" w:line="291" w:lineRule="exact"/>
        <w:rPr>
          <w:color w:val="auto"/>
        </w:rPr>
        <w:sectPr>
          <w:pgSz w:w="11910" w:h="16850"/>
          <w:pgMar w:top="1400" w:right="0" w:bottom="1160" w:left="1260" w:header="0" w:footer="891" w:gutter="0"/>
          <w:cols w:space="720" w:num="1"/>
        </w:sectPr>
      </w:pPr>
    </w:p>
    <w:p>
      <w:pPr>
        <w:pStyle w:val="8"/>
        <w:rPr>
          <w:color w:val="auto"/>
        </w:rPr>
      </w:pPr>
    </w:p>
    <w:p>
      <w:pPr>
        <w:pStyle w:val="5"/>
        <w:spacing w:before="196"/>
        <w:rPr>
          <w:color w:val="auto"/>
        </w:rPr>
      </w:pPr>
      <w:r>
        <w:rPr>
          <w:color w:val="auto"/>
        </w:rPr>
        <w:t>15.谈判时间</w:t>
      </w:r>
      <w:r>
        <w:rPr>
          <w:color w:val="auto"/>
          <w:w w:val="99"/>
        </w:rPr>
        <w:t xml:space="preserve"> </w:t>
      </w:r>
    </w:p>
    <w:p>
      <w:pPr>
        <w:spacing w:before="28"/>
        <w:ind w:left="481" w:right="0" w:firstLine="0"/>
        <w:jc w:val="left"/>
        <w:rPr>
          <w:b/>
          <w:color w:val="auto"/>
          <w:sz w:val="31"/>
        </w:rPr>
      </w:pPr>
      <w:r>
        <w:rPr>
          <w:color w:val="auto"/>
        </w:rPr>
        <w:br w:type="column"/>
      </w:r>
      <w:r>
        <w:rPr>
          <w:b/>
          <w:color w:val="auto"/>
          <w:sz w:val="31"/>
        </w:rPr>
        <w:t>五、响应文件的评估和比较</w:t>
      </w:r>
      <w:r>
        <w:rPr>
          <w:b/>
          <w:color w:val="auto"/>
          <w:w w:val="100"/>
          <w:sz w:val="31"/>
        </w:rPr>
        <w:t xml:space="preserve"> </w:t>
      </w:r>
    </w:p>
    <w:p>
      <w:pPr>
        <w:spacing w:after="0"/>
        <w:jc w:val="left"/>
        <w:rPr>
          <w:color w:val="auto"/>
          <w:sz w:val="31"/>
        </w:rPr>
        <w:sectPr>
          <w:type w:val="continuous"/>
          <w:pgSz w:w="11910" w:h="16850"/>
          <w:pgMar w:top="1600" w:right="0" w:bottom="280" w:left="1260" w:header="720" w:footer="720" w:gutter="0"/>
          <w:cols w:equalWidth="0" w:num="2">
            <w:col w:w="2010" w:space="514"/>
            <w:col w:w="8126"/>
          </w:cols>
        </w:sectPr>
      </w:pPr>
    </w:p>
    <w:p>
      <w:pPr>
        <w:pStyle w:val="8"/>
        <w:spacing w:before="83" w:line="316" w:lineRule="auto"/>
        <w:ind w:left="481" w:right="1765"/>
        <w:rPr>
          <w:color w:val="auto"/>
        </w:rPr>
      </w:pPr>
      <w:r>
        <w:rPr>
          <w:b/>
          <w:color w:val="auto"/>
          <w:w w:val="99"/>
        </w:rPr>
        <w:t xml:space="preserve">   </w:t>
      </w:r>
      <w:r>
        <w:rPr>
          <w:color w:val="auto"/>
        </w:rPr>
        <w:t xml:space="preserve"> 15.1</w:t>
      </w:r>
      <w:r>
        <w:rPr>
          <w:color w:val="auto"/>
          <w:spacing w:val="-12"/>
        </w:rPr>
        <w:t xml:space="preserve"> 在谈判响应供应商须知前附表中所规定的时间、地点谈判</w:t>
      </w:r>
      <w:r>
        <w:rPr>
          <w:color w:val="auto"/>
        </w:rPr>
        <w:t>（如有推迟情形，以推迟后的时间、地点为准）</w:t>
      </w:r>
      <w:r>
        <w:rPr>
          <w:color w:val="auto"/>
          <w:spacing w:val="-3"/>
        </w:rPr>
        <w:t>。</w:t>
      </w:r>
      <w:r>
        <w:rPr>
          <w:color w:val="auto"/>
        </w:rPr>
        <w:t xml:space="preserve"> </w:t>
      </w:r>
    </w:p>
    <w:p>
      <w:pPr>
        <w:pStyle w:val="8"/>
        <w:spacing w:line="304" w:lineRule="auto"/>
        <w:ind w:left="481" w:right="1780"/>
        <w:rPr>
          <w:color w:val="auto"/>
        </w:rPr>
      </w:pPr>
      <w:r>
        <w:rPr>
          <w:color w:val="auto"/>
        </w:rPr>
        <w:t xml:space="preserve">    15.2</w:t>
      </w:r>
      <w:r>
        <w:rPr>
          <w:color w:val="auto"/>
          <w:spacing w:val="-13"/>
        </w:rPr>
        <w:t xml:space="preserve"> 谈判由采购代理机构主持，邀请采购人、谈判响应供应商和有关方面代表参加。谈判响应供应商一般应派授权代表参加谈判，并办理签到手续。</w:t>
      </w:r>
      <w:r>
        <w:rPr>
          <w:color w:val="auto"/>
        </w:rPr>
        <w:t xml:space="preserve"> </w:t>
      </w:r>
    </w:p>
    <w:p>
      <w:pPr>
        <w:pStyle w:val="5"/>
        <w:spacing w:before="13"/>
        <w:rPr>
          <w:color w:val="auto"/>
        </w:rPr>
      </w:pPr>
      <w:r>
        <w:rPr>
          <w:color w:val="auto"/>
        </w:rPr>
        <w:t>16.谈判小组</w:t>
      </w:r>
      <w:r>
        <w:rPr>
          <w:color w:val="auto"/>
          <w:w w:val="99"/>
        </w:rPr>
        <w:t xml:space="preserve"> </w:t>
      </w:r>
    </w:p>
    <w:p>
      <w:pPr>
        <w:pStyle w:val="12"/>
        <w:numPr>
          <w:ilvl w:val="0"/>
          <w:numId w:val="0"/>
        </w:numPr>
        <w:tabs>
          <w:tab w:val="left" w:pos="1504"/>
        </w:tabs>
        <w:spacing w:before="98" w:after="0" w:line="312" w:lineRule="auto"/>
        <w:ind w:left="963" w:leftChars="0" w:right="1738" w:rightChars="0"/>
        <w:jc w:val="both"/>
        <w:rPr>
          <w:color w:val="auto"/>
          <w:sz w:val="24"/>
        </w:rPr>
      </w:pPr>
      <w:r>
        <w:rPr>
          <w:rFonts w:hint="eastAsia"/>
          <w:color w:val="auto"/>
          <w:spacing w:val="-4"/>
          <w:sz w:val="24"/>
          <w:lang w:val="en-US" w:eastAsia="zh-CN"/>
        </w:rPr>
        <w:t>16.1</w:t>
      </w:r>
      <w:r>
        <w:rPr>
          <w:color w:val="auto"/>
          <w:spacing w:val="-4"/>
          <w:sz w:val="24"/>
        </w:rPr>
        <w:t>采购代理机构将根据项目的特点及相关规定组建谈判小组，谈判小组由</w:t>
      </w:r>
      <w:r>
        <w:rPr>
          <w:color w:val="auto"/>
          <w:spacing w:val="-7"/>
          <w:sz w:val="24"/>
        </w:rPr>
        <w:t xml:space="preserve">技术、经济、法律方面的专家和采购人代表组成。成员为 </w:t>
      </w:r>
      <w:r>
        <w:rPr>
          <w:rFonts w:ascii="Arial" w:eastAsia="Arial"/>
          <w:color w:val="auto"/>
          <w:sz w:val="24"/>
        </w:rPr>
        <w:t>3</w:t>
      </w:r>
      <w:r>
        <w:rPr>
          <w:rFonts w:ascii="Arial" w:eastAsia="Arial"/>
          <w:color w:val="auto"/>
          <w:spacing w:val="-7"/>
          <w:sz w:val="24"/>
        </w:rPr>
        <w:t xml:space="preserve"> </w:t>
      </w:r>
      <w:r>
        <w:rPr>
          <w:color w:val="auto"/>
          <w:sz w:val="24"/>
        </w:rPr>
        <w:t>人及以上单数组成， 专家不能少于三分之二。谈判小组将对响应文件进行审查、质疑、评估和比较， 进行谈判并做出授予合同的建议。</w:t>
      </w:r>
    </w:p>
    <w:p>
      <w:pPr>
        <w:pStyle w:val="12"/>
        <w:numPr>
          <w:ilvl w:val="0"/>
          <w:numId w:val="0"/>
        </w:numPr>
        <w:tabs>
          <w:tab w:val="left" w:pos="1444"/>
        </w:tabs>
        <w:spacing w:before="0" w:after="0" w:line="316" w:lineRule="auto"/>
        <w:ind w:left="963" w:leftChars="0" w:right="1778" w:rightChars="0"/>
        <w:jc w:val="both"/>
        <w:rPr>
          <w:color w:val="auto"/>
          <w:sz w:val="24"/>
        </w:rPr>
      </w:pPr>
      <w:r>
        <w:rPr>
          <w:rFonts w:hint="eastAsia"/>
          <w:color w:val="auto"/>
          <w:spacing w:val="-2"/>
          <w:sz w:val="24"/>
          <w:lang w:val="en-US" w:eastAsia="zh-CN"/>
        </w:rPr>
        <w:t>16.2</w:t>
      </w:r>
      <w:r>
        <w:rPr>
          <w:color w:val="auto"/>
          <w:spacing w:val="-2"/>
          <w:sz w:val="24"/>
        </w:rPr>
        <w:t>达到公开招标数额标准的货物或者服务采购项目，或者达到招标规模标</w:t>
      </w:r>
      <w:r>
        <w:rPr>
          <w:color w:val="auto"/>
          <w:spacing w:val="-6"/>
          <w:sz w:val="24"/>
        </w:rPr>
        <w:t xml:space="preserve">准的政府采购工程，谈判小组应当由 </w:t>
      </w:r>
      <w:r>
        <w:rPr>
          <w:rFonts w:ascii="Calibri" w:eastAsia="Calibri"/>
          <w:color w:val="auto"/>
          <w:sz w:val="24"/>
        </w:rPr>
        <w:t>5</w:t>
      </w:r>
      <w:r>
        <w:rPr>
          <w:rFonts w:ascii="Calibri" w:eastAsia="Calibri"/>
          <w:color w:val="auto"/>
          <w:spacing w:val="4"/>
          <w:sz w:val="24"/>
        </w:rPr>
        <w:t xml:space="preserve"> </w:t>
      </w:r>
      <w:r>
        <w:rPr>
          <w:color w:val="auto"/>
          <w:sz w:val="24"/>
        </w:rPr>
        <w:t>人以上单数组成。</w:t>
      </w:r>
    </w:p>
    <w:p>
      <w:pPr>
        <w:spacing w:after="0" w:line="316" w:lineRule="auto"/>
        <w:jc w:val="both"/>
        <w:rPr>
          <w:color w:val="auto"/>
          <w:sz w:val="24"/>
        </w:rPr>
        <w:sectPr>
          <w:type w:val="continuous"/>
          <w:pgSz w:w="11910" w:h="16850"/>
          <w:pgMar w:top="1600" w:right="0" w:bottom="280" w:left="1260" w:header="720" w:footer="720" w:gutter="0"/>
          <w:cols w:space="720" w:num="1"/>
        </w:sectPr>
      </w:pPr>
    </w:p>
    <w:p>
      <w:pPr>
        <w:pStyle w:val="5"/>
        <w:spacing w:before="51"/>
        <w:rPr>
          <w:color w:val="auto"/>
        </w:rPr>
      </w:pPr>
      <w:r>
        <w:rPr>
          <w:color w:val="auto"/>
        </w:rPr>
        <w:t>17.响应文件的初审</w:t>
      </w:r>
      <w:r>
        <w:rPr>
          <w:color w:val="auto"/>
          <w:w w:val="99"/>
        </w:rPr>
        <w:t xml:space="preserve"> </w:t>
      </w:r>
    </w:p>
    <w:p>
      <w:pPr>
        <w:pStyle w:val="8"/>
        <w:spacing w:before="98" w:line="304" w:lineRule="auto"/>
        <w:ind w:left="481" w:right="1778" w:firstLine="481"/>
        <w:jc w:val="both"/>
        <w:rPr>
          <w:color w:val="auto"/>
        </w:rPr>
      </w:pPr>
      <w:r>
        <w:rPr>
          <w:color w:val="auto"/>
          <w:spacing w:val="-3"/>
        </w:rPr>
        <w:t xml:space="preserve">对所有谈判响应供应商的评估，都采用相同的程序和标准。评议过程将严格按照谈判文件的要求和条件进行。 </w:t>
      </w:r>
    </w:p>
    <w:p>
      <w:pPr>
        <w:pStyle w:val="8"/>
        <w:spacing w:before="15" w:line="316" w:lineRule="auto"/>
        <w:ind w:left="481" w:right="1778" w:firstLine="481"/>
        <w:jc w:val="both"/>
        <w:rPr>
          <w:color w:val="auto"/>
        </w:rPr>
      </w:pPr>
      <w:r>
        <w:rPr>
          <w:color w:val="auto"/>
          <w:spacing w:val="-3"/>
        </w:rPr>
        <w:t>有关响应文件的审查、澄清、评估和比较以及推荐成交候选人的一切情况都</w:t>
      </w:r>
      <w:r>
        <w:rPr>
          <w:color w:val="auto"/>
          <w:spacing w:val="-4"/>
        </w:rPr>
        <w:t>不得透露给任一谈判响应供应商或与上诉谈判工作无关的人员。</w:t>
      </w:r>
      <w:r>
        <w:rPr>
          <w:color w:val="auto"/>
        </w:rPr>
        <w:t xml:space="preserve"> </w:t>
      </w:r>
    </w:p>
    <w:p>
      <w:pPr>
        <w:pStyle w:val="8"/>
        <w:spacing w:line="292" w:lineRule="exact"/>
        <w:ind w:left="963"/>
        <w:rPr>
          <w:color w:val="auto"/>
        </w:rPr>
      </w:pPr>
      <w:r>
        <w:rPr>
          <w:color w:val="auto"/>
        </w:rPr>
        <w:t>谈判响应供应商任何试图影响谈判小组对响应文件的评审、比较或者推荐候</w:t>
      </w:r>
    </w:p>
    <w:p>
      <w:pPr>
        <w:pStyle w:val="8"/>
        <w:spacing w:before="97"/>
        <w:ind w:left="481"/>
        <w:rPr>
          <w:color w:val="auto"/>
        </w:rPr>
      </w:pPr>
      <w:r>
        <w:rPr>
          <w:color w:val="auto"/>
        </w:rPr>
        <w:t>选人的行为，都将导致其谈判响应被拒绝，并被没收谈判保证金。</w:t>
      </w:r>
    </w:p>
    <w:p>
      <w:pPr>
        <w:pStyle w:val="12"/>
        <w:numPr>
          <w:ilvl w:val="1"/>
          <w:numId w:val="13"/>
        </w:numPr>
        <w:tabs>
          <w:tab w:val="left" w:pos="1504"/>
        </w:tabs>
        <w:spacing w:before="98" w:after="0" w:line="312" w:lineRule="auto"/>
        <w:ind w:left="482" w:right="1778" w:firstLine="481"/>
        <w:jc w:val="both"/>
        <w:rPr>
          <w:color w:val="auto"/>
          <w:sz w:val="24"/>
        </w:rPr>
      </w:pPr>
      <w:r>
        <w:rPr>
          <w:color w:val="auto"/>
          <w:spacing w:val="-9"/>
          <w:sz w:val="24"/>
        </w:rPr>
        <w:t>开标时，投标文件开启之前，除对投标文件的密封进行检查外，主要是</w:t>
      </w:r>
      <w:r>
        <w:rPr>
          <w:color w:val="auto"/>
          <w:spacing w:val="-11"/>
          <w:sz w:val="24"/>
        </w:rPr>
        <w:t>对投标人的投标保证金原件及投标人身份</w:t>
      </w:r>
      <w:r>
        <w:rPr>
          <w:color w:val="auto"/>
          <w:sz w:val="24"/>
        </w:rPr>
        <w:t>（需出示法定代表人身份证原件或委托代理人持授权委托书并出示代理人身份证原件</w:t>
      </w:r>
      <w:r>
        <w:rPr>
          <w:color w:val="auto"/>
          <w:spacing w:val="-15"/>
          <w:sz w:val="24"/>
        </w:rPr>
        <w:t>）</w:t>
      </w:r>
      <w:r>
        <w:rPr>
          <w:color w:val="auto"/>
          <w:spacing w:val="-5"/>
          <w:sz w:val="24"/>
        </w:rPr>
        <w:t xml:space="preserve">进行核查，如未能提供，视为无效投标。 </w:t>
      </w:r>
    </w:p>
    <w:p>
      <w:pPr>
        <w:pStyle w:val="5"/>
        <w:numPr>
          <w:ilvl w:val="1"/>
          <w:numId w:val="13"/>
        </w:numPr>
        <w:tabs>
          <w:tab w:val="left" w:pos="1549"/>
        </w:tabs>
        <w:spacing w:before="83" w:after="0" w:line="240" w:lineRule="auto"/>
        <w:ind w:left="1548" w:right="0" w:hanging="585"/>
        <w:jc w:val="left"/>
        <w:rPr>
          <w:color w:val="auto"/>
        </w:rPr>
      </w:pPr>
      <w:r>
        <w:rPr>
          <w:color w:val="auto"/>
        </w:rPr>
        <w:t>评标时，需审查以下资质文件材料：</w:t>
      </w:r>
      <w:r>
        <w:rPr>
          <w:color w:val="auto"/>
          <w:w w:val="99"/>
        </w:rPr>
        <w:t xml:space="preserve"> </w:t>
      </w:r>
    </w:p>
    <w:p>
      <w:pPr>
        <w:pStyle w:val="8"/>
        <w:spacing w:before="203" w:line="386" w:lineRule="auto"/>
        <w:ind w:left="481" w:right="1765" w:firstLine="466"/>
        <w:jc w:val="both"/>
        <w:rPr>
          <w:color w:val="auto"/>
        </w:rPr>
      </w:pPr>
      <w:r>
        <w:rPr>
          <w:color w:val="auto"/>
        </w:rPr>
        <w:t>（1）</w:t>
      </w:r>
      <w:r>
        <w:rPr>
          <w:color w:val="auto"/>
          <w:spacing w:val="-12"/>
        </w:rPr>
        <w:t>提供事业单位法人证书或营业执照复印件、组织机构代码证复印件、税务登记证复印件（</w:t>
      </w:r>
      <w:r>
        <w:rPr>
          <w:color w:val="auto"/>
          <w:spacing w:val="-14"/>
        </w:rPr>
        <w:t xml:space="preserve">或三证合一或五证合一的营业执照复印件或扫描件，加盖单位公章）； </w:t>
      </w:r>
    </w:p>
    <w:p>
      <w:pPr>
        <w:pStyle w:val="8"/>
        <w:spacing w:before="15"/>
        <w:ind w:left="963"/>
        <w:rPr>
          <w:color w:val="auto"/>
        </w:rPr>
      </w:pPr>
      <w:bookmarkStart w:id="9" w:name="（2）法人代表身份证或委托代理人持法人授权委托书及代理人身份证件；"/>
      <w:bookmarkEnd w:id="9"/>
      <w:r>
        <w:rPr>
          <w:color w:val="auto"/>
        </w:rPr>
        <w:t xml:space="preserve">（2）法人代表身份证或委托代理人持法人授权委托书及代理人身份证件； </w:t>
      </w:r>
    </w:p>
    <w:p>
      <w:pPr>
        <w:pStyle w:val="8"/>
        <w:spacing w:before="188" w:line="391" w:lineRule="auto"/>
        <w:ind w:left="481" w:right="1763" w:firstLine="481"/>
        <w:jc w:val="both"/>
        <w:rPr>
          <w:color w:val="auto"/>
        </w:rPr>
      </w:pPr>
      <w:bookmarkStart w:id="10" w:name="（3）“信用中国”网站（www.creditchina.gov.cn ）和政府采"/>
      <w:bookmarkEnd w:id="10"/>
      <w:r>
        <w:rPr>
          <w:color w:val="auto"/>
        </w:rPr>
        <w:t>（3）“信用中国”网站（</w:t>
      </w:r>
      <w:r>
        <w:rPr>
          <w:color w:val="auto"/>
        </w:rPr>
        <w:fldChar w:fldCharType="begin"/>
      </w:r>
      <w:r>
        <w:rPr>
          <w:color w:val="auto"/>
        </w:rPr>
        <w:instrText xml:space="preserve"> HYPERLINK "http://www.creditchina.gov.cn/" \h </w:instrText>
      </w:r>
      <w:r>
        <w:rPr>
          <w:color w:val="auto"/>
        </w:rPr>
        <w:fldChar w:fldCharType="separate"/>
      </w:r>
      <w:r>
        <w:rPr>
          <w:color w:val="auto"/>
        </w:rPr>
        <w:t xml:space="preserve">www.creditchina.gov.cn </w:t>
      </w:r>
      <w:r>
        <w:rPr>
          <w:color w:val="auto"/>
        </w:rPr>
        <w:fldChar w:fldCharType="end"/>
      </w:r>
      <w:r>
        <w:rPr>
          <w:color w:val="auto"/>
        </w:rPr>
        <w:t>）和政府采购严重违法失信行为记录名单（</w:t>
      </w:r>
      <w:r>
        <w:rPr>
          <w:color w:val="auto"/>
        </w:rPr>
        <w:fldChar w:fldCharType="begin"/>
      </w:r>
      <w:r>
        <w:rPr>
          <w:color w:val="auto"/>
        </w:rPr>
        <w:instrText xml:space="preserve"> HYPERLINK "http://www.ccgp.gov.cn/search/cr/" \h </w:instrText>
      </w:r>
      <w:r>
        <w:rPr>
          <w:color w:val="auto"/>
        </w:rPr>
        <w:fldChar w:fldCharType="separate"/>
      </w:r>
      <w:r>
        <w:rPr>
          <w:color w:val="auto"/>
        </w:rPr>
        <w:t xml:space="preserve">http://www.ccgp.gov.cn/search/cr/ </w:t>
      </w:r>
      <w:r>
        <w:rPr>
          <w:color w:val="auto"/>
        </w:rPr>
        <w:fldChar w:fldCharType="end"/>
      </w:r>
      <w:r>
        <w:rPr>
          <w:color w:val="auto"/>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w:t>
      </w:r>
    </w:p>
    <w:p>
      <w:pPr>
        <w:pStyle w:val="8"/>
        <w:spacing w:line="303" w:lineRule="exact"/>
        <w:ind w:left="481"/>
        <w:rPr>
          <w:color w:val="auto"/>
        </w:rPr>
      </w:pPr>
      <w:r>
        <w:rPr>
          <w:color w:val="auto"/>
        </w:rPr>
        <w:t xml:space="preserve">图（制作于标书内）； </w:t>
      </w:r>
    </w:p>
    <w:p>
      <w:pPr>
        <w:pStyle w:val="12"/>
        <w:numPr>
          <w:ilvl w:val="1"/>
          <w:numId w:val="13"/>
        </w:numPr>
        <w:tabs>
          <w:tab w:val="left" w:pos="1504"/>
        </w:tabs>
        <w:spacing w:before="98" w:after="0" w:line="316" w:lineRule="auto"/>
        <w:ind w:left="482" w:right="1781" w:firstLine="481"/>
        <w:jc w:val="both"/>
        <w:rPr>
          <w:color w:val="auto"/>
          <w:sz w:val="24"/>
        </w:rPr>
      </w:pPr>
      <w:r>
        <w:rPr>
          <w:color w:val="auto"/>
          <w:spacing w:val="-6"/>
          <w:sz w:val="24"/>
        </w:rPr>
        <w:t>谈判小组将对响应文件进行审查，以确定响应文件是否完整、有无计算上的错误、是否提交了谈判保证金、文件是否已正确签署。</w:t>
      </w:r>
      <w:r>
        <w:rPr>
          <w:color w:val="auto"/>
          <w:sz w:val="24"/>
        </w:rPr>
        <w:t xml:space="preserve">  </w:t>
      </w:r>
    </w:p>
    <w:p>
      <w:pPr>
        <w:pStyle w:val="12"/>
        <w:numPr>
          <w:ilvl w:val="1"/>
          <w:numId w:val="13"/>
        </w:numPr>
        <w:tabs>
          <w:tab w:val="left" w:pos="1445"/>
        </w:tabs>
        <w:spacing w:before="0" w:after="0" w:line="307" w:lineRule="exact"/>
        <w:ind w:left="1444" w:right="0" w:hanging="481"/>
        <w:jc w:val="left"/>
        <w:rPr>
          <w:color w:val="auto"/>
          <w:sz w:val="22"/>
        </w:rPr>
      </w:pPr>
      <w:r>
        <w:rPr>
          <w:color w:val="auto"/>
          <w:sz w:val="24"/>
        </w:rPr>
        <w:t xml:space="preserve">算术错误将按以下方法更正： </w:t>
      </w:r>
    </w:p>
    <w:p>
      <w:pPr>
        <w:pStyle w:val="8"/>
        <w:spacing w:before="82" w:line="316" w:lineRule="auto"/>
        <w:ind w:left="481" w:right="1798" w:firstLine="481"/>
        <w:jc w:val="both"/>
        <w:rPr>
          <w:color w:val="auto"/>
        </w:rPr>
      </w:pPr>
      <w:r>
        <w:rPr>
          <w:color w:val="auto"/>
        </w:rPr>
        <w:t xml:space="preserve">(1)响应文件中报价一览表内容与响应文件中明细表内容不一致的，以报价一览表为准。 </w:t>
      </w:r>
    </w:p>
    <w:p>
      <w:pPr>
        <w:pStyle w:val="8"/>
        <w:spacing w:line="309" w:lineRule="auto"/>
        <w:ind w:left="481" w:right="1778" w:firstLine="481"/>
        <w:jc w:val="both"/>
        <w:rPr>
          <w:color w:val="auto"/>
        </w:rPr>
      </w:pPr>
      <w:r>
        <w:rPr>
          <w:color w:val="auto"/>
        </w:rPr>
        <w:t>(2)响应文件的大写金额和小写金额不一致的，以大写金额为准；总价金额</w:t>
      </w:r>
      <w:r>
        <w:rPr>
          <w:color w:val="auto"/>
          <w:spacing w:val="-3"/>
        </w:rPr>
        <w:t>与按单价汇总金额不一致的，以单价金额计算结果为准；单价金额小数点有明显</w:t>
      </w:r>
      <w:r>
        <w:rPr>
          <w:color w:val="auto"/>
          <w:spacing w:val="-7"/>
        </w:rPr>
        <w:t>错位的，应以总价为准，并修改单价；对不同文字文本响应文件的解释发生异议</w:t>
      </w:r>
    </w:p>
    <w:p>
      <w:pPr>
        <w:spacing w:after="0" w:line="309" w:lineRule="auto"/>
        <w:jc w:val="both"/>
        <w:rPr>
          <w:color w:val="auto"/>
        </w:rPr>
        <w:sectPr>
          <w:pgSz w:w="11910" w:h="16850"/>
          <w:pgMar w:top="1460" w:right="0" w:bottom="1160" w:left="1260" w:header="0" w:footer="891" w:gutter="0"/>
          <w:cols w:space="720" w:num="1"/>
        </w:sectPr>
      </w:pPr>
    </w:p>
    <w:p>
      <w:pPr>
        <w:pStyle w:val="8"/>
        <w:spacing w:before="51"/>
        <w:ind w:left="481"/>
        <w:rPr>
          <w:color w:val="auto"/>
        </w:rPr>
      </w:pPr>
      <w:r>
        <w:rPr>
          <w:color w:val="auto"/>
        </w:rPr>
        <w:t xml:space="preserve">的，以中文文本为准。 </w:t>
      </w:r>
    </w:p>
    <w:p>
      <w:pPr>
        <w:pStyle w:val="8"/>
        <w:spacing w:before="98" w:line="304" w:lineRule="auto"/>
        <w:ind w:left="481" w:right="1754" w:firstLine="481"/>
        <w:rPr>
          <w:color w:val="auto"/>
        </w:rPr>
      </w:pPr>
      <w:r>
        <w:rPr>
          <w:color w:val="auto"/>
        </w:rPr>
        <w:t xml:space="preserve">如果谈判响应供应商不接受按上述方法对响应文件中的算术错误进行更正， 其响应将被拒绝并没收其谈判保证金。 </w:t>
      </w:r>
    </w:p>
    <w:p>
      <w:pPr>
        <w:pStyle w:val="12"/>
        <w:numPr>
          <w:ilvl w:val="1"/>
          <w:numId w:val="13"/>
        </w:numPr>
        <w:tabs>
          <w:tab w:val="left" w:pos="1504"/>
        </w:tabs>
        <w:spacing w:before="15" w:after="0" w:line="240" w:lineRule="auto"/>
        <w:ind w:left="482" w:right="0" w:firstLine="481"/>
        <w:jc w:val="left"/>
        <w:rPr>
          <w:color w:val="auto"/>
          <w:sz w:val="24"/>
        </w:rPr>
      </w:pPr>
      <w:r>
        <w:rPr>
          <w:color w:val="auto"/>
          <w:sz w:val="24"/>
        </w:rPr>
        <w:t xml:space="preserve">资格性检查和符合性检查  </w:t>
      </w:r>
    </w:p>
    <w:p>
      <w:pPr>
        <w:pStyle w:val="8"/>
        <w:spacing w:before="98" w:line="309" w:lineRule="auto"/>
        <w:ind w:left="481" w:right="1783"/>
        <w:jc w:val="both"/>
        <w:rPr>
          <w:color w:val="auto"/>
        </w:rPr>
      </w:pPr>
      <w:r>
        <w:rPr>
          <w:color w:val="auto"/>
        </w:rPr>
        <w:t xml:space="preserve">    17.5.1</w:t>
      </w:r>
      <w:r>
        <w:rPr>
          <w:color w:val="auto"/>
          <w:spacing w:val="-13"/>
        </w:rPr>
        <w:t xml:space="preserve"> 资格性检查。依据法律法规和谈判文件的规定，在对响应文件详细评</w:t>
      </w:r>
      <w:r>
        <w:rPr>
          <w:color w:val="auto"/>
          <w:spacing w:val="-9"/>
        </w:rPr>
        <w:t>估之前，谈判小组将依据谈判响应供应商提交的响应文件按谈判响应供应商须知</w:t>
      </w:r>
      <w:r>
        <w:rPr>
          <w:color w:val="auto"/>
          <w:spacing w:val="-26"/>
        </w:rPr>
        <w:t xml:space="preserve">前附表 </w:t>
      </w:r>
      <w:r>
        <w:rPr>
          <w:color w:val="auto"/>
        </w:rPr>
        <w:t>2</w:t>
      </w:r>
      <w:r>
        <w:rPr>
          <w:color w:val="auto"/>
          <w:spacing w:val="-9"/>
        </w:rPr>
        <w:t xml:space="preserve"> 所述的资格性要求对谈判响应供应商进行资格审查, 以确定其是否具备谈判资格。如果谈判响应供应商不具备谈判资格，不满足谈判文件所规定的资格标准或提供资格证明文件不全的, 其谈判响应将被拒绝。 </w:t>
      </w:r>
    </w:p>
    <w:p>
      <w:pPr>
        <w:pStyle w:val="8"/>
        <w:spacing w:before="13" w:line="312" w:lineRule="auto"/>
        <w:ind w:left="511" w:right="1764" w:firstLine="481"/>
        <w:jc w:val="both"/>
        <w:rPr>
          <w:color w:val="auto"/>
        </w:rPr>
      </w:pPr>
      <w:r>
        <w:rPr>
          <w:color w:val="auto"/>
        </w:rPr>
        <w:t>17.5.2</w:t>
      </w:r>
      <w:r>
        <w:rPr>
          <w:color w:val="auto"/>
          <w:spacing w:val="-1"/>
        </w:rPr>
        <w:t xml:space="preserve"> 符合性检查。依据谈判文件的规定，谈判小组还将从响应文件的有</w:t>
      </w:r>
      <w:r>
        <w:rPr>
          <w:color w:val="auto"/>
          <w:spacing w:val="-8"/>
        </w:rPr>
        <w:t>效性、完整性和对谈判文件的响应程度进行审查，以确定其是否符合对谈判文件</w:t>
      </w:r>
      <w:r>
        <w:rPr>
          <w:color w:val="auto"/>
          <w:spacing w:val="-13"/>
        </w:rPr>
        <w:t>的实质性要求作出响应。</w:t>
      </w:r>
      <w:r>
        <w:rPr>
          <w:color w:val="auto"/>
        </w:rPr>
        <w:t>（采购人可根据具体项目的情况对实质性要求作特别的</w:t>
      </w:r>
      <w:r>
        <w:rPr>
          <w:color w:val="auto"/>
          <w:spacing w:val="-10"/>
        </w:rPr>
        <w:t>规定。</w:t>
      </w:r>
      <w:r>
        <w:rPr>
          <w:color w:val="auto"/>
          <w:spacing w:val="-30"/>
        </w:rPr>
        <w:t>）</w:t>
      </w:r>
      <w:r>
        <w:rPr>
          <w:color w:val="auto"/>
          <w:spacing w:val="-1"/>
        </w:rPr>
        <w:t>实质性偏离是指：</w:t>
      </w:r>
      <w:r>
        <w:rPr>
          <w:rFonts w:ascii="Calibri" w:eastAsia="Calibri"/>
          <w:color w:val="auto"/>
          <w:spacing w:val="-8"/>
        </w:rPr>
        <w:t>(1)</w:t>
      </w:r>
      <w:r>
        <w:rPr>
          <w:color w:val="auto"/>
          <w:spacing w:val="-3"/>
        </w:rPr>
        <w:t>实质性影响合同的范围、质量和履行；</w:t>
      </w:r>
      <w:r>
        <w:rPr>
          <w:rFonts w:ascii="Calibri" w:eastAsia="Calibri"/>
          <w:color w:val="auto"/>
          <w:spacing w:val="-8"/>
        </w:rPr>
        <w:t>(2)</w:t>
      </w:r>
      <w:r>
        <w:rPr>
          <w:color w:val="auto"/>
        </w:rPr>
        <w:t>实质性违背谈判文件，限制了采购人的权利和成交供应商合同项下的义务；</w:t>
      </w:r>
      <w:r>
        <w:rPr>
          <w:rFonts w:ascii="Calibri" w:eastAsia="Calibri"/>
          <w:color w:val="auto"/>
        </w:rPr>
        <w:t>((3)</w:t>
      </w:r>
      <w:r>
        <w:rPr>
          <w:color w:val="auto"/>
        </w:rPr>
        <w:t>不公正地</w:t>
      </w:r>
      <w:r>
        <w:rPr>
          <w:color w:val="auto"/>
          <w:spacing w:val="-3"/>
        </w:rPr>
        <w:t>影响了其它作出实质性响应的谈判响应供应商的竞争地位。对没有实质性响应的</w:t>
      </w:r>
      <w:r>
        <w:rPr>
          <w:color w:val="auto"/>
          <w:spacing w:val="-7"/>
        </w:rPr>
        <w:t>响应文件将不进行评估，其响应将按照无效响应处理。凡有下列情况之一者，响应文件也将被视为未实质性响应谈判文件要求：</w:t>
      </w:r>
      <w:r>
        <w:rPr>
          <w:color w:val="auto"/>
        </w:rPr>
        <w:t xml:space="preserve"> </w:t>
      </w:r>
    </w:p>
    <w:p>
      <w:pPr>
        <w:pStyle w:val="8"/>
        <w:ind w:left="1038"/>
        <w:rPr>
          <w:color w:val="auto"/>
        </w:rPr>
      </w:pPr>
      <w:r>
        <w:rPr>
          <w:color w:val="auto"/>
        </w:rPr>
        <w:t xml:space="preserve">(1)谈判响应文件未按照本须知规定进行密封、标记的； </w:t>
      </w:r>
    </w:p>
    <w:p>
      <w:pPr>
        <w:pStyle w:val="8"/>
        <w:spacing w:before="98" w:line="316" w:lineRule="auto"/>
        <w:ind w:left="557" w:right="1779" w:firstLine="480"/>
        <w:rPr>
          <w:color w:val="auto"/>
        </w:rPr>
      </w:pPr>
      <w:r>
        <w:rPr>
          <w:color w:val="auto"/>
        </w:rPr>
        <w:t xml:space="preserve">(2)未按规定由谈判响应供应商的法定代表人或其授权代表签字；或未加盖谈判响应供应商公章的；或签字人未提供法定代表人有效授权委托书的； </w:t>
      </w:r>
    </w:p>
    <w:p>
      <w:pPr>
        <w:pStyle w:val="8"/>
        <w:spacing w:line="291" w:lineRule="exact"/>
        <w:ind w:left="1038"/>
        <w:rPr>
          <w:color w:val="auto"/>
        </w:rPr>
      </w:pPr>
      <w:r>
        <w:rPr>
          <w:color w:val="auto"/>
        </w:rPr>
        <w:t xml:space="preserve">(3)未按规定提交谈判保证金的； </w:t>
      </w:r>
    </w:p>
    <w:p>
      <w:pPr>
        <w:pStyle w:val="8"/>
        <w:spacing w:before="98"/>
        <w:ind w:left="1038"/>
        <w:rPr>
          <w:color w:val="auto"/>
        </w:rPr>
      </w:pPr>
      <w:r>
        <w:rPr>
          <w:color w:val="auto"/>
        </w:rPr>
        <w:t xml:space="preserve">(4)谈判响应有效期不满足谈判文件要求的； </w:t>
      </w:r>
    </w:p>
    <w:p>
      <w:pPr>
        <w:pStyle w:val="8"/>
        <w:spacing w:before="98"/>
        <w:ind w:left="1038"/>
        <w:rPr>
          <w:color w:val="auto"/>
        </w:rPr>
      </w:pPr>
      <w:r>
        <w:rPr>
          <w:color w:val="auto"/>
        </w:rPr>
        <w:t xml:space="preserve">(5)响应文件内容与谈判文件内容及要求有重大偏离或保留的； </w:t>
      </w:r>
    </w:p>
    <w:p>
      <w:pPr>
        <w:pStyle w:val="8"/>
        <w:spacing w:before="82"/>
        <w:ind w:left="1038"/>
        <w:rPr>
          <w:color w:val="auto"/>
        </w:rPr>
      </w:pPr>
      <w:r>
        <w:rPr>
          <w:color w:val="auto"/>
        </w:rPr>
        <w:t xml:space="preserve">(6)谈判响应供应商提交的是可选择的报价； </w:t>
      </w:r>
    </w:p>
    <w:p>
      <w:pPr>
        <w:pStyle w:val="8"/>
        <w:spacing w:before="98"/>
        <w:ind w:left="1038"/>
        <w:rPr>
          <w:color w:val="auto"/>
        </w:rPr>
      </w:pPr>
      <w:r>
        <w:rPr>
          <w:color w:val="auto"/>
        </w:rPr>
        <w:t xml:space="preserve">(7)谈判响应供应商未按谈判文件要求进行分项报价； </w:t>
      </w:r>
    </w:p>
    <w:p>
      <w:pPr>
        <w:pStyle w:val="8"/>
        <w:spacing w:before="98"/>
        <w:ind w:left="1038"/>
        <w:rPr>
          <w:color w:val="auto"/>
        </w:rPr>
      </w:pPr>
      <w:r>
        <w:rPr>
          <w:color w:val="auto"/>
        </w:rPr>
        <w:t xml:space="preserve">(8)响应文件中提供虚假或失实资料的； </w:t>
      </w:r>
    </w:p>
    <w:p>
      <w:pPr>
        <w:pStyle w:val="8"/>
        <w:spacing w:before="83"/>
        <w:ind w:left="1038"/>
        <w:rPr>
          <w:color w:val="auto"/>
        </w:rPr>
      </w:pPr>
      <w:r>
        <w:rPr>
          <w:color w:val="auto"/>
        </w:rPr>
        <w:t xml:space="preserve">(9)不符合谈判文件中规定的其它实质性条款。  </w:t>
      </w:r>
    </w:p>
    <w:p>
      <w:pPr>
        <w:pStyle w:val="8"/>
        <w:spacing w:before="98" w:line="316" w:lineRule="auto"/>
        <w:ind w:left="557" w:right="1783" w:firstLine="480"/>
        <w:rPr>
          <w:color w:val="auto"/>
        </w:rPr>
      </w:pPr>
      <w:r>
        <w:rPr>
          <w:color w:val="auto"/>
          <w:spacing w:val="-5"/>
        </w:rPr>
        <w:t xml:space="preserve">谈判小组决定报价的响应性只根据响应文件本身的内容，而不寻求其他的外部证据。 </w:t>
      </w:r>
    </w:p>
    <w:p>
      <w:pPr>
        <w:pStyle w:val="12"/>
        <w:numPr>
          <w:ilvl w:val="1"/>
          <w:numId w:val="14"/>
        </w:numPr>
        <w:tabs>
          <w:tab w:val="left" w:pos="1504"/>
        </w:tabs>
        <w:spacing w:before="0" w:after="0" w:line="291" w:lineRule="exact"/>
        <w:ind w:left="482" w:right="0" w:firstLine="481"/>
        <w:jc w:val="left"/>
        <w:rPr>
          <w:color w:val="auto"/>
          <w:sz w:val="24"/>
        </w:rPr>
      </w:pPr>
      <w:r>
        <w:rPr>
          <w:color w:val="auto"/>
          <w:spacing w:val="-1"/>
          <w:sz w:val="24"/>
        </w:rPr>
        <w:t>谈判响应供应商提交的响应文件将给予保密，但不予退回。</w:t>
      </w:r>
      <w:r>
        <w:rPr>
          <w:color w:val="auto"/>
          <w:sz w:val="24"/>
        </w:rPr>
        <w:t xml:space="preserve"> </w:t>
      </w:r>
    </w:p>
    <w:p>
      <w:pPr>
        <w:pStyle w:val="12"/>
        <w:numPr>
          <w:ilvl w:val="1"/>
          <w:numId w:val="14"/>
        </w:numPr>
        <w:tabs>
          <w:tab w:val="left" w:pos="1564"/>
        </w:tabs>
        <w:spacing w:before="98" w:after="0" w:line="316" w:lineRule="auto"/>
        <w:ind w:left="482" w:right="1798" w:firstLine="481"/>
        <w:jc w:val="left"/>
        <w:rPr>
          <w:color w:val="auto"/>
          <w:sz w:val="24"/>
        </w:rPr>
      </w:pPr>
      <w:bookmarkStart w:id="11" w:name="17.7谈判响应供应商资格和报价产品均必须满足中华人民共和国相关法律法规及行业的"/>
      <w:bookmarkEnd w:id="11"/>
      <w:bookmarkStart w:id="12" w:name="17.7谈判响应供应商资格和报价产品均必须满足中华人民共和国相关法律法规及行业的"/>
      <w:bookmarkEnd w:id="12"/>
      <w:r>
        <w:rPr>
          <w:color w:val="auto"/>
          <w:sz w:val="24"/>
        </w:rPr>
        <w:t>谈判响应供应商资格和报价产品均必须满足中华人民共和国相关法律</w:t>
      </w:r>
      <w:r>
        <w:rPr>
          <w:color w:val="auto"/>
          <w:spacing w:val="-1"/>
          <w:sz w:val="24"/>
        </w:rPr>
        <w:t>法规及行业的强制性要求，否则将作无效响应处理。</w:t>
      </w:r>
      <w:r>
        <w:rPr>
          <w:color w:val="auto"/>
          <w:sz w:val="24"/>
        </w:rPr>
        <w:t xml:space="preserve"> </w:t>
      </w:r>
    </w:p>
    <w:p>
      <w:pPr>
        <w:pStyle w:val="5"/>
        <w:spacing w:line="292" w:lineRule="exact"/>
        <w:jc w:val="both"/>
        <w:rPr>
          <w:b w:val="0"/>
          <w:color w:val="auto"/>
        </w:rPr>
      </w:pPr>
      <w:bookmarkStart w:id="13" w:name="18.谈判相应文件的澄清"/>
      <w:bookmarkEnd w:id="13"/>
      <w:r>
        <w:rPr>
          <w:color w:val="auto"/>
        </w:rPr>
        <w:t>18.谈判相应文件的澄清</w:t>
      </w:r>
      <w:r>
        <w:rPr>
          <w:b w:val="0"/>
          <w:color w:val="auto"/>
        </w:rPr>
        <w:t xml:space="preserve"> </w:t>
      </w:r>
    </w:p>
    <w:p>
      <w:pPr>
        <w:pStyle w:val="8"/>
        <w:spacing w:before="97"/>
        <w:ind w:left="963"/>
        <w:rPr>
          <w:color w:val="auto"/>
        </w:rPr>
      </w:pPr>
      <w:bookmarkStart w:id="14" w:name="18.1对谈判文件中含义不明确、同类问题表述不一致或者有明显文字和计算错误的内容"/>
      <w:bookmarkEnd w:id="14"/>
      <w:r>
        <w:rPr>
          <w:color w:val="auto"/>
        </w:rPr>
        <w:t>18.1 对谈判文件中含义不明确、同类问题表述不一致或者有明显文字和计算</w:t>
      </w:r>
    </w:p>
    <w:p>
      <w:pPr>
        <w:spacing w:after="0"/>
        <w:rPr>
          <w:color w:val="auto"/>
        </w:rPr>
        <w:sectPr>
          <w:pgSz w:w="11910" w:h="16850"/>
          <w:pgMar w:top="1460" w:right="0" w:bottom="1160" w:left="1260" w:header="0" w:footer="891" w:gutter="0"/>
          <w:cols w:space="720" w:num="1"/>
        </w:sectPr>
      </w:pPr>
    </w:p>
    <w:p>
      <w:pPr>
        <w:pStyle w:val="8"/>
        <w:spacing w:before="51" w:line="312" w:lineRule="auto"/>
        <w:ind w:left="481" w:right="1778"/>
        <w:jc w:val="both"/>
        <w:rPr>
          <w:color w:val="auto"/>
        </w:rPr>
      </w:pPr>
      <w:r>
        <w:rPr>
          <w:color w:val="auto"/>
          <w:spacing w:val="-4"/>
        </w:rPr>
        <w:t>错误的内容，谈判小组可以书面形式要求谈判响应供应商作出必要的澄清、说明</w:t>
      </w:r>
      <w:r>
        <w:rPr>
          <w:color w:val="auto"/>
          <w:spacing w:val="-7"/>
        </w:rPr>
        <w:t>或者纠正。谈判响应供应商的澄清、说明或者补正应当在谈判小组规定的时间内</w:t>
      </w:r>
      <w:r>
        <w:rPr>
          <w:color w:val="auto"/>
          <w:spacing w:val="-9"/>
        </w:rPr>
        <w:t>以书面形式作出，由其法定代表人或者授权代表签字，并不得超出响应文件的范围或者改变响应文件的实质性内容。</w:t>
      </w:r>
      <w:r>
        <w:rPr>
          <w:color w:val="auto"/>
        </w:rPr>
        <w:t xml:space="preserve"> </w:t>
      </w:r>
    </w:p>
    <w:p>
      <w:pPr>
        <w:pStyle w:val="5"/>
        <w:spacing w:before="8"/>
        <w:rPr>
          <w:color w:val="auto"/>
        </w:rPr>
      </w:pPr>
      <w:r>
        <w:rPr>
          <w:color w:val="auto"/>
        </w:rPr>
        <w:t>19.比较与评价</w:t>
      </w:r>
      <w:r>
        <w:rPr>
          <w:color w:val="auto"/>
          <w:w w:val="99"/>
        </w:rPr>
        <w:t xml:space="preserve"> </w:t>
      </w:r>
    </w:p>
    <w:p>
      <w:pPr>
        <w:pStyle w:val="12"/>
        <w:numPr>
          <w:ilvl w:val="1"/>
          <w:numId w:val="15"/>
        </w:numPr>
        <w:tabs>
          <w:tab w:val="left" w:pos="1444"/>
        </w:tabs>
        <w:spacing w:before="83" w:after="0" w:line="240" w:lineRule="auto"/>
        <w:ind w:left="482" w:right="0" w:firstLine="481"/>
        <w:jc w:val="left"/>
        <w:rPr>
          <w:color w:val="auto"/>
          <w:sz w:val="24"/>
        </w:rPr>
      </w:pPr>
      <w:r>
        <w:rPr>
          <w:color w:val="auto"/>
          <w:sz w:val="24"/>
        </w:rPr>
        <w:t>本次谈判采用</w:t>
      </w:r>
      <w:r>
        <w:rPr>
          <w:b/>
          <w:color w:val="auto"/>
          <w:spacing w:val="7"/>
          <w:sz w:val="24"/>
        </w:rPr>
        <w:t>最低价评标法。</w:t>
      </w:r>
      <w:r>
        <w:rPr>
          <w:color w:val="auto"/>
          <w:sz w:val="24"/>
        </w:rPr>
        <w:t xml:space="preserve"> </w:t>
      </w:r>
    </w:p>
    <w:p>
      <w:pPr>
        <w:pStyle w:val="12"/>
        <w:numPr>
          <w:ilvl w:val="1"/>
          <w:numId w:val="15"/>
        </w:numPr>
        <w:tabs>
          <w:tab w:val="left" w:pos="1504"/>
        </w:tabs>
        <w:spacing w:before="97" w:after="0" w:line="312" w:lineRule="auto"/>
        <w:ind w:left="482" w:right="1767" w:firstLine="481"/>
        <w:jc w:val="both"/>
        <w:rPr>
          <w:color w:val="auto"/>
          <w:sz w:val="24"/>
        </w:rPr>
      </w:pPr>
      <w:r>
        <w:rPr>
          <w:color w:val="auto"/>
          <w:spacing w:val="-7"/>
          <w:sz w:val="24"/>
        </w:rPr>
        <w:t>对漏</w:t>
      </w:r>
      <w:r>
        <w:rPr>
          <w:color w:val="auto"/>
          <w:sz w:val="24"/>
        </w:rPr>
        <w:t>（缺</w:t>
      </w:r>
      <w:r>
        <w:rPr>
          <w:color w:val="auto"/>
          <w:spacing w:val="-15"/>
          <w:sz w:val="24"/>
        </w:rPr>
        <w:t>）</w:t>
      </w:r>
      <w:r>
        <w:rPr>
          <w:color w:val="auto"/>
          <w:spacing w:val="-4"/>
          <w:sz w:val="24"/>
        </w:rPr>
        <w:t>报项的处理：谈判文件中要求列入报价的费用</w:t>
      </w:r>
      <w:r>
        <w:rPr>
          <w:color w:val="auto"/>
          <w:sz w:val="24"/>
        </w:rPr>
        <w:t>（</w:t>
      </w:r>
      <w:r>
        <w:rPr>
          <w:color w:val="auto"/>
          <w:spacing w:val="-4"/>
          <w:sz w:val="24"/>
        </w:rPr>
        <w:t>含配置、功能），漏（</w:t>
      </w:r>
      <w:r>
        <w:rPr>
          <w:color w:val="auto"/>
          <w:spacing w:val="-14"/>
          <w:sz w:val="24"/>
        </w:rPr>
        <w:t>缺</w:t>
      </w:r>
      <w:r>
        <w:rPr>
          <w:color w:val="auto"/>
          <w:sz w:val="24"/>
        </w:rPr>
        <w:t>）报的视同已含在报价总价中。但在评审时取有效谈判响应供应商</w:t>
      </w:r>
      <w:r>
        <w:rPr>
          <w:color w:val="auto"/>
          <w:spacing w:val="-2"/>
          <w:sz w:val="24"/>
        </w:rPr>
        <w:t>该项最高报价加入漏</w:t>
      </w:r>
      <w:r>
        <w:rPr>
          <w:color w:val="auto"/>
          <w:sz w:val="24"/>
        </w:rPr>
        <w:t>（缺</w:t>
      </w:r>
      <w:r>
        <w:rPr>
          <w:color w:val="auto"/>
          <w:spacing w:val="-15"/>
          <w:sz w:val="24"/>
        </w:rPr>
        <w:t>）</w:t>
      </w:r>
      <w:r>
        <w:rPr>
          <w:color w:val="auto"/>
          <w:spacing w:val="-2"/>
          <w:sz w:val="24"/>
        </w:rPr>
        <w:t>报人的谈判响应报价进行评审。对多报及赠送项的价</w:t>
      </w:r>
      <w:r>
        <w:rPr>
          <w:color w:val="auto"/>
          <w:spacing w:val="-3"/>
          <w:sz w:val="24"/>
        </w:rPr>
        <w:t>格评审时不予核减，全部进入评审价评议。</w:t>
      </w:r>
      <w:r>
        <w:rPr>
          <w:color w:val="auto"/>
          <w:sz w:val="24"/>
        </w:rPr>
        <w:t xml:space="preserve"> </w:t>
      </w:r>
    </w:p>
    <w:p>
      <w:pPr>
        <w:pStyle w:val="12"/>
        <w:numPr>
          <w:ilvl w:val="1"/>
          <w:numId w:val="15"/>
        </w:numPr>
        <w:tabs>
          <w:tab w:val="left" w:pos="1504"/>
        </w:tabs>
        <w:spacing w:before="8" w:after="0" w:line="312" w:lineRule="auto"/>
        <w:ind w:left="482" w:right="1778" w:firstLine="481"/>
        <w:jc w:val="both"/>
        <w:rPr>
          <w:color w:val="auto"/>
          <w:sz w:val="24"/>
        </w:rPr>
      </w:pPr>
      <w:r>
        <w:rPr>
          <w:color w:val="auto"/>
          <w:spacing w:val="-5"/>
          <w:sz w:val="24"/>
        </w:rPr>
        <w:t>若谈判响应供应商的报价明显低于其他报价，使得其报价可能低于其个</w:t>
      </w:r>
      <w:r>
        <w:rPr>
          <w:color w:val="auto"/>
          <w:spacing w:val="-7"/>
          <w:sz w:val="24"/>
        </w:rPr>
        <w:t>别成本的，有可能影响商品质量或不能诚信履约的，谈判相应供应商应按谈判小</w:t>
      </w:r>
      <w:r>
        <w:rPr>
          <w:color w:val="auto"/>
          <w:spacing w:val="-9"/>
          <w:sz w:val="24"/>
        </w:rPr>
        <w:t xml:space="preserve">组要求作出书面说明并提供相关证明材料，不能合理说明或不能提供相关证明材料的，可作无效报价处理。 </w:t>
      </w:r>
    </w:p>
    <w:p>
      <w:pPr>
        <w:spacing w:after="0" w:line="312" w:lineRule="auto"/>
        <w:jc w:val="both"/>
        <w:rPr>
          <w:color w:val="auto"/>
          <w:sz w:val="24"/>
        </w:rPr>
        <w:sectPr>
          <w:pgSz w:w="11910" w:h="16850"/>
          <w:pgMar w:top="1460" w:right="0" w:bottom="1160" w:left="1260" w:header="0" w:footer="891" w:gutter="0"/>
          <w:cols w:space="720" w:num="1"/>
        </w:sectPr>
      </w:pPr>
    </w:p>
    <w:p>
      <w:pPr>
        <w:pStyle w:val="8"/>
        <w:rPr>
          <w:color w:val="auto"/>
        </w:rPr>
      </w:pPr>
    </w:p>
    <w:p>
      <w:pPr>
        <w:pStyle w:val="8"/>
        <w:rPr>
          <w:color w:val="auto"/>
        </w:rPr>
      </w:pPr>
    </w:p>
    <w:p>
      <w:pPr>
        <w:pStyle w:val="8"/>
        <w:spacing w:before="188"/>
        <w:ind w:left="481"/>
        <w:rPr>
          <w:color w:val="auto"/>
        </w:rPr>
      </w:pPr>
      <w:r>
        <w:rPr>
          <w:color w:val="auto"/>
        </w:rPr>
        <w:t xml:space="preserve">20.成交准则 </w:t>
      </w:r>
    </w:p>
    <w:p>
      <w:pPr>
        <w:spacing w:before="0" w:line="320" w:lineRule="exact"/>
        <w:ind w:left="0" w:right="3848" w:firstLine="0"/>
        <w:jc w:val="center"/>
        <w:rPr>
          <w:b/>
          <w:color w:val="auto"/>
          <w:sz w:val="31"/>
        </w:rPr>
      </w:pPr>
      <w:r>
        <w:rPr>
          <w:color w:val="auto"/>
        </w:rPr>
        <w:br w:type="column"/>
      </w:r>
      <w:r>
        <w:rPr>
          <w:b/>
          <w:color w:val="auto"/>
          <w:w w:val="100"/>
          <w:sz w:val="31"/>
        </w:rPr>
        <w:t xml:space="preserve"> </w:t>
      </w:r>
    </w:p>
    <w:p>
      <w:pPr>
        <w:pStyle w:val="3"/>
        <w:spacing w:before="8"/>
        <w:ind w:left="0" w:right="3848"/>
        <w:jc w:val="center"/>
        <w:rPr>
          <w:color w:val="auto"/>
        </w:rPr>
      </w:pPr>
      <w:r>
        <w:rPr>
          <w:color w:val="auto"/>
        </w:rPr>
        <w:t>六、成交与签订合同</w:t>
      </w:r>
      <w:r>
        <w:rPr>
          <w:color w:val="auto"/>
          <w:w w:val="100"/>
        </w:rPr>
        <w:t xml:space="preserve"> </w:t>
      </w:r>
    </w:p>
    <w:p>
      <w:pPr>
        <w:spacing w:after="0"/>
        <w:jc w:val="center"/>
        <w:rPr>
          <w:color w:val="auto"/>
        </w:rPr>
        <w:sectPr>
          <w:type w:val="continuous"/>
          <w:pgSz w:w="11910" w:h="16850"/>
          <w:pgMar w:top="1600" w:right="0" w:bottom="280" w:left="1260" w:header="720" w:footer="720" w:gutter="0"/>
          <w:cols w:equalWidth="0" w:num="2">
            <w:col w:w="1965" w:space="739"/>
            <w:col w:w="7946"/>
          </w:cols>
        </w:sectPr>
      </w:pPr>
    </w:p>
    <w:p>
      <w:pPr>
        <w:pStyle w:val="8"/>
        <w:spacing w:before="83" w:line="314" w:lineRule="auto"/>
        <w:ind w:left="481" w:right="1546"/>
        <w:rPr>
          <w:color w:val="auto"/>
        </w:rPr>
      </w:pPr>
      <w:r>
        <w:rPr>
          <w:color w:val="auto"/>
        </w:rPr>
        <w:t xml:space="preserve">    </w:t>
      </w:r>
      <w:r>
        <w:rPr>
          <w:color w:val="auto"/>
          <w:spacing w:val="-4"/>
        </w:rPr>
        <w:t xml:space="preserve">谈判小组根据谈判报价情况，按照“低价优先”依次对报价符合条件的供应 </w:t>
      </w:r>
      <w:r>
        <w:rPr>
          <w:color w:val="auto"/>
          <w:spacing w:val="-7"/>
        </w:rPr>
        <w:t xml:space="preserve">商的投标文件进行审查、质疑、评估等，在满足竞争性谈判文件和谈判内容的供 </w:t>
      </w:r>
      <w:r>
        <w:rPr>
          <w:color w:val="auto"/>
          <w:spacing w:val="-11"/>
        </w:rPr>
        <w:t xml:space="preserve">应商中依据各供应商的最终报价、企业资信业绩、承诺质量、承诺交货日期、承 </w:t>
      </w:r>
      <w:r>
        <w:rPr>
          <w:color w:val="auto"/>
          <w:spacing w:val="-15"/>
        </w:rPr>
        <w:t xml:space="preserve">诺合同条件、承诺售后服务以及对谈判文件的响应程度等各方面，进行综合评审， </w:t>
      </w:r>
      <w:r>
        <w:rPr>
          <w:color w:val="auto"/>
          <w:spacing w:val="-16"/>
        </w:rPr>
        <w:t>在采购人预算范围内且满足谈判文件要求报价最低的供应商作为拟成交供应商。</w:t>
      </w:r>
      <w:r>
        <w:rPr>
          <w:color w:val="auto"/>
        </w:rPr>
        <w:t xml:space="preserve">  </w:t>
      </w:r>
    </w:p>
    <w:p>
      <w:pPr>
        <w:pStyle w:val="5"/>
        <w:spacing w:line="305" w:lineRule="exact"/>
        <w:rPr>
          <w:color w:val="auto"/>
        </w:rPr>
      </w:pPr>
      <w:r>
        <w:rPr>
          <w:color w:val="auto"/>
        </w:rPr>
        <w:t>21.成交通知</w:t>
      </w:r>
      <w:r>
        <w:rPr>
          <w:color w:val="auto"/>
          <w:w w:val="99"/>
        </w:rPr>
        <w:t xml:space="preserve"> </w:t>
      </w:r>
    </w:p>
    <w:p>
      <w:pPr>
        <w:pStyle w:val="8"/>
        <w:spacing w:before="82" w:line="316" w:lineRule="auto"/>
        <w:ind w:left="481" w:right="1665" w:firstLine="481"/>
        <w:rPr>
          <w:color w:val="auto"/>
        </w:rPr>
      </w:pPr>
      <w:r>
        <w:rPr>
          <w:color w:val="auto"/>
          <w:spacing w:val="-5"/>
        </w:rPr>
        <w:t>谈判结束后，确定拟成交供应商，在铜仁市公共资源交易网、贵州省财政部</w:t>
      </w:r>
      <w:r>
        <w:rPr>
          <w:color w:val="auto"/>
          <w:spacing w:val="-9"/>
        </w:rPr>
        <w:t>门指定的政府采购信息发布媒体上进行公告，并于</w:t>
      </w:r>
      <w:r>
        <w:rPr>
          <w:color w:val="auto"/>
        </w:rPr>
        <w:t>2</w:t>
      </w:r>
      <w:r>
        <w:rPr>
          <w:color w:val="auto"/>
          <w:spacing w:val="-9"/>
        </w:rPr>
        <w:t xml:space="preserve"> 个工作日内发放成交通知书，</w:t>
      </w:r>
    </w:p>
    <w:p>
      <w:pPr>
        <w:pStyle w:val="8"/>
        <w:spacing w:line="309" w:lineRule="auto"/>
        <w:ind w:left="481" w:right="1748"/>
        <w:jc w:val="both"/>
        <w:rPr>
          <w:color w:val="auto"/>
        </w:rPr>
      </w:pPr>
      <w:r>
        <w:rPr>
          <w:color w:val="auto"/>
        </w:rPr>
        <w:t xml:space="preserve">《成交通知书》将作为签订合同的重要依据，所有未成交的供应商不另行通知， 铜仁市公共资源交易中心无义务向未中标的投标人解释落标原因，不退还投标文件 </w:t>
      </w:r>
    </w:p>
    <w:p>
      <w:pPr>
        <w:pStyle w:val="5"/>
        <w:spacing w:before="10"/>
        <w:rPr>
          <w:color w:val="auto"/>
        </w:rPr>
      </w:pPr>
      <w:r>
        <w:rPr>
          <w:color w:val="auto"/>
        </w:rPr>
        <w:t>22.签订合同</w:t>
      </w:r>
      <w:r>
        <w:rPr>
          <w:color w:val="auto"/>
          <w:w w:val="99"/>
        </w:rPr>
        <w:t xml:space="preserve"> </w:t>
      </w:r>
    </w:p>
    <w:p>
      <w:pPr>
        <w:pStyle w:val="12"/>
        <w:numPr>
          <w:ilvl w:val="1"/>
          <w:numId w:val="16"/>
        </w:numPr>
        <w:tabs>
          <w:tab w:val="left" w:pos="1504"/>
        </w:tabs>
        <w:spacing w:before="83" w:after="0" w:line="314" w:lineRule="auto"/>
        <w:ind w:left="482" w:right="1785" w:firstLine="481"/>
        <w:jc w:val="both"/>
        <w:rPr>
          <w:color w:val="auto"/>
          <w:sz w:val="24"/>
        </w:rPr>
      </w:pPr>
      <w:r>
        <w:rPr>
          <w:color w:val="auto"/>
          <w:spacing w:val="-3"/>
          <w:sz w:val="24"/>
        </w:rPr>
        <w:t xml:space="preserve">采购人、成交供应商在《成交通知书》发出之日起 </w:t>
      </w:r>
      <w:r>
        <w:rPr>
          <w:color w:val="auto"/>
          <w:sz w:val="24"/>
        </w:rPr>
        <w:t>30</w:t>
      </w:r>
      <w:r>
        <w:rPr>
          <w:color w:val="auto"/>
          <w:spacing w:val="-8"/>
          <w:sz w:val="24"/>
        </w:rPr>
        <w:t xml:space="preserve"> 日内，根据谈判</w:t>
      </w:r>
      <w:r>
        <w:rPr>
          <w:color w:val="auto"/>
          <w:spacing w:val="-11"/>
          <w:sz w:val="24"/>
        </w:rPr>
        <w:t>文件确定的事项和成交供应商响应文件，参照本谈判文件第五章的《合同》文本</w:t>
      </w:r>
      <w:r>
        <w:rPr>
          <w:color w:val="auto"/>
          <w:spacing w:val="-9"/>
          <w:sz w:val="24"/>
        </w:rPr>
        <w:t>签订合同。双方所签订的合同不得对谈判文件和成交供应商响应文件作实质性修</w:t>
      </w:r>
      <w:r>
        <w:rPr>
          <w:color w:val="auto"/>
          <w:spacing w:val="-7"/>
          <w:sz w:val="24"/>
        </w:rPr>
        <w:t>改。逾期未签订合同，按照有关法律规定承担相应的法律责任；属成交供应商责</w:t>
      </w:r>
      <w:r>
        <w:rPr>
          <w:color w:val="auto"/>
          <w:spacing w:val="-8"/>
          <w:sz w:val="24"/>
        </w:rPr>
        <w:t>任的，采购代理机构将没收谈判保证金，以抵偿对采购人造成的损失。采购人逾</w:t>
      </w:r>
    </w:p>
    <w:p>
      <w:pPr>
        <w:spacing w:after="0" w:line="314" w:lineRule="auto"/>
        <w:jc w:val="both"/>
        <w:rPr>
          <w:color w:val="auto"/>
          <w:sz w:val="24"/>
        </w:rPr>
        <w:sectPr>
          <w:type w:val="continuous"/>
          <w:pgSz w:w="11910" w:h="16850"/>
          <w:pgMar w:top="1600" w:right="0" w:bottom="280" w:left="1260" w:header="720" w:footer="720" w:gutter="0"/>
          <w:cols w:space="720" w:num="1"/>
        </w:sectPr>
      </w:pPr>
    </w:p>
    <w:p>
      <w:pPr>
        <w:pStyle w:val="8"/>
        <w:spacing w:before="51"/>
        <w:ind w:left="481"/>
        <w:rPr>
          <w:color w:val="auto"/>
        </w:rPr>
      </w:pPr>
      <w:r>
        <w:rPr>
          <w:color w:val="auto"/>
        </w:rPr>
        <w:t xml:space="preserve">期不与成交供应商签订合同的，按政府采购的有关规定处理。 </w:t>
      </w:r>
    </w:p>
    <w:p>
      <w:pPr>
        <w:pStyle w:val="12"/>
        <w:numPr>
          <w:ilvl w:val="1"/>
          <w:numId w:val="16"/>
        </w:numPr>
        <w:tabs>
          <w:tab w:val="left" w:pos="1504"/>
        </w:tabs>
        <w:spacing w:before="98" w:after="0" w:line="309" w:lineRule="auto"/>
        <w:ind w:left="482" w:right="1778" w:firstLine="481"/>
        <w:jc w:val="both"/>
        <w:rPr>
          <w:color w:val="auto"/>
          <w:sz w:val="24"/>
        </w:rPr>
      </w:pPr>
      <w:r>
        <w:rPr>
          <w:color w:val="auto"/>
          <w:spacing w:val="-8"/>
          <w:sz w:val="24"/>
        </w:rPr>
        <w:t>谈判文件、谈判文件的修改文件、成交供应商的响应文件、补充或修改</w:t>
      </w:r>
      <w:r>
        <w:rPr>
          <w:color w:val="auto"/>
          <w:spacing w:val="-10"/>
          <w:sz w:val="24"/>
        </w:rPr>
        <w:t>的文件及澄清或承诺文件等，均为双方签订合同的组成部分，并与合同一并作为本谈判文件所列采购项目的互补性法律文件，与合同具有同等法律效力。</w:t>
      </w:r>
      <w:r>
        <w:rPr>
          <w:color w:val="auto"/>
          <w:sz w:val="24"/>
        </w:rPr>
        <w:t xml:space="preserve"> </w:t>
      </w:r>
    </w:p>
    <w:p>
      <w:pPr>
        <w:pStyle w:val="12"/>
        <w:numPr>
          <w:ilvl w:val="1"/>
          <w:numId w:val="16"/>
        </w:numPr>
        <w:tabs>
          <w:tab w:val="left" w:pos="1504"/>
        </w:tabs>
        <w:spacing w:before="11" w:after="0" w:line="309" w:lineRule="auto"/>
        <w:ind w:left="482" w:right="1778" w:firstLine="481"/>
        <w:jc w:val="both"/>
        <w:rPr>
          <w:color w:val="auto"/>
          <w:sz w:val="24"/>
        </w:rPr>
      </w:pPr>
      <w:r>
        <w:rPr>
          <w:color w:val="auto"/>
          <w:spacing w:val="-7"/>
          <w:sz w:val="24"/>
        </w:rPr>
        <w:t>采购人在合同履行中，需追加与合同标的相同的货物或者服务的，在不</w:t>
      </w:r>
      <w:r>
        <w:rPr>
          <w:color w:val="auto"/>
          <w:spacing w:val="-9"/>
          <w:sz w:val="24"/>
        </w:rPr>
        <w:t>改变合同其他条款的前提下，可与供应商协商签订补充合同，但所有补充合同的</w:t>
      </w:r>
      <w:r>
        <w:rPr>
          <w:color w:val="auto"/>
          <w:spacing w:val="-13"/>
          <w:sz w:val="24"/>
        </w:rPr>
        <w:t xml:space="preserve">采购金额不得超过原合同采购金额的 </w:t>
      </w:r>
      <w:r>
        <w:rPr>
          <w:color w:val="auto"/>
          <w:sz w:val="24"/>
        </w:rPr>
        <w:t xml:space="preserve">10%。 </w:t>
      </w:r>
    </w:p>
    <w:p>
      <w:pPr>
        <w:pStyle w:val="12"/>
        <w:numPr>
          <w:ilvl w:val="1"/>
          <w:numId w:val="16"/>
        </w:numPr>
        <w:tabs>
          <w:tab w:val="left" w:pos="1444"/>
        </w:tabs>
        <w:spacing w:before="11" w:after="0" w:line="312" w:lineRule="auto"/>
        <w:ind w:left="482" w:right="1778" w:firstLine="481"/>
        <w:jc w:val="both"/>
        <w:rPr>
          <w:rFonts w:ascii="Calibri" w:eastAsia="Calibri"/>
          <w:color w:val="auto"/>
          <w:sz w:val="24"/>
        </w:rPr>
      </w:pPr>
      <w:r>
        <w:rPr>
          <w:color w:val="auto"/>
          <w:spacing w:val="-3"/>
          <w:sz w:val="24"/>
        </w:rPr>
        <w:t>成交供应商因不可抗力或者自身原因不能履行政府采购合同的，采购人</w:t>
      </w:r>
      <w:r>
        <w:rPr>
          <w:color w:val="auto"/>
          <w:spacing w:val="-4"/>
          <w:sz w:val="24"/>
        </w:rPr>
        <w:t>可以与排位在成交供应商之后第一位的成交备选供应商签订政府采购合同，以此</w:t>
      </w:r>
      <w:r>
        <w:rPr>
          <w:color w:val="auto"/>
          <w:spacing w:val="-6"/>
          <w:sz w:val="24"/>
        </w:rPr>
        <w:t>类推。且在此情况下，作为成交供应商之后第一位的成交候选人应同意与采购人按不高于其最终报价签订采购合同。</w:t>
      </w:r>
      <w:r>
        <w:rPr>
          <w:color w:val="auto"/>
          <w:sz w:val="24"/>
        </w:rPr>
        <w:t xml:space="preserve"> </w:t>
      </w:r>
    </w:p>
    <w:p>
      <w:pPr>
        <w:pStyle w:val="5"/>
        <w:spacing w:line="300" w:lineRule="exact"/>
        <w:rPr>
          <w:color w:val="auto"/>
        </w:rPr>
      </w:pPr>
      <w:r>
        <w:rPr>
          <w:color w:val="auto"/>
        </w:rPr>
        <w:t>23.成交服务费</w:t>
      </w:r>
      <w:r>
        <w:rPr>
          <w:color w:val="auto"/>
          <w:w w:val="99"/>
        </w:rPr>
        <w:t xml:space="preserve"> </w:t>
      </w:r>
    </w:p>
    <w:p>
      <w:pPr>
        <w:pStyle w:val="8"/>
        <w:spacing w:before="98" w:line="312" w:lineRule="auto"/>
        <w:ind w:left="481" w:right="1770" w:firstLine="481"/>
        <w:jc w:val="both"/>
        <w:rPr>
          <w:color w:val="auto"/>
        </w:rPr>
      </w:pPr>
      <w:r>
        <w:rPr>
          <w:color w:val="auto"/>
          <w:spacing w:val="-8"/>
        </w:rPr>
        <w:t>中标人保证在领取中标通知书前， 按招标代理合同</w:t>
      </w:r>
      <w:r>
        <w:rPr>
          <w:rFonts w:hint="eastAsia"/>
          <w:color w:val="auto"/>
          <w:sz w:val="24"/>
          <w:u w:val="single"/>
        </w:rPr>
        <w:t>国家发改委发改办价格[2011]534 号</w:t>
      </w:r>
      <w:r>
        <w:rPr>
          <w:color w:val="auto"/>
        </w:rPr>
        <w:t xml:space="preserve">的“招标代理服务收费标准”， 以中标金额为基数向代理机构交纳中标服务费，专家论证费和评审费由中标人承担。 </w:t>
      </w:r>
    </w:p>
    <w:p>
      <w:pPr>
        <w:pStyle w:val="2"/>
        <w:tabs>
          <w:tab w:val="left" w:pos="3365"/>
        </w:tabs>
        <w:spacing w:line="394" w:lineRule="exact"/>
        <w:ind w:left="481"/>
        <w:rPr>
          <w:color w:val="auto"/>
        </w:rPr>
      </w:pPr>
      <w:r>
        <w:rPr>
          <w:color w:val="auto"/>
          <w:w w:val="99"/>
        </w:rPr>
        <w:t xml:space="preserve"> </w:t>
      </w:r>
      <w:r>
        <w:rPr>
          <w:color w:val="auto"/>
        </w:rPr>
        <w:tab/>
      </w:r>
      <w:r>
        <w:rPr>
          <w:color w:val="auto"/>
          <w:w w:val="99"/>
        </w:rPr>
        <w:t xml:space="preserve"> </w:t>
      </w:r>
    </w:p>
    <w:p>
      <w:pPr>
        <w:spacing w:after="0" w:line="394" w:lineRule="exact"/>
        <w:rPr>
          <w:color w:val="auto"/>
        </w:rPr>
        <w:sectPr>
          <w:pgSz w:w="11910" w:h="16850"/>
          <w:pgMar w:top="1460" w:right="0" w:bottom="1160" w:left="1260" w:header="0" w:footer="891" w:gutter="0"/>
          <w:cols w:space="720" w:num="1"/>
        </w:sectPr>
      </w:pPr>
    </w:p>
    <w:p>
      <w:pPr>
        <w:spacing w:before="21"/>
        <w:ind w:left="2284" w:right="0" w:firstLine="0"/>
        <w:jc w:val="left"/>
        <w:rPr>
          <w:b/>
          <w:color w:val="auto"/>
          <w:sz w:val="36"/>
        </w:rPr>
      </w:pPr>
      <w:bookmarkStart w:id="15" w:name="第四章  谈判内容及要求"/>
      <w:bookmarkEnd w:id="15"/>
      <w:r>
        <w:rPr>
          <w:b/>
          <w:color w:val="auto"/>
          <w:sz w:val="36"/>
        </w:rPr>
        <w:t>第四章 谈判内容及要求</w:t>
      </w:r>
      <w:r>
        <w:rPr>
          <w:b/>
          <w:color w:val="auto"/>
          <w:w w:val="99"/>
          <w:sz w:val="36"/>
        </w:rPr>
        <w:t xml:space="preserve"> </w:t>
      </w:r>
    </w:p>
    <w:p>
      <w:pPr>
        <w:pStyle w:val="8"/>
        <w:spacing w:before="9"/>
        <w:rPr>
          <w:rFonts w:ascii="宋体" w:hAnsi="宋体" w:eastAsia="宋体" w:cs="宋体"/>
          <w:b/>
          <w:bCs/>
          <w:color w:val="auto"/>
          <w:spacing w:val="-10"/>
          <w:sz w:val="24"/>
          <w:szCs w:val="22"/>
          <w:lang w:val="en-US" w:eastAsia="en-US" w:bidi="ar-SA"/>
        </w:rPr>
      </w:pPr>
      <w:r>
        <w:rPr>
          <w:rFonts w:hint="eastAsia" w:ascii="宋体" w:hAnsi="宋体" w:eastAsia="宋体" w:cs="宋体"/>
          <w:b/>
          <w:bCs/>
          <w:color w:val="auto"/>
          <w:spacing w:val="-10"/>
          <w:sz w:val="24"/>
          <w:szCs w:val="22"/>
          <w:lang w:val="en-US" w:eastAsia="en-US" w:bidi="ar-SA"/>
        </w:rPr>
        <w:t>一、谈判内容及主要任务</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1</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项目背景</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为深入贯彻落实习近平生态文明思想，全面践行“绿水青山就是金山银山”发展理念，加快推动江口县生态产品价值实现机制试点工作，根据中共中央办公厅、国务院办公厅印发的《关于建立健全生态产品价值实现机制的意见》（中办发</w:t>
      </w:r>
      <w:r>
        <w:rPr>
          <w:rFonts w:ascii="宋体" w:hAnsi="宋体" w:eastAsia="宋体" w:cs="宋体"/>
          <w:color w:val="auto"/>
          <w:spacing w:val="-10"/>
          <w:sz w:val="24"/>
          <w:szCs w:val="22"/>
          <w:lang w:val="en-US" w:eastAsia="en-US" w:bidi="ar-SA"/>
        </w:rPr>
        <w:t>〔2021〕24号</w:t>
      </w:r>
      <w:r>
        <w:rPr>
          <w:rFonts w:hint="eastAsia" w:ascii="宋体" w:hAnsi="宋体" w:eastAsia="宋体" w:cs="宋体"/>
          <w:color w:val="auto"/>
          <w:spacing w:val="-10"/>
          <w:sz w:val="24"/>
          <w:szCs w:val="22"/>
          <w:lang w:val="en-US" w:eastAsia="en-US" w:bidi="ar-SA"/>
        </w:rPr>
        <w:t>）、《贵州省推动长江经济带发展领导小组办公室关于确定生态产品价值实现机制试点的通知》，江口县发展和改革局组织开展生态系统生产总值（G</w:t>
      </w:r>
      <w:r>
        <w:rPr>
          <w:rFonts w:ascii="宋体" w:hAnsi="宋体" w:eastAsia="宋体" w:cs="宋体"/>
          <w:color w:val="auto"/>
          <w:spacing w:val="-10"/>
          <w:sz w:val="24"/>
          <w:szCs w:val="22"/>
          <w:lang w:val="en-US" w:eastAsia="en-US" w:bidi="ar-SA"/>
        </w:rPr>
        <w:t>EP</w:t>
      </w:r>
      <w:r>
        <w:rPr>
          <w:rFonts w:hint="eastAsia" w:ascii="宋体" w:hAnsi="宋体" w:eastAsia="宋体" w:cs="宋体"/>
          <w:color w:val="auto"/>
          <w:spacing w:val="-10"/>
          <w:sz w:val="24"/>
          <w:szCs w:val="22"/>
          <w:lang w:val="en-US" w:eastAsia="en-US" w:bidi="ar-SA"/>
        </w:rPr>
        <w:t>）核算工作，以推动建立生态产品价值评价体系，探索核算结果在政府决策、绩效考核评价、生态补偿、生态产品市场交易等方面的应用。</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2</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项目范围及内容</w:t>
      </w:r>
    </w:p>
    <w:p>
      <w:pPr>
        <w:pStyle w:val="8"/>
        <w:spacing w:before="9"/>
        <w:ind w:right="528" w:rightChars="240"/>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开展2</w:t>
      </w:r>
      <w:r>
        <w:rPr>
          <w:rFonts w:ascii="宋体" w:hAnsi="宋体" w:eastAsia="宋体" w:cs="宋体"/>
          <w:color w:val="auto"/>
          <w:spacing w:val="-10"/>
          <w:sz w:val="24"/>
          <w:szCs w:val="22"/>
          <w:lang w:val="en-US" w:eastAsia="en-US" w:bidi="ar-SA"/>
        </w:rPr>
        <w:t>019</w:t>
      </w:r>
      <w:r>
        <w:rPr>
          <w:rFonts w:hint="eastAsia" w:ascii="宋体" w:hAnsi="宋体" w:eastAsia="宋体" w:cs="宋体"/>
          <w:color w:val="auto"/>
          <w:spacing w:val="-10"/>
          <w:sz w:val="24"/>
          <w:szCs w:val="22"/>
          <w:lang w:val="en-US" w:eastAsia="en-US" w:bidi="ar-SA"/>
        </w:rPr>
        <w:t>年、2</w:t>
      </w:r>
      <w:r>
        <w:rPr>
          <w:rFonts w:ascii="宋体" w:hAnsi="宋体" w:eastAsia="宋体" w:cs="宋体"/>
          <w:color w:val="auto"/>
          <w:spacing w:val="-10"/>
          <w:sz w:val="24"/>
          <w:szCs w:val="22"/>
          <w:lang w:val="en-US" w:eastAsia="en-US" w:bidi="ar-SA"/>
        </w:rPr>
        <w:t>020</w:t>
      </w:r>
      <w:r>
        <w:rPr>
          <w:rFonts w:hint="eastAsia" w:ascii="宋体" w:hAnsi="宋体" w:eastAsia="宋体" w:cs="宋体"/>
          <w:color w:val="auto"/>
          <w:spacing w:val="-10"/>
          <w:sz w:val="24"/>
          <w:szCs w:val="22"/>
          <w:lang w:val="en-US" w:eastAsia="en-US" w:bidi="ar-SA"/>
        </w:rPr>
        <w:t>年、2</w:t>
      </w:r>
      <w:r>
        <w:rPr>
          <w:rFonts w:ascii="宋体" w:hAnsi="宋体" w:eastAsia="宋体" w:cs="宋体"/>
          <w:color w:val="auto"/>
          <w:spacing w:val="-10"/>
          <w:sz w:val="24"/>
          <w:szCs w:val="22"/>
          <w:lang w:val="en-US" w:eastAsia="en-US" w:bidi="ar-SA"/>
        </w:rPr>
        <w:t>021</w:t>
      </w:r>
      <w:r>
        <w:rPr>
          <w:rFonts w:hint="eastAsia" w:ascii="宋体" w:hAnsi="宋体" w:eastAsia="宋体" w:cs="宋体"/>
          <w:color w:val="auto"/>
          <w:spacing w:val="-10"/>
          <w:sz w:val="24"/>
          <w:szCs w:val="22"/>
          <w:lang w:val="en-US" w:eastAsia="en-US" w:bidi="ar-SA"/>
        </w:rPr>
        <w:t>年江口县生态系统生产总值（G</w:t>
      </w:r>
      <w:r>
        <w:rPr>
          <w:rFonts w:ascii="宋体" w:hAnsi="宋体" w:eastAsia="宋体" w:cs="宋体"/>
          <w:color w:val="auto"/>
          <w:spacing w:val="-10"/>
          <w:sz w:val="24"/>
          <w:szCs w:val="22"/>
          <w:lang w:val="en-US" w:eastAsia="en-US" w:bidi="ar-SA"/>
        </w:rPr>
        <w:t>EP</w:t>
      </w:r>
      <w:r>
        <w:rPr>
          <w:rFonts w:hint="eastAsia" w:ascii="宋体" w:hAnsi="宋体" w:eastAsia="宋体" w:cs="宋体"/>
          <w:color w:val="auto"/>
          <w:spacing w:val="-10"/>
          <w:sz w:val="24"/>
          <w:szCs w:val="22"/>
          <w:lang w:val="en-US" w:eastAsia="en-US" w:bidi="ar-SA"/>
        </w:rPr>
        <w:t>）核算，量化物质产品、调节服务和文化服务功能量，核算其价值量。编制江口县2</w:t>
      </w:r>
      <w:r>
        <w:rPr>
          <w:rFonts w:ascii="宋体" w:hAnsi="宋体" w:eastAsia="宋体" w:cs="宋体"/>
          <w:color w:val="auto"/>
          <w:spacing w:val="-10"/>
          <w:sz w:val="24"/>
          <w:szCs w:val="22"/>
          <w:lang w:val="en-US" w:eastAsia="en-US" w:bidi="ar-SA"/>
        </w:rPr>
        <w:t>019</w:t>
      </w:r>
      <w:r>
        <w:rPr>
          <w:rFonts w:hint="eastAsia" w:ascii="宋体" w:hAnsi="宋体" w:eastAsia="宋体" w:cs="宋体"/>
          <w:color w:val="auto"/>
          <w:spacing w:val="-10"/>
          <w:sz w:val="24"/>
          <w:szCs w:val="22"/>
          <w:lang w:val="en-US" w:eastAsia="en-US" w:bidi="ar-SA"/>
        </w:rPr>
        <w:t>年、2</w:t>
      </w:r>
      <w:r>
        <w:rPr>
          <w:rFonts w:ascii="宋体" w:hAnsi="宋体" w:eastAsia="宋体" w:cs="宋体"/>
          <w:color w:val="auto"/>
          <w:spacing w:val="-10"/>
          <w:sz w:val="24"/>
          <w:szCs w:val="22"/>
          <w:lang w:val="en-US" w:eastAsia="en-US" w:bidi="ar-SA"/>
        </w:rPr>
        <w:t>020</w:t>
      </w:r>
      <w:r>
        <w:rPr>
          <w:rFonts w:hint="eastAsia" w:ascii="宋体" w:hAnsi="宋体" w:eastAsia="宋体" w:cs="宋体"/>
          <w:color w:val="auto"/>
          <w:spacing w:val="-10"/>
          <w:sz w:val="24"/>
          <w:szCs w:val="22"/>
          <w:lang w:val="en-US" w:eastAsia="en-US" w:bidi="ar-SA"/>
        </w:rPr>
        <w:t>年、2</w:t>
      </w:r>
      <w:r>
        <w:rPr>
          <w:rFonts w:ascii="宋体" w:hAnsi="宋体" w:eastAsia="宋体" w:cs="宋体"/>
          <w:color w:val="auto"/>
          <w:spacing w:val="-10"/>
          <w:sz w:val="24"/>
          <w:szCs w:val="22"/>
          <w:lang w:val="en-US" w:eastAsia="en-US" w:bidi="ar-SA"/>
        </w:rPr>
        <w:t>021</w:t>
      </w:r>
      <w:r>
        <w:rPr>
          <w:rFonts w:hint="eastAsia" w:ascii="宋体" w:hAnsi="宋体" w:eastAsia="宋体" w:cs="宋体"/>
          <w:color w:val="auto"/>
          <w:spacing w:val="-10"/>
          <w:sz w:val="24"/>
          <w:szCs w:val="22"/>
          <w:lang w:val="en-US" w:eastAsia="en-US" w:bidi="ar-SA"/>
        </w:rPr>
        <w:t>年三个年度的生态系统生产总值（G</w:t>
      </w:r>
      <w:r>
        <w:rPr>
          <w:rFonts w:ascii="宋体" w:hAnsi="宋体" w:eastAsia="宋体" w:cs="宋体"/>
          <w:color w:val="auto"/>
          <w:spacing w:val="-10"/>
          <w:sz w:val="24"/>
          <w:szCs w:val="22"/>
          <w:lang w:val="en-US" w:eastAsia="en-US" w:bidi="ar-SA"/>
        </w:rPr>
        <w:t>EP</w:t>
      </w:r>
      <w:r>
        <w:rPr>
          <w:rFonts w:hint="eastAsia" w:ascii="宋体" w:hAnsi="宋体" w:eastAsia="宋体" w:cs="宋体"/>
          <w:color w:val="auto"/>
          <w:spacing w:val="-10"/>
          <w:sz w:val="24"/>
          <w:szCs w:val="22"/>
          <w:lang w:val="en-US" w:eastAsia="en-US" w:bidi="ar-SA"/>
        </w:rPr>
        <w:t>）核算报告。</w:t>
      </w:r>
    </w:p>
    <w:p>
      <w:pPr>
        <w:pStyle w:val="8"/>
        <w:spacing w:before="9"/>
        <w:rPr>
          <w:rFonts w:ascii="宋体" w:hAnsi="宋体" w:eastAsia="宋体" w:cs="宋体"/>
          <w:color w:val="auto"/>
          <w:spacing w:val="-10"/>
          <w:sz w:val="24"/>
          <w:szCs w:val="22"/>
          <w:lang w:val="en-US" w:eastAsia="en-US" w:bidi="ar-SA"/>
        </w:rPr>
      </w:pPr>
      <w:r>
        <w:rPr>
          <w:rFonts w:ascii="宋体" w:hAnsi="宋体" w:eastAsia="宋体" w:cs="宋体"/>
          <w:color w:val="auto"/>
          <w:spacing w:val="-10"/>
          <w:sz w:val="24"/>
          <w:szCs w:val="22"/>
          <w:lang w:val="en-US" w:eastAsia="en-US" w:bidi="ar-SA"/>
        </w:rPr>
        <w:t>3</w:t>
      </w:r>
      <w:r>
        <w:rPr>
          <w:rFonts w:hint="eastAsia" w:ascii="宋体" w:hAnsi="宋体" w:eastAsia="宋体" w:cs="宋体"/>
          <w:color w:val="auto"/>
          <w:spacing w:val="-10"/>
          <w:sz w:val="24"/>
          <w:szCs w:val="22"/>
          <w:lang w:val="en-US" w:eastAsia="en-US" w:bidi="ar-SA"/>
        </w:rPr>
        <w:t>.完成时间及成果要求</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2</w:t>
      </w:r>
      <w:r>
        <w:rPr>
          <w:rFonts w:ascii="宋体" w:hAnsi="宋体" w:eastAsia="宋体" w:cs="宋体"/>
          <w:color w:val="auto"/>
          <w:spacing w:val="-10"/>
          <w:sz w:val="24"/>
          <w:szCs w:val="22"/>
          <w:lang w:val="en-US" w:eastAsia="en-US" w:bidi="ar-SA"/>
        </w:rPr>
        <w:t>022</w:t>
      </w:r>
      <w:r>
        <w:rPr>
          <w:rFonts w:hint="eastAsia" w:ascii="宋体" w:hAnsi="宋体" w:eastAsia="宋体" w:cs="宋体"/>
          <w:color w:val="auto"/>
          <w:spacing w:val="-10"/>
          <w:sz w:val="24"/>
          <w:szCs w:val="22"/>
          <w:lang w:val="en-US" w:eastAsia="en-US" w:bidi="ar-SA"/>
        </w:rPr>
        <w:t>年3月3</w:t>
      </w:r>
      <w:r>
        <w:rPr>
          <w:rFonts w:ascii="宋体" w:hAnsi="宋体" w:eastAsia="宋体" w:cs="宋体"/>
          <w:color w:val="auto"/>
          <w:spacing w:val="-10"/>
          <w:sz w:val="24"/>
          <w:szCs w:val="22"/>
          <w:lang w:val="en-US" w:eastAsia="en-US" w:bidi="ar-SA"/>
        </w:rPr>
        <w:t>1</w:t>
      </w:r>
      <w:r>
        <w:rPr>
          <w:rFonts w:hint="eastAsia" w:ascii="宋体" w:hAnsi="宋体" w:eastAsia="宋体" w:cs="宋体"/>
          <w:color w:val="auto"/>
          <w:spacing w:val="-10"/>
          <w:sz w:val="24"/>
          <w:szCs w:val="22"/>
          <w:lang w:val="en-US" w:eastAsia="en-US" w:bidi="ar-SA"/>
        </w:rPr>
        <w:t>日前，提交2</w:t>
      </w:r>
      <w:r>
        <w:rPr>
          <w:rFonts w:ascii="宋体" w:hAnsi="宋体" w:eastAsia="宋体" w:cs="宋体"/>
          <w:color w:val="auto"/>
          <w:spacing w:val="-10"/>
          <w:sz w:val="24"/>
          <w:szCs w:val="22"/>
          <w:lang w:val="en-US" w:eastAsia="en-US" w:bidi="ar-SA"/>
        </w:rPr>
        <w:t>019</w:t>
      </w:r>
      <w:r>
        <w:rPr>
          <w:rFonts w:hint="eastAsia" w:ascii="宋体" w:hAnsi="宋体" w:eastAsia="宋体" w:cs="宋体"/>
          <w:color w:val="auto"/>
          <w:spacing w:val="-10"/>
          <w:sz w:val="24"/>
          <w:szCs w:val="22"/>
          <w:lang w:val="en-US" w:eastAsia="en-US" w:bidi="ar-SA"/>
        </w:rPr>
        <w:t>年和2</w:t>
      </w:r>
      <w:r>
        <w:rPr>
          <w:rFonts w:ascii="宋体" w:hAnsi="宋体" w:eastAsia="宋体" w:cs="宋体"/>
          <w:color w:val="auto"/>
          <w:spacing w:val="-10"/>
          <w:sz w:val="24"/>
          <w:szCs w:val="22"/>
          <w:lang w:val="en-US" w:eastAsia="en-US" w:bidi="ar-SA"/>
        </w:rPr>
        <w:t>020</w:t>
      </w:r>
      <w:r>
        <w:rPr>
          <w:rFonts w:hint="eastAsia" w:ascii="宋体" w:hAnsi="宋体" w:eastAsia="宋体" w:cs="宋体"/>
          <w:color w:val="auto"/>
          <w:spacing w:val="-10"/>
          <w:sz w:val="24"/>
          <w:szCs w:val="22"/>
          <w:lang w:val="en-US" w:eastAsia="en-US" w:bidi="ar-SA"/>
        </w:rPr>
        <w:t>年江口县生态系统生产总值（G</w:t>
      </w:r>
      <w:r>
        <w:rPr>
          <w:rFonts w:ascii="宋体" w:hAnsi="宋体" w:eastAsia="宋体" w:cs="宋体"/>
          <w:color w:val="auto"/>
          <w:spacing w:val="-10"/>
          <w:sz w:val="24"/>
          <w:szCs w:val="22"/>
          <w:lang w:val="en-US" w:eastAsia="en-US" w:bidi="ar-SA"/>
        </w:rPr>
        <w:t>EP</w:t>
      </w:r>
      <w:r>
        <w:rPr>
          <w:rFonts w:hint="eastAsia" w:ascii="宋体" w:hAnsi="宋体" w:eastAsia="宋体" w:cs="宋体"/>
          <w:color w:val="auto"/>
          <w:spacing w:val="-10"/>
          <w:sz w:val="24"/>
          <w:szCs w:val="22"/>
          <w:lang w:val="en-US" w:eastAsia="en-US" w:bidi="ar-SA"/>
        </w:rPr>
        <w:t>）核算报告；</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2</w:t>
      </w:r>
      <w:r>
        <w:rPr>
          <w:rFonts w:ascii="宋体" w:hAnsi="宋体" w:eastAsia="宋体" w:cs="宋体"/>
          <w:color w:val="auto"/>
          <w:spacing w:val="-10"/>
          <w:sz w:val="24"/>
          <w:szCs w:val="22"/>
          <w:lang w:val="en-US" w:eastAsia="en-US" w:bidi="ar-SA"/>
        </w:rPr>
        <w:t>022</w:t>
      </w:r>
      <w:r>
        <w:rPr>
          <w:rFonts w:hint="eastAsia" w:ascii="宋体" w:hAnsi="宋体" w:eastAsia="宋体" w:cs="宋体"/>
          <w:color w:val="auto"/>
          <w:spacing w:val="-10"/>
          <w:sz w:val="24"/>
          <w:szCs w:val="22"/>
          <w:lang w:val="en-US" w:eastAsia="en-US" w:bidi="ar-SA"/>
        </w:rPr>
        <w:t>年1</w:t>
      </w:r>
      <w:r>
        <w:rPr>
          <w:rFonts w:ascii="宋体" w:hAnsi="宋体" w:eastAsia="宋体" w:cs="宋体"/>
          <w:color w:val="auto"/>
          <w:spacing w:val="-10"/>
          <w:sz w:val="24"/>
          <w:szCs w:val="22"/>
          <w:lang w:val="en-US" w:eastAsia="en-US" w:bidi="ar-SA"/>
        </w:rPr>
        <w:t>0</w:t>
      </w:r>
      <w:r>
        <w:rPr>
          <w:rFonts w:hint="eastAsia" w:ascii="宋体" w:hAnsi="宋体" w:eastAsia="宋体" w:cs="宋体"/>
          <w:color w:val="auto"/>
          <w:spacing w:val="-10"/>
          <w:sz w:val="24"/>
          <w:szCs w:val="22"/>
          <w:lang w:val="en-US" w:eastAsia="en-US" w:bidi="ar-SA"/>
        </w:rPr>
        <w:t>月3</w:t>
      </w:r>
      <w:r>
        <w:rPr>
          <w:rFonts w:ascii="宋体" w:hAnsi="宋体" w:eastAsia="宋体" w:cs="宋体"/>
          <w:color w:val="auto"/>
          <w:spacing w:val="-10"/>
          <w:sz w:val="24"/>
          <w:szCs w:val="22"/>
          <w:lang w:val="en-US" w:eastAsia="en-US" w:bidi="ar-SA"/>
        </w:rPr>
        <w:t>1</w:t>
      </w:r>
      <w:r>
        <w:rPr>
          <w:rFonts w:hint="eastAsia" w:ascii="宋体" w:hAnsi="宋体" w:eastAsia="宋体" w:cs="宋体"/>
          <w:color w:val="auto"/>
          <w:spacing w:val="-10"/>
          <w:sz w:val="24"/>
          <w:szCs w:val="22"/>
          <w:lang w:val="en-US" w:eastAsia="en-US" w:bidi="ar-SA"/>
        </w:rPr>
        <w:t>日前，提交2</w:t>
      </w:r>
      <w:r>
        <w:rPr>
          <w:rFonts w:ascii="宋体" w:hAnsi="宋体" w:eastAsia="宋体" w:cs="宋体"/>
          <w:color w:val="auto"/>
          <w:spacing w:val="-10"/>
          <w:sz w:val="24"/>
          <w:szCs w:val="22"/>
          <w:lang w:val="en-US" w:eastAsia="en-US" w:bidi="ar-SA"/>
        </w:rPr>
        <w:t>021</w:t>
      </w:r>
      <w:r>
        <w:rPr>
          <w:rFonts w:hint="eastAsia" w:ascii="宋体" w:hAnsi="宋体" w:eastAsia="宋体" w:cs="宋体"/>
          <w:color w:val="auto"/>
          <w:spacing w:val="-10"/>
          <w:sz w:val="24"/>
          <w:szCs w:val="22"/>
          <w:lang w:val="en-US" w:eastAsia="en-US" w:bidi="ar-SA"/>
        </w:rPr>
        <w:t>年江口县生态系统生产总值（G</w:t>
      </w:r>
      <w:r>
        <w:rPr>
          <w:rFonts w:ascii="宋体" w:hAnsi="宋体" w:eastAsia="宋体" w:cs="宋体"/>
          <w:color w:val="auto"/>
          <w:spacing w:val="-10"/>
          <w:sz w:val="24"/>
          <w:szCs w:val="22"/>
          <w:lang w:val="en-US" w:eastAsia="en-US" w:bidi="ar-SA"/>
        </w:rPr>
        <w:t>EP</w:t>
      </w:r>
      <w:r>
        <w:rPr>
          <w:rFonts w:hint="eastAsia" w:ascii="宋体" w:hAnsi="宋体" w:eastAsia="宋体" w:cs="宋体"/>
          <w:color w:val="auto"/>
          <w:spacing w:val="-10"/>
          <w:sz w:val="24"/>
          <w:szCs w:val="22"/>
          <w:lang w:val="en-US" w:eastAsia="en-US" w:bidi="ar-SA"/>
        </w:rPr>
        <w:t>）核算报告。</w:t>
      </w:r>
    </w:p>
    <w:p>
      <w:pPr>
        <w:pStyle w:val="8"/>
        <w:spacing w:before="9"/>
        <w:rPr>
          <w:rFonts w:ascii="宋体" w:hAnsi="宋体" w:eastAsia="宋体" w:cs="宋体"/>
          <w:color w:val="auto"/>
          <w:spacing w:val="-10"/>
          <w:sz w:val="24"/>
          <w:szCs w:val="22"/>
          <w:lang w:val="en-US" w:eastAsia="en-US" w:bidi="ar-SA"/>
        </w:rPr>
      </w:pPr>
    </w:p>
    <w:p>
      <w:pPr>
        <w:pStyle w:val="8"/>
        <w:spacing w:before="9"/>
        <w:rPr>
          <w:rFonts w:hint="eastAsia" w:ascii="宋体" w:hAnsi="宋体" w:eastAsia="宋体" w:cs="宋体"/>
          <w:color w:val="auto"/>
          <w:spacing w:val="-10"/>
          <w:sz w:val="24"/>
          <w:szCs w:val="22"/>
          <w:lang w:val="en-US" w:eastAsia="en-US" w:bidi="ar-SA"/>
        </w:rPr>
      </w:pPr>
    </w:p>
    <w:p>
      <w:pPr>
        <w:pStyle w:val="8"/>
        <w:spacing w:before="9"/>
        <w:rPr>
          <w:rFonts w:ascii="宋体" w:hAnsi="宋体" w:eastAsia="宋体" w:cs="宋体"/>
          <w:b/>
          <w:bCs/>
          <w:color w:val="auto"/>
          <w:spacing w:val="-10"/>
          <w:sz w:val="24"/>
          <w:szCs w:val="22"/>
          <w:lang w:val="en-US" w:eastAsia="en-US" w:bidi="ar-SA"/>
        </w:rPr>
      </w:pPr>
      <w:r>
        <w:rPr>
          <w:rFonts w:hint="eastAsia" w:ascii="宋体" w:hAnsi="宋体" w:eastAsia="宋体" w:cs="宋体"/>
          <w:b/>
          <w:bCs/>
          <w:color w:val="auto"/>
          <w:spacing w:val="-10"/>
          <w:sz w:val="24"/>
          <w:szCs w:val="22"/>
          <w:lang w:val="en-US" w:eastAsia="en-US" w:bidi="ar-SA"/>
        </w:rPr>
        <w:t>二、商务要求</w:t>
      </w:r>
    </w:p>
    <w:p>
      <w:pPr>
        <w:pStyle w:val="8"/>
        <w:spacing w:before="9"/>
        <w:rPr>
          <w:rFonts w:hint="eastAsia" w:ascii="宋体" w:hAnsi="宋体" w:eastAsia="宋体" w:cs="宋体"/>
          <w:color w:val="auto"/>
          <w:spacing w:val="-10"/>
          <w:sz w:val="24"/>
          <w:szCs w:val="22"/>
          <w:lang w:val="en-US" w:eastAsia="en-US" w:bidi="ar-SA"/>
        </w:rPr>
      </w:pPr>
      <w:r>
        <w:rPr>
          <w:rFonts w:ascii="宋体" w:hAnsi="宋体" w:eastAsia="宋体" w:cs="宋体"/>
          <w:color w:val="auto"/>
          <w:spacing w:val="-10"/>
          <w:sz w:val="24"/>
          <w:szCs w:val="22"/>
          <w:lang w:val="en-US" w:eastAsia="en-US" w:bidi="ar-SA"/>
        </w:rPr>
        <w:t>1.</w:t>
      </w:r>
      <w:r>
        <w:rPr>
          <w:rFonts w:hint="eastAsia" w:ascii="宋体" w:hAnsi="宋体" w:eastAsia="宋体" w:cs="宋体"/>
          <w:color w:val="auto"/>
          <w:spacing w:val="-10"/>
          <w:sz w:val="24"/>
          <w:szCs w:val="22"/>
          <w:lang w:val="en-US" w:eastAsia="en-US" w:bidi="ar-SA"/>
        </w:rPr>
        <w:t>服务期及服务地点</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服务期：参照“完成时间及成果要求”，具体于合同中约定。</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服务地点：采购人指定地点</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2</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验收标准、规范</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符合DB52/T 1608-2021 生态系统生产总值（GEP）核算技术规范。</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3</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售后服务</w:t>
      </w:r>
    </w:p>
    <w:p>
      <w:pPr>
        <w:pStyle w:val="8"/>
        <w:spacing w:before="9"/>
        <w:rPr>
          <w:rFonts w:ascii="宋体" w:hAnsi="宋体" w:eastAsia="宋体" w:cs="宋体"/>
          <w:color w:val="auto"/>
          <w:spacing w:val="-10"/>
          <w:sz w:val="24"/>
          <w:szCs w:val="22"/>
          <w:lang w:val="en-US" w:eastAsia="en-US" w:bidi="ar-SA"/>
        </w:rPr>
      </w:pPr>
      <w:r>
        <w:rPr>
          <w:rFonts w:ascii="宋体" w:hAnsi="宋体" w:eastAsia="宋体" w:cs="宋体"/>
          <w:color w:val="auto"/>
          <w:spacing w:val="-10"/>
          <w:sz w:val="24"/>
          <w:szCs w:val="22"/>
          <w:lang w:val="en-US" w:eastAsia="en-US" w:bidi="ar-SA"/>
        </w:rPr>
        <w:t>3.1</w:t>
      </w:r>
      <w:r>
        <w:rPr>
          <w:rFonts w:hint="eastAsia" w:ascii="宋体" w:hAnsi="宋体" w:eastAsia="宋体" w:cs="宋体"/>
          <w:color w:val="auto"/>
          <w:spacing w:val="-10"/>
          <w:sz w:val="24"/>
          <w:szCs w:val="22"/>
          <w:lang w:val="en-US" w:eastAsia="en-US" w:bidi="ar-SA"/>
        </w:rPr>
        <w:t>随时及时与采购人沟通；</w:t>
      </w:r>
    </w:p>
    <w:p>
      <w:pPr>
        <w:pStyle w:val="8"/>
        <w:spacing w:before="9"/>
        <w:rPr>
          <w:rFonts w:ascii="宋体" w:hAnsi="宋体" w:eastAsia="宋体" w:cs="宋体"/>
          <w:color w:val="auto"/>
          <w:spacing w:val="-10"/>
          <w:sz w:val="24"/>
          <w:szCs w:val="22"/>
          <w:lang w:val="en-US" w:eastAsia="en-US" w:bidi="ar-SA"/>
        </w:rPr>
      </w:pPr>
      <w:r>
        <w:rPr>
          <w:rFonts w:ascii="宋体" w:hAnsi="宋体" w:eastAsia="宋体" w:cs="宋体"/>
          <w:color w:val="auto"/>
          <w:spacing w:val="-10"/>
          <w:sz w:val="24"/>
          <w:szCs w:val="22"/>
          <w:lang w:val="en-US" w:eastAsia="en-US" w:bidi="ar-SA"/>
        </w:rPr>
        <w:t>3.2</w:t>
      </w:r>
      <w:r>
        <w:rPr>
          <w:rFonts w:hint="eastAsia" w:ascii="宋体" w:hAnsi="宋体" w:eastAsia="宋体" w:cs="宋体"/>
          <w:color w:val="auto"/>
          <w:spacing w:val="-10"/>
          <w:sz w:val="24"/>
          <w:szCs w:val="22"/>
          <w:lang w:val="en-US" w:eastAsia="en-US" w:bidi="ar-SA"/>
        </w:rPr>
        <w:t>随时配合本项目相关工作，直至工作结束。</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4</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付款方式</w:t>
      </w:r>
    </w:p>
    <w:p>
      <w:pPr>
        <w:pStyle w:val="8"/>
        <w:spacing w:before="9"/>
        <w:rPr>
          <w:rFonts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具体于合同中约定。</w:t>
      </w:r>
    </w:p>
    <w:p>
      <w:pPr>
        <w:pStyle w:val="8"/>
        <w:spacing w:before="9"/>
        <w:rPr>
          <w:rFonts w:hint="eastAsia" w:ascii="宋体" w:hAnsi="宋体" w:eastAsia="宋体" w:cs="宋体"/>
          <w:color w:val="auto"/>
          <w:spacing w:val="-10"/>
          <w:sz w:val="24"/>
          <w:szCs w:val="22"/>
          <w:lang w:val="en-US" w:eastAsia="en-US" w:bidi="ar-SA"/>
        </w:rPr>
      </w:pPr>
      <w:r>
        <w:rPr>
          <w:rFonts w:hint="eastAsia" w:ascii="宋体" w:hAnsi="宋体" w:eastAsia="宋体" w:cs="宋体"/>
          <w:color w:val="auto"/>
          <w:spacing w:val="-10"/>
          <w:sz w:val="24"/>
          <w:szCs w:val="22"/>
          <w:lang w:val="en-US" w:eastAsia="en-US" w:bidi="ar-SA"/>
        </w:rPr>
        <w:t>5</w:t>
      </w:r>
      <w:r>
        <w:rPr>
          <w:rFonts w:ascii="宋体" w:hAnsi="宋体" w:eastAsia="宋体" w:cs="宋体"/>
          <w:color w:val="auto"/>
          <w:spacing w:val="-10"/>
          <w:sz w:val="24"/>
          <w:szCs w:val="22"/>
          <w:lang w:val="en-US" w:eastAsia="en-US" w:bidi="ar-SA"/>
        </w:rPr>
        <w:t>.</w:t>
      </w:r>
      <w:r>
        <w:rPr>
          <w:rFonts w:hint="eastAsia" w:ascii="宋体" w:hAnsi="宋体" w:eastAsia="宋体" w:cs="宋体"/>
          <w:color w:val="auto"/>
          <w:spacing w:val="-10"/>
          <w:sz w:val="24"/>
          <w:szCs w:val="22"/>
          <w:lang w:val="en-US" w:eastAsia="en-US" w:bidi="ar-SA"/>
        </w:rPr>
        <w:t>履约保证金：无</w:t>
      </w:r>
    </w:p>
    <w:p>
      <w:pPr>
        <w:pStyle w:val="8"/>
        <w:spacing w:before="9"/>
        <w:rPr>
          <w:rFonts w:ascii="宋体" w:hAnsi="宋体" w:eastAsia="宋体" w:cs="宋体"/>
          <w:color w:val="auto"/>
          <w:spacing w:val="-10"/>
          <w:sz w:val="24"/>
          <w:szCs w:val="22"/>
          <w:lang w:val="en-US" w:eastAsia="en-US" w:bidi="ar-SA"/>
        </w:rPr>
      </w:pPr>
      <w:r>
        <w:rPr>
          <w:rFonts w:ascii="宋体" w:hAnsi="宋体" w:eastAsia="宋体" w:cs="宋体"/>
          <w:color w:val="auto"/>
          <w:spacing w:val="-10"/>
          <w:sz w:val="24"/>
          <w:szCs w:val="22"/>
          <w:lang w:val="en-US" w:eastAsia="en-US" w:bidi="ar-SA"/>
        </w:rPr>
        <w:t>6.</w:t>
      </w:r>
      <w:r>
        <w:rPr>
          <w:rFonts w:hint="eastAsia" w:ascii="宋体" w:hAnsi="宋体" w:eastAsia="宋体" w:cs="宋体"/>
          <w:color w:val="auto"/>
          <w:spacing w:val="-10"/>
          <w:sz w:val="24"/>
          <w:szCs w:val="22"/>
          <w:lang w:val="en-US" w:eastAsia="en-US" w:bidi="ar-SA"/>
        </w:rPr>
        <w:t>其他要求</w:t>
      </w:r>
    </w:p>
    <w:p>
      <w:pPr>
        <w:pStyle w:val="8"/>
        <w:spacing w:before="9"/>
        <w:rPr>
          <w:b/>
          <w:color w:val="auto"/>
          <w:sz w:val="41"/>
        </w:rPr>
      </w:pPr>
      <w:r>
        <w:rPr>
          <w:rFonts w:hint="eastAsia" w:ascii="宋体" w:hAnsi="宋体" w:eastAsia="宋体" w:cs="宋体"/>
          <w:color w:val="auto"/>
          <w:spacing w:val="-10"/>
          <w:sz w:val="24"/>
          <w:szCs w:val="22"/>
          <w:lang w:val="en-US" w:eastAsia="en-US" w:bidi="ar-SA"/>
        </w:rPr>
        <w:t>供应商应对相关证明文件的真实性负责，不得提供虚假材料谋取成交。否则必须承担相应法律责任，已骗取成交的取消成交资格，对采购人造成经济损失的，赔偿相应经济</w:t>
      </w:r>
      <w:r>
        <w:rPr>
          <w:rFonts w:hint="eastAsia"/>
          <w:color w:val="auto"/>
        </w:rPr>
        <w:t>损失。</w:t>
      </w:r>
    </w:p>
    <w:p>
      <w:pPr>
        <w:pStyle w:val="8"/>
        <w:rPr>
          <w:rFonts w:ascii="仿宋"/>
          <w:color w:val="auto"/>
          <w:sz w:val="28"/>
        </w:rPr>
      </w:pPr>
    </w:p>
    <w:p>
      <w:pPr>
        <w:pStyle w:val="8"/>
        <w:rPr>
          <w:rFonts w:ascii="仿宋"/>
          <w:color w:val="auto"/>
          <w:sz w:val="28"/>
        </w:rPr>
      </w:pPr>
    </w:p>
    <w:p>
      <w:pPr>
        <w:pStyle w:val="8"/>
        <w:rPr>
          <w:rFonts w:ascii="仿宋"/>
          <w:color w:val="auto"/>
          <w:sz w:val="28"/>
        </w:rPr>
      </w:pPr>
    </w:p>
    <w:p>
      <w:pPr>
        <w:pStyle w:val="8"/>
        <w:rPr>
          <w:rFonts w:ascii="仿宋"/>
          <w:color w:val="auto"/>
          <w:sz w:val="28"/>
        </w:rPr>
      </w:pPr>
    </w:p>
    <w:p>
      <w:pPr>
        <w:pStyle w:val="8"/>
        <w:rPr>
          <w:rFonts w:ascii="仿宋"/>
          <w:color w:val="auto"/>
          <w:sz w:val="28"/>
        </w:rPr>
      </w:pPr>
    </w:p>
    <w:p>
      <w:pPr>
        <w:pStyle w:val="8"/>
        <w:spacing w:before="4"/>
        <w:rPr>
          <w:rFonts w:ascii="仿宋"/>
          <w:color w:val="auto"/>
          <w:sz w:val="31"/>
        </w:rPr>
      </w:pPr>
    </w:p>
    <w:p>
      <w:pPr>
        <w:spacing w:before="1"/>
        <w:ind w:left="481" w:right="0" w:firstLine="0"/>
        <w:jc w:val="left"/>
        <w:rPr>
          <w:b/>
          <w:color w:val="auto"/>
          <w:sz w:val="36"/>
        </w:rPr>
      </w:pPr>
      <w:r>
        <w:rPr>
          <w:b/>
          <w:color w:val="auto"/>
          <w:w w:val="99"/>
          <w:sz w:val="36"/>
        </w:rPr>
        <w:t xml:space="preserve"> </w:t>
      </w:r>
    </w:p>
    <w:p>
      <w:pPr>
        <w:spacing w:after="0"/>
        <w:jc w:val="left"/>
        <w:rPr>
          <w:color w:val="auto"/>
          <w:sz w:val="36"/>
        </w:rPr>
        <w:sectPr>
          <w:pgSz w:w="11910" w:h="16850"/>
          <w:pgMar w:top="1380" w:right="970" w:bottom="1160" w:left="1260" w:header="0" w:footer="891" w:gutter="0"/>
          <w:cols w:space="720" w:num="1"/>
        </w:sectPr>
      </w:pPr>
    </w:p>
    <w:p>
      <w:pPr>
        <w:spacing w:before="21"/>
        <w:ind w:left="1098" w:right="0" w:firstLine="0"/>
        <w:jc w:val="left"/>
        <w:rPr>
          <w:b/>
          <w:color w:val="auto"/>
          <w:sz w:val="36"/>
        </w:rPr>
      </w:pPr>
      <w:r>
        <w:rPr>
          <w:b/>
          <w:color w:val="auto"/>
          <w:sz w:val="36"/>
        </w:rPr>
        <w:t>第五章 铜仁市政府采购合同（参考文本）</w:t>
      </w:r>
      <w:r>
        <w:rPr>
          <w:b/>
          <w:color w:val="auto"/>
          <w:w w:val="99"/>
          <w:sz w:val="36"/>
        </w:rPr>
        <w:t xml:space="preserve"> </w:t>
      </w:r>
    </w:p>
    <w:p>
      <w:pPr>
        <w:pStyle w:val="8"/>
        <w:spacing w:before="274"/>
        <w:ind w:left="5739"/>
        <w:rPr>
          <w:color w:val="auto"/>
        </w:rPr>
      </w:pPr>
      <w:r>
        <w:rPr>
          <w:color w:val="auto"/>
        </w:rPr>
        <w:t>合同号：</w:t>
      </w:r>
      <w:r>
        <w:rPr>
          <w:color w:val="auto"/>
          <w:u w:val="single"/>
        </w:rPr>
        <w:t xml:space="preserve">                  </w:t>
      </w:r>
      <w:r>
        <w:rPr>
          <w:color w:val="auto"/>
        </w:rPr>
        <w:t xml:space="preserve"> </w:t>
      </w:r>
    </w:p>
    <w:p>
      <w:pPr>
        <w:pStyle w:val="8"/>
        <w:spacing w:before="158" w:line="362" w:lineRule="auto"/>
        <w:ind w:left="481" w:right="1154"/>
        <w:rPr>
          <w:color w:val="auto"/>
        </w:rPr>
      </w:pPr>
      <w:r>
        <w:rPr>
          <w:color w:val="auto"/>
        </w:rPr>
        <w:t>甲 方 （ 采 购 人 ）：</w:t>
      </w:r>
      <w:r>
        <w:rPr>
          <w:color w:val="auto"/>
          <w:u w:val="single"/>
        </w:rPr>
        <w:t xml:space="preserve">                                  </w:t>
      </w:r>
      <w:r>
        <w:rPr>
          <w:color w:val="auto"/>
        </w:rPr>
        <w:t xml:space="preserve">   签 订 地 点 ： </w:t>
      </w:r>
      <w:r>
        <w:rPr>
          <w:color w:val="auto"/>
          <w:spacing w:val="-53"/>
        </w:rPr>
        <w:t xml:space="preserve">乙 方 </w:t>
      </w:r>
      <w:r>
        <w:rPr>
          <w:color w:val="auto"/>
        </w:rPr>
        <w:t xml:space="preserve">（ 成 交 供 应 商 </w:t>
      </w:r>
      <w:r>
        <w:rPr>
          <w:color w:val="auto"/>
          <w:spacing w:val="-98"/>
        </w:rPr>
        <w:t>）：</w:t>
      </w:r>
      <w:r>
        <w:rPr>
          <w:color w:val="auto"/>
          <w:spacing w:val="-87"/>
          <w:u w:val="single"/>
        </w:rPr>
        <w:t xml:space="preserve"> </w:t>
      </w:r>
      <w:r>
        <w:rPr>
          <w:color w:val="auto"/>
          <w:spacing w:val="-12"/>
        </w:rPr>
        <w:t>签 订 日 期 ：</w:t>
      </w:r>
      <w:r>
        <w:rPr>
          <w:color w:val="auto"/>
          <w:spacing w:val="-30"/>
          <w:u w:val="single"/>
        </w:rPr>
        <w:t xml:space="preserve">  年 月 日</w:t>
      </w:r>
      <w:r>
        <w:rPr>
          <w:color w:val="auto"/>
        </w:rPr>
        <w:t xml:space="preserve"> </w:t>
      </w:r>
    </w:p>
    <w:p>
      <w:pPr>
        <w:pStyle w:val="8"/>
        <w:spacing w:before="3"/>
        <w:ind w:left="481"/>
        <w:rPr>
          <w:color w:val="auto"/>
        </w:rPr>
      </w:pPr>
      <w:r>
        <w:rPr>
          <w:color w:val="auto"/>
        </w:rPr>
        <w:t xml:space="preserve">   </w:t>
      </w:r>
    </w:p>
    <w:p>
      <w:pPr>
        <w:pStyle w:val="8"/>
        <w:spacing w:before="157" w:line="362" w:lineRule="auto"/>
        <w:ind w:left="481" w:right="1769"/>
        <w:jc w:val="both"/>
        <w:rPr>
          <w:color w:val="auto"/>
        </w:rPr>
      </w:pPr>
      <w:r>
        <w:rPr>
          <w:color w:val="auto"/>
        </w:rPr>
        <w:t xml:space="preserve">  根据甲方委托</w:t>
      </w:r>
      <w:r>
        <w:rPr>
          <w:color w:val="auto"/>
          <w:u w:val="single"/>
        </w:rPr>
        <w:t>（采购代理机构）</w:t>
      </w:r>
      <w:r>
        <w:rPr>
          <w:color w:val="auto"/>
        </w:rPr>
        <w:t>对</w:t>
      </w:r>
      <w:r>
        <w:rPr>
          <w:color w:val="auto"/>
          <w:u w:val="single"/>
        </w:rPr>
        <w:t xml:space="preserve">     </w:t>
      </w:r>
      <w:r>
        <w:rPr>
          <w:color w:val="auto"/>
        </w:rPr>
        <w:t>进行采购（项目编号：</w:t>
      </w:r>
      <w:r>
        <w:rPr>
          <w:color w:val="auto"/>
          <w:u w:val="single"/>
        </w:rPr>
        <w:t xml:space="preserve">    </w:t>
      </w:r>
      <w:r>
        <w:rPr>
          <w:color w:val="auto"/>
        </w:rPr>
        <w:t>）的采购结果，乙方为成交供应商，现依照谈判文件、</w:t>
      </w:r>
      <w:r>
        <w:rPr>
          <w:color w:val="auto"/>
          <w:u w:val="single"/>
        </w:rPr>
        <w:t>（成交供应商）</w:t>
      </w:r>
      <w:r>
        <w:rPr>
          <w:color w:val="auto"/>
        </w:rPr>
        <w:t xml:space="preserve">响应文件及有关法律、法规、规章规定的内容，双方达成如下协议： </w:t>
      </w:r>
    </w:p>
    <w:p>
      <w:pPr>
        <w:pStyle w:val="8"/>
        <w:spacing w:before="19"/>
        <w:ind w:left="1038"/>
        <w:rPr>
          <w:color w:val="auto"/>
        </w:rPr>
      </w:pPr>
      <w:r>
        <w:rPr>
          <w:color w:val="auto"/>
        </w:rPr>
        <w:t xml:space="preserve">一、合同标的和合同价格 </w:t>
      </w:r>
    </w:p>
    <w:p>
      <w:pPr>
        <w:pStyle w:val="8"/>
        <w:spacing w:before="1"/>
        <w:rPr>
          <w:color w:val="auto"/>
          <w:sz w:val="11"/>
        </w:rPr>
      </w:pPr>
    </w:p>
    <w:tbl>
      <w:tblPr>
        <w:tblStyle w:val="9"/>
        <w:tblW w:w="0" w:type="auto"/>
        <w:tblInd w:w="3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7"/>
        <w:gridCol w:w="1232"/>
        <w:gridCol w:w="917"/>
        <w:gridCol w:w="1683"/>
        <w:gridCol w:w="1698"/>
        <w:gridCol w:w="1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6" w:hRule="atLeast"/>
        </w:trPr>
        <w:tc>
          <w:tcPr>
            <w:tcW w:w="1277" w:type="dxa"/>
          </w:tcPr>
          <w:p>
            <w:pPr>
              <w:pStyle w:val="13"/>
              <w:spacing w:before="195"/>
              <w:ind w:left="203" w:right="-29"/>
              <w:rPr>
                <w:color w:val="auto"/>
                <w:sz w:val="24"/>
              </w:rPr>
            </w:pPr>
            <w:r>
              <w:rPr>
                <w:color w:val="auto"/>
                <w:sz w:val="24"/>
              </w:rPr>
              <w:t xml:space="preserve">项目名称 </w:t>
            </w:r>
          </w:p>
        </w:tc>
        <w:tc>
          <w:tcPr>
            <w:tcW w:w="1232" w:type="dxa"/>
            <w:tcBorders>
              <w:right w:val="single" w:color="000000" w:sz="8" w:space="0"/>
            </w:tcBorders>
          </w:tcPr>
          <w:p>
            <w:pPr>
              <w:pStyle w:val="13"/>
              <w:spacing w:before="195"/>
              <w:ind w:left="292"/>
              <w:rPr>
                <w:color w:val="auto"/>
                <w:sz w:val="24"/>
              </w:rPr>
            </w:pPr>
            <w:r>
              <w:rPr>
                <w:color w:val="auto"/>
                <w:sz w:val="24"/>
              </w:rPr>
              <w:t xml:space="preserve">供应商 </w:t>
            </w:r>
          </w:p>
        </w:tc>
        <w:tc>
          <w:tcPr>
            <w:tcW w:w="917" w:type="dxa"/>
            <w:tcBorders>
              <w:left w:val="single" w:color="000000" w:sz="8" w:space="0"/>
            </w:tcBorders>
          </w:tcPr>
          <w:p>
            <w:pPr>
              <w:pStyle w:val="13"/>
              <w:spacing w:before="195"/>
              <w:ind w:left="214" w:right="-44"/>
              <w:rPr>
                <w:color w:val="auto"/>
                <w:sz w:val="24"/>
              </w:rPr>
            </w:pPr>
            <w:r>
              <w:rPr>
                <w:color w:val="auto"/>
                <w:sz w:val="24"/>
              </w:rPr>
              <w:t xml:space="preserve">数 量 </w:t>
            </w:r>
          </w:p>
        </w:tc>
        <w:tc>
          <w:tcPr>
            <w:tcW w:w="1683" w:type="dxa"/>
          </w:tcPr>
          <w:p>
            <w:pPr>
              <w:pStyle w:val="13"/>
              <w:spacing w:before="195"/>
              <w:ind w:left="576"/>
              <w:rPr>
                <w:color w:val="auto"/>
                <w:sz w:val="24"/>
              </w:rPr>
            </w:pPr>
            <w:r>
              <w:rPr>
                <w:color w:val="auto"/>
                <w:sz w:val="24"/>
              </w:rPr>
              <w:t xml:space="preserve">单 价 </w:t>
            </w:r>
          </w:p>
        </w:tc>
        <w:tc>
          <w:tcPr>
            <w:tcW w:w="1698" w:type="dxa"/>
          </w:tcPr>
          <w:p>
            <w:pPr>
              <w:pStyle w:val="13"/>
              <w:spacing w:before="195"/>
              <w:ind w:left="591"/>
              <w:rPr>
                <w:color w:val="auto"/>
                <w:sz w:val="24"/>
              </w:rPr>
            </w:pPr>
            <w:r>
              <w:rPr>
                <w:color w:val="auto"/>
                <w:sz w:val="24"/>
              </w:rPr>
              <w:t xml:space="preserve">总 价 </w:t>
            </w:r>
          </w:p>
        </w:tc>
        <w:tc>
          <w:tcPr>
            <w:tcW w:w="1999" w:type="dxa"/>
            <w:tcBorders>
              <w:right w:val="single" w:color="000000" w:sz="8" w:space="0"/>
            </w:tcBorders>
          </w:tcPr>
          <w:p>
            <w:pPr>
              <w:pStyle w:val="13"/>
              <w:spacing w:before="195"/>
              <w:ind w:left="680"/>
              <w:rPr>
                <w:color w:val="auto"/>
                <w:sz w:val="24"/>
              </w:rPr>
            </w:pPr>
            <w:r>
              <w:rPr>
                <w:color w:val="auto"/>
                <w:sz w:val="24"/>
              </w:rPr>
              <w:t xml:space="preserve">服务期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77" w:type="dxa"/>
          </w:tcPr>
          <w:p>
            <w:pPr>
              <w:pStyle w:val="13"/>
              <w:spacing w:before="15"/>
              <w:ind w:left="188"/>
              <w:rPr>
                <w:color w:val="auto"/>
                <w:sz w:val="24"/>
              </w:rPr>
            </w:pPr>
            <w:r>
              <w:rPr>
                <w:color w:val="auto"/>
                <w:sz w:val="24"/>
              </w:rPr>
              <w:t xml:space="preserve"> </w:t>
            </w:r>
          </w:p>
        </w:tc>
        <w:tc>
          <w:tcPr>
            <w:tcW w:w="1232" w:type="dxa"/>
            <w:tcBorders>
              <w:right w:val="single" w:color="000000" w:sz="8" w:space="0"/>
            </w:tcBorders>
          </w:tcPr>
          <w:p>
            <w:pPr>
              <w:pStyle w:val="13"/>
              <w:spacing w:before="15"/>
              <w:ind w:left="187"/>
              <w:rPr>
                <w:color w:val="auto"/>
                <w:sz w:val="24"/>
              </w:rPr>
            </w:pPr>
            <w:r>
              <w:rPr>
                <w:color w:val="auto"/>
                <w:sz w:val="24"/>
              </w:rPr>
              <w:t xml:space="preserve"> </w:t>
            </w:r>
          </w:p>
        </w:tc>
        <w:tc>
          <w:tcPr>
            <w:tcW w:w="917" w:type="dxa"/>
            <w:tcBorders>
              <w:left w:val="single" w:color="000000" w:sz="8" w:space="0"/>
            </w:tcBorders>
          </w:tcPr>
          <w:p>
            <w:pPr>
              <w:pStyle w:val="13"/>
              <w:spacing w:before="15"/>
              <w:ind w:left="199"/>
              <w:rPr>
                <w:color w:val="auto"/>
                <w:sz w:val="24"/>
              </w:rPr>
            </w:pPr>
            <w:r>
              <w:rPr>
                <w:color w:val="auto"/>
                <w:sz w:val="24"/>
              </w:rPr>
              <w:t xml:space="preserve"> </w:t>
            </w:r>
          </w:p>
        </w:tc>
        <w:tc>
          <w:tcPr>
            <w:tcW w:w="1683" w:type="dxa"/>
          </w:tcPr>
          <w:p>
            <w:pPr>
              <w:pStyle w:val="13"/>
              <w:spacing w:before="15"/>
              <w:ind w:left="186"/>
              <w:rPr>
                <w:color w:val="auto"/>
                <w:sz w:val="24"/>
              </w:rPr>
            </w:pPr>
            <w:r>
              <w:rPr>
                <w:color w:val="auto"/>
                <w:sz w:val="24"/>
              </w:rPr>
              <w:t xml:space="preserve"> </w:t>
            </w:r>
          </w:p>
        </w:tc>
        <w:tc>
          <w:tcPr>
            <w:tcW w:w="1698" w:type="dxa"/>
          </w:tcPr>
          <w:p>
            <w:pPr>
              <w:pStyle w:val="13"/>
              <w:spacing w:before="15"/>
              <w:ind w:left="185"/>
              <w:rPr>
                <w:color w:val="auto"/>
                <w:sz w:val="24"/>
              </w:rPr>
            </w:pPr>
            <w:r>
              <w:rPr>
                <w:color w:val="auto"/>
                <w:sz w:val="24"/>
              </w:rPr>
              <w:t xml:space="preserve"> </w:t>
            </w:r>
          </w:p>
        </w:tc>
        <w:tc>
          <w:tcPr>
            <w:tcW w:w="1999" w:type="dxa"/>
            <w:tcBorders>
              <w:right w:val="single" w:color="000000" w:sz="8" w:space="0"/>
            </w:tcBorders>
          </w:tcPr>
          <w:p>
            <w:pPr>
              <w:pStyle w:val="13"/>
              <w:spacing w:before="15"/>
              <w:ind w:left="199"/>
              <w:rPr>
                <w:color w:val="auto"/>
                <w:sz w:val="24"/>
              </w:rPr>
            </w:pP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77" w:type="dxa"/>
          </w:tcPr>
          <w:p>
            <w:pPr>
              <w:pStyle w:val="13"/>
              <w:spacing w:before="15"/>
              <w:ind w:left="188"/>
              <w:rPr>
                <w:color w:val="auto"/>
                <w:sz w:val="24"/>
              </w:rPr>
            </w:pPr>
            <w:r>
              <w:rPr>
                <w:color w:val="auto"/>
                <w:sz w:val="24"/>
              </w:rPr>
              <w:t xml:space="preserve"> </w:t>
            </w:r>
          </w:p>
        </w:tc>
        <w:tc>
          <w:tcPr>
            <w:tcW w:w="1232" w:type="dxa"/>
            <w:tcBorders>
              <w:right w:val="single" w:color="000000" w:sz="8" w:space="0"/>
            </w:tcBorders>
          </w:tcPr>
          <w:p>
            <w:pPr>
              <w:pStyle w:val="13"/>
              <w:spacing w:before="15"/>
              <w:ind w:left="187"/>
              <w:rPr>
                <w:color w:val="auto"/>
                <w:sz w:val="24"/>
              </w:rPr>
            </w:pPr>
            <w:r>
              <w:rPr>
                <w:color w:val="auto"/>
                <w:sz w:val="24"/>
              </w:rPr>
              <w:t xml:space="preserve"> </w:t>
            </w:r>
          </w:p>
        </w:tc>
        <w:tc>
          <w:tcPr>
            <w:tcW w:w="917" w:type="dxa"/>
            <w:tcBorders>
              <w:left w:val="single" w:color="000000" w:sz="8" w:space="0"/>
            </w:tcBorders>
          </w:tcPr>
          <w:p>
            <w:pPr>
              <w:pStyle w:val="13"/>
              <w:spacing w:before="15"/>
              <w:ind w:left="199"/>
              <w:rPr>
                <w:color w:val="auto"/>
                <w:sz w:val="24"/>
              </w:rPr>
            </w:pPr>
            <w:r>
              <w:rPr>
                <w:color w:val="auto"/>
                <w:sz w:val="24"/>
              </w:rPr>
              <w:t xml:space="preserve"> </w:t>
            </w:r>
          </w:p>
        </w:tc>
        <w:tc>
          <w:tcPr>
            <w:tcW w:w="1683" w:type="dxa"/>
          </w:tcPr>
          <w:p>
            <w:pPr>
              <w:pStyle w:val="13"/>
              <w:spacing w:before="15"/>
              <w:ind w:left="186"/>
              <w:rPr>
                <w:color w:val="auto"/>
                <w:sz w:val="24"/>
              </w:rPr>
            </w:pPr>
            <w:r>
              <w:rPr>
                <w:color w:val="auto"/>
                <w:sz w:val="24"/>
              </w:rPr>
              <w:t xml:space="preserve"> </w:t>
            </w:r>
          </w:p>
        </w:tc>
        <w:tc>
          <w:tcPr>
            <w:tcW w:w="1698" w:type="dxa"/>
          </w:tcPr>
          <w:p>
            <w:pPr>
              <w:pStyle w:val="13"/>
              <w:spacing w:before="15"/>
              <w:ind w:left="185"/>
              <w:rPr>
                <w:color w:val="auto"/>
                <w:sz w:val="24"/>
              </w:rPr>
            </w:pPr>
            <w:r>
              <w:rPr>
                <w:color w:val="auto"/>
                <w:sz w:val="24"/>
              </w:rPr>
              <w:t xml:space="preserve"> </w:t>
            </w:r>
          </w:p>
        </w:tc>
        <w:tc>
          <w:tcPr>
            <w:tcW w:w="1999" w:type="dxa"/>
            <w:tcBorders>
              <w:right w:val="single" w:color="000000" w:sz="8" w:space="0"/>
            </w:tcBorders>
          </w:tcPr>
          <w:p>
            <w:pPr>
              <w:pStyle w:val="13"/>
              <w:spacing w:before="15"/>
              <w:ind w:left="199"/>
              <w:rPr>
                <w:color w:val="auto"/>
                <w:sz w:val="24"/>
              </w:rPr>
            </w:pP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77" w:type="dxa"/>
          </w:tcPr>
          <w:p>
            <w:pPr>
              <w:pStyle w:val="13"/>
              <w:spacing w:before="15"/>
              <w:ind w:left="188"/>
              <w:rPr>
                <w:color w:val="auto"/>
                <w:sz w:val="24"/>
              </w:rPr>
            </w:pPr>
            <w:r>
              <w:rPr>
                <w:color w:val="auto"/>
                <w:sz w:val="24"/>
              </w:rPr>
              <w:t xml:space="preserve"> </w:t>
            </w:r>
          </w:p>
        </w:tc>
        <w:tc>
          <w:tcPr>
            <w:tcW w:w="1232" w:type="dxa"/>
            <w:tcBorders>
              <w:right w:val="single" w:color="000000" w:sz="8" w:space="0"/>
            </w:tcBorders>
          </w:tcPr>
          <w:p>
            <w:pPr>
              <w:pStyle w:val="13"/>
              <w:spacing w:before="15"/>
              <w:ind w:left="187"/>
              <w:rPr>
                <w:color w:val="auto"/>
                <w:sz w:val="24"/>
              </w:rPr>
            </w:pPr>
            <w:r>
              <w:rPr>
                <w:color w:val="auto"/>
                <w:sz w:val="24"/>
              </w:rPr>
              <w:t xml:space="preserve"> </w:t>
            </w:r>
          </w:p>
        </w:tc>
        <w:tc>
          <w:tcPr>
            <w:tcW w:w="917" w:type="dxa"/>
            <w:tcBorders>
              <w:left w:val="single" w:color="000000" w:sz="8" w:space="0"/>
            </w:tcBorders>
          </w:tcPr>
          <w:p>
            <w:pPr>
              <w:pStyle w:val="13"/>
              <w:spacing w:before="15"/>
              <w:ind w:left="199"/>
              <w:rPr>
                <w:color w:val="auto"/>
                <w:sz w:val="24"/>
              </w:rPr>
            </w:pPr>
            <w:r>
              <w:rPr>
                <w:color w:val="auto"/>
                <w:sz w:val="24"/>
              </w:rPr>
              <w:t xml:space="preserve"> </w:t>
            </w:r>
          </w:p>
        </w:tc>
        <w:tc>
          <w:tcPr>
            <w:tcW w:w="1683" w:type="dxa"/>
          </w:tcPr>
          <w:p>
            <w:pPr>
              <w:pStyle w:val="13"/>
              <w:spacing w:before="15"/>
              <w:ind w:left="186"/>
              <w:rPr>
                <w:color w:val="auto"/>
                <w:sz w:val="24"/>
              </w:rPr>
            </w:pPr>
            <w:r>
              <w:rPr>
                <w:color w:val="auto"/>
                <w:sz w:val="24"/>
              </w:rPr>
              <w:t xml:space="preserve"> </w:t>
            </w:r>
          </w:p>
        </w:tc>
        <w:tc>
          <w:tcPr>
            <w:tcW w:w="1698" w:type="dxa"/>
          </w:tcPr>
          <w:p>
            <w:pPr>
              <w:pStyle w:val="13"/>
              <w:spacing w:before="15"/>
              <w:ind w:left="185"/>
              <w:rPr>
                <w:color w:val="auto"/>
                <w:sz w:val="24"/>
              </w:rPr>
            </w:pPr>
            <w:r>
              <w:rPr>
                <w:color w:val="auto"/>
                <w:sz w:val="24"/>
              </w:rPr>
              <w:t xml:space="preserve"> </w:t>
            </w:r>
          </w:p>
        </w:tc>
        <w:tc>
          <w:tcPr>
            <w:tcW w:w="1999" w:type="dxa"/>
            <w:tcBorders>
              <w:right w:val="single" w:color="000000" w:sz="8" w:space="0"/>
            </w:tcBorders>
          </w:tcPr>
          <w:p>
            <w:pPr>
              <w:pStyle w:val="13"/>
              <w:spacing w:before="15"/>
              <w:ind w:left="199"/>
              <w:rPr>
                <w:color w:val="auto"/>
                <w:sz w:val="24"/>
              </w:rPr>
            </w:pPr>
            <w:r>
              <w:rPr>
                <w:color w:val="auto"/>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0" w:hRule="atLeast"/>
        </w:trPr>
        <w:tc>
          <w:tcPr>
            <w:tcW w:w="1277" w:type="dxa"/>
          </w:tcPr>
          <w:p>
            <w:pPr>
              <w:pStyle w:val="13"/>
              <w:ind w:left="188"/>
              <w:rPr>
                <w:color w:val="auto"/>
                <w:sz w:val="24"/>
              </w:rPr>
            </w:pPr>
            <w:r>
              <w:rPr>
                <w:color w:val="auto"/>
                <w:sz w:val="24"/>
              </w:rPr>
              <w:t xml:space="preserve"> </w:t>
            </w:r>
          </w:p>
        </w:tc>
        <w:tc>
          <w:tcPr>
            <w:tcW w:w="1232" w:type="dxa"/>
            <w:tcBorders>
              <w:right w:val="single" w:color="000000" w:sz="8" w:space="0"/>
            </w:tcBorders>
          </w:tcPr>
          <w:p>
            <w:pPr>
              <w:pStyle w:val="13"/>
              <w:ind w:left="187"/>
              <w:rPr>
                <w:color w:val="auto"/>
                <w:sz w:val="24"/>
              </w:rPr>
            </w:pPr>
            <w:r>
              <w:rPr>
                <w:color w:val="auto"/>
                <w:sz w:val="24"/>
              </w:rPr>
              <w:t xml:space="preserve"> </w:t>
            </w:r>
          </w:p>
        </w:tc>
        <w:tc>
          <w:tcPr>
            <w:tcW w:w="917" w:type="dxa"/>
            <w:tcBorders>
              <w:left w:val="single" w:color="000000" w:sz="8" w:space="0"/>
            </w:tcBorders>
          </w:tcPr>
          <w:p>
            <w:pPr>
              <w:pStyle w:val="13"/>
              <w:ind w:left="199"/>
              <w:rPr>
                <w:color w:val="auto"/>
                <w:sz w:val="24"/>
              </w:rPr>
            </w:pPr>
            <w:r>
              <w:rPr>
                <w:color w:val="auto"/>
                <w:sz w:val="24"/>
              </w:rPr>
              <w:t xml:space="preserve"> </w:t>
            </w:r>
          </w:p>
        </w:tc>
        <w:tc>
          <w:tcPr>
            <w:tcW w:w="1683" w:type="dxa"/>
          </w:tcPr>
          <w:p>
            <w:pPr>
              <w:pStyle w:val="13"/>
              <w:ind w:left="186"/>
              <w:rPr>
                <w:color w:val="auto"/>
                <w:sz w:val="24"/>
              </w:rPr>
            </w:pPr>
            <w:r>
              <w:rPr>
                <w:color w:val="auto"/>
                <w:sz w:val="24"/>
              </w:rPr>
              <w:t xml:space="preserve"> </w:t>
            </w:r>
          </w:p>
        </w:tc>
        <w:tc>
          <w:tcPr>
            <w:tcW w:w="1698" w:type="dxa"/>
          </w:tcPr>
          <w:p>
            <w:pPr>
              <w:pStyle w:val="13"/>
              <w:ind w:left="185"/>
              <w:rPr>
                <w:color w:val="auto"/>
                <w:sz w:val="24"/>
              </w:rPr>
            </w:pPr>
            <w:r>
              <w:rPr>
                <w:color w:val="auto"/>
                <w:sz w:val="24"/>
              </w:rPr>
              <w:t xml:space="preserve"> </w:t>
            </w:r>
          </w:p>
        </w:tc>
        <w:tc>
          <w:tcPr>
            <w:tcW w:w="1999" w:type="dxa"/>
            <w:tcBorders>
              <w:right w:val="single" w:color="000000" w:sz="8" w:space="0"/>
            </w:tcBorders>
          </w:tcPr>
          <w:p>
            <w:pPr>
              <w:pStyle w:val="13"/>
              <w:ind w:left="199"/>
              <w:rPr>
                <w:color w:val="auto"/>
                <w:sz w:val="24"/>
              </w:rPr>
            </w:pPr>
            <w:r>
              <w:rPr>
                <w:color w:val="auto"/>
                <w:sz w:val="24"/>
              </w:rPr>
              <w:t xml:space="preserve"> </w:t>
            </w:r>
          </w:p>
        </w:tc>
      </w:tr>
    </w:tbl>
    <w:p>
      <w:pPr>
        <w:pStyle w:val="8"/>
        <w:spacing w:before="75"/>
        <w:ind w:left="963"/>
        <w:rPr>
          <w:color w:val="auto"/>
        </w:rPr>
      </w:pPr>
      <w:r>
        <w:rPr>
          <w:color w:val="auto"/>
        </w:rPr>
        <w:t xml:space="preserve">二、乙方应按下列要求完成服务工作： </w:t>
      </w:r>
    </w:p>
    <w:p>
      <w:pPr>
        <w:pStyle w:val="8"/>
        <w:spacing w:before="98"/>
        <w:ind w:left="963"/>
        <w:rPr>
          <w:color w:val="auto"/>
        </w:rPr>
      </w:pPr>
      <w:r>
        <w:rPr>
          <w:color w:val="auto"/>
          <w:spacing w:val="-1"/>
        </w:rPr>
        <w:t>1.</w:t>
      </w:r>
      <w:r>
        <w:rPr>
          <w:color w:val="auto"/>
        </w:rPr>
        <w:t>服务地点：</w:t>
      </w:r>
      <w:r>
        <w:rPr>
          <w:color w:val="auto"/>
          <w:u w:val="single"/>
        </w:rPr>
        <w:t xml:space="preserve">                                                </w:t>
      </w:r>
      <w:r>
        <w:rPr>
          <w:color w:val="auto"/>
          <w:spacing w:val="7"/>
          <w:u w:val="single"/>
        </w:rPr>
        <w:t xml:space="preserve"> </w:t>
      </w:r>
      <w:r>
        <w:rPr>
          <w:color w:val="auto"/>
        </w:rPr>
        <w:t xml:space="preserve"> </w:t>
      </w:r>
    </w:p>
    <w:p>
      <w:pPr>
        <w:pStyle w:val="8"/>
        <w:spacing w:before="98"/>
        <w:ind w:left="963"/>
        <w:rPr>
          <w:color w:val="auto"/>
        </w:rPr>
      </w:pPr>
      <w:r>
        <w:rPr>
          <w:color w:val="auto"/>
          <w:spacing w:val="-1"/>
        </w:rPr>
        <w:t>2.</w:t>
      </w:r>
      <w:r>
        <w:rPr>
          <w:color w:val="auto"/>
        </w:rPr>
        <w:t>服务进度：</w:t>
      </w:r>
      <w:r>
        <w:rPr>
          <w:color w:val="auto"/>
          <w:u w:val="single"/>
        </w:rPr>
        <w:t xml:space="preserve">                                                </w:t>
      </w:r>
      <w:r>
        <w:rPr>
          <w:color w:val="auto"/>
          <w:spacing w:val="7"/>
          <w:u w:val="single"/>
        </w:rPr>
        <w:t xml:space="preserve"> </w:t>
      </w:r>
      <w:r>
        <w:rPr>
          <w:color w:val="auto"/>
        </w:rPr>
        <w:t xml:space="preserve"> </w:t>
      </w:r>
    </w:p>
    <w:p>
      <w:pPr>
        <w:pStyle w:val="8"/>
        <w:spacing w:before="82"/>
        <w:ind w:left="963"/>
        <w:rPr>
          <w:color w:val="auto"/>
        </w:rPr>
      </w:pPr>
      <w:r>
        <w:rPr>
          <w:color w:val="auto"/>
          <w:spacing w:val="-1"/>
        </w:rPr>
        <w:t>3.</w:t>
      </w:r>
      <w:r>
        <w:rPr>
          <w:color w:val="auto"/>
        </w:rPr>
        <w:t>货物质量要求：</w:t>
      </w:r>
      <w:r>
        <w:rPr>
          <w:color w:val="auto"/>
          <w:u w:val="single"/>
        </w:rPr>
        <w:t xml:space="preserve">                                            </w:t>
      </w:r>
      <w:r>
        <w:rPr>
          <w:color w:val="auto"/>
          <w:spacing w:val="6"/>
          <w:u w:val="single"/>
        </w:rPr>
        <w:t xml:space="preserve"> </w:t>
      </w:r>
      <w:r>
        <w:rPr>
          <w:color w:val="auto"/>
        </w:rPr>
        <w:t xml:space="preserve"> </w:t>
      </w:r>
    </w:p>
    <w:p>
      <w:pPr>
        <w:pStyle w:val="8"/>
        <w:spacing w:before="98"/>
        <w:ind w:left="963"/>
        <w:rPr>
          <w:color w:val="auto"/>
        </w:rPr>
      </w:pPr>
      <w:r>
        <w:rPr>
          <w:color w:val="auto"/>
          <w:spacing w:val="-1"/>
        </w:rPr>
        <w:t>4.</w:t>
      </w:r>
      <w:r>
        <w:rPr>
          <w:color w:val="auto"/>
        </w:rPr>
        <w:t>服务期限要求：</w:t>
      </w:r>
      <w:r>
        <w:rPr>
          <w:color w:val="auto"/>
          <w:u w:val="single"/>
        </w:rPr>
        <w:t xml:space="preserve">                                            </w:t>
      </w:r>
      <w:r>
        <w:rPr>
          <w:color w:val="auto"/>
          <w:spacing w:val="6"/>
          <w:u w:val="single"/>
        </w:rPr>
        <w:t xml:space="preserve"> </w:t>
      </w:r>
      <w:r>
        <w:rPr>
          <w:color w:val="auto"/>
        </w:rPr>
        <w:t xml:space="preserve"> </w:t>
      </w:r>
    </w:p>
    <w:p>
      <w:pPr>
        <w:pStyle w:val="8"/>
        <w:spacing w:before="98" w:line="304" w:lineRule="auto"/>
        <w:ind w:left="481" w:right="1735" w:firstLine="481"/>
        <w:rPr>
          <w:color w:val="auto"/>
        </w:rPr>
      </w:pPr>
      <w:r>
        <w:rPr>
          <w:color w:val="auto"/>
        </w:rPr>
        <w:t xml:space="preserve">三、为保证乙方有效进行服务工作，甲方应当向乙方提供下列工作条件和协作事项： </w:t>
      </w:r>
    </w:p>
    <w:p>
      <w:pPr>
        <w:pStyle w:val="8"/>
        <w:spacing w:before="15"/>
        <w:ind w:left="978"/>
        <w:rPr>
          <w:color w:val="auto"/>
        </w:rPr>
      </w:pPr>
      <w:r>
        <w:rPr>
          <w:color w:val="auto"/>
        </w:rPr>
        <w:t xml:space="preserve">1. 提供技术资料： </w:t>
      </w:r>
    </w:p>
    <w:p>
      <w:pPr>
        <w:pStyle w:val="8"/>
        <w:spacing w:before="98"/>
        <w:ind w:left="481"/>
        <w:rPr>
          <w:color w:val="auto"/>
        </w:rPr>
      </w:pPr>
      <w:r>
        <w:rPr>
          <w:b/>
          <w:color w:val="auto"/>
          <w:w w:val="99"/>
        </w:rPr>
        <w:t xml:space="preserve"> </w:t>
      </w:r>
      <w:r>
        <w:rPr>
          <w:b/>
          <w:color w:val="auto"/>
          <w:spacing w:val="-77"/>
        </w:rPr>
        <w:t xml:space="preserve"> </w:t>
      </w:r>
      <w:r>
        <w:rPr>
          <w:b/>
          <w:color w:val="auto"/>
          <w:w w:val="99"/>
        </w:rPr>
        <w:t xml:space="preserve"> </w:t>
      </w:r>
      <w:r>
        <w:rPr>
          <w:b/>
          <w:color w:val="auto"/>
          <w:spacing w:val="-77"/>
        </w:rPr>
        <w:t xml:space="preserve"> </w:t>
      </w:r>
      <w:r>
        <w:rPr>
          <w:b/>
          <w:color w:val="auto"/>
          <w:w w:val="99"/>
        </w:rPr>
        <w:t xml:space="preserve"> </w:t>
      </w:r>
      <w:r>
        <w:rPr>
          <w:b/>
          <w:color w:val="auto"/>
          <w:spacing w:val="-75"/>
        </w:rPr>
        <w:t xml:space="preserve"> </w:t>
      </w:r>
      <w:r>
        <w:rPr>
          <w:color w:val="auto"/>
        </w:rPr>
        <w:t>（1）</w:t>
      </w:r>
      <w:r>
        <w:rPr>
          <w:color w:val="auto"/>
          <w:u w:val="single"/>
        </w:rPr>
        <w:t xml:space="preserve">                                                  </w:t>
      </w:r>
      <w:r>
        <w:rPr>
          <w:color w:val="auto"/>
          <w:spacing w:val="103"/>
        </w:rPr>
        <w:t xml:space="preserve"> </w:t>
      </w:r>
      <w:r>
        <w:rPr>
          <w:color w:val="auto"/>
          <w:spacing w:val="-30"/>
        </w:rPr>
        <w:t>；</w:t>
      </w:r>
      <w:r>
        <w:rPr>
          <w:color w:val="auto"/>
        </w:rPr>
        <w:t xml:space="preserve"> </w:t>
      </w:r>
    </w:p>
    <w:p>
      <w:pPr>
        <w:pStyle w:val="8"/>
        <w:spacing w:before="83"/>
        <w:ind w:left="481" w:right="-15"/>
        <w:rPr>
          <w:color w:val="auto"/>
        </w:rPr>
      </w:pPr>
      <w:r>
        <w:rPr>
          <w:color w:val="auto"/>
        </w:rPr>
        <w:t xml:space="preserve">   </w:t>
      </w:r>
      <w:r>
        <w:rPr>
          <w:color w:val="auto"/>
          <w:spacing w:val="1"/>
        </w:rPr>
        <w:t xml:space="preserve"> </w:t>
      </w:r>
      <w:r>
        <w:rPr>
          <w:color w:val="auto"/>
        </w:rPr>
        <w:t>（2）</w:t>
      </w:r>
      <w:r>
        <w:rPr>
          <w:color w:val="auto"/>
          <w:u w:val="single"/>
        </w:rPr>
        <w:t xml:space="preserve">                                                  </w:t>
      </w:r>
      <w:r>
        <w:rPr>
          <w:color w:val="auto"/>
          <w:spacing w:val="117"/>
        </w:rPr>
        <w:t xml:space="preserve"> </w:t>
      </w:r>
      <w:r>
        <w:rPr>
          <w:color w:val="auto"/>
          <w:spacing w:val="-30"/>
        </w:rPr>
        <w:t>；</w:t>
      </w:r>
      <w:r>
        <w:rPr>
          <w:color w:val="auto"/>
          <w:spacing w:val="-16"/>
        </w:rPr>
        <w:t xml:space="preserve"> </w:t>
      </w:r>
      <w:r>
        <w:rPr>
          <w:color w:val="auto"/>
        </w:rPr>
        <w:t xml:space="preserve">                     </w:t>
      </w:r>
    </w:p>
    <w:p>
      <w:pPr>
        <w:pStyle w:val="8"/>
        <w:spacing w:before="97"/>
        <w:ind w:left="481" w:right="-44"/>
        <w:rPr>
          <w:color w:val="auto"/>
        </w:rPr>
      </w:pPr>
      <w:r>
        <w:rPr>
          <w:color w:val="auto"/>
        </w:rPr>
        <w:t xml:space="preserve">   </w:t>
      </w:r>
      <w:r>
        <w:rPr>
          <w:color w:val="auto"/>
          <w:spacing w:val="1"/>
        </w:rPr>
        <w:t xml:space="preserve"> </w:t>
      </w:r>
      <w:r>
        <w:rPr>
          <w:color w:val="auto"/>
        </w:rPr>
        <w:t xml:space="preserve">（3） </w:t>
      </w:r>
      <w:r>
        <w:rPr>
          <w:color w:val="auto"/>
          <w:u w:val="single"/>
        </w:rPr>
        <w:t xml:space="preserve">                                                </w:t>
      </w:r>
      <w:r>
        <w:rPr>
          <w:color w:val="auto"/>
        </w:rPr>
        <w:t xml:space="preserve"> </w:t>
      </w:r>
      <w:r>
        <w:rPr>
          <w:color w:val="auto"/>
          <w:spacing w:val="28"/>
          <w:u w:val="single"/>
        </w:rPr>
        <w:t xml:space="preserve"> </w:t>
      </w:r>
      <w:r>
        <w:rPr>
          <w:color w:val="auto"/>
          <w:spacing w:val="-30"/>
        </w:rPr>
        <w:t>；</w:t>
      </w:r>
      <w:r>
        <w:rPr>
          <w:color w:val="auto"/>
          <w:spacing w:val="-16"/>
        </w:rPr>
        <w:t xml:space="preserve"> </w:t>
      </w:r>
      <w:r>
        <w:rPr>
          <w:color w:val="auto"/>
        </w:rPr>
        <w:t xml:space="preserve">                      </w:t>
      </w:r>
    </w:p>
    <w:p>
      <w:pPr>
        <w:pStyle w:val="8"/>
        <w:spacing w:before="98"/>
        <w:ind w:left="481" w:right="-44"/>
        <w:rPr>
          <w:color w:val="auto"/>
        </w:rPr>
      </w:pPr>
      <w:r>
        <w:rPr>
          <w:color w:val="auto"/>
        </w:rPr>
        <w:t xml:space="preserve">   </w:t>
      </w:r>
      <w:r>
        <w:rPr>
          <w:color w:val="auto"/>
          <w:spacing w:val="1"/>
        </w:rPr>
        <w:t xml:space="preserve"> </w:t>
      </w:r>
      <w:r>
        <w:rPr>
          <w:color w:val="auto"/>
        </w:rPr>
        <w:t xml:space="preserve">（4） </w:t>
      </w:r>
      <w:r>
        <w:rPr>
          <w:color w:val="auto"/>
          <w:u w:val="single"/>
        </w:rPr>
        <w:t xml:space="preserve">                                                </w:t>
      </w:r>
      <w:r>
        <w:rPr>
          <w:color w:val="auto"/>
        </w:rPr>
        <w:t xml:space="preserve"> </w:t>
      </w:r>
      <w:r>
        <w:rPr>
          <w:color w:val="auto"/>
          <w:spacing w:val="28"/>
          <w:u w:val="single"/>
        </w:rPr>
        <w:t xml:space="preserve"> </w:t>
      </w:r>
      <w:r>
        <w:rPr>
          <w:color w:val="auto"/>
          <w:spacing w:val="-30"/>
        </w:rPr>
        <w:t>；</w:t>
      </w:r>
      <w:r>
        <w:rPr>
          <w:color w:val="auto"/>
          <w:spacing w:val="-16"/>
        </w:rPr>
        <w:t xml:space="preserve"> </w:t>
      </w:r>
      <w:r>
        <w:rPr>
          <w:color w:val="auto"/>
        </w:rPr>
        <w:t xml:space="preserve">                      </w:t>
      </w:r>
    </w:p>
    <w:p>
      <w:pPr>
        <w:pStyle w:val="8"/>
        <w:spacing w:before="83"/>
        <w:ind w:left="481"/>
        <w:rPr>
          <w:color w:val="auto"/>
        </w:rPr>
      </w:pPr>
      <w:r>
        <w:rPr>
          <w:color w:val="auto"/>
        </w:rPr>
        <w:t xml:space="preserve">     2. 提供工作条件： </w:t>
      </w:r>
    </w:p>
    <w:p>
      <w:pPr>
        <w:pStyle w:val="8"/>
        <w:spacing w:before="98"/>
        <w:ind w:left="481"/>
        <w:rPr>
          <w:color w:val="auto"/>
        </w:rPr>
      </w:pPr>
      <w:r>
        <w:rPr>
          <w:color w:val="auto"/>
        </w:rPr>
        <w:t xml:space="preserve">   </w:t>
      </w:r>
      <w:r>
        <w:rPr>
          <w:color w:val="auto"/>
          <w:spacing w:val="1"/>
        </w:rPr>
        <w:t xml:space="preserve"> </w:t>
      </w:r>
      <w:r>
        <w:rPr>
          <w:color w:val="auto"/>
        </w:rPr>
        <w:t>（1）</w:t>
      </w:r>
      <w:r>
        <w:rPr>
          <w:color w:val="auto"/>
          <w:u w:val="single"/>
        </w:rPr>
        <w:t xml:space="preserve">                                                 </w:t>
      </w:r>
      <w:r>
        <w:rPr>
          <w:color w:val="auto"/>
        </w:rPr>
        <w:t xml:space="preserve"> </w:t>
      </w:r>
      <w:r>
        <w:rPr>
          <w:color w:val="auto"/>
          <w:spacing w:val="26"/>
          <w:u w:val="single"/>
        </w:rPr>
        <w:t xml:space="preserve"> </w:t>
      </w:r>
      <w:r>
        <w:rPr>
          <w:color w:val="auto"/>
          <w:spacing w:val="-30"/>
        </w:rPr>
        <w:t>；</w:t>
      </w:r>
      <w:r>
        <w:rPr>
          <w:color w:val="auto"/>
        </w:rPr>
        <w:t xml:space="preserve"> </w:t>
      </w:r>
    </w:p>
    <w:p>
      <w:pPr>
        <w:pStyle w:val="8"/>
        <w:spacing w:before="98"/>
        <w:ind w:left="481" w:right="-44"/>
        <w:rPr>
          <w:color w:val="auto"/>
        </w:rPr>
      </w:pPr>
      <w:r>
        <w:rPr>
          <w:color w:val="auto"/>
        </w:rPr>
        <w:t xml:space="preserve">   </w:t>
      </w:r>
      <w:r>
        <w:rPr>
          <w:color w:val="auto"/>
          <w:spacing w:val="1"/>
        </w:rPr>
        <w:t xml:space="preserve"> </w:t>
      </w:r>
      <w:r>
        <w:rPr>
          <w:color w:val="auto"/>
        </w:rPr>
        <w:t>（2）</w:t>
      </w:r>
      <w:r>
        <w:rPr>
          <w:color w:val="auto"/>
          <w:u w:val="single"/>
        </w:rPr>
        <w:t xml:space="preserve">                                                 </w:t>
      </w:r>
      <w:r>
        <w:rPr>
          <w:color w:val="auto"/>
        </w:rPr>
        <w:t xml:space="preserve"> </w:t>
      </w:r>
      <w:r>
        <w:rPr>
          <w:color w:val="auto"/>
          <w:spacing w:val="27"/>
          <w:u w:val="single"/>
        </w:rPr>
        <w:t xml:space="preserve"> </w:t>
      </w:r>
      <w:r>
        <w:rPr>
          <w:color w:val="auto"/>
          <w:spacing w:val="-30"/>
        </w:rPr>
        <w:t>；</w:t>
      </w:r>
      <w:r>
        <w:rPr>
          <w:color w:val="auto"/>
          <w:spacing w:val="-16"/>
        </w:rPr>
        <w:t xml:space="preserve"> </w:t>
      </w:r>
      <w:r>
        <w:rPr>
          <w:color w:val="auto"/>
        </w:rPr>
        <w:t xml:space="preserve">                      </w:t>
      </w:r>
    </w:p>
    <w:p>
      <w:pPr>
        <w:spacing w:after="0"/>
        <w:rPr>
          <w:color w:val="auto"/>
        </w:rPr>
        <w:sectPr>
          <w:pgSz w:w="11910" w:h="16850"/>
          <w:pgMar w:top="1400" w:right="0" w:bottom="1160" w:left="1260" w:header="0" w:footer="891" w:gutter="0"/>
          <w:cols w:space="720" w:num="1"/>
        </w:sectPr>
      </w:pPr>
    </w:p>
    <w:p>
      <w:pPr>
        <w:pStyle w:val="8"/>
        <w:spacing w:before="51"/>
        <w:ind w:left="481" w:right="-15"/>
        <w:rPr>
          <w:color w:val="auto"/>
        </w:rPr>
      </w:pPr>
      <w:r>
        <w:rPr>
          <w:color w:val="auto"/>
        </w:rPr>
        <w:t xml:space="preserve">   </w:t>
      </w:r>
      <w:r>
        <w:rPr>
          <w:color w:val="auto"/>
          <w:spacing w:val="1"/>
        </w:rPr>
        <w:t xml:space="preserve"> </w:t>
      </w:r>
      <w:r>
        <w:rPr>
          <w:color w:val="auto"/>
        </w:rPr>
        <w:t>（3）</w:t>
      </w:r>
      <w:r>
        <w:rPr>
          <w:color w:val="auto"/>
          <w:spacing w:val="118"/>
        </w:rPr>
        <w:t xml:space="preserve"> </w:t>
      </w:r>
      <w:r>
        <w:rPr>
          <w:color w:val="auto"/>
          <w:spacing w:val="-30"/>
        </w:rPr>
        <w:t>；</w:t>
      </w:r>
      <w:r>
        <w:rPr>
          <w:color w:val="auto"/>
          <w:spacing w:val="-16"/>
        </w:rPr>
        <w:t xml:space="preserve"> </w:t>
      </w:r>
      <w:r>
        <w:rPr>
          <w:color w:val="auto"/>
        </w:rPr>
        <w:t xml:space="preserve">              </w:t>
      </w:r>
      <w:r>
        <w:rPr>
          <w:color w:val="auto"/>
          <w:spacing w:val="2"/>
        </w:rPr>
        <w:t xml:space="preserve"> </w:t>
      </w:r>
      <w:r>
        <w:rPr>
          <w:color w:val="auto"/>
        </w:rPr>
        <w:t xml:space="preserve">      </w:t>
      </w:r>
    </w:p>
    <w:p>
      <w:pPr>
        <w:spacing w:before="98" w:line="304" w:lineRule="auto"/>
        <w:ind w:left="963" w:right="1617" w:hanging="481"/>
        <w:jc w:val="left"/>
        <w:rPr>
          <w:color w:val="auto"/>
          <w:sz w:val="24"/>
        </w:rPr>
      </w:pPr>
      <w:r>
        <w:rPr>
          <w:color w:val="auto"/>
          <w:sz w:val="24"/>
        </w:rPr>
        <w:t xml:space="preserve">    （4） </w:t>
      </w:r>
      <w:r>
        <w:rPr>
          <w:color w:val="auto"/>
          <w:sz w:val="24"/>
          <w:u w:val="single"/>
        </w:rPr>
        <w:t xml:space="preserve">                                                        </w:t>
      </w:r>
      <w:r>
        <w:rPr>
          <w:color w:val="auto"/>
          <w:sz w:val="24"/>
        </w:rPr>
        <w:t xml:space="preserve"> 。3. 其他：</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rPr>
        <w:t xml:space="preserve"> </w:t>
      </w:r>
      <w:r>
        <w:rPr>
          <w:color w:val="auto"/>
          <w:sz w:val="24"/>
        </w:rPr>
        <w:t xml:space="preserve"> </w:t>
      </w:r>
    </w:p>
    <w:p>
      <w:pPr>
        <w:spacing w:before="15"/>
        <w:ind w:left="481" w:right="-15" w:firstLine="0"/>
        <w:jc w:val="left"/>
        <w:rPr>
          <w:color w:val="auto"/>
          <w:sz w:val="24"/>
        </w:rPr>
      </w:pP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rPr>
        <w:t xml:space="preserve"> </w:t>
      </w:r>
      <w:r>
        <w:rPr>
          <w:color w:val="auto"/>
          <w:spacing w:val="-48"/>
          <w:sz w:val="24"/>
          <w:u w:val="single"/>
        </w:rPr>
        <w:t xml:space="preserve"> </w:t>
      </w:r>
      <w:r>
        <w:rPr>
          <w:color w:val="auto"/>
          <w:spacing w:val="-30"/>
          <w:sz w:val="24"/>
        </w:rPr>
        <w:t>。</w:t>
      </w:r>
      <w:r>
        <w:rPr>
          <w:color w:val="auto"/>
          <w:sz w:val="24"/>
        </w:rPr>
        <w:t xml:space="preserve">                         </w:t>
      </w:r>
    </w:p>
    <w:p>
      <w:pPr>
        <w:spacing w:before="98"/>
        <w:ind w:left="481" w:right="0" w:firstLine="0"/>
        <w:jc w:val="left"/>
        <w:rPr>
          <w:b/>
          <w:color w:val="auto"/>
          <w:sz w:val="24"/>
        </w:rPr>
      </w:pPr>
      <w:r>
        <w:rPr>
          <w:color w:val="auto"/>
          <w:sz w:val="24"/>
        </w:rPr>
        <w:t xml:space="preserve">    4. 甲方提供上述工作条件和协作事项的时间及方式：</w:t>
      </w:r>
      <w:r>
        <w:rPr>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u w:val="single"/>
        </w:rPr>
        <w:t xml:space="preserve"> </w:t>
      </w:r>
      <w:r>
        <w:rPr>
          <w:b/>
          <w:color w:val="auto"/>
          <w:w w:val="99"/>
          <w:sz w:val="24"/>
          <w:u w:val="single"/>
        </w:rPr>
        <w:t xml:space="preserve"> </w:t>
      </w:r>
      <w:r>
        <w:rPr>
          <w:b/>
          <w:color w:val="auto"/>
          <w:sz w:val="24"/>
        </w:rPr>
        <w:t xml:space="preserve"> </w:t>
      </w:r>
      <w:r>
        <w:rPr>
          <w:b/>
          <w:color w:val="auto"/>
          <w:w w:val="99"/>
          <w:sz w:val="24"/>
          <w:u w:val="single"/>
        </w:rPr>
        <w:t xml:space="preserve"> </w:t>
      </w:r>
    </w:p>
    <w:p>
      <w:pPr>
        <w:spacing w:before="83" w:line="316" w:lineRule="auto"/>
        <w:ind w:left="963" w:right="2866" w:hanging="481"/>
        <w:jc w:val="left"/>
        <w:rPr>
          <w:color w:val="auto"/>
          <w:sz w:val="24"/>
        </w:rPr>
      </w:pP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color w:val="auto"/>
          <w:spacing w:val="-77"/>
          <w:sz w:val="24"/>
          <w:u w:val="single"/>
        </w:rPr>
        <w:t xml:space="preserve"> </w:t>
      </w:r>
      <w:r>
        <w:rPr>
          <w:color w:val="auto"/>
          <w:spacing w:val="-37"/>
          <w:sz w:val="24"/>
          <w:u w:val="single"/>
        </w:rPr>
        <w:t xml:space="preserve"> </w:t>
      </w:r>
      <w:r>
        <w:rPr>
          <w:b/>
          <w:color w:val="auto"/>
          <w:spacing w:val="-30"/>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91"/>
          <w:sz w:val="24"/>
          <w:u w:val="single"/>
        </w:rPr>
        <w:t xml:space="preserve"> </w:t>
      </w:r>
      <w:r>
        <w:rPr>
          <w:b/>
          <w:color w:val="auto"/>
          <w:w w:val="99"/>
          <w:sz w:val="24"/>
          <w:u w:val="single"/>
        </w:rPr>
        <w:t xml:space="preserve"> </w:t>
      </w:r>
      <w:r>
        <w:rPr>
          <w:b/>
          <w:color w:val="auto"/>
          <w:spacing w:val="-77"/>
          <w:sz w:val="24"/>
          <w:u w:val="single"/>
        </w:rPr>
        <w:t xml:space="preserve"> </w:t>
      </w:r>
      <w:r>
        <w:rPr>
          <w:b/>
          <w:color w:val="auto"/>
          <w:w w:val="99"/>
          <w:sz w:val="24"/>
          <w:u w:val="single"/>
        </w:rPr>
        <w:t xml:space="preserve"> </w:t>
      </w:r>
      <w:r>
        <w:rPr>
          <w:b/>
          <w:color w:val="auto"/>
          <w:spacing w:val="-77"/>
          <w:sz w:val="24"/>
        </w:rPr>
        <w:t xml:space="preserve"> </w:t>
      </w:r>
      <w:r>
        <w:rPr>
          <w:color w:val="auto"/>
          <w:spacing w:val="-77"/>
          <w:sz w:val="24"/>
          <w:u w:val="single"/>
        </w:rPr>
        <w:t xml:space="preserve"> </w:t>
      </w:r>
      <w:r>
        <w:rPr>
          <w:color w:val="auto"/>
          <w:spacing w:val="-30"/>
          <w:sz w:val="24"/>
        </w:rPr>
        <w:t>。</w:t>
      </w:r>
      <w:r>
        <w:rPr>
          <w:color w:val="auto"/>
          <w:spacing w:val="-1"/>
          <w:sz w:val="24"/>
        </w:rPr>
        <w:t xml:space="preserve">四、 甲方向乙方支付服务报酬及支付方式为: </w:t>
      </w:r>
    </w:p>
    <w:p>
      <w:pPr>
        <w:pStyle w:val="8"/>
        <w:spacing w:line="304" w:lineRule="auto"/>
        <w:ind w:left="481" w:right="1750" w:firstLine="481"/>
        <w:rPr>
          <w:color w:val="auto"/>
        </w:rPr>
      </w:pPr>
      <w:r>
        <w:rPr>
          <w:color w:val="auto"/>
        </w:rPr>
        <w:pict>
          <v:line id="_x0000_s1045" o:spid="_x0000_s1045" o:spt="20" style="position:absolute;left:0pt;margin-left:159.15pt;margin-top:33.35pt;height:0pt;width:114.15pt;mso-position-horizontal-relative:page;z-index:-251654144;mso-width-relative:page;mso-height-relative:page;" stroked="t" coordsize="21600,21600">
            <v:path arrowok="t"/>
            <v:fill focussize="0,0"/>
            <v:stroke color="#000000"/>
            <v:imagedata o:title=""/>
            <o:lock v:ext="edit"/>
          </v:line>
        </w:pict>
      </w:r>
      <w:r>
        <w:rPr>
          <w:color w:val="auto"/>
        </w:rPr>
        <w:t xml:space="preserve">1.本合同价款为固定总价价款，竣工结算时除合同另有约定外均不予调整。本 合 同 价 款 为 。 </w:t>
      </w:r>
    </w:p>
    <w:p>
      <w:pPr>
        <w:pStyle w:val="8"/>
        <w:spacing w:before="13" w:line="316" w:lineRule="auto"/>
        <w:ind w:left="1203" w:right="5960" w:hanging="240"/>
        <w:rPr>
          <w:color w:val="auto"/>
        </w:rPr>
      </w:pPr>
      <w:r>
        <w:rPr>
          <w:color w:val="auto"/>
        </w:rPr>
        <w:t xml:space="preserve">2.服务费由甲方分期支付给乙方。具体支付方式和时间如下： </w:t>
      </w:r>
    </w:p>
    <w:p>
      <w:pPr>
        <w:pStyle w:val="8"/>
        <w:spacing w:line="292" w:lineRule="exact"/>
        <w:ind w:left="963"/>
        <w:rPr>
          <w:color w:val="auto"/>
        </w:rPr>
      </w:pPr>
      <w:r>
        <w:rPr>
          <w:color w:val="auto"/>
        </w:rPr>
        <w:t xml:space="preserve">五、本合同的变更必须由双方协商一致，并以书面形式确定。 </w:t>
      </w:r>
    </w:p>
    <w:p>
      <w:pPr>
        <w:pStyle w:val="8"/>
        <w:spacing w:before="97"/>
        <w:ind w:left="963"/>
        <w:rPr>
          <w:color w:val="auto"/>
        </w:rPr>
      </w:pPr>
      <w:r>
        <w:rPr>
          <w:color w:val="auto"/>
        </w:rPr>
        <w:t xml:space="preserve">六、 双方确定以下列标准和方式对乙方的服务工作成果进行验收： </w:t>
      </w:r>
    </w:p>
    <w:p>
      <w:pPr>
        <w:pStyle w:val="8"/>
        <w:spacing w:before="98"/>
        <w:ind w:left="963"/>
        <w:rPr>
          <w:color w:val="auto"/>
        </w:rPr>
      </w:pPr>
      <w:r>
        <w:rPr>
          <w:color w:val="auto"/>
        </w:rPr>
        <w:t xml:space="preserve">1、乙方完成服务工作的形式： </w:t>
      </w:r>
    </w:p>
    <w:p>
      <w:pPr>
        <w:pStyle w:val="8"/>
        <w:spacing w:before="83" w:line="316" w:lineRule="auto"/>
        <w:ind w:left="481" w:right="1799" w:firstLine="466"/>
        <w:rPr>
          <w:color w:val="auto"/>
        </w:rPr>
      </w:pPr>
      <w:r>
        <w:rPr>
          <w:color w:val="auto"/>
        </w:rPr>
        <w:pict>
          <v:line id="_x0000_s1046" o:spid="_x0000_s1046" o:spt="20" style="position:absolute;left:0pt;margin-left:274.1pt;margin-top:18pt;height:0pt;width:232.05pt;mso-position-horizontal-relative:page;z-index:-251654144;mso-width-relative:page;mso-height-relative:page;" stroked="t" coordsize="21600,21600">
            <v:path arrowok="t"/>
            <v:fill focussize="0,0"/>
            <v:stroke color="#000000"/>
            <v:imagedata o:title=""/>
            <o:lock v:ext="edit"/>
          </v:line>
        </w:pict>
      </w:r>
      <w:r>
        <w:rPr>
          <w:color w:val="auto"/>
        </w:rPr>
        <w:pict>
          <v:line id="_x0000_s1047" o:spid="_x0000_s1047" o:spt="20" style="position:absolute;left:0pt;margin-left:87.05pt;margin-top:38.25pt;height:0pt;width:186.25pt;mso-position-horizontal-relative:page;z-index:-251654144;mso-width-relative:page;mso-height-relative:page;" stroked="t" coordsize="21600,21600">
            <v:path arrowok="t"/>
            <v:fill focussize="0,0"/>
            <v:stroke color="#000000"/>
            <v:imagedata o:title=""/>
            <o:lock v:ext="edit"/>
          </v:line>
        </w:pict>
      </w:r>
      <w:r>
        <w:rPr>
          <w:color w:val="auto"/>
        </w:rPr>
        <w:t xml:space="preserve">2、服务工作成果的验收标准： 国家、地方和行业现行有关技术规范、标准、设计要求以及甲方有关指令。   </w:t>
      </w:r>
    </w:p>
    <w:p>
      <w:pPr>
        <w:pStyle w:val="8"/>
        <w:spacing w:line="306" w:lineRule="exact"/>
        <w:ind w:left="948"/>
        <w:rPr>
          <w:color w:val="auto"/>
        </w:rPr>
      </w:pPr>
      <w:r>
        <w:rPr>
          <w:color w:val="auto"/>
        </w:rPr>
        <w:pict>
          <v:line id="_x0000_s1048" o:spid="_x0000_s1048" o:spt="20" style="position:absolute;left:0pt;margin-left:272.6pt;margin-top:13.8pt;height:0pt;width:156.2pt;mso-position-horizontal-relative:page;z-index:251660288;mso-width-relative:page;mso-height-relative:page;" stroked="t" coordsize="21600,21600">
            <v:path arrowok="t"/>
            <v:fill focussize="0,0"/>
            <v:stroke color="#000000"/>
            <v:imagedata o:title=""/>
            <o:lock v:ext="edit"/>
          </v:line>
        </w:pict>
      </w:r>
      <w:r>
        <w:rPr>
          <w:color w:val="auto"/>
        </w:rPr>
        <w:t xml:space="preserve">3 、 服 务 工 作 成 果 的 验 收 方 法 ： 。 </w:t>
      </w:r>
    </w:p>
    <w:p>
      <w:pPr>
        <w:pStyle w:val="8"/>
        <w:spacing w:before="83" w:line="316" w:lineRule="auto"/>
        <w:ind w:left="963" w:right="1801"/>
        <w:rPr>
          <w:color w:val="auto"/>
        </w:rPr>
      </w:pPr>
      <w:r>
        <w:rPr>
          <w:color w:val="auto"/>
          <w:spacing w:val="-1"/>
        </w:rPr>
        <w:t>七、双方确定，按以下约定承担各自的违约责任：</w:t>
      </w:r>
      <w:r>
        <w:rPr>
          <w:color w:val="auto"/>
          <w:spacing w:val="-1"/>
          <w:u w:val="single"/>
        </w:rPr>
        <w:t xml:space="preserve">                  </w:t>
      </w:r>
      <w:r>
        <w:rPr>
          <w:color w:val="auto"/>
          <w:spacing w:val="-1"/>
        </w:rPr>
        <w:t xml:space="preserve">   </w:t>
      </w:r>
      <w:r>
        <w:rPr>
          <w:color w:val="auto"/>
          <w:spacing w:val="-7"/>
        </w:rPr>
        <w:t>八、双方确定，在本协议有效期内，甲方指定</w:t>
      </w:r>
      <w:r>
        <w:rPr>
          <w:color w:val="auto"/>
          <w:spacing w:val="116"/>
          <w:u w:val="single"/>
        </w:rPr>
        <w:t xml:space="preserve"> </w:t>
      </w:r>
      <w:r>
        <w:rPr>
          <w:color w:val="auto"/>
        </w:rPr>
        <w:t>为甲方项目联系人,乙方</w:t>
      </w:r>
    </w:p>
    <w:p>
      <w:pPr>
        <w:pStyle w:val="8"/>
        <w:spacing w:line="312" w:lineRule="auto"/>
        <w:ind w:left="481" w:right="1749"/>
        <w:jc w:val="both"/>
        <w:rPr>
          <w:color w:val="auto"/>
        </w:rPr>
      </w:pPr>
      <w:r>
        <w:rPr>
          <w:color w:val="auto"/>
        </w:rPr>
        <w:t>指定</w:t>
      </w:r>
      <w:r>
        <w:rPr>
          <w:color w:val="auto"/>
          <w:u w:val="single"/>
        </w:rPr>
        <w:t xml:space="preserve">    </w:t>
      </w:r>
      <w:r>
        <w:rPr>
          <w:color w:val="auto"/>
        </w:rPr>
        <w:t xml:space="preserve">为乙方项目联系人。双方联系人应及时向对方沟通和交换有关情况， </w:t>
      </w:r>
      <w:r>
        <w:rPr>
          <w:color w:val="auto"/>
          <w:spacing w:val="-2"/>
        </w:rPr>
        <w:t>及时提交和签认有关的报告及确认单、通知单等文件，并就重要情况及时向双方</w:t>
      </w:r>
      <w:r>
        <w:rPr>
          <w:color w:val="auto"/>
          <w:spacing w:val="-1"/>
        </w:rPr>
        <w:t>的所在单位部门负责人汇报。一方变更项目联系人的,应当及时以书面形式通知</w:t>
      </w:r>
      <w:r>
        <w:rPr>
          <w:color w:val="auto"/>
          <w:spacing w:val="-2"/>
        </w:rPr>
        <w:t xml:space="preserve">另一方。末及时通知并影响本协议履行或造成损失的,应承担相应的责任。 </w:t>
      </w:r>
    </w:p>
    <w:p>
      <w:pPr>
        <w:pStyle w:val="8"/>
        <w:spacing w:line="316" w:lineRule="auto"/>
        <w:ind w:left="481" w:right="1797" w:firstLine="481"/>
        <w:rPr>
          <w:color w:val="auto"/>
        </w:rPr>
      </w:pPr>
      <w:r>
        <w:rPr>
          <w:color w:val="auto"/>
          <w:spacing w:val="-7"/>
        </w:rPr>
        <w:t>九、双方因履行本合同而发生的争议，应协商解决。协商不成的，确定按以下第</w:t>
      </w:r>
      <w:r>
        <w:rPr>
          <w:color w:val="auto"/>
          <w:spacing w:val="119"/>
          <w:u w:val="single"/>
        </w:rPr>
        <w:t xml:space="preserve"> </w:t>
      </w:r>
      <w:r>
        <w:rPr>
          <w:color w:val="auto"/>
        </w:rPr>
        <w:t xml:space="preserve">种方式处理： </w:t>
      </w:r>
    </w:p>
    <w:p>
      <w:pPr>
        <w:pStyle w:val="8"/>
        <w:spacing w:line="307" w:lineRule="exact"/>
        <w:ind w:left="963"/>
        <w:rPr>
          <w:color w:val="auto"/>
        </w:rPr>
      </w:pPr>
      <w:r>
        <w:rPr>
          <w:color w:val="auto"/>
        </w:rPr>
        <w:t>1.提交</w:t>
      </w:r>
      <w:r>
        <w:rPr>
          <w:color w:val="auto"/>
          <w:u w:val="single"/>
        </w:rPr>
        <w:t>（甲方所在地）</w:t>
      </w:r>
      <w:r>
        <w:rPr>
          <w:color w:val="auto"/>
        </w:rPr>
        <w:t xml:space="preserve">仲裁委员会仲裁; </w:t>
      </w:r>
    </w:p>
    <w:p>
      <w:pPr>
        <w:pStyle w:val="8"/>
        <w:spacing w:before="74"/>
        <w:ind w:left="963"/>
        <w:rPr>
          <w:color w:val="auto"/>
        </w:rPr>
      </w:pPr>
      <w:r>
        <w:rPr>
          <w:color w:val="auto"/>
        </w:rPr>
        <w:t xml:space="preserve">2.依法向项目所在地人民法院提出诉讼。 </w:t>
      </w:r>
    </w:p>
    <w:p>
      <w:pPr>
        <w:pStyle w:val="8"/>
        <w:spacing w:before="98" w:line="316" w:lineRule="auto"/>
        <w:ind w:left="481" w:right="1623" w:firstLine="481"/>
        <w:rPr>
          <w:color w:val="auto"/>
        </w:rPr>
      </w:pPr>
      <w:r>
        <w:rPr>
          <w:color w:val="auto"/>
        </w:rPr>
        <w:t>十、本合同一式</w:t>
      </w:r>
      <w:r>
        <w:rPr>
          <w:color w:val="auto"/>
          <w:u w:val="single"/>
        </w:rPr>
        <w:t>三</w:t>
      </w:r>
      <w:r>
        <w:rPr>
          <w:color w:val="auto"/>
        </w:rPr>
        <w:t>份,甲方执</w:t>
      </w:r>
      <w:r>
        <w:rPr>
          <w:color w:val="auto"/>
          <w:u w:val="single"/>
        </w:rPr>
        <w:t>一</w:t>
      </w:r>
      <w:r>
        <w:rPr>
          <w:color w:val="auto"/>
        </w:rPr>
        <w:t>份，乙方执</w:t>
      </w:r>
      <w:r>
        <w:rPr>
          <w:color w:val="auto"/>
          <w:u w:val="single"/>
        </w:rPr>
        <w:t>一</w:t>
      </w:r>
      <w:r>
        <w:rPr>
          <w:color w:val="auto"/>
        </w:rPr>
        <w:t xml:space="preserve">份，送采购代理机构备份一份， 具有同等法律效力. </w:t>
      </w:r>
    </w:p>
    <w:p>
      <w:pPr>
        <w:pStyle w:val="8"/>
        <w:spacing w:line="291" w:lineRule="exact"/>
        <w:ind w:left="963" w:right="-15"/>
        <w:rPr>
          <w:color w:val="auto"/>
        </w:rPr>
      </w:pPr>
      <w:r>
        <w:rPr>
          <w:color w:val="auto"/>
          <w:spacing w:val="-2"/>
        </w:rPr>
        <w:t>十一、本合同经双方签字盖章后生效，有关权利义务全部履结后自动失效。</w:t>
      </w:r>
      <w:r>
        <w:rPr>
          <w:color w:val="auto"/>
        </w:rPr>
        <w:t xml:space="preserve">               </w:t>
      </w:r>
    </w:p>
    <w:p>
      <w:pPr>
        <w:pStyle w:val="8"/>
        <w:spacing w:before="98"/>
        <w:ind w:left="963"/>
        <w:rPr>
          <w:color w:val="auto"/>
        </w:rPr>
      </w:pPr>
      <w:r>
        <w:rPr>
          <w:color w:val="auto"/>
        </w:rPr>
        <w:t xml:space="preserve">十二、补充条款。 </w:t>
      </w:r>
    </w:p>
    <w:p>
      <w:pPr>
        <w:pStyle w:val="8"/>
        <w:spacing w:before="97" w:line="304" w:lineRule="auto"/>
        <w:ind w:left="481" w:right="1734" w:firstLine="120"/>
        <w:rPr>
          <w:color w:val="auto"/>
        </w:rPr>
      </w:pPr>
      <w:r>
        <w:rPr>
          <w:color w:val="auto"/>
        </w:rPr>
        <w:t xml:space="preserve">   1.甲方编发的谈判文件和乙方的响应文件（含修正和补充文件）均为本合同组成文件。 </w:t>
      </w:r>
    </w:p>
    <w:p>
      <w:pPr>
        <w:pStyle w:val="8"/>
        <w:spacing w:before="15"/>
        <w:ind w:left="963"/>
        <w:rPr>
          <w:color w:val="auto"/>
        </w:rPr>
      </w:pPr>
      <w:r>
        <w:rPr>
          <w:color w:val="auto"/>
        </w:rPr>
        <w:t>2.乙方的项目组成员和经批准的技术工作方案的任何调整均必须事先获得</w:t>
      </w:r>
    </w:p>
    <w:p>
      <w:pPr>
        <w:spacing w:after="0"/>
        <w:rPr>
          <w:color w:val="auto"/>
        </w:rPr>
        <w:sectPr>
          <w:pgSz w:w="11910" w:h="16850"/>
          <w:pgMar w:top="1460" w:right="0" w:bottom="1160" w:left="1260" w:header="0" w:footer="891" w:gutter="0"/>
          <w:cols w:space="720" w:num="1"/>
        </w:sectPr>
      </w:pPr>
    </w:p>
    <w:p>
      <w:pPr>
        <w:pStyle w:val="8"/>
        <w:spacing w:before="51"/>
        <w:ind w:left="481"/>
        <w:rPr>
          <w:color w:val="auto"/>
        </w:rPr>
      </w:pPr>
      <w:r>
        <w:rPr>
          <w:color w:val="auto"/>
        </w:rPr>
        <w:t xml:space="preserve">甲方的书面批准，否则按照违约事件处理。 </w:t>
      </w:r>
    </w:p>
    <w:p>
      <w:pPr>
        <w:pStyle w:val="8"/>
        <w:spacing w:before="98"/>
        <w:ind w:left="963"/>
        <w:rPr>
          <w:color w:val="auto"/>
        </w:rPr>
      </w:pPr>
      <w:r>
        <w:rPr>
          <w:color w:val="auto"/>
        </w:rPr>
        <w:t xml:space="preserve">3.乙方的履约保函等合同文件必须与本合同的签订同步提交。 </w:t>
      </w:r>
    </w:p>
    <w:p>
      <w:pPr>
        <w:pStyle w:val="8"/>
        <w:spacing w:before="83" w:line="316" w:lineRule="auto"/>
        <w:ind w:left="481" w:right="1734" w:firstLine="481"/>
        <w:rPr>
          <w:color w:val="auto"/>
        </w:rPr>
      </w:pPr>
      <w:r>
        <w:rPr>
          <w:color w:val="auto"/>
        </w:rPr>
        <w:t xml:space="preserve">4.乙方必须及时和负责任地参加甲方、总监和质量监督部门组织的有关会议等活动，正确履行有关合同职责和法定职责，规范提供优质专业服务和支持。 </w:t>
      </w:r>
    </w:p>
    <w:p>
      <w:pPr>
        <w:pStyle w:val="8"/>
        <w:spacing w:line="247" w:lineRule="exact"/>
        <w:ind w:left="963"/>
        <w:rPr>
          <w:color w:val="auto"/>
        </w:rPr>
      </w:pPr>
      <w:r>
        <w:rPr>
          <w:color w:val="auto"/>
        </w:rPr>
        <w:t xml:space="preserve">5.本合同未尽事宜，双方另行补充。 </w:t>
      </w:r>
    </w:p>
    <w:p>
      <w:pPr>
        <w:pStyle w:val="8"/>
        <w:spacing w:before="158" w:line="362" w:lineRule="auto"/>
        <w:ind w:left="481" w:right="1784" w:firstLine="481"/>
        <w:rPr>
          <w:color w:val="auto"/>
        </w:rPr>
      </w:pPr>
      <w:r>
        <w:rPr>
          <w:color w:val="auto"/>
        </w:rPr>
        <w:t>6.</w:t>
      </w:r>
      <w:r>
        <w:rPr>
          <w:color w:val="auto"/>
          <w:spacing w:val="-5"/>
        </w:rPr>
        <w:t xml:space="preserve">甲方应当自合同签订之日起 </w:t>
      </w:r>
      <w:r>
        <w:rPr>
          <w:color w:val="auto"/>
        </w:rPr>
        <w:t>2</w:t>
      </w:r>
      <w:r>
        <w:rPr>
          <w:color w:val="auto"/>
          <w:spacing w:val="-10"/>
        </w:rPr>
        <w:t xml:space="preserve"> 个工作日，将合同在贵州省政府采购网上公告，但合同中涉及国家秘密、商业秘密的内容除外。</w:t>
      </w:r>
      <w:r>
        <w:rPr>
          <w:color w:val="auto"/>
        </w:rPr>
        <w:t xml:space="preserve"> </w:t>
      </w:r>
    </w:p>
    <w:p>
      <w:pPr>
        <w:pStyle w:val="8"/>
        <w:spacing w:before="2"/>
        <w:ind w:left="481"/>
        <w:rPr>
          <w:color w:val="auto"/>
        </w:rPr>
      </w:pPr>
      <w:r>
        <w:rPr>
          <w:color w:val="auto"/>
        </w:rPr>
        <w:t xml:space="preserve"> </w:t>
      </w:r>
    </w:p>
    <w:p>
      <w:pPr>
        <w:pStyle w:val="8"/>
        <w:spacing w:before="157" w:line="364" w:lineRule="auto"/>
        <w:ind w:left="481" w:right="4039"/>
        <w:rPr>
          <w:color w:val="auto"/>
        </w:rPr>
      </w:pPr>
      <w:r>
        <w:rPr>
          <w:color w:val="auto"/>
        </w:rPr>
        <w:t>甲    方 ：                           乙    方 ： 单 位 地 址 ：                     单 位 地 址 ： 法 定 代 表 人 ：               法 定 代 表 人 ： 委 托 代 理 人 ：               委 托 代 理 人 ： 电    话 ：                           电    话 ： 开 户 银 行 ：                     开 户 银 行 ：</w:t>
      </w:r>
      <w:bookmarkStart w:id="16" w:name="账    号：                            账    "/>
      <w:bookmarkEnd w:id="16"/>
      <w:r>
        <w:rPr>
          <w:color w:val="auto"/>
        </w:rPr>
        <w:t xml:space="preserve"> 账 号 ： 账 号 ： </w:t>
      </w:r>
    </w:p>
    <w:p>
      <w:pPr>
        <w:pStyle w:val="8"/>
        <w:spacing w:before="2"/>
        <w:ind w:left="481"/>
        <w:rPr>
          <w:color w:val="auto"/>
        </w:rPr>
      </w:pPr>
      <w:r>
        <w:rPr>
          <w:color w:val="auto"/>
        </w:rPr>
        <w:t xml:space="preserve"> </w:t>
      </w:r>
    </w:p>
    <w:p>
      <w:pPr>
        <w:pStyle w:val="8"/>
        <w:spacing w:before="158"/>
        <w:ind w:left="481"/>
        <w:rPr>
          <w:color w:val="auto"/>
        </w:rPr>
      </w:pPr>
      <w:r>
        <w:rPr>
          <w:color w:val="auto"/>
        </w:rPr>
        <w:t xml:space="preserve"> </w:t>
      </w:r>
    </w:p>
    <w:p>
      <w:pPr>
        <w:pStyle w:val="8"/>
        <w:spacing w:before="157"/>
        <w:ind w:left="481"/>
        <w:rPr>
          <w:color w:val="auto"/>
        </w:rPr>
      </w:pPr>
      <w:r>
        <w:rPr>
          <w:color w:val="auto"/>
        </w:rPr>
        <w:t xml:space="preserve"> </w:t>
      </w:r>
    </w:p>
    <w:p>
      <w:pPr>
        <w:spacing w:after="0"/>
        <w:rPr>
          <w:color w:val="auto"/>
        </w:rPr>
        <w:sectPr>
          <w:pgSz w:w="11910" w:h="16850"/>
          <w:pgMar w:top="1460" w:right="0" w:bottom="1160" w:left="1260" w:header="0" w:footer="891" w:gutter="0"/>
          <w:cols w:space="720" w:num="1"/>
        </w:sectPr>
      </w:pPr>
    </w:p>
    <w:p>
      <w:pPr>
        <w:pStyle w:val="2"/>
        <w:spacing w:before="21"/>
        <w:ind w:left="2660"/>
        <w:rPr>
          <w:color w:val="auto"/>
        </w:rPr>
      </w:pPr>
      <w:bookmarkStart w:id="17" w:name="第六章　响应文件格式"/>
      <w:bookmarkEnd w:id="17"/>
      <w:r>
        <w:rPr>
          <w:color w:val="auto"/>
        </w:rPr>
        <w:t>第六章 响应文件格式</w:t>
      </w:r>
      <w:r>
        <w:rPr>
          <w:color w:val="auto"/>
          <w:w w:val="99"/>
        </w:rPr>
        <w:t xml:space="preserve"> </w:t>
      </w:r>
    </w:p>
    <w:p>
      <w:pPr>
        <w:spacing w:before="244"/>
        <w:ind w:left="2419" w:right="0" w:firstLine="0"/>
        <w:jc w:val="left"/>
        <w:rPr>
          <w:b/>
          <w:color w:val="auto"/>
          <w:sz w:val="36"/>
        </w:rPr>
      </w:pPr>
      <w:r>
        <w:rPr>
          <w:b/>
          <w:color w:val="auto"/>
          <w:sz w:val="36"/>
        </w:rPr>
        <w:t>投标密封袋及文件封面格式</w:t>
      </w:r>
      <w:r>
        <w:rPr>
          <w:b/>
          <w:color w:val="auto"/>
          <w:w w:val="99"/>
          <w:sz w:val="36"/>
        </w:rPr>
        <w:t xml:space="preserve"> </w:t>
      </w:r>
    </w:p>
    <w:p>
      <w:pPr>
        <w:pStyle w:val="8"/>
        <w:rPr>
          <w:b/>
          <w:color w:val="auto"/>
          <w:sz w:val="20"/>
        </w:rPr>
      </w:pPr>
    </w:p>
    <w:p>
      <w:pPr>
        <w:pStyle w:val="8"/>
        <w:rPr>
          <w:b/>
          <w:color w:val="auto"/>
          <w:sz w:val="20"/>
        </w:rPr>
      </w:pPr>
    </w:p>
    <w:p>
      <w:pPr>
        <w:pStyle w:val="8"/>
        <w:rPr>
          <w:b/>
          <w:color w:val="auto"/>
          <w:sz w:val="20"/>
        </w:rPr>
      </w:pPr>
    </w:p>
    <w:p>
      <w:pPr>
        <w:pStyle w:val="4"/>
        <w:spacing w:before="202"/>
        <w:rPr>
          <w:color w:val="auto"/>
        </w:rPr>
      </w:pPr>
      <w:r>
        <w:rPr>
          <w:color w:val="auto"/>
          <w:w w:val="100"/>
        </w:rPr>
        <w:t xml:space="preserve"> </w:t>
      </w:r>
      <w:r>
        <w:rPr>
          <w:color w:val="auto"/>
          <w:spacing w:val="-8"/>
          <w:w w:val="100"/>
        </w:rPr>
        <w:t xml:space="preserve"> </w:t>
      </w:r>
      <w:r>
        <w:rPr>
          <w:color w:val="auto"/>
          <w:spacing w:val="22"/>
          <w:w w:val="100"/>
        </w:rPr>
        <w:t xml:space="preserve"> </w:t>
      </w:r>
      <w:r>
        <w:rPr>
          <w:color w:val="auto"/>
          <w:spacing w:val="-23"/>
          <w:w w:val="100"/>
        </w:rPr>
        <w:t xml:space="preserve"> </w:t>
      </w:r>
      <w:r>
        <w:rPr>
          <w:color w:val="auto"/>
          <w:spacing w:val="22"/>
          <w:w w:val="100"/>
        </w:rPr>
        <w:t xml:space="preserve"> </w:t>
      </w:r>
      <w:r>
        <w:rPr>
          <w:color w:val="auto"/>
          <w:spacing w:val="-23"/>
          <w:w w:val="100"/>
        </w:rPr>
        <w:t xml:space="preserve"> </w:t>
      </w:r>
      <w:r>
        <w:rPr>
          <w:color w:val="auto"/>
          <w:spacing w:val="22"/>
          <w:w w:val="100"/>
        </w:rPr>
        <w:t xml:space="preserve"> </w:t>
      </w:r>
      <w:r>
        <w:rPr>
          <w:color w:val="auto"/>
          <w:spacing w:val="-23"/>
          <w:w w:val="100"/>
        </w:rPr>
        <w:t xml:space="preserve"> </w:t>
      </w:r>
      <w:r>
        <w:rPr>
          <w:color w:val="auto"/>
          <w:spacing w:val="-38"/>
          <w:w w:val="100"/>
        </w:rPr>
        <w:t xml:space="preserve"> </w:t>
      </w:r>
      <w:r>
        <w:rPr>
          <w:color w:val="auto"/>
          <w:spacing w:val="22"/>
          <w:w w:val="100"/>
        </w:rPr>
        <w:t xml:space="preserve">  </w:t>
      </w:r>
      <w:r>
        <w:rPr>
          <w:color w:val="auto"/>
          <w:spacing w:val="-23"/>
          <w:w w:val="100"/>
        </w:rPr>
        <w:t xml:space="preserve"> </w:t>
      </w:r>
      <w:r>
        <w:rPr>
          <w:color w:val="auto"/>
          <w:spacing w:val="22"/>
          <w:w w:val="100"/>
        </w:rPr>
        <w:t xml:space="preserve"> </w:t>
      </w:r>
      <w:r>
        <w:rPr>
          <w:color w:val="auto"/>
          <w:spacing w:val="-23"/>
          <w:w w:val="100"/>
        </w:rPr>
        <w:t xml:space="preserve"> </w:t>
      </w:r>
      <w:r>
        <w:rPr>
          <w:color w:val="auto"/>
          <w:spacing w:val="22"/>
          <w:w w:val="100"/>
        </w:rPr>
        <w:t xml:space="preserve"> </w:t>
      </w:r>
      <w:r>
        <w:rPr>
          <w:color w:val="auto"/>
          <w:spacing w:val="-23"/>
          <w:w w:val="100"/>
        </w:rPr>
        <w:t xml:space="preserve"> </w:t>
      </w:r>
      <w:r>
        <w:rPr>
          <w:color w:val="auto"/>
          <w:spacing w:val="-38"/>
          <w:w w:val="100"/>
        </w:rPr>
        <w:t xml:space="preserve"> </w:t>
      </w:r>
      <w:r>
        <w:rPr>
          <w:color w:val="auto"/>
          <w:spacing w:val="22"/>
          <w:w w:val="100"/>
        </w:rPr>
        <w:t xml:space="preserve">  </w:t>
      </w:r>
      <w:r>
        <w:rPr>
          <w:color w:val="auto"/>
          <w:spacing w:val="-23"/>
          <w:w w:val="100"/>
        </w:rPr>
        <w:t xml:space="preserve"> </w:t>
      </w:r>
      <w:r>
        <w:rPr>
          <w:color w:val="auto"/>
          <w:spacing w:val="22"/>
          <w:w w:val="100"/>
        </w:rPr>
        <w:t xml:space="preserve">           </w:t>
      </w:r>
      <w:r>
        <w:rPr>
          <w:color w:val="auto"/>
          <w:spacing w:val="-108"/>
        </w:rPr>
        <w:t xml:space="preserve"> </w:t>
      </w:r>
      <w:r>
        <w:rPr>
          <w:color w:val="auto"/>
          <w:spacing w:val="15"/>
        </w:rPr>
        <w:t>注:投标文件标明</w:t>
      </w:r>
      <w:r>
        <w:rPr>
          <w:color w:val="auto"/>
          <w:spacing w:val="15"/>
          <w:u w:val="single"/>
        </w:rPr>
        <w:t>正本或副本</w:t>
      </w:r>
      <w:r>
        <w:rPr>
          <w:color w:val="auto"/>
          <w:w w:val="100"/>
        </w:rPr>
        <w:t xml:space="preserve"> </w:t>
      </w:r>
    </w:p>
    <w:p>
      <w:pPr>
        <w:pStyle w:val="8"/>
        <w:spacing w:before="2"/>
        <w:rPr>
          <w:b/>
          <w:color w:val="auto"/>
          <w:sz w:val="23"/>
        </w:rPr>
      </w:pPr>
    </w:p>
    <w:p>
      <w:pPr>
        <w:spacing w:before="65"/>
        <w:ind w:left="3531" w:right="0" w:firstLine="0"/>
        <w:jc w:val="left"/>
        <w:rPr>
          <w:color w:val="auto"/>
          <w:sz w:val="28"/>
        </w:rPr>
      </w:pPr>
      <w:r>
        <w:rPr>
          <w:color w:val="auto"/>
          <w:sz w:val="28"/>
        </w:rPr>
        <w:t xml:space="preserve">（政府采购）项目 </w:t>
      </w:r>
    </w:p>
    <w:p>
      <w:pPr>
        <w:pStyle w:val="8"/>
        <w:spacing w:before="2"/>
        <w:rPr>
          <w:color w:val="auto"/>
          <w:sz w:val="30"/>
        </w:rPr>
      </w:pPr>
    </w:p>
    <w:p>
      <w:pPr>
        <w:spacing w:before="0" w:line="484" w:lineRule="auto"/>
        <w:ind w:left="4477" w:right="5614" w:firstLine="0"/>
        <w:jc w:val="both"/>
        <w:rPr>
          <w:b/>
          <w:color w:val="auto"/>
          <w:sz w:val="36"/>
        </w:rPr>
      </w:pPr>
      <w:r>
        <w:rPr>
          <w:b/>
          <w:color w:val="auto"/>
          <w:sz w:val="36"/>
        </w:rPr>
        <w:t>响应文件</w:t>
      </w:r>
      <w:r>
        <w:rPr>
          <w:b/>
          <w:color w:val="auto"/>
          <w:w w:val="99"/>
          <w:sz w:val="36"/>
        </w:rPr>
        <w:t xml:space="preserve"> </w:t>
      </w:r>
    </w:p>
    <w:p>
      <w:pPr>
        <w:pStyle w:val="8"/>
        <w:rPr>
          <w:b/>
          <w:color w:val="auto"/>
          <w:sz w:val="20"/>
        </w:rPr>
      </w:pPr>
    </w:p>
    <w:p>
      <w:pPr>
        <w:pStyle w:val="8"/>
        <w:rPr>
          <w:b/>
          <w:color w:val="auto"/>
          <w:sz w:val="20"/>
        </w:rPr>
      </w:pPr>
    </w:p>
    <w:p>
      <w:pPr>
        <w:pStyle w:val="8"/>
        <w:spacing w:before="2"/>
        <w:rPr>
          <w:b/>
          <w:color w:val="auto"/>
          <w:sz w:val="17"/>
        </w:rPr>
      </w:pPr>
    </w:p>
    <w:p>
      <w:pPr>
        <w:spacing w:before="65"/>
        <w:ind w:left="948" w:right="0" w:firstLine="0"/>
        <w:jc w:val="left"/>
        <w:rPr>
          <w:color w:val="auto"/>
          <w:sz w:val="28"/>
        </w:rPr>
      </w:pPr>
      <w:r>
        <w:rPr>
          <w:color w:val="auto"/>
          <w:sz w:val="28"/>
        </w:rPr>
        <w:t>采购项目名称:</w:t>
      </w:r>
      <w:r>
        <w:rPr>
          <w:color w:val="auto"/>
          <w:spacing w:val="-3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21"/>
          <w:sz w:val="28"/>
          <w:u w:val="single"/>
        </w:rPr>
        <w:t xml:space="preserve"> </w:t>
      </w:r>
      <w:r>
        <w:rPr>
          <w:color w:val="auto"/>
          <w:sz w:val="28"/>
        </w:rPr>
        <w:t xml:space="preserve"> </w:t>
      </w:r>
    </w:p>
    <w:p>
      <w:pPr>
        <w:pStyle w:val="8"/>
        <w:spacing w:before="2"/>
        <w:rPr>
          <w:color w:val="auto"/>
          <w:sz w:val="23"/>
        </w:rPr>
      </w:pPr>
    </w:p>
    <w:p>
      <w:pPr>
        <w:spacing w:before="65"/>
        <w:ind w:left="948" w:right="0" w:firstLine="0"/>
        <w:jc w:val="left"/>
        <w:rPr>
          <w:color w:val="auto"/>
          <w:sz w:val="28"/>
        </w:rPr>
      </w:pPr>
      <w:r>
        <w:rPr>
          <w:color w:val="auto"/>
          <w:sz w:val="28"/>
        </w:rPr>
        <w:t>采购项目编号:</w:t>
      </w:r>
      <w:r>
        <w:rPr>
          <w:color w:val="auto"/>
          <w:spacing w:val="-3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21"/>
          <w:sz w:val="28"/>
          <w:u w:val="single"/>
        </w:rPr>
        <w:t xml:space="preserve"> </w:t>
      </w:r>
      <w:r>
        <w:rPr>
          <w:color w:val="auto"/>
          <w:sz w:val="28"/>
        </w:rPr>
        <w:t xml:space="preserve"> </w:t>
      </w:r>
    </w:p>
    <w:p>
      <w:pPr>
        <w:pStyle w:val="8"/>
        <w:spacing w:before="5"/>
        <w:rPr>
          <w:color w:val="auto"/>
        </w:rPr>
      </w:pPr>
    </w:p>
    <w:p>
      <w:pPr>
        <w:spacing w:before="65"/>
        <w:ind w:left="948" w:right="0" w:firstLine="0"/>
        <w:jc w:val="left"/>
        <w:rPr>
          <w:color w:val="auto"/>
          <w:sz w:val="28"/>
        </w:rPr>
      </w:pPr>
      <w:r>
        <w:rPr>
          <w:color w:val="auto"/>
          <w:sz w:val="28"/>
        </w:rPr>
        <w:t>投标单位名称:</w:t>
      </w:r>
      <w:r>
        <w:rPr>
          <w:color w:val="auto"/>
          <w:spacing w:val="64"/>
          <w:sz w:val="28"/>
          <w:u w:val="single"/>
        </w:rPr>
        <w:t xml:space="preserve"> </w:t>
      </w:r>
      <w:r>
        <w:rPr>
          <w:color w:val="auto"/>
          <w:sz w:val="28"/>
          <w:u w:val="single"/>
        </w:rPr>
        <w:t>（请盖单位公章）</w:t>
      </w:r>
      <w:r>
        <w:rPr>
          <w:color w:val="auto"/>
          <w:spacing w:val="-3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9"/>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6"/>
          <w:sz w:val="28"/>
          <w:u w:val="single"/>
        </w:rPr>
        <w:t xml:space="preserve"> </w:t>
      </w:r>
      <w:r>
        <w:rPr>
          <w:color w:val="auto"/>
          <w:spacing w:val="7"/>
          <w:sz w:val="28"/>
          <w:u w:val="single"/>
        </w:rPr>
        <w:t xml:space="preserve"> </w:t>
      </w:r>
      <w:r>
        <w:rPr>
          <w:color w:val="auto"/>
          <w:spacing w:val="-22"/>
          <w:sz w:val="28"/>
          <w:u w:val="single"/>
        </w:rPr>
        <w:t xml:space="preserve"> </w:t>
      </w:r>
      <w:r>
        <w:rPr>
          <w:color w:val="auto"/>
          <w:spacing w:val="7"/>
          <w:sz w:val="28"/>
          <w:u w:val="single"/>
        </w:rPr>
        <w:t xml:space="preserve"> </w:t>
      </w:r>
      <w:r>
        <w:rPr>
          <w:color w:val="auto"/>
          <w:sz w:val="28"/>
        </w:rPr>
        <w:t xml:space="preserve"> </w:t>
      </w:r>
    </w:p>
    <w:p>
      <w:pPr>
        <w:pStyle w:val="8"/>
        <w:spacing w:before="2"/>
        <w:rPr>
          <w:color w:val="auto"/>
          <w:sz w:val="23"/>
        </w:rPr>
      </w:pPr>
    </w:p>
    <w:p>
      <w:pPr>
        <w:tabs>
          <w:tab w:val="left" w:pos="8051"/>
        </w:tabs>
        <w:spacing w:before="65"/>
        <w:ind w:left="948" w:right="0" w:firstLine="0"/>
        <w:jc w:val="left"/>
        <w:rPr>
          <w:color w:val="auto"/>
          <w:sz w:val="28"/>
        </w:rPr>
      </w:pPr>
      <w:r>
        <w:rPr>
          <w:color w:val="auto"/>
          <w:sz w:val="28"/>
        </w:rPr>
        <w:t xml:space="preserve">地      </w:t>
      </w:r>
      <w:r>
        <w:rPr>
          <w:color w:val="auto"/>
          <w:spacing w:val="15"/>
          <w:sz w:val="28"/>
        </w:rPr>
        <w:t xml:space="preserve"> </w:t>
      </w:r>
      <w:r>
        <w:rPr>
          <w:color w:val="auto"/>
          <w:sz w:val="28"/>
        </w:rPr>
        <w:t xml:space="preserve">址 </w:t>
      </w:r>
      <w:r>
        <w:rPr>
          <w:color w:val="auto"/>
          <w:spacing w:val="7"/>
          <w:sz w:val="28"/>
        </w:rPr>
        <w:t>:</w:t>
      </w:r>
      <w:r>
        <w:rPr>
          <w:color w:val="auto"/>
          <w:spacing w:val="-23"/>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11"/>
          <w:sz w:val="28"/>
          <w:u w:val="single"/>
        </w:rPr>
        <w:t xml:space="preserve"> </w:t>
      </w:r>
      <w:r>
        <w:rPr>
          <w:color w:val="auto"/>
          <w:sz w:val="28"/>
          <w:u w:val="single"/>
        </w:rPr>
        <w:t xml:space="preserve"> </w:t>
      </w:r>
      <w:r>
        <w:rPr>
          <w:color w:val="auto"/>
          <w:sz w:val="28"/>
          <w:u w:val="single"/>
        </w:rPr>
        <w:tab/>
      </w:r>
      <w:r>
        <w:rPr>
          <w:color w:val="auto"/>
          <w:spacing w:val="-8"/>
          <w:w w:val="101"/>
          <w:sz w:val="28"/>
          <w:u w:val="single"/>
        </w:rPr>
        <w:t xml:space="preserve"> </w:t>
      </w:r>
      <w:r>
        <w:rPr>
          <w:color w:val="auto"/>
          <w:spacing w:val="7"/>
          <w:w w:val="101"/>
          <w:sz w:val="28"/>
          <w:u w:val="single"/>
        </w:rPr>
        <w:t xml:space="preserve"> </w:t>
      </w:r>
      <w:r>
        <w:rPr>
          <w:color w:val="auto"/>
          <w:spacing w:val="-8"/>
          <w:w w:val="101"/>
          <w:sz w:val="28"/>
          <w:u w:val="single"/>
        </w:rPr>
        <w:t xml:space="preserve"> </w:t>
      </w:r>
      <w:r>
        <w:rPr>
          <w:color w:val="auto"/>
          <w:spacing w:val="8"/>
          <w:w w:val="101"/>
          <w:sz w:val="28"/>
          <w:u w:val="single"/>
        </w:rPr>
        <w:t xml:space="preserve"> </w:t>
      </w:r>
      <w:r>
        <w:rPr>
          <w:color w:val="auto"/>
          <w:w w:val="101"/>
          <w:sz w:val="28"/>
        </w:rPr>
        <w:t xml:space="preserve"> </w:t>
      </w:r>
    </w:p>
    <w:p>
      <w:pPr>
        <w:pStyle w:val="8"/>
        <w:spacing w:before="4"/>
        <w:rPr>
          <w:color w:val="auto"/>
        </w:rPr>
      </w:pPr>
    </w:p>
    <w:p>
      <w:pPr>
        <w:spacing w:before="65"/>
        <w:ind w:left="948" w:right="0" w:firstLine="0"/>
        <w:jc w:val="left"/>
        <w:rPr>
          <w:color w:val="auto"/>
          <w:sz w:val="28"/>
        </w:rPr>
      </w:pPr>
      <w:r>
        <w:rPr>
          <w:color w:val="auto"/>
          <w:sz w:val="28"/>
        </w:rPr>
        <w:t>联   系  人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21"/>
          <w:sz w:val="28"/>
          <w:u w:val="single"/>
        </w:rPr>
        <w:t xml:space="preserve"> </w:t>
      </w:r>
      <w:r>
        <w:rPr>
          <w:color w:val="auto"/>
          <w:sz w:val="28"/>
        </w:rPr>
        <w:t xml:space="preserve"> </w:t>
      </w:r>
    </w:p>
    <w:p>
      <w:pPr>
        <w:pStyle w:val="8"/>
        <w:spacing w:before="3"/>
        <w:rPr>
          <w:color w:val="auto"/>
          <w:sz w:val="23"/>
        </w:rPr>
      </w:pPr>
    </w:p>
    <w:p>
      <w:pPr>
        <w:spacing w:before="65"/>
        <w:ind w:left="948" w:right="0" w:firstLine="0"/>
        <w:jc w:val="left"/>
        <w:rPr>
          <w:b/>
          <w:color w:val="auto"/>
          <w:sz w:val="28"/>
        </w:rPr>
      </w:pPr>
      <w:r>
        <w:rPr>
          <w:color w:val="auto"/>
          <w:sz w:val="28"/>
        </w:rPr>
        <w:t>联 系 电 话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23"/>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8"/>
          <w:sz w:val="28"/>
          <w:u w:val="single"/>
        </w:rPr>
        <w:t xml:space="preserve"> </w:t>
      </w:r>
      <w:r>
        <w:rPr>
          <w:color w:val="auto"/>
          <w:spacing w:val="7"/>
          <w:sz w:val="28"/>
          <w:u w:val="single"/>
        </w:rPr>
        <w:t xml:space="preserve"> </w:t>
      </w:r>
      <w:r>
        <w:rPr>
          <w:color w:val="auto"/>
          <w:spacing w:val="-9"/>
          <w:sz w:val="28"/>
          <w:u w:val="single"/>
        </w:rPr>
        <w:t xml:space="preserve"> </w:t>
      </w:r>
      <w:r>
        <w:rPr>
          <w:b/>
          <w:color w:val="auto"/>
          <w:spacing w:val="22"/>
          <w:w w:val="100"/>
          <w:sz w:val="28"/>
          <w:u w:val="single"/>
        </w:rPr>
        <w:t xml:space="preserve"> </w:t>
      </w:r>
      <w:r>
        <w:rPr>
          <w:b/>
          <w:color w:val="auto"/>
          <w:w w:val="100"/>
          <w:sz w:val="28"/>
        </w:rPr>
        <w:t xml:space="preserve"> </w:t>
      </w:r>
    </w:p>
    <w:p>
      <w:pPr>
        <w:pStyle w:val="8"/>
        <w:spacing w:before="2"/>
        <w:rPr>
          <w:b/>
          <w:color w:val="auto"/>
          <w:sz w:val="23"/>
        </w:rPr>
      </w:pPr>
    </w:p>
    <w:p>
      <w:pPr>
        <w:spacing w:before="65"/>
        <w:ind w:left="0" w:right="379" w:firstLine="0"/>
        <w:jc w:val="center"/>
        <w:rPr>
          <w:b/>
          <w:color w:val="auto"/>
          <w:sz w:val="28"/>
        </w:rPr>
      </w:pPr>
      <w:r>
        <w:rPr>
          <w:b/>
          <w:color w:val="auto"/>
          <w:w w:val="100"/>
          <w:sz w:val="28"/>
        </w:rPr>
        <w:t xml:space="preserve"> </w:t>
      </w:r>
    </w:p>
    <w:p>
      <w:pPr>
        <w:spacing w:before="197"/>
        <w:ind w:left="0" w:right="379" w:firstLine="0"/>
        <w:jc w:val="center"/>
        <w:rPr>
          <w:b/>
          <w:color w:val="auto"/>
          <w:sz w:val="28"/>
        </w:rPr>
      </w:pPr>
      <w:r>
        <w:rPr>
          <w:b/>
          <w:color w:val="auto"/>
          <w:w w:val="100"/>
          <w:sz w:val="28"/>
        </w:rPr>
        <w:t xml:space="preserve"> </w:t>
      </w:r>
    </w:p>
    <w:p>
      <w:pPr>
        <w:spacing w:before="181"/>
        <w:ind w:left="0" w:right="379" w:firstLine="0"/>
        <w:jc w:val="center"/>
        <w:rPr>
          <w:b/>
          <w:color w:val="auto"/>
          <w:sz w:val="28"/>
        </w:rPr>
      </w:pPr>
      <w:r>
        <w:rPr>
          <w:b/>
          <w:color w:val="auto"/>
          <w:w w:val="100"/>
          <w:sz w:val="28"/>
        </w:rPr>
        <w:t xml:space="preserve"> </w:t>
      </w:r>
    </w:p>
    <w:p>
      <w:pPr>
        <w:spacing w:after="0"/>
        <w:jc w:val="center"/>
        <w:rPr>
          <w:color w:val="auto"/>
          <w:sz w:val="28"/>
        </w:rPr>
        <w:sectPr>
          <w:pgSz w:w="11910" w:h="16850"/>
          <w:pgMar w:top="1400" w:right="0" w:bottom="1160" w:left="1260" w:header="0" w:footer="891" w:gutter="0"/>
          <w:cols w:space="720" w:num="1"/>
        </w:sectPr>
      </w:pPr>
    </w:p>
    <w:p>
      <w:pPr>
        <w:pStyle w:val="8"/>
        <w:rPr>
          <w:b/>
          <w:color w:val="auto"/>
        </w:rPr>
      </w:pPr>
    </w:p>
    <w:p>
      <w:pPr>
        <w:pStyle w:val="8"/>
        <w:spacing w:before="6"/>
        <w:rPr>
          <w:b/>
          <w:color w:val="auto"/>
          <w:sz w:val="19"/>
        </w:rPr>
      </w:pPr>
    </w:p>
    <w:p>
      <w:pPr>
        <w:pStyle w:val="8"/>
        <w:ind w:left="481"/>
        <w:rPr>
          <w:color w:val="auto"/>
        </w:rPr>
      </w:pPr>
      <w:r>
        <w:rPr>
          <w:color w:val="auto"/>
        </w:rPr>
        <w:t xml:space="preserve">致：（业主） </w:t>
      </w:r>
    </w:p>
    <w:p>
      <w:pPr>
        <w:pStyle w:val="2"/>
        <w:spacing w:before="31"/>
        <w:ind w:left="481"/>
        <w:rPr>
          <w:color w:val="auto"/>
        </w:rPr>
      </w:pPr>
      <w:r>
        <w:rPr>
          <w:b w:val="0"/>
          <w:color w:val="auto"/>
        </w:rPr>
        <w:br w:type="column"/>
      </w:r>
      <w:r>
        <w:rPr>
          <w:color w:val="auto"/>
        </w:rPr>
        <w:t>一 谈判响应声明函</w:t>
      </w:r>
      <w:r>
        <w:rPr>
          <w:color w:val="auto"/>
          <w:w w:val="99"/>
        </w:rPr>
        <w:t xml:space="preserve"> </w:t>
      </w:r>
    </w:p>
    <w:p>
      <w:pPr>
        <w:spacing w:after="0"/>
        <w:rPr>
          <w:color w:val="auto"/>
        </w:rPr>
        <w:sectPr>
          <w:pgSz w:w="11910" w:h="16850"/>
          <w:pgMar w:top="1360" w:right="0" w:bottom="1160" w:left="1260" w:header="0" w:footer="891" w:gutter="0"/>
          <w:cols w:equalWidth="0" w:num="2">
            <w:col w:w="2085" w:space="409"/>
            <w:col w:w="8156"/>
          </w:cols>
        </w:sectPr>
      </w:pPr>
    </w:p>
    <w:p>
      <w:pPr>
        <w:pStyle w:val="8"/>
        <w:spacing w:before="82" w:line="316" w:lineRule="auto"/>
        <w:ind w:left="481" w:right="1769" w:firstLine="481"/>
        <w:jc w:val="both"/>
        <w:rPr>
          <w:color w:val="auto"/>
        </w:rPr>
      </w:pPr>
      <w:r>
        <w:rPr>
          <w:color w:val="auto"/>
        </w:rPr>
        <w:t>根据贵方为</w:t>
      </w:r>
      <w:r>
        <w:rPr>
          <w:color w:val="auto"/>
          <w:u w:val="single"/>
        </w:rPr>
        <w:t xml:space="preserve"> （项目名称） </w:t>
      </w:r>
      <w:r>
        <w:rPr>
          <w:color w:val="auto"/>
          <w:spacing w:val="-1"/>
        </w:rPr>
        <w:t>项目的招标公告，签字代表</w:t>
      </w:r>
      <w:r>
        <w:rPr>
          <w:color w:val="auto"/>
          <w:u w:val="single"/>
        </w:rPr>
        <w:t>（</w:t>
      </w:r>
      <w:r>
        <w:rPr>
          <w:color w:val="auto"/>
          <w:spacing w:val="-4"/>
          <w:u w:val="single"/>
        </w:rPr>
        <w:t>姓名、职务</w:t>
      </w:r>
      <w:r>
        <w:rPr>
          <w:color w:val="auto"/>
          <w:u w:val="single"/>
        </w:rPr>
        <w:t>）</w:t>
      </w:r>
      <w:r>
        <w:rPr>
          <w:color w:val="auto"/>
        </w:rPr>
        <w:t>经正式授权并代表投标人</w:t>
      </w:r>
      <w:r>
        <w:rPr>
          <w:color w:val="auto"/>
          <w:u w:val="single"/>
        </w:rPr>
        <w:t>（投标人名称、地址</w:t>
      </w:r>
      <w:r>
        <w:rPr>
          <w:color w:val="auto"/>
          <w:spacing w:val="14"/>
          <w:u w:val="single"/>
        </w:rPr>
        <w:t>）</w:t>
      </w:r>
      <w:r>
        <w:rPr>
          <w:color w:val="auto"/>
          <w:spacing w:val="1"/>
        </w:rPr>
        <w:t>提交本项目投标文件正本</w:t>
      </w:r>
      <w:r>
        <w:rPr>
          <w:color w:val="auto"/>
          <w:u w:val="single"/>
        </w:rPr>
        <w:t>（</w:t>
      </w:r>
      <w:r>
        <w:rPr>
          <w:color w:val="auto"/>
          <w:spacing w:val="119"/>
          <w:u w:val="single"/>
        </w:rPr>
        <w:t xml:space="preserve"> </w:t>
      </w:r>
      <w:r>
        <w:rPr>
          <w:color w:val="auto"/>
          <w:u w:val="single"/>
        </w:rPr>
        <w:t>）</w:t>
      </w:r>
      <w:r>
        <w:rPr>
          <w:color w:val="auto"/>
        </w:rPr>
        <w:t>份及副本</w:t>
      </w:r>
      <w:r>
        <w:rPr>
          <w:color w:val="auto"/>
          <w:u w:val="single"/>
        </w:rPr>
        <w:t>（ ）</w:t>
      </w:r>
      <w:r>
        <w:rPr>
          <w:color w:val="auto"/>
          <w:spacing w:val="-1"/>
        </w:rPr>
        <w:t>份。据此函，签字代表宣布同意如下：</w:t>
      </w:r>
      <w:r>
        <w:rPr>
          <w:color w:val="auto"/>
        </w:rPr>
        <w:t xml:space="preserve"> </w:t>
      </w:r>
    </w:p>
    <w:p>
      <w:pPr>
        <w:pStyle w:val="8"/>
        <w:spacing w:line="291" w:lineRule="exact"/>
        <w:ind w:left="993"/>
        <w:rPr>
          <w:color w:val="auto"/>
        </w:rPr>
      </w:pPr>
      <w:r>
        <w:rPr>
          <w:color w:val="auto"/>
        </w:rPr>
        <w:t>1、所附投标价格表中规定的应提交和交付的货物投标总价为</w:t>
      </w:r>
      <w:r>
        <w:rPr>
          <w:color w:val="auto"/>
          <w:u w:val="single"/>
        </w:rPr>
        <w:t>（注明币种，</w:t>
      </w:r>
    </w:p>
    <w:p>
      <w:pPr>
        <w:pStyle w:val="8"/>
        <w:spacing w:before="98"/>
        <w:ind w:left="993"/>
        <w:rPr>
          <w:color w:val="auto"/>
        </w:rPr>
      </w:pPr>
      <w:r>
        <w:rPr>
          <w:color w:val="auto"/>
          <w:u w:val="single"/>
        </w:rPr>
        <w:t>并用文字和数字表示投标总价）（必须按要求填写清楚）</w:t>
      </w:r>
      <w:r>
        <w:rPr>
          <w:color w:val="auto"/>
        </w:rPr>
        <w:t xml:space="preserve">。 </w:t>
      </w:r>
    </w:p>
    <w:p>
      <w:pPr>
        <w:pStyle w:val="8"/>
        <w:spacing w:before="98"/>
        <w:ind w:left="993"/>
        <w:rPr>
          <w:color w:val="auto"/>
        </w:rPr>
      </w:pPr>
      <w:r>
        <w:rPr>
          <w:color w:val="auto"/>
        </w:rPr>
        <w:t>2、交货期：</w:t>
      </w:r>
      <w:r>
        <w:rPr>
          <w:color w:val="auto"/>
          <w:u w:val="single"/>
        </w:rPr>
        <w:t xml:space="preserve"> （日历天）</w:t>
      </w:r>
      <w:r>
        <w:rPr>
          <w:color w:val="auto"/>
        </w:rPr>
        <w:t>，保修期：</w:t>
      </w:r>
      <w:r>
        <w:rPr>
          <w:color w:val="auto"/>
          <w:u w:val="single"/>
        </w:rPr>
        <w:t xml:space="preserve"> （月）</w:t>
      </w:r>
      <w:r>
        <w:rPr>
          <w:color w:val="auto"/>
        </w:rPr>
        <w:t xml:space="preserve">。 </w:t>
      </w:r>
    </w:p>
    <w:p>
      <w:pPr>
        <w:pStyle w:val="8"/>
        <w:spacing w:before="83"/>
        <w:ind w:left="993"/>
        <w:rPr>
          <w:color w:val="auto"/>
        </w:rPr>
      </w:pPr>
      <w:r>
        <w:rPr>
          <w:color w:val="auto"/>
        </w:rPr>
        <w:t xml:space="preserve">3、投标人将按招标文件的规定履行合同责任和义务。 </w:t>
      </w:r>
    </w:p>
    <w:p>
      <w:pPr>
        <w:pStyle w:val="8"/>
        <w:spacing w:before="97" w:line="316" w:lineRule="auto"/>
        <w:ind w:left="993" w:right="1794"/>
        <w:rPr>
          <w:color w:val="auto"/>
        </w:rPr>
      </w:pPr>
      <w:r>
        <w:rPr>
          <w:color w:val="auto"/>
        </w:rPr>
        <w:t xml:space="preserve">4、投标人已详细阅读了全部招标文件，包括更正公告（如有）。我们完全理解并同意放弃对这方面有不明及误解的权力。 </w:t>
      </w:r>
    </w:p>
    <w:p>
      <w:pPr>
        <w:pStyle w:val="8"/>
        <w:spacing w:line="292" w:lineRule="exact"/>
        <w:ind w:left="993"/>
        <w:rPr>
          <w:color w:val="auto"/>
        </w:rPr>
      </w:pPr>
      <w:r>
        <w:rPr>
          <w:color w:val="auto"/>
        </w:rPr>
        <w:t>5、本投标有效期为开标日起</w:t>
      </w:r>
      <w:r>
        <w:rPr>
          <w:color w:val="auto"/>
          <w:u w:val="single"/>
        </w:rPr>
        <w:t xml:space="preserve"> </w:t>
      </w:r>
      <w:r>
        <w:rPr>
          <w:color w:val="auto"/>
        </w:rPr>
        <w:t xml:space="preserve">个日历日。 </w:t>
      </w:r>
    </w:p>
    <w:p>
      <w:pPr>
        <w:pStyle w:val="8"/>
        <w:spacing w:before="98"/>
        <w:ind w:left="993"/>
        <w:rPr>
          <w:color w:val="auto"/>
        </w:rPr>
      </w:pPr>
      <w:r>
        <w:rPr>
          <w:color w:val="auto"/>
        </w:rPr>
        <w:t xml:space="preserve">6、投标人同意提供按照贵方可能要求的与其投标有关的一切数据或资料。 </w:t>
      </w:r>
    </w:p>
    <w:p>
      <w:pPr>
        <w:pStyle w:val="8"/>
        <w:spacing w:before="98"/>
        <w:ind w:left="993"/>
        <w:rPr>
          <w:color w:val="auto"/>
        </w:rPr>
      </w:pPr>
      <w:r>
        <w:rPr>
          <w:color w:val="auto"/>
        </w:rPr>
        <w:t xml:space="preserve">7、完全理解贵方不一定要接受最低价的投标或收到的任何投标。 </w:t>
      </w:r>
    </w:p>
    <w:p>
      <w:pPr>
        <w:pStyle w:val="8"/>
        <w:spacing w:before="83" w:line="312" w:lineRule="auto"/>
        <w:ind w:left="481" w:right="1778"/>
        <w:jc w:val="both"/>
        <w:rPr>
          <w:color w:val="auto"/>
        </w:rPr>
      </w:pPr>
      <w:r>
        <w:rPr>
          <w:color w:val="auto"/>
        </w:rPr>
        <w:t xml:space="preserve">    8、我单位承诺满足招标文件要求的付款方式和条件。我方在参与投标前已</w:t>
      </w:r>
      <w:r>
        <w:rPr>
          <w:color w:val="auto"/>
          <w:spacing w:val="-2"/>
        </w:rPr>
        <w:t>仔细研究了招标文件和所有相关资料，我方完全明白并认为此招标文件没有倾向</w:t>
      </w:r>
      <w:r>
        <w:rPr>
          <w:color w:val="auto"/>
          <w:spacing w:val="-6"/>
        </w:rPr>
        <w:t>性，也没有存在排斥潜在投标人的内容，我方同意招标文件的相关条款，放弃对招标文件提出误解和质疑的一切权利。</w:t>
      </w:r>
      <w:r>
        <w:rPr>
          <w:color w:val="auto"/>
        </w:rPr>
        <w:t xml:space="preserve"> </w:t>
      </w:r>
    </w:p>
    <w:p>
      <w:pPr>
        <w:pStyle w:val="8"/>
        <w:spacing w:before="7" w:line="309" w:lineRule="auto"/>
        <w:ind w:left="481" w:right="1798"/>
        <w:jc w:val="both"/>
        <w:rPr>
          <w:color w:val="auto"/>
        </w:rPr>
      </w:pPr>
      <w:r>
        <w:rPr>
          <w:color w:val="auto"/>
        </w:rPr>
        <w:t xml:space="preserve">    9、我方声明投标文件及所提供的一切资料均真实无误及有效。由于我方提供资料不实而造成的责任和后果由我方承担。我方同意按照贵方可能提出的要求，提供与投标有关的任何其它数据或信息。 </w:t>
      </w:r>
    </w:p>
    <w:p>
      <w:pPr>
        <w:pStyle w:val="8"/>
        <w:spacing w:before="11" w:line="314" w:lineRule="auto"/>
        <w:ind w:left="481" w:right="1778"/>
        <w:jc w:val="both"/>
        <w:rPr>
          <w:color w:val="auto"/>
        </w:rPr>
      </w:pPr>
      <w:r>
        <w:rPr>
          <w:color w:val="auto"/>
        </w:rPr>
        <w:t xml:space="preserve">   10、我方保证，采购人在中华人民共和国境内使用我方报价货物、资料、技</w:t>
      </w:r>
      <w:r>
        <w:rPr>
          <w:color w:val="auto"/>
          <w:spacing w:val="-6"/>
        </w:rPr>
        <w:t>术、服务或其任何一部分时，享有不受限制的无偿使用权，如有第三方向采购人</w:t>
      </w:r>
      <w:r>
        <w:rPr>
          <w:color w:val="auto"/>
          <w:spacing w:val="-9"/>
        </w:rPr>
        <w:t>提出侵犯其专利权、商标权或其它知识产权的主张，该责任由我方承担。我方的</w:t>
      </w:r>
      <w:r>
        <w:rPr>
          <w:color w:val="auto"/>
          <w:spacing w:val="-11"/>
        </w:rPr>
        <w:t xml:space="preserve">报价已包含所有应向所有权人支付的专利权、商标权或其它知识产权的一切相关费用。 </w:t>
      </w:r>
    </w:p>
    <w:p>
      <w:pPr>
        <w:pStyle w:val="8"/>
        <w:spacing w:line="290" w:lineRule="exact"/>
        <w:ind w:left="481"/>
        <w:rPr>
          <w:color w:val="auto"/>
        </w:rPr>
      </w:pPr>
      <w:r>
        <w:rPr>
          <w:color w:val="auto"/>
        </w:rPr>
        <w:t>地 址 ：</w:t>
      </w:r>
      <w:r>
        <w:rPr>
          <w:color w:val="auto"/>
          <w:spacing w:val="119"/>
          <w:u w:val="single"/>
        </w:rPr>
        <w:t xml:space="preserve"> </w:t>
      </w:r>
      <w:r>
        <w:rPr>
          <w:color w:val="auto"/>
        </w:rPr>
        <w:t>邮 编 ：</w:t>
      </w:r>
      <w:r>
        <w:rPr>
          <w:color w:val="auto"/>
          <w:u w:val="single"/>
        </w:rPr>
        <w:t xml:space="preserve">            </w:t>
      </w:r>
      <w:r>
        <w:rPr>
          <w:color w:val="auto"/>
        </w:rPr>
        <w:t xml:space="preserve">  </w:t>
      </w:r>
    </w:p>
    <w:p>
      <w:pPr>
        <w:pStyle w:val="8"/>
        <w:spacing w:before="98" w:line="316" w:lineRule="auto"/>
        <w:ind w:left="481" w:right="5361"/>
        <w:rPr>
          <w:color w:val="auto"/>
        </w:rPr>
      </w:pPr>
      <w:r>
        <w:rPr>
          <w:color w:val="auto"/>
        </w:rPr>
        <w:t>电 话 ：</w:t>
      </w:r>
      <w:r>
        <w:rPr>
          <w:color w:val="auto"/>
          <w:u w:val="single"/>
        </w:rPr>
        <w:t xml:space="preserve">                      </w:t>
      </w:r>
      <w:r>
        <w:rPr>
          <w:color w:val="auto"/>
        </w:rPr>
        <w:t>传 真 ： 电子信箱：</w:t>
      </w:r>
      <w:r>
        <w:rPr>
          <w:color w:val="auto"/>
          <w:u w:val="single"/>
        </w:rPr>
        <w:t xml:space="preserve">                           </w:t>
      </w:r>
      <w:r>
        <w:rPr>
          <w:color w:val="auto"/>
          <w:spacing w:val="-1"/>
          <w:u w:val="single"/>
        </w:rPr>
        <w:t xml:space="preserve"> </w:t>
      </w:r>
      <w:r>
        <w:rPr>
          <w:color w:val="auto"/>
        </w:rPr>
        <w:t xml:space="preserve">  </w:t>
      </w:r>
    </w:p>
    <w:p>
      <w:pPr>
        <w:pStyle w:val="8"/>
        <w:spacing w:line="291" w:lineRule="exact"/>
        <w:ind w:left="481"/>
        <w:rPr>
          <w:color w:val="auto"/>
        </w:rPr>
      </w:pPr>
      <w:r>
        <w:rPr>
          <w:color w:val="auto"/>
        </w:rPr>
        <w:t>谈判响应供应商代表签字：</w:t>
      </w:r>
      <w:r>
        <w:rPr>
          <w:color w:val="auto"/>
          <w:u w:val="single"/>
        </w:rPr>
        <w:t xml:space="preserve">                        </w:t>
      </w:r>
      <w:r>
        <w:rPr>
          <w:color w:val="auto"/>
        </w:rPr>
        <w:t xml:space="preserve"> </w:t>
      </w:r>
    </w:p>
    <w:p>
      <w:pPr>
        <w:pStyle w:val="8"/>
        <w:spacing w:before="98" w:line="316" w:lineRule="auto"/>
        <w:ind w:left="481" w:right="2237"/>
        <w:rPr>
          <w:color w:val="auto"/>
        </w:rPr>
      </w:pPr>
      <w:r>
        <w:rPr>
          <w:color w:val="auto"/>
        </w:rPr>
        <w:t>谈判响应供应商名称（全称并加盖公章）：</w:t>
      </w:r>
      <w:r>
        <w:rPr>
          <w:color w:val="auto"/>
          <w:u w:val="single"/>
        </w:rPr>
        <w:t xml:space="preserve">                         </w:t>
      </w:r>
      <w:r>
        <w:rPr>
          <w:color w:val="auto"/>
        </w:rPr>
        <w:t xml:space="preserve">  日 期 ：</w:t>
      </w:r>
      <w:r>
        <w:rPr>
          <w:color w:val="auto"/>
          <w:u w:val="single"/>
        </w:rPr>
        <w:t xml:space="preserve"> 年 月 日</w:t>
      </w:r>
      <w:r>
        <w:rPr>
          <w:color w:val="auto"/>
        </w:rPr>
        <w:t xml:space="preserve"> </w:t>
      </w:r>
    </w:p>
    <w:p>
      <w:pPr>
        <w:spacing w:before="0" w:line="303" w:lineRule="exact"/>
        <w:ind w:left="481" w:right="0" w:firstLine="0"/>
        <w:jc w:val="both"/>
        <w:rPr>
          <w:color w:val="auto"/>
          <w:sz w:val="28"/>
        </w:rPr>
      </w:pPr>
      <w:r>
        <w:rPr>
          <w:color w:val="auto"/>
          <w:w w:val="101"/>
          <w:sz w:val="28"/>
        </w:rPr>
        <w:t xml:space="preserve"> </w:t>
      </w:r>
    </w:p>
    <w:p>
      <w:pPr>
        <w:spacing w:before="0" w:line="428" w:lineRule="exact"/>
        <w:ind w:left="3381" w:right="0" w:firstLine="0"/>
        <w:jc w:val="left"/>
        <w:rPr>
          <w:b/>
          <w:color w:val="auto"/>
          <w:sz w:val="36"/>
        </w:rPr>
      </w:pPr>
      <w:r>
        <w:rPr>
          <w:b/>
          <w:color w:val="auto"/>
          <w:w w:val="99"/>
          <w:sz w:val="36"/>
        </w:rPr>
        <w:t xml:space="preserve"> </w:t>
      </w:r>
    </w:p>
    <w:p>
      <w:pPr>
        <w:spacing w:after="0" w:line="428" w:lineRule="exact"/>
        <w:jc w:val="left"/>
        <w:rPr>
          <w:color w:val="auto"/>
          <w:sz w:val="36"/>
        </w:rPr>
        <w:sectPr>
          <w:type w:val="continuous"/>
          <w:pgSz w:w="11910" w:h="16850"/>
          <w:pgMar w:top="1600" w:right="0" w:bottom="280" w:left="1260" w:header="720" w:footer="720" w:gutter="0"/>
          <w:cols w:space="720" w:num="1"/>
        </w:sectPr>
      </w:pPr>
    </w:p>
    <w:p>
      <w:pPr>
        <w:pStyle w:val="8"/>
        <w:rPr>
          <w:b/>
          <w:color w:val="auto"/>
          <w:sz w:val="26"/>
        </w:rPr>
      </w:pPr>
    </w:p>
    <w:p>
      <w:pPr>
        <w:pStyle w:val="8"/>
        <w:rPr>
          <w:b/>
          <w:color w:val="auto"/>
          <w:sz w:val="26"/>
        </w:rPr>
      </w:pPr>
    </w:p>
    <w:p>
      <w:pPr>
        <w:pStyle w:val="8"/>
        <w:spacing w:before="11"/>
        <w:rPr>
          <w:b/>
          <w:color w:val="auto"/>
          <w:sz w:val="21"/>
        </w:rPr>
      </w:pPr>
    </w:p>
    <w:p>
      <w:pPr>
        <w:pStyle w:val="8"/>
        <w:tabs>
          <w:tab w:val="left" w:pos="2885"/>
        </w:tabs>
        <w:spacing w:line="316" w:lineRule="auto"/>
        <w:ind w:left="481"/>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项目编号：</w:t>
      </w:r>
      <w:r>
        <w:rPr>
          <w:rFonts w:ascii="Times New Roman" w:eastAsia="Times New Roman"/>
          <w:color w:val="auto"/>
          <w:u w:val="single"/>
        </w:rPr>
        <w:t xml:space="preserve"> </w:t>
      </w:r>
      <w:r>
        <w:rPr>
          <w:rFonts w:ascii="Times New Roman" w:eastAsia="Times New Roman"/>
          <w:color w:val="auto"/>
          <w:u w:val="single"/>
        </w:rPr>
        <w:tab/>
      </w:r>
      <w:r>
        <w:rPr>
          <w:color w:val="auto"/>
        </w:rPr>
        <w:t xml:space="preserve"> </w:t>
      </w:r>
    </w:p>
    <w:p>
      <w:pPr>
        <w:pStyle w:val="8"/>
        <w:spacing w:line="307" w:lineRule="exact"/>
        <w:ind w:left="481"/>
        <w:rPr>
          <w:color w:val="auto"/>
        </w:rPr>
      </w:pPr>
      <w:r>
        <w:rPr>
          <w:color w:val="auto"/>
        </w:rPr>
        <w:t xml:space="preserve"> </w:t>
      </w:r>
    </w:p>
    <w:p>
      <w:pPr>
        <w:pStyle w:val="2"/>
        <w:spacing w:before="31"/>
        <w:ind w:left="523" w:right="4691"/>
        <w:jc w:val="center"/>
        <w:rPr>
          <w:color w:val="auto"/>
        </w:rPr>
      </w:pPr>
      <w:r>
        <w:rPr>
          <w:b w:val="0"/>
          <w:color w:val="auto"/>
        </w:rPr>
        <w:br w:type="column"/>
      </w:r>
      <w:r>
        <w:rPr>
          <w:color w:val="auto"/>
        </w:rPr>
        <w:t>二 报价一览表</w:t>
      </w:r>
      <w:r>
        <w:rPr>
          <w:color w:val="auto"/>
          <w:w w:val="99"/>
        </w:rPr>
        <w:t xml:space="preserve"> </w:t>
      </w:r>
    </w:p>
    <w:p>
      <w:pPr>
        <w:spacing w:before="24"/>
        <w:ind w:left="0" w:right="4205" w:firstLine="0"/>
        <w:jc w:val="center"/>
        <w:rPr>
          <w:color w:val="auto"/>
          <w:sz w:val="28"/>
        </w:rPr>
      </w:pPr>
      <w:r>
        <w:rPr>
          <w:color w:val="auto"/>
          <w:w w:val="101"/>
          <w:sz w:val="28"/>
        </w:rPr>
        <w:t xml:space="preserve"> </w:t>
      </w:r>
    </w:p>
    <w:p>
      <w:pPr>
        <w:spacing w:after="0"/>
        <w:jc w:val="center"/>
        <w:rPr>
          <w:color w:val="auto"/>
          <w:sz w:val="28"/>
        </w:rPr>
        <w:sectPr>
          <w:pgSz w:w="11910" w:h="16850"/>
          <w:pgMar w:top="1360" w:right="0" w:bottom="1160" w:left="1260" w:header="0" w:footer="891" w:gutter="0"/>
          <w:cols w:equalWidth="0" w:num="2">
            <w:col w:w="3006" w:space="40"/>
            <w:col w:w="7604"/>
          </w:cols>
        </w:sectPr>
      </w:pPr>
    </w:p>
    <w:p>
      <w:pPr>
        <w:pStyle w:val="5"/>
        <w:spacing w:before="83" w:after="38"/>
        <w:ind w:left="2660"/>
        <w:rPr>
          <w:color w:val="auto"/>
        </w:rPr>
      </w:pPr>
      <w:r>
        <w:rPr>
          <w:color w:val="auto"/>
          <w:w w:val="99"/>
        </w:rPr>
        <w:t xml:space="preserve">  </w:t>
      </w:r>
      <w:r>
        <w:rPr>
          <w:color w:val="auto"/>
          <w:spacing w:val="14"/>
          <w:w w:val="99"/>
        </w:rPr>
        <w:t xml:space="preserve"> </w:t>
      </w:r>
      <w:r>
        <w:rPr>
          <w:color w:val="auto"/>
          <w:spacing w:val="-16"/>
          <w:w w:val="99"/>
        </w:rPr>
        <w:t xml:space="preserve"> </w:t>
      </w:r>
      <w:r>
        <w:rPr>
          <w:color w:val="auto"/>
          <w:spacing w:val="14"/>
          <w:w w:val="99"/>
        </w:rPr>
        <w:t xml:space="preserve"> </w:t>
      </w:r>
      <w:r>
        <w:rPr>
          <w:color w:val="auto"/>
          <w:spacing w:val="-16"/>
          <w:w w:val="99"/>
        </w:rPr>
        <w:t xml:space="preserve"> </w:t>
      </w:r>
      <w:r>
        <w:rPr>
          <w:color w:val="auto"/>
          <w:spacing w:val="14"/>
          <w:w w:val="99"/>
        </w:rPr>
        <w:t xml:space="preserve"> </w:t>
      </w:r>
      <w:r>
        <w:rPr>
          <w:color w:val="auto"/>
          <w:spacing w:val="-16"/>
          <w:w w:val="99"/>
        </w:rPr>
        <w:t xml:space="preserve"> </w:t>
      </w:r>
      <w:r>
        <w:rPr>
          <w:color w:val="auto"/>
          <w:spacing w:val="14"/>
          <w:w w:val="99"/>
        </w:rPr>
        <w:t xml:space="preserve"> </w:t>
      </w:r>
      <w:r>
        <w:rPr>
          <w:color w:val="auto"/>
          <w:spacing w:val="-16"/>
          <w:w w:val="99"/>
        </w:rPr>
        <w:t xml:space="preserve"> </w:t>
      </w:r>
      <w:r>
        <w:rPr>
          <w:color w:val="auto"/>
          <w:spacing w:val="14"/>
          <w:w w:val="99"/>
        </w:rPr>
        <w:t xml:space="preserve">                   </w:t>
      </w:r>
      <w:r>
        <w:rPr>
          <w:color w:val="auto"/>
          <w:spacing w:val="-99"/>
        </w:rPr>
        <w:t xml:space="preserve"> </w:t>
      </w:r>
      <w:r>
        <w:rPr>
          <w:color w:val="auto"/>
          <w:spacing w:val="13"/>
        </w:rPr>
        <w:t>价格单位：人民币 元</w:t>
      </w:r>
      <w:r>
        <w:rPr>
          <w:color w:val="auto"/>
          <w:w w:val="99"/>
        </w:rPr>
        <w:t xml:space="preserve"> </w:t>
      </w:r>
    </w:p>
    <w:tbl>
      <w:tblPr>
        <w:tblStyle w:val="9"/>
        <w:tblW w:w="0" w:type="auto"/>
        <w:tblInd w:w="459"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659"/>
        <w:gridCol w:w="5783"/>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PrEx>
        <w:trPr>
          <w:trHeight w:val="855" w:hRule="atLeast"/>
        </w:trPr>
        <w:tc>
          <w:tcPr>
            <w:tcW w:w="2659" w:type="dxa"/>
            <w:tcBorders>
              <w:right w:val="single" w:color="000000" w:sz="6" w:space="0"/>
            </w:tcBorders>
          </w:tcPr>
          <w:p>
            <w:pPr>
              <w:pStyle w:val="13"/>
              <w:spacing w:before="3"/>
              <w:rPr>
                <w:b/>
                <w:color w:val="auto"/>
                <w:sz w:val="22"/>
              </w:rPr>
            </w:pPr>
          </w:p>
          <w:p>
            <w:pPr>
              <w:pStyle w:val="13"/>
              <w:ind w:left="754" w:right="635"/>
              <w:jc w:val="center"/>
              <w:rPr>
                <w:color w:val="auto"/>
                <w:sz w:val="24"/>
              </w:rPr>
            </w:pPr>
            <w:r>
              <w:rPr>
                <w:color w:val="auto"/>
                <w:sz w:val="24"/>
              </w:rPr>
              <w:t xml:space="preserve">分项 </w:t>
            </w:r>
          </w:p>
        </w:tc>
        <w:tc>
          <w:tcPr>
            <w:tcW w:w="5783" w:type="dxa"/>
            <w:tcBorders>
              <w:left w:val="single" w:color="000000" w:sz="6" w:space="0"/>
            </w:tcBorders>
          </w:tcPr>
          <w:p>
            <w:pPr>
              <w:pStyle w:val="13"/>
              <w:spacing w:before="3"/>
              <w:rPr>
                <w:b/>
                <w:color w:val="auto"/>
                <w:sz w:val="22"/>
              </w:rPr>
            </w:pPr>
          </w:p>
          <w:p>
            <w:pPr>
              <w:pStyle w:val="13"/>
              <w:ind w:left="2450" w:right="2302"/>
              <w:jc w:val="center"/>
              <w:rPr>
                <w:color w:val="auto"/>
                <w:sz w:val="24"/>
              </w:rPr>
            </w:pPr>
            <w:r>
              <w:rPr>
                <w:color w:val="auto"/>
                <w:sz w:val="24"/>
              </w:rPr>
              <w:t xml:space="preserve">分项内容 </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25" w:hRule="atLeast"/>
        </w:trPr>
        <w:tc>
          <w:tcPr>
            <w:tcW w:w="2659" w:type="dxa"/>
            <w:tcBorders>
              <w:right w:val="single" w:color="000000" w:sz="6" w:space="0"/>
            </w:tcBorders>
          </w:tcPr>
          <w:p>
            <w:pPr>
              <w:pStyle w:val="13"/>
              <w:spacing w:before="3"/>
              <w:rPr>
                <w:b/>
                <w:color w:val="auto"/>
                <w:sz w:val="22"/>
              </w:rPr>
            </w:pPr>
          </w:p>
          <w:p>
            <w:pPr>
              <w:pStyle w:val="13"/>
              <w:ind w:left="754" w:right="635"/>
              <w:jc w:val="center"/>
              <w:rPr>
                <w:color w:val="auto"/>
                <w:sz w:val="24"/>
              </w:rPr>
            </w:pPr>
            <w:r>
              <w:rPr>
                <w:color w:val="auto"/>
                <w:sz w:val="24"/>
              </w:rPr>
              <w:t xml:space="preserve">投标总报价 </w:t>
            </w:r>
          </w:p>
        </w:tc>
        <w:tc>
          <w:tcPr>
            <w:tcW w:w="5783" w:type="dxa"/>
            <w:tcBorders>
              <w:left w:val="single" w:color="000000" w:sz="6" w:space="0"/>
            </w:tcBorders>
          </w:tcPr>
          <w:p>
            <w:pPr>
              <w:pStyle w:val="13"/>
              <w:ind w:left="1208"/>
              <w:rPr>
                <w:color w:val="auto"/>
                <w:sz w:val="24"/>
              </w:rPr>
            </w:pPr>
            <w:r>
              <w:rPr>
                <w:color w:val="auto"/>
                <w:sz w:val="24"/>
              </w:rPr>
              <w:t>大 写 ：</w:t>
            </w:r>
            <w:r>
              <w:rPr>
                <w:color w:val="auto"/>
                <w:sz w:val="24"/>
                <w:u w:val="single"/>
              </w:rPr>
              <w:t xml:space="preserve"> </w:t>
            </w:r>
            <w:r>
              <w:rPr>
                <w:color w:val="auto"/>
                <w:sz w:val="24"/>
              </w:rPr>
              <w:t xml:space="preserve">元 整 </w:t>
            </w:r>
          </w:p>
          <w:p>
            <w:pPr>
              <w:pStyle w:val="13"/>
              <w:rPr>
                <w:b/>
                <w:color w:val="auto"/>
                <w:sz w:val="17"/>
              </w:rPr>
            </w:pPr>
          </w:p>
          <w:p>
            <w:pPr>
              <w:pStyle w:val="13"/>
              <w:spacing w:line="280" w:lineRule="exact"/>
              <w:ind w:left="1238"/>
              <w:rPr>
                <w:color w:val="auto"/>
                <w:sz w:val="24"/>
              </w:rPr>
            </w:pPr>
            <w:r>
              <w:rPr>
                <w:color w:val="auto"/>
                <w:sz w:val="24"/>
              </w:rPr>
              <w:t xml:space="preserve">小写：￥ </w:t>
            </w:r>
          </w:p>
        </w:tc>
      </w:tr>
    </w:tbl>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rPr>
          <w:b/>
          <w:color w:val="auto"/>
        </w:rPr>
      </w:pPr>
    </w:p>
    <w:p>
      <w:pPr>
        <w:pStyle w:val="8"/>
        <w:spacing w:before="176"/>
        <w:ind w:left="557" w:right="60"/>
        <w:jc w:val="center"/>
        <w:rPr>
          <w:color w:val="auto"/>
        </w:rPr>
      </w:pPr>
      <w:r>
        <w:rPr>
          <w:color w:val="auto"/>
        </w:rPr>
        <w:t>投标单位（盖章）：</w:t>
      </w:r>
      <w:r>
        <w:rPr>
          <w:color w:val="auto"/>
          <w:u w:val="single"/>
        </w:rPr>
        <w:t xml:space="preserve">              </w:t>
      </w:r>
      <w:r>
        <w:rPr>
          <w:color w:val="auto"/>
        </w:rPr>
        <w:t xml:space="preserve"> </w:t>
      </w:r>
    </w:p>
    <w:p>
      <w:pPr>
        <w:pStyle w:val="8"/>
        <w:spacing w:before="97"/>
        <w:ind w:right="1182"/>
        <w:jc w:val="center"/>
        <w:rPr>
          <w:color w:val="auto"/>
        </w:rPr>
      </w:pPr>
      <w:r>
        <w:rPr>
          <w:color w:val="auto"/>
        </w:rPr>
        <w:t xml:space="preserve"> </w:t>
      </w:r>
    </w:p>
    <w:p>
      <w:pPr>
        <w:pStyle w:val="8"/>
        <w:spacing w:before="83"/>
        <w:ind w:left="557" w:right="60"/>
        <w:jc w:val="center"/>
        <w:rPr>
          <w:color w:val="auto"/>
        </w:rPr>
      </w:pPr>
      <w:r>
        <w:rPr>
          <w:color w:val="auto"/>
        </w:rPr>
        <w:t>法定代表（签字或盖章）：</w:t>
      </w:r>
      <w:r>
        <w:rPr>
          <w:color w:val="auto"/>
          <w:u w:val="single"/>
        </w:rPr>
        <w:t xml:space="preserve">              </w:t>
      </w:r>
      <w:r>
        <w:rPr>
          <w:color w:val="auto"/>
        </w:rPr>
        <w:t xml:space="preserve"> </w:t>
      </w:r>
    </w:p>
    <w:p>
      <w:pPr>
        <w:pStyle w:val="8"/>
        <w:spacing w:before="98"/>
        <w:ind w:right="1182"/>
        <w:jc w:val="center"/>
        <w:rPr>
          <w:color w:val="auto"/>
        </w:rPr>
      </w:pPr>
      <w:r>
        <w:rPr>
          <w:color w:val="auto"/>
        </w:rPr>
        <w:t xml:space="preserve"> </w:t>
      </w:r>
    </w:p>
    <w:p>
      <w:pPr>
        <w:pStyle w:val="8"/>
        <w:spacing w:before="98"/>
        <w:ind w:left="557" w:right="628"/>
        <w:jc w:val="center"/>
        <w:rPr>
          <w:color w:val="auto"/>
        </w:rPr>
      </w:pPr>
      <w:r>
        <w:rPr>
          <w:color w:val="auto"/>
        </w:rPr>
        <w:t xml:space="preserve">日        期 ：   年  月 日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12"/>
        <w:rPr>
          <w:color w:val="auto"/>
          <w:sz w:val="17"/>
        </w:rPr>
      </w:pPr>
    </w:p>
    <w:p>
      <w:pPr>
        <w:pStyle w:val="2"/>
        <w:tabs>
          <w:tab w:val="left" w:pos="3365"/>
        </w:tabs>
        <w:spacing w:before="50"/>
        <w:ind w:left="481"/>
        <w:rPr>
          <w:color w:val="auto"/>
        </w:rPr>
      </w:pPr>
      <w:r>
        <w:rPr>
          <w:color w:val="auto"/>
          <w:w w:val="99"/>
        </w:rPr>
        <w:t xml:space="preserve"> </w:t>
      </w:r>
      <w:r>
        <w:rPr>
          <w:color w:val="auto"/>
        </w:rPr>
        <w:tab/>
      </w:r>
      <w:r>
        <w:rPr>
          <w:color w:val="auto"/>
          <w:w w:val="99"/>
        </w:rPr>
        <w:t xml:space="preserve"> </w:t>
      </w:r>
    </w:p>
    <w:p>
      <w:pPr>
        <w:spacing w:after="0"/>
        <w:rPr>
          <w:color w:val="auto"/>
        </w:rPr>
        <w:sectPr>
          <w:type w:val="continuous"/>
          <w:pgSz w:w="11910" w:h="16850"/>
          <w:pgMar w:top="1600" w:right="0" w:bottom="280" w:left="1260" w:header="720" w:footer="720" w:gutter="0"/>
          <w:cols w:space="720" w:num="1"/>
        </w:sectPr>
      </w:pPr>
    </w:p>
    <w:p>
      <w:pPr>
        <w:spacing w:before="31"/>
        <w:ind w:left="2284" w:right="0" w:firstLine="0"/>
        <w:jc w:val="left"/>
        <w:rPr>
          <w:b/>
          <w:color w:val="auto"/>
          <w:sz w:val="36"/>
        </w:rPr>
      </w:pPr>
      <w:r>
        <w:rPr>
          <w:b/>
          <w:color w:val="auto"/>
          <w:sz w:val="36"/>
        </w:rPr>
        <w:t>三 谈判分项报价表（格式）</w:t>
      </w:r>
      <w:r>
        <w:rPr>
          <w:b/>
          <w:color w:val="auto"/>
          <w:w w:val="99"/>
          <w:sz w:val="36"/>
        </w:rPr>
        <w:t xml:space="preserve"> </w:t>
      </w:r>
    </w:p>
    <w:p>
      <w:pPr>
        <w:pStyle w:val="8"/>
        <w:rPr>
          <w:b/>
          <w:color w:val="auto"/>
          <w:sz w:val="20"/>
        </w:rPr>
      </w:pPr>
    </w:p>
    <w:p>
      <w:pPr>
        <w:pStyle w:val="8"/>
        <w:spacing w:before="198"/>
        <w:ind w:left="557" w:right="1591"/>
        <w:jc w:val="center"/>
        <w:rPr>
          <w:color w:val="auto"/>
        </w:rPr>
      </w:pPr>
      <w:r>
        <w:rPr>
          <w:color w:val="auto"/>
        </w:rPr>
        <w:t>谈判响应供应商名称：</w:t>
      </w:r>
      <w:r>
        <w:rPr>
          <w:color w:val="auto"/>
          <w:spacing w:val="119"/>
          <w:u w:val="single"/>
        </w:rPr>
        <w:t xml:space="preserve"> </w:t>
      </w:r>
      <w:r>
        <w:rPr>
          <w:color w:val="auto"/>
        </w:rPr>
        <w:t>项目编号：</w:t>
      </w:r>
      <w:r>
        <w:rPr>
          <w:color w:val="auto"/>
          <w:u w:val="single"/>
        </w:rPr>
        <w:t xml:space="preserve">  </w:t>
      </w:r>
      <w:r>
        <w:rPr>
          <w:color w:val="auto"/>
        </w:rPr>
        <w:t>货币单位：</w:t>
      </w:r>
      <w:r>
        <w:rPr>
          <w:color w:val="auto"/>
          <w:u w:val="single"/>
        </w:rPr>
        <w:t xml:space="preserve">        </w:t>
      </w:r>
      <w:r>
        <w:rPr>
          <w:color w:val="auto"/>
        </w:rPr>
        <w:t xml:space="preserve">  </w:t>
      </w:r>
    </w:p>
    <w:p>
      <w:pPr>
        <w:pStyle w:val="8"/>
        <w:spacing w:before="98"/>
        <w:ind w:right="1182"/>
        <w:jc w:val="center"/>
        <w:rPr>
          <w:color w:val="auto"/>
        </w:rPr>
      </w:pPr>
      <w:r>
        <w:rPr>
          <w:color w:val="auto"/>
        </w:rPr>
        <w:t xml:space="preserve"> </w:t>
      </w:r>
    </w:p>
    <w:p>
      <w:pPr>
        <w:pStyle w:val="8"/>
        <w:spacing w:before="98"/>
        <w:ind w:right="1182"/>
        <w:jc w:val="center"/>
        <w:rPr>
          <w:color w:val="auto"/>
        </w:rPr>
      </w:pPr>
      <w:r>
        <w:rPr>
          <w:color w:val="auto"/>
        </w:rPr>
        <w:t xml:space="preserve"> </w:t>
      </w:r>
    </w:p>
    <w:p>
      <w:pPr>
        <w:pStyle w:val="8"/>
        <w:spacing w:before="83" w:line="296" w:lineRule="exact"/>
        <w:ind w:right="1182"/>
        <w:jc w:val="center"/>
        <w:rPr>
          <w:color w:val="auto"/>
        </w:rPr>
      </w:pPr>
      <w:r>
        <w:rPr>
          <w:color w:val="auto"/>
        </w:rPr>
        <w:t xml:space="preserve"> </w:t>
      </w:r>
    </w:p>
    <w:p>
      <w:pPr>
        <w:pStyle w:val="2"/>
        <w:spacing w:line="450" w:lineRule="exact"/>
        <w:ind w:right="1122"/>
        <w:jc w:val="center"/>
        <w:rPr>
          <w:color w:val="auto"/>
        </w:rPr>
      </w:pPr>
      <w:r>
        <w:rPr>
          <w:color w:val="auto"/>
          <w:w w:val="99"/>
        </w:rPr>
        <w:t xml:space="preserve"> </w:t>
      </w:r>
    </w:p>
    <w:p>
      <w:pPr>
        <w:spacing w:before="24" w:line="335" w:lineRule="exact"/>
        <w:ind w:left="557" w:right="1717" w:firstLine="0"/>
        <w:jc w:val="center"/>
        <w:rPr>
          <w:color w:val="auto"/>
          <w:sz w:val="28"/>
        </w:rPr>
      </w:pPr>
      <w:r>
        <w:rPr>
          <w:color w:val="auto"/>
          <w:sz w:val="28"/>
        </w:rPr>
        <w:t xml:space="preserve">格式根据采购清单提供 </w:t>
      </w:r>
    </w:p>
    <w:p>
      <w:pPr>
        <w:spacing w:before="0" w:line="437" w:lineRule="exact"/>
        <w:ind w:left="0" w:right="1122" w:firstLine="0"/>
        <w:jc w:val="center"/>
        <w:rPr>
          <w:b/>
          <w:color w:val="auto"/>
          <w:sz w:val="36"/>
        </w:rPr>
      </w:pPr>
      <w:r>
        <w:rPr>
          <w:b/>
          <w:color w:val="auto"/>
          <w:w w:val="99"/>
          <w:sz w:val="36"/>
        </w:rPr>
        <w:t xml:space="preserve"> </w:t>
      </w:r>
    </w:p>
    <w:p>
      <w:pPr>
        <w:pStyle w:val="8"/>
        <w:spacing w:before="64"/>
        <w:ind w:right="1182"/>
        <w:jc w:val="center"/>
        <w:rPr>
          <w:color w:val="auto"/>
        </w:rPr>
      </w:pPr>
      <w:r>
        <w:rPr>
          <w:color w:val="auto"/>
        </w:rPr>
        <w:t xml:space="preserve"> </w:t>
      </w:r>
    </w:p>
    <w:p>
      <w:pPr>
        <w:pStyle w:val="8"/>
        <w:spacing w:before="98"/>
        <w:ind w:right="1182"/>
        <w:jc w:val="center"/>
        <w:rPr>
          <w:color w:val="auto"/>
        </w:rPr>
      </w:pPr>
      <w:r>
        <w:rPr>
          <w:color w:val="auto"/>
        </w:rPr>
        <w:t xml:space="preserve"> </w:t>
      </w:r>
    </w:p>
    <w:p>
      <w:pPr>
        <w:pStyle w:val="8"/>
        <w:spacing w:before="83"/>
        <w:ind w:right="1182"/>
        <w:jc w:val="center"/>
        <w:rPr>
          <w:color w:val="auto"/>
        </w:rPr>
      </w:pPr>
      <w:r>
        <w:rPr>
          <w:color w:val="auto"/>
        </w:rPr>
        <w:t xml:space="preserve"> </w:t>
      </w:r>
    </w:p>
    <w:p>
      <w:pPr>
        <w:pStyle w:val="8"/>
        <w:spacing w:before="98"/>
        <w:ind w:right="1182"/>
        <w:jc w:val="center"/>
        <w:rPr>
          <w:color w:val="auto"/>
        </w:rPr>
      </w:pPr>
      <w:r>
        <w:rPr>
          <w:color w:val="auto"/>
        </w:rPr>
        <w:t xml:space="preserve"> </w:t>
      </w:r>
    </w:p>
    <w:p>
      <w:pPr>
        <w:pStyle w:val="8"/>
        <w:spacing w:before="98"/>
        <w:ind w:right="1182"/>
        <w:jc w:val="center"/>
        <w:rPr>
          <w:color w:val="auto"/>
        </w:rPr>
      </w:pPr>
      <w:r>
        <w:rPr>
          <w:color w:val="auto"/>
        </w:rPr>
        <w:t xml:space="preserve"> </w:t>
      </w:r>
    </w:p>
    <w:p>
      <w:pPr>
        <w:pStyle w:val="8"/>
        <w:spacing w:before="83"/>
        <w:ind w:right="1182"/>
        <w:jc w:val="center"/>
        <w:rPr>
          <w:color w:val="auto"/>
        </w:rPr>
      </w:pPr>
      <w:r>
        <w:rPr>
          <w:color w:val="auto"/>
        </w:rPr>
        <w:t xml:space="preserve"> </w:t>
      </w:r>
    </w:p>
    <w:p>
      <w:pPr>
        <w:pStyle w:val="8"/>
        <w:spacing w:before="98"/>
        <w:ind w:right="1182"/>
        <w:jc w:val="center"/>
        <w:rPr>
          <w:color w:val="auto"/>
        </w:rPr>
      </w:pPr>
      <w:r>
        <w:rPr>
          <w:color w:val="auto"/>
        </w:rPr>
        <w:t xml:space="preserve"> </w:t>
      </w:r>
    </w:p>
    <w:p>
      <w:pPr>
        <w:pStyle w:val="8"/>
        <w:spacing w:before="97"/>
        <w:ind w:right="1182"/>
        <w:jc w:val="center"/>
        <w:rPr>
          <w:color w:val="auto"/>
        </w:rPr>
      </w:pPr>
      <w:r>
        <w:rPr>
          <w:color w:val="auto"/>
        </w:rPr>
        <w:t xml:space="preserve"> </w:t>
      </w:r>
    </w:p>
    <w:p>
      <w:pPr>
        <w:pStyle w:val="8"/>
        <w:spacing w:before="83"/>
        <w:ind w:left="3606"/>
        <w:rPr>
          <w:color w:val="auto"/>
        </w:rPr>
      </w:pPr>
      <w:r>
        <w:rPr>
          <w:color w:val="auto"/>
        </w:rPr>
        <w:t>谈判响应供应商代表签名：</w:t>
      </w:r>
      <w:r>
        <w:rPr>
          <w:color w:val="auto"/>
          <w:u w:val="single"/>
        </w:rPr>
        <w:t xml:space="preserve">                    </w:t>
      </w:r>
      <w:r>
        <w:rPr>
          <w:color w:val="auto"/>
        </w:rPr>
        <w:t xml:space="preserve">   </w:t>
      </w:r>
    </w:p>
    <w:p>
      <w:pPr>
        <w:pStyle w:val="8"/>
        <w:rPr>
          <w:color w:val="auto"/>
          <w:sz w:val="20"/>
        </w:rPr>
      </w:pPr>
    </w:p>
    <w:p>
      <w:pPr>
        <w:pStyle w:val="8"/>
        <w:rPr>
          <w:color w:val="auto"/>
          <w:sz w:val="20"/>
        </w:rPr>
      </w:pPr>
    </w:p>
    <w:p>
      <w:pPr>
        <w:pStyle w:val="8"/>
        <w:spacing w:before="7"/>
        <w:rPr>
          <w:color w:val="auto"/>
        </w:rPr>
      </w:pPr>
    </w:p>
    <w:p>
      <w:pPr>
        <w:pStyle w:val="8"/>
        <w:spacing w:before="67"/>
        <w:ind w:left="557" w:right="60"/>
        <w:jc w:val="center"/>
        <w:rPr>
          <w:color w:val="auto"/>
        </w:rPr>
      </w:pPr>
      <w:r>
        <w:rPr>
          <w:color w:val="auto"/>
        </w:rPr>
        <w:t>投标单位（盖章）：</w:t>
      </w:r>
      <w:r>
        <w:rPr>
          <w:color w:val="auto"/>
          <w:u w:val="single"/>
        </w:rPr>
        <w:t xml:space="preserve">              </w:t>
      </w:r>
      <w:r>
        <w:rPr>
          <w:color w:val="auto"/>
        </w:rPr>
        <w:t xml:space="preserve"> </w:t>
      </w:r>
    </w:p>
    <w:p>
      <w:pPr>
        <w:pStyle w:val="8"/>
        <w:spacing w:before="98"/>
        <w:ind w:right="1182"/>
        <w:jc w:val="center"/>
        <w:rPr>
          <w:color w:val="auto"/>
        </w:rPr>
      </w:pPr>
      <w:r>
        <w:rPr>
          <w:color w:val="auto"/>
        </w:rPr>
        <w:t xml:space="preserve"> </w:t>
      </w:r>
    </w:p>
    <w:p>
      <w:pPr>
        <w:pStyle w:val="8"/>
        <w:spacing w:before="98"/>
        <w:ind w:left="557" w:right="60"/>
        <w:jc w:val="center"/>
        <w:rPr>
          <w:color w:val="auto"/>
        </w:rPr>
      </w:pPr>
      <w:r>
        <w:rPr>
          <w:color w:val="auto"/>
        </w:rPr>
        <w:t>法定代表（签字或盖章）：</w:t>
      </w:r>
      <w:r>
        <w:rPr>
          <w:color w:val="auto"/>
          <w:u w:val="single"/>
        </w:rPr>
        <w:t xml:space="preserve">              </w:t>
      </w:r>
      <w:r>
        <w:rPr>
          <w:color w:val="auto"/>
        </w:rPr>
        <w:t xml:space="preserve"> </w:t>
      </w:r>
    </w:p>
    <w:p>
      <w:pPr>
        <w:pStyle w:val="8"/>
        <w:spacing w:before="82"/>
        <w:ind w:right="1182"/>
        <w:jc w:val="center"/>
        <w:rPr>
          <w:color w:val="auto"/>
        </w:rPr>
      </w:pPr>
      <w:r>
        <w:rPr>
          <w:color w:val="auto"/>
        </w:rPr>
        <w:t xml:space="preserve"> </w:t>
      </w:r>
    </w:p>
    <w:p>
      <w:pPr>
        <w:pStyle w:val="8"/>
        <w:spacing w:before="98"/>
        <w:ind w:left="557" w:right="628"/>
        <w:jc w:val="center"/>
        <w:rPr>
          <w:color w:val="auto"/>
        </w:rPr>
      </w:pPr>
      <w:r>
        <w:rPr>
          <w:color w:val="auto"/>
        </w:rPr>
        <w:t xml:space="preserve">日        期 ：   年  月 日 </w:t>
      </w:r>
    </w:p>
    <w:p>
      <w:pPr>
        <w:spacing w:after="0"/>
        <w:jc w:val="center"/>
        <w:rPr>
          <w:color w:val="auto"/>
        </w:rPr>
        <w:sectPr>
          <w:pgSz w:w="11910" w:h="16850"/>
          <w:pgMar w:top="1360" w:right="0" w:bottom="1160" w:left="1260" w:header="0" w:footer="891" w:gutter="0"/>
          <w:cols w:space="720" w:num="1"/>
        </w:sectPr>
      </w:pPr>
    </w:p>
    <w:p>
      <w:pPr>
        <w:pStyle w:val="2"/>
        <w:spacing w:before="31"/>
        <w:ind w:left="3005"/>
        <w:rPr>
          <w:color w:val="auto"/>
        </w:rPr>
      </w:pPr>
      <w:r>
        <w:rPr>
          <w:color w:val="auto"/>
        </w:rPr>
        <w:t>四 技术规格偏离表</w:t>
      </w:r>
      <w:r>
        <w:rPr>
          <w:color w:val="auto"/>
          <w:w w:val="99"/>
        </w:rPr>
        <w:t xml:space="preserve"> </w:t>
      </w:r>
    </w:p>
    <w:p>
      <w:pPr>
        <w:pStyle w:val="8"/>
        <w:spacing w:before="64" w:line="304" w:lineRule="auto"/>
        <w:ind w:left="542" w:right="2701" w:firstLine="1036"/>
        <w:rPr>
          <w:color w:val="auto"/>
        </w:rPr>
      </w:pPr>
      <w:r>
        <w:rPr>
          <w:color w:val="auto"/>
        </w:rPr>
        <w:t>（由投标人据实提交，技术参数须按编写序号须逐条对应</w:t>
      </w:r>
      <w:r>
        <w:rPr>
          <w:color w:val="auto"/>
          <w:spacing w:val="-5"/>
        </w:rPr>
        <w:t xml:space="preserve">） </w:t>
      </w:r>
      <w:r>
        <w:rPr>
          <w:color w:val="auto"/>
        </w:rPr>
        <w:t xml:space="preserve">项目名称: </w:t>
      </w:r>
    </w:p>
    <w:p>
      <w:pPr>
        <w:pStyle w:val="8"/>
        <w:spacing w:before="15" w:after="23"/>
        <w:ind w:left="542"/>
        <w:rPr>
          <w:color w:val="auto"/>
        </w:rPr>
      </w:pPr>
      <w:r>
        <w:rPr>
          <w:color w:val="auto"/>
          <w:spacing w:val="-1"/>
        </w:rPr>
        <w:t xml:space="preserve">项目编号: </w:t>
      </w:r>
    </w:p>
    <w:tbl>
      <w:tblPr>
        <w:tblStyle w:val="9"/>
        <w:tblW w:w="0" w:type="auto"/>
        <w:tblInd w:w="6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1"/>
        <w:gridCol w:w="1667"/>
        <w:gridCol w:w="1652"/>
        <w:gridCol w:w="2208"/>
        <w:gridCol w:w="16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5" w:hRule="atLeast"/>
        </w:trPr>
        <w:tc>
          <w:tcPr>
            <w:tcW w:w="811" w:type="dxa"/>
          </w:tcPr>
          <w:p>
            <w:pPr>
              <w:pStyle w:val="13"/>
              <w:spacing w:before="1"/>
              <w:rPr>
                <w:color w:val="auto"/>
                <w:sz w:val="21"/>
              </w:rPr>
            </w:pPr>
          </w:p>
          <w:p>
            <w:pPr>
              <w:pStyle w:val="13"/>
              <w:ind w:left="212" w:right="63"/>
              <w:jc w:val="center"/>
              <w:rPr>
                <w:color w:val="auto"/>
                <w:sz w:val="24"/>
              </w:rPr>
            </w:pPr>
            <w:r>
              <w:rPr>
                <w:color w:val="auto"/>
                <w:sz w:val="24"/>
              </w:rPr>
              <w:t xml:space="preserve">序号 </w:t>
            </w:r>
          </w:p>
        </w:tc>
        <w:tc>
          <w:tcPr>
            <w:tcW w:w="1667" w:type="dxa"/>
          </w:tcPr>
          <w:p>
            <w:pPr>
              <w:pStyle w:val="13"/>
              <w:spacing w:before="1"/>
              <w:rPr>
                <w:color w:val="auto"/>
                <w:sz w:val="21"/>
              </w:rPr>
            </w:pPr>
          </w:p>
          <w:p>
            <w:pPr>
              <w:pStyle w:val="13"/>
              <w:ind w:left="171"/>
              <w:jc w:val="center"/>
              <w:rPr>
                <w:color w:val="auto"/>
                <w:sz w:val="24"/>
              </w:rPr>
            </w:pPr>
            <w:r>
              <w:rPr>
                <w:color w:val="auto"/>
                <w:sz w:val="24"/>
              </w:rPr>
              <w:t xml:space="preserve">谈判要求参数 </w:t>
            </w:r>
          </w:p>
        </w:tc>
        <w:tc>
          <w:tcPr>
            <w:tcW w:w="1652" w:type="dxa"/>
          </w:tcPr>
          <w:p>
            <w:pPr>
              <w:pStyle w:val="13"/>
              <w:spacing w:before="1"/>
              <w:rPr>
                <w:color w:val="auto"/>
                <w:sz w:val="21"/>
              </w:rPr>
            </w:pPr>
          </w:p>
          <w:p>
            <w:pPr>
              <w:pStyle w:val="13"/>
              <w:ind w:left="112" w:right="-44"/>
              <w:rPr>
                <w:color w:val="auto"/>
                <w:sz w:val="24"/>
              </w:rPr>
            </w:pPr>
            <w:r>
              <w:rPr>
                <w:color w:val="auto"/>
                <w:sz w:val="24"/>
              </w:rPr>
              <w:t xml:space="preserve">响应实际参数 </w:t>
            </w:r>
          </w:p>
        </w:tc>
        <w:tc>
          <w:tcPr>
            <w:tcW w:w="2208" w:type="dxa"/>
          </w:tcPr>
          <w:p>
            <w:pPr>
              <w:pStyle w:val="13"/>
              <w:spacing w:before="3" w:line="390" w:lineRule="exact"/>
              <w:ind w:left="983" w:right="125" w:hanging="841"/>
              <w:rPr>
                <w:color w:val="auto"/>
                <w:sz w:val="24"/>
              </w:rPr>
            </w:pPr>
            <w:r>
              <w:rPr>
                <w:color w:val="auto"/>
                <w:sz w:val="24"/>
              </w:rPr>
              <w:t xml:space="preserve">符合/正偏离/负偏离 </w:t>
            </w:r>
          </w:p>
        </w:tc>
        <w:tc>
          <w:tcPr>
            <w:tcW w:w="1682" w:type="dxa"/>
          </w:tcPr>
          <w:p>
            <w:pPr>
              <w:pStyle w:val="13"/>
              <w:spacing w:before="1"/>
              <w:rPr>
                <w:color w:val="auto"/>
                <w:sz w:val="21"/>
              </w:rPr>
            </w:pPr>
          </w:p>
          <w:p>
            <w:pPr>
              <w:pStyle w:val="13"/>
              <w:ind w:left="648" w:right="498"/>
              <w:jc w:val="center"/>
              <w:rPr>
                <w:color w:val="auto"/>
                <w:sz w:val="24"/>
              </w:rPr>
            </w:pPr>
            <w:r>
              <w:rPr>
                <w:color w:val="auto"/>
                <w:sz w:val="24"/>
              </w:rPr>
              <w:t xml:space="preserve">备注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11" w:type="dxa"/>
          </w:tcPr>
          <w:p>
            <w:pPr>
              <w:pStyle w:val="13"/>
              <w:spacing w:before="75"/>
              <w:ind w:left="150"/>
              <w:jc w:val="center"/>
              <w:rPr>
                <w:b/>
                <w:color w:val="auto"/>
                <w:sz w:val="24"/>
              </w:rPr>
            </w:pPr>
            <w:r>
              <w:rPr>
                <w:b/>
                <w:color w:val="auto"/>
                <w:w w:val="99"/>
                <w:sz w:val="24"/>
              </w:rPr>
              <w:t xml:space="preserve"> </w:t>
            </w:r>
          </w:p>
        </w:tc>
        <w:tc>
          <w:tcPr>
            <w:tcW w:w="1667" w:type="dxa"/>
          </w:tcPr>
          <w:p>
            <w:pPr>
              <w:pStyle w:val="13"/>
              <w:spacing w:before="75"/>
              <w:ind w:left="165"/>
              <w:jc w:val="center"/>
              <w:rPr>
                <w:b/>
                <w:color w:val="auto"/>
                <w:sz w:val="24"/>
              </w:rPr>
            </w:pPr>
            <w:r>
              <w:rPr>
                <w:b/>
                <w:color w:val="auto"/>
                <w:w w:val="99"/>
                <w:sz w:val="24"/>
              </w:rPr>
              <w:t xml:space="preserve"> </w:t>
            </w:r>
          </w:p>
        </w:tc>
        <w:tc>
          <w:tcPr>
            <w:tcW w:w="1652" w:type="dxa"/>
          </w:tcPr>
          <w:p>
            <w:pPr>
              <w:pStyle w:val="13"/>
              <w:spacing w:before="75"/>
              <w:ind w:left="112"/>
              <w:rPr>
                <w:b/>
                <w:color w:val="auto"/>
                <w:sz w:val="24"/>
              </w:rPr>
            </w:pPr>
            <w:r>
              <w:rPr>
                <w:b/>
                <w:color w:val="auto"/>
                <w:w w:val="99"/>
                <w:sz w:val="24"/>
              </w:rPr>
              <w:t xml:space="preserve"> </w:t>
            </w:r>
          </w:p>
        </w:tc>
        <w:tc>
          <w:tcPr>
            <w:tcW w:w="2208" w:type="dxa"/>
          </w:tcPr>
          <w:p>
            <w:pPr>
              <w:pStyle w:val="13"/>
              <w:spacing w:before="75"/>
              <w:ind w:right="968"/>
              <w:jc w:val="right"/>
              <w:rPr>
                <w:b/>
                <w:color w:val="auto"/>
                <w:sz w:val="24"/>
              </w:rPr>
            </w:pPr>
            <w:r>
              <w:rPr>
                <w:b/>
                <w:color w:val="auto"/>
                <w:w w:val="99"/>
                <w:sz w:val="24"/>
              </w:rPr>
              <w:t xml:space="preserve"> </w:t>
            </w:r>
          </w:p>
        </w:tc>
        <w:tc>
          <w:tcPr>
            <w:tcW w:w="1682" w:type="dxa"/>
          </w:tcPr>
          <w:p>
            <w:pPr>
              <w:pStyle w:val="13"/>
              <w:spacing w:before="75"/>
              <w:ind w:left="150"/>
              <w:jc w:val="center"/>
              <w:rPr>
                <w:b/>
                <w:color w:val="auto"/>
                <w:sz w:val="24"/>
              </w:rPr>
            </w:pP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811" w:type="dxa"/>
          </w:tcPr>
          <w:p>
            <w:pPr>
              <w:pStyle w:val="13"/>
              <w:spacing w:before="75"/>
              <w:ind w:left="150"/>
              <w:jc w:val="center"/>
              <w:rPr>
                <w:b/>
                <w:color w:val="auto"/>
                <w:sz w:val="24"/>
              </w:rPr>
            </w:pPr>
            <w:r>
              <w:rPr>
                <w:b/>
                <w:color w:val="auto"/>
                <w:w w:val="99"/>
                <w:sz w:val="24"/>
              </w:rPr>
              <w:t xml:space="preserve"> </w:t>
            </w:r>
          </w:p>
        </w:tc>
        <w:tc>
          <w:tcPr>
            <w:tcW w:w="1667" w:type="dxa"/>
          </w:tcPr>
          <w:p>
            <w:pPr>
              <w:pStyle w:val="13"/>
              <w:spacing w:before="75"/>
              <w:ind w:left="165"/>
              <w:jc w:val="center"/>
              <w:rPr>
                <w:b/>
                <w:color w:val="auto"/>
                <w:sz w:val="24"/>
              </w:rPr>
            </w:pPr>
            <w:r>
              <w:rPr>
                <w:b/>
                <w:color w:val="auto"/>
                <w:w w:val="99"/>
                <w:sz w:val="24"/>
              </w:rPr>
              <w:t xml:space="preserve"> </w:t>
            </w:r>
          </w:p>
        </w:tc>
        <w:tc>
          <w:tcPr>
            <w:tcW w:w="1652" w:type="dxa"/>
          </w:tcPr>
          <w:p>
            <w:pPr>
              <w:pStyle w:val="13"/>
              <w:spacing w:before="75"/>
              <w:ind w:left="150"/>
              <w:jc w:val="center"/>
              <w:rPr>
                <w:b/>
                <w:color w:val="auto"/>
                <w:sz w:val="24"/>
              </w:rPr>
            </w:pPr>
            <w:r>
              <w:rPr>
                <w:b/>
                <w:color w:val="auto"/>
                <w:w w:val="99"/>
                <w:sz w:val="24"/>
              </w:rPr>
              <w:t xml:space="preserve"> </w:t>
            </w:r>
          </w:p>
        </w:tc>
        <w:tc>
          <w:tcPr>
            <w:tcW w:w="2208" w:type="dxa"/>
          </w:tcPr>
          <w:p>
            <w:pPr>
              <w:pStyle w:val="13"/>
              <w:spacing w:before="75"/>
              <w:ind w:right="968"/>
              <w:jc w:val="right"/>
              <w:rPr>
                <w:b/>
                <w:color w:val="auto"/>
                <w:sz w:val="24"/>
              </w:rPr>
            </w:pPr>
            <w:r>
              <w:rPr>
                <w:b/>
                <w:color w:val="auto"/>
                <w:w w:val="99"/>
                <w:sz w:val="24"/>
              </w:rPr>
              <w:t xml:space="preserve"> </w:t>
            </w:r>
          </w:p>
        </w:tc>
        <w:tc>
          <w:tcPr>
            <w:tcW w:w="1682" w:type="dxa"/>
          </w:tcPr>
          <w:p>
            <w:pPr>
              <w:pStyle w:val="13"/>
              <w:spacing w:before="75"/>
              <w:ind w:left="150"/>
              <w:jc w:val="center"/>
              <w:rPr>
                <w:b/>
                <w:color w:val="auto"/>
                <w:sz w:val="24"/>
              </w:rPr>
            </w:pP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11" w:type="dxa"/>
          </w:tcPr>
          <w:p>
            <w:pPr>
              <w:pStyle w:val="13"/>
              <w:spacing w:before="75"/>
              <w:ind w:left="150"/>
              <w:jc w:val="center"/>
              <w:rPr>
                <w:b/>
                <w:color w:val="auto"/>
                <w:sz w:val="24"/>
              </w:rPr>
            </w:pPr>
            <w:r>
              <w:rPr>
                <w:b/>
                <w:color w:val="auto"/>
                <w:w w:val="99"/>
                <w:sz w:val="24"/>
              </w:rPr>
              <w:t xml:space="preserve"> </w:t>
            </w:r>
          </w:p>
        </w:tc>
        <w:tc>
          <w:tcPr>
            <w:tcW w:w="1667" w:type="dxa"/>
          </w:tcPr>
          <w:p>
            <w:pPr>
              <w:pStyle w:val="13"/>
              <w:spacing w:before="75"/>
              <w:ind w:left="165"/>
              <w:jc w:val="center"/>
              <w:rPr>
                <w:b/>
                <w:color w:val="auto"/>
                <w:sz w:val="24"/>
              </w:rPr>
            </w:pPr>
            <w:r>
              <w:rPr>
                <w:b/>
                <w:color w:val="auto"/>
                <w:w w:val="99"/>
                <w:sz w:val="24"/>
              </w:rPr>
              <w:t xml:space="preserve"> </w:t>
            </w:r>
          </w:p>
        </w:tc>
        <w:tc>
          <w:tcPr>
            <w:tcW w:w="1652" w:type="dxa"/>
          </w:tcPr>
          <w:p>
            <w:pPr>
              <w:pStyle w:val="13"/>
              <w:spacing w:before="75"/>
              <w:ind w:left="150"/>
              <w:jc w:val="center"/>
              <w:rPr>
                <w:b/>
                <w:color w:val="auto"/>
                <w:sz w:val="24"/>
              </w:rPr>
            </w:pPr>
            <w:r>
              <w:rPr>
                <w:b/>
                <w:color w:val="auto"/>
                <w:w w:val="99"/>
                <w:sz w:val="24"/>
              </w:rPr>
              <w:t xml:space="preserve"> </w:t>
            </w:r>
          </w:p>
        </w:tc>
        <w:tc>
          <w:tcPr>
            <w:tcW w:w="2208" w:type="dxa"/>
          </w:tcPr>
          <w:p>
            <w:pPr>
              <w:pStyle w:val="13"/>
              <w:spacing w:before="75"/>
              <w:ind w:right="968"/>
              <w:jc w:val="right"/>
              <w:rPr>
                <w:b/>
                <w:color w:val="auto"/>
                <w:sz w:val="24"/>
              </w:rPr>
            </w:pPr>
            <w:r>
              <w:rPr>
                <w:b/>
                <w:color w:val="auto"/>
                <w:w w:val="99"/>
                <w:sz w:val="24"/>
              </w:rPr>
              <w:t xml:space="preserve"> </w:t>
            </w:r>
          </w:p>
        </w:tc>
        <w:tc>
          <w:tcPr>
            <w:tcW w:w="1682" w:type="dxa"/>
          </w:tcPr>
          <w:p>
            <w:pPr>
              <w:pStyle w:val="13"/>
              <w:spacing w:before="75"/>
              <w:ind w:left="150"/>
              <w:jc w:val="center"/>
              <w:rPr>
                <w:b/>
                <w:color w:val="auto"/>
                <w:sz w:val="24"/>
              </w:rPr>
            </w:pPr>
            <w:r>
              <w:rPr>
                <w:b/>
                <w:color w:val="auto"/>
                <w:w w:val="99"/>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5" w:hRule="atLeast"/>
        </w:trPr>
        <w:tc>
          <w:tcPr>
            <w:tcW w:w="811" w:type="dxa"/>
          </w:tcPr>
          <w:p>
            <w:pPr>
              <w:pStyle w:val="13"/>
              <w:spacing w:before="75"/>
              <w:ind w:left="150"/>
              <w:jc w:val="center"/>
              <w:rPr>
                <w:b/>
                <w:color w:val="auto"/>
                <w:sz w:val="24"/>
              </w:rPr>
            </w:pPr>
            <w:r>
              <w:rPr>
                <w:b/>
                <w:color w:val="auto"/>
                <w:w w:val="99"/>
                <w:sz w:val="24"/>
              </w:rPr>
              <w:t xml:space="preserve"> </w:t>
            </w:r>
          </w:p>
        </w:tc>
        <w:tc>
          <w:tcPr>
            <w:tcW w:w="1667" w:type="dxa"/>
          </w:tcPr>
          <w:p>
            <w:pPr>
              <w:pStyle w:val="13"/>
              <w:spacing w:before="75"/>
              <w:ind w:left="165"/>
              <w:jc w:val="center"/>
              <w:rPr>
                <w:b/>
                <w:color w:val="auto"/>
                <w:sz w:val="24"/>
              </w:rPr>
            </w:pPr>
            <w:r>
              <w:rPr>
                <w:b/>
                <w:color w:val="auto"/>
                <w:w w:val="99"/>
                <w:sz w:val="24"/>
              </w:rPr>
              <w:t xml:space="preserve"> </w:t>
            </w:r>
          </w:p>
        </w:tc>
        <w:tc>
          <w:tcPr>
            <w:tcW w:w="1652" w:type="dxa"/>
          </w:tcPr>
          <w:p>
            <w:pPr>
              <w:pStyle w:val="13"/>
              <w:spacing w:before="75"/>
              <w:ind w:left="150"/>
              <w:jc w:val="center"/>
              <w:rPr>
                <w:b/>
                <w:color w:val="auto"/>
                <w:sz w:val="24"/>
              </w:rPr>
            </w:pPr>
            <w:r>
              <w:rPr>
                <w:b/>
                <w:color w:val="auto"/>
                <w:w w:val="99"/>
                <w:sz w:val="24"/>
              </w:rPr>
              <w:t xml:space="preserve"> </w:t>
            </w:r>
          </w:p>
        </w:tc>
        <w:tc>
          <w:tcPr>
            <w:tcW w:w="2208" w:type="dxa"/>
          </w:tcPr>
          <w:p>
            <w:pPr>
              <w:pStyle w:val="13"/>
              <w:spacing w:before="75"/>
              <w:ind w:right="968"/>
              <w:jc w:val="right"/>
              <w:rPr>
                <w:b/>
                <w:color w:val="auto"/>
                <w:sz w:val="24"/>
              </w:rPr>
            </w:pPr>
            <w:r>
              <w:rPr>
                <w:b/>
                <w:color w:val="auto"/>
                <w:w w:val="99"/>
                <w:sz w:val="24"/>
              </w:rPr>
              <w:t xml:space="preserve"> </w:t>
            </w:r>
          </w:p>
        </w:tc>
        <w:tc>
          <w:tcPr>
            <w:tcW w:w="1682" w:type="dxa"/>
          </w:tcPr>
          <w:p>
            <w:pPr>
              <w:pStyle w:val="13"/>
              <w:spacing w:before="75"/>
              <w:ind w:left="150"/>
              <w:jc w:val="center"/>
              <w:rPr>
                <w:b/>
                <w:color w:val="auto"/>
                <w:sz w:val="24"/>
              </w:rPr>
            </w:pPr>
            <w:r>
              <w:rPr>
                <w:b/>
                <w:color w:val="auto"/>
                <w:w w:val="99"/>
                <w:sz w:val="24"/>
              </w:rPr>
              <w:t xml:space="preserve"> </w:t>
            </w:r>
          </w:p>
        </w:tc>
      </w:tr>
    </w:tbl>
    <w:p>
      <w:pPr>
        <w:pStyle w:val="8"/>
        <w:rPr>
          <w:color w:val="auto"/>
        </w:rPr>
      </w:pPr>
    </w:p>
    <w:p>
      <w:pPr>
        <w:pStyle w:val="8"/>
        <w:spacing w:before="158"/>
        <w:ind w:left="557"/>
        <w:jc w:val="center"/>
        <w:rPr>
          <w:color w:val="auto"/>
        </w:rPr>
      </w:pPr>
      <w:r>
        <w:rPr>
          <w:color w:val="auto"/>
        </w:rPr>
        <w:t xml:space="preserve">                  投标单位（盖章）：</w:t>
      </w:r>
      <w:r>
        <w:rPr>
          <w:color w:val="auto"/>
          <w:u w:val="single"/>
        </w:rPr>
        <w:t xml:space="preserve">              </w:t>
      </w:r>
      <w:r>
        <w:rPr>
          <w:color w:val="auto"/>
        </w:rPr>
        <w:t xml:space="preserve"> </w:t>
      </w:r>
    </w:p>
    <w:p>
      <w:pPr>
        <w:pStyle w:val="8"/>
        <w:spacing w:before="98"/>
        <w:ind w:right="1122"/>
        <w:jc w:val="center"/>
        <w:rPr>
          <w:color w:val="auto"/>
        </w:rPr>
      </w:pPr>
      <w:r>
        <w:rPr>
          <w:color w:val="auto"/>
        </w:rPr>
        <w:t xml:space="preserve"> </w:t>
      </w:r>
    </w:p>
    <w:p>
      <w:pPr>
        <w:pStyle w:val="8"/>
        <w:spacing w:before="98"/>
        <w:ind w:left="557"/>
        <w:jc w:val="center"/>
        <w:rPr>
          <w:color w:val="auto"/>
        </w:rPr>
      </w:pPr>
      <w:r>
        <w:rPr>
          <w:color w:val="auto"/>
        </w:rPr>
        <w:t>法定代表（签字或盖章）：</w:t>
      </w:r>
      <w:r>
        <w:rPr>
          <w:color w:val="auto"/>
          <w:u w:val="single"/>
        </w:rPr>
        <w:t xml:space="preserve">              </w:t>
      </w:r>
      <w:r>
        <w:rPr>
          <w:color w:val="auto"/>
        </w:rPr>
        <w:t xml:space="preserve"> </w:t>
      </w:r>
    </w:p>
    <w:p>
      <w:pPr>
        <w:pStyle w:val="8"/>
        <w:spacing w:before="82"/>
        <w:ind w:right="1122"/>
        <w:jc w:val="center"/>
        <w:rPr>
          <w:color w:val="auto"/>
        </w:rPr>
      </w:pPr>
      <w:r>
        <w:rPr>
          <w:color w:val="auto"/>
        </w:rPr>
        <w:t xml:space="preserve"> </w:t>
      </w:r>
    </w:p>
    <w:p>
      <w:pPr>
        <w:pStyle w:val="8"/>
        <w:spacing w:before="98"/>
        <w:ind w:left="557" w:right="510"/>
        <w:jc w:val="center"/>
        <w:rPr>
          <w:color w:val="auto"/>
        </w:rPr>
      </w:pPr>
      <w:r>
        <w:rPr>
          <w:color w:val="auto"/>
        </w:rPr>
        <w:t xml:space="preserve">日        期 ：   年  月 日 </w:t>
      </w:r>
    </w:p>
    <w:p>
      <w:pPr>
        <w:pStyle w:val="8"/>
        <w:rPr>
          <w:color w:val="auto"/>
          <w:sz w:val="20"/>
        </w:rPr>
      </w:pPr>
    </w:p>
    <w:p>
      <w:pPr>
        <w:pStyle w:val="8"/>
        <w:rPr>
          <w:color w:val="auto"/>
          <w:sz w:val="20"/>
        </w:rPr>
      </w:pPr>
    </w:p>
    <w:p>
      <w:pPr>
        <w:pStyle w:val="8"/>
        <w:spacing w:before="8"/>
        <w:rPr>
          <w:color w:val="auto"/>
        </w:rPr>
      </w:pPr>
    </w:p>
    <w:p>
      <w:pPr>
        <w:pStyle w:val="8"/>
        <w:spacing w:before="66"/>
        <w:ind w:left="542"/>
        <w:rPr>
          <w:color w:val="auto"/>
        </w:rPr>
      </w:pPr>
      <w:r>
        <w:rPr>
          <w:color w:val="auto"/>
          <w:spacing w:val="-1"/>
        </w:rPr>
        <w:t>注：1.</w:t>
      </w:r>
      <w:r>
        <w:rPr>
          <w:color w:val="auto"/>
        </w:rPr>
        <w:t xml:space="preserve">按照技术要求详细填列。 </w:t>
      </w:r>
    </w:p>
    <w:p>
      <w:pPr>
        <w:pStyle w:val="8"/>
        <w:spacing w:before="98"/>
        <w:ind w:left="1023"/>
        <w:rPr>
          <w:color w:val="auto"/>
        </w:rPr>
      </w:pPr>
      <w:r>
        <w:rPr>
          <w:color w:val="auto"/>
          <w:spacing w:val="-1"/>
        </w:rPr>
        <w:t>2.</w:t>
      </w:r>
      <w:r>
        <w:rPr>
          <w:color w:val="auto"/>
        </w:rPr>
        <w:t xml:space="preserve">行数不够，可自行添加。 </w:t>
      </w:r>
    </w:p>
    <w:p>
      <w:pPr>
        <w:pStyle w:val="8"/>
        <w:spacing w:before="83" w:line="316" w:lineRule="auto"/>
        <w:ind w:left="542" w:right="1780" w:firstLine="480"/>
        <w:rPr>
          <w:color w:val="auto"/>
        </w:rPr>
      </w:pPr>
      <w:r>
        <w:rPr>
          <w:color w:val="auto"/>
        </w:rPr>
        <w:t>3.</w:t>
      </w:r>
      <w:r>
        <w:rPr>
          <w:color w:val="auto"/>
          <w:spacing w:val="-9"/>
        </w:rPr>
        <w:t xml:space="preserve">请如实填写偏离表，如果虚假响应，将被暂停进入铜仁市公共资源交易中心（政府采购）活动。 </w:t>
      </w:r>
    </w:p>
    <w:p>
      <w:pPr>
        <w:pStyle w:val="8"/>
        <w:spacing w:line="309" w:lineRule="auto"/>
        <w:ind w:left="542" w:right="1779" w:firstLine="480"/>
        <w:jc w:val="both"/>
        <w:rPr>
          <w:color w:val="auto"/>
        </w:rPr>
      </w:pPr>
      <w:r>
        <w:rPr>
          <w:color w:val="auto"/>
        </w:rPr>
        <w:t>4.</w:t>
      </w:r>
      <w:r>
        <w:rPr>
          <w:color w:val="auto"/>
          <w:spacing w:val="-4"/>
        </w:rPr>
        <w:t>投标人可根据各个需求表的内容填报技术规格响应表，但技术规格响应表</w:t>
      </w:r>
      <w:r>
        <w:rPr>
          <w:color w:val="auto"/>
          <w:spacing w:val="-8"/>
        </w:rPr>
        <w:t xml:space="preserve">的内容必须对其相对应的供货需求的内容全部响应，否则，该投标将被视为非响应性投标而被拒绝。 </w:t>
      </w:r>
    </w:p>
    <w:p>
      <w:pPr>
        <w:pStyle w:val="8"/>
        <w:spacing w:before="9" w:line="304" w:lineRule="auto"/>
        <w:ind w:left="542" w:right="1929" w:firstLine="480"/>
        <w:rPr>
          <w:color w:val="auto"/>
        </w:rPr>
      </w:pPr>
      <w:bookmarkStart w:id="18" w:name="5.如招标文件中规定技术规格货物如因停产或其他原因造成市场上无法供货，可采用不低"/>
      <w:bookmarkEnd w:id="18"/>
      <w:r>
        <w:rPr>
          <w:color w:val="auto"/>
        </w:rPr>
        <w:t xml:space="preserve">5.如招标文件中规定技术规格货物如因停产或其他原因造成市场上无法供货，可采用不低于原有配置的货物投标。 </w:t>
      </w:r>
    </w:p>
    <w:p>
      <w:pPr>
        <w:pStyle w:val="2"/>
        <w:spacing w:line="351" w:lineRule="exact"/>
        <w:ind w:left="542"/>
        <w:rPr>
          <w:color w:val="auto"/>
        </w:rPr>
      </w:pPr>
      <w:r>
        <w:rPr>
          <w:color w:val="auto"/>
          <w:w w:val="99"/>
        </w:rPr>
        <w:t xml:space="preserve"> </w:t>
      </w:r>
    </w:p>
    <w:p>
      <w:pPr>
        <w:spacing w:before="0" w:line="376" w:lineRule="exact"/>
        <w:ind w:left="0" w:right="1062" w:firstLine="0"/>
        <w:jc w:val="center"/>
        <w:rPr>
          <w:b/>
          <w:color w:val="auto"/>
          <w:sz w:val="36"/>
        </w:rPr>
      </w:pPr>
      <w:r>
        <w:rPr>
          <w:b/>
          <w:color w:val="auto"/>
          <w:w w:val="99"/>
          <w:sz w:val="36"/>
        </w:rPr>
        <w:t xml:space="preserve"> </w:t>
      </w:r>
    </w:p>
    <w:p>
      <w:pPr>
        <w:spacing w:before="0" w:line="398" w:lineRule="exact"/>
        <w:ind w:left="0" w:right="1062" w:firstLine="0"/>
        <w:jc w:val="center"/>
        <w:rPr>
          <w:b/>
          <w:color w:val="auto"/>
          <w:sz w:val="36"/>
        </w:rPr>
      </w:pPr>
      <w:r>
        <w:rPr>
          <w:b/>
          <w:color w:val="auto"/>
          <w:w w:val="99"/>
          <w:sz w:val="36"/>
        </w:rPr>
        <w:t xml:space="preserve"> </w:t>
      </w:r>
    </w:p>
    <w:p>
      <w:pPr>
        <w:spacing w:before="0" w:line="405" w:lineRule="exact"/>
        <w:ind w:left="0" w:right="1062" w:firstLine="0"/>
        <w:jc w:val="center"/>
        <w:rPr>
          <w:b/>
          <w:color w:val="auto"/>
          <w:sz w:val="36"/>
        </w:rPr>
      </w:pPr>
      <w:r>
        <w:rPr>
          <w:b/>
          <w:color w:val="auto"/>
          <w:w w:val="99"/>
          <w:sz w:val="36"/>
        </w:rPr>
        <w:t xml:space="preserve"> </w:t>
      </w:r>
    </w:p>
    <w:p>
      <w:pPr>
        <w:spacing w:before="0" w:line="433" w:lineRule="exact"/>
        <w:ind w:left="0" w:right="1062" w:firstLine="0"/>
        <w:jc w:val="center"/>
        <w:rPr>
          <w:b/>
          <w:color w:val="auto"/>
          <w:sz w:val="36"/>
        </w:rPr>
      </w:pPr>
      <w:r>
        <w:rPr>
          <w:b/>
          <w:color w:val="auto"/>
          <w:w w:val="99"/>
          <w:sz w:val="36"/>
        </w:rPr>
        <w:t xml:space="preserve"> </w:t>
      </w:r>
    </w:p>
    <w:p>
      <w:pPr>
        <w:spacing w:after="0" w:line="433" w:lineRule="exact"/>
        <w:jc w:val="center"/>
        <w:rPr>
          <w:color w:val="auto"/>
          <w:sz w:val="36"/>
        </w:rPr>
        <w:sectPr>
          <w:footerReference r:id="rId6" w:type="default"/>
          <w:pgSz w:w="11910" w:h="16850"/>
          <w:pgMar w:top="1360" w:right="0" w:bottom="1200" w:left="1260" w:header="0" w:footer="1006" w:gutter="0"/>
          <w:pgNumType w:start="40"/>
          <w:cols w:space="720" w:num="1"/>
        </w:sectPr>
      </w:pPr>
    </w:p>
    <w:p>
      <w:pPr>
        <w:spacing w:before="31"/>
        <w:ind w:left="3005" w:right="0" w:firstLine="0"/>
        <w:jc w:val="left"/>
        <w:rPr>
          <w:b/>
          <w:color w:val="auto"/>
          <w:sz w:val="36"/>
        </w:rPr>
      </w:pPr>
      <w:r>
        <w:rPr>
          <w:b/>
          <w:color w:val="auto"/>
          <w:sz w:val="36"/>
        </w:rPr>
        <w:t>五 商务条款偏离表</w:t>
      </w:r>
      <w:r>
        <w:rPr>
          <w:b/>
          <w:color w:val="auto"/>
          <w:w w:val="99"/>
          <w:sz w:val="36"/>
        </w:rPr>
        <w:t xml:space="preserve"> </w:t>
      </w:r>
    </w:p>
    <w:p>
      <w:pPr>
        <w:pStyle w:val="8"/>
        <w:spacing w:before="64" w:line="304" w:lineRule="auto"/>
        <w:ind w:left="542" w:right="7462"/>
        <w:rPr>
          <w:color w:val="auto"/>
        </w:rPr>
      </w:pPr>
      <w:r>
        <w:rPr>
          <w:color w:val="auto"/>
        </w:rPr>
        <w:pict>
          <v:shape id="_x0000_s1049" o:spid="_x0000_s1049" o:spt="202" type="#_x0000_t202" style="position:absolute;left:0pt;margin-left:89.35pt;margin-top:39.2pt;height:350.6pt;width:421.3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8"/>
                    <w:gridCol w:w="2117"/>
                    <w:gridCol w:w="2117"/>
                    <w:gridCol w:w="2132"/>
                    <w:gridCol w:w="12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5" w:hRule="atLeast"/>
                    </w:trPr>
                    <w:tc>
                      <w:tcPr>
                        <w:tcW w:w="758" w:type="dxa"/>
                        <w:tcBorders>
                          <w:bottom w:val="single" w:color="000000" w:sz="6" w:space="0"/>
                          <w:right w:val="single" w:color="000000" w:sz="8" w:space="0"/>
                        </w:tcBorders>
                      </w:tcPr>
                      <w:p>
                        <w:pPr>
                          <w:pStyle w:val="13"/>
                          <w:spacing w:before="75"/>
                          <w:ind w:left="135" w:right="-15"/>
                          <w:rPr>
                            <w:sz w:val="24"/>
                          </w:rPr>
                        </w:pPr>
                        <w:r>
                          <w:rPr>
                            <w:sz w:val="24"/>
                          </w:rPr>
                          <w:t xml:space="preserve">序号 </w:t>
                        </w:r>
                      </w:p>
                    </w:tc>
                    <w:tc>
                      <w:tcPr>
                        <w:tcW w:w="2117" w:type="dxa"/>
                        <w:tcBorders>
                          <w:left w:val="single" w:color="000000" w:sz="8" w:space="0"/>
                          <w:bottom w:val="single" w:color="000000" w:sz="6" w:space="0"/>
                          <w:right w:val="single" w:color="000000" w:sz="6" w:space="0"/>
                        </w:tcBorders>
                      </w:tcPr>
                      <w:p>
                        <w:pPr>
                          <w:pStyle w:val="13"/>
                          <w:spacing w:before="75"/>
                          <w:ind w:left="223"/>
                          <w:rPr>
                            <w:sz w:val="24"/>
                          </w:rPr>
                        </w:pPr>
                        <w:r>
                          <w:rPr>
                            <w:sz w:val="24"/>
                          </w:rPr>
                          <w:t xml:space="preserve">谈判文件条目号 </w:t>
                        </w:r>
                      </w:p>
                    </w:tc>
                    <w:tc>
                      <w:tcPr>
                        <w:tcW w:w="2117" w:type="dxa"/>
                        <w:tcBorders>
                          <w:left w:val="single" w:color="000000" w:sz="6" w:space="0"/>
                          <w:bottom w:val="single" w:color="000000" w:sz="6" w:space="0"/>
                          <w:right w:val="single" w:color="000000" w:sz="6" w:space="0"/>
                        </w:tcBorders>
                      </w:tcPr>
                      <w:p>
                        <w:pPr>
                          <w:pStyle w:val="13"/>
                          <w:spacing w:before="75"/>
                          <w:ind w:left="207" w:right="174"/>
                          <w:jc w:val="center"/>
                          <w:rPr>
                            <w:sz w:val="24"/>
                          </w:rPr>
                        </w:pPr>
                        <w:r>
                          <w:rPr>
                            <w:sz w:val="24"/>
                          </w:rPr>
                          <w:t>谈判文件商务要</w:t>
                        </w:r>
                      </w:p>
                      <w:p>
                        <w:pPr>
                          <w:pStyle w:val="13"/>
                          <w:spacing w:before="98" w:line="295" w:lineRule="exact"/>
                          <w:ind w:left="207" w:right="55"/>
                          <w:jc w:val="center"/>
                          <w:rPr>
                            <w:sz w:val="24"/>
                          </w:rPr>
                        </w:pPr>
                        <w:r>
                          <w:rPr>
                            <w:sz w:val="24"/>
                          </w:rPr>
                          <w:t xml:space="preserve">求 </w:t>
                        </w:r>
                      </w:p>
                    </w:tc>
                    <w:tc>
                      <w:tcPr>
                        <w:tcW w:w="2132" w:type="dxa"/>
                        <w:tcBorders>
                          <w:left w:val="single" w:color="000000" w:sz="6" w:space="0"/>
                          <w:bottom w:val="single" w:color="000000" w:sz="6" w:space="0"/>
                          <w:right w:val="single" w:color="000000" w:sz="6" w:space="0"/>
                        </w:tcBorders>
                      </w:tcPr>
                      <w:p>
                        <w:pPr>
                          <w:pStyle w:val="13"/>
                          <w:spacing w:before="75"/>
                          <w:ind w:left="223" w:right="173"/>
                          <w:jc w:val="center"/>
                          <w:rPr>
                            <w:sz w:val="24"/>
                          </w:rPr>
                        </w:pPr>
                        <w:r>
                          <w:rPr>
                            <w:sz w:val="24"/>
                          </w:rPr>
                          <w:t>谈判文件商务响</w:t>
                        </w:r>
                      </w:p>
                      <w:p>
                        <w:pPr>
                          <w:pStyle w:val="13"/>
                          <w:spacing w:before="98" w:line="295" w:lineRule="exact"/>
                          <w:ind w:left="223" w:right="54"/>
                          <w:jc w:val="center"/>
                          <w:rPr>
                            <w:sz w:val="24"/>
                          </w:rPr>
                        </w:pPr>
                        <w:r>
                          <w:rPr>
                            <w:sz w:val="24"/>
                          </w:rPr>
                          <w:t xml:space="preserve">应 </w:t>
                        </w:r>
                      </w:p>
                    </w:tc>
                    <w:tc>
                      <w:tcPr>
                        <w:tcW w:w="1253" w:type="dxa"/>
                        <w:tcBorders>
                          <w:left w:val="single" w:color="000000" w:sz="6" w:space="0"/>
                          <w:bottom w:val="single" w:color="000000" w:sz="6" w:space="0"/>
                        </w:tcBorders>
                      </w:tcPr>
                      <w:p>
                        <w:pPr>
                          <w:pStyle w:val="13"/>
                          <w:spacing w:before="75"/>
                          <w:ind w:left="152" w:right="-15"/>
                          <w:rPr>
                            <w:sz w:val="24"/>
                          </w:rPr>
                        </w:pPr>
                        <w:r>
                          <w:rPr>
                            <w:sz w:val="24"/>
                          </w:rPr>
                          <w:t xml:space="preserve">偏差说明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758" w:type="dxa"/>
                        <w:tcBorders>
                          <w:top w:val="single" w:color="000000" w:sz="6" w:space="0"/>
                          <w:bottom w:val="single" w:color="000000" w:sz="6" w:space="0"/>
                          <w:right w:val="single" w:color="000000" w:sz="8" w:space="0"/>
                        </w:tcBorders>
                      </w:tcPr>
                      <w:p>
                        <w:pPr>
                          <w:pStyle w:val="13"/>
                          <w:spacing w:before="75"/>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60"/>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60"/>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60"/>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60"/>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60"/>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75" w:line="295" w:lineRule="exact"/>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line="295" w:lineRule="exact"/>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line="295" w:lineRule="exact"/>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758" w:type="dxa"/>
                        <w:tcBorders>
                          <w:top w:val="single" w:color="000000" w:sz="6" w:space="0"/>
                          <w:bottom w:val="single" w:color="000000" w:sz="6" w:space="0"/>
                          <w:right w:val="single" w:color="000000" w:sz="8" w:space="0"/>
                        </w:tcBorders>
                      </w:tcPr>
                      <w:p>
                        <w:pPr>
                          <w:pStyle w:val="13"/>
                          <w:spacing w:before="75"/>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60"/>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60"/>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60"/>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60"/>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60"/>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75" w:line="295" w:lineRule="exact"/>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line="295" w:lineRule="exact"/>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line="295" w:lineRule="exact"/>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758" w:type="dxa"/>
                        <w:tcBorders>
                          <w:top w:val="single" w:color="000000" w:sz="6" w:space="0"/>
                          <w:bottom w:val="single" w:color="000000" w:sz="6" w:space="0"/>
                          <w:right w:val="single" w:color="000000" w:sz="8" w:space="0"/>
                        </w:tcBorders>
                      </w:tcPr>
                      <w:p>
                        <w:pPr>
                          <w:pStyle w:val="13"/>
                          <w:spacing w:before="75"/>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60"/>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60"/>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60"/>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60"/>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60"/>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75" w:line="296" w:lineRule="exact"/>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line="296" w:lineRule="exact"/>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line="296" w:lineRule="exact"/>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line="296" w:lineRule="exact"/>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line="296" w:lineRule="exact"/>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758" w:type="dxa"/>
                        <w:tcBorders>
                          <w:top w:val="single" w:color="000000" w:sz="6" w:space="0"/>
                          <w:bottom w:val="single" w:color="000000" w:sz="6" w:space="0"/>
                          <w:right w:val="single" w:color="000000" w:sz="8" w:space="0"/>
                        </w:tcBorders>
                      </w:tcPr>
                      <w:p>
                        <w:pPr>
                          <w:pStyle w:val="13"/>
                          <w:spacing w:before="75"/>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60"/>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60"/>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60"/>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60"/>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60"/>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75" w:line="295" w:lineRule="exact"/>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line="295" w:lineRule="exact"/>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line="295" w:lineRule="exact"/>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line="295" w:lineRule="exact"/>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5" w:hRule="atLeast"/>
                    </w:trPr>
                    <w:tc>
                      <w:tcPr>
                        <w:tcW w:w="758" w:type="dxa"/>
                        <w:tcBorders>
                          <w:top w:val="single" w:color="000000" w:sz="6" w:space="0"/>
                          <w:bottom w:val="single" w:color="000000" w:sz="6" w:space="0"/>
                          <w:right w:val="single" w:color="000000" w:sz="8" w:space="0"/>
                        </w:tcBorders>
                      </w:tcPr>
                      <w:p>
                        <w:pPr>
                          <w:pStyle w:val="13"/>
                          <w:spacing w:before="75"/>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75"/>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75"/>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75"/>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75"/>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bottom w:val="single" w:color="000000" w:sz="6" w:space="0"/>
                          <w:right w:val="single" w:color="000000" w:sz="8" w:space="0"/>
                        </w:tcBorders>
                      </w:tcPr>
                      <w:p>
                        <w:pPr>
                          <w:pStyle w:val="13"/>
                          <w:spacing w:before="60"/>
                          <w:ind w:left="105"/>
                          <w:rPr>
                            <w:sz w:val="24"/>
                          </w:rPr>
                        </w:pPr>
                        <w:r>
                          <w:rPr>
                            <w:sz w:val="24"/>
                          </w:rPr>
                          <w:t xml:space="preserve"> </w:t>
                        </w:r>
                      </w:p>
                    </w:tc>
                    <w:tc>
                      <w:tcPr>
                        <w:tcW w:w="2117" w:type="dxa"/>
                        <w:tcBorders>
                          <w:top w:val="single" w:color="000000" w:sz="6" w:space="0"/>
                          <w:left w:val="single" w:color="000000" w:sz="8" w:space="0"/>
                          <w:bottom w:val="single" w:color="000000" w:sz="6" w:space="0"/>
                          <w:right w:val="single" w:color="000000" w:sz="6" w:space="0"/>
                        </w:tcBorders>
                      </w:tcPr>
                      <w:p>
                        <w:pPr>
                          <w:pStyle w:val="13"/>
                          <w:spacing w:before="60"/>
                          <w:ind w:left="118"/>
                          <w:rPr>
                            <w:sz w:val="24"/>
                          </w:rPr>
                        </w:pPr>
                        <w:r>
                          <w:rPr>
                            <w:sz w:val="24"/>
                          </w:rPr>
                          <w:t xml:space="preserve"> </w:t>
                        </w:r>
                      </w:p>
                    </w:tc>
                    <w:tc>
                      <w:tcPr>
                        <w:tcW w:w="2117" w:type="dxa"/>
                        <w:tcBorders>
                          <w:top w:val="single" w:color="000000" w:sz="6" w:space="0"/>
                          <w:left w:val="single" w:color="000000" w:sz="6" w:space="0"/>
                          <w:bottom w:val="single" w:color="000000" w:sz="6" w:space="0"/>
                          <w:right w:val="single" w:color="000000" w:sz="6" w:space="0"/>
                        </w:tcBorders>
                      </w:tcPr>
                      <w:p>
                        <w:pPr>
                          <w:pStyle w:val="13"/>
                          <w:spacing w:before="60"/>
                          <w:ind w:left="121"/>
                          <w:rPr>
                            <w:sz w:val="24"/>
                          </w:rPr>
                        </w:pPr>
                        <w:r>
                          <w:rPr>
                            <w:sz w:val="24"/>
                          </w:rPr>
                          <w:t xml:space="preserve"> </w:t>
                        </w:r>
                      </w:p>
                    </w:tc>
                    <w:tc>
                      <w:tcPr>
                        <w:tcW w:w="2132" w:type="dxa"/>
                        <w:tcBorders>
                          <w:top w:val="single" w:color="000000" w:sz="6" w:space="0"/>
                          <w:left w:val="single" w:color="000000" w:sz="6" w:space="0"/>
                          <w:bottom w:val="single" w:color="000000" w:sz="6" w:space="0"/>
                          <w:right w:val="single" w:color="000000" w:sz="6" w:space="0"/>
                        </w:tcBorders>
                      </w:tcPr>
                      <w:p>
                        <w:pPr>
                          <w:pStyle w:val="13"/>
                          <w:spacing w:before="60"/>
                          <w:ind w:left="136"/>
                          <w:rPr>
                            <w:sz w:val="24"/>
                          </w:rPr>
                        </w:pPr>
                        <w:r>
                          <w:rPr>
                            <w:sz w:val="24"/>
                          </w:rPr>
                          <w:t xml:space="preserve"> </w:t>
                        </w:r>
                      </w:p>
                    </w:tc>
                    <w:tc>
                      <w:tcPr>
                        <w:tcW w:w="1253" w:type="dxa"/>
                        <w:tcBorders>
                          <w:top w:val="single" w:color="000000" w:sz="6" w:space="0"/>
                          <w:left w:val="single" w:color="000000" w:sz="6" w:space="0"/>
                          <w:bottom w:val="single" w:color="000000" w:sz="6" w:space="0"/>
                        </w:tcBorders>
                      </w:tcPr>
                      <w:p>
                        <w:pPr>
                          <w:pStyle w:val="13"/>
                          <w:spacing w:before="60"/>
                          <w:ind w:left="122"/>
                          <w:rPr>
                            <w:sz w:val="24"/>
                          </w:rPr>
                        </w:pPr>
                        <w:r>
                          <w:rPr>
                            <w:sz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58" w:type="dxa"/>
                        <w:tcBorders>
                          <w:top w:val="single" w:color="000000" w:sz="6" w:space="0"/>
                          <w:right w:val="single" w:color="000000" w:sz="8" w:space="0"/>
                        </w:tcBorders>
                      </w:tcPr>
                      <w:p>
                        <w:pPr>
                          <w:pStyle w:val="13"/>
                          <w:spacing w:before="75" w:line="295" w:lineRule="exact"/>
                          <w:ind w:left="105"/>
                          <w:rPr>
                            <w:sz w:val="24"/>
                          </w:rPr>
                        </w:pPr>
                        <w:r>
                          <w:rPr>
                            <w:sz w:val="24"/>
                          </w:rPr>
                          <w:t xml:space="preserve"> </w:t>
                        </w:r>
                      </w:p>
                    </w:tc>
                    <w:tc>
                      <w:tcPr>
                        <w:tcW w:w="2117" w:type="dxa"/>
                        <w:tcBorders>
                          <w:top w:val="single" w:color="000000" w:sz="6" w:space="0"/>
                          <w:left w:val="single" w:color="000000" w:sz="8" w:space="0"/>
                          <w:right w:val="single" w:color="000000" w:sz="6" w:space="0"/>
                        </w:tcBorders>
                      </w:tcPr>
                      <w:p>
                        <w:pPr>
                          <w:pStyle w:val="13"/>
                          <w:spacing w:before="75" w:line="295" w:lineRule="exact"/>
                          <w:ind w:left="118"/>
                          <w:rPr>
                            <w:sz w:val="24"/>
                          </w:rPr>
                        </w:pPr>
                        <w:r>
                          <w:rPr>
                            <w:sz w:val="24"/>
                          </w:rPr>
                          <w:t xml:space="preserve"> </w:t>
                        </w:r>
                      </w:p>
                    </w:tc>
                    <w:tc>
                      <w:tcPr>
                        <w:tcW w:w="2117" w:type="dxa"/>
                        <w:tcBorders>
                          <w:top w:val="single" w:color="000000" w:sz="6" w:space="0"/>
                          <w:left w:val="single" w:color="000000" w:sz="6" w:space="0"/>
                          <w:right w:val="single" w:color="000000" w:sz="6" w:space="0"/>
                        </w:tcBorders>
                      </w:tcPr>
                      <w:p>
                        <w:pPr>
                          <w:pStyle w:val="13"/>
                          <w:spacing w:before="75" w:line="295" w:lineRule="exact"/>
                          <w:ind w:left="121"/>
                          <w:rPr>
                            <w:sz w:val="24"/>
                          </w:rPr>
                        </w:pPr>
                        <w:r>
                          <w:rPr>
                            <w:sz w:val="24"/>
                          </w:rPr>
                          <w:t xml:space="preserve"> </w:t>
                        </w:r>
                      </w:p>
                    </w:tc>
                    <w:tc>
                      <w:tcPr>
                        <w:tcW w:w="2132" w:type="dxa"/>
                        <w:tcBorders>
                          <w:top w:val="single" w:color="000000" w:sz="6" w:space="0"/>
                          <w:left w:val="single" w:color="000000" w:sz="6" w:space="0"/>
                          <w:right w:val="single" w:color="000000" w:sz="6" w:space="0"/>
                        </w:tcBorders>
                      </w:tcPr>
                      <w:p>
                        <w:pPr>
                          <w:pStyle w:val="13"/>
                          <w:spacing w:before="75" w:line="295" w:lineRule="exact"/>
                          <w:ind w:left="136"/>
                          <w:rPr>
                            <w:sz w:val="24"/>
                          </w:rPr>
                        </w:pPr>
                        <w:r>
                          <w:rPr>
                            <w:sz w:val="24"/>
                          </w:rPr>
                          <w:t xml:space="preserve"> </w:t>
                        </w:r>
                      </w:p>
                    </w:tc>
                    <w:tc>
                      <w:tcPr>
                        <w:tcW w:w="1253" w:type="dxa"/>
                        <w:tcBorders>
                          <w:top w:val="single" w:color="000000" w:sz="6" w:space="0"/>
                          <w:left w:val="single" w:color="000000" w:sz="6" w:space="0"/>
                        </w:tcBorders>
                      </w:tcPr>
                      <w:p>
                        <w:pPr>
                          <w:pStyle w:val="13"/>
                          <w:spacing w:before="75" w:line="295" w:lineRule="exact"/>
                          <w:ind w:left="122"/>
                          <w:rPr>
                            <w:sz w:val="24"/>
                          </w:rPr>
                        </w:pPr>
                        <w:r>
                          <w:rPr>
                            <w:sz w:val="24"/>
                          </w:rPr>
                          <w:t xml:space="preserve"> </w:t>
                        </w:r>
                      </w:p>
                    </w:tc>
                  </w:tr>
                </w:tbl>
                <w:p>
                  <w:pPr>
                    <w:pStyle w:val="8"/>
                  </w:pPr>
                </w:p>
              </w:txbxContent>
            </v:textbox>
          </v:shape>
        </w:pict>
      </w:r>
      <w:r>
        <w:rPr>
          <w:color w:val="auto"/>
        </w:rPr>
        <w:t xml:space="preserve">项目名称：           项目编号： </w:t>
      </w: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spacing w:before="4"/>
        <w:rPr>
          <w:color w:val="auto"/>
          <w:sz w:val="20"/>
        </w:rPr>
      </w:pPr>
    </w:p>
    <w:p>
      <w:pPr>
        <w:pStyle w:val="5"/>
        <w:spacing w:before="1"/>
        <w:ind w:left="0" w:right="1122"/>
        <w:jc w:val="center"/>
        <w:rPr>
          <w:color w:val="auto"/>
        </w:rPr>
      </w:pPr>
      <w:r>
        <w:rPr>
          <w:color w:val="auto"/>
          <w:w w:val="99"/>
        </w:rPr>
        <w:t xml:space="preserve"> </w:t>
      </w:r>
    </w:p>
    <w:p>
      <w:pPr>
        <w:pStyle w:val="8"/>
        <w:spacing w:before="98"/>
        <w:ind w:left="557"/>
        <w:jc w:val="center"/>
        <w:rPr>
          <w:color w:val="auto"/>
        </w:rPr>
      </w:pPr>
      <w:r>
        <w:rPr>
          <w:color w:val="auto"/>
        </w:rPr>
        <w:t>投标单位（盖章）：</w:t>
      </w:r>
      <w:r>
        <w:rPr>
          <w:color w:val="auto"/>
          <w:u w:val="single"/>
        </w:rPr>
        <w:t xml:space="preserve">              </w:t>
      </w:r>
      <w:r>
        <w:rPr>
          <w:color w:val="auto"/>
        </w:rPr>
        <w:t xml:space="preserve"> </w:t>
      </w:r>
    </w:p>
    <w:p>
      <w:pPr>
        <w:pStyle w:val="8"/>
        <w:spacing w:before="98"/>
        <w:ind w:right="1122"/>
        <w:jc w:val="center"/>
        <w:rPr>
          <w:color w:val="auto"/>
        </w:rPr>
      </w:pPr>
      <w:r>
        <w:rPr>
          <w:color w:val="auto"/>
        </w:rPr>
        <w:t xml:space="preserve"> </w:t>
      </w:r>
    </w:p>
    <w:p>
      <w:pPr>
        <w:pStyle w:val="8"/>
        <w:spacing w:before="83"/>
        <w:ind w:left="557"/>
        <w:jc w:val="center"/>
        <w:rPr>
          <w:color w:val="auto"/>
        </w:rPr>
      </w:pPr>
      <w:r>
        <w:rPr>
          <w:color w:val="auto"/>
        </w:rPr>
        <w:t>法定代表（签字或盖章）：</w:t>
      </w:r>
      <w:r>
        <w:rPr>
          <w:color w:val="auto"/>
          <w:u w:val="single"/>
        </w:rPr>
        <w:t xml:space="preserve">              </w:t>
      </w:r>
      <w:r>
        <w:rPr>
          <w:color w:val="auto"/>
        </w:rPr>
        <w:t xml:space="preserve"> </w:t>
      </w:r>
    </w:p>
    <w:p>
      <w:pPr>
        <w:pStyle w:val="8"/>
        <w:spacing w:before="97"/>
        <w:ind w:right="1122"/>
        <w:jc w:val="center"/>
        <w:rPr>
          <w:color w:val="auto"/>
        </w:rPr>
      </w:pPr>
      <w:r>
        <w:rPr>
          <w:color w:val="auto"/>
        </w:rPr>
        <w:t xml:space="preserve"> </w:t>
      </w:r>
    </w:p>
    <w:p>
      <w:pPr>
        <w:pStyle w:val="8"/>
        <w:spacing w:before="98"/>
        <w:ind w:left="557" w:right="510"/>
        <w:jc w:val="center"/>
        <w:rPr>
          <w:color w:val="auto"/>
        </w:rPr>
      </w:pPr>
      <w:r>
        <w:rPr>
          <w:color w:val="auto"/>
        </w:rPr>
        <w:t xml:space="preserve">日        期 ：   年  月 日 </w:t>
      </w:r>
    </w:p>
    <w:p>
      <w:pPr>
        <w:pStyle w:val="8"/>
        <w:spacing w:before="83"/>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rPr>
          <w:color w:val="auto"/>
          <w:sz w:val="20"/>
        </w:rPr>
      </w:pPr>
    </w:p>
    <w:p>
      <w:pPr>
        <w:pStyle w:val="8"/>
        <w:spacing w:before="12"/>
        <w:rPr>
          <w:color w:val="auto"/>
          <w:sz w:val="16"/>
        </w:rPr>
      </w:pPr>
    </w:p>
    <w:p>
      <w:pPr>
        <w:tabs>
          <w:tab w:val="left" w:pos="3425"/>
        </w:tabs>
        <w:spacing w:before="65"/>
        <w:ind w:left="542" w:right="0" w:firstLine="0"/>
        <w:jc w:val="left"/>
        <w:rPr>
          <w:color w:val="auto"/>
          <w:sz w:val="28"/>
        </w:rPr>
      </w:pPr>
      <w:r>
        <w:rPr>
          <w:color w:val="auto"/>
          <w:w w:val="101"/>
          <w:sz w:val="28"/>
        </w:rPr>
        <w:t xml:space="preserve"> </w:t>
      </w:r>
      <w:r>
        <w:rPr>
          <w:color w:val="auto"/>
          <w:sz w:val="28"/>
        </w:rPr>
        <w:tab/>
      </w:r>
      <w:r>
        <w:rPr>
          <w:color w:val="auto"/>
          <w:w w:val="101"/>
          <w:sz w:val="28"/>
        </w:rPr>
        <w:t xml:space="preserve"> </w:t>
      </w:r>
    </w:p>
    <w:p>
      <w:pPr>
        <w:spacing w:after="0"/>
        <w:jc w:val="left"/>
        <w:rPr>
          <w:color w:val="auto"/>
          <w:sz w:val="28"/>
        </w:rPr>
        <w:sectPr>
          <w:pgSz w:w="11910" w:h="16850"/>
          <w:pgMar w:top="1360" w:right="0" w:bottom="1200" w:left="1260" w:header="0" w:footer="1006" w:gutter="0"/>
          <w:cols w:space="720" w:num="1"/>
        </w:sectPr>
      </w:pPr>
    </w:p>
    <w:p>
      <w:pPr>
        <w:pStyle w:val="8"/>
        <w:rPr>
          <w:color w:val="auto"/>
        </w:rPr>
      </w:pPr>
    </w:p>
    <w:p>
      <w:pPr>
        <w:pStyle w:val="8"/>
        <w:rPr>
          <w:color w:val="auto"/>
        </w:rPr>
      </w:pPr>
    </w:p>
    <w:p>
      <w:pPr>
        <w:pStyle w:val="8"/>
        <w:spacing w:before="11"/>
        <w:rPr>
          <w:color w:val="auto"/>
          <w:sz w:val="25"/>
        </w:rPr>
      </w:pPr>
    </w:p>
    <w:p>
      <w:pPr>
        <w:pStyle w:val="8"/>
        <w:ind w:left="542"/>
        <w:rPr>
          <w:color w:val="auto"/>
        </w:rPr>
      </w:pPr>
      <w:r>
        <w:rPr>
          <w:color w:val="auto"/>
          <w:u w:val="single"/>
        </w:rPr>
        <w:t xml:space="preserve">（业主） </w:t>
      </w:r>
      <w:r>
        <w:rPr>
          <w:color w:val="auto"/>
        </w:rPr>
        <w:t xml:space="preserve">： </w:t>
      </w:r>
    </w:p>
    <w:p>
      <w:pPr>
        <w:pStyle w:val="2"/>
        <w:spacing w:before="31"/>
        <w:ind w:left="781" w:right="4126"/>
        <w:jc w:val="center"/>
        <w:rPr>
          <w:color w:val="auto"/>
        </w:rPr>
      </w:pPr>
      <w:r>
        <w:rPr>
          <w:b w:val="0"/>
          <w:color w:val="auto"/>
        </w:rPr>
        <w:br w:type="column"/>
      </w:r>
      <w:r>
        <w:rPr>
          <w:color w:val="auto"/>
        </w:rPr>
        <w:t>六 法定代表人授权书</w:t>
      </w:r>
      <w:r>
        <w:rPr>
          <w:color w:val="auto"/>
          <w:w w:val="99"/>
        </w:rPr>
        <w:t xml:space="preserve"> </w:t>
      </w:r>
    </w:p>
    <w:p>
      <w:pPr>
        <w:spacing w:before="24"/>
        <w:ind w:left="0" w:right="3367" w:firstLine="0"/>
        <w:jc w:val="center"/>
        <w:rPr>
          <w:color w:val="auto"/>
          <w:sz w:val="28"/>
        </w:rPr>
      </w:pPr>
      <w:r>
        <w:rPr>
          <w:color w:val="auto"/>
          <w:w w:val="101"/>
          <w:sz w:val="28"/>
        </w:rPr>
        <w:t xml:space="preserve"> </w:t>
      </w:r>
    </w:p>
    <w:p>
      <w:pPr>
        <w:spacing w:after="0"/>
        <w:jc w:val="center"/>
        <w:rPr>
          <w:color w:val="auto"/>
          <w:sz w:val="28"/>
        </w:rPr>
        <w:sectPr>
          <w:pgSz w:w="11910" w:h="16850"/>
          <w:pgMar w:top="1360" w:right="0" w:bottom="1200" w:left="1260" w:header="0" w:footer="1006" w:gutter="0"/>
          <w:cols w:equalWidth="0" w:num="2">
            <w:col w:w="2025" w:space="243"/>
            <w:col w:w="8382"/>
          </w:cols>
        </w:sectPr>
      </w:pPr>
    </w:p>
    <w:p>
      <w:pPr>
        <w:pStyle w:val="8"/>
        <w:spacing w:before="98" w:line="316" w:lineRule="auto"/>
        <w:ind w:left="542" w:right="1786" w:firstLine="480"/>
        <w:rPr>
          <w:color w:val="auto"/>
        </w:rPr>
      </w:pPr>
      <w:r>
        <w:rPr>
          <w:color w:val="auto"/>
          <w:u w:val="single"/>
        </w:rPr>
        <w:t>（谈判响应供应商全称）</w:t>
      </w:r>
      <w:r>
        <w:rPr>
          <w:color w:val="auto"/>
        </w:rPr>
        <w:t>法定代表人</w:t>
      </w:r>
      <w:r>
        <w:rPr>
          <w:color w:val="auto"/>
          <w:u w:val="single"/>
        </w:rPr>
        <w:t xml:space="preserve">      </w:t>
      </w:r>
      <w:r>
        <w:rPr>
          <w:color w:val="auto"/>
        </w:rPr>
        <w:t xml:space="preserve"> 授权</w:t>
      </w:r>
      <w:r>
        <w:rPr>
          <w:color w:val="auto"/>
          <w:u w:val="single"/>
        </w:rPr>
        <w:t xml:space="preserve">  （谈判响应供应商代表姓名）</w:t>
      </w:r>
      <w:r>
        <w:rPr>
          <w:color w:val="auto"/>
        </w:rPr>
        <w:t>为谈判响应供应商代表，代表本公司参加贵司组织的</w:t>
      </w:r>
      <w:r>
        <w:rPr>
          <w:color w:val="auto"/>
          <w:u w:val="single"/>
        </w:rPr>
        <w:t xml:space="preserve"> </w:t>
      </w:r>
      <w:r>
        <w:rPr>
          <w:color w:val="auto"/>
        </w:rPr>
        <w:t>项目</w:t>
      </w:r>
    </w:p>
    <w:p>
      <w:pPr>
        <w:pStyle w:val="8"/>
        <w:spacing w:line="292" w:lineRule="exact"/>
        <w:ind w:left="542"/>
        <w:rPr>
          <w:color w:val="auto"/>
        </w:rPr>
      </w:pPr>
      <w:r>
        <w:rPr>
          <w:color w:val="auto"/>
        </w:rPr>
        <w:t>（项目编号</w:t>
      </w:r>
      <w:r>
        <w:rPr>
          <w:color w:val="auto"/>
          <w:spacing w:val="120"/>
          <w:u w:val="single"/>
        </w:rPr>
        <w:t xml:space="preserve"> </w:t>
      </w:r>
      <w:r>
        <w:rPr>
          <w:color w:val="auto"/>
          <w:spacing w:val="-45"/>
        </w:rPr>
        <w:t>）</w:t>
      </w:r>
      <w:r>
        <w:rPr>
          <w:color w:val="auto"/>
          <w:spacing w:val="-7"/>
        </w:rPr>
        <w:t>采购活动，全权代表本公司处理谈判响应过程的一切事宜，</w:t>
      </w:r>
    </w:p>
    <w:p>
      <w:pPr>
        <w:pStyle w:val="8"/>
        <w:spacing w:before="98" w:line="312" w:lineRule="auto"/>
        <w:ind w:left="542" w:right="1649"/>
        <w:rPr>
          <w:color w:val="auto"/>
        </w:rPr>
      </w:pPr>
      <w:r>
        <w:rPr>
          <w:color w:val="auto"/>
          <w:spacing w:val="-2"/>
        </w:rPr>
        <w:t>包括但不限于：</w:t>
      </w:r>
      <w:r>
        <w:rPr>
          <w:color w:val="auto"/>
          <w:spacing w:val="-12"/>
        </w:rPr>
        <w:t>（1）</w:t>
      </w:r>
      <w:r>
        <w:rPr>
          <w:color w:val="auto"/>
          <w:spacing w:val="-6"/>
        </w:rPr>
        <w:t>签署、澄清、补正、修改、撤回、提交响应文件；</w:t>
      </w:r>
      <w:r>
        <w:rPr>
          <w:color w:val="auto"/>
          <w:spacing w:val="-9"/>
        </w:rPr>
        <w:t>（2）</w:t>
      </w:r>
      <w:r>
        <w:rPr>
          <w:color w:val="auto"/>
          <w:spacing w:val="-15"/>
        </w:rPr>
        <w:t>签</w:t>
      </w:r>
      <w:r>
        <w:rPr>
          <w:color w:val="auto"/>
          <w:spacing w:val="-2"/>
        </w:rPr>
        <w:t>署并重新提交响应文件及报价；</w:t>
      </w:r>
      <w:r>
        <w:rPr>
          <w:color w:val="auto"/>
          <w:spacing w:val="-24"/>
        </w:rPr>
        <w:t>（3）</w:t>
      </w:r>
      <w:r>
        <w:rPr>
          <w:color w:val="auto"/>
          <w:spacing w:val="-6"/>
        </w:rPr>
        <w:t>退出谈判；</w:t>
      </w:r>
      <w:r>
        <w:rPr>
          <w:color w:val="auto"/>
          <w:spacing w:val="-27"/>
        </w:rPr>
        <w:t>（4）</w:t>
      </w:r>
      <w:r>
        <w:rPr>
          <w:color w:val="auto"/>
        </w:rPr>
        <w:t>签订合同和处理有关事宜。</w:t>
      </w:r>
      <w:r>
        <w:rPr>
          <w:color w:val="auto"/>
          <w:spacing w:val="-3"/>
        </w:rPr>
        <w:t xml:space="preserve">供应商代表在采购过程中所签署的一切文件和处理与之有关的一切事务，本公司均予以认可并对此承担责任。供应商代表无转委托权。特此授权。 </w:t>
      </w:r>
    </w:p>
    <w:p>
      <w:pPr>
        <w:pStyle w:val="8"/>
        <w:spacing w:before="7"/>
        <w:ind w:left="1023"/>
        <w:rPr>
          <w:color w:val="auto"/>
        </w:rPr>
      </w:pPr>
      <w:r>
        <w:rPr>
          <w:color w:val="auto"/>
        </w:rPr>
        <w:t xml:space="preserve">本授权书自出具之日起生效。 </w:t>
      </w:r>
    </w:p>
    <w:p>
      <w:pPr>
        <w:pStyle w:val="8"/>
        <w:spacing w:before="83" w:line="316" w:lineRule="auto"/>
        <w:ind w:left="542" w:right="974"/>
        <w:rPr>
          <w:color w:val="auto"/>
        </w:rPr>
      </w:pPr>
      <w:r>
        <w:rPr>
          <w:color w:val="auto"/>
        </w:rPr>
        <w:t>谈 判 响 应 供 应 商 代 表 ：</w:t>
      </w:r>
      <w:r>
        <w:rPr>
          <w:color w:val="auto"/>
          <w:u w:val="single"/>
        </w:rPr>
        <w:t xml:space="preserve">      </w:t>
      </w:r>
      <w:r>
        <w:rPr>
          <w:color w:val="auto"/>
          <w:spacing w:val="1"/>
        </w:rPr>
        <w:t xml:space="preserve"> 性 别 ：</w:t>
      </w:r>
      <w:r>
        <w:rPr>
          <w:color w:val="auto"/>
          <w:spacing w:val="8"/>
          <w:u w:val="single"/>
        </w:rPr>
        <w:t xml:space="preserve">               </w:t>
      </w:r>
      <w:r>
        <w:rPr>
          <w:color w:val="auto"/>
        </w:rPr>
        <w:t>身 份 证 号 ： 单 位 ： 部 门 ： 职 务 ：</w:t>
      </w:r>
      <w:r>
        <w:rPr>
          <w:color w:val="auto"/>
          <w:u w:val="single"/>
        </w:rPr>
        <w:t xml:space="preserve">                 </w:t>
      </w:r>
      <w:r>
        <w:rPr>
          <w:color w:val="auto"/>
          <w:spacing w:val="2"/>
          <w:u w:val="single"/>
        </w:rPr>
        <w:t xml:space="preserve"> </w:t>
      </w:r>
      <w:r>
        <w:rPr>
          <w:color w:val="auto"/>
        </w:rPr>
        <w:t xml:space="preserve"> </w:t>
      </w:r>
    </w:p>
    <w:p>
      <w:pPr>
        <w:pStyle w:val="8"/>
        <w:spacing w:line="304" w:lineRule="auto"/>
        <w:ind w:left="542" w:right="1935"/>
        <w:rPr>
          <w:color w:val="auto"/>
        </w:rPr>
      </w:pPr>
      <w:r>
        <w:rPr>
          <w:color w:val="auto"/>
        </w:rPr>
        <w:t>详 细 通 讯 地 址 ：</w:t>
      </w:r>
      <w:r>
        <w:rPr>
          <w:color w:val="auto"/>
          <w:u w:val="single"/>
        </w:rPr>
        <w:t xml:space="preserve">               </w:t>
      </w:r>
      <w:r>
        <w:rPr>
          <w:color w:val="auto"/>
        </w:rPr>
        <w:t xml:space="preserve">    邮 政 编 码 :</w:t>
      </w:r>
      <w:r>
        <w:rPr>
          <w:color w:val="auto"/>
          <w:u w:val="single"/>
        </w:rPr>
        <w:t xml:space="preserve">     </w:t>
      </w:r>
      <w:r>
        <w:rPr>
          <w:color w:val="auto"/>
          <w:spacing w:val="1"/>
        </w:rPr>
        <w:t xml:space="preserve"> 电 话 ： 电子信箱：</w:t>
      </w:r>
      <w:r>
        <w:rPr>
          <w:color w:val="auto"/>
          <w:spacing w:val="1"/>
          <w:u w:val="single"/>
        </w:rPr>
        <w:t xml:space="preserve">             </w:t>
      </w:r>
      <w:r>
        <w:rPr>
          <w:color w:val="auto"/>
          <w:spacing w:val="2"/>
          <w:u w:val="single"/>
        </w:rPr>
        <w:t xml:space="preserve"> </w:t>
      </w:r>
      <w:r>
        <w:rPr>
          <w:color w:val="auto"/>
        </w:rPr>
        <w:t xml:space="preserve"> </w:t>
      </w:r>
    </w:p>
    <w:p>
      <w:pPr>
        <w:pStyle w:val="8"/>
        <w:spacing w:before="14"/>
        <w:ind w:left="542"/>
        <w:rPr>
          <w:color w:val="auto"/>
        </w:rPr>
      </w:pPr>
      <w:r>
        <w:rPr>
          <w:color w:val="auto"/>
        </w:rPr>
        <w:t xml:space="preserve"> </w:t>
      </w:r>
    </w:p>
    <w:p>
      <w:pPr>
        <w:pStyle w:val="8"/>
        <w:spacing w:before="98" w:line="304" w:lineRule="auto"/>
        <w:ind w:left="782" w:right="6621" w:hanging="240"/>
        <w:rPr>
          <w:color w:val="auto"/>
        </w:rPr>
      </w:pPr>
      <w:r>
        <w:rPr>
          <w:color w:val="auto"/>
        </w:rPr>
        <w:t xml:space="preserve">附：授权人身份证件（正反面） 被授权人身份证件（正反面） </w:t>
      </w:r>
    </w:p>
    <w:p>
      <w:pPr>
        <w:pStyle w:val="8"/>
        <w:spacing w:before="14"/>
        <w:ind w:left="4627"/>
        <w:rPr>
          <w:color w:val="auto"/>
        </w:rPr>
      </w:pPr>
      <w:r>
        <w:rPr>
          <w:color w:val="auto"/>
        </w:rPr>
        <w:t xml:space="preserve">授权方 </w:t>
      </w:r>
    </w:p>
    <w:p>
      <w:pPr>
        <w:pStyle w:val="8"/>
        <w:spacing w:before="98" w:line="304" w:lineRule="auto"/>
        <w:ind w:left="4507" w:right="15"/>
        <w:rPr>
          <w:color w:val="auto"/>
        </w:rPr>
      </w:pPr>
      <w:r>
        <w:rPr>
          <w:color w:val="auto"/>
        </w:rPr>
        <w:t>谈判响应供应商（全称并加盖公章）：</w:t>
      </w:r>
      <w:r>
        <w:rPr>
          <w:color w:val="auto"/>
          <w:u w:val="single"/>
        </w:rPr>
        <w:t xml:space="preserve"> </w:t>
      </w:r>
      <w:r>
        <w:rPr>
          <w:color w:val="auto"/>
        </w:rPr>
        <w:t xml:space="preserve">               法定代表人签字或盖章：</w:t>
      </w:r>
      <w:r>
        <w:rPr>
          <w:color w:val="auto"/>
          <w:u w:val="single"/>
        </w:rPr>
        <w:t xml:space="preserve">              </w:t>
      </w:r>
      <w:r>
        <w:rPr>
          <w:color w:val="auto"/>
        </w:rPr>
        <w:t xml:space="preserve">      </w:t>
      </w:r>
      <w:r>
        <w:rPr>
          <w:color w:val="auto"/>
          <w:spacing w:val="3"/>
        </w:rPr>
        <w:t xml:space="preserve"> </w:t>
      </w:r>
      <w:r>
        <w:rPr>
          <w:color w:val="auto"/>
        </w:rPr>
        <w:t xml:space="preserve"> </w:t>
      </w:r>
    </w:p>
    <w:p>
      <w:pPr>
        <w:pStyle w:val="8"/>
        <w:spacing w:before="15"/>
        <w:ind w:left="5348"/>
        <w:rPr>
          <w:color w:val="auto"/>
        </w:rPr>
      </w:pPr>
      <w:r>
        <w:rPr>
          <w:color w:val="auto"/>
        </w:rPr>
        <w:t>日 期 ：</w:t>
      </w:r>
      <w:r>
        <w:rPr>
          <w:color w:val="auto"/>
          <w:u w:val="single"/>
        </w:rPr>
        <w:t xml:space="preserve">                  </w:t>
      </w:r>
      <w:r>
        <w:rPr>
          <w:color w:val="auto"/>
        </w:rPr>
        <w:t xml:space="preserve">      </w:t>
      </w:r>
    </w:p>
    <w:p>
      <w:pPr>
        <w:pStyle w:val="8"/>
        <w:rPr>
          <w:color w:val="auto"/>
        </w:rPr>
      </w:pPr>
    </w:p>
    <w:p>
      <w:pPr>
        <w:pStyle w:val="8"/>
        <w:spacing w:before="180"/>
        <w:ind w:left="4627"/>
        <w:rPr>
          <w:color w:val="auto"/>
        </w:rPr>
      </w:pPr>
      <w:r>
        <w:rPr>
          <w:color w:val="auto"/>
        </w:rPr>
        <w:t xml:space="preserve">接受授权方 </w:t>
      </w:r>
    </w:p>
    <w:p>
      <w:pPr>
        <w:pStyle w:val="8"/>
        <w:spacing w:before="98" w:line="316" w:lineRule="auto"/>
        <w:ind w:left="5348" w:right="1094" w:hanging="721"/>
        <w:rPr>
          <w:color w:val="auto"/>
        </w:rPr>
      </w:pPr>
      <w:r>
        <w:rPr>
          <w:color w:val="auto"/>
          <w:spacing w:val="-1"/>
        </w:rPr>
        <w:t>谈判响应供应商代表签字：</w:t>
      </w:r>
      <w:r>
        <w:rPr>
          <w:color w:val="auto"/>
          <w:spacing w:val="-1"/>
          <w:u w:val="single"/>
        </w:rPr>
        <w:t xml:space="preserve">          </w:t>
      </w:r>
      <w:r>
        <w:rPr>
          <w:color w:val="auto"/>
          <w:spacing w:val="-1"/>
        </w:rPr>
        <w:t xml:space="preserve">      </w:t>
      </w:r>
      <w:r>
        <w:rPr>
          <w:color w:val="auto"/>
        </w:rPr>
        <w:t>日 期 ：</w:t>
      </w:r>
      <w:r>
        <w:rPr>
          <w:color w:val="auto"/>
          <w:u w:val="single"/>
        </w:rPr>
        <w:t xml:space="preserve">                  </w:t>
      </w:r>
      <w:r>
        <w:rPr>
          <w:color w:val="auto"/>
        </w:rPr>
        <w:t xml:space="preserve">  </w:t>
      </w:r>
      <w:r>
        <w:rPr>
          <w:color w:val="auto"/>
          <w:spacing w:val="3"/>
        </w:rPr>
        <w:t xml:space="preserve"> </w:t>
      </w:r>
      <w:r>
        <w:rPr>
          <w:color w:val="auto"/>
        </w:rPr>
        <w:t xml:space="preserve">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2"/>
        <w:rPr>
          <w:color w:val="auto"/>
          <w:sz w:val="15"/>
        </w:rPr>
      </w:pPr>
    </w:p>
    <w:p>
      <w:pPr>
        <w:pStyle w:val="2"/>
        <w:spacing w:before="50"/>
        <w:ind w:left="3050"/>
        <w:rPr>
          <w:color w:val="auto"/>
        </w:rPr>
      </w:pPr>
      <w:r>
        <w:rPr>
          <w:color w:val="auto"/>
          <w:w w:val="99"/>
        </w:rPr>
        <w:t xml:space="preserve"> </w:t>
      </w:r>
    </w:p>
    <w:p>
      <w:pPr>
        <w:spacing w:after="0"/>
        <w:rPr>
          <w:color w:val="auto"/>
        </w:rPr>
        <w:sectPr>
          <w:type w:val="continuous"/>
          <w:pgSz w:w="11910" w:h="16850"/>
          <w:pgMar w:top="1600" w:right="0" w:bottom="280" w:left="1260" w:header="720" w:footer="720" w:gutter="0"/>
          <w:cols w:space="720" w:num="1"/>
        </w:sectPr>
      </w:pPr>
    </w:p>
    <w:p>
      <w:pPr>
        <w:spacing w:before="26"/>
        <w:ind w:left="3050" w:right="0" w:firstLine="0"/>
        <w:jc w:val="left"/>
        <w:rPr>
          <w:b/>
          <w:color w:val="auto"/>
          <w:sz w:val="36"/>
        </w:rPr>
      </w:pPr>
      <w:r>
        <w:rPr>
          <w:b/>
          <w:color w:val="auto"/>
          <w:sz w:val="36"/>
        </w:rPr>
        <w:t>七 资格声明及文件</w:t>
      </w:r>
      <w:r>
        <w:rPr>
          <w:b/>
          <w:color w:val="auto"/>
          <w:w w:val="99"/>
          <w:sz w:val="36"/>
        </w:rPr>
        <w:t xml:space="preserve"> </w:t>
      </w:r>
    </w:p>
    <w:p>
      <w:pPr>
        <w:pStyle w:val="8"/>
        <w:spacing w:before="154" w:line="340" w:lineRule="auto"/>
        <w:ind w:left="542" w:right="1755" w:firstLine="480"/>
        <w:rPr>
          <w:color w:val="auto"/>
        </w:rPr>
      </w:pPr>
      <w:r>
        <w:rPr>
          <w:color w:val="auto"/>
        </w:rPr>
        <w:t>关于贵方</w:t>
      </w:r>
      <w:r>
        <w:rPr>
          <w:color w:val="auto"/>
          <w:spacing w:val="40"/>
          <w:u w:val="single"/>
        </w:rPr>
        <w:t xml:space="preserve">   </w:t>
      </w:r>
      <w:r>
        <w:rPr>
          <w:color w:val="auto"/>
        </w:rPr>
        <w:t>年</w:t>
      </w:r>
      <w:r>
        <w:rPr>
          <w:color w:val="auto"/>
          <w:spacing w:val="40"/>
          <w:u w:val="single"/>
        </w:rPr>
        <w:t xml:space="preserve">   </w:t>
      </w:r>
      <w:r>
        <w:rPr>
          <w:color w:val="auto"/>
        </w:rPr>
        <w:t>月</w:t>
      </w:r>
      <w:r>
        <w:rPr>
          <w:color w:val="auto"/>
          <w:spacing w:val="60"/>
          <w:u w:val="single"/>
        </w:rPr>
        <w:t xml:space="preserve">  </w:t>
      </w:r>
      <w:r>
        <w:rPr>
          <w:color w:val="auto"/>
          <w:spacing w:val="-8"/>
        </w:rPr>
        <w:t>日发布关于“</w:t>
      </w:r>
      <w:r>
        <w:rPr>
          <w:color w:val="auto"/>
          <w:spacing w:val="-15"/>
        </w:rPr>
        <w:t>（</w:t>
      </w:r>
      <w:r>
        <w:rPr>
          <w:color w:val="auto"/>
          <w:spacing w:val="-6"/>
        </w:rPr>
        <w:t>项目名称：</w:t>
      </w:r>
      <w:r>
        <w:rPr>
          <w:color w:val="auto"/>
          <w:spacing w:val="-27"/>
        </w:rPr>
        <w:t>）”（</w:t>
      </w:r>
      <w:r>
        <w:rPr>
          <w:color w:val="auto"/>
          <w:spacing w:val="-3"/>
        </w:rPr>
        <w:t>项目编号：</w:t>
      </w:r>
      <w:r>
        <w:rPr>
          <w:color w:val="auto"/>
          <w:spacing w:val="-15"/>
        </w:rPr>
        <w:t xml:space="preserve">） </w:t>
      </w:r>
      <w:r>
        <w:rPr>
          <w:color w:val="auto"/>
        </w:rPr>
        <w:t>的采购公告，本签字人愿意参加投标，并声明截至开标日，我方具备《中华人民共和国政府采购法》第二十二条所规定的条件，并已清楚采购文件的要求及有关文件规定。现按谈判文件要求提交下列资质文件，同时声明，保证所提交</w:t>
      </w:r>
      <w:r>
        <w:rPr>
          <w:color w:val="auto"/>
          <w:spacing w:val="-11"/>
        </w:rPr>
        <w:t>文件是准确的、真实的。</w:t>
      </w:r>
      <w:r>
        <w:rPr>
          <w:b/>
          <w:color w:val="auto"/>
          <w:spacing w:val="-6"/>
        </w:rPr>
        <w:t>以下资质文件的复印件需加盖鲜章装订在投标文件中。</w:t>
      </w:r>
      <w:r>
        <w:rPr>
          <w:color w:val="auto"/>
        </w:rPr>
        <w:t xml:space="preserve"> </w:t>
      </w:r>
    </w:p>
    <w:p>
      <w:pPr>
        <w:pStyle w:val="8"/>
        <w:spacing w:line="301" w:lineRule="exact"/>
        <w:ind w:left="1023"/>
        <w:rPr>
          <w:color w:val="auto"/>
        </w:rPr>
      </w:pPr>
      <w:r>
        <w:rPr>
          <w:color w:val="auto"/>
        </w:rPr>
        <w:t xml:space="preserve">（一）具有独立承担民事责任的能力 </w:t>
      </w:r>
    </w:p>
    <w:p>
      <w:pPr>
        <w:pStyle w:val="8"/>
        <w:spacing w:before="128" w:line="343" w:lineRule="auto"/>
        <w:ind w:left="542" w:right="1855" w:firstLine="480"/>
        <w:jc w:val="both"/>
        <w:rPr>
          <w:color w:val="auto"/>
        </w:rPr>
      </w:pPr>
      <w:r>
        <w:rPr>
          <w:color w:val="auto"/>
          <w:spacing w:val="-14"/>
        </w:rPr>
        <w:t>具体提供：提供事业单位法人证书或营业执照复印件、组织机构代码证复印</w:t>
      </w:r>
      <w:r>
        <w:rPr>
          <w:color w:val="auto"/>
          <w:spacing w:val="-10"/>
        </w:rPr>
        <w:t>件、税务登记证复印件</w:t>
      </w:r>
      <w:r>
        <w:rPr>
          <w:color w:val="auto"/>
        </w:rPr>
        <w:t>（</w:t>
      </w:r>
      <w:r>
        <w:rPr>
          <w:color w:val="auto"/>
          <w:spacing w:val="-10"/>
        </w:rPr>
        <w:t>或三证合一或五证合一的营业执照复印件或扫描件，加盖单位公章）</w:t>
      </w:r>
      <w:r>
        <w:rPr>
          <w:color w:val="auto"/>
          <w:spacing w:val="-6"/>
        </w:rPr>
        <w:t xml:space="preserve">，或自然人身份证明；法定代表人身份证或委托代理人持授权委托书及代理人身份证； </w:t>
      </w:r>
    </w:p>
    <w:p>
      <w:pPr>
        <w:spacing w:before="0" w:line="340" w:lineRule="auto"/>
        <w:ind w:left="542" w:right="1859" w:firstLine="480"/>
        <w:jc w:val="left"/>
        <w:rPr>
          <w:color w:val="auto"/>
          <w:sz w:val="24"/>
        </w:rPr>
      </w:pPr>
      <w:r>
        <w:rPr>
          <w:color w:val="auto"/>
          <w:sz w:val="24"/>
        </w:rPr>
        <w:t>（二）</w:t>
      </w:r>
      <w:r>
        <w:rPr>
          <w:color w:val="auto"/>
          <w:spacing w:val="-9"/>
          <w:sz w:val="24"/>
        </w:rPr>
        <w:t>具有良好的商业信誉和健全的财务会计制度：</w:t>
      </w:r>
      <w:r>
        <w:rPr>
          <w:rFonts w:hint="eastAsia"/>
          <w:color w:val="auto"/>
          <w:spacing w:val="-9"/>
          <w:sz w:val="24"/>
          <w:lang w:eastAsia="zh-CN"/>
        </w:rPr>
        <w:t>提供</w:t>
      </w:r>
      <w:r>
        <w:rPr>
          <w:color w:val="auto"/>
          <w:spacing w:val="-9"/>
          <w:sz w:val="24"/>
          <w:lang w:eastAsia="zh-CN"/>
        </w:rPr>
        <w:t xml:space="preserve"> 2019-2020 年度（任意一年）经审计的完整有效的财务报告复印件（加盖公章），或 2019-2020 年度（任意一年）投标人内部的财务报表复印件（加盖公章）</w:t>
      </w:r>
      <w:r>
        <w:rPr>
          <w:color w:val="auto"/>
          <w:spacing w:val="-12"/>
          <w:sz w:val="21"/>
        </w:rPr>
        <w:t>，成立不满一年的企业提供银行资信证明</w:t>
      </w:r>
      <w:r>
        <w:rPr>
          <w:color w:val="auto"/>
          <w:sz w:val="24"/>
        </w:rPr>
        <w:t xml:space="preserve">； </w:t>
      </w:r>
    </w:p>
    <w:p>
      <w:pPr>
        <w:pStyle w:val="8"/>
        <w:spacing w:line="305" w:lineRule="exact"/>
        <w:ind w:left="1008"/>
        <w:rPr>
          <w:color w:val="auto"/>
        </w:rPr>
      </w:pPr>
      <w:r>
        <w:rPr>
          <w:color w:val="auto"/>
        </w:rPr>
        <w:t>（三）具有履行合同所必须的设备和专业技术能力</w:t>
      </w:r>
      <w:r>
        <w:rPr>
          <w:color w:val="auto"/>
          <w:sz w:val="21"/>
        </w:rPr>
        <w:t>：</w:t>
      </w:r>
      <w:r>
        <w:rPr>
          <w:color w:val="auto"/>
        </w:rPr>
        <w:t xml:space="preserve">提供书面承诺； </w:t>
      </w:r>
    </w:p>
    <w:p>
      <w:pPr>
        <w:pStyle w:val="8"/>
        <w:spacing w:before="141" w:line="316" w:lineRule="auto"/>
        <w:ind w:left="542" w:right="1783" w:firstLine="465"/>
        <w:rPr>
          <w:color w:val="auto"/>
        </w:rPr>
      </w:pPr>
      <w:r>
        <w:rPr>
          <w:color w:val="auto"/>
        </w:rPr>
        <w:t>（四）</w:t>
      </w:r>
      <w:r>
        <w:rPr>
          <w:color w:val="auto"/>
          <w:spacing w:val="-9"/>
        </w:rPr>
        <w:t>具有依法缴纳税收和社会保障资金的良好记录：提供依法缴纳税收和社会保障资金的相关凭证（</w:t>
      </w:r>
      <w:r>
        <w:rPr>
          <w:color w:val="auto"/>
          <w:spacing w:val="-28"/>
        </w:rPr>
        <w:t xml:space="preserve">提供 </w:t>
      </w:r>
      <w:r>
        <w:rPr>
          <w:color w:val="auto"/>
        </w:rPr>
        <w:t>2021</w:t>
      </w:r>
      <w:r>
        <w:rPr>
          <w:color w:val="auto"/>
          <w:spacing w:val="-8"/>
        </w:rPr>
        <w:t xml:space="preserve"> 年度</w:t>
      </w:r>
      <w:r>
        <w:rPr>
          <w:rFonts w:hint="eastAsia"/>
          <w:color w:val="auto"/>
          <w:spacing w:val="-8"/>
          <w:lang w:eastAsia="zh-CN"/>
        </w:rPr>
        <w:t>任意</w:t>
      </w:r>
      <w:r>
        <w:rPr>
          <w:color w:val="auto"/>
          <w:spacing w:val="-8"/>
        </w:rPr>
        <w:t>三个月复印件加盖公章</w:t>
      </w:r>
      <w:r>
        <w:rPr>
          <w:color w:val="auto"/>
        </w:rPr>
        <w:t xml:space="preserve">）； </w:t>
      </w:r>
    </w:p>
    <w:p>
      <w:pPr>
        <w:pStyle w:val="8"/>
        <w:spacing w:line="246" w:lineRule="exact"/>
        <w:ind w:left="1023"/>
        <w:rPr>
          <w:color w:val="auto"/>
        </w:rPr>
      </w:pPr>
      <w:r>
        <w:rPr>
          <w:color w:val="auto"/>
        </w:rPr>
        <w:t>（五）近 3 年内在经营活动中没有重大违法记录：提供参加本次采购活动前</w:t>
      </w:r>
    </w:p>
    <w:p>
      <w:pPr>
        <w:pStyle w:val="12"/>
        <w:numPr>
          <w:ilvl w:val="0"/>
          <w:numId w:val="4"/>
        </w:numPr>
        <w:tabs>
          <w:tab w:val="left" w:pos="723"/>
        </w:tabs>
        <w:spacing w:before="68" w:after="0" w:line="240" w:lineRule="auto"/>
        <w:ind w:left="722" w:right="0" w:hanging="180"/>
        <w:jc w:val="left"/>
        <w:rPr>
          <w:color w:val="auto"/>
          <w:sz w:val="24"/>
        </w:rPr>
      </w:pPr>
      <w:r>
        <w:rPr>
          <w:color w:val="auto"/>
          <w:spacing w:val="-4"/>
          <w:sz w:val="24"/>
        </w:rPr>
        <w:t>年内在经营活动中没有重大违法记录的书面声明；</w:t>
      </w:r>
      <w:r>
        <w:rPr>
          <w:color w:val="auto"/>
          <w:sz w:val="24"/>
        </w:rPr>
        <w:t xml:space="preserve"> </w:t>
      </w:r>
    </w:p>
    <w:p>
      <w:pPr>
        <w:pStyle w:val="8"/>
        <w:spacing w:before="113"/>
        <w:ind w:left="1023"/>
        <w:rPr>
          <w:color w:val="auto"/>
        </w:rPr>
      </w:pPr>
      <w:r>
        <w:rPr>
          <w:color w:val="auto"/>
        </w:rPr>
        <w:t xml:space="preserve">（六）法律、行政法规规定的其他条件: </w:t>
      </w:r>
    </w:p>
    <w:p>
      <w:pPr>
        <w:pStyle w:val="8"/>
        <w:spacing w:before="188" w:line="314" w:lineRule="auto"/>
        <w:ind w:left="542" w:right="1650" w:firstLine="480"/>
        <w:rPr>
          <w:color w:val="auto"/>
        </w:rPr>
      </w:pPr>
      <w:r>
        <w:rPr>
          <w:color w:val="auto"/>
          <w:spacing w:val="-15"/>
        </w:rPr>
        <w:t>具体提供：法律、行政法规规定的其他条件：供应商须提供：在“信用中国” 网站（</w:t>
      </w:r>
      <w:r>
        <w:rPr>
          <w:color w:val="auto"/>
        </w:rPr>
        <w:fldChar w:fldCharType="begin"/>
      </w:r>
      <w:r>
        <w:rPr>
          <w:color w:val="auto"/>
        </w:rPr>
        <w:instrText xml:space="preserve"> HYPERLINK "http://www.creditchina.gov.cn/" \h </w:instrText>
      </w:r>
      <w:r>
        <w:rPr>
          <w:color w:val="auto"/>
        </w:rPr>
        <w:fldChar w:fldCharType="separate"/>
      </w:r>
      <w:r>
        <w:rPr>
          <w:color w:val="auto"/>
          <w:spacing w:val="-15"/>
        </w:rPr>
        <w:t>www.creditchina.gov.cn</w:t>
      </w:r>
      <w:r>
        <w:rPr>
          <w:color w:val="auto"/>
          <w:spacing w:val="-15"/>
        </w:rPr>
        <w:fldChar w:fldCharType="end"/>
      </w:r>
      <w:r>
        <w:rPr>
          <w:color w:val="auto"/>
          <w:spacing w:val="-15"/>
        </w:rPr>
        <w:t>）、中国政府采购网（</w:t>
      </w:r>
      <w:r>
        <w:rPr>
          <w:color w:val="auto"/>
        </w:rPr>
        <w:fldChar w:fldCharType="begin"/>
      </w:r>
      <w:r>
        <w:rPr>
          <w:color w:val="auto"/>
        </w:rPr>
        <w:instrText xml:space="preserve"> HYPERLINK "http://www.ccgp.gov.cn/" \h </w:instrText>
      </w:r>
      <w:r>
        <w:rPr>
          <w:color w:val="auto"/>
        </w:rPr>
        <w:fldChar w:fldCharType="separate"/>
      </w:r>
      <w:r>
        <w:rPr>
          <w:color w:val="auto"/>
          <w:spacing w:val="-15"/>
        </w:rPr>
        <w:t>www.ccgp.gov.cn</w:t>
      </w:r>
      <w:r>
        <w:rPr>
          <w:color w:val="auto"/>
          <w:spacing w:val="-15"/>
        </w:rPr>
        <w:fldChar w:fldCharType="end"/>
      </w:r>
      <w:r>
        <w:rPr>
          <w:color w:val="auto"/>
          <w:spacing w:val="-15"/>
        </w:rPr>
        <w:t>）等渠</w:t>
      </w:r>
      <w:r>
        <w:rPr>
          <w:color w:val="auto"/>
          <w:spacing w:val="-18"/>
        </w:rPr>
        <w:t>道查询中未被列入失信被执行人名单、重大税收违法案件当事人名单、政府采购</w:t>
      </w:r>
      <w:r>
        <w:rPr>
          <w:color w:val="auto"/>
          <w:spacing w:val="-19"/>
        </w:rPr>
        <w:t>严重违法失信行为记录名单中的截图。如被列入失信被执行人、重大税收违法案件当事人名单、政府采购严重违法失信行为记录名单中的供应商取消其投标资 格，并承担由此造成的一切法律责任及后果。</w:t>
      </w:r>
      <w:r>
        <w:rPr>
          <w:color w:val="auto"/>
        </w:rPr>
        <w:t xml:space="preserve">（制作于标书内） </w:t>
      </w:r>
    </w:p>
    <w:p>
      <w:pPr>
        <w:spacing w:before="20"/>
        <w:ind w:left="0" w:right="1100" w:firstLine="0"/>
        <w:jc w:val="center"/>
        <w:rPr>
          <w:color w:val="auto"/>
          <w:sz w:val="20"/>
        </w:rPr>
      </w:pPr>
      <w:r>
        <w:rPr>
          <w:color w:val="auto"/>
          <w:w w:val="101"/>
          <w:sz w:val="28"/>
        </w:rPr>
        <w:t xml:space="preserve"> </w:t>
      </w:r>
    </w:p>
    <w:p>
      <w:pPr>
        <w:pStyle w:val="8"/>
        <w:spacing w:before="66"/>
        <w:ind w:left="557"/>
        <w:jc w:val="center"/>
        <w:rPr>
          <w:color w:val="auto"/>
          <w:lang w:eastAsia="zh-CN"/>
        </w:rPr>
      </w:pPr>
      <w:r>
        <w:rPr>
          <w:color w:val="auto"/>
          <w:lang w:eastAsia="zh-CN"/>
        </w:rPr>
        <w:t>投标单位（盖章）：</w:t>
      </w:r>
      <w:r>
        <w:rPr>
          <w:color w:val="auto"/>
          <w:u w:val="single"/>
          <w:lang w:eastAsia="zh-CN"/>
        </w:rPr>
        <w:t xml:space="preserve">              </w:t>
      </w:r>
      <w:r>
        <w:rPr>
          <w:color w:val="auto"/>
          <w:lang w:eastAsia="zh-CN"/>
        </w:rPr>
        <w:t xml:space="preserve"> </w:t>
      </w:r>
    </w:p>
    <w:p>
      <w:pPr>
        <w:pStyle w:val="8"/>
        <w:spacing w:before="83"/>
        <w:ind w:right="1122"/>
        <w:jc w:val="center"/>
        <w:rPr>
          <w:color w:val="auto"/>
          <w:lang w:eastAsia="zh-CN"/>
        </w:rPr>
      </w:pPr>
      <w:r>
        <w:rPr>
          <w:color w:val="auto"/>
          <w:lang w:eastAsia="zh-CN"/>
        </w:rPr>
        <w:t xml:space="preserve"> </w:t>
      </w:r>
    </w:p>
    <w:p>
      <w:pPr>
        <w:pStyle w:val="8"/>
        <w:spacing w:before="98"/>
        <w:ind w:left="557"/>
        <w:jc w:val="center"/>
        <w:rPr>
          <w:color w:val="auto"/>
          <w:lang w:eastAsia="zh-CN"/>
        </w:rPr>
      </w:pPr>
      <w:r>
        <w:rPr>
          <w:color w:val="auto"/>
          <w:lang w:eastAsia="zh-CN"/>
        </w:rPr>
        <w:t>法定代表（签字或盖章）：</w:t>
      </w:r>
      <w:r>
        <w:rPr>
          <w:color w:val="auto"/>
          <w:u w:val="single"/>
          <w:lang w:eastAsia="zh-CN"/>
        </w:rPr>
        <w:t xml:space="preserve">              </w:t>
      </w:r>
      <w:r>
        <w:rPr>
          <w:color w:val="auto"/>
          <w:lang w:eastAsia="zh-CN"/>
        </w:rPr>
        <w:t xml:space="preserve"> </w:t>
      </w:r>
    </w:p>
    <w:p>
      <w:pPr>
        <w:pStyle w:val="8"/>
        <w:spacing w:before="98"/>
        <w:ind w:right="1122"/>
        <w:jc w:val="center"/>
        <w:rPr>
          <w:color w:val="auto"/>
          <w:lang w:eastAsia="zh-CN"/>
        </w:rPr>
      </w:pPr>
      <w:r>
        <w:rPr>
          <w:color w:val="auto"/>
          <w:lang w:eastAsia="zh-CN"/>
        </w:rPr>
        <w:t xml:space="preserve"> </w:t>
      </w:r>
    </w:p>
    <w:p>
      <w:pPr>
        <w:pStyle w:val="8"/>
        <w:spacing w:before="82"/>
        <w:ind w:left="557" w:right="510"/>
        <w:jc w:val="center"/>
        <w:rPr>
          <w:color w:val="auto"/>
          <w:lang w:eastAsia="zh-CN"/>
        </w:rPr>
      </w:pPr>
      <w:r>
        <w:rPr>
          <w:color w:val="auto"/>
          <w:lang w:eastAsia="zh-CN"/>
        </w:rPr>
        <w:t xml:space="preserve">日        期 ：   年  月 日 </w:t>
      </w:r>
    </w:p>
    <w:p>
      <w:pPr>
        <w:spacing w:before="41"/>
        <w:ind w:left="3125" w:right="0" w:firstLine="0"/>
        <w:jc w:val="left"/>
        <w:rPr>
          <w:color w:val="auto"/>
          <w:sz w:val="28"/>
        </w:rPr>
      </w:pPr>
      <w:r>
        <w:rPr>
          <w:color w:val="auto"/>
          <w:sz w:val="28"/>
        </w:rPr>
        <w:t xml:space="preserve">无重大违法记录的声明函 </w:t>
      </w:r>
    </w:p>
    <w:p>
      <w:pPr>
        <w:pStyle w:val="8"/>
        <w:spacing w:before="2"/>
        <w:rPr>
          <w:color w:val="auto"/>
          <w:sz w:val="16"/>
        </w:rPr>
      </w:pPr>
    </w:p>
    <w:p>
      <w:pPr>
        <w:spacing w:before="65"/>
        <w:ind w:left="542" w:right="0" w:firstLine="0"/>
        <w:jc w:val="left"/>
        <w:rPr>
          <w:color w:val="auto"/>
          <w:sz w:val="28"/>
        </w:rPr>
      </w:pPr>
      <w:r>
        <w:rPr>
          <w:color w:val="auto"/>
          <w:sz w:val="28"/>
        </w:rPr>
        <w:t xml:space="preserve">致：（业主）      </w:t>
      </w:r>
    </w:p>
    <w:p>
      <w:pPr>
        <w:pStyle w:val="8"/>
        <w:rPr>
          <w:color w:val="auto"/>
          <w:sz w:val="20"/>
        </w:rPr>
      </w:pPr>
    </w:p>
    <w:p>
      <w:pPr>
        <w:spacing w:before="0" w:line="420" w:lineRule="auto"/>
        <w:ind w:left="542" w:right="1665" w:firstLine="0"/>
        <w:jc w:val="left"/>
        <w:rPr>
          <w:color w:val="auto"/>
          <w:sz w:val="28"/>
        </w:rPr>
      </w:pPr>
      <w:r>
        <w:rPr>
          <w:color w:val="auto"/>
          <w:w w:val="101"/>
          <w:sz w:val="28"/>
        </w:rPr>
        <w:t xml:space="preserve"> </w:t>
      </w:r>
      <w:r>
        <w:rPr>
          <w:color w:val="auto"/>
          <w:spacing w:val="-8"/>
          <w:w w:val="101"/>
          <w:sz w:val="28"/>
        </w:rPr>
        <w:t xml:space="preserve">   </w:t>
      </w:r>
      <w:r>
        <w:rPr>
          <w:color w:val="auto"/>
          <w:spacing w:val="7"/>
          <w:w w:val="101"/>
          <w:sz w:val="28"/>
        </w:rPr>
        <w:t xml:space="preserve"> </w:t>
      </w:r>
      <w:r>
        <w:rPr>
          <w:color w:val="auto"/>
          <w:spacing w:val="-8"/>
          <w:w w:val="101"/>
          <w:sz w:val="28"/>
        </w:rPr>
        <w:t xml:space="preserve"> </w:t>
      </w:r>
      <w:r>
        <w:rPr>
          <w:color w:val="auto"/>
          <w:spacing w:val="-15"/>
          <w:sz w:val="28"/>
        </w:rPr>
        <w:t>（</w:t>
      </w:r>
      <w:r>
        <w:rPr>
          <w:color w:val="auto"/>
          <w:spacing w:val="-4"/>
          <w:sz w:val="28"/>
        </w:rPr>
        <w:t>供应商全称</w:t>
      </w:r>
      <w:r>
        <w:rPr>
          <w:color w:val="auto"/>
          <w:spacing w:val="-31"/>
          <w:sz w:val="28"/>
        </w:rPr>
        <w:t>）</w:t>
      </w:r>
      <w:r>
        <w:rPr>
          <w:color w:val="auto"/>
          <w:spacing w:val="-23"/>
          <w:sz w:val="28"/>
        </w:rPr>
        <w:t xml:space="preserve">             ，参加贵单位组织的</w:t>
      </w:r>
      <w:r>
        <w:rPr>
          <w:color w:val="auto"/>
          <w:sz w:val="24"/>
        </w:rPr>
        <w:t xml:space="preserve">（项目名称） </w:t>
      </w:r>
      <w:r>
        <w:rPr>
          <w:color w:val="auto"/>
          <w:spacing w:val="5"/>
          <w:sz w:val="28"/>
        </w:rPr>
        <w:t>为： ，</w:t>
      </w:r>
      <w:r>
        <w:rPr>
          <w:color w:val="auto"/>
          <w:sz w:val="24"/>
        </w:rPr>
        <w:t>（项目编号）</w:t>
      </w:r>
      <w:r>
        <w:rPr>
          <w:color w:val="auto"/>
          <w:spacing w:val="-4"/>
          <w:sz w:val="28"/>
        </w:rPr>
        <w:t>：  的政府采购活动，在此郑重声明：我单位在</w:t>
      </w:r>
      <w:r>
        <w:rPr>
          <w:color w:val="auto"/>
          <w:spacing w:val="-3"/>
          <w:sz w:val="28"/>
        </w:rPr>
        <w:t xml:space="preserve">参加本项目政府采购活动前 </w:t>
      </w:r>
      <w:r>
        <w:rPr>
          <w:color w:val="auto"/>
          <w:sz w:val="28"/>
        </w:rPr>
        <w:t>3</w:t>
      </w:r>
      <w:r>
        <w:rPr>
          <w:color w:val="auto"/>
          <w:spacing w:val="-3"/>
          <w:sz w:val="28"/>
        </w:rPr>
        <w:t xml:space="preserve"> 年内在经营活动中未因违法经营受到</w:t>
      </w:r>
      <w:r>
        <w:rPr>
          <w:color w:val="auto"/>
          <w:spacing w:val="-17"/>
          <w:sz w:val="28"/>
        </w:rPr>
        <w:t xml:space="preserve">刑事处罚或者责令停产停业、吊销许可证或者执照、较大数额罚款等行政处罚。 </w:t>
      </w:r>
    </w:p>
    <w:p>
      <w:pPr>
        <w:pStyle w:val="8"/>
        <w:rPr>
          <w:color w:val="auto"/>
          <w:sz w:val="20"/>
        </w:rPr>
      </w:pPr>
    </w:p>
    <w:p>
      <w:pPr>
        <w:pStyle w:val="8"/>
        <w:spacing w:before="12"/>
        <w:rPr>
          <w:color w:val="auto"/>
          <w:sz w:val="18"/>
        </w:rPr>
      </w:pPr>
    </w:p>
    <w:p>
      <w:pPr>
        <w:pStyle w:val="8"/>
        <w:spacing w:before="66"/>
        <w:ind w:left="557"/>
        <w:jc w:val="center"/>
        <w:rPr>
          <w:color w:val="auto"/>
        </w:rPr>
      </w:pPr>
      <w:r>
        <w:rPr>
          <w:color w:val="auto"/>
        </w:rPr>
        <w:t>投标单位（盖章）：</w:t>
      </w:r>
      <w:r>
        <w:rPr>
          <w:color w:val="auto"/>
          <w:u w:val="single"/>
        </w:rPr>
        <w:t xml:space="preserve">              </w:t>
      </w:r>
      <w:r>
        <w:rPr>
          <w:color w:val="auto"/>
        </w:rPr>
        <w:t xml:space="preserve"> </w:t>
      </w:r>
    </w:p>
    <w:p>
      <w:pPr>
        <w:pStyle w:val="8"/>
        <w:spacing w:before="83"/>
        <w:ind w:right="1122"/>
        <w:jc w:val="center"/>
        <w:rPr>
          <w:color w:val="auto"/>
        </w:rPr>
      </w:pPr>
      <w:r>
        <w:rPr>
          <w:color w:val="auto"/>
        </w:rPr>
        <w:t xml:space="preserve"> </w:t>
      </w:r>
    </w:p>
    <w:p>
      <w:pPr>
        <w:pStyle w:val="8"/>
        <w:spacing w:before="98"/>
        <w:ind w:left="557"/>
        <w:jc w:val="center"/>
        <w:rPr>
          <w:color w:val="auto"/>
        </w:rPr>
      </w:pPr>
      <w:r>
        <w:rPr>
          <w:color w:val="auto"/>
        </w:rPr>
        <w:t>法定代表（签字或盖章）：</w:t>
      </w:r>
      <w:r>
        <w:rPr>
          <w:color w:val="auto"/>
          <w:u w:val="single"/>
        </w:rPr>
        <w:t xml:space="preserve">              </w:t>
      </w:r>
      <w:r>
        <w:rPr>
          <w:color w:val="auto"/>
        </w:rPr>
        <w:t xml:space="preserve"> </w:t>
      </w:r>
    </w:p>
    <w:p>
      <w:pPr>
        <w:pStyle w:val="8"/>
        <w:spacing w:before="98"/>
        <w:ind w:right="1122"/>
        <w:jc w:val="center"/>
        <w:rPr>
          <w:color w:val="auto"/>
        </w:rPr>
      </w:pPr>
      <w:r>
        <w:rPr>
          <w:color w:val="auto"/>
        </w:rPr>
        <w:t xml:space="preserve"> </w:t>
      </w:r>
    </w:p>
    <w:p>
      <w:pPr>
        <w:pStyle w:val="8"/>
        <w:spacing w:before="82"/>
        <w:ind w:left="557" w:right="510"/>
        <w:jc w:val="center"/>
        <w:rPr>
          <w:color w:val="auto"/>
        </w:rPr>
      </w:pPr>
      <w:r>
        <w:rPr>
          <w:color w:val="auto"/>
        </w:rPr>
        <w:t xml:space="preserve">日        期 ：   年  月 日 </w:t>
      </w:r>
    </w:p>
    <w:p>
      <w:pPr>
        <w:spacing w:before="148"/>
        <w:ind w:left="0" w:right="409" w:firstLine="0"/>
        <w:jc w:val="center"/>
        <w:rPr>
          <w:b/>
          <w:color w:val="auto"/>
          <w:sz w:val="28"/>
        </w:rPr>
      </w:pPr>
      <w:r>
        <w:rPr>
          <w:b/>
          <w:color w:val="auto"/>
          <w:w w:val="100"/>
          <w:sz w:val="28"/>
        </w:rPr>
        <w:t xml:space="preserve"> </w:t>
      </w: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pStyle w:val="8"/>
        <w:rPr>
          <w:b/>
          <w:color w:val="auto"/>
          <w:sz w:val="20"/>
        </w:rPr>
      </w:pPr>
    </w:p>
    <w:p>
      <w:pPr>
        <w:spacing w:before="237"/>
        <w:ind w:left="1098" w:right="0" w:firstLine="0"/>
        <w:jc w:val="left"/>
        <w:rPr>
          <w:b/>
          <w:color w:val="auto"/>
          <w:sz w:val="28"/>
        </w:rPr>
      </w:pPr>
      <w:r>
        <w:rPr>
          <w:b/>
          <w:color w:val="auto"/>
          <w:sz w:val="28"/>
        </w:rPr>
        <w:t>注：资质文件的复印件需加盖鲜章装订在投标文件中。</w:t>
      </w:r>
      <w:r>
        <w:rPr>
          <w:b/>
          <w:color w:val="auto"/>
          <w:w w:val="100"/>
          <w:sz w:val="28"/>
        </w:rPr>
        <w:t xml:space="preserve"> </w:t>
      </w:r>
    </w:p>
    <w:p>
      <w:pPr>
        <w:pStyle w:val="8"/>
        <w:rPr>
          <w:b/>
          <w:color w:val="auto"/>
          <w:sz w:val="28"/>
        </w:rPr>
      </w:pPr>
    </w:p>
    <w:p>
      <w:pPr>
        <w:pStyle w:val="8"/>
        <w:rPr>
          <w:b/>
          <w:color w:val="auto"/>
          <w:sz w:val="28"/>
        </w:rPr>
      </w:pPr>
    </w:p>
    <w:p>
      <w:pPr>
        <w:pStyle w:val="8"/>
        <w:spacing w:before="11"/>
        <w:rPr>
          <w:b/>
          <w:color w:val="auto"/>
          <w:sz w:val="37"/>
        </w:rPr>
      </w:pPr>
    </w:p>
    <w:p>
      <w:pPr>
        <w:spacing w:before="0"/>
        <w:ind w:left="1023" w:right="0" w:firstLine="0"/>
        <w:jc w:val="left"/>
        <w:rPr>
          <w:b/>
          <w:color w:val="auto"/>
          <w:sz w:val="31"/>
        </w:rPr>
      </w:pPr>
      <w:r>
        <w:rPr>
          <w:b/>
          <w:color w:val="auto"/>
          <w:w w:val="100"/>
          <w:sz w:val="31"/>
        </w:rPr>
        <w:t xml:space="preserve"> </w:t>
      </w:r>
    </w:p>
    <w:p>
      <w:pPr>
        <w:tabs>
          <w:tab w:val="left" w:pos="3425"/>
        </w:tabs>
        <w:spacing w:before="249"/>
        <w:ind w:left="542" w:right="0" w:firstLine="0"/>
        <w:jc w:val="left"/>
        <w:rPr>
          <w:b/>
          <w:color w:val="auto"/>
          <w:sz w:val="31"/>
        </w:rPr>
      </w:pPr>
      <w:r>
        <w:rPr>
          <w:b/>
          <w:color w:val="auto"/>
          <w:w w:val="100"/>
          <w:sz w:val="31"/>
        </w:rPr>
        <w:t xml:space="preserve"> </w:t>
      </w:r>
      <w:r>
        <w:rPr>
          <w:b/>
          <w:color w:val="auto"/>
          <w:sz w:val="31"/>
        </w:rPr>
        <w:tab/>
      </w:r>
      <w:r>
        <w:rPr>
          <w:b/>
          <w:color w:val="auto"/>
          <w:w w:val="100"/>
          <w:sz w:val="31"/>
        </w:rPr>
        <w:t xml:space="preserve"> </w:t>
      </w:r>
    </w:p>
    <w:p>
      <w:pPr>
        <w:spacing w:after="0"/>
        <w:jc w:val="left"/>
        <w:rPr>
          <w:color w:val="auto"/>
          <w:sz w:val="31"/>
        </w:rPr>
        <w:sectPr>
          <w:pgSz w:w="11910" w:h="16850"/>
          <w:pgMar w:top="1520" w:right="0" w:bottom="1200" w:left="1260" w:header="0" w:footer="1006" w:gutter="0"/>
          <w:cols w:space="720" w:num="1"/>
        </w:sectPr>
      </w:pPr>
    </w:p>
    <w:p>
      <w:pPr>
        <w:spacing w:before="141"/>
        <w:ind w:left="3110" w:right="0" w:firstLine="0"/>
        <w:jc w:val="left"/>
        <w:rPr>
          <w:b/>
          <w:color w:val="auto"/>
          <w:sz w:val="43"/>
        </w:rPr>
      </w:pPr>
      <w:r>
        <w:rPr>
          <w:b/>
          <w:color w:val="auto"/>
          <w:sz w:val="31"/>
        </w:rPr>
        <w:t>八 售后服务承诺及方案</w:t>
      </w:r>
      <w:r>
        <w:rPr>
          <w:b/>
          <w:color w:val="auto"/>
          <w:w w:val="100"/>
          <w:sz w:val="43"/>
        </w:rPr>
        <w:t xml:space="preserve"> </w:t>
      </w:r>
    </w:p>
    <w:p>
      <w:pPr>
        <w:pStyle w:val="8"/>
        <w:rPr>
          <w:b/>
          <w:color w:val="auto"/>
          <w:sz w:val="20"/>
        </w:rPr>
      </w:pPr>
    </w:p>
    <w:p>
      <w:pPr>
        <w:pStyle w:val="8"/>
        <w:spacing w:before="6"/>
        <w:rPr>
          <w:b/>
          <w:color w:val="auto"/>
          <w:sz w:val="18"/>
        </w:rPr>
      </w:pPr>
    </w:p>
    <w:p>
      <w:pPr>
        <w:pStyle w:val="8"/>
        <w:spacing w:before="66"/>
        <w:ind w:left="542"/>
        <w:rPr>
          <w:color w:val="auto"/>
        </w:rPr>
      </w:pPr>
      <w:r>
        <w:rPr>
          <w:color w:val="auto"/>
        </w:rPr>
        <w:t xml:space="preserve">（1）服务承诺书 </w:t>
      </w:r>
    </w:p>
    <w:p>
      <w:pPr>
        <w:pStyle w:val="8"/>
        <w:spacing w:before="3"/>
        <w:rPr>
          <w:color w:val="auto"/>
          <w:sz w:val="25"/>
        </w:rPr>
      </w:pPr>
    </w:p>
    <w:p>
      <w:pPr>
        <w:pStyle w:val="8"/>
        <w:ind w:left="542"/>
        <w:rPr>
          <w:color w:val="auto"/>
        </w:rPr>
      </w:pPr>
      <w:r>
        <w:rPr>
          <w:color w:val="auto"/>
        </w:rPr>
        <w:t xml:space="preserve">（2）按照国家验收标准执行 </w:t>
      </w:r>
    </w:p>
    <w:p>
      <w:pPr>
        <w:pStyle w:val="8"/>
        <w:rPr>
          <w:color w:val="auto"/>
          <w:sz w:val="20"/>
        </w:rPr>
      </w:pPr>
    </w:p>
    <w:p>
      <w:pPr>
        <w:pStyle w:val="8"/>
        <w:spacing w:before="5"/>
        <w:rPr>
          <w:color w:val="auto"/>
          <w:sz w:val="23"/>
        </w:rPr>
      </w:pPr>
    </w:p>
    <w:p>
      <w:pPr>
        <w:pStyle w:val="8"/>
        <w:spacing w:before="67"/>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82"/>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83"/>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83"/>
        <w:ind w:right="1122"/>
        <w:jc w:val="center"/>
        <w:rPr>
          <w:color w:val="auto"/>
        </w:rPr>
      </w:pPr>
      <w:r>
        <w:rPr>
          <w:color w:val="auto"/>
        </w:rPr>
        <w:t xml:space="preserve"> </w:t>
      </w:r>
    </w:p>
    <w:p>
      <w:pPr>
        <w:pStyle w:val="8"/>
        <w:spacing w:before="97"/>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83"/>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83"/>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7"/>
        <w:ind w:right="1122"/>
        <w:jc w:val="center"/>
        <w:rPr>
          <w:color w:val="auto"/>
        </w:rPr>
      </w:pPr>
      <w:r>
        <w:rPr>
          <w:color w:val="auto"/>
        </w:rPr>
        <w:t xml:space="preserve"> </w:t>
      </w:r>
    </w:p>
    <w:p>
      <w:pPr>
        <w:pStyle w:val="8"/>
        <w:spacing w:before="83"/>
        <w:ind w:right="1122"/>
        <w:jc w:val="center"/>
        <w:rPr>
          <w:color w:val="auto"/>
        </w:rPr>
      </w:pPr>
      <w:r>
        <w:rPr>
          <w:color w:val="auto"/>
        </w:rPr>
        <w:t xml:space="preserve"> </w:t>
      </w:r>
    </w:p>
    <w:p>
      <w:pPr>
        <w:pStyle w:val="8"/>
        <w:spacing w:before="98"/>
        <w:ind w:right="1122"/>
        <w:jc w:val="center"/>
        <w:rPr>
          <w:color w:val="auto"/>
        </w:rPr>
      </w:pPr>
      <w:r>
        <w:rPr>
          <w:color w:val="auto"/>
        </w:rPr>
        <w:t xml:space="preserve"> </w:t>
      </w:r>
    </w:p>
    <w:p>
      <w:pPr>
        <w:pStyle w:val="8"/>
        <w:spacing w:before="98"/>
        <w:ind w:left="557"/>
        <w:jc w:val="center"/>
        <w:rPr>
          <w:color w:val="auto"/>
        </w:rPr>
      </w:pPr>
      <w:r>
        <w:rPr>
          <w:color w:val="auto"/>
        </w:rPr>
        <w:t>投标单位（盖章）：</w:t>
      </w:r>
      <w:r>
        <w:rPr>
          <w:color w:val="auto"/>
          <w:u w:val="single"/>
        </w:rPr>
        <w:t xml:space="preserve">              </w:t>
      </w:r>
      <w:r>
        <w:rPr>
          <w:color w:val="auto"/>
        </w:rPr>
        <w:t xml:space="preserve"> </w:t>
      </w:r>
    </w:p>
    <w:p>
      <w:pPr>
        <w:pStyle w:val="8"/>
        <w:spacing w:before="83"/>
        <w:ind w:right="1122"/>
        <w:jc w:val="center"/>
        <w:rPr>
          <w:color w:val="auto"/>
        </w:rPr>
      </w:pPr>
      <w:r>
        <w:rPr>
          <w:color w:val="auto"/>
        </w:rPr>
        <w:t xml:space="preserve"> </w:t>
      </w:r>
    </w:p>
    <w:p>
      <w:pPr>
        <w:pStyle w:val="8"/>
        <w:spacing w:before="98"/>
        <w:ind w:left="557"/>
        <w:jc w:val="center"/>
        <w:rPr>
          <w:color w:val="auto"/>
        </w:rPr>
      </w:pPr>
      <w:r>
        <w:rPr>
          <w:color w:val="auto"/>
        </w:rPr>
        <w:t>法定代表（签字或盖章）：</w:t>
      </w:r>
      <w:r>
        <w:rPr>
          <w:color w:val="auto"/>
          <w:u w:val="single"/>
        </w:rPr>
        <w:t xml:space="preserve">              </w:t>
      </w:r>
      <w:r>
        <w:rPr>
          <w:color w:val="auto"/>
        </w:rPr>
        <w:t xml:space="preserve"> </w:t>
      </w:r>
    </w:p>
    <w:p>
      <w:pPr>
        <w:pStyle w:val="8"/>
        <w:spacing w:before="98"/>
        <w:ind w:right="1122"/>
        <w:jc w:val="center"/>
        <w:rPr>
          <w:color w:val="auto"/>
        </w:rPr>
      </w:pPr>
      <w:r>
        <w:rPr>
          <w:color w:val="auto"/>
        </w:rPr>
        <w:t xml:space="preserve"> </w:t>
      </w:r>
    </w:p>
    <w:p>
      <w:pPr>
        <w:pStyle w:val="8"/>
        <w:spacing w:before="82"/>
        <w:ind w:left="557" w:right="510"/>
        <w:jc w:val="center"/>
        <w:rPr>
          <w:color w:val="auto"/>
        </w:rPr>
      </w:pPr>
      <w:r>
        <w:rPr>
          <w:color w:val="auto"/>
        </w:rPr>
        <w:t xml:space="preserve">日        期 ：   年  月 日 </w:t>
      </w:r>
    </w:p>
    <w:p>
      <w:pPr>
        <w:pStyle w:val="8"/>
        <w:rPr>
          <w:color w:val="auto"/>
        </w:rPr>
      </w:pPr>
    </w:p>
    <w:p>
      <w:pPr>
        <w:pStyle w:val="8"/>
        <w:rPr>
          <w:color w:val="auto"/>
        </w:rPr>
      </w:pPr>
    </w:p>
    <w:p>
      <w:pPr>
        <w:pStyle w:val="8"/>
        <w:rPr>
          <w:color w:val="auto"/>
          <w:sz w:val="23"/>
        </w:rPr>
      </w:pPr>
    </w:p>
    <w:p>
      <w:pPr>
        <w:pStyle w:val="2"/>
        <w:ind w:right="1062"/>
        <w:jc w:val="center"/>
        <w:rPr>
          <w:color w:val="auto"/>
        </w:rPr>
      </w:pPr>
      <w:r>
        <w:rPr>
          <w:color w:val="auto"/>
          <w:w w:val="99"/>
        </w:rPr>
        <w:t xml:space="preserve"> </w:t>
      </w:r>
    </w:p>
    <w:p>
      <w:pPr>
        <w:spacing w:after="0"/>
        <w:jc w:val="center"/>
        <w:rPr>
          <w:color w:val="auto"/>
        </w:rPr>
        <w:sectPr>
          <w:pgSz w:w="11910" w:h="16850"/>
          <w:pgMar w:top="1300" w:right="0" w:bottom="1200" w:left="1260" w:header="0" w:footer="1006" w:gutter="0"/>
          <w:cols w:space="720" w:num="1"/>
        </w:sectPr>
      </w:pPr>
    </w:p>
    <w:p>
      <w:pPr>
        <w:pStyle w:val="3"/>
        <w:spacing w:before="46"/>
        <w:ind w:left="3200"/>
        <w:rPr>
          <w:color w:val="auto"/>
        </w:rPr>
      </w:pPr>
      <w:r>
        <w:rPr>
          <w:color w:val="auto"/>
        </w:rPr>
        <w:t>九 中小企业声明函</w:t>
      </w:r>
      <w:r>
        <w:rPr>
          <w:color w:val="auto"/>
          <w:w w:val="100"/>
        </w:rPr>
        <w:t xml:space="preserve"> </w:t>
      </w:r>
    </w:p>
    <w:p>
      <w:pPr>
        <w:pStyle w:val="8"/>
        <w:spacing w:before="214"/>
        <w:ind w:left="1023"/>
        <w:rPr>
          <w:color w:val="auto"/>
        </w:rPr>
      </w:pPr>
      <w:r>
        <w:rPr>
          <w:color w:val="auto"/>
        </w:rPr>
        <w:t xml:space="preserve"> </w:t>
      </w:r>
    </w:p>
    <w:p>
      <w:pPr>
        <w:pStyle w:val="8"/>
        <w:spacing w:before="157"/>
        <w:ind w:left="1023"/>
        <w:rPr>
          <w:color w:val="auto"/>
        </w:rPr>
      </w:pPr>
      <w:r>
        <w:rPr>
          <w:color w:val="auto"/>
        </w:rPr>
        <w:t>本公司（联合体）郑重声明，根据《政府采购促进中小企业发展管理办法》</w:t>
      </w:r>
    </w:p>
    <w:p>
      <w:pPr>
        <w:pStyle w:val="8"/>
        <w:spacing w:before="159" w:line="362" w:lineRule="auto"/>
        <w:ind w:left="542" w:right="1769"/>
        <w:jc w:val="both"/>
        <w:rPr>
          <w:color w:val="auto"/>
        </w:rPr>
      </w:pPr>
      <w:r>
        <w:rPr>
          <w:color w:val="auto"/>
        </w:rPr>
        <w:t>（财库﹝2020﹞46</w:t>
      </w:r>
      <w:r>
        <w:rPr>
          <w:color w:val="auto"/>
          <w:spacing w:val="-31"/>
        </w:rPr>
        <w:t xml:space="preserve"> 号</w:t>
      </w:r>
      <w:r>
        <w:rPr>
          <w:color w:val="auto"/>
        </w:rPr>
        <w:t>）的规定，本公司（联合体）</w:t>
      </w:r>
      <w:r>
        <w:rPr>
          <w:color w:val="auto"/>
          <w:spacing w:val="-2"/>
        </w:rPr>
        <w:t>参加</w:t>
      </w:r>
      <w:r>
        <w:rPr>
          <w:color w:val="auto"/>
          <w:u w:val="single"/>
        </w:rPr>
        <w:t>（</w:t>
      </w:r>
      <w:r>
        <w:rPr>
          <w:color w:val="auto"/>
          <w:spacing w:val="-4"/>
          <w:u w:val="single"/>
        </w:rPr>
        <w:t>单位名称</w:t>
      </w:r>
      <w:r>
        <w:rPr>
          <w:color w:val="auto"/>
          <w:u w:val="single"/>
        </w:rPr>
        <w:t xml:space="preserve">） </w:t>
      </w:r>
      <w:r>
        <w:rPr>
          <w:color w:val="auto"/>
        </w:rPr>
        <w:t>的</w:t>
      </w:r>
      <w:r>
        <w:rPr>
          <w:color w:val="auto"/>
          <w:u w:val="single"/>
        </w:rPr>
        <w:t>（项目名称</w:t>
      </w:r>
      <w:r>
        <w:rPr>
          <w:color w:val="auto"/>
          <w:spacing w:val="-31"/>
          <w:u w:val="single"/>
        </w:rPr>
        <w:t xml:space="preserve">） </w:t>
      </w:r>
      <w:r>
        <w:rPr>
          <w:color w:val="auto"/>
          <w:spacing w:val="-8"/>
        </w:rPr>
        <w:t xml:space="preserve">采购活动，货物全部由符合政策要求的中小企业承接。相关企业 </w:t>
      </w:r>
      <w:r>
        <w:rPr>
          <w:color w:val="auto"/>
        </w:rPr>
        <w:t>（含联合体中的中小企业、签订分包意向协议的中小企业）</w:t>
      </w:r>
      <w:r>
        <w:rPr>
          <w:color w:val="auto"/>
          <w:spacing w:val="-1"/>
        </w:rPr>
        <w:t>的具体情况如下：</w:t>
      </w:r>
      <w:r>
        <w:rPr>
          <w:color w:val="auto"/>
        </w:rPr>
        <w:t xml:space="preserve"> </w:t>
      </w:r>
    </w:p>
    <w:p>
      <w:pPr>
        <w:pStyle w:val="12"/>
        <w:numPr>
          <w:ilvl w:val="0"/>
          <w:numId w:val="17"/>
        </w:numPr>
        <w:tabs>
          <w:tab w:val="left" w:pos="1384"/>
        </w:tabs>
        <w:spacing w:before="18" w:after="0" w:line="240" w:lineRule="auto"/>
        <w:ind w:left="1383" w:right="0" w:hanging="360"/>
        <w:jc w:val="left"/>
        <w:rPr>
          <w:color w:val="auto"/>
          <w:sz w:val="24"/>
        </w:rPr>
      </w:pPr>
      <w:r>
        <w:rPr>
          <w:color w:val="auto"/>
          <w:sz w:val="24"/>
          <w:u w:val="single"/>
        </w:rPr>
        <w:t>（标的名称）</w:t>
      </w:r>
      <w:r>
        <w:rPr>
          <w:color w:val="auto"/>
          <w:sz w:val="24"/>
        </w:rPr>
        <w:t>，属于</w:t>
      </w:r>
      <w:r>
        <w:rPr>
          <w:color w:val="auto"/>
          <w:sz w:val="24"/>
          <w:u w:val="single"/>
        </w:rPr>
        <w:t>（</w:t>
      </w:r>
      <w:r>
        <w:rPr>
          <w:color w:val="auto"/>
          <w:spacing w:val="1"/>
          <w:sz w:val="24"/>
          <w:u w:val="single"/>
        </w:rPr>
        <w:t>采购文件中明确的所属行业</w:t>
      </w:r>
      <w:r>
        <w:rPr>
          <w:color w:val="auto"/>
          <w:sz w:val="24"/>
          <w:u w:val="single"/>
        </w:rPr>
        <w:t>）</w:t>
      </w:r>
      <w:r>
        <w:rPr>
          <w:color w:val="auto"/>
          <w:sz w:val="24"/>
        </w:rPr>
        <w:t>行业；承接企业为</w:t>
      </w:r>
    </w:p>
    <w:p>
      <w:pPr>
        <w:pStyle w:val="8"/>
        <w:spacing w:before="157" w:line="362" w:lineRule="auto"/>
        <w:ind w:left="542" w:right="1800"/>
        <w:jc w:val="both"/>
        <w:rPr>
          <w:color w:val="auto"/>
        </w:rPr>
      </w:pPr>
      <w:r>
        <w:rPr>
          <w:color w:val="auto"/>
          <w:u w:val="single"/>
        </w:rPr>
        <w:t>（企业名称</w:t>
      </w:r>
      <w:r>
        <w:rPr>
          <w:color w:val="auto"/>
          <w:spacing w:val="-91"/>
          <w:u w:val="single"/>
        </w:rPr>
        <w:t>）</w:t>
      </w:r>
      <w:r>
        <w:rPr>
          <w:color w:val="auto"/>
          <w:spacing w:val="-20"/>
        </w:rPr>
        <w:t>，从业人员</w:t>
      </w:r>
      <w:r>
        <w:rPr>
          <w:color w:val="auto"/>
          <w:u w:val="single"/>
        </w:rPr>
        <w:t xml:space="preserve">      </w:t>
      </w:r>
      <w:r>
        <w:rPr>
          <w:color w:val="auto"/>
          <w:spacing w:val="-14"/>
        </w:rPr>
        <w:t>人，营业收入为</w:t>
      </w:r>
      <w:r>
        <w:rPr>
          <w:color w:val="auto"/>
          <w:u w:val="single"/>
        </w:rPr>
        <w:t xml:space="preserve">      </w:t>
      </w:r>
      <w:r>
        <w:rPr>
          <w:color w:val="auto"/>
          <w:spacing w:val="-11"/>
        </w:rPr>
        <w:t>万元，资产总额为</w:t>
      </w:r>
      <w:r>
        <w:rPr>
          <w:color w:val="auto"/>
          <w:u w:val="single"/>
        </w:rPr>
        <w:t xml:space="preserve">     </w:t>
      </w:r>
      <w:r>
        <w:rPr>
          <w:color w:val="auto"/>
        </w:rPr>
        <w:t>万元，属于</w:t>
      </w:r>
      <w:r>
        <w:rPr>
          <w:color w:val="auto"/>
          <w:u w:val="single"/>
        </w:rPr>
        <w:t>（中型企业、小型企业、微型企业）</w:t>
      </w:r>
      <w:r>
        <w:rPr>
          <w:color w:val="auto"/>
        </w:rPr>
        <w:t xml:space="preserve">；  </w:t>
      </w:r>
    </w:p>
    <w:p>
      <w:pPr>
        <w:pStyle w:val="12"/>
        <w:numPr>
          <w:ilvl w:val="0"/>
          <w:numId w:val="17"/>
        </w:numPr>
        <w:tabs>
          <w:tab w:val="left" w:pos="1384"/>
        </w:tabs>
        <w:spacing w:before="3" w:after="0" w:line="240" w:lineRule="auto"/>
        <w:ind w:left="1383" w:right="0" w:hanging="360"/>
        <w:jc w:val="left"/>
        <w:rPr>
          <w:color w:val="auto"/>
          <w:sz w:val="24"/>
        </w:rPr>
      </w:pPr>
      <w:r>
        <w:rPr>
          <w:color w:val="auto"/>
          <w:sz w:val="24"/>
          <w:u w:val="single"/>
        </w:rPr>
        <w:t>（标的名称）</w:t>
      </w:r>
      <w:r>
        <w:rPr>
          <w:color w:val="auto"/>
          <w:sz w:val="24"/>
        </w:rPr>
        <w:t>，属于</w:t>
      </w:r>
      <w:r>
        <w:rPr>
          <w:color w:val="auto"/>
          <w:sz w:val="24"/>
          <w:u w:val="single"/>
        </w:rPr>
        <w:t>（</w:t>
      </w:r>
      <w:r>
        <w:rPr>
          <w:color w:val="auto"/>
          <w:spacing w:val="1"/>
          <w:sz w:val="24"/>
          <w:u w:val="single"/>
        </w:rPr>
        <w:t>采购文件中明确的所属行业</w:t>
      </w:r>
      <w:r>
        <w:rPr>
          <w:color w:val="auto"/>
          <w:sz w:val="24"/>
          <w:u w:val="single"/>
        </w:rPr>
        <w:t>）</w:t>
      </w:r>
      <w:r>
        <w:rPr>
          <w:color w:val="auto"/>
          <w:sz w:val="24"/>
        </w:rPr>
        <w:t>行业；承接企业为</w:t>
      </w:r>
    </w:p>
    <w:p>
      <w:pPr>
        <w:pStyle w:val="8"/>
        <w:spacing w:before="158" w:line="374" w:lineRule="auto"/>
        <w:ind w:left="542" w:right="1800"/>
        <w:jc w:val="both"/>
        <w:rPr>
          <w:color w:val="auto"/>
        </w:rPr>
      </w:pPr>
      <w:r>
        <w:rPr>
          <w:color w:val="auto"/>
          <w:u w:val="single"/>
        </w:rPr>
        <w:t>（企业名称</w:t>
      </w:r>
      <w:r>
        <w:rPr>
          <w:color w:val="auto"/>
          <w:spacing w:val="-61"/>
          <w:u w:val="single"/>
        </w:rPr>
        <w:t>）</w:t>
      </w:r>
      <w:r>
        <w:rPr>
          <w:color w:val="auto"/>
          <w:spacing w:val="-13"/>
        </w:rPr>
        <w:t>，从业人员</w:t>
      </w:r>
      <w:r>
        <w:rPr>
          <w:color w:val="auto"/>
          <w:u w:val="single"/>
        </w:rPr>
        <w:t xml:space="preserve">      </w:t>
      </w:r>
      <w:r>
        <w:rPr>
          <w:color w:val="auto"/>
          <w:spacing w:val="-9"/>
        </w:rPr>
        <w:t>人，营业收入为</w:t>
      </w:r>
      <w:r>
        <w:rPr>
          <w:color w:val="auto"/>
          <w:u w:val="single"/>
        </w:rPr>
        <w:t xml:space="preserve">      </w:t>
      </w:r>
      <w:r>
        <w:rPr>
          <w:color w:val="auto"/>
          <w:spacing w:val="-7"/>
        </w:rPr>
        <w:t>万元，资产总额为</w:t>
      </w:r>
      <w:r>
        <w:rPr>
          <w:color w:val="auto"/>
          <w:u w:val="single"/>
        </w:rPr>
        <w:t xml:space="preserve">    </w:t>
      </w:r>
      <w:r>
        <w:rPr>
          <w:color w:val="auto"/>
        </w:rPr>
        <w:t>万元，属于</w:t>
      </w:r>
      <w:r>
        <w:rPr>
          <w:color w:val="auto"/>
          <w:u w:val="single"/>
        </w:rPr>
        <w:t>（中型企业、小型企业、微型企业）</w:t>
      </w:r>
      <w:r>
        <w:rPr>
          <w:color w:val="auto"/>
        </w:rPr>
        <w:t xml:space="preserve">； </w:t>
      </w:r>
    </w:p>
    <w:p>
      <w:pPr>
        <w:pStyle w:val="8"/>
        <w:spacing w:line="294" w:lineRule="exact"/>
        <w:ind w:left="1023"/>
        <w:rPr>
          <w:color w:val="auto"/>
        </w:rPr>
      </w:pPr>
      <w:r>
        <w:rPr>
          <w:color w:val="auto"/>
        </w:rPr>
        <w:t xml:space="preserve"> ……  </w:t>
      </w:r>
    </w:p>
    <w:p>
      <w:pPr>
        <w:pStyle w:val="8"/>
        <w:spacing w:before="158" w:line="362" w:lineRule="auto"/>
        <w:ind w:left="542" w:right="1782" w:firstLine="480"/>
        <w:rPr>
          <w:color w:val="auto"/>
        </w:rPr>
      </w:pPr>
      <w:r>
        <w:rPr>
          <w:color w:val="auto"/>
          <w:spacing w:val="-8"/>
        </w:rPr>
        <w:t>以上企业，不属于大企业的分支机构，不存在控股股东为大企业的情形，也不存在与大企业的负责人为同一人的情形。</w:t>
      </w:r>
      <w:r>
        <w:rPr>
          <w:color w:val="auto"/>
        </w:rPr>
        <w:t xml:space="preserve"> </w:t>
      </w:r>
    </w:p>
    <w:p>
      <w:pPr>
        <w:pStyle w:val="8"/>
        <w:spacing w:before="2"/>
        <w:ind w:left="1023"/>
        <w:rPr>
          <w:color w:val="auto"/>
        </w:rPr>
      </w:pPr>
      <w:r>
        <w:rPr>
          <w:color w:val="auto"/>
        </w:rPr>
        <w:t xml:space="preserve">本企业对上述声明内容的真实性负责。如有虚假，将依法承担相应责任。  </w:t>
      </w:r>
    </w:p>
    <w:p>
      <w:pPr>
        <w:pStyle w:val="8"/>
        <w:spacing w:before="1"/>
        <w:rPr>
          <w:color w:val="auto"/>
          <w:sz w:val="31"/>
        </w:rPr>
      </w:pPr>
    </w:p>
    <w:p>
      <w:pPr>
        <w:spacing w:before="0" w:line="280" w:lineRule="auto"/>
        <w:ind w:left="542" w:right="1796" w:firstLine="0"/>
        <w:jc w:val="both"/>
        <w:rPr>
          <w:color w:val="auto"/>
          <w:sz w:val="21"/>
        </w:rPr>
      </w:pPr>
      <w:r>
        <w:rPr>
          <w:color w:val="auto"/>
          <w:sz w:val="21"/>
        </w:rPr>
        <w:t>（</w:t>
      </w:r>
      <w:r>
        <w:rPr>
          <w:color w:val="auto"/>
          <w:spacing w:val="-11"/>
          <w:sz w:val="21"/>
        </w:rPr>
        <w:t>注：从业人员、营业收入、资产总额填报上一年度数据，无上一年度数据的新成立企业可不填报。）</w:t>
      </w:r>
    </w:p>
    <w:p>
      <w:pPr>
        <w:pStyle w:val="8"/>
        <w:rPr>
          <w:color w:val="auto"/>
          <w:sz w:val="20"/>
        </w:rPr>
      </w:pPr>
    </w:p>
    <w:p>
      <w:pPr>
        <w:pStyle w:val="8"/>
        <w:rPr>
          <w:color w:val="auto"/>
          <w:sz w:val="20"/>
        </w:rPr>
      </w:pPr>
    </w:p>
    <w:p>
      <w:pPr>
        <w:pStyle w:val="8"/>
        <w:spacing w:before="6"/>
        <w:rPr>
          <w:color w:val="auto"/>
          <w:sz w:val="20"/>
        </w:rPr>
      </w:pPr>
    </w:p>
    <w:p>
      <w:pPr>
        <w:pStyle w:val="8"/>
        <w:spacing w:before="66"/>
        <w:ind w:left="557"/>
        <w:jc w:val="center"/>
        <w:rPr>
          <w:color w:val="auto"/>
        </w:rPr>
      </w:pPr>
      <w:r>
        <w:rPr>
          <w:color w:val="auto"/>
        </w:rPr>
        <w:t>投标单位（盖章）：</w:t>
      </w:r>
      <w:r>
        <w:rPr>
          <w:color w:val="auto"/>
          <w:u w:val="single"/>
        </w:rPr>
        <w:t xml:space="preserve">              </w:t>
      </w:r>
      <w:r>
        <w:rPr>
          <w:color w:val="auto"/>
        </w:rPr>
        <w:t xml:space="preserve"> </w:t>
      </w:r>
    </w:p>
    <w:p>
      <w:pPr>
        <w:pStyle w:val="8"/>
        <w:spacing w:before="99"/>
        <w:ind w:right="1122"/>
        <w:jc w:val="center"/>
        <w:rPr>
          <w:color w:val="auto"/>
        </w:rPr>
      </w:pPr>
      <w:r>
        <w:rPr>
          <w:color w:val="auto"/>
        </w:rPr>
        <w:t xml:space="preserve"> </w:t>
      </w:r>
    </w:p>
    <w:p>
      <w:pPr>
        <w:pStyle w:val="8"/>
        <w:spacing w:before="83"/>
        <w:ind w:left="557"/>
        <w:jc w:val="center"/>
        <w:rPr>
          <w:color w:val="auto"/>
        </w:rPr>
      </w:pPr>
      <w:r>
        <w:rPr>
          <w:color w:val="auto"/>
        </w:rPr>
        <w:t>法定代表（签字或盖章）：</w:t>
      </w:r>
      <w:r>
        <w:rPr>
          <w:color w:val="auto"/>
          <w:u w:val="single"/>
        </w:rPr>
        <w:t xml:space="preserve">              </w:t>
      </w:r>
      <w:r>
        <w:rPr>
          <w:color w:val="auto"/>
        </w:rPr>
        <w:t xml:space="preserve"> </w:t>
      </w:r>
    </w:p>
    <w:p>
      <w:pPr>
        <w:pStyle w:val="8"/>
        <w:spacing w:before="98"/>
        <w:ind w:right="1122"/>
        <w:jc w:val="center"/>
        <w:rPr>
          <w:color w:val="auto"/>
        </w:rPr>
      </w:pPr>
      <w:r>
        <w:rPr>
          <w:color w:val="auto"/>
        </w:rPr>
        <w:t xml:space="preserve"> </w:t>
      </w:r>
    </w:p>
    <w:p>
      <w:pPr>
        <w:pStyle w:val="8"/>
        <w:spacing w:before="97"/>
        <w:ind w:left="557" w:right="510"/>
        <w:jc w:val="center"/>
        <w:rPr>
          <w:color w:val="auto"/>
        </w:rPr>
      </w:pPr>
      <w:r>
        <w:rPr>
          <w:color w:val="auto"/>
        </w:rPr>
        <w:t xml:space="preserve">日        期 ：   年  月 日 </w:t>
      </w:r>
    </w:p>
    <w:p>
      <w:pPr>
        <w:pStyle w:val="8"/>
        <w:rPr>
          <w:color w:val="auto"/>
          <w:sz w:val="35"/>
        </w:rPr>
      </w:pPr>
    </w:p>
    <w:p>
      <w:pPr>
        <w:pStyle w:val="4"/>
        <w:spacing w:before="0"/>
        <w:ind w:left="542"/>
        <w:rPr>
          <w:color w:val="auto"/>
        </w:rPr>
      </w:pPr>
      <w:r>
        <w:rPr>
          <w:color w:val="auto"/>
        </w:rPr>
        <w:t>备注：如不是享受此优惠，响应文件可以不做此项。</w:t>
      </w:r>
      <w:r>
        <w:rPr>
          <w:color w:val="auto"/>
          <w:w w:val="100"/>
        </w:rPr>
        <w:t xml:space="preserve"> </w:t>
      </w:r>
    </w:p>
    <w:p>
      <w:pPr>
        <w:pStyle w:val="8"/>
        <w:rPr>
          <w:b/>
          <w:color w:val="auto"/>
          <w:sz w:val="28"/>
        </w:rPr>
      </w:pPr>
    </w:p>
    <w:p>
      <w:pPr>
        <w:pStyle w:val="8"/>
        <w:rPr>
          <w:b/>
          <w:color w:val="auto"/>
          <w:sz w:val="28"/>
        </w:rPr>
      </w:pPr>
    </w:p>
    <w:p>
      <w:pPr>
        <w:pStyle w:val="8"/>
        <w:spacing w:before="1"/>
        <w:rPr>
          <w:b/>
          <w:color w:val="auto"/>
          <w:sz w:val="21"/>
        </w:rPr>
      </w:pPr>
    </w:p>
    <w:p>
      <w:pPr>
        <w:spacing w:before="0"/>
        <w:ind w:left="0" w:right="1062" w:firstLine="0"/>
        <w:jc w:val="center"/>
        <w:rPr>
          <w:b/>
          <w:color w:val="auto"/>
          <w:sz w:val="36"/>
        </w:rPr>
      </w:pPr>
      <w:r>
        <w:rPr>
          <w:b/>
          <w:color w:val="auto"/>
          <w:w w:val="99"/>
          <w:sz w:val="36"/>
        </w:rPr>
        <w:t xml:space="preserve"> </w:t>
      </w:r>
    </w:p>
    <w:p>
      <w:pPr>
        <w:spacing w:after="0"/>
        <w:jc w:val="center"/>
        <w:rPr>
          <w:color w:val="auto"/>
          <w:sz w:val="36"/>
        </w:rPr>
        <w:sectPr>
          <w:pgSz w:w="11910" w:h="16850"/>
          <w:pgMar w:top="1500" w:right="0" w:bottom="1200" w:left="1260" w:header="0" w:footer="1006" w:gutter="0"/>
          <w:cols w:space="720" w:num="1"/>
        </w:sectPr>
      </w:pPr>
    </w:p>
    <w:p>
      <w:pPr>
        <w:spacing w:before="26"/>
        <w:ind w:left="2630" w:right="0" w:firstLine="0"/>
        <w:jc w:val="left"/>
        <w:rPr>
          <w:b/>
          <w:color w:val="auto"/>
          <w:sz w:val="36"/>
        </w:rPr>
      </w:pPr>
      <w:r>
        <w:rPr>
          <w:b/>
          <w:color w:val="auto"/>
          <w:sz w:val="36"/>
        </w:rPr>
        <w:t>残疾人福利性单位声明函</w:t>
      </w:r>
      <w:r>
        <w:rPr>
          <w:b/>
          <w:color w:val="auto"/>
          <w:w w:val="99"/>
          <w:sz w:val="36"/>
        </w:rPr>
        <w:t xml:space="preserve"> </w:t>
      </w:r>
    </w:p>
    <w:p>
      <w:pPr>
        <w:pStyle w:val="8"/>
        <w:rPr>
          <w:b/>
          <w:color w:val="auto"/>
          <w:sz w:val="20"/>
        </w:rPr>
      </w:pPr>
    </w:p>
    <w:p>
      <w:pPr>
        <w:pStyle w:val="8"/>
        <w:rPr>
          <w:b/>
          <w:color w:val="auto"/>
          <w:sz w:val="20"/>
        </w:rPr>
      </w:pPr>
    </w:p>
    <w:p>
      <w:pPr>
        <w:pStyle w:val="8"/>
        <w:spacing w:before="11"/>
        <w:rPr>
          <w:b/>
          <w:color w:val="auto"/>
          <w:sz w:val="27"/>
        </w:rPr>
      </w:pPr>
    </w:p>
    <w:p>
      <w:pPr>
        <w:pStyle w:val="8"/>
        <w:tabs>
          <w:tab w:val="left" w:pos="6339"/>
          <w:tab w:val="left" w:pos="7720"/>
        </w:tabs>
        <w:spacing w:before="66" w:line="458" w:lineRule="auto"/>
        <w:ind w:left="542" w:right="1798" w:firstLine="510"/>
        <w:rPr>
          <w:color w:val="auto"/>
        </w:rPr>
      </w:pPr>
      <w:r>
        <w:rPr>
          <w:color w:val="auto"/>
          <w:spacing w:val="15"/>
        </w:rPr>
        <w:t>本</w:t>
      </w:r>
      <w:r>
        <w:rPr>
          <w:color w:val="auto"/>
        </w:rPr>
        <w:t>单</w:t>
      </w:r>
      <w:r>
        <w:rPr>
          <w:color w:val="auto"/>
          <w:spacing w:val="15"/>
        </w:rPr>
        <w:t>位郑重声明</w:t>
      </w:r>
      <w:r>
        <w:rPr>
          <w:color w:val="auto"/>
        </w:rPr>
        <w:t>，根据</w:t>
      </w:r>
      <w:r>
        <w:rPr>
          <w:color w:val="auto"/>
          <w:spacing w:val="15"/>
        </w:rPr>
        <w:t>《财政</w:t>
      </w:r>
      <w:r>
        <w:rPr>
          <w:color w:val="auto"/>
          <w:spacing w:val="14"/>
        </w:rPr>
        <w:t>部</w:t>
      </w:r>
      <w:r>
        <w:rPr>
          <w:color w:val="auto"/>
        </w:rPr>
        <w:t xml:space="preserve"> </w:t>
      </w:r>
      <w:r>
        <w:rPr>
          <w:color w:val="auto"/>
          <w:spacing w:val="15"/>
        </w:rPr>
        <w:t>民政</w:t>
      </w:r>
      <w:r>
        <w:rPr>
          <w:color w:val="auto"/>
          <w:spacing w:val="14"/>
        </w:rPr>
        <w:t>部</w:t>
      </w:r>
      <w:r>
        <w:rPr>
          <w:color w:val="auto"/>
          <w:spacing w:val="15"/>
        </w:rPr>
        <w:t xml:space="preserve"> </w:t>
      </w:r>
      <w:r>
        <w:rPr>
          <w:color w:val="auto"/>
        </w:rPr>
        <w:t>中</w:t>
      </w:r>
      <w:r>
        <w:rPr>
          <w:color w:val="auto"/>
          <w:spacing w:val="15"/>
        </w:rPr>
        <w:t>国残疾人联</w:t>
      </w:r>
      <w:r>
        <w:rPr>
          <w:color w:val="auto"/>
        </w:rPr>
        <w:t>合</w:t>
      </w:r>
      <w:r>
        <w:rPr>
          <w:color w:val="auto"/>
          <w:spacing w:val="15"/>
        </w:rPr>
        <w:t>会关于促</w:t>
      </w:r>
      <w:r>
        <w:rPr>
          <w:color w:val="auto"/>
        </w:rPr>
        <w:t>进残疾人就业政</w:t>
      </w:r>
      <w:r>
        <w:rPr>
          <w:color w:val="auto"/>
          <w:spacing w:val="15"/>
        </w:rPr>
        <w:t>府</w:t>
      </w:r>
      <w:r>
        <w:rPr>
          <w:color w:val="auto"/>
        </w:rPr>
        <w:t>采</w:t>
      </w:r>
      <w:r>
        <w:rPr>
          <w:color w:val="auto"/>
          <w:spacing w:val="15"/>
        </w:rPr>
        <w:t>购政策的通</w:t>
      </w:r>
      <w:r>
        <w:rPr>
          <w:color w:val="auto"/>
        </w:rPr>
        <w:t>知</w:t>
      </w:r>
      <w:r>
        <w:rPr>
          <w:color w:val="auto"/>
          <w:spacing w:val="15"/>
        </w:rPr>
        <w:t>》（财库</w:t>
      </w:r>
      <w:r>
        <w:rPr>
          <w:color w:val="auto"/>
        </w:rPr>
        <w:t>〔</w:t>
      </w:r>
      <w:r>
        <w:rPr>
          <w:color w:val="auto"/>
          <w:spacing w:val="7"/>
        </w:rPr>
        <w:t>2017</w:t>
      </w:r>
      <w:r>
        <w:rPr>
          <w:color w:val="auto"/>
        </w:rPr>
        <w:t>〕</w:t>
      </w:r>
      <w:r>
        <w:rPr>
          <w:color w:val="auto"/>
          <w:spacing w:val="4"/>
        </w:rPr>
        <w:t>141</w:t>
      </w:r>
      <w:r>
        <w:rPr>
          <w:color w:val="auto"/>
          <w:spacing w:val="-45"/>
        </w:rPr>
        <w:t xml:space="preserve"> </w:t>
      </w:r>
      <w:r>
        <w:rPr>
          <w:color w:val="auto"/>
          <w:spacing w:val="15"/>
        </w:rPr>
        <w:t>号）的</w:t>
      </w:r>
      <w:r>
        <w:rPr>
          <w:color w:val="auto"/>
        </w:rPr>
        <w:t>规</w:t>
      </w:r>
      <w:r>
        <w:rPr>
          <w:color w:val="auto"/>
          <w:spacing w:val="15"/>
        </w:rPr>
        <w:t>定，本单</w:t>
      </w:r>
      <w:r>
        <w:rPr>
          <w:color w:val="auto"/>
        </w:rPr>
        <w:t>位为</w:t>
      </w:r>
      <w:r>
        <w:rPr>
          <w:color w:val="auto"/>
          <w:spacing w:val="15"/>
        </w:rPr>
        <w:t>符</w:t>
      </w:r>
      <w:r>
        <w:rPr>
          <w:color w:val="auto"/>
        </w:rPr>
        <w:t>合</w:t>
      </w:r>
      <w:r>
        <w:rPr>
          <w:color w:val="auto"/>
          <w:spacing w:val="15"/>
        </w:rPr>
        <w:t>条件的残</w:t>
      </w:r>
      <w:r>
        <w:rPr>
          <w:color w:val="auto"/>
        </w:rPr>
        <w:t>疾</w:t>
      </w:r>
      <w:r>
        <w:rPr>
          <w:color w:val="auto"/>
          <w:spacing w:val="15"/>
        </w:rPr>
        <w:t>人福利性单位</w:t>
      </w:r>
      <w:r>
        <w:rPr>
          <w:color w:val="auto"/>
          <w:spacing w:val="-15"/>
        </w:rPr>
        <w:t>，</w:t>
      </w:r>
      <w:r>
        <w:rPr>
          <w:color w:val="auto"/>
          <w:spacing w:val="15"/>
        </w:rPr>
        <w:t>且本单位</w:t>
      </w:r>
      <w:r>
        <w:rPr>
          <w:color w:val="auto"/>
        </w:rPr>
        <w:t>参</w:t>
      </w:r>
      <w:r>
        <w:rPr>
          <w:color w:val="auto"/>
          <w:spacing w:val="13"/>
        </w:rPr>
        <w:t>加</w:t>
      </w:r>
      <w:r>
        <w:rPr>
          <w:color w:val="auto"/>
          <w:spacing w:val="13"/>
          <w:u w:val="single"/>
        </w:rPr>
        <w:t xml:space="preserve"> </w:t>
      </w:r>
      <w:r>
        <w:rPr>
          <w:color w:val="auto"/>
          <w:spacing w:val="13"/>
          <w:u w:val="single"/>
        </w:rPr>
        <w:tab/>
      </w:r>
      <w:r>
        <w:rPr>
          <w:color w:val="auto"/>
          <w:spacing w:val="15"/>
        </w:rPr>
        <w:t>单</w:t>
      </w:r>
      <w:r>
        <w:rPr>
          <w:color w:val="auto"/>
        </w:rPr>
        <w:t>位</w:t>
      </w:r>
      <w:r>
        <w:rPr>
          <w:color w:val="auto"/>
          <w:spacing w:val="15"/>
        </w:rPr>
        <w:t>的</w:t>
      </w:r>
      <w:r>
        <w:rPr>
          <w:color w:val="auto"/>
          <w:spacing w:val="15"/>
          <w:u w:val="single"/>
        </w:rPr>
        <w:t xml:space="preserve"> </w:t>
      </w:r>
      <w:r>
        <w:rPr>
          <w:color w:val="auto"/>
          <w:spacing w:val="15"/>
          <w:u w:val="single"/>
        </w:rPr>
        <w:tab/>
      </w:r>
      <w:r>
        <w:rPr>
          <w:color w:val="auto"/>
          <w:spacing w:val="16"/>
        </w:rPr>
        <w:t>_</w:t>
      </w:r>
      <w:r>
        <w:rPr>
          <w:color w:val="auto"/>
        </w:rPr>
        <w:t>项</w:t>
      </w:r>
      <w:r>
        <w:rPr>
          <w:color w:val="auto"/>
          <w:spacing w:val="15"/>
        </w:rPr>
        <w:t>目采</w:t>
      </w:r>
      <w:r>
        <w:rPr>
          <w:color w:val="auto"/>
        </w:rPr>
        <w:t>购活动提供本</w:t>
      </w:r>
      <w:r>
        <w:rPr>
          <w:color w:val="auto"/>
          <w:spacing w:val="15"/>
        </w:rPr>
        <w:t>单</w:t>
      </w:r>
      <w:r>
        <w:rPr>
          <w:color w:val="auto"/>
        </w:rPr>
        <w:t>位</w:t>
      </w:r>
      <w:r>
        <w:rPr>
          <w:color w:val="auto"/>
          <w:spacing w:val="15"/>
        </w:rPr>
        <w:t>制造的货物</w:t>
      </w:r>
      <w:r>
        <w:rPr>
          <w:color w:val="auto"/>
        </w:rPr>
        <w:t>（</w:t>
      </w:r>
      <w:r>
        <w:rPr>
          <w:color w:val="auto"/>
          <w:spacing w:val="15"/>
        </w:rPr>
        <w:t>由本单位</w:t>
      </w:r>
      <w:r>
        <w:rPr>
          <w:color w:val="auto"/>
        </w:rPr>
        <w:t>承</w:t>
      </w:r>
      <w:r>
        <w:rPr>
          <w:color w:val="auto"/>
          <w:spacing w:val="15"/>
        </w:rPr>
        <w:t>担工</w:t>
      </w:r>
      <w:r>
        <w:rPr>
          <w:color w:val="auto"/>
        </w:rPr>
        <w:t>程</w:t>
      </w:r>
      <w:r>
        <w:rPr>
          <w:color w:val="auto"/>
          <w:spacing w:val="15"/>
        </w:rPr>
        <w:t>/提供服</w:t>
      </w:r>
      <w:r>
        <w:rPr>
          <w:color w:val="auto"/>
        </w:rPr>
        <w:t>务</w:t>
      </w:r>
      <w:r>
        <w:rPr>
          <w:color w:val="auto"/>
          <w:spacing w:val="15"/>
        </w:rPr>
        <w:t>），或者</w:t>
      </w:r>
      <w:r>
        <w:rPr>
          <w:color w:val="auto"/>
        </w:rPr>
        <w:t>提</w:t>
      </w:r>
      <w:r>
        <w:rPr>
          <w:color w:val="auto"/>
          <w:spacing w:val="15"/>
        </w:rPr>
        <w:t>供</w:t>
      </w:r>
      <w:r>
        <w:rPr>
          <w:color w:val="auto"/>
        </w:rPr>
        <w:t>其</w:t>
      </w:r>
      <w:r>
        <w:rPr>
          <w:color w:val="auto"/>
          <w:spacing w:val="15"/>
        </w:rPr>
        <w:t>他</w:t>
      </w:r>
      <w:r>
        <w:rPr>
          <w:color w:val="auto"/>
        </w:rPr>
        <w:t>残</w:t>
      </w:r>
      <w:r>
        <w:rPr>
          <w:color w:val="auto"/>
          <w:spacing w:val="15"/>
        </w:rPr>
        <w:t>疾人福利</w:t>
      </w:r>
      <w:r>
        <w:rPr>
          <w:color w:val="auto"/>
        </w:rPr>
        <w:t>性</w:t>
      </w:r>
      <w:r>
        <w:rPr>
          <w:color w:val="auto"/>
          <w:spacing w:val="15"/>
        </w:rPr>
        <w:t>单位制造的</w:t>
      </w:r>
      <w:r>
        <w:rPr>
          <w:color w:val="auto"/>
        </w:rPr>
        <w:t>货物</w:t>
      </w:r>
      <w:r>
        <w:rPr>
          <w:color w:val="auto"/>
          <w:spacing w:val="15"/>
        </w:rPr>
        <w:t>（不包括</w:t>
      </w:r>
      <w:r>
        <w:rPr>
          <w:color w:val="auto"/>
        </w:rPr>
        <w:t>使</w:t>
      </w:r>
      <w:r>
        <w:rPr>
          <w:color w:val="auto"/>
          <w:spacing w:val="15"/>
        </w:rPr>
        <w:t>用非残疾人</w:t>
      </w:r>
      <w:r>
        <w:rPr>
          <w:color w:val="auto"/>
        </w:rPr>
        <w:t>福</w:t>
      </w:r>
      <w:r>
        <w:rPr>
          <w:color w:val="auto"/>
          <w:spacing w:val="15"/>
        </w:rPr>
        <w:t>利性单位</w:t>
      </w:r>
      <w:r>
        <w:rPr>
          <w:color w:val="auto"/>
        </w:rPr>
        <w:t>注</w:t>
      </w:r>
      <w:r>
        <w:rPr>
          <w:color w:val="auto"/>
          <w:spacing w:val="15"/>
        </w:rPr>
        <w:t>册商</w:t>
      </w:r>
      <w:r>
        <w:rPr>
          <w:color w:val="auto"/>
        </w:rPr>
        <w:t xml:space="preserve">标的货物）。 </w:t>
      </w:r>
    </w:p>
    <w:p>
      <w:pPr>
        <w:pStyle w:val="8"/>
        <w:spacing w:before="4"/>
        <w:ind w:left="1053"/>
        <w:rPr>
          <w:color w:val="auto"/>
        </w:rPr>
      </w:pPr>
      <w:r>
        <w:rPr>
          <w:color w:val="auto"/>
        </w:rPr>
        <w:t xml:space="preserve">本单位对上述声明的真实性负责。如有虚假，将依法承担相应责任。 </w:t>
      </w:r>
    </w:p>
    <w:p>
      <w:pPr>
        <w:pStyle w:val="8"/>
        <w:spacing w:before="143"/>
        <w:ind w:left="1053"/>
        <w:rPr>
          <w:color w:val="auto"/>
        </w:rPr>
      </w:pPr>
      <w:r>
        <w:rPr>
          <w:color w:val="auto"/>
        </w:rPr>
        <w:t xml:space="preserve"> </w:t>
      </w:r>
    </w:p>
    <w:p>
      <w:pPr>
        <w:pStyle w:val="8"/>
        <w:rPr>
          <w:color w:val="auto"/>
          <w:sz w:val="20"/>
        </w:rPr>
      </w:pPr>
    </w:p>
    <w:p>
      <w:pPr>
        <w:pStyle w:val="8"/>
        <w:rPr>
          <w:color w:val="auto"/>
          <w:sz w:val="20"/>
        </w:rPr>
      </w:pPr>
    </w:p>
    <w:p>
      <w:pPr>
        <w:pStyle w:val="8"/>
        <w:rPr>
          <w:color w:val="auto"/>
          <w:sz w:val="20"/>
        </w:rPr>
      </w:pPr>
    </w:p>
    <w:p>
      <w:pPr>
        <w:pStyle w:val="8"/>
        <w:spacing w:before="8"/>
        <w:rPr>
          <w:color w:val="auto"/>
          <w:sz w:val="25"/>
        </w:rPr>
      </w:pPr>
    </w:p>
    <w:p>
      <w:pPr>
        <w:pStyle w:val="8"/>
        <w:spacing w:before="66"/>
        <w:ind w:left="6219"/>
        <w:rPr>
          <w:color w:val="auto"/>
        </w:rPr>
      </w:pPr>
      <w:r>
        <w:rPr>
          <w:color w:val="auto"/>
        </w:rPr>
        <w:t xml:space="preserve">日 期 ：20 年 月 日 </w:t>
      </w: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rPr>
          <w:color w:val="auto"/>
          <w:sz w:val="20"/>
        </w:rPr>
      </w:pPr>
    </w:p>
    <w:p>
      <w:pPr>
        <w:pStyle w:val="8"/>
        <w:spacing w:before="9"/>
        <w:rPr>
          <w:color w:val="auto"/>
        </w:rPr>
      </w:pPr>
    </w:p>
    <w:p>
      <w:pPr>
        <w:pStyle w:val="4"/>
        <w:spacing w:before="130"/>
        <w:ind w:left="1248"/>
        <w:rPr>
          <w:color w:val="auto"/>
          <w:w w:val="99"/>
          <w:sz w:val="36"/>
        </w:rPr>
        <w:sectPr>
          <w:pgSz w:w="11910" w:h="16850"/>
          <w:pgMar w:top="1500" w:right="0" w:bottom="1200" w:left="1260" w:header="0" w:footer="1006" w:gutter="0"/>
          <w:cols w:space="720" w:num="1"/>
        </w:sectPr>
      </w:pPr>
      <w:r>
        <w:rPr>
          <w:color w:val="auto"/>
        </w:rPr>
        <w:t>备注：如不是享受此优惠，响应文件可以不做此项。</w:t>
      </w:r>
      <w:r>
        <w:rPr>
          <w:color w:val="auto"/>
          <w:w w:val="99"/>
          <w:sz w:val="36"/>
        </w:rPr>
        <w:t xml:space="preserve"> </w:t>
      </w:r>
    </w:p>
    <w:p>
      <w:pPr>
        <w:pStyle w:val="3"/>
        <w:spacing w:before="46"/>
        <w:ind w:left="3200"/>
        <w:rPr>
          <w:color w:val="auto"/>
          <w:lang w:eastAsia="zh-CN"/>
        </w:rPr>
      </w:pPr>
      <w:r>
        <w:rPr>
          <w:rFonts w:hint="eastAsia"/>
          <w:color w:val="auto"/>
          <w:lang w:eastAsia="zh-CN"/>
        </w:rPr>
        <w:t>十</w:t>
      </w:r>
      <w:r>
        <w:rPr>
          <w:color w:val="auto"/>
          <w:lang w:eastAsia="zh-CN"/>
        </w:rPr>
        <w:t xml:space="preserve"> </w:t>
      </w:r>
      <w:r>
        <w:rPr>
          <w:rFonts w:hint="eastAsia"/>
          <w:color w:val="auto"/>
          <w:lang w:eastAsia="zh-CN"/>
        </w:rPr>
        <w:t>谈判响应供应商提交的其他资料</w:t>
      </w:r>
      <w:r>
        <w:rPr>
          <w:color w:val="auto"/>
          <w:lang w:eastAsia="zh-CN"/>
        </w:rPr>
        <w:t xml:space="preserve"> </w:t>
      </w:r>
    </w:p>
    <w:p>
      <w:pPr>
        <w:rPr>
          <w:color w:val="auto"/>
        </w:rPr>
      </w:pPr>
    </w:p>
    <w:sectPr>
      <w:pgSz w:w="11910" w:h="16850"/>
      <w:pgMar w:top="1500" w:right="0" w:bottom="1200" w:left="1260" w:header="0" w:footer="100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HCR Batang">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pict>
        <v:shape id="_x0000_s2049" o:spid="_x0000_s2049" o:spt="202" type="#_x0000_t202" style="position:absolute;left:0pt;margin-left:285.85pt;margin-top:782.7pt;height:11pt;width:20.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50" o:spid="_x0000_s2050" o:spt="202" type="#_x0000_t202" style="position:absolute;left:0pt;margin-left:89.1pt;margin-top:780.95pt;height:11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 xml:space="preserve"> </w:t>
                </w:r>
              </w:p>
            </w:txbxContent>
          </v:textbox>
        </v:shape>
      </w:pict>
    </w:r>
    <w:r>
      <w:pict>
        <v:shape id="_x0000_s2051" o:spid="_x0000_s2051" o:spt="202" type="#_x0000_t202" style="position:absolute;left:0pt;margin-left:287.35pt;margin-top:781.95pt;height:11pt;width:20.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40</w:t>
                </w:r>
                <w:r>
                  <w:fldChar w:fldCharType="end"/>
                </w:r>
                <w:r>
                  <w:rPr>
                    <w:rFonts w:ascii="Calibri"/>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383" w:hanging="361"/>
        <w:jc w:val="left"/>
      </w:pPr>
      <w:rPr>
        <w:rFonts w:hint="default" w:ascii="宋体" w:hAnsi="宋体" w:eastAsia="宋体" w:cs="宋体"/>
        <w:spacing w:val="-2"/>
        <w:w w:val="100"/>
        <w:sz w:val="24"/>
        <w:szCs w:val="24"/>
      </w:rPr>
    </w:lvl>
    <w:lvl w:ilvl="1" w:tentative="0">
      <w:start w:val="0"/>
      <w:numFmt w:val="bullet"/>
      <w:lvlText w:val="•"/>
      <w:lvlJc w:val="left"/>
      <w:pPr>
        <w:ind w:left="2307" w:hanging="361"/>
      </w:pPr>
      <w:rPr>
        <w:rFonts w:hint="default"/>
      </w:rPr>
    </w:lvl>
    <w:lvl w:ilvl="2" w:tentative="0">
      <w:start w:val="0"/>
      <w:numFmt w:val="bullet"/>
      <w:lvlText w:val="•"/>
      <w:lvlJc w:val="left"/>
      <w:pPr>
        <w:ind w:left="3234" w:hanging="361"/>
      </w:pPr>
      <w:rPr>
        <w:rFonts w:hint="default"/>
      </w:rPr>
    </w:lvl>
    <w:lvl w:ilvl="3" w:tentative="0">
      <w:start w:val="0"/>
      <w:numFmt w:val="bullet"/>
      <w:lvlText w:val="•"/>
      <w:lvlJc w:val="left"/>
      <w:pPr>
        <w:ind w:left="4161" w:hanging="361"/>
      </w:pPr>
      <w:rPr>
        <w:rFonts w:hint="default"/>
      </w:rPr>
    </w:lvl>
    <w:lvl w:ilvl="4" w:tentative="0">
      <w:start w:val="0"/>
      <w:numFmt w:val="bullet"/>
      <w:lvlText w:val="•"/>
      <w:lvlJc w:val="left"/>
      <w:pPr>
        <w:ind w:left="5088" w:hanging="361"/>
      </w:pPr>
      <w:rPr>
        <w:rFonts w:hint="default"/>
      </w:rPr>
    </w:lvl>
    <w:lvl w:ilvl="5" w:tentative="0">
      <w:start w:val="0"/>
      <w:numFmt w:val="bullet"/>
      <w:lvlText w:val="•"/>
      <w:lvlJc w:val="left"/>
      <w:pPr>
        <w:ind w:left="6015" w:hanging="361"/>
      </w:pPr>
      <w:rPr>
        <w:rFonts w:hint="default"/>
      </w:rPr>
    </w:lvl>
    <w:lvl w:ilvl="6" w:tentative="0">
      <w:start w:val="0"/>
      <w:numFmt w:val="bullet"/>
      <w:lvlText w:val="•"/>
      <w:lvlJc w:val="left"/>
      <w:pPr>
        <w:ind w:left="6942" w:hanging="361"/>
      </w:pPr>
      <w:rPr>
        <w:rFonts w:hint="default"/>
      </w:rPr>
    </w:lvl>
    <w:lvl w:ilvl="7" w:tentative="0">
      <w:start w:val="0"/>
      <w:numFmt w:val="bullet"/>
      <w:lvlText w:val="•"/>
      <w:lvlJc w:val="left"/>
      <w:pPr>
        <w:ind w:left="7869" w:hanging="361"/>
      </w:pPr>
      <w:rPr>
        <w:rFonts w:hint="default"/>
      </w:rPr>
    </w:lvl>
    <w:lvl w:ilvl="8" w:tentative="0">
      <w:start w:val="0"/>
      <w:numFmt w:val="bullet"/>
      <w:lvlText w:val="•"/>
      <w:lvlJc w:val="left"/>
      <w:pPr>
        <w:ind w:left="8796" w:hanging="361"/>
      </w:pPr>
      <w:rPr>
        <w:rFonts w:hint="default"/>
      </w:rPr>
    </w:lvl>
  </w:abstractNum>
  <w:abstractNum w:abstractNumId="1">
    <w:nsid w:val="8461FADE"/>
    <w:multiLevelType w:val="multilevel"/>
    <w:tmpl w:val="8461FADE"/>
    <w:lvl w:ilvl="0" w:tentative="0">
      <w:start w:val="17"/>
      <w:numFmt w:val="decimal"/>
      <w:lvlText w:val="%1"/>
      <w:lvlJc w:val="left"/>
      <w:pPr>
        <w:ind w:left="482" w:hanging="541"/>
        <w:jc w:val="left"/>
      </w:pPr>
      <w:rPr>
        <w:rFonts w:hint="default"/>
      </w:rPr>
    </w:lvl>
    <w:lvl w:ilvl="1" w:tentative="0">
      <w:start w:val="6"/>
      <w:numFmt w:val="decimal"/>
      <w:lvlText w:val="%1.%2"/>
      <w:lvlJc w:val="left"/>
      <w:pPr>
        <w:ind w:left="482" w:hanging="541"/>
        <w:jc w:val="left"/>
      </w:pPr>
      <w:rPr>
        <w:rFonts w:hint="default" w:ascii="宋体" w:hAnsi="宋体" w:eastAsia="宋体" w:cs="宋体"/>
        <w:w w:val="100"/>
        <w:sz w:val="24"/>
        <w:szCs w:val="24"/>
      </w:rPr>
    </w:lvl>
    <w:lvl w:ilvl="2" w:tentative="0">
      <w:start w:val="0"/>
      <w:numFmt w:val="bullet"/>
      <w:lvlText w:val="•"/>
      <w:lvlJc w:val="left"/>
      <w:pPr>
        <w:ind w:left="2514" w:hanging="541"/>
      </w:pPr>
      <w:rPr>
        <w:rFonts w:hint="default"/>
      </w:rPr>
    </w:lvl>
    <w:lvl w:ilvl="3" w:tentative="0">
      <w:start w:val="0"/>
      <w:numFmt w:val="bullet"/>
      <w:lvlText w:val="•"/>
      <w:lvlJc w:val="left"/>
      <w:pPr>
        <w:ind w:left="3531" w:hanging="541"/>
      </w:pPr>
      <w:rPr>
        <w:rFonts w:hint="default"/>
      </w:rPr>
    </w:lvl>
    <w:lvl w:ilvl="4" w:tentative="0">
      <w:start w:val="0"/>
      <w:numFmt w:val="bullet"/>
      <w:lvlText w:val="•"/>
      <w:lvlJc w:val="left"/>
      <w:pPr>
        <w:ind w:left="4548" w:hanging="541"/>
      </w:pPr>
      <w:rPr>
        <w:rFonts w:hint="default"/>
      </w:rPr>
    </w:lvl>
    <w:lvl w:ilvl="5" w:tentative="0">
      <w:start w:val="0"/>
      <w:numFmt w:val="bullet"/>
      <w:lvlText w:val="•"/>
      <w:lvlJc w:val="left"/>
      <w:pPr>
        <w:ind w:left="5565" w:hanging="541"/>
      </w:pPr>
      <w:rPr>
        <w:rFonts w:hint="default"/>
      </w:rPr>
    </w:lvl>
    <w:lvl w:ilvl="6" w:tentative="0">
      <w:start w:val="0"/>
      <w:numFmt w:val="bullet"/>
      <w:lvlText w:val="•"/>
      <w:lvlJc w:val="left"/>
      <w:pPr>
        <w:ind w:left="6582" w:hanging="541"/>
      </w:pPr>
      <w:rPr>
        <w:rFonts w:hint="default"/>
      </w:rPr>
    </w:lvl>
    <w:lvl w:ilvl="7" w:tentative="0">
      <w:start w:val="0"/>
      <w:numFmt w:val="bullet"/>
      <w:lvlText w:val="•"/>
      <w:lvlJc w:val="left"/>
      <w:pPr>
        <w:ind w:left="7599" w:hanging="541"/>
      </w:pPr>
      <w:rPr>
        <w:rFonts w:hint="default"/>
      </w:rPr>
    </w:lvl>
    <w:lvl w:ilvl="8" w:tentative="0">
      <w:start w:val="0"/>
      <w:numFmt w:val="bullet"/>
      <w:lvlText w:val="•"/>
      <w:lvlJc w:val="left"/>
      <w:pPr>
        <w:ind w:left="8616" w:hanging="541"/>
      </w:pPr>
      <w:rPr>
        <w:rFonts w:hint="default"/>
      </w:rPr>
    </w:lvl>
  </w:abstractNum>
  <w:abstractNum w:abstractNumId="2">
    <w:nsid w:val="9C8AC8EF"/>
    <w:multiLevelType w:val="multilevel"/>
    <w:tmpl w:val="9C8AC8EF"/>
    <w:lvl w:ilvl="0" w:tentative="0">
      <w:start w:val="2"/>
      <w:numFmt w:val="decimal"/>
      <w:lvlText w:val="%1"/>
      <w:lvlJc w:val="left"/>
      <w:pPr>
        <w:ind w:left="482" w:hanging="361"/>
        <w:jc w:val="right"/>
      </w:pPr>
      <w:rPr>
        <w:rFonts w:hint="default"/>
      </w:rPr>
    </w:lvl>
    <w:lvl w:ilvl="1" w:tentative="0">
      <w:start w:val="1"/>
      <w:numFmt w:val="decimal"/>
      <w:lvlText w:val="%1.%2"/>
      <w:lvlJc w:val="left"/>
      <w:pPr>
        <w:ind w:left="482" w:hanging="361"/>
        <w:jc w:val="left"/>
      </w:pPr>
      <w:rPr>
        <w:rFonts w:hint="default" w:ascii="宋体" w:hAnsi="宋体" w:eastAsia="宋体" w:cs="宋体"/>
        <w:w w:val="100"/>
        <w:sz w:val="22"/>
        <w:szCs w:val="22"/>
      </w:rPr>
    </w:lvl>
    <w:lvl w:ilvl="2" w:tentative="0">
      <w:start w:val="0"/>
      <w:numFmt w:val="bullet"/>
      <w:lvlText w:val="•"/>
      <w:lvlJc w:val="left"/>
      <w:pPr>
        <w:ind w:left="2514" w:hanging="361"/>
      </w:pPr>
      <w:rPr>
        <w:rFonts w:hint="default"/>
      </w:rPr>
    </w:lvl>
    <w:lvl w:ilvl="3" w:tentative="0">
      <w:start w:val="0"/>
      <w:numFmt w:val="bullet"/>
      <w:lvlText w:val="•"/>
      <w:lvlJc w:val="left"/>
      <w:pPr>
        <w:ind w:left="3531" w:hanging="361"/>
      </w:pPr>
      <w:rPr>
        <w:rFonts w:hint="default"/>
      </w:rPr>
    </w:lvl>
    <w:lvl w:ilvl="4" w:tentative="0">
      <w:start w:val="0"/>
      <w:numFmt w:val="bullet"/>
      <w:lvlText w:val="•"/>
      <w:lvlJc w:val="left"/>
      <w:pPr>
        <w:ind w:left="4548" w:hanging="361"/>
      </w:pPr>
      <w:rPr>
        <w:rFonts w:hint="default"/>
      </w:rPr>
    </w:lvl>
    <w:lvl w:ilvl="5" w:tentative="0">
      <w:start w:val="0"/>
      <w:numFmt w:val="bullet"/>
      <w:lvlText w:val="•"/>
      <w:lvlJc w:val="left"/>
      <w:pPr>
        <w:ind w:left="5565" w:hanging="361"/>
      </w:pPr>
      <w:rPr>
        <w:rFonts w:hint="default"/>
      </w:rPr>
    </w:lvl>
    <w:lvl w:ilvl="6" w:tentative="0">
      <w:start w:val="0"/>
      <w:numFmt w:val="bullet"/>
      <w:lvlText w:val="•"/>
      <w:lvlJc w:val="left"/>
      <w:pPr>
        <w:ind w:left="6582" w:hanging="361"/>
      </w:pPr>
      <w:rPr>
        <w:rFonts w:hint="default"/>
      </w:rPr>
    </w:lvl>
    <w:lvl w:ilvl="7" w:tentative="0">
      <w:start w:val="0"/>
      <w:numFmt w:val="bullet"/>
      <w:lvlText w:val="•"/>
      <w:lvlJc w:val="left"/>
      <w:pPr>
        <w:ind w:left="7599" w:hanging="361"/>
      </w:pPr>
      <w:rPr>
        <w:rFonts w:hint="default"/>
      </w:rPr>
    </w:lvl>
    <w:lvl w:ilvl="8" w:tentative="0">
      <w:start w:val="0"/>
      <w:numFmt w:val="bullet"/>
      <w:lvlText w:val="•"/>
      <w:lvlJc w:val="left"/>
      <w:pPr>
        <w:ind w:left="8616" w:hanging="361"/>
      </w:pPr>
      <w:rPr>
        <w:rFonts w:hint="default"/>
      </w:rPr>
    </w:lvl>
  </w:abstractNum>
  <w:abstractNum w:abstractNumId="3">
    <w:nsid w:val="B0F1ACD9"/>
    <w:multiLevelType w:val="multilevel"/>
    <w:tmpl w:val="B0F1ACD9"/>
    <w:lvl w:ilvl="0" w:tentative="0">
      <w:start w:val="11"/>
      <w:numFmt w:val="decimal"/>
      <w:lvlText w:val="%1"/>
      <w:lvlJc w:val="left"/>
      <w:pPr>
        <w:ind w:left="482" w:hanging="541"/>
        <w:jc w:val="left"/>
      </w:pPr>
      <w:rPr>
        <w:rFonts w:hint="default"/>
      </w:rPr>
    </w:lvl>
    <w:lvl w:ilvl="1" w:tentative="0">
      <w:start w:val="1"/>
      <w:numFmt w:val="decimal"/>
      <w:lvlText w:val="%1.%2"/>
      <w:lvlJc w:val="left"/>
      <w:pPr>
        <w:ind w:left="482" w:hanging="541"/>
        <w:jc w:val="left"/>
      </w:pPr>
      <w:rPr>
        <w:rFonts w:hint="default" w:ascii="宋体" w:hAnsi="宋体" w:eastAsia="宋体" w:cs="宋体"/>
        <w:w w:val="100"/>
        <w:sz w:val="24"/>
        <w:szCs w:val="24"/>
      </w:rPr>
    </w:lvl>
    <w:lvl w:ilvl="2" w:tentative="0">
      <w:start w:val="0"/>
      <w:numFmt w:val="bullet"/>
      <w:lvlText w:val="•"/>
      <w:lvlJc w:val="left"/>
      <w:pPr>
        <w:ind w:left="2514" w:hanging="541"/>
      </w:pPr>
      <w:rPr>
        <w:rFonts w:hint="default"/>
      </w:rPr>
    </w:lvl>
    <w:lvl w:ilvl="3" w:tentative="0">
      <w:start w:val="0"/>
      <w:numFmt w:val="bullet"/>
      <w:lvlText w:val="•"/>
      <w:lvlJc w:val="left"/>
      <w:pPr>
        <w:ind w:left="3531" w:hanging="541"/>
      </w:pPr>
      <w:rPr>
        <w:rFonts w:hint="default"/>
      </w:rPr>
    </w:lvl>
    <w:lvl w:ilvl="4" w:tentative="0">
      <w:start w:val="0"/>
      <w:numFmt w:val="bullet"/>
      <w:lvlText w:val="•"/>
      <w:lvlJc w:val="left"/>
      <w:pPr>
        <w:ind w:left="4548" w:hanging="541"/>
      </w:pPr>
      <w:rPr>
        <w:rFonts w:hint="default"/>
      </w:rPr>
    </w:lvl>
    <w:lvl w:ilvl="5" w:tentative="0">
      <w:start w:val="0"/>
      <w:numFmt w:val="bullet"/>
      <w:lvlText w:val="•"/>
      <w:lvlJc w:val="left"/>
      <w:pPr>
        <w:ind w:left="5565" w:hanging="541"/>
      </w:pPr>
      <w:rPr>
        <w:rFonts w:hint="default"/>
      </w:rPr>
    </w:lvl>
    <w:lvl w:ilvl="6" w:tentative="0">
      <w:start w:val="0"/>
      <w:numFmt w:val="bullet"/>
      <w:lvlText w:val="•"/>
      <w:lvlJc w:val="left"/>
      <w:pPr>
        <w:ind w:left="6582" w:hanging="541"/>
      </w:pPr>
      <w:rPr>
        <w:rFonts w:hint="default"/>
      </w:rPr>
    </w:lvl>
    <w:lvl w:ilvl="7" w:tentative="0">
      <w:start w:val="0"/>
      <w:numFmt w:val="bullet"/>
      <w:lvlText w:val="•"/>
      <w:lvlJc w:val="left"/>
      <w:pPr>
        <w:ind w:left="7599" w:hanging="541"/>
      </w:pPr>
      <w:rPr>
        <w:rFonts w:hint="default"/>
      </w:rPr>
    </w:lvl>
    <w:lvl w:ilvl="8" w:tentative="0">
      <w:start w:val="0"/>
      <w:numFmt w:val="bullet"/>
      <w:lvlText w:val="•"/>
      <w:lvlJc w:val="left"/>
      <w:pPr>
        <w:ind w:left="8616" w:hanging="541"/>
      </w:pPr>
      <w:rPr>
        <w:rFonts w:hint="default"/>
      </w:rPr>
    </w:lvl>
  </w:abstractNum>
  <w:abstractNum w:abstractNumId="4">
    <w:nsid w:val="BE923771"/>
    <w:multiLevelType w:val="multilevel"/>
    <w:tmpl w:val="BE923771"/>
    <w:lvl w:ilvl="0" w:tentative="0">
      <w:start w:val="13"/>
      <w:numFmt w:val="decimal"/>
      <w:lvlText w:val="%1"/>
      <w:lvlJc w:val="left"/>
      <w:pPr>
        <w:ind w:left="482" w:hanging="541"/>
        <w:jc w:val="left"/>
      </w:pPr>
      <w:rPr>
        <w:rFonts w:hint="default"/>
      </w:rPr>
    </w:lvl>
    <w:lvl w:ilvl="1" w:tentative="0">
      <w:start w:val="1"/>
      <w:numFmt w:val="decimal"/>
      <w:lvlText w:val="%1.%2"/>
      <w:lvlJc w:val="left"/>
      <w:pPr>
        <w:ind w:left="482" w:hanging="541"/>
        <w:jc w:val="left"/>
      </w:pPr>
      <w:rPr>
        <w:rFonts w:hint="default" w:ascii="宋体" w:hAnsi="宋体" w:eastAsia="宋体" w:cs="宋体"/>
        <w:w w:val="100"/>
        <w:sz w:val="24"/>
        <w:szCs w:val="24"/>
      </w:rPr>
    </w:lvl>
    <w:lvl w:ilvl="2" w:tentative="0">
      <w:start w:val="0"/>
      <w:numFmt w:val="bullet"/>
      <w:lvlText w:val="•"/>
      <w:lvlJc w:val="left"/>
      <w:pPr>
        <w:ind w:left="2514" w:hanging="541"/>
      </w:pPr>
      <w:rPr>
        <w:rFonts w:hint="default"/>
      </w:rPr>
    </w:lvl>
    <w:lvl w:ilvl="3" w:tentative="0">
      <w:start w:val="0"/>
      <w:numFmt w:val="bullet"/>
      <w:lvlText w:val="•"/>
      <w:lvlJc w:val="left"/>
      <w:pPr>
        <w:ind w:left="3531" w:hanging="541"/>
      </w:pPr>
      <w:rPr>
        <w:rFonts w:hint="default"/>
      </w:rPr>
    </w:lvl>
    <w:lvl w:ilvl="4" w:tentative="0">
      <w:start w:val="0"/>
      <w:numFmt w:val="bullet"/>
      <w:lvlText w:val="•"/>
      <w:lvlJc w:val="left"/>
      <w:pPr>
        <w:ind w:left="4548" w:hanging="541"/>
      </w:pPr>
      <w:rPr>
        <w:rFonts w:hint="default"/>
      </w:rPr>
    </w:lvl>
    <w:lvl w:ilvl="5" w:tentative="0">
      <w:start w:val="0"/>
      <w:numFmt w:val="bullet"/>
      <w:lvlText w:val="•"/>
      <w:lvlJc w:val="left"/>
      <w:pPr>
        <w:ind w:left="5565" w:hanging="541"/>
      </w:pPr>
      <w:rPr>
        <w:rFonts w:hint="default"/>
      </w:rPr>
    </w:lvl>
    <w:lvl w:ilvl="6" w:tentative="0">
      <w:start w:val="0"/>
      <w:numFmt w:val="bullet"/>
      <w:lvlText w:val="•"/>
      <w:lvlJc w:val="left"/>
      <w:pPr>
        <w:ind w:left="6582" w:hanging="541"/>
      </w:pPr>
      <w:rPr>
        <w:rFonts w:hint="default"/>
      </w:rPr>
    </w:lvl>
    <w:lvl w:ilvl="7" w:tentative="0">
      <w:start w:val="0"/>
      <w:numFmt w:val="bullet"/>
      <w:lvlText w:val="•"/>
      <w:lvlJc w:val="left"/>
      <w:pPr>
        <w:ind w:left="7599" w:hanging="541"/>
      </w:pPr>
      <w:rPr>
        <w:rFonts w:hint="default"/>
      </w:rPr>
    </w:lvl>
    <w:lvl w:ilvl="8" w:tentative="0">
      <w:start w:val="0"/>
      <w:numFmt w:val="bullet"/>
      <w:lvlText w:val="•"/>
      <w:lvlJc w:val="left"/>
      <w:pPr>
        <w:ind w:left="8616" w:hanging="541"/>
      </w:pPr>
      <w:rPr>
        <w:rFonts w:hint="default"/>
      </w:rPr>
    </w:lvl>
  </w:abstractNum>
  <w:abstractNum w:abstractNumId="5">
    <w:nsid w:val="D3000E04"/>
    <w:multiLevelType w:val="singleLevel"/>
    <w:tmpl w:val="D3000E04"/>
    <w:lvl w:ilvl="0" w:tentative="0">
      <w:start w:val="3"/>
      <w:numFmt w:val="decimal"/>
      <w:lvlText w:val="%1."/>
      <w:lvlJc w:val="left"/>
      <w:pPr>
        <w:tabs>
          <w:tab w:val="left" w:pos="312"/>
        </w:tabs>
      </w:pPr>
    </w:lvl>
  </w:abstractNum>
  <w:abstractNum w:abstractNumId="6">
    <w:nsid w:val="D7F9FE59"/>
    <w:multiLevelType w:val="multilevel"/>
    <w:tmpl w:val="D7F9FE59"/>
    <w:lvl w:ilvl="0" w:tentative="0">
      <w:start w:val="0"/>
      <w:numFmt w:val="bullet"/>
      <w:lvlText w:val="·"/>
      <w:lvlJc w:val="left"/>
      <w:pPr>
        <w:ind w:left="902" w:hanging="241"/>
      </w:pPr>
      <w:rPr>
        <w:rFonts w:hint="default" w:ascii="宋体" w:hAnsi="宋体" w:eastAsia="宋体" w:cs="宋体"/>
        <w:spacing w:val="-30"/>
        <w:w w:val="100"/>
        <w:sz w:val="22"/>
        <w:szCs w:val="22"/>
      </w:rPr>
    </w:lvl>
    <w:lvl w:ilvl="1" w:tentative="0">
      <w:start w:val="0"/>
      <w:numFmt w:val="bullet"/>
      <w:lvlText w:val="•"/>
      <w:lvlJc w:val="left"/>
      <w:pPr>
        <w:ind w:left="1875" w:hanging="241"/>
      </w:pPr>
      <w:rPr>
        <w:rFonts w:hint="default"/>
      </w:rPr>
    </w:lvl>
    <w:lvl w:ilvl="2" w:tentative="0">
      <w:start w:val="0"/>
      <w:numFmt w:val="bullet"/>
      <w:lvlText w:val="•"/>
      <w:lvlJc w:val="left"/>
      <w:pPr>
        <w:ind w:left="2850" w:hanging="241"/>
      </w:pPr>
      <w:rPr>
        <w:rFonts w:hint="default"/>
      </w:rPr>
    </w:lvl>
    <w:lvl w:ilvl="3" w:tentative="0">
      <w:start w:val="0"/>
      <w:numFmt w:val="bullet"/>
      <w:lvlText w:val="•"/>
      <w:lvlJc w:val="left"/>
      <w:pPr>
        <w:ind w:left="3825" w:hanging="241"/>
      </w:pPr>
      <w:rPr>
        <w:rFonts w:hint="default"/>
      </w:rPr>
    </w:lvl>
    <w:lvl w:ilvl="4" w:tentative="0">
      <w:start w:val="0"/>
      <w:numFmt w:val="bullet"/>
      <w:lvlText w:val="•"/>
      <w:lvlJc w:val="left"/>
      <w:pPr>
        <w:ind w:left="4800" w:hanging="241"/>
      </w:pPr>
      <w:rPr>
        <w:rFonts w:hint="default"/>
      </w:rPr>
    </w:lvl>
    <w:lvl w:ilvl="5" w:tentative="0">
      <w:start w:val="0"/>
      <w:numFmt w:val="bullet"/>
      <w:lvlText w:val="•"/>
      <w:lvlJc w:val="left"/>
      <w:pPr>
        <w:ind w:left="5775" w:hanging="241"/>
      </w:pPr>
      <w:rPr>
        <w:rFonts w:hint="default"/>
      </w:rPr>
    </w:lvl>
    <w:lvl w:ilvl="6" w:tentative="0">
      <w:start w:val="0"/>
      <w:numFmt w:val="bullet"/>
      <w:lvlText w:val="•"/>
      <w:lvlJc w:val="left"/>
      <w:pPr>
        <w:ind w:left="6750" w:hanging="241"/>
      </w:pPr>
      <w:rPr>
        <w:rFonts w:hint="default"/>
      </w:rPr>
    </w:lvl>
    <w:lvl w:ilvl="7" w:tentative="0">
      <w:start w:val="0"/>
      <w:numFmt w:val="bullet"/>
      <w:lvlText w:val="•"/>
      <w:lvlJc w:val="left"/>
      <w:pPr>
        <w:ind w:left="7725" w:hanging="241"/>
      </w:pPr>
      <w:rPr>
        <w:rFonts w:hint="default"/>
      </w:rPr>
    </w:lvl>
    <w:lvl w:ilvl="8" w:tentative="0">
      <w:start w:val="0"/>
      <w:numFmt w:val="bullet"/>
      <w:lvlText w:val="•"/>
      <w:lvlJc w:val="left"/>
      <w:pPr>
        <w:ind w:left="8700" w:hanging="241"/>
      </w:pPr>
      <w:rPr>
        <w:rFonts w:hint="default"/>
      </w:rPr>
    </w:lvl>
  </w:abstractNum>
  <w:abstractNum w:abstractNumId="7">
    <w:nsid w:val="FAD7023C"/>
    <w:multiLevelType w:val="singleLevel"/>
    <w:tmpl w:val="FAD7023C"/>
    <w:lvl w:ilvl="0" w:tentative="0">
      <w:start w:val="5"/>
      <w:numFmt w:val="chineseCounting"/>
      <w:suff w:val="space"/>
      <w:lvlText w:val="第%1章"/>
      <w:lvlJc w:val="left"/>
      <w:rPr>
        <w:rFonts w:hint="eastAsia"/>
      </w:rPr>
    </w:lvl>
  </w:abstractNum>
  <w:abstractNum w:abstractNumId="8">
    <w:nsid w:val="0E640482"/>
    <w:multiLevelType w:val="multilevel"/>
    <w:tmpl w:val="0E640482"/>
    <w:lvl w:ilvl="0" w:tentative="0">
      <w:start w:val="8"/>
      <w:numFmt w:val="decimal"/>
      <w:lvlText w:val="%1"/>
      <w:lvlJc w:val="left"/>
      <w:pPr>
        <w:ind w:left="482" w:hanging="421"/>
        <w:jc w:val="left"/>
      </w:pPr>
      <w:rPr>
        <w:rFonts w:hint="default"/>
      </w:rPr>
    </w:lvl>
    <w:lvl w:ilvl="1" w:tentative="0">
      <w:start w:val="1"/>
      <w:numFmt w:val="decimal"/>
      <w:lvlText w:val="%1.%2"/>
      <w:lvlJc w:val="left"/>
      <w:pPr>
        <w:ind w:left="482" w:hanging="421"/>
        <w:jc w:val="left"/>
      </w:pPr>
      <w:rPr>
        <w:rFonts w:hint="default" w:ascii="宋体" w:hAnsi="宋体" w:eastAsia="宋体" w:cs="宋体"/>
        <w:w w:val="100"/>
        <w:sz w:val="24"/>
        <w:szCs w:val="24"/>
      </w:rPr>
    </w:lvl>
    <w:lvl w:ilvl="2" w:tentative="0">
      <w:start w:val="0"/>
      <w:numFmt w:val="bullet"/>
      <w:lvlText w:val="•"/>
      <w:lvlJc w:val="left"/>
      <w:pPr>
        <w:ind w:left="2514" w:hanging="421"/>
      </w:pPr>
      <w:rPr>
        <w:rFonts w:hint="default"/>
      </w:rPr>
    </w:lvl>
    <w:lvl w:ilvl="3" w:tentative="0">
      <w:start w:val="0"/>
      <w:numFmt w:val="bullet"/>
      <w:lvlText w:val="•"/>
      <w:lvlJc w:val="left"/>
      <w:pPr>
        <w:ind w:left="3531" w:hanging="421"/>
      </w:pPr>
      <w:rPr>
        <w:rFonts w:hint="default"/>
      </w:rPr>
    </w:lvl>
    <w:lvl w:ilvl="4" w:tentative="0">
      <w:start w:val="0"/>
      <w:numFmt w:val="bullet"/>
      <w:lvlText w:val="•"/>
      <w:lvlJc w:val="left"/>
      <w:pPr>
        <w:ind w:left="4548" w:hanging="421"/>
      </w:pPr>
      <w:rPr>
        <w:rFonts w:hint="default"/>
      </w:rPr>
    </w:lvl>
    <w:lvl w:ilvl="5" w:tentative="0">
      <w:start w:val="0"/>
      <w:numFmt w:val="bullet"/>
      <w:lvlText w:val="•"/>
      <w:lvlJc w:val="left"/>
      <w:pPr>
        <w:ind w:left="5565" w:hanging="421"/>
      </w:pPr>
      <w:rPr>
        <w:rFonts w:hint="default"/>
      </w:rPr>
    </w:lvl>
    <w:lvl w:ilvl="6" w:tentative="0">
      <w:start w:val="0"/>
      <w:numFmt w:val="bullet"/>
      <w:lvlText w:val="•"/>
      <w:lvlJc w:val="left"/>
      <w:pPr>
        <w:ind w:left="6582" w:hanging="421"/>
      </w:pPr>
      <w:rPr>
        <w:rFonts w:hint="default"/>
      </w:rPr>
    </w:lvl>
    <w:lvl w:ilvl="7" w:tentative="0">
      <w:start w:val="0"/>
      <w:numFmt w:val="bullet"/>
      <w:lvlText w:val="•"/>
      <w:lvlJc w:val="left"/>
      <w:pPr>
        <w:ind w:left="7599" w:hanging="421"/>
      </w:pPr>
      <w:rPr>
        <w:rFonts w:hint="default"/>
      </w:rPr>
    </w:lvl>
    <w:lvl w:ilvl="8" w:tentative="0">
      <w:start w:val="0"/>
      <w:numFmt w:val="bullet"/>
      <w:lvlText w:val="•"/>
      <w:lvlJc w:val="left"/>
      <w:pPr>
        <w:ind w:left="8616" w:hanging="421"/>
      </w:pPr>
      <w:rPr>
        <w:rFonts w:hint="default"/>
      </w:rPr>
    </w:lvl>
  </w:abstractNum>
  <w:abstractNum w:abstractNumId="9">
    <w:nsid w:val="39A0D9AC"/>
    <w:multiLevelType w:val="multilevel"/>
    <w:tmpl w:val="39A0D9AC"/>
    <w:lvl w:ilvl="0" w:tentative="0">
      <w:start w:val="17"/>
      <w:numFmt w:val="decimal"/>
      <w:lvlText w:val="%1"/>
      <w:lvlJc w:val="left"/>
      <w:pPr>
        <w:ind w:left="482" w:hanging="541"/>
        <w:jc w:val="left"/>
      </w:pPr>
      <w:rPr>
        <w:rFonts w:hint="default"/>
      </w:rPr>
    </w:lvl>
    <w:lvl w:ilvl="1" w:tentative="0">
      <w:start w:val="1"/>
      <w:numFmt w:val="decimal"/>
      <w:lvlText w:val="%1.%2"/>
      <w:lvlJc w:val="left"/>
      <w:pPr>
        <w:ind w:left="482" w:hanging="541"/>
        <w:jc w:val="left"/>
      </w:pPr>
      <w:rPr>
        <w:rFonts w:hint="default"/>
        <w:w w:val="100"/>
      </w:rPr>
    </w:lvl>
    <w:lvl w:ilvl="2" w:tentative="0">
      <w:start w:val="0"/>
      <w:numFmt w:val="bullet"/>
      <w:lvlText w:val="•"/>
      <w:lvlJc w:val="left"/>
      <w:pPr>
        <w:ind w:left="1645" w:hanging="541"/>
      </w:pPr>
      <w:rPr>
        <w:rFonts w:hint="default"/>
      </w:rPr>
    </w:lvl>
    <w:lvl w:ilvl="3" w:tentative="0">
      <w:start w:val="0"/>
      <w:numFmt w:val="bullet"/>
      <w:lvlText w:val="•"/>
      <w:lvlJc w:val="left"/>
      <w:pPr>
        <w:ind w:left="2771" w:hanging="541"/>
      </w:pPr>
      <w:rPr>
        <w:rFonts w:hint="default"/>
      </w:rPr>
    </w:lvl>
    <w:lvl w:ilvl="4" w:tentative="0">
      <w:start w:val="0"/>
      <w:numFmt w:val="bullet"/>
      <w:lvlText w:val="•"/>
      <w:lvlJc w:val="left"/>
      <w:pPr>
        <w:ind w:left="3896" w:hanging="541"/>
      </w:pPr>
      <w:rPr>
        <w:rFonts w:hint="default"/>
      </w:rPr>
    </w:lvl>
    <w:lvl w:ilvl="5" w:tentative="0">
      <w:start w:val="0"/>
      <w:numFmt w:val="bullet"/>
      <w:lvlText w:val="•"/>
      <w:lvlJc w:val="left"/>
      <w:pPr>
        <w:ind w:left="5022" w:hanging="541"/>
      </w:pPr>
      <w:rPr>
        <w:rFonts w:hint="default"/>
      </w:rPr>
    </w:lvl>
    <w:lvl w:ilvl="6" w:tentative="0">
      <w:start w:val="0"/>
      <w:numFmt w:val="bullet"/>
      <w:lvlText w:val="•"/>
      <w:lvlJc w:val="left"/>
      <w:pPr>
        <w:ind w:left="6147" w:hanging="541"/>
      </w:pPr>
      <w:rPr>
        <w:rFonts w:hint="default"/>
      </w:rPr>
    </w:lvl>
    <w:lvl w:ilvl="7" w:tentative="0">
      <w:start w:val="0"/>
      <w:numFmt w:val="bullet"/>
      <w:lvlText w:val="•"/>
      <w:lvlJc w:val="left"/>
      <w:pPr>
        <w:ind w:left="7273" w:hanging="541"/>
      </w:pPr>
      <w:rPr>
        <w:rFonts w:hint="default"/>
      </w:rPr>
    </w:lvl>
    <w:lvl w:ilvl="8" w:tentative="0">
      <w:start w:val="0"/>
      <w:numFmt w:val="bullet"/>
      <w:lvlText w:val="•"/>
      <w:lvlJc w:val="left"/>
      <w:pPr>
        <w:ind w:left="8398" w:hanging="541"/>
      </w:pPr>
      <w:rPr>
        <w:rFonts w:hint="default"/>
      </w:rPr>
    </w:lvl>
  </w:abstractNum>
  <w:abstractNum w:abstractNumId="10">
    <w:nsid w:val="46A08BB8"/>
    <w:multiLevelType w:val="multilevel"/>
    <w:tmpl w:val="46A08BB8"/>
    <w:lvl w:ilvl="0" w:tentative="0">
      <w:start w:val="10"/>
      <w:numFmt w:val="decimal"/>
      <w:lvlText w:val="%1"/>
      <w:lvlJc w:val="left"/>
      <w:pPr>
        <w:ind w:left="1444" w:hanging="481"/>
        <w:jc w:val="left"/>
      </w:pPr>
      <w:rPr>
        <w:rFonts w:hint="default"/>
      </w:rPr>
    </w:lvl>
    <w:lvl w:ilvl="1" w:tentative="0">
      <w:start w:val="5"/>
      <w:numFmt w:val="decimal"/>
      <w:lvlText w:val="%1.%2"/>
      <w:lvlJc w:val="left"/>
      <w:pPr>
        <w:ind w:left="1444" w:hanging="481"/>
        <w:jc w:val="left"/>
      </w:pPr>
      <w:rPr>
        <w:rFonts w:hint="default" w:ascii="宋体" w:hAnsi="宋体" w:eastAsia="宋体" w:cs="宋体"/>
        <w:spacing w:val="-2"/>
        <w:w w:val="100"/>
        <w:sz w:val="22"/>
        <w:szCs w:val="22"/>
      </w:rPr>
    </w:lvl>
    <w:lvl w:ilvl="2" w:tentative="0">
      <w:start w:val="0"/>
      <w:numFmt w:val="bullet"/>
      <w:lvlText w:val="•"/>
      <w:lvlJc w:val="left"/>
      <w:pPr>
        <w:ind w:left="3282" w:hanging="481"/>
      </w:pPr>
      <w:rPr>
        <w:rFonts w:hint="default"/>
      </w:rPr>
    </w:lvl>
    <w:lvl w:ilvl="3" w:tentative="0">
      <w:start w:val="0"/>
      <w:numFmt w:val="bullet"/>
      <w:lvlText w:val="•"/>
      <w:lvlJc w:val="left"/>
      <w:pPr>
        <w:ind w:left="4203" w:hanging="481"/>
      </w:pPr>
      <w:rPr>
        <w:rFonts w:hint="default"/>
      </w:rPr>
    </w:lvl>
    <w:lvl w:ilvl="4" w:tentative="0">
      <w:start w:val="0"/>
      <w:numFmt w:val="bullet"/>
      <w:lvlText w:val="•"/>
      <w:lvlJc w:val="left"/>
      <w:pPr>
        <w:ind w:left="5124" w:hanging="481"/>
      </w:pPr>
      <w:rPr>
        <w:rFonts w:hint="default"/>
      </w:rPr>
    </w:lvl>
    <w:lvl w:ilvl="5" w:tentative="0">
      <w:start w:val="0"/>
      <w:numFmt w:val="bullet"/>
      <w:lvlText w:val="•"/>
      <w:lvlJc w:val="left"/>
      <w:pPr>
        <w:ind w:left="6045" w:hanging="481"/>
      </w:pPr>
      <w:rPr>
        <w:rFonts w:hint="default"/>
      </w:rPr>
    </w:lvl>
    <w:lvl w:ilvl="6" w:tentative="0">
      <w:start w:val="0"/>
      <w:numFmt w:val="bullet"/>
      <w:lvlText w:val="•"/>
      <w:lvlJc w:val="left"/>
      <w:pPr>
        <w:ind w:left="6966" w:hanging="481"/>
      </w:pPr>
      <w:rPr>
        <w:rFonts w:hint="default"/>
      </w:rPr>
    </w:lvl>
    <w:lvl w:ilvl="7" w:tentative="0">
      <w:start w:val="0"/>
      <w:numFmt w:val="bullet"/>
      <w:lvlText w:val="•"/>
      <w:lvlJc w:val="left"/>
      <w:pPr>
        <w:ind w:left="7887" w:hanging="481"/>
      </w:pPr>
      <w:rPr>
        <w:rFonts w:hint="default"/>
      </w:rPr>
    </w:lvl>
    <w:lvl w:ilvl="8" w:tentative="0">
      <w:start w:val="0"/>
      <w:numFmt w:val="bullet"/>
      <w:lvlText w:val="•"/>
      <w:lvlJc w:val="left"/>
      <w:pPr>
        <w:ind w:left="8808" w:hanging="481"/>
      </w:pPr>
      <w:rPr>
        <w:rFonts w:hint="default"/>
      </w:rPr>
    </w:lvl>
  </w:abstractNum>
  <w:abstractNum w:abstractNumId="11">
    <w:nsid w:val="4C1BAE26"/>
    <w:multiLevelType w:val="multilevel"/>
    <w:tmpl w:val="4C1BAE26"/>
    <w:lvl w:ilvl="0" w:tentative="0">
      <w:start w:val="3"/>
      <w:numFmt w:val="decimal"/>
      <w:lvlText w:val="%1"/>
      <w:lvlJc w:val="left"/>
      <w:pPr>
        <w:ind w:left="482" w:hanging="421"/>
        <w:jc w:val="left"/>
      </w:pPr>
      <w:rPr>
        <w:rFonts w:hint="default"/>
      </w:rPr>
    </w:lvl>
    <w:lvl w:ilvl="1" w:tentative="0">
      <w:start w:val="1"/>
      <w:numFmt w:val="decimal"/>
      <w:lvlText w:val="%1.%2"/>
      <w:lvlJc w:val="left"/>
      <w:pPr>
        <w:ind w:left="482" w:hanging="421"/>
        <w:jc w:val="left"/>
      </w:pPr>
      <w:rPr>
        <w:rFonts w:hint="default"/>
        <w:spacing w:val="-2"/>
        <w:w w:val="100"/>
      </w:rPr>
    </w:lvl>
    <w:lvl w:ilvl="2" w:tentative="0">
      <w:start w:val="0"/>
      <w:numFmt w:val="bullet"/>
      <w:lvlText w:val="•"/>
      <w:lvlJc w:val="left"/>
      <w:pPr>
        <w:ind w:left="2514" w:hanging="421"/>
      </w:pPr>
      <w:rPr>
        <w:rFonts w:hint="default"/>
      </w:rPr>
    </w:lvl>
    <w:lvl w:ilvl="3" w:tentative="0">
      <w:start w:val="0"/>
      <w:numFmt w:val="bullet"/>
      <w:lvlText w:val="•"/>
      <w:lvlJc w:val="left"/>
      <w:pPr>
        <w:ind w:left="3531" w:hanging="421"/>
      </w:pPr>
      <w:rPr>
        <w:rFonts w:hint="default"/>
      </w:rPr>
    </w:lvl>
    <w:lvl w:ilvl="4" w:tentative="0">
      <w:start w:val="0"/>
      <w:numFmt w:val="bullet"/>
      <w:lvlText w:val="•"/>
      <w:lvlJc w:val="left"/>
      <w:pPr>
        <w:ind w:left="4548" w:hanging="421"/>
      </w:pPr>
      <w:rPr>
        <w:rFonts w:hint="default"/>
      </w:rPr>
    </w:lvl>
    <w:lvl w:ilvl="5" w:tentative="0">
      <w:start w:val="0"/>
      <w:numFmt w:val="bullet"/>
      <w:lvlText w:val="•"/>
      <w:lvlJc w:val="left"/>
      <w:pPr>
        <w:ind w:left="5565" w:hanging="421"/>
      </w:pPr>
      <w:rPr>
        <w:rFonts w:hint="default"/>
      </w:rPr>
    </w:lvl>
    <w:lvl w:ilvl="6" w:tentative="0">
      <w:start w:val="0"/>
      <w:numFmt w:val="bullet"/>
      <w:lvlText w:val="•"/>
      <w:lvlJc w:val="left"/>
      <w:pPr>
        <w:ind w:left="6582" w:hanging="421"/>
      </w:pPr>
      <w:rPr>
        <w:rFonts w:hint="default"/>
      </w:rPr>
    </w:lvl>
    <w:lvl w:ilvl="7" w:tentative="0">
      <w:start w:val="0"/>
      <w:numFmt w:val="bullet"/>
      <w:lvlText w:val="•"/>
      <w:lvlJc w:val="left"/>
      <w:pPr>
        <w:ind w:left="7599" w:hanging="421"/>
      </w:pPr>
      <w:rPr>
        <w:rFonts w:hint="default"/>
      </w:rPr>
    </w:lvl>
    <w:lvl w:ilvl="8" w:tentative="0">
      <w:start w:val="0"/>
      <w:numFmt w:val="bullet"/>
      <w:lvlText w:val="•"/>
      <w:lvlJc w:val="left"/>
      <w:pPr>
        <w:ind w:left="8616" w:hanging="421"/>
      </w:pPr>
      <w:rPr>
        <w:rFonts w:hint="default"/>
      </w:rPr>
    </w:lvl>
  </w:abstractNum>
  <w:abstractNum w:abstractNumId="12">
    <w:nsid w:val="58765686"/>
    <w:multiLevelType w:val="multilevel"/>
    <w:tmpl w:val="58765686"/>
    <w:lvl w:ilvl="0" w:tentative="0">
      <w:start w:val="19"/>
      <w:numFmt w:val="decimal"/>
      <w:lvlText w:val="%1"/>
      <w:lvlJc w:val="left"/>
      <w:pPr>
        <w:ind w:left="482" w:hanging="481"/>
        <w:jc w:val="left"/>
      </w:pPr>
      <w:rPr>
        <w:rFonts w:hint="default"/>
      </w:rPr>
    </w:lvl>
    <w:lvl w:ilvl="1" w:tentative="0">
      <w:start w:val="1"/>
      <w:numFmt w:val="decimal"/>
      <w:lvlText w:val="%1.%2"/>
      <w:lvlJc w:val="left"/>
      <w:pPr>
        <w:ind w:left="482" w:hanging="481"/>
        <w:jc w:val="left"/>
      </w:pPr>
      <w:rPr>
        <w:rFonts w:hint="default" w:ascii="宋体" w:hAnsi="宋体" w:eastAsia="宋体" w:cs="宋体"/>
        <w:spacing w:val="-1"/>
        <w:w w:val="99"/>
        <w:sz w:val="22"/>
        <w:szCs w:val="22"/>
      </w:rPr>
    </w:lvl>
    <w:lvl w:ilvl="2" w:tentative="0">
      <w:start w:val="0"/>
      <w:numFmt w:val="bullet"/>
      <w:lvlText w:val="•"/>
      <w:lvlJc w:val="left"/>
      <w:pPr>
        <w:ind w:left="2514" w:hanging="481"/>
      </w:pPr>
      <w:rPr>
        <w:rFonts w:hint="default"/>
      </w:rPr>
    </w:lvl>
    <w:lvl w:ilvl="3" w:tentative="0">
      <w:start w:val="0"/>
      <w:numFmt w:val="bullet"/>
      <w:lvlText w:val="•"/>
      <w:lvlJc w:val="left"/>
      <w:pPr>
        <w:ind w:left="3531" w:hanging="481"/>
      </w:pPr>
      <w:rPr>
        <w:rFonts w:hint="default"/>
      </w:rPr>
    </w:lvl>
    <w:lvl w:ilvl="4" w:tentative="0">
      <w:start w:val="0"/>
      <w:numFmt w:val="bullet"/>
      <w:lvlText w:val="•"/>
      <w:lvlJc w:val="left"/>
      <w:pPr>
        <w:ind w:left="4548" w:hanging="481"/>
      </w:pPr>
      <w:rPr>
        <w:rFonts w:hint="default"/>
      </w:rPr>
    </w:lvl>
    <w:lvl w:ilvl="5" w:tentative="0">
      <w:start w:val="0"/>
      <w:numFmt w:val="bullet"/>
      <w:lvlText w:val="•"/>
      <w:lvlJc w:val="left"/>
      <w:pPr>
        <w:ind w:left="5565" w:hanging="481"/>
      </w:pPr>
      <w:rPr>
        <w:rFonts w:hint="default"/>
      </w:rPr>
    </w:lvl>
    <w:lvl w:ilvl="6" w:tentative="0">
      <w:start w:val="0"/>
      <w:numFmt w:val="bullet"/>
      <w:lvlText w:val="•"/>
      <w:lvlJc w:val="left"/>
      <w:pPr>
        <w:ind w:left="6582" w:hanging="481"/>
      </w:pPr>
      <w:rPr>
        <w:rFonts w:hint="default"/>
      </w:rPr>
    </w:lvl>
    <w:lvl w:ilvl="7" w:tentative="0">
      <w:start w:val="0"/>
      <w:numFmt w:val="bullet"/>
      <w:lvlText w:val="•"/>
      <w:lvlJc w:val="left"/>
      <w:pPr>
        <w:ind w:left="7599" w:hanging="481"/>
      </w:pPr>
      <w:rPr>
        <w:rFonts w:hint="default"/>
      </w:rPr>
    </w:lvl>
    <w:lvl w:ilvl="8" w:tentative="0">
      <w:start w:val="0"/>
      <w:numFmt w:val="bullet"/>
      <w:lvlText w:val="•"/>
      <w:lvlJc w:val="left"/>
      <w:pPr>
        <w:ind w:left="8616" w:hanging="481"/>
      </w:pPr>
      <w:rPr>
        <w:rFonts w:hint="default"/>
      </w:rPr>
    </w:lvl>
  </w:abstractNum>
  <w:abstractNum w:abstractNumId="13">
    <w:nsid w:val="60382F6E"/>
    <w:multiLevelType w:val="multilevel"/>
    <w:tmpl w:val="60382F6E"/>
    <w:lvl w:ilvl="0" w:tentative="0">
      <w:start w:val="7"/>
      <w:numFmt w:val="decimal"/>
      <w:lvlText w:val="%1"/>
      <w:lvlJc w:val="left"/>
      <w:pPr>
        <w:ind w:left="482" w:hanging="437"/>
        <w:jc w:val="left"/>
      </w:pPr>
      <w:rPr>
        <w:rFonts w:hint="default"/>
      </w:rPr>
    </w:lvl>
    <w:lvl w:ilvl="1" w:tentative="0">
      <w:start w:val="1"/>
      <w:numFmt w:val="decimal"/>
      <w:lvlText w:val="%1.%2"/>
      <w:lvlJc w:val="left"/>
      <w:pPr>
        <w:ind w:left="482" w:hanging="437"/>
        <w:jc w:val="left"/>
      </w:pPr>
      <w:rPr>
        <w:rFonts w:hint="default" w:ascii="宋体" w:hAnsi="宋体" w:eastAsia="宋体" w:cs="宋体"/>
        <w:w w:val="100"/>
        <w:sz w:val="24"/>
        <w:szCs w:val="24"/>
      </w:rPr>
    </w:lvl>
    <w:lvl w:ilvl="2" w:tentative="0">
      <w:start w:val="0"/>
      <w:numFmt w:val="bullet"/>
      <w:lvlText w:val="•"/>
      <w:lvlJc w:val="left"/>
      <w:pPr>
        <w:ind w:left="2514" w:hanging="437"/>
      </w:pPr>
      <w:rPr>
        <w:rFonts w:hint="default"/>
      </w:rPr>
    </w:lvl>
    <w:lvl w:ilvl="3" w:tentative="0">
      <w:start w:val="0"/>
      <w:numFmt w:val="bullet"/>
      <w:lvlText w:val="•"/>
      <w:lvlJc w:val="left"/>
      <w:pPr>
        <w:ind w:left="3531" w:hanging="437"/>
      </w:pPr>
      <w:rPr>
        <w:rFonts w:hint="default"/>
      </w:rPr>
    </w:lvl>
    <w:lvl w:ilvl="4" w:tentative="0">
      <w:start w:val="0"/>
      <w:numFmt w:val="bullet"/>
      <w:lvlText w:val="•"/>
      <w:lvlJc w:val="left"/>
      <w:pPr>
        <w:ind w:left="4548" w:hanging="437"/>
      </w:pPr>
      <w:rPr>
        <w:rFonts w:hint="default"/>
      </w:rPr>
    </w:lvl>
    <w:lvl w:ilvl="5" w:tentative="0">
      <w:start w:val="0"/>
      <w:numFmt w:val="bullet"/>
      <w:lvlText w:val="•"/>
      <w:lvlJc w:val="left"/>
      <w:pPr>
        <w:ind w:left="5565" w:hanging="437"/>
      </w:pPr>
      <w:rPr>
        <w:rFonts w:hint="default"/>
      </w:rPr>
    </w:lvl>
    <w:lvl w:ilvl="6" w:tentative="0">
      <w:start w:val="0"/>
      <w:numFmt w:val="bullet"/>
      <w:lvlText w:val="•"/>
      <w:lvlJc w:val="left"/>
      <w:pPr>
        <w:ind w:left="6582" w:hanging="437"/>
      </w:pPr>
      <w:rPr>
        <w:rFonts w:hint="default"/>
      </w:rPr>
    </w:lvl>
    <w:lvl w:ilvl="7" w:tentative="0">
      <w:start w:val="0"/>
      <w:numFmt w:val="bullet"/>
      <w:lvlText w:val="•"/>
      <w:lvlJc w:val="left"/>
      <w:pPr>
        <w:ind w:left="7599" w:hanging="437"/>
      </w:pPr>
      <w:rPr>
        <w:rFonts w:hint="default"/>
      </w:rPr>
    </w:lvl>
    <w:lvl w:ilvl="8" w:tentative="0">
      <w:start w:val="0"/>
      <w:numFmt w:val="bullet"/>
      <w:lvlText w:val="•"/>
      <w:lvlJc w:val="left"/>
      <w:pPr>
        <w:ind w:left="8616" w:hanging="437"/>
      </w:pPr>
      <w:rPr>
        <w:rFonts w:hint="default"/>
      </w:rPr>
    </w:lvl>
  </w:abstractNum>
  <w:abstractNum w:abstractNumId="14">
    <w:nsid w:val="629F7852"/>
    <w:multiLevelType w:val="multilevel"/>
    <w:tmpl w:val="629F7852"/>
    <w:lvl w:ilvl="0" w:tentative="0">
      <w:start w:val="14"/>
      <w:numFmt w:val="decimal"/>
      <w:lvlText w:val="%1"/>
      <w:lvlJc w:val="left"/>
      <w:pPr>
        <w:ind w:left="482" w:hanging="481"/>
        <w:jc w:val="left"/>
      </w:pPr>
      <w:rPr>
        <w:rFonts w:hint="default"/>
      </w:rPr>
    </w:lvl>
    <w:lvl w:ilvl="1" w:tentative="0">
      <w:start w:val="1"/>
      <w:numFmt w:val="decimal"/>
      <w:lvlText w:val="%1.%2"/>
      <w:lvlJc w:val="left"/>
      <w:pPr>
        <w:ind w:left="482" w:hanging="481"/>
        <w:jc w:val="left"/>
      </w:pPr>
      <w:rPr>
        <w:rFonts w:hint="default" w:ascii="宋体" w:hAnsi="宋体" w:eastAsia="宋体" w:cs="宋体"/>
        <w:spacing w:val="-15"/>
        <w:w w:val="100"/>
        <w:sz w:val="22"/>
        <w:szCs w:val="22"/>
      </w:rPr>
    </w:lvl>
    <w:lvl w:ilvl="2" w:tentative="0">
      <w:start w:val="0"/>
      <w:numFmt w:val="bullet"/>
      <w:lvlText w:val="•"/>
      <w:lvlJc w:val="left"/>
      <w:pPr>
        <w:ind w:left="2514" w:hanging="481"/>
      </w:pPr>
      <w:rPr>
        <w:rFonts w:hint="default"/>
      </w:rPr>
    </w:lvl>
    <w:lvl w:ilvl="3" w:tentative="0">
      <w:start w:val="0"/>
      <w:numFmt w:val="bullet"/>
      <w:lvlText w:val="•"/>
      <w:lvlJc w:val="left"/>
      <w:pPr>
        <w:ind w:left="3531" w:hanging="481"/>
      </w:pPr>
      <w:rPr>
        <w:rFonts w:hint="default"/>
      </w:rPr>
    </w:lvl>
    <w:lvl w:ilvl="4" w:tentative="0">
      <w:start w:val="0"/>
      <w:numFmt w:val="bullet"/>
      <w:lvlText w:val="•"/>
      <w:lvlJc w:val="left"/>
      <w:pPr>
        <w:ind w:left="4548" w:hanging="481"/>
      </w:pPr>
      <w:rPr>
        <w:rFonts w:hint="default"/>
      </w:rPr>
    </w:lvl>
    <w:lvl w:ilvl="5" w:tentative="0">
      <w:start w:val="0"/>
      <w:numFmt w:val="bullet"/>
      <w:lvlText w:val="•"/>
      <w:lvlJc w:val="left"/>
      <w:pPr>
        <w:ind w:left="5565" w:hanging="481"/>
      </w:pPr>
      <w:rPr>
        <w:rFonts w:hint="default"/>
      </w:rPr>
    </w:lvl>
    <w:lvl w:ilvl="6" w:tentative="0">
      <w:start w:val="0"/>
      <w:numFmt w:val="bullet"/>
      <w:lvlText w:val="•"/>
      <w:lvlJc w:val="left"/>
      <w:pPr>
        <w:ind w:left="6582" w:hanging="481"/>
      </w:pPr>
      <w:rPr>
        <w:rFonts w:hint="default"/>
      </w:rPr>
    </w:lvl>
    <w:lvl w:ilvl="7" w:tentative="0">
      <w:start w:val="0"/>
      <w:numFmt w:val="bullet"/>
      <w:lvlText w:val="•"/>
      <w:lvlJc w:val="left"/>
      <w:pPr>
        <w:ind w:left="7599" w:hanging="481"/>
      </w:pPr>
      <w:rPr>
        <w:rFonts w:hint="default"/>
      </w:rPr>
    </w:lvl>
    <w:lvl w:ilvl="8" w:tentative="0">
      <w:start w:val="0"/>
      <w:numFmt w:val="bullet"/>
      <w:lvlText w:val="•"/>
      <w:lvlJc w:val="left"/>
      <w:pPr>
        <w:ind w:left="8616" w:hanging="481"/>
      </w:pPr>
      <w:rPr>
        <w:rFonts w:hint="default"/>
      </w:rPr>
    </w:lvl>
  </w:abstractNum>
  <w:abstractNum w:abstractNumId="15">
    <w:nsid w:val="7C246926"/>
    <w:multiLevelType w:val="multilevel"/>
    <w:tmpl w:val="7C246926"/>
    <w:lvl w:ilvl="0" w:tentative="0">
      <w:start w:val="12"/>
      <w:numFmt w:val="decimal"/>
      <w:lvlText w:val="%1"/>
      <w:lvlJc w:val="left"/>
      <w:pPr>
        <w:ind w:left="482" w:hanging="481"/>
        <w:jc w:val="left"/>
      </w:pPr>
      <w:rPr>
        <w:rFonts w:hint="default"/>
      </w:rPr>
    </w:lvl>
    <w:lvl w:ilvl="1" w:tentative="0">
      <w:start w:val="1"/>
      <w:numFmt w:val="decimal"/>
      <w:lvlText w:val="%1.%2"/>
      <w:lvlJc w:val="left"/>
      <w:pPr>
        <w:ind w:left="482" w:hanging="481"/>
        <w:jc w:val="left"/>
      </w:pPr>
      <w:rPr>
        <w:rFonts w:hint="default" w:ascii="宋体" w:hAnsi="宋体" w:eastAsia="宋体" w:cs="宋体"/>
        <w:spacing w:val="-4"/>
        <w:w w:val="100"/>
        <w:sz w:val="22"/>
        <w:szCs w:val="22"/>
      </w:rPr>
    </w:lvl>
    <w:lvl w:ilvl="2" w:tentative="0">
      <w:start w:val="0"/>
      <w:numFmt w:val="bullet"/>
      <w:lvlText w:val="•"/>
      <w:lvlJc w:val="left"/>
      <w:pPr>
        <w:ind w:left="2514" w:hanging="481"/>
      </w:pPr>
      <w:rPr>
        <w:rFonts w:hint="default"/>
      </w:rPr>
    </w:lvl>
    <w:lvl w:ilvl="3" w:tentative="0">
      <w:start w:val="0"/>
      <w:numFmt w:val="bullet"/>
      <w:lvlText w:val="•"/>
      <w:lvlJc w:val="left"/>
      <w:pPr>
        <w:ind w:left="3531" w:hanging="481"/>
      </w:pPr>
      <w:rPr>
        <w:rFonts w:hint="default"/>
      </w:rPr>
    </w:lvl>
    <w:lvl w:ilvl="4" w:tentative="0">
      <w:start w:val="0"/>
      <w:numFmt w:val="bullet"/>
      <w:lvlText w:val="•"/>
      <w:lvlJc w:val="left"/>
      <w:pPr>
        <w:ind w:left="4548" w:hanging="481"/>
      </w:pPr>
      <w:rPr>
        <w:rFonts w:hint="default"/>
      </w:rPr>
    </w:lvl>
    <w:lvl w:ilvl="5" w:tentative="0">
      <w:start w:val="0"/>
      <w:numFmt w:val="bullet"/>
      <w:lvlText w:val="•"/>
      <w:lvlJc w:val="left"/>
      <w:pPr>
        <w:ind w:left="5565" w:hanging="481"/>
      </w:pPr>
      <w:rPr>
        <w:rFonts w:hint="default"/>
      </w:rPr>
    </w:lvl>
    <w:lvl w:ilvl="6" w:tentative="0">
      <w:start w:val="0"/>
      <w:numFmt w:val="bullet"/>
      <w:lvlText w:val="•"/>
      <w:lvlJc w:val="left"/>
      <w:pPr>
        <w:ind w:left="6582" w:hanging="481"/>
      </w:pPr>
      <w:rPr>
        <w:rFonts w:hint="default"/>
      </w:rPr>
    </w:lvl>
    <w:lvl w:ilvl="7" w:tentative="0">
      <w:start w:val="0"/>
      <w:numFmt w:val="bullet"/>
      <w:lvlText w:val="•"/>
      <w:lvlJc w:val="left"/>
      <w:pPr>
        <w:ind w:left="7599" w:hanging="481"/>
      </w:pPr>
      <w:rPr>
        <w:rFonts w:hint="default"/>
      </w:rPr>
    </w:lvl>
    <w:lvl w:ilvl="8" w:tentative="0">
      <w:start w:val="0"/>
      <w:numFmt w:val="bullet"/>
      <w:lvlText w:val="•"/>
      <w:lvlJc w:val="left"/>
      <w:pPr>
        <w:ind w:left="8616" w:hanging="481"/>
      </w:pPr>
      <w:rPr>
        <w:rFonts w:hint="default"/>
      </w:rPr>
    </w:lvl>
  </w:abstractNum>
  <w:abstractNum w:abstractNumId="16">
    <w:nsid w:val="7DEC2089"/>
    <w:multiLevelType w:val="multilevel"/>
    <w:tmpl w:val="7DEC2089"/>
    <w:lvl w:ilvl="0" w:tentative="0">
      <w:start w:val="22"/>
      <w:numFmt w:val="decimal"/>
      <w:lvlText w:val="%1"/>
      <w:lvlJc w:val="left"/>
      <w:pPr>
        <w:ind w:left="482" w:hanging="541"/>
        <w:jc w:val="left"/>
      </w:pPr>
      <w:rPr>
        <w:rFonts w:hint="default"/>
      </w:rPr>
    </w:lvl>
    <w:lvl w:ilvl="1" w:tentative="0">
      <w:start w:val="1"/>
      <w:numFmt w:val="decimal"/>
      <w:lvlText w:val="%1.%2"/>
      <w:lvlJc w:val="left"/>
      <w:pPr>
        <w:ind w:left="482" w:hanging="541"/>
        <w:jc w:val="left"/>
      </w:pPr>
      <w:rPr>
        <w:rFonts w:hint="default"/>
        <w:w w:val="100"/>
      </w:rPr>
    </w:lvl>
    <w:lvl w:ilvl="2" w:tentative="0">
      <w:start w:val="0"/>
      <w:numFmt w:val="bullet"/>
      <w:lvlText w:val="•"/>
      <w:lvlJc w:val="left"/>
      <w:pPr>
        <w:ind w:left="2514" w:hanging="541"/>
      </w:pPr>
      <w:rPr>
        <w:rFonts w:hint="default"/>
      </w:rPr>
    </w:lvl>
    <w:lvl w:ilvl="3" w:tentative="0">
      <w:start w:val="0"/>
      <w:numFmt w:val="bullet"/>
      <w:lvlText w:val="•"/>
      <w:lvlJc w:val="left"/>
      <w:pPr>
        <w:ind w:left="3531" w:hanging="541"/>
      </w:pPr>
      <w:rPr>
        <w:rFonts w:hint="default"/>
      </w:rPr>
    </w:lvl>
    <w:lvl w:ilvl="4" w:tentative="0">
      <w:start w:val="0"/>
      <w:numFmt w:val="bullet"/>
      <w:lvlText w:val="•"/>
      <w:lvlJc w:val="left"/>
      <w:pPr>
        <w:ind w:left="4548" w:hanging="541"/>
      </w:pPr>
      <w:rPr>
        <w:rFonts w:hint="default"/>
      </w:rPr>
    </w:lvl>
    <w:lvl w:ilvl="5" w:tentative="0">
      <w:start w:val="0"/>
      <w:numFmt w:val="bullet"/>
      <w:lvlText w:val="•"/>
      <w:lvlJc w:val="left"/>
      <w:pPr>
        <w:ind w:left="5565" w:hanging="541"/>
      </w:pPr>
      <w:rPr>
        <w:rFonts w:hint="default"/>
      </w:rPr>
    </w:lvl>
    <w:lvl w:ilvl="6" w:tentative="0">
      <w:start w:val="0"/>
      <w:numFmt w:val="bullet"/>
      <w:lvlText w:val="•"/>
      <w:lvlJc w:val="left"/>
      <w:pPr>
        <w:ind w:left="6582" w:hanging="541"/>
      </w:pPr>
      <w:rPr>
        <w:rFonts w:hint="default"/>
      </w:rPr>
    </w:lvl>
    <w:lvl w:ilvl="7" w:tentative="0">
      <w:start w:val="0"/>
      <w:numFmt w:val="bullet"/>
      <w:lvlText w:val="•"/>
      <w:lvlJc w:val="left"/>
      <w:pPr>
        <w:ind w:left="7599" w:hanging="541"/>
      </w:pPr>
      <w:rPr>
        <w:rFonts w:hint="default"/>
      </w:rPr>
    </w:lvl>
    <w:lvl w:ilvl="8" w:tentative="0">
      <w:start w:val="0"/>
      <w:numFmt w:val="bullet"/>
      <w:lvlText w:val="•"/>
      <w:lvlJc w:val="left"/>
      <w:pPr>
        <w:ind w:left="8616" w:hanging="541"/>
      </w:pPr>
      <w:rPr>
        <w:rFonts w:hint="default"/>
      </w:rPr>
    </w:lvl>
  </w:abstractNum>
  <w:num w:numId="1">
    <w:abstractNumId w:val="7"/>
  </w:num>
  <w:num w:numId="2">
    <w:abstractNumId w:val="6"/>
  </w:num>
  <w:num w:numId="3">
    <w:abstractNumId w:val="5"/>
  </w:num>
  <w:num w:numId="4">
    <w:abstractNumId w:val="2"/>
  </w:num>
  <w:num w:numId="5">
    <w:abstractNumId w:val="11"/>
  </w:num>
  <w:num w:numId="6">
    <w:abstractNumId w:val="13"/>
  </w:num>
  <w:num w:numId="7">
    <w:abstractNumId w:val="8"/>
  </w:num>
  <w:num w:numId="8">
    <w:abstractNumId w:val="10"/>
  </w:num>
  <w:num w:numId="9">
    <w:abstractNumId w:val="3"/>
  </w:num>
  <w:num w:numId="10">
    <w:abstractNumId w:val="15"/>
  </w:num>
  <w:num w:numId="11">
    <w:abstractNumId w:val="4"/>
  </w:num>
  <w:num w:numId="12">
    <w:abstractNumId w:val="14"/>
  </w:num>
  <w:num w:numId="13">
    <w:abstractNumId w:val="9"/>
  </w:num>
  <w:num w:numId="14">
    <w:abstractNumId w:val="1"/>
  </w:num>
  <w:num w:numId="15">
    <w:abstractNumId w:val="1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03E16F4"/>
    <w:rsid w:val="00484FB8"/>
    <w:rsid w:val="0A4D554D"/>
    <w:rsid w:val="0C1E1AE0"/>
    <w:rsid w:val="0C433995"/>
    <w:rsid w:val="117071DA"/>
    <w:rsid w:val="18E3675A"/>
    <w:rsid w:val="1D6E3937"/>
    <w:rsid w:val="1F0D098B"/>
    <w:rsid w:val="1F422126"/>
    <w:rsid w:val="20E72E85"/>
    <w:rsid w:val="21747281"/>
    <w:rsid w:val="239A75FE"/>
    <w:rsid w:val="25F00029"/>
    <w:rsid w:val="33336F00"/>
    <w:rsid w:val="34EF31FD"/>
    <w:rsid w:val="37972D46"/>
    <w:rsid w:val="419D17C6"/>
    <w:rsid w:val="41CF5A38"/>
    <w:rsid w:val="43CD7A0F"/>
    <w:rsid w:val="44912C98"/>
    <w:rsid w:val="510E79F3"/>
    <w:rsid w:val="563C3733"/>
    <w:rsid w:val="5AE701F1"/>
    <w:rsid w:val="5E4342B7"/>
    <w:rsid w:val="64111A30"/>
    <w:rsid w:val="6EA139DE"/>
    <w:rsid w:val="70831872"/>
    <w:rsid w:val="7B0059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宋体" w:hAnsi="宋体" w:eastAsia="宋体" w:cs="宋体"/>
      <w:b/>
      <w:bCs/>
      <w:sz w:val="36"/>
      <w:szCs w:val="36"/>
    </w:rPr>
  </w:style>
  <w:style w:type="paragraph" w:styleId="3">
    <w:name w:val="heading 2"/>
    <w:basedOn w:val="1"/>
    <w:next w:val="1"/>
    <w:qFormat/>
    <w:uiPriority w:val="1"/>
    <w:pPr>
      <w:ind w:left="481"/>
      <w:outlineLvl w:val="2"/>
    </w:pPr>
    <w:rPr>
      <w:rFonts w:ascii="宋体" w:hAnsi="宋体" w:eastAsia="宋体" w:cs="宋体"/>
      <w:b/>
      <w:bCs/>
      <w:sz w:val="31"/>
      <w:szCs w:val="31"/>
    </w:rPr>
  </w:style>
  <w:style w:type="paragraph" w:styleId="4">
    <w:name w:val="heading 3"/>
    <w:basedOn w:val="1"/>
    <w:next w:val="1"/>
    <w:qFormat/>
    <w:uiPriority w:val="1"/>
    <w:pPr>
      <w:spacing w:before="3"/>
      <w:ind w:left="481"/>
      <w:outlineLvl w:val="3"/>
    </w:pPr>
    <w:rPr>
      <w:rFonts w:ascii="宋体" w:hAnsi="宋体" w:eastAsia="宋体" w:cs="宋体"/>
      <w:b/>
      <w:bCs/>
      <w:sz w:val="28"/>
      <w:szCs w:val="28"/>
    </w:rPr>
  </w:style>
  <w:style w:type="paragraph" w:styleId="5">
    <w:name w:val="heading 4"/>
    <w:basedOn w:val="1"/>
    <w:next w:val="1"/>
    <w:qFormat/>
    <w:uiPriority w:val="1"/>
    <w:pPr>
      <w:ind w:left="481"/>
      <w:outlineLvl w:val="4"/>
    </w:pPr>
    <w:rPr>
      <w:rFonts w:ascii="宋体" w:hAnsi="宋体" w:eastAsia="宋体" w:cs="宋体"/>
      <w:b/>
      <w:bCs/>
      <w:sz w:val="24"/>
      <w:szCs w:val="24"/>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style>
  <w:style w:type="paragraph" w:styleId="8">
    <w:name w:val="Body Text"/>
    <w:basedOn w:val="1"/>
    <w:qFormat/>
    <w:uiPriority w:val="1"/>
    <w:rPr>
      <w:rFonts w:ascii="宋体" w:hAnsi="宋体" w:eastAsia="宋体" w:cs="宋体"/>
      <w:sz w:val="24"/>
      <w:szCs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482" w:firstLine="481"/>
    </w:pPr>
    <w:rPr>
      <w:rFonts w:ascii="宋体" w:hAnsi="宋体" w:eastAsia="宋体" w:cs="宋体"/>
    </w:r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9"/>
    <customShpInfo spid="_x0000_s1030"/>
    <customShpInfo spid="_x0000_s1028"/>
    <customShpInfo spid="_x0000_s1031"/>
    <customShpInfo spid="_x0000_s1032"/>
    <customShpInfo spid="_x0000_s1033"/>
    <customShpInfo spid="_x0000_s1034"/>
    <customShpInfo spid="_x0000_s1036"/>
    <customShpInfo spid="_x0000_s1037"/>
    <customShpInfo spid="_x0000_s1038"/>
    <customShpInfo spid="_x0000_s1039"/>
    <customShpInfo spid="_x0000_s1035"/>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2022-01-13T03:01:00Z</dcterms:created>
  <dc:creator>Administrator</dc:creator>
  <cp:lastModifiedBy>NTKO</cp:lastModifiedBy>
  <cp:lastPrinted>2022-02-10T04:20:00Z</cp:lastPrinted>
  <dcterms:modified xsi:type="dcterms:W3CDTF">2022-02-14T07:41:46Z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2010</vt:lpwstr>
  </property>
  <property fmtid="{D5CDD505-2E9C-101B-9397-08002B2CF9AE}" pid="4" name="LastSaved">
    <vt:filetime>2022-01-13T00:00:00Z</vt:filetime>
  </property>
  <property fmtid="{D5CDD505-2E9C-101B-9397-08002B2CF9AE}" pid="5" name="KSOProductBuildVer">
    <vt:lpwstr>2052-11.1.0.10941</vt:lpwstr>
  </property>
  <property fmtid="{D5CDD505-2E9C-101B-9397-08002B2CF9AE}" pid="6" name="ICV">
    <vt:lpwstr>81E0FA495C124744A8C0D7E8E51CDE9A</vt:lpwstr>
  </property>
</Properties>
</file>