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066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铜仁市中心血站信息化升级改造项目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供应商名称：唐山启奥科技股份有限公司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供应商地址：唐山市高新区庆北道39号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1793800元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0" w:hanging="840" w:hanging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铜仁市中心血站信息化升级改造项目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1793800元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杨再祥、龙根炳、陈庭燕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2021-12-17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2021-12-23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2021-12-23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</w:rPr>
        <w:t>唐山启奥科技股份有限公司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铜仁市中心血站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铜仁市中心血站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/>
          <w:u w:val="none"/>
          <w:lang w:val="en-US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  系人：管先生</w:t>
      </w:r>
      <w:bookmarkStart w:id="14" w:name="_GoBack"/>
      <w:bookmarkEnd w:id="14"/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联系方式：18985855556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035F1E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0040B3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4F40FC7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qFormat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qFormat/>
    <w:uiPriority w:val="0"/>
    <w:rPr>
      <w:shd w:val="clear" w:fill="E22323"/>
    </w:rPr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2021-08-31T07:02:00Z</cp:lastPrinted>
  <dcterms:modified xsi:type="dcterms:W3CDTF">2021-12-23T05:53:39Z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7C6C0E2927E54E4480AC6AB39780C502</vt:lpwstr>
  </property>
</Properties>
</file>