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TRZFCG-2021-142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2021年省级民政民生实事提质改造项目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1包家居家具设备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 xml:space="preserve">供应商名称：铜仁市思洲广告文化传播有限公司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供应商地址：贵州省铜仁市碧江区金滩韩家坪安置区5栋12号门面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1580300.00元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2包电梯设备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供应商名称：苏州江南嘉捷电梯有限公司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供应商地址：苏州工业园区唯新路28号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1955000.00元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4包医疗康复设备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供应商名称：常州市钱璟康复股份有限公司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供应商地址：江苏省常州市武进高新技术产业开发区凤鸣路6号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5199932.00元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11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1包家居家具设备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2包电梯设备；4包医疗康复设备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1包定制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2包SJEC；4包黔虔、鱼跃、富林、钱璟等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1批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田军，张劢，田洪江，赵贵平，刘卫华，陈影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（业</w:t>
      </w:r>
      <w:bookmarkStart w:id="14" w:name="_GoBack"/>
      <w:bookmarkEnd w:id="14"/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主代表），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廖天书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（业主代表）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2021-11-3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2021-11-30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2021-11-30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1包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铜仁市思洲广告文化传播有限公司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2包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苏州江南嘉捷电梯有限公司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、4包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常州市钱璟康复股份有限公司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铜仁市民政局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铜仁市民政局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联系方式：18708610811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D23E4E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2B90258"/>
    <w:rsid w:val="14691EA0"/>
    <w:rsid w:val="1473234A"/>
    <w:rsid w:val="153A4497"/>
    <w:rsid w:val="15A83C9B"/>
    <w:rsid w:val="15D935F4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25239F"/>
    <w:rsid w:val="208C3241"/>
    <w:rsid w:val="21672CD8"/>
    <w:rsid w:val="220D5599"/>
    <w:rsid w:val="22AC3869"/>
    <w:rsid w:val="23C116FA"/>
    <w:rsid w:val="241C5CC2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DF75C1"/>
    <w:rsid w:val="29FB1316"/>
    <w:rsid w:val="2B5C6367"/>
    <w:rsid w:val="2B846A45"/>
    <w:rsid w:val="2CF57B8A"/>
    <w:rsid w:val="2D3018B7"/>
    <w:rsid w:val="2D360085"/>
    <w:rsid w:val="2E503A8C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EA92AC6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56A3A5B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6516D3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0"/>
    <w:rPr>
      <w:color w:val="333333"/>
      <w:u w:val="non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2"/>
    <w:qFormat/>
    <w:uiPriority w:val="0"/>
  </w:style>
  <w:style w:type="character" w:customStyle="1" w:styleId="16">
    <w:name w:val="help-inline"/>
    <w:basedOn w:val="12"/>
    <w:qFormat/>
    <w:uiPriority w:val="0"/>
  </w:style>
  <w:style w:type="character" w:customStyle="1" w:styleId="17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9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2021-12-01T01:54:49Z</cp:lastPrinted>
  <dcterms:modified xsi:type="dcterms:W3CDTF">2021-12-01T01:55:27Z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BED725CED78A4624B7BE241FD9537383</vt:lpwstr>
  </property>
</Properties>
</file>