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highlight w:val="none"/>
          <w:shd w:val="clear" w:color="auto" w:fill="auto"/>
        </w:rPr>
      </w:pPr>
      <w:bookmarkStart w:id="0" w:name="_Toc532559328"/>
    </w:p>
    <w:p>
      <w:pPr>
        <w:pStyle w:val="6"/>
        <w:rPr>
          <w:rFonts w:hint="eastAsia" w:ascii="宋体" w:hAnsi="宋体" w:eastAsia="宋体" w:cs="宋体"/>
          <w:b w:val="0"/>
          <w:bCs w:val="0"/>
          <w:color w:val="auto"/>
          <w:sz w:val="24"/>
          <w:szCs w:val="24"/>
          <w:highlight w:val="none"/>
          <w:shd w:val="clear" w:color="auto" w:fill="auto"/>
          <w:lang w:val="en-US" w:eastAsia="zh-CN"/>
        </w:rPr>
      </w:pPr>
      <w:r>
        <w:rPr>
          <w:rFonts w:ascii="宋体" w:hAnsi="宋体" w:eastAsia="宋体" w:cs="宋体"/>
          <w:color w:val="auto"/>
          <w:sz w:val="28"/>
          <w:szCs w:val="28"/>
          <w:highlight w:val="none"/>
          <w:shd w:val="clear" w:color="auto" w:fill="auto"/>
        </w:rPr>
        <w:drawing>
          <wp:inline distT="0" distB="0" distL="114300" distR="114300">
            <wp:extent cx="5266690" cy="8307070"/>
            <wp:effectExtent l="0" t="0" r="10160" b="17780"/>
            <wp:docPr id="14" name="图片 14" descr="扫描全能王 2021-12-08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扫描全能王 2021-12-08 10.24"/>
                    <pic:cNvPicPr>
                      <a:picLocks noChangeAspect="1"/>
                    </pic:cNvPicPr>
                  </pic:nvPicPr>
                  <pic:blipFill>
                    <a:blip r:embed="rId15"/>
                    <a:stretch>
                      <a:fillRect/>
                    </a:stretch>
                  </pic:blipFill>
                  <pic:spPr>
                    <a:xfrm>
                      <a:off x="0" y="0"/>
                      <a:ext cx="5266690" cy="8307070"/>
                    </a:xfrm>
                    <a:prstGeom prst="rect">
                      <a:avLst/>
                    </a:prstGeom>
                  </pic:spPr>
                </pic:pic>
              </a:graphicData>
            </a:graphic>
          </wp:inline>
        </w:drawing>
      </w:r>
      <w:r>
        <w:rPr>
          <w:rFonts w:ascii="宋体" w:hAnsi="宋体" w:eastAsia="宋体" w:cs="宋体"/>
          <w:color w:val="auto"/>
          <w:sz w:val="28"/>
          <w:szCs w:val="28"/>
          <w:highlight w:val="none"/>
          <w:shd w:val="clear" w:color="auto" w:fill="auto"/>
        </w:rPr>
        <w:t>温馨提示：供应商投标特别注意事项 </w:t>
      </w:r>
      <w:r>
        <w:rPr>
          <w:rFonts w:ascii="宋体" w:hAnsi="宋体" w:eastAsia="宋体" w:cs="宋体"/>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一、参加投标之前，供应商应确认铜仁市公共资源交易诚信库档案是否办理，以免出现铜仁市公共资源交易诚信库档案不能被使用等问题。上述情况有可能导致投标报名信息无法导入铜仁市公共资源交易中心（以下简称“交易中心”）政府采购交易系统。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二、供应商参加投标前，应当到依法设立的电子认证服务机构在交易中心设立的办理点，办理CA数字证书和电子签章。【并携带密封好的纸质投标文件前往交易中心投标。】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三、如更正公告有重新发布电子招标文件的，供应商需使用更正公告后最新发布的电子招标文件来制作电子投标文件，否则投标时将无法正常提交电子投标文件。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四、电子投标文件需在提交投标文件截止时间前完整上传并保存在交易中心政府采购交易系统，且取得成功提示。逾期送达或错误投递方式送达的投标文件交易中心恕不接收。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五、对收取投标保证金的项目，只接受供应商基本账户以银行转账方式交纳投标保证金。由于转账当天不一定能够到账，建议至少提前二个工作日转账并绑定。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保证金缴纳流程如下：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1.线上报名获取缴纳随机码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·登录公共资源电子交易系统（</w:t>
      </w:r>
      <w:r>
        <w:rPr>
          <w:rFonts w:hint="eastAsia" w:ascii="宋体" w:hAnsi="宋体" w:eastAsia="宋体" w:cs="宋体"/>
          <w:b w:val="0"/>
          <w:bCs w:val="0"/>
          <w:color w:val="auto"/>
          <w:sz w:val="24"/>
          <w:szCs w:val="24"/>
          <w:highlight w:val="none"/>
          <w:shd w:val="clear" w:color="auto" w:fill="auto"/>
          <w:lang w:val="en-US" w:eastAsia="zh-CN"/>
        </w:rPr>
        <w:t>jyzx.trs.gov.cn</w:t>
      </w:r>
      <w:r>
        <w:rPr>
          <w:rFonts w:ascii="宋体" w:hAnsi="宋体" w:eastAsia="宋体" w:cs="宋体"/>
          <w:b w:val="0"/>
          <w:bCs w:val="0"/>
          <w:color w:val="auto"/>
          <w:sz w:val="24"/>
          <w:szCs w:val="24"/>
          <w:highlight w:val="none"/>
          <w:shd w:val="clear" w:color="auto" w:fill="auto"/>
        </w:rPr>
        <w:t>）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·进入【业务管理】-【填写投标信息】搜索或直接找到拟报名项目，点【操作】按钮，进入该项目报名页面。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·进入报名页面填写完报名信息后（带*号为必填项），点左上角【保存修改】按钮。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·报名成功后在该页面会生成【保证金缴纳随机码】，务必记录留存备用。该随机码一旦生成，即使修改报名信息，也不可更改。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2.缴纳保证金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·按照招标文件要求将投标保证金缴纳到交易中心保证金账户，打款账户必须与交易系统中登记的账 户信息一致（要求从登记的基本户打款），即与【诚信库管理】-【基本信息】中的基本户开户银行、基本户开户账号、基本账户名称保持一致。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·不论何种渠道转款（不可用现金转账），转款备注（用途）栏唯一必填报名时生成获取的【保证金缴纳随机码】；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·打款账户信息与中心注册不一致、备注栏为空、书写其他（XX 项目保证金之类）、随机码填写错误，均会造成保证金无法匹配进交易系统。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3.打印回执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-【查询投标保证金缴纳情况】搜索或直接找到项目，查看【缴纳状态】，如支付成功，将显示“已缴纳保证金”。 确认到账回执信息，打印留存备用。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六、加★号的条款均被视为重要的指标要求。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七、投标人报价低于最高限价</w:t>
      </w:r>
      <w:r>
        <w:rPr>
          <w:rFonts w:hint="eastAsia" w:cs="宋体"/>
          <w:b w:val="0"/>
          <w:bCs w:val="0"/>
          <w:color w:val="auto"/>
          <w:sz w:val="24"/>
          <w:szCs w:val="24"/>
          <w:highlight w:val="none"/>
          <w:shd w:val="clear" w:color="auto" w:fill="auto"/>
          <w:lang w:val="en-US" w:eastAsia="zh-CN"/>
        </w:rPr>
        <w:t>90</w:t>
      </w:r>
      <w:r>
        <w:rPr>
          <w:rFonts w:ascii="宋体" w:hAnsi="宋体" w:eastAsia="宋体" w:cs="宋体"/>
          <w:b w:val="0"/>
          <w:bCs w:val="0"/>
          <w:color w:val="auto"/>
          <w:sz w:val="24"/>
          <w:szCs w:val="24"/>
          <w:highlight w:val="none"/>
          <w:shd w:val="clear" w:color="auto" w:fill="auto"/>
        </w:rPr>
        <w:t>%的，必须在投标文件中说明报价理由。</w:t>
      </w:r>
      <w:r>
        <w:rPr>
          <w:rFonts w:hint="eastAsia" w:ascii="宋体" w:hAnsi="宋体" w:eastAsia="宋体" w:cs="宋体"/>
          <w:b w:val="0"/>
          <w:bCs w:val="0"/>
          <w:color w:val="auto"/>
          <w:sz w:val="24"/>
          <w:szCs w:val="24"/>
          <w:highlight w:val="none"/>
          <w:shd w:val="clear" w:color="auto" w:fill="auto"/>
          <w:lang w:val="en-US" w:eastAsia="zh-CN"/>
        </w:rPr>
        <w:t xml:space="preserve">         </w:t>
      </w:r>
    </w:p>
    <w:p>
      <w:pPr>
        <w:pStyle w:val="6"/>
        <w:rPr>
          <w:rFonts w:ascii="宋体" w:hAnsi="宋体" w:eastAsia="宋体" w:cs="宋体"/>
          <w:b w:val="0"/>
          <w:bCs w:val="0"/>
          <w:color w:val="auto"/>
          <w:sz w:val="24"/>
          <w:szCs w:val="24"/>
          <w:highlight w:val="none"/>
          <w:shd w:val="clear" w:color="auto" w:fil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宋体" w:hAnsi="宋体" w:eastAsia="宋体" w:cs="宋体"/>
          <w:b w:val="0"/>
          <w:bCs w:val="0"/>
          <w:color w:val="auto"/>
          <w:sz w:val="24"/>
          <w:szCs w:val="24"/>
          <w:highlight w:val="none"/>
          <w:shd w:val="clear" w:color="auto" w:fill="auto"/>
        </w:rPr>
        <w:t>八、投标人的报价明显低于其他通过符合性审查投标人的报价，有可能影响</w:t>
      </w:r>
      <w:r>
        <w:rPr>
          <w:rFonts w:hint="eastAsia" w:ascii="宋体" w:hAnsi="宋体" w:eastAsia="宋体" w:cs="宋体"/>
          <w:b w:val="0"/>
          <w:bCs w:val="0"/>
          <w:color w:val="auto"/>
          <w:sz w:val="24"/>
          <w:szCs w:val="24"/>
          <w:highlight w:val="none"/>
          <w:shd w:val="clear" w:color="auto" w:fill="auto"/>
          <w:lang w:eastAsia="zh-CN"/>
        </w:rPr>
        <w:t>服务</w:t>
      </w:r>
      <w:r>
        <w:rPr>
          <w:rFonts w:ascii="宋体" w:hAnsi="宋体" w:eastAsia="宋体" w:cs="宋体"/>
          <w:b w:val="0"/>
          <w:bCs w:val="0"/>
          <w:color w:val="auto"/>
          <w:sz w:val="24"/>
          <w:szCs w:val="24"/>
          <w:highlight w:val="none"/>
          <w:shd w:val="clear" w:color="auto" w:fill="auto"/>
        </w:rPr>
        <w:t>质量或者不能诚信履约的，应当按评标委员会的要求，在评标现场合理的时间内提供书面说明，必要时提交相关证明材料；投标人不能证明其报价合理性的，将</w:t>
      </w:r>
    </w:p>
    <w:p>
      <w:pPr>
        <w:pStyle w:val="6"/>
        <w:rPr>
          <w:b w:val="0"/>
          <w:bCs w:val="0"/>
          <w:color w:val="auto"/>
          <w:highlight w:val="none"/>
          <w:shd w:val="clear" w:color="auto" w:fill="auto"/>
        </w:rPr>
      </w:pPr>
      <w:r>
        <w:rPr>
          <w:rFonts w:ascii="宋体" w:hAnsi="宋体" w:eastAsia="宋体" w:cs="宋体"/>
          <w:b w:val="0"/>
          <w:bCs w:val="0"/>
          <w:color w:val="auto"/>
          <w:sz w:val="24"/>
          <w:szCs w:val="24"/>
          <w:highlight w:val="none"/>
          <w:shd w:val="clear" w:color="auto" w:fill="auto"/>
        </w:rPr>
        <w:t>被作为无效投标处理。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九、对可接受分公司投标的项目，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十、联合体投标的，供应商录入报名投标信息时，须将联合体所有成员单位的全称录入交易中心政府采购交易系统。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十一、评标委员会评标时，对供应商部分信息直接取自供应商在交易中心企业库登记的信息，请供应商及时维护、更新企业库的信息，确保其有效性。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十二、供应商一旦依法被确认为中标、成交供应商，其投标（响应）文件中的相关内容（主要中标或者成交标的的名称等），将会随中标、成交结果公告一并发布在采购信息发布网上，接受社会监督。</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十三、采购代理机构不对供应商报名时提交的相关资料的真实性负责，如供应商发现相关资料被盗用或复制，应遵循法律途径解决，追究侵权者责任。 </w:t>
      </w:r>
      <w:r>
        <w:rPr>
          <w:rFonts w:ascii="宋体" w:hAnsi="宋体" w:eastAsia="宋体" w:cs="宋体"/>
          <w:b w:val="0"/>
          <w:bCs w:val="0"/>
          <w:color w:val="auto"/>
          <w:sz w:val="24"/>
          <w:szCs w:val="24"/>
          <w:highlight w:val="none"/>
          <w:shd w:val="clear" w:color="auto" w:fill="auto"/>
        </w:rPr>
        <w:br w:type="textWrapping"/>
      </w:r>
      <w:r>
        <w:rPr>
          <w:rFonts w:ascii="宋体" w:hAnsi="宋体" w:eastAsia="宋体" w:cs="宋体"/>
          <w:b w:val="0"/>
          <w:bCs w:val="0"/>
          <w:color w:val="auto"/>
          <w:sz w:val="24"/>
          <w:szCs w:val="24"/>
          <w:highlight w:val="none"/>
          <w:shd w:val="clear" w:color="auto" w:fill="auto"/>
        </w:rPr>
        <w:t>十四、（本提示内容非招标文件的组成部分，仅为善意提醒。如有不一致，以招标文件为准。）</w:t>
      </w:r>
    </w:p>
    <w:p>
      <w:pPr>
        <w:spacing w:after="240" w:afterLines="100" w:line="640" w:lineRule="exact"/>
        <w:ind w:firstLine="2871" w:firstLineChars="550"/>
        <w:rPr>
          <w:rFonts w:hint="eastAsia" w:hAnsi="宋体"/>
          <w:b/>
          <w:bCs/>
          <w:color w:val="auto"/>
          <w:sz w:val="52"/>
          <w:szCs w:val="52"/>
          <w:highlight w:val="none"/>
          <w:shd w:val="clear" w:color="auto" w:fill="auto"/>
        </w:rPr>
      </w:pPr>
    </w:p>
    <w:p>
      <w:pPr>
        <w:pStyle w:val="6"/>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rPr>
          <w:color w:val="auto"/>
          <w:highlight w:val="none"/>
          <w:shd w:val="clear" w:color="auto" w:fill="auto"/>
        </w:rPr>
      </w:pPr>
    </w:p>
    <w:p>
      <w:pPr>
        <w:pStyle w:val="11"/>
        <w:rPr>
          <w:color w:val="auto"/>
          <w:highlight w:val="none"/>
          <w:shd w:val="clear" w:color="auto" w:fill="auto"/>
        </w:rPr>
      </w:pPr>
    </w:p>
    <w:p>
      <w:pPr>
        <w:pStyle w:val="42"/>
        <w:jc w:val="center"/>
        <w:rPr>
          <w:rFonts w:ascii="宋体" w:hAnsi="宋体" w:eastAsia="宋体" w:cs="宋体"/>
          <w:b w:val="0"/>
          <w:bCs w:val="0"/>
          <w:color w:val="auto"/>
          <w:sz w:val="22"/>
          <w:szCs w:val="22"/>
          <w:highlight w:val="none"/>
          <w:shd w:val="clear" w:color="auto" w:fill="auto"/>
          <w:lang w:val="zh-CN" w:bidi="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宋体"/>
          <w:b w:val="0"/>
          <w:bCs w:val="0"/>
          <w:color w:val="auto"/>
          <w:sz w:val="22"/>
          <w:szCs w:val="22"/>
          <w:highlight w:val="none"/>
          <w:shd w:val="clear" w:color="auto" w:fill="auto"/>
          <w:lang w:val="zh-CN" w:bidi="zh-CN"/>
        </w:rPr>
        <w:id w:val="1142309276"/>
        <w:docPartObj>
          <w:docPartGallery w:val="Table of Contents"/>
          <w:docPartUnique/>
        </w:docPartObj>
      </w:sdtPr>
      <w:sdtEndPr>
        <w:rPr>
          <w:rFonts w:ascii="宋体" w:hAnsi="宋体" w:eastAsia="宋体" w:cs="宋体"/>
          <w:b w:val="0"/>
          <w:bCs w:val="0"/>
          <w:color w:val="auto"/>
          <w:sz w:val="22"/>
          <w:szCs w:val="22"/>
          <w:highlight w:val="none"/>
          <w:shd w:val="clear" w:color="auto" w:fill="auto"/>
          <w:lang w:val="zh-CN" w:bidi="zh-CN"/>
        </w:rPr>
      </w:sdtEndPr>
      <w:sdtContent>
        <w:p>
          <w:pPr>
            <w:pStyle w:val="42"/>
            <w:jc w:val="center"/>
            <w:rPr>
              <w:color w:val="auto"/>
              <w:sz w:val="44"/>
              <w:highlight w:val="none"/>
              <w:shd w:val="clear" w:color="auto" w:fill="auto"/>
              <w:lang w:val="zh-CN"/>
            </w:rPr>
          </w:pPr>
          <w:r>
            <w:rPr>
              <w:color w:val="auto"/>
              <w:sz w:val="44"/>
              <w:highlight w:val="none"/>
              <w:shd w:val="clear" w:color="auto" w:fill="auto"/>
              <w:lang w:val="zh-CN"/>
            </w:rPr>
            <w:t>目录</w:t>
          </w:r>
        </w:p>
        <w:p>
          <w:pPr>
            <w:rPr>
              <w:color w:val="auto"/>
              <w:highlight w:val="none"/>
              <w:shd w:val="clear" w:color="auto" w:fill="auto"/>
              <w:lang w:bidi="ar-SA"/>
            </w:rPr>
          </w:pPr>
        </w:p>
        <w:p>
          <w:pPr>
            <w:rPr>
              <w:color w:val="auto"/>
              <w:highlight w:val="none"/>
              <w:shd w:val="clear" w:color="auto" w:fill="auto"/>
              <w:lang w:bidi="ar-SA"/>
            </w:rPr>
          </w:pPr>
        </w:p>
        <w:p>
          <w:pPr>
            <w:pStyle w:val="16"/>
            <w:tabs>
              <w:tab w:val="right" w:leader="dot" w:pos="8296"/>
            </w:tabs>
            <w:rPr>
              <w:rFonts w:asciiTheme="minorHAnsi" w:hAnsiTheme="minorHAnsi" w:eastAsiaTheme="minorEastAsia" w:cstheme="minorBidi"/>
              <w:color w:val="auto"/>
              <w:kern w:val="2"/>
              <w:sz w:val="28"/>
              <w:szCs w:val="28"/>
              <w:highlight w:val="none"/>
              <w:shd w:val="clear" w:color="auto" w:fill="auto"/>
              <w:lang w:val="en-US" w:bidi="ar-SA"/>
            </w:rPr>
          </w:pPr>
          <w:r>
            <w:rPr>
              <w:color w:val="auto"/>
              <w:sz w:val="28"/>
              <w:szCs w:val="28"/>
              <w:highlight w:val="none"/>
              <w:shd w:val="clear" w:color="auto" w:fill="auto"/>
            </w:rPr>
            <w:fldChar w:fldCharType="begin"/>
          </w:r>
          <w:r>
            <w:rPr>
              <w:color w:val="auto"/>
              <w:sz w:val="28"/>
              <w:szCs w:val="28"/>
              <w:highlight w:val="none"/>
              <w:shd w:val="clear" w:color="auto" w:fill="auto"/>
            </w:rPr>
            <w:instrText xml:space="preserve"> TOC \o "1-3" \h \z \u </w:instrText>
          </w:r>
          <w:r>
            <w:rPr>
              <w:color w:val="auto"/>
              <w:sz w:val="28"/>
              <w:szCs w:val="28"/>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"_Toc67240015" </w:instrText>
          </w:r>
          <w:r>
            <w:rPr>
              <w:color w:val="auto"/>
              <w:highlight w:val="none"/>
              <w:shd w:val="clear" w:color="auto" w:fill="auto"/>
            </w:rPr>
            <w:fldChar w:fldCharType="separate"/>
          </w:r>
          <w:r>
            <w:rPr>
              <w:rStyle w:val="30"/>
              <w:color w:val="auto"/>
              <w:sz w:val="28"/>
              <w:szCs w:val="28"/>
              <w:highlight w:val="none"/>
              <w:shd w:val="clear" w:color="auto" w:fill="auto"/>
            </w:rPr>
            <w:t xml:space="preserve">第一章 </w:t>
          </w:r>
          <w:r>
            <w:rPr>
              <w:rStyle w:val="30"/>
              <w:color w:val="auto"/>
              <w:sz w:val="28"/>
              <w:szCs w:val="28"/>
              <w:highlight w:val="none"/>
              <w:shd w:val="clear" w:color="auto" w:fill="auto"/>
              <w:lang w:val="en-US"/>
            </w:rPr>
            <w:t>竞争性磋商</w:t>
          </w:r>
          <w:r>
            <w:rPr>
              <w:rStyle w:val="30"/>
              <w:color w:val="auto"/>
              <w:sz w:val="28"/>
              <w:szCs w:val="28"/>
              <w:highlight w:val="none"/>
              <w:shd w:val="clear" w:color="auto" w:fill="auto"/>
            </w:rPr>
            <w:t>公告</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4</w:t>
          </w:r>
          <w:r>
            <w:rPr>
              <w:color w:val="auto"/>
              <w:sz w:val="28"/>
              <w:szCs w:val="28"/>
              <w:highlight w:val="none"/>
              <w:shd w:val="clear" w:color="auto" w:fill="auto"/>
            </w:rPr>
            <w:fldChar w:fldCharType="end"/>
          </w:r>
        </w:p>
        <w:p>
          <w:pPr>
            <w:pStyle w:val="16"/>
            <w:tabs>
              <w:tab w:val="right" w:leader="dot" w:pos="8296"/>
            </w:tabs>
            <w:rPr>
              <w:rFonts w:asciiTheme="minorHAnsi" w:hAnsiTheme="minorHAnsi" w:eastAsiaTheme="minorEastAsia" w:cstheme="minorBidi"/>
              <w:color w:val="auto"/>
              <w:kern w:val="2"/>
              <w:sz w:val="28"/>
              <w:szCs w:val="28"/>
              <w:highlight w:val="none"/>
              <w:shd w:val="clear" w:color="auto" w:fill="auto"/>
              <w:lang w:val="en-US" w:bidi="ar-SA"/>
            </w:rPr>
          </w:pPr>
          <w:r>
            <w:rPr>
              <w:color w:val="auto"/>
              <w:highlight w:val="none"/>
              <w:shd w:val="clear" w:color="auto" w:fill="auto"/>
            </w:rPr>
            <w:fldChar w:fldCharType="begin"/>
          </w:r>
          <w:r>
            <w:rPr>
              <w:color w:val="auto"/>
              <w:highlight w:val="none"/>
              <w:shd w:val="clear" w:color="auto" w:fill="auto"/>
            </w:rPr>
            <w:instrText xml:space="preserve"> HYPERLINK \l "_Toc67240016" </w:instrText>
          </w:r>
          <w:r>
            <w:rPr>
              <w:color w:val="auto"/>
              <w:highlight w:val="none"/>
              <w:shd w:val="clear" w:color="auto" w:fill="auto"/>
            </w:rPr>
            <w:fldChar w:fldCharType="separate"/>
          </w:r>
          <w:r>
            <w:rPr>
              <w:rStyle w:val="30"/>
              <w:color w:val="auto"/>
              <w:sz w:val="28"/>
              <w:szCs w:val="28"/>
              <w:highlight w:val="none"/>
              <w:shd w:val="clear" w:color="auto" w:fill="auto"/>
            </w:rPr>
            <w:t xml:space="preserve">第二章  </w:t>
          </w:r>
          <w:r>
            <w:rPr>
              <w:rStyle w:val="30"/>
              <w:rFonts w:hint="eastAsia"/>
              <w:color w:val="auto"/>
              <w:sz w:val="28"/>
              <w:szCs w:val="28"/>
              <w:highlight w:val="none"/>
              <w:shd w:val="clear" w:color="auto" w:fill="auto"/>
              <w:lang w:eastAsia="zh-CN"/>
            </w:rPr>
            <w:t>磋商</w:t>
          </w:r>
          <w:r>
            <w:rPr>
              <w:rStyle w:val="30"/>
              <w:color w:val="auto"/>
              <w:sz w:val="28"/>
              <w:szCs w:val="28"/>
              <w:highlight w:val="none"/>
              <w:shd w:val="clear" w:color="auto" w:fill="auto"/>
            </w:rPr>
            <w:t>供应商须知</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6</w:t>
          </w:r>
          <w:r>
            <w:rPr>
              <w:color w:val="auto"/>
              <w:sz w:val="28"/>
              <w:szCs w:val="28"/>
              <w:highlight w:val="none"/>
              <w:shd w:val="clear" w:color="auto" w:fill="auto"/>
            </w:rPr>
            <w:fldChar w:fldCharType="end"/>
          </w:r>
        </w:p>
        <w:p>
          <w:pPr>
            <w:pStyle w:val="16"/>
            <w:tabs>
              <w:tab w:val="right" w:leader="dot" w:pos="8296"/>
            </w:tabs>
            <w:rPr>
              <w:rFonts w:hint="eastAsia" w:eastAsia="宋体" w:asciiTheme="minorHAnsi" w:hAnsiTheme="minorHAnsi" w:cstheme="minorBidi"/>
              <w:color w:val="auto"/>
              <w:kern w:val="2"/>
              <w:sz w:val="28"/>
              <w:szCs w:val="28"/>
              <w:highlight w:val="none"/>
              <w:shd w:val="clear" w:color="auto" w:fill="auto"/>
              <w:lang w:val="en-US" w:eastAsia="zh-CN" w:bidi="ar-SA"/>
            </w:rPr>
          </w:pPr>
          <w:r>
            <w:rPr>
              <w:color w:val="auto"/>
              <w:highlight w:val="none"/>
              <w:shd w:val="clear" w:color="auto" w:fill="auto"/>
            </w:rPr>
            <w:fldChar w:fldCharType="begin"/>
          </w:r>
          <w:r>
            <w:rPr>
              <w:color w:val="auto"/>
              <w:highlight w:val="none"/>
              <w:shd w:val="clear" w:color="auto" w:fill="auto"/>
            </w:rPr>
            <w:instrText xml:space="preserve"> HYPERLINK \l "_Toc67240017" </w:instrText>
          </w:r>
          <w:r>
            <w:rPr>
              <w:color w:val="auto"/>
              <w:highlight w:val="none"/>
              <w:shd w:val="clear" w:color="auto" w:fill="auto"/>
            </w:rPr>
            <w:fldChar w:fldCharType="separate"/>
          </w:r>
          <w:r>
            <w:rPr>
              <w:rStyle w:val="30"/>
              <w:color w:val="auto"/>
              <w:sz w:val="28"/>
              <w:szCs w:val="28"/>
              <w:highlight w:val="none"/>
              <w:shd w:val="clear" w:color="auto" w:fill="auto"/>
            </w:rPr>
            <w:t xml:space="preserve">第三章 </w:t>
          </w:r>
          <w:r>
            <w:rPr>
              <w:rStyle w:val="30"/>
              <w:rFonts w:hint="eastAsia"/>
              <w:color w:val="auto"/>
              <w:sz w:val="28"/>
              <w:szCs w:val="28"/>
              <w:highlight w:val="none"/>
              <w:shd w:val="clear" w:color="auto" w:fill="auto"/>
              <w:lang w:eastAsia="zh-CN"/>
            </w:rPr>
            <w:t>磋商</w:t>
          </w:r>
          <w:r>
            <w:rPr>
              <w:rStyle w:val="30"/>
              <w:color w:val="auto"/>
              <w:sz w:val="28"/>
              <w:szCs w:val="28"/>
              <w:highlight w:val="none"/>
              <w:shd w:val="clear" w:color="auto" w:fill="auto"/>
            </w:rPr>
            <w:t>供应商须知正文部分</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1</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t>1</w:t>
          </w:r>
        </w:p>
        <w:p>
          <w:pPr>
            <w:pStyle w:val="16"/>
            <w:tabs>
              <w:tab w:val="right" w:leader="dot" w:pos="8296"/>
            </w:tabs>
            <w:rPr>
              <w:rFonts w:hint="eastAsia" w:eastAsia="宋体" w:asciiTheme="minorHAnsi" w:hAnsiTheme="minorHAnsi" w:cstheme="minorBidi"/>
              <w:color w:val="auto"/>
              <w:kern w:val="2"/>
              <w:sz w:val="28"/>
              <w:szCs w:val="28"/>
              <w:highlight w:val="none"/>
              <w:shd w:val="clear" w:color="auto" w:fill="auto"/>
              <w:lang w:val="en-US" w:eastAsia="zh-CN" w:bidi="ar-SA"/>
            </w:rPr>
          </w:pPr>
          <w:r>
            <w:rPr>
              <w:color w:val="auto"/>
              <w:highlight w:val="none"/>
              <w:shd w:val="clear" w:color="auto" w:fill="auto"/>
            </w:rPr>
            <w:fldChar w:fldCharType="begin"/>
          </w:r>
          <w:r>
            <w:rPr>
              <w:color w:val="auto"/>
              <w:highlight w:val="none"/>
              <w:shd w:val="clear" w:color="auto" w:fill="auto"/>
            </w:rPr>
            <w:instrText xml:space="preserve"> HYPERLINK \l "_Toc67240018" </w:instrText>
          </w:r>
          <w:r>
            <w:rPr>
              <w:color w:val="auto"/>
              <w:highlight w:val="none"/>
              <w:shd w:val="clear" w:color="auto" w:fill="auto"/>
            </w:rPr>
            <w:fldChar w:fldCharType="separate"/>
          </w:r>
          <w:r>
            <w:rPr>
              <w:rStyle w:val="30"/>
              <w:color w:val="auto"/>
              <w:sz w:val="28"/>
              <w:szCs w:val="28"/>
              <w:highlight w:val="none"/>
              <w:shd w:val="clear" w:color="auto" w:fill="auto"/>
            </w:rPr>
            <w:t>第四章  技术要求</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2</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t>1</w:t>
          </w:r>
        </w:p>
        <w:p>
          <w:pPr>
            <w:pStyle w:val="16"/>
            <w:tabs>
              <w:tab w:val="right" w:leader="dot" w:pos="8296"/>
            </w:tabs>
            <w:rPr>
              <w:rFonts w:hint="eastAsia" w:eastAsia="宋体" w:asciiTheme="minorHAnsi" w:hAnsiTheme="minorHAnsi" w:cstheme="minorBidi"/>
              <w:color w:val="auto"/>
              <w:kern w:val="2"/>
              <w:sz w:val="28"/>
              <w:szCs w:val="28"/>
              <w:highlight w:val="none"/>
              <w:shd w:val="clear" w:color="auto" w:fill="auto"/>
              <w:lang w:val="en-US" w:eastAsia="zh-CN" w:bidi="ar-SA"/>
            </w:rPr>
          </w:pPr>
          <w:r>
            <w:rPr>
              <w:color w:val="auto"/>
              <w:highlight w:val="none"/>
              <w:shd w:val="clear" w:color="auto" w:fill="auto"/>
            </w:rPr>
            <w:fldChar w:fldCharType="begin"/>
          </w:r>
          <w:r>
            <w:rPr>
              <w:color w:val="auto"/>
              <w:highlight w:val="none"/>
              <w:shd w:val="clear" w:color="auto" w:fill="auto"/>
            </w:rPr>
            <w:instrText xml:space="preserve"> HYPERLINK \l "_Toc67240019" </w:instrText>
          </w:r>
          <w:r>
            <w:rPr>
              <w:color w:val="auto"/>
              <w:highlight w:val="none"/>
              <w:shd w:val="clear" w:color="auto" w:fill="auto"/>
            </w:rPr>
            <w:fldChar w:fldCharType="separate"/>
          </w:r>
          <w:r>
            <w:rPr>
              <w:rStyle w:val="30"/>
              <w:color w:val="auto"/>
              <w:sz w:val="28"/>
              <w:szCs w:val="28"/>
              <w:highlight w:val="none"/>
              <w:shd w:val="clear" w:color="auto" w:fill="auto"/>
            </w:rPr>
            <w:t>第五章  商务要求</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2</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t>3</w:t>
          </w:r>
        </w:p>
        <w:p>
          <w:pPr>
            <w:pStyle w:val="16"/>
            <w:tabs>
              <w:tab w:val="right" w:leader="dot" w:pos="8296"/>
            </w:tabs>
            <w:rPr>
              <w:rFonts w:hint="eastAsia" w:eastAsia="宋体" w:asciiTheme="minorHAnsi" w:hAnsiTheme="minorHAnsi" w:cstheme="minorBidi"/>
              <w:color w:val="auto"/>
              <w:kern w:val="2"/>
              <w:sz w:val="28"/>
              <w:szCs w:val="28"/>
              <w:highlight w:val="none"/>
              <w:shd w:val="clear" w:color="auto" w:fill="auto"/>
              <w:lang w:val="en-US" w:eastAsia="zh-CN" w:bidi="ar-SA"/>
            </w:rPr>
          </w:pPr>
          <w:r>
            <w:rPr>
              <w:color w:val="auto"/>
              <w:highlight w:val="none"/>
              <w:shd w:val="clear" w:color="auto" w:fill="auto"/>
            </w:rPr>
            <w:fldChar w:fldCharType="begin"/>
          </w:r>
          <w:r>
            <w:rPr>
              <w:color w:val="auto"/>
              <w:highlight w:val="none"/>
              <w:shd w:val="clear" w:color="auto" w:fill="auto"/>
            </w:rPr>
            <w:instrText xml:space="preserve"> HYPERLINK \l "_Toc67240020" </w:instrText>
          </w:r>
          <w:r>
            <w:rPr>
              <w:color w:val="auto"/>
              <w:highlight w:val="none"/>
              <w:shd w:val="clear" w:color="auto" w:fill="auto"/>
            </w:rPr>
            <w:fldChar w:fldCharType="separate"/>
          </w:r>
          <w:r>
            <w:rPr>
              <w:rStyle w:val="30"/>
              <w:color w:val="auto"/>
              <w:sz w:val="28"/>
              <w:szCs w:val="28"/>
              <w:highlight w:val="none"/>
              <w:shd w:val="clear" w:color="auto" w:fill="auto"/>
            </w:rPr>
            <w:t>第六章  合同条款</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5</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t>5</w:t>
          </w:r>
        </w:p>
        <w:p>
          <w:pPr>
            <w:pStyle w:val="16"/>
            <w:tabs>
              <w:tab w:val="right" w:leader="dot" w:pos="8296"/>
            </w:tabs>
            <w:rPr>
              <w:rFonts w:hint="eastAsia" w:eastAsia="宋体" w:asciiTheme="minorHAnsi" w:hAnsiTheme="minorHAnsi" w:cstheme="minorBidi"/>
              <w:color w:val="auto"/>
              <w:kern w:val="2"/>
              <w:sz w:val="28"/>
              <w:szCs w:val="28"/>
              <w:highlight w:val="none"/>
              <w:shd w:val="clear" w:color="auto" w:fill="auto"/>
              <w:lang w:val="en-US" w:eastAsia="zh-CN" w:bidi="ar-SA"/>
            </w:rPr>
          </w:pPr>
          <w:r>
            <w:rPr>
              <w:color w:val="auto"/>
              <w:highlight w:val="none"/>
              <w:shd w:val="clear" w:color="auto" w:fill="auto"/>
            </w:rPr>
            <w:fldChar w:fldCharType="begin"/>
          </w:r>
          <w:r>
            <w:rPr>
              <w:color w:val="auto"/>
              <w:highlight w:val="none"/>
              <w:shd w:val="clear" w:color="auto" w:fill="auto"/>
            </w:rPr>
            <w:instrText xml:space="preserve"> HYPERLINK \l "_Toc67240021" </w:instrText>
          </w:r>
          <w:r>
            <w:rPr>
              <w:color w:val="auto"/>
              <w:highlight w:val="none"/>
              <w:shd w:val="clear" w:color="auto" w:fill="auto"/>
            </w:rPr>
            <w:fldChar w:fldCharType="separate"/>
          </w:r>
          <w:r>
            <w:rPr>
              <w:rStyle w:val="30"/>
              <w:color w:val="auto"/>
              <w:sz w:val="28"/>
              <w:szCs w:val="28"/>
              <w:highlight w:val="none"/>
              <w:shd w:val="clear" w:color="auto" w:fill="auto"/>
            </w:rPr>
            <w:t>第七章  响应文件格式</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6</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t>4</w:t>
          </w:r>
        </w:p>
        <w:p>
          <w:pPr>
            <w:rPr>
              <w:color w:val="auto"/>
              <w:sz w:val="28"/>
              <w:szCs w:val="28"/>
              <w:highlight w:val="none"/>
              <w:shd w:val="clear" w:color="auto" w:fill="auto"/>
            </w:rPr>
          </w:pPr>
          <w:r>
            <w:rPr>
              <w:color w:val="auto"/>
              <w:sz w:val="28"/>
              <w:szCs w:val="28"/>
              <w:highlight w:val="none"/>
              <w:shd w:val="clear" w:color="auto" w:fill="auto"/>
            </w:rPr>
            <w:fldChar w:fldCharType="end"/>
          </w:r>
        </w:p>
      </w:sdtContent>
    </w:sdt>
    <w:p>
      <w:pPr>
        <w:widowControl/>
        <w:autoSpaceDE/>
        <w:autoSpaceDN/>
        <w:rPr>
          <w:b/>
          <w:bCs/>
          <w:color w:val="auto"/>
          <w:sz w:val="44"/>
          <w:szCs w:val="44"/>
          <w:highlight w:val="none"/>
          <w:shd w:val="clear" w:color="auto" w:fil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keepNext w:val="0"/>
        <w:keepLines w:val="0"/>
        <w:pageBreakBefore w:val="0"/>
        <w:kinsoku/>
        <w:wordWrap/>
        <w:overflowPunct/>
        <w:topLinePunct w:val="0"/>
        <w:bidi w:val="0"/>
        <w:snapToGrid/>
        <w:spacing w:line="320" w:lineRule="exact"/>
        <w:jc w:val="center"/>
        <w:rPr>
          <w:b w:val="0"/>
          <w:bCs w:val="0"/>
          <w:color w:val="auto"/>
          <w:sz w:val="32"/>
          <w:szCs w:val="32"/>
          <w:highlight w:val="none"/>
          <w:shd w:val="clear" w:color="auto" w:fill="auto"/>
        </w:rPr>
      </w:pPr>
      <w:bookmarkStart w:id="1" w:name="_Toc67240015"/>
      <w:r>
        <w:rPr>
          <w:rFonts w:hint="eastAsia"/>
          <w:color w:val="auto"/>
          <w:sz w:val="32"/>
          <w:szCs w:val="32"/>
          <w:highlight w:val="none"/>
          <w:shd w:val="clear" w:color="auto" w:fill="auto"/>
        </w:rPr>
        <w:t>第一章</w:t>
      </w:r>
      <w:bookmarkStart w:id="2" w:name="OLE_LINK1"/>
      <w:r>
        <w:rPr>
          <w:rFonts w:hint="eastAsia"/>
          <w:color w:val="auto"/>
          <w:sz w:val="32"/>
          <w:szCs w:val="32"/>
          <w:highlight w:val="none"/>
          <w:shd w:val="clear" w:color="auto" w:fill="auto"/>
        </w:rPr>
        <w:t xml:space="preserve"> </w:t>
      </w:r>
      <w:r>
        <w:rPr>
          <w:rFonts w:hint="eastAsia"/>
          <w:color w:val="auto"/>
          <w:sz w:val="32"/>
          <w:szCs w:val="32"/>
          <w:highlight w:val="none"/>
          <w:shd w:val="clear" w:color="auto" w:fill="auto"/>
          <w:lang w:val="en-US"/>
        </w:rPr>
        <w:t>竞争性磋商</w:t>
      </w:r>
      <w:r>
        <w:rPr>
          <w:rFonts w:hint="eastAsia"/>
          <w:color w:val="auto"/>
          <w:sz w:val="32"/>
          <w:szCs w:val="32"/>
          <w:highlight w:val="none"/>
          <w:shd w:val="clear" w:color="auto" w:fill="auto"/>
        </w:rPr>
        <w:t>公告</w:t>
      </w:r>
      <w:bookmarkEnd w:id="0"/>
      <w:bookmarkEnd w:id="1"/>
    </w:p>
    <w:bookmarkEnd w:id="2"/>
    <w:p>
      <w:pPr>
        <w:pStyle w:val="11"/>
        <w:keepNext w:val="0"/>
        <w:keepLines w:val="0"/>
        <w:pageBreakBefore w:val="0"/>
        <w:numPr>
          <w:ilvl w:val="0"/>
          <w:numId w:val="0"/>
        </w:numPr>
        <w:kinsoku/>
        <w:wordWrap/>
        <w:overflowPunct/>
        <w:topLinePunct w:val="0"/>
        <w:bidi w:val="0"/>
        <w:snapToGrid/>
        <w:spacing w:line="320" w:lineRule="exact"/>
        <w:rPr>
          <w:rFonts w:hint="eastAsia"/>
          <w:color w:val="auto"/>
          <w:highlight w:val="none"/>
          <w:shd w:val="clear" w:color="auto" w:fill="auto"/>
          <w:lang w:val="en-US" w:eastAsia="zh-CN"/>
        </w:rPr>
      </w:pPr>
      <w:bookmarkStart w:id="3" w:name="_Toc532559329"/>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20" w:lineRule="exac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u w:val="single"/>
          <w:shd w:val="clear" w:color="auto" w:fill="auto"/>
          <w:lang w:val="en-US" w:eastAsia="zh-CN" w:bidi="ar-SA"/>
        </w:rPr>
        <w:t xml:space="preserve"> </w:t>
      </w:r>
      <w:r>
        <w:rPr>
          <w:rFonts w:hint="eastAsia" w:cs="宋体"/>
          <w:b w:val="0"/>
          <w:color w:val="auto"/>
          <w:sz w:val="24"/>
          <w:szCs w:val="22"/>
          <w:highlight w:val="none"/>
          <w:u w:val="single"/>
          <w:shd w:val="clear" w:color="auto" w:fill="auto"/>
          <w:lang w:val="en-US" w:eastAsia="zh-CN" w:bidi="ar-SA"/>
        </w:rPr>
        <w:t>石阡县城岩门口集中式饮用水源水质自动监测站建设项目</w:t>
      </w:r>
      <w:r>
        <w:rPr>
          <w:rFonts w:hint="eastAsia" w:ascii="宋体" w:hAnsi="宋体" w:eastAsia="宋体" w:cs="宋体"/>
          <w:b w:val="0"/>
          <w:color w:val="auto"/>
          <w:sz w:val="24"/>
          <w:szCs w:val="22"/>
          <w:highlight w:val="none"/>
          <w:u w:val="none"/>
          <w:shd w:val="clear" w:color="auto" w:fill="auto"/>
          <w:lang w:val="en-US" w:eastAsia="zh-CN" w:bidi="ar-SA"/>
        </w:rPr>
        <w:t>招标</w:t>
      </w:r>
      <w:r>
        <w:rPr>
          <w:rFonts w:hint="eastAsia" w:ascii="宋体" w:hAnsi="宋体" w:eastAsia="宋体" w:cs="宋体"/>
          <w:b w:val="0"/>
          <w:color w:val="auto"/>
          <w:sz w:val="24"/>
          <w:szCs w:val="22"/>
          <w:highlight w:val="none"/>
          <w:shd w:val="clear" w:color="auto" w:fill="auto"/>
          <w:lang w:val="en-US" w:eastAsia="zh-CN" w:bidi="ar-SA"/>
        </w:rPr>
        <w:t>项目的潜在投标人应在</w:t>
      </w:r>
      <w:r>
        <w:rPr>
          <w:rFonts w:hint="eastAsia" w:ascii="宋体" w:hAnsi="宋体" w:eastAsia="宋体" w:cs="宋体"/>
          <w:b w:val="0"/>
          <w:color w:val="auto"/>
          <w:sz w:val="24"/>
          <w:szCs w:val="22"/>
          <w:highlight w:val="none"/>
          <w:u w:val="single"/>
          <w:shd w:val="clear" w:color="auto" w:fill="auto"/>
          <w:lang w:val="en-US" w:eastAsia="zh-CN" w:bidi="ar-SA"/>
        </w:rPr>
        <w:t>全国公共资源交易平台（贵州·铜仁）官方网址</w:t>
      </w:r>
      <w:r>
        <w:rPr>
          <w:rFonts w:hint="eastAsia" w:ascii="宋体" w:hAnsi="宋体" w:eastAsia="宋体" w:cs="宋体"/>
          <w:b w:val="0"/>
          <w:color w:val="auto"/>
          <w:sz w:val="24"/>
          <w:szCs w:val="22"/>
          <w:highlight w:val="none"/>
          <w:shd w:val="clear" w:color="auto" w:fill="auto"/>
          <w:lang w:val="en-US" w:eastAsia="zh-CN" w:bidi="ar-SA"/>
        </w:rPr>
        <w:t>（地址）获取招标文件，并于2021年</w:t>
      </w:r>
      <w:r>
        <w:rPr>
          <w:rFonts w:hint="eastAsia" w:cs="宋体"/>
          <w:b w:val="0"/>
          <w:color w:val="auto"/>
          <w:sz w:val="24"/>
          <w:szCs w:val="22"/>
          <w:highlight w:val="none"/>
          <w:shd w:val="clear" w:color="auto" w:fill="auto"/>
          <w:lang w:val="en-US" w:eastAsia="zh-CN" w:bidi="ar-SA"/>
        </w:rPr>
        <w:t>12</w:t>
      </w:r>
      <w:r>
        <w:rPr>
          <w:rFonts w:hint="eastAsia" w:ascii="宋体" w:hAnsi="宋体" w:eastAsia="宋体" w:cs="宋体"/>
          <w:b w:val="0"/>
          <w:color w:val="auto"/>
          <w:sz w:val="24"/>
          <w:szCs w:val="22"/>
          <w:highlight w:val="none"/>
          <w:shd w:val="clear" w:color="auto" w:fill="auto"/>
          <w:lang w:val="en-US" w:eastAsia="zh-CN" w:bidi="ar-SA"/>
        </w:rPr>
        <w:t>月</w:t>
      </w:r>
      <w:r>
        <w:rPr>
          <w:rFonts w:hint="eastAsia" w:cs="宋体"/>
          <w:b w:val="0"/>
          <w:color w:val="auto"/>
          <w:sz w:val="24"/>
          <w:szCs w:val="22"/>
          <w:highlight w:val="none"/>
          <w:shd w:val="clear" w:color="auto" w:fill="auto"/>
          <w:lang w:val="en-US" w:eastAsia="zh-CN" w:bidi="ar-SA"/>
        </w:rPr>
        <w:t>22</w:t>
      </w:r>
      <w:r>
        <w:rPr>
          <w:rFonts w:hint="eastAsia" w:ascii="宋体" w:hAnsi="宋体" w:eastAsia="宋体" w:cs="宋体"/>
          <w:b w:val="0"/>
          <w:color w:val="auto"/>
          <w:sz w:val="24"/>
          <w:szCs w:val="22"/>
          <w:highlight w:val="none"/>
          <w:shd w:val="clear" w:color="auto" w:fill="auto"/>
          <w:lang w:val="en-US" w:eastAsia="zh-CN" w:bidi="ar-SA"/>
        </w:rPr>
        <w:t>日</w:t>
      </w:r>
      <w:r>
        <w:rPr>
          <w:rFonts w:hint="eastAsia" w:cs="宋体"/>
          <w:b w:val="0"/>
          <w:color w:val="auto"/>
          <w:sz w:val="24"/>
          <w:szCs w:val="22"/>
          <w:highlight w:val="none"/>
          <w:shd w:val="clear" w:color="auto" w:fill="auto"/>
          <w:lang w:val="en-US" w:eastAsia="zh-CN" w:bidi="ar-SA"/>
        </w:rPr>
        <w:t>09</w:t>
      </w:r>
      <w:r>
        <w:rPr>
          <w:rFonts w:hint="eastAsia" w:ascii="宋体" w:hAnsi="宋体" w:eastAsia="宋体" w:cs="宋体"/>
          <w:b w:val="0"/>
          <w:color w:val="auto"/>
          <w:sz w:val="24"/>
          <w:szCs w:val="22"/>
          <w:highlight w:val="none"/>
          <w:shd w:val="clear" w:color="auto" w:fill="auto"/>
          <w:lang w:val="en-US" w:eastAsia="zh-CN" w:bidi="ar-SA"/>
        </w:rPr>
        <w:t>点</w:t>
      </w:r>
      <w:r>
        <w:rPr>
          <w:rFonts w:hint="eastAsia" w:cs="宋体"/>
          <w:b w:val="0"/>
          <w:color w:val="auto"/>
          <w:sz w:val="24"/>
          <w:szCs w:val="22"/>
          <w:highlight w:val="none"/>
          <w:shd w:val="clear" w:color="auto" w:fill="auto"/>
          <w:lang w:val="en-US" w:eastAsia="zh-CN" w:bidi="ar-SA"/>
        </w:rPr>
        <w:t>30</w:t>
      </w:r>
      <w:r>
        <w:rPr>
          <w:rFonts w:hint="eastAsia" w:ascii="宋体" w:hAnsi="宋体" w:eastAsia="宋体" w:cs="宋体"/>
          <w:b w:val="0"/>
          <w:color w:val="auto"/>
          <w:sz w:val="24"/>
          <w:szCs w:val="22"/>
          <w:highlight w:val="none"/>
          <w:shd w:val="clear" w:color="auto" w:fill="auto"/>
          <w:lang w:val="en-US" w:eastAsia="zh-CN" w:bidi="ar-SA"/>
        </w:rPr>
        <w:t>分（北京时间）前递交投标文件。</w:t>
      </w:r>
    </w:p>
    <w:p>
      <w:pPr>
        <w:pStyle w:val="11"/>
        <w:keepNext w:val="0"/>
        <w:keepLines w:val="0"/>
        <w:pageBreakBefore w:val="0"/>
        <w:kinsoku/>
        <w:wordWrap/>
        <w:overflowPunct/>
        <w:topLinePunct w:val="0"/>
        <w:bidi w:val="0"/>
        <w:snapToGrid/>
        <w:spacing w:line="320" w:lineRule="exact"/>
        <w:rPr>
          <w:rFonts w:hint="eastAsia"/>
          <w:color w:val="auto"/>
          <w:highlight w:val="none"/>
          <w:shd w:val="clear" w:color="auto" w:fill="auto"/>
          <w:lang w:val="en-US" w:eastAsia="zh-CN"/>
        </w:rPr>
      </w:pPr>
      <w:r>
        <w:rPr>
          <w:rFonts w:hint="eastAsia" w:ascii="宋体" w:hAnsi="宋体" w:eastAsia="宋体" w:cs="宋体"/>
          <w:b w:val="0"/>
          <w:color w:val="auto"/>
          <w:sz w:val="24"/>
          <w:szCs w:val="22"/>
          <w:highlight w:val="none"/>
          <w:shd w:val="clear" w:color="auto" w:fill="auto"/>
          <w:lang w:val="en-US" w:eastAsia="zh-CN" w:bidi="ar-SA"/>
        </w:rPr>
        <w:t>一、项目基本情况</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项目名称:</w:t>
      </w:r>
      <w:r>
        <w:rPr>
          <w:rFonts w:hint="eastAsia" w:cs="宋体"/>
          <w:b w:val="0"/>
          <w:color w:val="auto"/>
          <w:sz w:val="24"/>
          <w:szCs w:val="22"/>
          <w:highlight w:val="none"/>
          <w:shd w:val="clear" w:color="auto" w:fill="auto"/>
          <w:lang w:val="en-US" w:eastAsia="zh-CN" w:bidi="ar-SA"/>
        </w:rPr>
        <w:t>石阡县城岩门口集中式饮用水源水质自动监测站建设项目</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项目编号:</w:t>
      </w:r>
      <w:r>
        <w:rPr>
          <w:rFonts w:hint="eastAsia" w:cs="宋体"/>
          <w:b w:val="0"/>
          <w:color w:val="auto"/>
          <w:sz w:val="24"/>
          <w:szCs w:val="22"/>
          <w:highlight w:val="none"/>
          <w:shd w:val="clear" w:color="auto" w:fill="auto"/>
          <w:lang w:val="en-US" w:eastAsia="zh-CN" w:bidi="ar-SA"/>
        </w:rPr>
        <w:t xml:space="preserve">WHC21216 </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采购方式:竞争性磋商</w:t>
      </w:r>
    </w:p>
    <w:p>
      <w:pPr>
        <w:keepNext w:val="0"/>
        <w:keepLines w:val="0"/>
        <w:pageBreakBefore w:val="0"/>
        <w:kinsoku/>
        <w:wordWrap/>
        <w:overflowPunct/>
        <w:topLinePunct w:val="0"/>
        <w:bidi w:val="0"/>
        <w:snapToGrid/>
        <w:spacing w:line="320" w:lineRule="exact"/>
        <w:ind w:firstLine="480" w:firstLineChars="200"/>
        <w:rPr>
          <w:rFonts w:hint="default"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预算金额：</w:t>
      </w:r>
      <w:r>
        <w:rPr>
          <w:rFonts w:hint="eastAsia" w:cs="宋体"/>
          <w:b w:val="0"/>
          <w:color w:val="auto"/>
          <w:sz w:val="24"/>
          <w:szCs w:val="22"/>
          <w:highlight w:val="none"/>
          <w:shd w:val="clear" w:color="auto" w:fill="auto"/>
          <w:lang w:val="en-US" w:eastAsia="zh-CN" w:bidi="ar-SA"/>
        </w:rPr>
        <w:t>1470000.00</w:t>
      </w:r>
      <w:r>
        <w:rPr>
          <w:rFonts w:hint="eastAsia" w:ascii="宋体" w:hAnsi="宋体" w:eastAsia="宋体" w:cs="宋体"/>
          <w:b w:val="0"/>
          <w:color w:val="auto"/>
          <w:sz w:val="24"/>
          <w:szCs w:val="22"/>
          <w:highlight w:val="none"/>
          <w:shd w:val="clear" w:color="auto" w:fill="auto"/>
          <w:lang w:val="en-US" w:eastAsia="zh-CN" w:bidi="ar-SA"/>
        </w:rPr>
        <w:t>元</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最高限价：</w:t>
      </w:r>
      <w:r>
        <w:rPr>
          <w:rFonts w:hint="eastAsia" w:cs="宋体"/>
          <w:b w:val="0"/>
          <w:color w:val="auto"/>
          <w:sz w:val="24"/>
          <w:szCs w:val="22"/>
          <w:highlight w:val="none"/>
          <w:shd w:val="clear" w:color="auto" w:fill="auto"/>
          <w:lang w:val="en-US" w:eastAsia="zh-CN" w:bidi="ar-SA"/>
        </w:rPr>
        <w:t>1470000.00</w:t>
      </w:r>
      <w:r>
        <w:rPr>
          <w:rFonts w:hint="eastAsia" w:ascii="宋体" w:hAnsi="宋体" w:eastAsia="宋体" w:cs="宋体"/>
          <w:b w:val="0"/>
          <w:color w:val="auto"/>
          <w:sz w:val="24"/>
          <w:szCs w:val="22"/>
          <w:highlight w:val="none"/>
          <w:shd w:val="clear" w:color="auto" w:fill="auto"/>
          <w:lang w:val="en-US" w:eastAsia="zh-CN" w:bidi="ar-SA"/>
        </w:rPr>
        <w:t>元</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采购需求：详见磋商文件</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合同履行期限：</w:t>
      </w:r>
      <w:r>
        <w:rPr>
          <w:rFonts w:hint="eastAsia" w:cs="宋体"/>
          <w:b w:val="0"/>
          <w:color w:val="auto"/>
          <w:sz w:val="24"/>
          <w:szCs w:val="22"/>
          <w:highlight w:val="none"/>
          <w:shd w:val="clear" w:color="auto" w:fill="auto"/>
          <w:lang w:val="en-US" w:eastAsia="zh-CN" w:bidi="ar-SA"/>
        </w:rPr>
        <w:t>2年（交货期4个月，服务期2年）</w:t>
      </w:r>
    </w:p>
    <w:p>
      <w:pPr>
        <w:keepNext w:val="0"/>
        <w:keepLines w:val="0"/>
        <w:pageBreakBefore w:val="0"/>
        <w:numPr>
          <w:ilvl w:val="0"/>
          <w:numId w:val="0"/>
        </w:numPr>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本项目（是/否）接受联合体投标：否</w:t>
      </w:r>
    </w:p>
    <w:p>
      <w:pPr>
        <w:pStyle w:val="11"/>
        <w:keepNext w:val="0"/>
        <w:keepLines w:val="0"/>
        <w:pageBreakBefore w:val="0"/>
        <w:numPr>
          <w:ilvl w:val="0"/>
          <w:numId w:val="0"/>
        </w:numPr>
        <w:kinsoku/>
        <w:wordWrap/>
        <w:overflowPunct/>
        <w:topLinePunct w:val="0"/>
        <w:bidi w:val="0"/>
        <w:snapToGrid/>
        <w:spacing w:line="320" w:lineRule="exac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二、申请人的资格要求：</w:t>
      </w:r>
    </w:p>
    <w:p>
      <w:pPr>
        <w:keepNext w:val="0"/>
        <w:keepLines w:val="0"/>
        <w:pageBreakBefore w:val="0"/>
        <w:kinsoku/>
        <w:wordWrap/>
        <w:overflowPunct/>
        <w:topLinePunct w:val="0"/>
        <w:bidi w:val="0"/>
        <w:snapToGrid/>
        <w:spacing w:line="320" w:lineRule="exact"/>
        <w:ind w:firstLine="240" w:firstLineChars="100"/>
        <w:rPr>
          <w:rFonts w:hint="eastAsia" w:ascii="宋体" w:hAnsi="宋体" w:eastAsia="宋体" w:cs="宋体"/>
          <w:b w:val="0"/>
          <w:color w:val="auto"/>
          <w:sz w:val="24"/>
          <w:szCs w:val="22"/>
          <w:highlight w:val="none"/>
          <w:shd w:val="clear" w:color="auto" w:fill="auto"/>
          <w:lang w:val="en-US" w:eastAsia="zh-CN" w:bidi="ar-SA"/>
        </w:rPr>
      </w:pPr>
      <w:r>
        <w:rPr>
          <w:rFonts w:hint="eastAsia" w:cs="宋体"/>
          <w:b w:val="0"/>
          <w:color w:val="auto"/>
          <w:sz w:val="24"/>
          <w:szCs w:val="22"/>
          <w:highlight w:val="none"/>
          <w:shd w:val="clear" w:color="auto" w:fill="auto"/>
          <w:lang w:val="en-US" w:eastAsia="zh-CN" w:bidi="ar-SA"/>
        </w:rPr>
        <w:t>（</w:t>
      </w:r>
      <w:r>
        <w:rPr>
          <w:rFonts w:hint="eastAsia" w:ascii="宋体" w:hAnsi="宋体" w:eastAsia="宋体" w:cs="宋体"/>
          <w:b w:val="0"/>
          <w:color w:val="auto"/>
          <w:sz w:val="24"/>
          <w:szCs w:val="22"/>
          <w:highlight w:val="none"/>
          <w:shd w:val="clear" w:color="auto" w:fill="auto"/>
          <w:lang w:val="en-US" w:eastAsia="zh-CN" w:bidi="ar-SA"/>
        </w:rPr>
        <w:t>1</w:t>
      </w:r>
      <w:r>
        <w:rPr>
          <w:rFonts w:hint="eastAsia" w:cs="宋体"/>
          <w:b w:val="0"/>
          <w:color w:val="auto"/>
          <w:sz w:val="24"/>
          <w:szCs w:val="22"/>
          <w:highlight w:val="none"/>
          <w:shd w:val="clear" w:color="auto" w:fill="auto"/>
          <w:lang w:val="en-US" w:eastAsia="zh-CN" w:bidi="ar-SA"/>
        </w:rPr>
        <w:t>）</w:t>
      </w:r>
      <w:r>
        <w:rPr>
          <w:rFonts w:hint="eastAsia" w:ascii="宋体" w:hAnsi="宋体" w:eastAsia="宋体" w:cs="宋体"/>
          <w:b w:val="0"/>
          <w:color w:val="auto"/>
          <w:sz w:val="24"/>
          <w:szCs w:val="22"/>
          <w:highlight w:val="none"/>
          <w:shd w:val="clear" w:color="auto" w:fill="auto"/>
          <w:lang w:val="en-US" w:eastAsia="zh-CN" w:bidi="ar-SA"/>
        </w:rPr>
        <w:t>.满足《中华人民共和国政府采购法》第二十二条规定，并提供下列材料；</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bookmarkStart w:id="4" w:name="OLE_LINK16"/>
      <w:r>
        <w:rPr>
          <w:rFonts w:hint="eastAsia" w:ascii="宋体" w:hAnsi="宋体" w:eastAsia="宋体" w:cs="宋体"/>
          <w:b w:val="0"/>
          <w:color w:val="auto"/>
          <w:sz w:val="24"/>
          <w:szCs w:val="22"/>
          <w:highlight w:val="none"/>
          <w:shd w:val="clear" w:color="auto" w:fill="auto"/>
          <w:lang w:val="en-US" w:eastAsia="zh-CN" w:bidi="ar-SA"/>
        </w:rPr>
        <w:t>①具有独立承担民事责任的能力：</w:t>
      </w:r>
      <w:r>
        <w:rPr>
          <w:rFonts w:hint="eastAsia" w:cs="宋体"/>
          <w:b w:val="0"/>
          <w:color w:val="auto"/>
          <w:sz w:val="24"/>
          <w:szCs w:val="22"/>
          <w:highlight w:val="none"/>
          <w:shd w:val="clear" w:color="auto" w:fill="auto"/>
          <w:lang w:val="en-US" w:eastAsia="zh-CN" w:bidi="ar-SA"/>
        </w:rPr>
        <w:t>提供有效的营业执照</w:t>
      </w:r>
      <w:r>
        <w:rPr>
          <w:rFonts w:hint="eastAsia" w:ascii="宋体" w:hAnsi="宋体" w:eastAsia="宋体" w:cs="宋体"/>
          <w:b w:val="0"/>
          <w:color w:val="auto"/>
          <w:sz w:val="24"/>
          <w:szCs w:val="22"/>
          <w:highlight w:val="none"/>
          <w:shd w:val="clear" w:color="auto" w:fill="auto"/>
          <w:lang w:val="en-US" w:eastAsia="zh-CN" w:bidi="ar-SA"/>
        </w:rPr>
        <w:t>；</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②财务状况报告（经合法审计机构出具的2020年度财务审计报告，</w:t>
      </w:r>
      <w:r>
        <w:rPr>
          <w:rFonts w:hint="eastAsia" w:cs="宋体"/>
          <w:b w:val="0"/>
          <w:color w:val="auto"/>
          <w:sz w:val="24"/>
          <w:szCs w:val="22"/>
          <w:highlight w:val="none"/>
          <w:shd w:val="clear" w:color="auto" w:fill="auto"/>
          <w:lang w:val="en-US" w:eastAsia="zh-CN" w:bidi="ar-SA"/>
        </w:rPr>
        <w:t>2021年新成立的公司提供</w:t>
      </w:r>
      <w:r>
        <w:rPr>
          <w:rFonts w:hint="eastAsia" w:ascii="宋体" w:hAnsi="宋体" w:eastAsia="宋体" w:cs="宋体"/>
          <w:b w:val="0"/>
          <w:color w:val="auto"/>
          <w:sz w:val="24"/>
          <w:szCs w:val="22"/>
          <w:highlight w:val="none"/>
          <w:shd w:val="clear" w:color="auto" w:fill="auto"/>
          <w:lang w:val="en-US" w:eastAsia="zh-CN" w:bidi="ar-SA"/>
        </w:rPr>
        <w:t>银行出具的有效的资信证明）；</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③依法缴纳税收（202</w:t>
      </w:r>
      <w:r>
        <w:rPr>
          <w:rFonts w:hint="eastAsia" w:cs="宋体"/>
          <w:b w:val="0"/>
          <w:color w:val="auto"/>
          <w:sz w:val="24"/>
          <w:szCs w:val="22"/>
          <w:highlight w:val="none"/>
          <w:shd w:val="clear" w:color="auto" w:fill="auto"/>
          <w:lang w:val="en-US" w:eastAsia="zh-CN" w:bidi="ar-SA"/>
        </w:rPr>
        <w:t>1</w:t>
      </w:r>
      <w:r>
        <w:rPr>
          <w:rFonts w:hint="eastAsia" w:ascii="宋体" w:hAnsi="宋体" w:eastAsia="宋体" w:cs="宋体"/>
          <w:b w:val="0"/>
          <w:color w:val="auto"/>
          <w:sz w:val="24"/>
          <w:szCs w:val="22"/>
          <w:highlight w:val="none"/>
          <w:shd w:val="clear" w:color="auto" w:fill="auto"/>
          <w:lang w:val="en-US" w:eastAsia="zh-CN" w:bidi="ar-SA"/>
        </w:rPr>
        <w:t>年1月至今任意3个月缴纳税收的凭据或证明材料复印件（依法免税的供应商须提供相应证明文件））和社会保障资金（202</w:t>
      </w:r>
      <w:r>
        <w:rPr>
          <w:rFonts w:hint="eastAsia" w:cs="宋体"/>
          <w:b w:val="0"/>
          <w:color w:val="auto"/>
          <w:sz w:val="24"/>
          <w:szCs w:val="22"/>
          <w:highlight w:val="none"/>
          <w:shd w:val="clear" w:color="auto" w:fill="auto"/>
          <w:lang w:val="en-US" w:eastAsia="zh-CN" w:bidi="ar-SA"/>
        </w:rPr>
        <w:t>1</w:t>
      </w:r>
      <w:r>
        <w:rPr>
          <w:rFonts w:hint="eastAsia" w:ascii="宋体" w:hAnsi="宋体" w:eastAsia="宋体" w:cs="宋体"/>
          <w:b w:val="0"/>
          <w:color w:val="auto"/>
          <w:sz w:val="24"/>
          <w:szCs w:val="22"/>
          <w:highlight w:val="none"/>
          <w:shd w:val="clear" w:color="auto" w:fill="auto"/>
          <w:lang w:val="en-US" w:eastAsia="zh-CN" w:bidi="ar-SA"/>
        </w:rPr>
        <w:t>年1月至今任意3个月社会保障资金缴纳证明材料复印件)的相关材料；</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④具备履行合同所必需的设备和专业技术能力的证明材料；(提供承诺函（格式自定）或提供相关证明材料复印件)</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5 \* GB3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⑤</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参加政府采购活动前3年内在经营活动中没有重大违法记录的书面声明；（自行声明,格式自定）</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6 \* GB3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⑥</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 xml:space="preserve">法律、行政法规规定的其他条件。(自行声明,格式自定）  </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7 \* GB3 \* MERGEFORMAT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⑦</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 xml:space="preserve"> </w:t>
      </w:r>
      <w:r>
        <w:rPr>
          <w:rFonts w:hint="eastAsia" w:ascii="宋体" w:hAnsi="宋体" w:eastAsia="宋体" w:cs="宋体"/>
          <w:color w:val="auto"/>
          <w:sz w:val="24"/>
          <w:szCs w:val="24"/>
          <w:highlight w:val="none"/>
          <w:shd w:val="clear" w:color="auto" w:fill="auto"/>
        </w:rPr>
        <w:t>供应商须承诺：在信用中国网站、中国政府采购网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bookmarkEnd w:id="4"/>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（2）特殊资格要求：</w:t>
      </w:r>
      <w:r>
        <w:rPr>
          <w:rFonts w:hint="eastAsia" w:ascii="宋体" w:hAnsi="宋体" w:eastAsia="宋体" w:cs="宋体"/>
          <w:color w:val="auto"/>
          <w:sz w:val="24"/>
          <w:szCs w:val="24"/>
          <w:highlight w:val="none"/>
          <w:shd w:val="clear" w:color="auto" w:fill="auto"/>
        </w:rPr>
        <w:t>投标人须具备</w:t>
      </w:r>
      <w:r>
        <w:rPr>
          <w:rFonts w:hint="eastAsia" w:ascii="宋体" w:hAnsi="宋体" w:eastAsia="宋体" w:cs="宋体"/>
          <w:color w:val="auto"/>
          <w:sz w:val="24"/>
          <w:szCs w:val="24"/>
          <w:highlight w:val="none"/>
          <w:shd w:val="clear" w:color="auto" w:fill="auto"/>
          <w:lang w:eastAsia="zh-CN"/>
        </w:rPr>
        <w:t>环保工程专业承包三级</w:t>
      </w:r>
      <w:r>
        <w:rPr>
          <w:rFonts w:hint="eastAsia" w:ascii="宋体" w:hAnsi="宋体" w:eastAsia="宋体" w:cs="宋体"/>
          <w:color w:val="auto"/>
          <w:sz w:val="24"/>
          <w:szCs w:val="24"/>
          <w:highlight w:val="none"/>
          <w:shd w:val="clear" w:color="auto" w:fill="auto"/>
        </w:rPr>
        <w:t>及以上资质</w:t>
      </w:r>
      <w:r>
        <w:rPr>
          <w:rFonts w:hint="eastAsia" w:cs="宋体"/>
          <w:b w:val="0"/>
          <w:color w:val="auto"/>
          <w:sz w:val="24"/>
          <w:szCs w:val="22"/>
          <w:highlight w:val="none"/>
          <w:shd w:val="clear" w:color="auto" w:fill="auto"/>
          <w:lang w:val="en-US" w:eastAsia="zh-CN" w:bidi="ar-SA"/>
        </w:rPr>
        <w:t>。</w:t>
      </w:r>
      <w:r>
        <w:rPr>
          <w:rFonts w:hint="eastAsia" w:ascii="宋体" w:hAnsi="宋体" w:eastAsia="宋体" w:cs="宋体"/>
          <w:b w:val="0"/>
          <w:color w:val="auto"/>
          <w:sz w:val="24"/>
          <w:szCs w:val="22"/>
          <w:highlight w:val="none"/>
          <w:shd w:val="clear" w:color="auto" w:fill="auto"/>
          <w:lang w:val="en-US" w:eastAsia="zh-CN" w:bidi="ar-SA"/>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spacing w:line="320" w:lineRule="exac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三、获取招标文件</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时间：2021年</w:t>
      </w:r>
      <w:r>
        <w:rPr>
          <w:rFonts w:hint="eastAsia" w:cs="宋体"/>
          <w:b w:val="0"/>
          <w:color w:val="auto"/>
          <w:sz w:val="24"/>
          <w:szCs w:val="22"/>
          <w:highlight w:val="none"/>
          <w:shd w:val="clear" w:color="auto" w:fill="auto"/>
          <w:lang w:val="en-US" w:eastAsia="zh-CN" w:bidi="ar-SA"/>
        </w:rPr>
        <w:t>12</w:t>
      </w:r>
      <w:r>
        <w:rPr>
          <w:rFonts w:hint="eastAsia" w:ascii="宋体" w:hAnsi="宋体" w:eastAsia="宋体" w:cs="宋体"/>
          <w:b w:val="0"/>
          <w:color w:val="auto"/>
          <w:sz w:val="24"/>
          <w:szCs w:val="22"/>
          <w:highlight w:val="none"/>
          <w:shd w:val="clear" w:color="auto" w:fill="auto"/>
          <w:lang w:val="en-US" w:eastAsia="zh-CN" w:bidi="ar-SA"/>
        </w:rPr>
        <w:t>月</w:t>
      </w:r>
      <w:r>
        <w:rPr>
          <w:rFonts w:hint="eastAsia" w:cs="宋体"/>
          <w:b w:val="0"/>
          <w:color w:val="auto"/>
          <w:sz w:val="24"/>
          <w:szCs w:val="22"/>
          <w:highlight w:val="none"/>
          <w:shd w:val="clear" w:color="auto" w:fill="auto"/>
          <w:lang w:val="en-US" w:eastAsia="zh-CN" w:bidi="ar-SA"/>
        </w:rPr>
        <w:t>10</w:t>
      </w:r>
      <w:r>
        <w:rPr>
          <w:rFonts w:hint="eastAsia" w:ascii="宋体" w:hAnsi="宋体" w:eastAsia="宋体" w:cs="宋体"/>
          <w:b w:val="0"/>
          <w:color w:val="auto"/>
          <w:sz w:val="24"/>
          <w:szCs w:val="22"/>
          <w:highlight w:val="none"/>
          <w:shd w:val="clear" w:color="auto" w:fill="auto"/>
          <w:lang w:val="en-US" w:eastAsia="zh-CN" w:bidi="ar-SA"/>
        </w:rPr>
        <w:t>日至2021年</w:t>
      </w:r>
      <w:r>
        <w:rPr>
          <w:rFonts w:hint="eastAsia" w:cs="宋体"/>
          <w:b w:val="0"/>
          <w:color w:val="auto"/>
          <w:sz w:val="24"/>
          <w:szCs w:val="22"/>
          <w:highlight w:val="none"/>
          <w:shd w:val="clear" w:color="auto" w:fill="auto"/>
          <w:lang w:val="en-US" w:eastAsia="zh-CN" w:bidi="ar-SA"/>
        </w:rPr>
        <w:t>12</w:t>
      </w:r>
      <w:r>
        <w:rPr>
          <w:rFonts w:hint="eastAsia" w:ascii="宋体" w:hAnsi="宋体" w:eastAsia="宋体" w:cs="宋体"/>
          <w:b w:val="0"/>
          <w:color w:val="auto"/>
          <w:sz w:val="24"/>
          <w:szCs w:val="22"/>
          <w:highlight w:val="none"/>
          <w:shd w:val="clear" w:color="auto" w:fill="auto"/>
          <w:lang w:val="en-US" w:eastAsia="zh-CN" w:bidi="ar-SA"/>
        </w:rPr>
        <w:t>月</w:t>
      </w:r>
      <w:r>
        <w:rPr>
          <w:rFonts w:hint="eastAsia" w:cs="宋体"/>
          <w:b w:val="0"/>
          <w:color w:val="auto"/>
          <w:sz w:val="24"/>
          <w:szCs w:val="22"/>
          <w:highlight w:val="none"/>
          <w:shd w:val="clear" w:color="auto" w:fill="auto"/>
          <w:lang w:val="en-US" w:eastAsia="zh-CN" w:bidi="ar-SA"/>
        </w:rPr>
        <w:t>16</w:t>
      </w:r>
      <w:r>
        <w:rPr>
          <w:rFonts w:hint="eastAsia" w:ascii="宋体" w:hAnsi="宋体" w:eastAsia="宋体" w:cs="宋体"/>
          <w:b w:val="0"/>
          <w:color w:val="auto"/>
          <w:sz w:val="24"/>
          <w:szCs w:val="22"/>
          <w:highlight w:val="none"/>
          <w:shd w:val="clear" w:color="auto" w:fill="auto"/>
          <w:lang w:val="en-US" w:eastAsia="zh-CN" w:bidi="ar-SA"/>
        </w:rPr>
        <w:t>日（提供期限自本公告发布之日起不得少于5个工作日），每天上午09：00至下午17：00（北京时间，法定节假日除外）</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地点：全国公共资源交易平台（贵州·铜仁）官方网址</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方式：网上购买</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售价：</w:t>
      </w:r>
      <w:r>
        <w:rPr>
          <w:rFonts w:hint="eastAsia" w:cs="宋体"/>
          <w:b w:val="0"/>
          <w:color w:val="auto"/>
          <w:sz w:val="24"/>
          <w:szCs w:val="22"/>
          <w:highlight w:val="none"/>
          <w:shd w:val="clear" w:color="auto" w:fill="auto"/>
          <w:lang w:val="en-US" w:eastAsia="zh-CN" w:bidi="ar-SA"/>
        </w:rPr>
        <w:t>0</w:t>
      </w:r>
      <w:r>
        <w:rPr>
          <w:rFonts w:hint="eastAsia" w:ascii="宋体" w:hAnsi="宋体" w:eastAsia="宋体" w:cs="宋体"/>
          <w:b w:val="0"/>
          <w:color w:val="auto"/>
          <w:sz w:val="24"/>
          <w:szCs w:val="22"/>
          <w:highlight w:val="none"/>
          <w:shd w:val="clear" w:color="auto" w:fill="auto"/>
          <w:lang w:val="en-US" w:eastAsia="zh-CN" w:bidi="ar-SA"/>
        </w:rPr>
        <w:t>元人民币（含电子文档）</w:t>
      </w:r>
    </w:p>
    <w:p>
      <w:pPr>
        <w:pStyle w:val="3"/>
        <w:keepNext w:val="0"/>
        <w:keepLines w:val="0"/>
        <w:pageBreakBefore w:val="0"/>
        <w:widowControl/>
        <w:suppressLineNumbers w:val="0"/>
        <w:kinsoku/>
        <w:wordWrap/>
        <w:overflowPunct/>
        <w:topLinePunct w:val="0"/>
        <w:bidi w:val="0"/>
        <w:snapToGrid/>
        <w:spacing w:before="0" w:beforeAutospacing="0" w:after="0" w:afterAutospacing="0" w:line="320" w:lineRule="exact"/>
        <w:ind w:right="0" w:firstLine="480" w:firstLineChars="200"/>
        <w:jc w:val="both"/>
        <w:rPr>
          <w:rFonts w:hint="default"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投标保证金额（元）：</w:t>
      </w:r>
      <w:r>
        <w:rPr>
          <w:rFonts w:hint="eastAsia" w:cs="宋体"/>
          <w:b w:val="0"/>
          <w:color w:val="auto"/>
          <w:sz w:val="24"/>
          <w:szCs w:val="22"/>
          <w:highlight w:val="none"/>
          <w:shd w:val="clear" w:color="auto" w:fill="auto"/>
          <w:lang w:val="en-US" w:eastAsia="zh-CN" w:bidi="ar-SA"/>
        </w:rPr>
        <w:t>15</w:t>
      </w:r>
      <w:r>
        <w:rPr>
          <w:rFonts w:hint="eastAsia" w:ascii="宋体" w:hAnsi="宋体" w:eastAsia="宋体" w:cs="宋体"/>
          <w:b w:val="0"/>
          <w:color w:val="auto"/>
          <w:sz w:val="24"/>
          <w:szCs w:val="22"/>
          <w:highlight w:val="none"/>
          <w:shd w:val="clear" w:color="auto" w:fill="auto"/>
          <w:lang w:val="en-US" w:eastAsia="zh-CN" w:bidi="ar-SA"/>
        </w:rPr>
        <w:t>000</w:t>
      </w:r>
      <w:r>
        <w:rPr>
          <w:rFonts w:hint="eastAsia" w:ascii="宋体" w:eastAsia="宋体" w:cs="宋体"/>
          <w:b w:val="0"/>
          <w:color w:val="auto"/>
          <w:sz w:val="24"/>
          <w:szCs w:val="22"/>
          <w:highlight w:val="none"/>
          <w:shd w:val="clear" w:color="auto" w:fill="auto"/>
          <w:lang w:val="en-US" w:eastAsia="zh-CN" w:bidi="ar-SA"/>
        </w:rPr>
        <w:t>.00</w:t>
      </w:r>
      <w:r>
        <w:rPr>
          <w:rFonts w:hint="eastAsia" w:ascii="宋体" w:hAnsi="宋体" w:eastAsia="宋体" w:cs="宋体"/>
          <w:b w:val="0"/>
          <w:color w:val="auto"/>
          <w:sz w:val="24"/>
          <w:szCs w:val="22"/>
          <w:highlight w:val="none"/>
          <w:shd w:val="clear" w:color="auto" w:fill="auto"/>
          <w:lang w:val="en-US" w:eastAsia="zh-CN" w:bidi="ar-SA"/>
        </w:rPr>
        <w:t>元</w:t>
      </w:r>
    </w:p>
    <w:p>
      <w:pPr>
        <w:pStyle w:val="3"/>
        <w:keepNext w:val="0"/>
        <w:keepLines w:val="0"/>
        <w:pageBreakBefore w:val="0"/>
        <w:widowControl/>
        <w:suppressLineNumbers w:val="0"/>
        <w:kinsoku/>
        <w:wordWrap/>
        <w:overflowPunct/>
        <w:topLinePunct w:val="0"/>
        <w:bidi w:val="0"/>
        <w:snapToGrid/>
        <w:spacing w:before="0" w:beforeAutospacing="0" w:after="0" w:afterAutospacing="0" w:line="320" w:lineRule="exact"/>
        <w:ind w:right="0" w:firstLine="480" w:firstLineChars="200"/>
        <w:jc w:val="both"/>
        <w:rPr>
          <w:rFonts w:hint="default"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投标保证金交纳时间: 投标截止时间前</w:t>
      </w:r>
    </w:p>
    <w:p>
      <w:pPr>
        <w:pStyle w:val="3"/>
        <w:keepNext w:val="0"/>
        <w:keepLines w:val="0"/>
        <w:pageBreakBefore w:val="0"/>
        <w:widowControl/>
        <w:suppressLineNumbers w:val="0"/>
        <w:kinsoku/>
        <w:wordWrap/>
        <w:overflowPunct/>
        <w:topLinePunct w:val="0"/>
        <w:bidi w:val="0"/>
        <w:snapToGrid/>
        <w:spacing w:before="0" w:beforeAutospacing="0" w:after="0" w:afterAutospacing="0" w:line="320" w:lineRule="exact"/>
        <w:ind w:right="0" w:firstLine="480" w:firstLineChars="200"/>
        <w:jc w:val="both"/>
        <w:rPr>
          <w:rFonts w:hint="default"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 xml:space="preserve">投标保证金交纳方式：采用银行转账、电汇形式提交具体缴退流程见铜仁市公共资源交易中心网站，点击首页-办事指南-保证金缴退，自行缴纳保证金；或者采用《投标保证金保函》（电子保函）提交（具体操作方式见铜仁市公共资源交易中心首页——办事指南——政府采购——常见问题解答——《投标电子保函申请操作步骤》） </w:t>
      </w:r>
    </w:p>
    <w:p>
      <w:pPr>
        <w:pStyle w:val="3"/>
        <w:keepNext w:val="0"/>
        <w:keepLines w:val="0"/>
        <w:pageBreakBefore w:val="0"/>
        <w:widowControl/>
        <w:suppressLineNumbers w:val="0"/>
        <w:kinsoku/>
        <w:wordWrap/>
        <w:overflowPunct/>
        <w:topLinePunct w:val="0"/>
        <w:bidi w:val="0"/>
        <w:snapToGrid/>
        <w:spacing w:before="0" w:beforeAutospacing="0" w:after="0" w:afterAutospacing="0" w:line="320" w:lineRule="exact"/>
        <w:ind w:right="0" w:firstLine="480" w:firstLineChars="200"/>
        <w:jc w:val="both"/>
        <w:rPr>
          <w:rFonts w:hint="default"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开户单位名称：</w:t>
      </w:r>
      <w:r>
        <w:rPr>
          <w:rFonts w:hint="eastAsia" w:cs="宋体" w:asciiTheme="minorEastAsia" w:hAnsiTheme="minorEastAsia" w:eastAsiaTheme="minorEastAsia"/>
          <w:color w:val="auto"/>
          <w:kern w:val="0"/>
          <w:szCs w:val="24"/>
          <w:highlight w:val="none"/>
          <w:shd w:val="clear" w:color="auto" w:fill="auto"/>
          <w:lang w:val="zh-CN" w:bidi="zh-CN"/>
        </w:rPr>
        <w:t>石阡县产权交易中心线上保证金专户</w:t>
      </w:r>
      <w:r>
        <w:rPr>
          <w:rFonts w:hint="eastAsia" w:ascii="宋体" w:hAnsi="宋体" w:eastAsia="宋体" w:cs="宋体"/>
          <w:b w:val="0"/>
          <w:color w:val="auto"/>
          <w:sz w:val="24"/>
          <w:szCs w:val="22"/>
          <w:highlight w:val="none"/>
          <w:shd w:val="clear" w:color="auto" w:fill="auto"/>
          <w:lang w:val="en-US" w:eastAsia="zh-CN" w:bidi="ar-SA"/>
        </w:rPr>
        <w:t xml:space="preserve"> </w:t>
      </w:r>
    </w:p>
    <w:p>
      <w:pPr>
        <w:pStyle w:val="3"/>
        <w:keepNext w:val="0"/>
        <w:keepLines w:val="0"/>
        <w:pageBreakBefore w:val="0"/>
        <w:widowControl/>
        <w:suppressLineNumbers w:val="0"/>
        <w:kinsoku/>
        <w:wordWrap/>
        <w:overflowPunct/>
        <w:topLinePunct w:val="0"/>
        <w:bidi w:val="0"/>
        <w:snapToGrid/>
        <w:spacing w:before="0" w:beforeAutospacing="0" w:after="0" w:afterAutospacing="0" w:line="320" w:lineRule="exact"/>
        <w:ind w:right="0" w:firstLine="480" w:firstLineChars="200"/>
        <w:jc w:val="both"/>
        <w:rPr>
          <w:rFonts w:hint="default"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开户银行：</w:t>
      </w:r>
      <w:r>
        <w:rPr>
          <w:rFonts w:hint="eastAsia" w:cs="宋体" w:asciiTheme="minorEastAsia" w:hAnsiTheme="minorEastAsia" w:eastAsiaTheme="minorEastAsia"/>
          <w:color w:val="auto"/>
          <w:kern w:val="0"/>
          <w:szCs w:val="24"/>
          <w:highlight w:val="none"/>
          <w:shd w:val="clear" w:color="auto" w:fill="auto"/>
          <w:lang w:val="zh-CN" w:bidi="zh-CN"/>
        </w:rPr>
        <w:t>贵州银行股份有限公司石阡支行</w:t>
      </w:r>
    </w:p>
    <w:p>
      <w:pPr>
        <w:pStyle w:val="3"/>
        <w:keepNext w:val="0"/>
        <w:keepLines w:val="0"/>
        <w:pageBreakBefore w:val="0"/>
        <w:widowControl/>
        <w:suppressLineNumbers w:val="0"/>
        <w:kinsoku/>
        <w:wordWrap/>
        <w:overflowPunct/>
        <w:topLinePunct w:val="0"/>
        <w:bidi w:val="0"/>
        <w:snapToGrid/>
        <w:spacing w:before="0" w:beforeAutospacing="0" w:after="0" w:afterAutospacing="0" w:line="320" w:lineRule="exact"/>
        <w:ind w:right="0" w:firstLine="480" w:firstLineChars="200"/>
        <w:jc w:val="both"/>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开户账号：</w:t>
      </w:r>
      <w:r>
        <w:rPr>
          <w:rFonts w:hint="eastAsia" w:cs="宋体" w:asciiTheme="minorEastAsia" w:hAnsiTheme="minorEastAsia" w:eastAsiaTheme="minorEastAsia"/>
          <w:color w:val="auto"/>
          <w:kern w:val="0"/>
          <w:szCs w:val="24"/>
          <w:highlight w:val="none"/>
          <w:shd w:val="clear" w:color="auto" w:fill="auto"/>
          <w:lang w:val="zh-CN" w:bidi="zh-CN"/>
        </w:rPr>
        <w:t>0615001700000457</w:t>
      </w:r>
    </w:p>
    <w:p>
      <w:pPr>
        <w:keepNext w:val="0"/>
        <w:keepLines w:val="0"/>
        <w:pageBreakBefore w:val="0"/>
        <w:numPr>
          <w:ilvl w:val="0"/>
          <w:numId w:val="0"/>
        </w:numPr>
        <w:kinsoku/>
        <w:wordWrap/>
        <w:overflowPunct/>
        <w:topLinePunct w:val="0"/>
        <w:bidi w:val="0"/>
        <w:snapToGrid/>
        <w:spacing w:line="320" w:lineRule="exact"/>
        <w:ind w:leftChars="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四、提交投标文件截止时间、开标时间和地点：</w:t>
      </w:r>
      <w:r>
        <w:rPr>
          <w:rFonts w:hint="eastAsia" w:hAnsi="宋体" w:eastAsia="宋体" w:cs="宋体"/>
          <w:b w:val="0"/>
          <w:color w:val="auto"/>
          <w:sz w:val="24"/>
          <w:szCs w:val="22"/>
          <w:highlight w:val="none"/>
          <w:shd w:val="clear" w:color="auto" w:fill="auto"/>
          <w:lang w:val="en-US" w:eastAsia="zh-CN" w:bidi="ar-SA"/>
        </w:rPr>
        <w:t>2021</w:t>
      </w:r>
      <w:r>
        <w:rPr>
          <w:rFonts w:hint="eastAsia" w:ascii="宋体" w:hAnsi="宋体" w:eastAsia="宋体" w:cs="宋体"/>
          <w:b w:val="0"/>
          <w:color w:val="auto"/>
          <w:sz w:val="24"/>
          <w:szCs w:val="22"/>
          <w:highlight w:val="none"/>
          <w:shd w:val="clear" w:color="auto" w:fill="auto"/>
          <w:lang w:val="en-US" w:eastAsia="zh-CN" w:bidi="ar-SA"/>
        </w:rPr>
        <w:t>年</w:t>
      </w:r>
      <w:r>
        <w:rPr>
          <w:rFonts w:hint="eastAsia" w:cs="宋体"/>
          <w:b w:val="0"/>
          <w:color w:val="auto"/>
          <w:sz w:val="24"/>
          <w:szCs w:val="22"/>
          <w:highlight w:val="none"/>
          <w:shd w:val="clear" w:color="auto" w:fill="auto"/>
          <w:lang w:val="en-US" w:eastAsia="zh-CN" w:bidi="ar-SA"/>
        </w:rPr>
        <w:t>12</w:t>
      </w:r>
      <w:r>
        <w:rPr>
          <w:rFonts w:hint="eastAsia" w:ascii="宋体" w:hAnsi="宋体" w:eastAsia="宋体" w:cs="宋体"/>
          <w:b w:val="0"/>
          <w:color w:val="auto"/>
          <w:sz w:val="24"/>
          <w:szCs w:val="22"/>
          <w:highlight w:val="none"/>
          <w:shd w:val="clear" w:color="auto" w:fill="auto"/>
          <w:lang w:val="en-US" w:eastAsia="zh-CN" w:bidi="ar-SA"/>
        </w:rPr>
        <w:t>月</w:t>
      </w:r>
      <w:r>
        <w:rPr>
          <w:rFonts w:hint="eastAsia" w:cs="宋体"/>
          <w:b w:val="0"/>
          <w:color w:val="auto"/>
          <w:sz w:val="24"/>
          <w:szCs w:val="22"/>
          <w:highlight w:val="none"/>
          <w:shd w:val="clear" w:color="auto" w:fill="auto"/>
          <w:lang w:val="en-US" w:eastAsia="zh-CN" w:bidi="ar-SA"/>
        </w:rPr>
        <w:t>22</w:t>
      </w:r>
      <w:r>
        <w:rPr>
          <w:rFonts w:hint="eastAsia" w:ascii="宋体" w:hAnsi="宋体" w:eastAsia="宋体" w:cs="宋体"/>
          <w:b w:val="0"/>
          <w:color w:val="auto"/>
          <w:sz w:val="24"/>
          <w:szCs w:val="22"/>
          <w:highlight w:val="none"/>
          <w:shd w:val="clear" w:color="auto" w:fill="auto"/>
          <w:lang w:val="en-US" w:eastAsia="zh-CN" w:bidi="ar-SA"/>
        </w:rPr>
        <w:t>日</w:t>
      </w:r>
      <w:r>
        <w:rPr>
          <w:rFonts w:hint="eastAsia" w:cs="宋体"/>
          <w:b w:val="0"/>
          <w:color w:val="auto"/>
          <w:sz w:val="24"/>
          <w:szCs w:val="22"/>
          <w:highlight w:val="none"/>
          <w:shd w:val="clear" w:color="auto" w:fill="auto"/>
          <w:lang w:val="en-US" w:eastAsia="zh-CN" w:bidi="ar-SA"/>
        </w:rPr>
        <w:t>09</w:t>
      </w:r>
      <w:r>
        <w:rPr>
          <w:rFonts w:hint="eastAsia" w:ascii="宋体" w:hAnsi="宋体" w:eastAsia="宋体" w:cs="宋体"/>
          <w:b w:val="0"/>
          <w:color w:val="auto"/>
          <w:sz w:val="24"/>
          <w:szCs w:val="22"/>
          <w:highlight w:val="none"/>
          <w:shd w:val="clear" w:color="auto" w:fill="auto"/>
          <w:lang w:val="en-US" w:eastAsia="zh-CN" w:bidi="ar-SA"/>
        </w:rPr>
        <w:t>点</w:t>
      </w:r>
      <w:r>
        <w:rPr>
          <w:rFonts w:hint="eastAsia" w:cs="宋体"/>
          <w:b w:val="0"/>
          <w:color w:val="auto"/>
          <w:sz w:val="24"/>
          <w:szCs w:val="22"/>
          <w:highlight w:val="none"/>
          <w:shd w:val="clear" w:color="auto" w:fill="auto"/>
          <w:lang w:val="en-US" w:eastAsia="zh-CN" w:bidi="ar-SA"/>
        </w:rPr>
        <w:t>30</w:t>
      </w:r>
      <w:r>
        <w:rPr>
          <w:rFonts w:hint="eastAsia" w:ascii="宋体" w:hAnsi="宋体" w:eastAsia="宋体" w:cs="宋体"/>
          <w:b w:val="0"/>
          <w:color w:val="auto"/>
          <w:sz w:val="24"/>
          <w:szCs w:val="22"/>
          <w:highlight w:val="none"/>
          <w:shd w:val="clear" w:color="auto" w:fill="auto"/>
          <w:lang w:val="en-US" w:eastAsia="zh-CN" w:bidi="ar-SA"/>
        </w:rPr>
        <w:t>分（北京时间），地点：铜仁市公共资源交易中心印江分中心</w:t>
      </w:r>
    </w:p>
    <w:p>
      <w:pPr>
        <w:pStyle w:val="11"/>
        <w:keepNext w:val="0"/>
        <w:keepLines w:val="0"/>
        <w:pageBreakBefore w:val="0"/>
        <w:numPr>
          <w:ilvl w:val="0"/>
          <w:numId w:val="0"/>
        </w:numPr>
        <w:kinsoku/>
        <w:wordWrap/>
        <w:overflowPunct/>
        <w:topLinePunct w:val="0"/>
        <w:bidi w:val="0"/>
        <w:snapToGrid/>
        <w:spacing w:line="320" w:lineRule="exact"/>
        <w:ind w:leftChars="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五、公告期限</w:t>
      </w:r>
    </w:p>
    <w:p>
      <w:pPr>
        <w:keepNext w:val="0"/>
        <w:keepLines w:val="0"/>
        <w:pageBreakBefore w:val="0"/>
        <w:kinsoku/>
        <w:wordWrap/>
        <w:overflowPunct/>
        <w:topLinePunct w:val="0"/>
        <w:bidi w:val="0"/>
        <w:snapToGrid/>
        <w:spacing w:line="320" w:lineRule="exact"/>
        <w:ind w:firstLine="480" w:firstLineChars="20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自本公告发布之日起5个工作日。</w:t>
      </w:r>
    </w:p>
    <w:p>
      <w:pPr>
        <w:pStyle w:val="11"/>
        <w:keepNext w:val="0"/>
        <w:keepLines w:val="0"/>
        <w:pageBreakBefore w:val="0"/>
        <w:kinsoku/>
        <w:wordWrap/>
        <w:overflowPunct/>
        <w:topLinePunct w:val="0"/>
        <w:bidi w:val="0"/>
        <w:snapToGrid/>
        <w:spacing w:line="320" w:lineRule="exact"/>
        <w:rPr>
          <w:rFonts w:hint="eastAsia"/>
          <w:color w:val="auto"/>
          <w:highlight w:val="none"/>
          <w:shd w:val="clear" w:color="auto" w:fill="auto"/>
          <w:lang w:val="en-US" w:eastAsia="zh-CN"/>
        </w:rPr>
      </w:pPr>
      <w:r>
        <w:rPr>
          <w:rFonts w:hint="eastAsia" w:ascii="宋体" w:hAnsi="宋体" w:eastAsia="宋体" w:cs="宋体"/>
          <w:b w:val="0"/>
          <w:color w:val="auto"/>
          <w:sz w:val="24"/>
          <w:szCs w:val="22"/>
          <w:highlight w:val="none"/>
          <w:shd w:val="clear" w:color="auto" w:fill="auto"/>
          <w:lang w:val="en-US" w:eastAsia="zh-CN" w:bidi="ar-SA"/>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PPP项目:否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简要技术要求、服务和安全要求:详见磋商文件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交货地点或服务地点:采购人指定的地点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其他事项（如样品提交、现场踏勘等）:无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交货时间或服务时间:</w:t>
      </w:r>
      <w:r>
        <w:rPr>
          <w:rFonts w:hint="eastAsia" w:cs="宋体"/>
          <w:b w:val="0"/>
          <w:color w:val="auto"/>
          <w:sz w:val="24"/>
          <w:szCs w:val="22"/>
          <w:highlight w:val="none"/>
          <w:shd w:val="clear" w:color="auto" w:fill="auto"/>
          <w:lang w:val="en-US" w:eastAsia="zh-CN" w:bidi="ar-SA"/>
        </w:rPr>
        <w:t>2年（交货期4个月，服务期2年）</w:t>
      </w:r>
    </w:p>
    <w:p>
      <w:pPr>
        <w:pStyle w:val="11"/>
        <w:keepNext w:val="0"/>
        <w:keepLines w:val="0"/>
        <w:pageBreakBefore w:val="0"/>
        <w:numPr>
          <w:ilvl w:val="0"/>
          <w:numId w:val="0"/>
        </w:numPr>
        <w:kinsoku/>
        <w:wordWrap/>
        <w:overflowPunct/>
        <w:topLinePunct w:val="0"/>
        <w:bidi w:val="0"/>
        <w:snapToGrid/>
        <w:spacing w:line="320" w:lineRule="exact"/>
        <w:ind w:leftChars="0"/>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名 称：</w:t>
      </w:r>
      <w:r>
        <w:rPr>
          <w:rFonts w:hint="eastAsia" w:cs="宋体"/>
          <w:b w:val="0"/>
          <w:color w:val="auto"/>
          <w:sz w:val="24"/>
          <w:szCs w:val="22"/>
          <w:highlight w:val="none"/>
          <w:shd w:val="clear" w:color="auto" w:fill="auto"/>
          <w:lang w:val="en-US" w:eastAsia="zh-CN" w:bidi="ar-SA"/>
        </w:rPr>
        <w:t>铜仁市生态环境局石阡分局</w:t>
      </w:r>
      <w:r>
        <w:rPr>
          <w:rFonts w:hint="eastAsia" w:ascii="宋体" w:hAnsi="宋体" w:eastAsia="宋体" w:cs="宋体"/>
          <w:b w:val="0"/>
          <w:color w:val="auto"/>
          <w:sz w:val="24"/>
          <w:szCs w:val="22"/>
          <w:highlight w:val="none"/>
          <w:shd w:val="clear" w:color="auto" w:fill="auto"/>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地 址：石阡县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项目联系人：</w:t>
      </w:r>
      <w:r>
        <w:rPr>
          <w:rFonts w:hint="eastAsia" w:cs="宋体"/>
          <w:b w:val="0"/>
          <w:color w:val="auto"/>
          <w:sz w:val="24"/>
          <w:szCs w:val="24"/>
          <w:highlight w:val="none"/>
          <w:shd w:val="clear" w:color="auto" w:fill="auto"/>
          <w:lang w:val="en-US" w:eastAsia="zh-CN" w:bidi="ar-SA"/>
        </w:rPr>
        <w:t>杨东</w:t>
      </w:r>
      <w:r>
        <w:rPr>
          <w:rFonts w:hint="eastAsia" w:ascii="宋体" w:hAnsi="宋体" w:eastAsia="宋体" w:cs="宋体"/>
          <w:b w:val="0"/>
          <w:color w:val="auto"/>
          <w:sz w:val="24"/>
          <w:szCs w:val="24"/>
          <w:highlight w:val="none"/>
          <w:shd w:val="clear" w:color="auto" w:fill="auto"/>
          <w:lang w:val="en-US" w:eastAsia="zh-CN" w:bidi="ar-SA"/>
        </w:rPr>
        <w:t>　</w:t>
      </w:r>
      <w:r>
        <w:rPr>
          <w:rFonts w:hint="eastAsia" w:ascii="宋体" w:hAnsi="宋体" w:eastAsia="宋体" w:cs="宋体"/>
          <w:b w:val="0"/>
          <w:color w:val="auto"/>
          <w:sz w:val="24"/>
          <w:szCs w:val="22"/>
          <w:highlight w:val="none"/>
          <w:shd w:val="clear" w:color="auto" w:fill="auto"/>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联系方式：</w:t>
      </w:r>
      <w:r>
        <w:rPr>
          <w:rFonts w:hint="eastAsia" w:cs="宋体"/>
          <w:b w:val="0"/>
          <w:color w:val="auto"/>
          <w:sz w:val="24"/>
          <w:szCs w:val="24"/>
          <w:highlight w:val="none"/>
          <w:shd w:val="clear" w:color="auto" w:fill="auto"/>
          <w:lang w:val="en-US" w:eastAsia="zh-CN" w:bidi="ar-SA"/>
        </w:rPr>
        <w:t>13595652789</w:t>
      </w:r>
      <w:r>
        <w:rPr>
          <w:rFonts w:hint="eastAsia" w:ascii="宋体" w:hAnsi="宋体" w:eastAsia="宋体" w:cs="宋体"/>
          <w:b w:val="0"/>
          <w:color w:val="auto"/>
          <w:sz w:val="24"/>
          <w:szCs w:val="24"/>
          <w:highlight w:val="none"/>
          <w:shd w:val="clear" w:color="auto" w:fill="auto"/>
          <w:lang w:val="en-US" w:eastAsia="zh-CN" w:bidi="ar-SA"/>
        </w:rPr>
        <w:t>　</w:t>
      </w:r>
      <w:r>
        <w:rPr>
          <w:rFonts w:hint="eastAsia" w:ascii="宋体" w:hAnsi="宋体" w:eastAsia="宋体" w:cs="宋体"/>
          <w:b w:val="0"/>
          <w:color w:val="auto"/>
          <w:sz w:val="24"/>
          <w:szCs w:val="22"/>
          <w:highlight w:val="none"/>
          <w:shd w:val="clear" w:color="auto" w:fill="auto"/>
          <w:lang w:val="en-US" w:eastAsia="zh-CN" w:bidi="ar-SA"/>
        </w:rPr>
        <w:t xml:space="preserve">　　　　　　 </w:t>
      </w:r>
      <w:bookmarkStart w:id="5" w:name="_Toc28359009"/>
      <w:bookmarkStart w:id="6" w:name="_Toc28359086"/>
      <w:bookmarkStart w:id="214" w:name="_GoBack"/>
      <w:bookmarkEnd w:id="214"/>
    </w:p>
    <w:bookmarkEnd w:id="5"/>
    <w:bookmarkEnd w:id="6"/>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2.采购代理机构信息（如有）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名 称：贵州万和工程招标代理造价咨询有限责任公司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地 址：贵阳市云岩区延安中路81号（鑫海大厦19楼座）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项目联系人：陈成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firstLine="480" w:firstLineChars="2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联系方式：</w:t>
      </w:r>
      <w:bookmarkStart w:id="7" w:name="_Toc28359010"/>
      <w:bookmarkStart w:id="8" w:name="_Toc28359087"/>
      <w:r>
        <w:rPr>
          <w:rFonts w:hint="eastAsia" w:ascii="宋体" w:hAnsi="宋体" w:eastAsia="宋体" w:cs="宋体"/>
          <w:b w:val="0"/>
          <w:color w:val="auto"/>
          <w:sz w:val="24"/>
          <w:szCs w:val="22"/>
          <w:highlight w:val="none"/>
          <w:shd w:val="clear" w:color="auto" w:fill="auto"/>
          <w:lang w:val="en-US" w:eastAsia="zh-CN" w:bidi="ar-SA"/>
        </w:rPr>
        <w:t>18385891992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3.项目联系方式</w:t>
      </w:r>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项目联系人：陈成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left="-360" w:leftChars="0" w:right="0" w:firstLine="720" w:firstLineChars="3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 xml:space="preserve">电　话：18385891992 </w:t>
      </w:r>
    </w:p>
    <w:p>
      <w:pPr>
        <w:pStyle w:val="2"/>
        <w:rPr>
          <w:rFonts w:hint="eastAsia"/>
          <w:color w:val="auto"/>
          <w:highlight w:val="none"/>
          <w:shd w:val="clear" w:color="auto" w:fill="auto"/>
          <w:lang w:val="en-US" w:eastAsia="zh-CN"/>
        </w:rPr>
      </w:pPr>
    </w:p>
    <w:p>
      <w:pPr>
        <w:adjustRightInd w:val="0"/>
        <w:snapToGrid w:val="0"/>
        <w:spacing w:line="360" w:lineRule="auto"/>
        <w:jc w:val="center"/>
        <w:outlineLvl w:val="0"/>
        <w:rPr>
          <w:rFonts w:asciiTheme="minorEastAsia" w:hAnsiTheme="minorEastAsia" w:eastAsiaTheme="minorEastAsia"/>
          <w:b/>
          <w:color w:val="auto"/>
          <w:sz w:val="24"/>
          <w:szCs w:val="24"/>
          <w:highlight w:val="none"/>
          <w:shd w:val="clear" w:color="auto" w:fill="auto"/>
        </w:rPr>
      </w:pPr>
      <w:bookmarkStart w:id="9" w:name="_Toc67240016"/>
      <w:r>
        <w:rPr>
          <w:b/>
          <w:color w:val="auto"/>
          <w:sz w:val="44"/>
          <w:szCs w:val="44"/>
          <w:highlight w:val="none"/>
          <w:shd w:val="clear" w:color="auto" w:fill="auto"/>
        </w:rPr>
        <w:t>第二章</w:t>
      </w:r>
      <w:r>
        <w:rPr>
          <w:rFonts w:hint="eastAsia"/>
          <w:b/>
          <w:color w:val="auto"/>
          <w:sz w:val="44"/>
          <w:szCs w:val="44"/>
          <w:highlight w:val="none"/>
          <w:shd w:val="clear" w:color="auto" w:fill="auto"/>
        </w:rPr>
        <w:t xml:space="preserve"> </w:t>
      </w:r>
      <w:r>
        <w:rPr>
          <w:b/>
          <w:color w:val="auto"/>
          <w:sz w:val="44"/>
          <w:szCs w:val="44"/>
          <w:highlight w:val="none"/>
          <w:shd w:val="clear" w:color="auto" w:fill="auto"/>
        </w:rPr>
        <w:t xml:space="preserve"> </w:t>
      </w:r>
      <w:r>
        <w:rPr>
          <w:rFonts w:hint="eastAsia"/>
          <w:b/>
          <w:color w:val="auto"/>
          <w:sz w:val="44"/>
          <w:szCs w:val="44"/>
          <w:highlight w:val="none"/>
          <w:shd w:val="clear" w:color="auto" w:fill="auto"/>
          <w:lang w:eastAsia="zh-CN"/>
        </w:rPr>
        <w:t>磋商</w:t>
      </w:r>
      <w:r>
        <w:rPr>
          <w:b/>
          <w:color w:val="auto"/>
          <w:sz w:val="44"/>
          <w:szCs w:val="44"/>
          <w:highlight w:val="none"/>
          <w:shd w:val="clear" w:color="auto" w:fill="auto"/>
        </w:rPr>
        <w:t>供应商须知</w:t>
      </w:r>
      <w:bookmarkEnd w:id="3"/>
      <w:bookmarkEnd w:id="9"/>
    </w:p>
    <w:p>
      <w:pPr>
        <w:jc w:val="center"/>
        <w:rPr>
          <w:b/>
          <w:bCs/>
          <w:color w:val="auto"/>
          <w:sz w:val="28"/>
          <w:szCs w:val="28"/>
          <w:highlight w:val="none"/>
          <w:shd w:val="clear" w:color="auto" w:fill="auto"/>
        </w:rPr>
      </w:pPr>
      <w:r>
        <w:rPr>
          <w:rFonts w:hint="eastAsia"/>
          <w:b/>
          <w:bCs/>
          <w:color w:val="auto"/>
          <w:sz w:val="28"/>
          <w:szCs w:val="28"/>
          <w:highlight w:val="none"/>
          <w:shd w:val="clear" w:color="auto" w:fill="auto"/>
          <w:lang w:eastAsia="zh-CN"/>
        </w:rPr>
        <w:t>磋商</w:t>
      </w:r>
      <w:r>
        <w:rPr>
          <w:b/>
          <w:bCs/>
          <w:color w:val="auto"/>
          <w:sz w:val="28"/>
          <w:szCs w:val="28"/>
          <w:highlight w:val="none"/>
          <w:shd w:val="clear" w:color="auto" w:fill="auto"/>
        </w:rPr>
        <w:t>供应商须知前附表1</w:t>
      </w:r>
    </w:p>
    <w:p>
      <w:pPr>
        <w:ind w:firstLine="480" w:firstLineChars="200"/>
        <w:rPr>
          <w:b/>
          <w:bCs/>
          <w:color w:val="auto"/>
          <w:sz w:val="24"/>
          <w:szCs w:val="24"/>
          <w:highlight w:val="none"/>
          <w:shd w:val="clear" w:color="auto" w:fill="auto"/>
        </w:rPr>
      </w:pPr>
      <w:r>
        <w:rPr>
          <w:color w:val="auto"/>
          <w:sz w:val="24"/>
          <w:szCs w:val="24"/>
          <w:highlight w:val="none"/>
          <w:shd w:val="clear" w:color="auto" w:fill="auto"/>
        </w:rPr>
        <w:t>本须知前附表的条款号是与《</w:t>
      </w:r>
      <w:r>
        <w:rPr>
          <w:rFonts w:hint="eastAsia"/>
          <w:color w:val="auto"/>
          <w:sz w:val="24"/>
          <w:szCs w:val="24"/>
          <w:highlight w:val="none"/>
          <w:shd w:val="clear" w:color="auto" w:fill="auto"/>
          <w:lang w:eastAsia="zh-CN"/>
        </w:rPr>
        <w:t>磋商</w:t>
      </w:r>
      <w:r>
        <w:rPr>
          <w:color w:val="auto"/>
          <w:sz w:val="24"/>
          <w:szCs w:val="24"/>
          <w:highlight w:val="none"/>
          <w:shd w:val="clear" w:color="auto" w:fill="auto"/>
        </w:rPr>
        <w:t>供应商须知》中条款的项号相对应的。如果有矛盾，应以本附表为准。</w:t>
      </w:r>
    </w:p>
    <w:tbl>
      <w:tblPr>
        <w:tblStyle w:val="2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项号</w:t>
            </w:r>
          </w:p>
        </w:tc>
        <w:tc>
          <w:tcPr>
            <w:tcW w:w="8120"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编</w:t>
            </w:r>
            <w:r>
              <w:rPr>
                <w:rFonts w:asciiTheme="minorEastAsia" w:hAnsiTheme="minorEastAsia" w:eastAsiaTheme="minorEastAsia"/>
                <w:color w:val="auto"/>
                <w:sz w:val="24"/>
                <w:szCs w:val="24"/>
                <w:highlight w:val="none"/>
                <w:shd w:val="clear" w:color="auto" w:fill="auto"/>
              </w:rPr>
              <w:tab/>
            </w:r>
            <w:r>
              <w:rPr>
                <w:rFonts w:asciiTheme="minorEastAsia" w:hAnsiTheme="minorEastAsia" w:eastAsiaTheme="minorEastAsia"/>
                <w:color w:val="auto"/>
                <w:sz w:val="24"/>
                <w:szCs w:val="24"/>
                <w:highlight w:val="none"/>
                <w:shd w:val="clear" w:color="auto" w:fill="auto"/>
              </w:rPr>
              <w:t>列</w:t>
            </w:r>
            <w:r>
              <w:rPr>
                <w:rFonts w:asciiTheme="minorEastAsia" w:hAnsiTheme="minorEastAsia" w:eastAsiaTheme="minorEastAsia"/>
                <w:color w:val="auto"/>
                <w:sz w:val="24"/>
                <w:szCs w:val="24"/>
                <w:highlight w:val="none"/>
                <w:shd w:val="clear" w:color="auto" w:fill="auto"/>
              </w:rPr>
              <w:tab/>
            </w:r>
            <w:r>
              <w:rPr>
                <w:rFonts w:asciiTheme="minorEastAsia" w:hAnsiTheme="minorEastAsia" w:eastAsiaTheme="minorEastAsia"/>
                <w:color w:val="auto"/>
                <w:sz w:val="24"/>
                <w:szCs w:val="24"/>
                <w:highlight w:val="none"/>
                <w:shd w:val="clear" w:color="auto" w:fill="auto"/>
              </w:rPr>
              <w:t>内</w:t>
            </w:r>
            <w:r>
              <w:rPr>
                <w:rFonts w:asciiTheme="minorEastAsia" w:hAnsiTheme="minorEastAsia" w:eastAsiaTheme="minorEastAsia"/>
                <w:color w:val="auto"/>
                <w:sz w:val="24"/>
                <w:szCs w:val="24"/>
                <w:highlight w:val="none"/>
                <w:shd w:val="clear" w:color="auto" w:fill="auto"/>
              </w:rPr>
              <w:tab/>
            </w:r>
            <w:r>
              <w:rPr>
                <w:rFonts w:asciiTheme="minorEastAsia" w:hAnsiTheme="minorEastAsia" w:eastAsiaTheme="minorEastAsia"/>
                <w:color w:val="auto"/>
                <w:sz w:val="24"/>
                <w:szCs w:val="24"/>
                <w:highlight w:val="none"/>
                <w:shd w:val="clear" w:color="auto" w:fill="auto"/>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1</w:t>
            </w:r>
          </w:p>
        </w:tc>
        <w:tc>
          <w:tcPr>
            <w:tcW w:w="8120" w:type="dxa"/>
            <w:vAlign w:val="center"/>
          </w:tcPr>
          <w:p>
            <w:pPr>
              <w:adjustRightInd w:val="0"/>
              <w:snapToGrid w:val="0"/>
              <w:spacing w:before="93" w:beforeLines="30" w:after="93" w:afterLines="30"/>
              <w:jc w:val="both"/>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项目名称：</w:t>
            </w:r>
            <w:r>
              <w:rPr>
                <w:rFonts w:hint="eastAsia" w:asciiTheme="minorEastAsia" w:hAnsiTheme="minorEastAsia" w:eastAsiaTheme="minorEastAsia"/>
                <w:color w:val="auto"/>
                <w:sz w:val="24"/>
                <w:szCs w:val="24"/>
                <w:highlight w:val="none"/>
                <w:shd w:val="clear" w:color="auto" w:fill="auto"/>
                <w:lang w:eastAsia="zh-CN"/>
              </w:rPr>
              <w:t>石阡县城岩门口集中式饮用水源水质自动监测站建设项目</w:t>
            </w:r>
            <w:r>
              <w:rPr>
                <w:rFonts w:hint="eastAsia" w:asciiTheme="minorEastAsia" w:hAnsiTheme="minorEastAsia" w:eastAsiaTheme="minorEastAsia"/>
                <w:color w:val="auto"/>
                <w:sz w:val="24"/>
                <w:szCs w:val="24"/>
                <w:highlight w:val="none"/>
                <w:shd w:val="clear" w:color="auto" w:fill="auto"/>
              </w:rPr>
              <w:t>；</w:t>
            </w:r>
          </w:p>
          <w:p>
            <w:pPr>
              <w:adjustRightInd w:val="0"/>
              <w:snapToGrid w:val="0"/>
              <w:spacing w:before="93" w:beforeLines="30" w:after="93" w:afterLines="30"/>
              <w:jc w:val="both"/>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采购人名称：</w:t>
            </w:r>
            <w:r>
              <w:rPr>
                <w:rFonts w:hint="eastAsia" w:asciiTheme="minorEastAsia" w:hAnsiTheme="minorEastAsia" w:eastAsiaTheme="minorEastAsia"/>
                <w:color w:val="auto"/>
                <w:sz w:val="24"/>
                <w:szCs w:val="24"/>
                <w:highlight w:val="none"/>
                <w:shd w:val="clear" w:color="auto" w:fill="auto"/>
                <w:lang w:eastAsia="zh-CN"/>
              </w:rPr>
              <w:t>铜仁市生态环境局石阡分局</w:t>
            </w:r>
            <w:r>
              <w:rPr>
                <w:rFonts w:hint="eastAsia" w:asciiTheme="minorEastAsia" w:hAnsiTheme="minorEastAsia" w:eastAsiaTheme="minorEastAsia"/>
                <w:color w:val="auto"/>
                <w:sz w:val="24"/>
                <w:szCs w:val="24"/>
                <w:highlight w:val="none"/>
                <w:shd w:val="clear" w:color="auto" w:fill="auto"/>
              </w:rPr>
              <w:t>；</w:t>
            </w:r>
          </w:p>
          <w:p>
            <w:pPr>
              <w:adjustRightInd w:val="0"/>
              <w:snapToGrid w:val="0"/>
              <w:spacing w:before="93" w:beforeLines="30" w:after="93" w:afterLines="30"/>
              <w:jc w:val="both"/>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采购人地址：</w:t>
            </w:r>
            <w:r>
              <w:rPr>
                <w:rFonts w:hint="eastAsia" w:asciiTheme="minorEastAsia" w:hAnsiTheme="minorEastAsia" w:eastAsiaTheme="minorEastAsia"/>
                <w:color w:val="auto"/>
                <w:sz w:val="24"/>
                <w:szCs w:val="24"/>
                <w:highlight w:val="none"/>
                <w:shd w:val="clear" w:color="auto" w:fill="auto"/>
                <w:lang w:eastAsia="zh-CN"/>
              </w:rPr>
              <w:t>石阡县</w:t>
            </w:r>
            <w:r>
              <w:rPr>
                <w:rFonts w:hint="eastAsia" w:asciiTheme="minorEastAsia" w:hAnsiTheme="minorEastAsia" w:eastAsiaTheme="minorEastAsia"/>
                <w:color w:val="auto"/>
                <w:sz w:val="24"/>
                <w:szCs w:val="24"/>
                <w:highlight w:val="none"/>
                <w:shd w:val="clear" w:color="auto" w:fill="auto"/>
              </w:rPr>
              <w:t>；</w:t>
            </w:r>
          </w:p>
          <w:p>
            <w:pPr>
              <w:adjustRightInd w:val="0"/>
              <w:snapToGrid w:val="0"/>
              <w:spacing w:before="93" w:beforeLines="30" w:after="93" w:afterLines="30"/>
              <w:jc w:val="both"/>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最高限价</w:t>
            </w:r>
            <w:r>
              <w:rPr>
                <w:rFonts w:hint="eastAsia" w:cs="宋体" w:asciiTheme="minorEastAsia" w:hAnsiTheme="minorEastAsia" w:eastAsiaTheme="minorEastAsia"/>
                <w:color w:val="auto"/>
                <w:sz w:val="24"/>
                <w:szCs w:val="24"/>
                <w:highlight w:val="none"/>
                <w:shd w:val="clear" w:color="auto" w:fill="auto"/>
              </w:rPr>
              <w:t>：</w:t>
            </w:r>
            <w:bookmarkStart w:id="10" w:name="_Hlk67557484"/>
            <w:r>
              <w:rPr>
                <w:rFonts w:hint="eastAsia" w:cs="宋体" w:asciiTheme="minorEastAsia" w:hAnsiTheme="minorEastAsia" w:eastAsiaTheme="minorEastAsia"/>
                <w:color w:val="auto"/>
                <w:sz w:val="24"/>
                <w:szCs w:val="24"/>
                <w:highlight w:val="none"/>
                <w:shd w:val="clear" w:color="auto" w:fill="auto"/>
              </w:rPr>
              <w:t>小写：￥</w:t>
            </w:r>
            <w:r>
              <w:rPr>
                <w:rFonts w:hint="eastAsia" w:cs="宋体" w:asciiTheme="minorEastAsia" w:hAnsiTheme="minorEastAsia" w:eastAsiaTheme="minorEastAsia"/>
                <w:color w:val="auto"/>
                <w:sz w:val="24"/>
                <w:szCs w:val="24"/>
                <w:highlight w:val="none"/>
                <w:shd w:val="clear" w:color="auto" w:fill="auto"/>
                <w:lang w:val="en-US" w:eastAsia="zh-CN"/>
              </w:rPr>
              <w:t>1470000.00</w:t>
            </w:r>
            <w:r>
              <w:rPr>
                <w:rFonts w:hint="eastAsia" w:cs="宋体" w:asciiTheme="minorEastAsia" w:hAnsiTheme="minorEastAsia" w:eastAsiaTheme="minorEastAsia"/>
                <w:color w:val="auto"/>
                <w:sz w:val="24"/>
                <w:szCs w:val="24"/>
                <w:highlight w:val="none"/>
                <w:shd w:val="clear" w:color="auto" w:fill="auto"/>
              </w:rPr>
              <w:t>元；大写：</w:t>
            </w:r>
            <w:r>
              <w:rPr>
                <w:rFonts w:hint="eastAsia" w:cs="宋体" w:asciiTheme="minorEastAsia" w:hAnsiTheme="minorEastAsia" w:eastAsiaTheme="minorEastAsia"/>
                <w:color w:val="auto"/>
                <w:sz w:val="24"/>
                <w:szCs w:val="24"/>
                <w:highlight w:val="none"/>
                <w:shd w:val="clear" w:color="auto" w:fill="auto"/>
                <w:lang w:val="en-US" w:eastAsia="zh-CN"/>
              </w:rPr>
              <w:t>壹佰肆拾柒万元整</w:t>
            </w:r>
            <w:r>
              <w:rPr>
                <w:rFonts w:hint="eastAsia" w:cs="宋体" w:asciiTheme="minorEastAsia" w:hAnsiTheme="minorEastAsia" w:eastAsiaTheme="minorEastAsia"/>
                <w:color w:val="auto"/>
                <w:sz w:val="24"/>
                <w:szCs w:val="24"/>
                <w:highlight w:val="none"/>
                <w:shd w:val="clear" w:color="auto" w:fill="auto"/>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2</w:t>
            </w:r>
          </w:p>
        </w:tc>
        <w:tc>
          <w:tcPr>
            <w:tcW w:w="8120" w:type="dxa"/>
            <w:vAlign w:val="center"/>
          </w:tcPr>
          <w:p>
            <w:pPr>
              <w:adjustRightInd w:val="0"/>
              <w:snapToGrid w:val="0"/>
              <w:spacing w:before="93" w:beforeLines="30" w:after="93" w:afterLines="30"/>
              <w:jc w:val="both"/>
              <w:rPr>
                <w:rFonts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是否允许中国境外供应商参加本采购项目：否</w:t>
            </w:r>
            <w:r>
              <w:rPr>
                <w:rFonts w:hint="eastAsia" w:asciiTheme="minorEastAsia" w:hAnsiTheme="minorEastAsia" w:eastAsiaTheme="minorEastAsia"/>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3</w:t>
            </w:r>
          </w:p>
        </w:tc>
        <w:tc>
          <w:tcPr>
            <w:tcW w:w="8120" w:type="dxa"/>
            <w:vAlign w:val="center"/>
          </w:tcPr>
          <w:p>
            <w:pPr>
              <w:adjustRightInd w:val="0"/>
              <w:snapToGrid w:val="0"/>
              <w:spacing w:before="93" w:beforeLines="30" w:after="93" w:afterLines="30"/>
              <w:jc w:val="both"/>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投标有效期：投标截止之日起</w:t>
            </w:r>
            <w:r>
              <w:rPr>
                <w:rFonts w:asciiTheme="minorEastAsia" w:hAnsiTheme="minorEastAsia" w:eastAsiaTheme="minorEastAsia"/>
                <w:color w:val="auto"/>
                <w:sz w:val="24"/>
                <w:szCs w:val="24"/>
                <w:highlight w:val="none"/>
                <w:u w:val="single"/>
                <w:shd w:val="clear" w:color="auto" w:fill="auto"/>
              </w:rPr>
              <w:t>90</w:t>
            </w:r>
            <w:r>
              <w:rPr>
                <w:rFonts w:asciiTheme="minorEastAsia" w:hAnsiTheme="minorEastAsia" w:eastAsiaTheme="minorEastAsia"/>
                <w:color w:val="auto"/>
                <w:sz w:val="24"/>
                <w:szCs w:val="24"/>
                <w:highlight w:val="none"/>
                <w:shd w:val="clear" w:color="auto" w:fill="auto"/>
              </w:rPr>
              <w:t>个日历日。</w:t>
            </w:r>
          </w:p>
          <w:p>
            <w:pPr>
              <w:adjustRightInd w:val="0"/>
              <w:snapToGrid w:val="0"/>
              <w:spacing w:before="93" w:beforeLines="30" w:after="93" w:afterLines="30"/>
              <w:jc w:val="both"/>
              <w:rPr>
                <w:rFonts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4</w:t>
            </w:r>
          </w:p>
        </w:tc>
        <w:tc>
          <w:tcPr>
            <w:tcW w:w="8120" w:type="dxa"/>
            <w:vAlign w:val="center"/>
          </w:tcPr>
          <w:p>
            <w:pPr>
              <w:adjustRightInd w:val="0"/>
              <w:snapToGrid w:val="0"/>
              <w:spacing w:before="93" w:beforeLines="30" w:after="93" w:afterLines="30"/>
              <w:jc w:val="both"/>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资格标准：</w:t>
            </w:r>
          </w:p>
          <w:p>
            <w:pPr>
              <w:adjustRightInd w:val="0"/>
              <w:snapToGrid w:val="0"/>
              <w:spacing w:before="93" w:beforeLines="30" w:after="93" w:afterLines="30"/>
              <w:jc w:val="both"/>
              <w:rPr>
                <w:rFonts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详见第二章《</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响应供应商须知》，以及第三章《采购内容及要求》有关内容。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5</w:t>
            </w:r>
          </w:p>
        </w:tc>
        <w:tc>
          <w:tcPr>
            <w:tcW w:w="8120" w:type="dxa"/>
            <w:vAlign w:val="center"/>
          </w:tcPr>
          <w:p>
            <w:pPr>
              <w:adjustRightInd w:val="0"/>
              <w:snapToGrid w:val="0"/>
              <w:spacing w:before="93" w:beforeLines="30" w:after="93" w:afterLines="30"/>
              <w:jc w:val="both"/>
              <w:rPr>
                <w:rFonts w:asciiTheme="minorEastAsia" w:hAnsiTheme="minorEastAsia" w:eastAsiaTheme="minorEastAsia"/>
                <w:b/>
                <w:bCs/>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响应文件递交</w:t>
            </w:r>
            <w:r>
              <w:rPr>
                <w:rFonts w:hint="eastAsia" w:asciiTheme="minorEastAsia" w:hAnsiTheme="minorEastAsia" w:eastAsiaTheme="minorEastAsia"/>
                <w:color w:val="auto"/>
                <w:sz w:val="24"/>
                <w:szCs w:val="24"/>
                <w:highlight w:val="none"/>
                <w:shd w:val="clear" w:color="auto" w:fill="auto"/>
                <w:lang w:val="en-US" w:eastAsia="zh-CN"/>
              </w:rPr>
              <w:t>正本1份，副本3份，电子光盘或U盘1份</w:t>
            </w:r>
            <w:r>
              <w:rPr>
                <w:rFonts w:asciiTheme="minorEastAsia" w:hAnsiTheme="minorEastAsia" w:eastAsiaTheme="minorEastAsia"/>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6</w:t>
            </w:r>
          </w:p>
        </w:tc>
        <w:tc>
          <w:tcPr>
            <w:tcW w:w="8120" w:type="dxa"/>
            <w:vAlign w:val="center"/>
          </w:tcPr>
          <w:p>
            <w:pPr>
              <w:adjustRightInd w:val="0"/>
              <w:snapToGrid w:val="0"/>
              <w:spacing w:before="62" w:beforeLines="20" w:after="62" w:afterLines="20"/>
              <w:jc w:val="left"/>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保证金：</w:t>
            </w: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15</w:t>
            </w:r>
            <w:r>
              <w:rPr>
                <w:rFonts w:asciiTheme="minorEastAsia" w:hAnsiTheme="minorEastAsia" w:eastAsiaTheme="minorEastAsia"/>
                <w:color w:val="auto"/>
                <w:sz w:val="24"/>
                <w:szCs w:val="24"/>
                <w:highlight w:val="none"/>
                <w:shd w:val="clear" w:color="auto" w:fill="auto"/>
              </w:rPr>
              <w:t>000.00</w:t>
            </w:r>
            <w:r>
              <w:rPr>
                <w:rFonts w:hint="eastAsia" w:asciiTheme="minorEastAsia" w:hAnsiTheme="minorEastAsia" w:eastAsiaTheme="minorEastAsia"/>
                <w:color w:val="auto"/>
                <w:sz w:val="24"/>
                <w:szCs w:val="24"/>
                <w:highlight w:val="none"/>
                <w:shd w:val="clear" w:color="auto" w:fill="auto"/>
              </w:rPr>
              <w:t>：大写：</w:t>
            </w:r>
            <w:r>
              <w:rPr>
                <w:rFonts w:hint="eastAsia" w:asciiTheme="minorEastAsia" w:hAnsiTheme="minorEastAsia" w:eastAsiaTheme="minorEastAsia"/>
                <w:color w:val="auto"/>
                <w:sz w:val="24"/>
                <w:szCs w:val="24"/>
                <w:highlight w:val="none"/>
                <w:shd w:val="clear" w:color="auto" w:fill="auto"/>
                <w:lang w:val="en-US" w:eastAsia="zh-CN"/>
              </w:rPr>
              <w:t>壹万伍仟</w:t>
            </w:r>
            <w:r>
              <w:rPr>
                <w:rFonts w:hint="eastAsia" w:asciiTheme="minorEastAsia" w:hAnsiTheme="minorEastAsia" w:eastAsiaTheme="minorEastAsia"/>
                <w:color w:val="auto"/>
                <w:sz w:val="24"/>
                <w:szCs w:val="24"/>
                <w:highlight w:val="none"/>
                <w:shd w:val="clear" w:color="auto" w:fill="auto"/>
              </w:rPr>
              <w:t>元整）。</w:t>
            </w:r>
          </w:p>
          <w:p>
            <w:pPr>
              <w:pStyle w:val="41"/>
              <w:adjustRightInd w:val="0"/>
              <w:snapToGrid w:val="0"/>
              <w:spacing w:before="62" w:beforeLines="20" w:after="62" w:afterLines="20"/>
              <w:ind w:firstLine="532" w:firstLineChars="222"/>
              <w:jc w:val="both"/>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投标保证金交纳方式:具体缴退流程见</w:t>
            </w:r>
            <w:r>
              <w:rPr>
                <w:rFonts w:hint="eastAsia" w:cs="宋体" w:asciiTheme="minorEastAsia" w:hAnsiTheme="minorEastAsia" w:eastAsiaTheme="minorEastAsia"/>
                <w:color w:val="auto"/>
                <w:sz w:val="24"/>
                <w:szCs w:val="24"/>
                <w:highlight w:val="none"/>
                <w:shd w:val="clear" w:color="auto" w:fill="auto"/>
                <w:lang w:val="en-US" w:eastAsia="zh-CN"/>
              </w:rPr>
              <w:t>全国公共资源交易平台（贵州·铜仁）</w:t>
            </w:r>
            <w:r>
              <w:rPr>
                <w:rFonts w:hint="eastAsia" w:cs="宋体" w:asciiTheme="minorEastAsia" w:hAnsiTheme="minorEastAsia" w:eastAsiaTheme="minorEastAsia"/>
                <w:color w:val="auto"/>
                <w:sz w:val="24"/>
                <w:szCs w:val="24"/>
                <w:highlight w:val="none"/>
                <w:shd w:val="clear" w:color="auto" w:fill="auto"/>
              </w:rPr>
              <w:t>，点击</w:t>
            </w:r>
            <w:r>
              <w:rPr>
                <w:rFonts w:hint="eastAsia" w:asciiTheme="minorEastAsia" w:hAnsiTheme="minorEastAsia" w:eastAsiaTheme="minorEastAsia"/>
                <w:color w:val="auto"/>
                <w:sz w:val="24"/>
                <w:szCs w:val="24"/>
                <w:highlight w:val="none"/>
                <w:shd w:val="clear" w:color="auto" w:fill="auto"/>
              </w:rPr>
              <w:t>首页-办事指南-保证金缴退，自行缴纳保证金；或者采用电子保函形式缴纳（具体操作方式见</w:t>
            </w:r>
            <w:r>
              <w:rPr>
                <w:rFonts w:hint="eastAsia" w:cs="宋体" w:asciiTheme="minorEastAsia" w:hAnsiTheme="minorEastAsia" w:eastAsiaTheme="minorEastAsia"/>
                <w:color w:val="auto"/>
                <w:sz w:val="24"/>
                <w:szCs w:val="24"/>
                <w:highlight w:val="none"/>
                <w:shd w:val="clear" w:color="auto" w:fill="auto"/>
                <w:lang w:val="en-US" w:eastAsia="zh-CN"/>
              </w:rPr>
              <w:t>全国公共资源交易平台（贵州·铜仁）</w:t>
            </w:r>
            <w:r>
              <w:rPr>
                <w:rFonts w:hint="eastAsia" w:asciiTheme="minorEastAsia" w:hAnsiTheme="minorEastAsia" w:eastAsiaTheme="minorEastAsia"/>
                <w:color w:val="auto"/>
                <w:sz w:val="24"/>
                <w:szCs w:val="24"/>
                <w:highlight w:val="none"/>
                <w:shd w:val="clear" w:color="auto" w:fill="auto"/>
              </w:rPr>
              <w:t>首页——办事指南——政府采购——常见问题解答——《投标电子保函申请操作步骤》）</w:t>
            </w:r>
          </w:p>
          <w:p>
            <w:pPr>
              <w:pStyle w:val="13"/>
              <w:spacing w:line="400" w:lineRule="exact"/>
              <w:ind w:firstLine="840" w:firstLineChars="350"/>
              <w:jc w:val="left"/>
              <w:rPr>
                <w:rFonts w:hint="eastAsia" w:cs="宋体" w:asciiTheme="minorEastAsia" w:hAnsiTheme="minorEastAsia" w:eastAsiaTheme="minorEastAsia"/>
                <w:color w:val="auto"/>
                <w:kern w:val="0"/>
                <w:szCs w:val="24"/>
                <w:highlight w:val="none"/>
                <w:shd w:val="clear" w:color="auto" w:fill="auto"/>
                <w:lang w:val="zh-CN" w:bidi="zh-CN"/>
              </w:rPr>
            </w:pPr>
            <w:r>
              <w:rPr>
                <w:rFonts w:hint="eastAsia" w:cs="宋体" w:asciiTheme="minorEastAsia" w:hAnsiTheme="minorEastAsia" w:eastAsiaTheme="minorEastAsia"/>
                <w:color w:val="auto"/>
                <w:kern w:val="0"/>
                <w:szCs w:val="24"/>
                <w:highlight w:val="none"/>
                <w:shd w:val="clear" w:color="auto" w:fill="auto"/>
                <w:lang w:val="zh-CN" w:bidi="zh-CN"/>
              </w:rPr>
              <w:t>收款单位：石阡县产权交易中心线上保证金专户</w:t>
            </w:r>
          </w:p>
          <w:p>
            <w:pPr>
              <w:pStyle w:val="13"/>
              <w:spacing w:line="400" w:lineRule="exact"/>
              <w:ind w:firstLine="840" w:firstLineChars="350"/>
              <w:jc w:val="left"/>
              <w:rPr>
                <w:rFonts w:hint="eastAsia" w:cs="宋体" w:asciiTheme="minorEastAsia" w:hAnsiTheme="minorEastAsia" w:eastAsiaTheme="minorEastAsia"/>
                <w:color w:val="auto"/>
                <w:kern w:val="0"/>
                <w:szCs w:val="24"/>
                <w:highlight w:val="none"/>
                <w:shd w:val="clear" w:color="auto" w:fill="auto"/>
                <w:lang w:val="zh-CN" w:bidi="zh-CN"/>
              </w:rPr>
            </w:pPr>
            <w:r>
              <w:rPr>
                <w:rFonts w:hint="eastAsia" w:cs="宋体" w:asciiTheme="minorEastAsia" w:hAnsiTheme="minorEastAsia" w:eastAsiaTheme="minorEastAsia"/>
                <w:color w:val="auto"/>
                <w:kern w:val="0"/>
                <w:szCs w:val="24"/>
                <w:highlight w:val="none"/>
                <w:shd w:val="clear" w:color="auto" w:fill="auto"/>
                <w:lang w:val="zh-CN" w:bidi="zh-CN"/>
              </w:rPr>
              <w:t>开 户 行：贵州银行股份有限公司石阡支行</w:t>
            </w:r>
          </w:p>
          <w:p>
            <w:pPr>
              <w:pStyle w:val="13"/>
              <w:spacing w:line="400" w:lineRule="exact"/>
              <w:ind w:firstLine="840" w:firstLineChars="350"/>
              <w:jc w:val="left"/>
              <w:rPr>
                <w:rFonts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kern w:val="0"/>
                <w:szCs w:val="24"/>
                <w:highlight w:val="none"/>
                <w:shd w:val="clear" w:color="auto" w:fill="auto"/>
                <w:lang w:val="zh-CN" w:bidi="zh-CN"/>
              </w:rPr>
              <w:t>帐    号：0615001700000457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asciiTheme="minorEastAsia" w:hAnsiTheme="minorEastAsia" w:eastAsiaTheme="minorEastAsia"/>
                <w:b/>
                <w:bCs/>
                <w:color w:val="auto"/>
                <w:sz w:val="24"/>
                <w:szCs w:val="24"/>
                <w:highlight w:val="none"/>
                <w:shd w:val="clear" w:color="auto" w:fill="auto"/>
                <w:lang w:val="en-US"/>
              </w:rPr>
            </w:pPr>
            <w:r>
              <w:rPr>
                <w:rFonts w:hint="eastAsia" w:asciiTheme="minorEastAsia" w:hAnsiTheme="minorEastAsia" w:eastAsiaTheme="minorEastAsia"/>
                <w:b/>
                <w:bCs/>
                <w:color w:val="auto"/>
                <w:sz w:val="24"/>
                <w:szCs w:val="24"/>
                <w:highlight w:val="none"/>
                <w:shd w:val="clear" w:color="auto" w:fill="auto"/>
                <w:lang w:val="en-US"/>
              </w:rPr>
              <w:t>7</w:t>
            </w:r>
          </w:p>
        </w:tc>
        <w:tc>
          <w:tcPr>
            <w:tcW w:w="8120" w:type="dxa"/>
            <w:vAlign w:val="center"/>
          </w:tcPr>
          <w:p>
            <w:pPr>
              <w:adjustRightInd w:val="0"/>
              <w:snapToGrid w:val="0"/>
              <w:spacing w:before="93" w:beforeLines="30" w:after="93" w:afterLines="30"/>
              <w:jc w:val="both"/>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规则、评审标准：评标价法详见《</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供应商须知前附表》</w:t>
            </w:r>
            <w:r>
              <w:rPr>
                <w:rFonts w:hint="eastAsia" w:asciiTheme="minorEastAsia" w:hAnsiTheme="minorEastAsia" w:eastAsiaTheme="minorEastAsia"/>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hint="eastAsia" w:asciiTheme="minorEastAsia" w:hAnsiTheme="minorEastAsia" w:eastAsiaTheme="minorEastAsia"/>
                <w:b/>
                <w:bCs/>
                <w:color w:val="auto"/>
                <w:sz w:val="24"/>
                <w:szCs w:val="24"/>
                <w:highlight w:val="none"/>
                <w:shd w:val="clear" w:color="auto" w:fill="auto"/>
                <w:lang w:val="en-US" w:eastAsia="zh-CN"/>
              </w:rPr>
            </w:pPr>
            <w:r>
              <w:rPr>
                <w:rFonts w:hint="eastAsia" w:asciiTheme="minorEastAsia" w:hAnsiTheme="minorEastAsia" w:eastAsiaTheme="minorEastAsia"/>
                <w:b/>
                <w:bCs/>
                <w:color w:val="auto"/>
                <w:sz w:val="24"/>
                <w:szCs w:val="24"/>
                <w:highlight w:val="none"/>
                <w:shd w:val="clear" w:color="auto" w:fill="auto"/>
                <w:lang w:val="en-US" w:eastAsia="zh-CN"/>
              </w:rPr>
              <w:t>8</w:t>
            </w:r>
          </w:p>
        </w:tc>
        <w:tc>
          <w:tcPr>
            <w:tcW w:w="8120" w:type="dxa"/>
            <w:vAlign w:val="center"/>
          </w:tcPr>
          <w:p>
            <w:pPr>
              <w:adjustRightInd w:val="0"/>
              <w:snapToGrid w:val="0"/>
              <w:spacing w:before="93" w:beforeLines="30" w:after="93" w:afterLines="30"/>
              <w:jc w:val="both"/>
              <w:rPr>
                <w:rFonts w:hint="eastAsia" w:asciiTheme="minorEastAsia" w:hAnsiTheme="minorEastAsia" w:eastAsiaTheme="minorEastAsia"/>
                <w:color w:val="auto"/>
                <w:sz w:val="24"/>
                <w:szCs w:val="24"/>
                <w:highlight w:val="none"/>
                <w:shd w:val="clear" w:color="auto" w:fill="auto"/>
                <w:lang w:eastAsia="zh-CN"/>
              </w:rPr>
            </w:pPr>
            <w:r>
              <w:rPr>
                <w:rFonts w:hint="eastAsia" w:cs="宋体" w:asciiTheme="minorEastAsia" w:hAnsiTheme="minorEastAsia" w:eastAsiaTheme="minorEastAsia"/>
                <w:color w:val="auto"/>
                <w:sz w:val="24"/>
                <w:szCs w:val="24"/>
                <w:highlight w:val="none"/>
                <w:shd w:val="clear" w:color="auto" w:fill="auto"/>
                <w:lang w:eastAsia="zh-CN"/>
              </w:rPr>
              <w:t>合同增减变更：采购人和采购代理机构在授予合同时有权对产品数量和服务予以增加或减少（中标金额 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adjustRightInd w:val="0"/>
              <w:snapToGrid w:val="0"/>
              <w:spacing w:before="93" w:beforeLines="30" w:after="93" w:afterLines="30"/>
              <w:jc w:val="center"/>
              <w:rPr>
                <w:rFonts w:hint="default" w:asciiTheme="minorEastAsia" w:hAnsiTheme="minorEastAsia" w:eastAsiaTheme="minorEastAsia"/>
                <w:b/>
                <w:bCs/>
                <w:color w:val="auto"/>
                <w:sz w:val="24"/>
                <w:szCs w:val="24"/>
                <w:highlight w:val="none"/>
                <w:shd w:val="clear" w:color="auto" w:fill="auto"/>
                <w:lang w:val="en-US" w:eastAsia="zh-CN"/>
              </w:rPr>
            </w:pPr>
            <w:r>
              <w:rPr>
                <w:rFonts w:hint="eastAsia" w:asciiTheme="minorEastAsia" w:hAnsiTheme="minorEastAsia" w:eastAsiaTheme="minorEastAsia"/>
                <w:b/>
                <w:bCs/>
                <w:color w:val="auto"/>
                <w:sz w:val="24"/>
                <w:szCs w:val="24"/>
                <w:highlight w:val="none"/>
                <w:shd w:val="clear" w:color="auto" w:fill="auto"/>
                <w:lang w:val="en-US" w:eastAsia="zh-CN"/>
              </w:rPr>
              <w:t>9</w:t>
            </w:r>
          </w:p>
        </w:tc>
        <w:tc>
          <w:tcPr>
            <w:tcW w:w="8120" w:type="dxa"/>
            <w:vAlign w:val="center"/>
          </w:tcPr>
          <w:p>
            <w:pPr>
              <w:adjustRightInd w:val="0"/>
              <w:snapToGrid w:val="0"/>
              <w:spacing w:before="93" w:beforeLines="30" w:after="93" w:afterLines="30"/>
              <w:jc w:val="both"/>
              <w:rPr>
                <w:rFonts w:hint="eastAsia" w:cs="宋体" w:asciiTheme="minorEastAsia" w:hAnsiTheme="minorEastAsia" w:eastAsiaTheme="minorEastAsia"/>
                <w:color w:val="auto"/>
                <w:sz w:val="24"/>
                <w:szCs w:val="24"/>
                <w:highlight w:val="none"/>
                <w:shd w:val="clear" w:color="auto" w:fill="auto"/>
                <w:lang w:eastAsia="zh-CN"/>
              </w:rPr>
            </w:pPr>
            <w:r>
              <w:rPr>
                <w:rFonts w:hint="eastAsia" w:cs="宋体" w:asciiTheme="minorEastAsia" w:hAnsiTheme="minorEastAsia" w:eastAsiaTheme="minorEastAsia"/>
                <w:color w:val="auto"/>
                <w:sz w:val="24"/>
                <w:szCs w:val="24"/>
                <w:highlight w:val="none"/>
                <w:shd w:val="clear" w:color="auto" w:fill="auto"/>
                <w:lang w:eastAsia="zh-CN"/>
              </w:rPr>
              <w:t>成交服务费：本项目代理服务费壹万元，由委托人支付。</w:t>
            </w:r>
          </w:p>
        </w:tc>
      </w:tr>
    </w:tbl>
    <w:p>
      <w:pPr>
        <w:jc w:val="center"/>
        <w:rPr>
          <w:b/>
          <w:bCs/>
          <w:color w:val="auto"/>
          <w:sz w:val="28"/>
          <w:szCs w:val="28"/>
          <w:highlight w:val="none"/>
          <w:shd w:val="clear" w:color="auto" w:fill="auto"/>
        </w:rPr>
      </w:pPr>
      <w:r>
        <w:rPr>
          <w:b/>
          <w:bCs/>
          <w:color w:val="auto"/>
          <w:sz w:val="24"/>
          <w:szCs w:val="24"/>
          <w:highlight w:val="none"/>
          <w:shd w:val="clear" w:color="auto" w:fill="auto"/>
        </w:rPr>
        <w:br w:type="page"/>
      </w:r>
      <w:r>
        <w:rPr>
          <w:rFonts w:hint="eastAsia"/>
          <w:b/>
          <w:bCs/>
          <w:color w:val="auto"/>
          <w:sz w:val="28"/>
          <w:szCs w:val="28"/>
          <w:highlight w:val="none"/>
          <w:shd w:val="clear" w:color="auto" w:fill="auto"/>
          <w:lang w:eastAsia="zh-CN"/>
        </w:rPr>
        <w:t>磋商</w:t>
      </w:r>
      <w:r>
        <w:rPr>
          <w:rFonts w:hint="eastAsia"/>
          <w:b/>
          <w:bCs/>
          <w:color w:val="auto"/>
          <w:sz w:val="28"/>
          <w:szCs w:val="28"/>
          <w:highlight w:val="none"/>
          <w:shd w:val="clear" w:color="auto" w:fill="auto"/>
        </w:rPr>
        <w:t>供应商须知前附表2:资格性、符合性检查表</w:t>
      </w:r>
    </w:p>
    <w:p>
      <w:pPr>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rPr>
        <w:t>本须知前附表</w:t>
      </w:r>
      <w:r>
        <w:rPr>
          <w:rFonts w:hint="eastAsia"/>
          <w:color w:val="auto"/>
          <w:sz w:val="24"/>
          <w:szCs w:val="24"/>
          <w:highlight w:val="none"/>
          <w:shd w:val="clear" w:color="auto" w:fill="auto"/>
          <w:lang w:val="en-US"/>
        </w:rPr>
        <w:t>2</w:t>
      </w:r>
      <w:r>
        <w:rPr>
          <w:rFonts w:hint="eastAsia"/>
          <w:color w:val="auto"/>
          <w:sz w:val="24"/>
          <w:szCs w:val="24"/>
          <w:highlight w:val="none"/>
          <w:shd w:val="clear" w:color="auto" w:fill="auto"/>
        </w:rPr>
        <w:t>集中列示了资格性、符合性检查的所有条款，其内容是</w:t>
      </w:r>
      <w:r>
        <w:rPr>
          <w:rFonts w:hint="eastAsia"/>
          <w:color w:val="auto"/>
          <w:sz w:val="24"/>
          <w:szCs w:val="24"/>
          <w:highlight w:val="none"/>
          <w:shd w:val="clear" w:color="auto" w:fill="auto"/>
          <w:lang w:eastAsia="zh-CN"/>
        </w:rPr>
        <w:t>磋商</w:t>
      </w:r>
      <w:r>
        <w:rPr>
          <w:rFonts w:hint="eastAsia"/>
          <w:color w:val="auto"/>
          <w:sz w:val="24"/>
          <w:szCs w:val="24"/>
          <w:highlight w:val="none"/>
          <w:shd w:val="clear" w:color="auto" w:fill="auto"/>
        </w:rPr>
        <w:t>小组判断</w:t>
      </w:r>
      <w:r>
        <w:rPr>
          <w:rFonts w:hint="eastAsia"/>
          <w:color w:val="auto"/>
          <w:sz w:val="24"/>
          <w:szCs w:val="24"/>
          <w:highlight w:val="none"/>
          <w:shd w:val="clear" w:color="auto" w:fill="auto"/>
          <w:lang w:eastAsia="zh-CN"/>
        </w:rPr>
        <w:t>磋商</w:t>
      </w:r>
      <w:r>
        <w:rPr>
          <w:rFonts w:hint="eastAsia"/>
          <w:color w:val="auto"/>
          <w:sz w:val="24"/>
          <w:szCs w:val="24"/>
          <w:highlight w:val="none"/>
          <w:shd w:val="clear" w:color="auto" w:fill="auto"/>
        </w:rPr>
        <w:t>供应商的报价是否有效的重要依据。</w:t>
      </w:r>
    </w:p>
    <w:tbl>
      <w:tblPr>
        <w:tblStyle w:val="19"/>
        <w:tblpPr w:leftFromText="180" w:rightFromText="180" w:vertAnchor="text" w:horzAnchor="page" w:tblpXSpec="center" w:tblpY="242"/>
        <w:tblOverlap w:val="never"/>
        <w:tblW w:w="9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9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项号</w:t>
            </w:r>
          </w:p>
        </w:tc>
        <w:tc>
          <w:tcPr>
            <w:tcW w:w="9115"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资格性检查表</w:t>
            </w:r>
            <w:r>
              <w:rPr>
                <w:rFonts w:hint="eastAsia" w:asciiTheme="minorEastAsia" w:hAnsiTheme="minorEastAsia" w:eastAsiaTheme="minorEastAsia"/>
                <w:color w:val="auto"/>
                <w:sz w:val="24"/>
                <w:szCs w:val="24"/>
                <w:highlight w:val="none"/>
                <w:shd w:val="clear" w:color="auto" w:fill="auto"/>
              </w:rPr>
              <w:t>具</w:t>
            </w:r>
            <w:r>
              <w:rPr>
                <w:rFonts w:asciiTheme="minorEastAsia" w:hAnsiTheme="minorEastAsia" w:eastAsiaTheme="minorEastAsia"/>
                <w:color w:val="auto"/>
                <w:sz w:val="24"/>
                <w:szCs w:val="24"/>
                <w:highlight w:val="none"/>
                <w:shd w:val="clear" w:color="auto" w:fill="auto"/>
              </w:rPr>
              <w:t>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合格的</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供应商</w:t>
            </w:r>
          </w:p>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具体内容详见第</w:t>
            </w:r>
            <w:r>
              <w:rPr>
                <w:rFonts w:hint="eastAsia" w:asciiTheme="minorEastAsia" w:hAnsiTheme="minorEastAsia" w:eastAsiaTheme="minorEastAsia"/>
                <w:color w:val="auto"/>
                <w:sz w:val="24"/>
                <w:szCs w:val="24"/>
                <w:highlight w:val="none"/>
                <w:shd w:val="clear" w:color="auto" w:fill="auto"/>
                <w:lang w:val="en-US"/>
              </w:rPr>
              <w:t>3</w:t>
            </w:r>
            <w:r>
              <w:rPr>
                <w:rFonts w:asciiTheme="minorEastAsia" w:hAnsiTheme="minorEastAsia" w:eastAsiaTheme="minorEastAsia"/>
                <w:color w:val="auto"/>
                <w:sz w:val="24"/>
                <w:szCs w:val="24"/>
                <w:highlight w:val="none"/>
                <w:shd w:val="clear" w:color="auto" w:fill="auto"/>
              </w:rPr>
              <w:t>条“合格的</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2</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代表若不是法定代表人，则必须提供法定代表人对</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代表的授权书原件及</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代表的身份证复印件（正反面均需复印）。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3</w:t>
            </w:r>
          </w:p>
        </w:tc>
        <w:tc>
          <w:tcPr>
            <w:tcW w:w="9115" w:type="dxa"/>
            <w:vAlign w:val="center"/>
          </w:tcPr>
          <w:p>
            <w:pPr>
              <w:adjustRightInd w:val="0"/>
              <w:snapToGrid w:val="0"/>
              <w:spacing w:before="93" w:beforeLines="30" w:after="93" w:afterLines="30"/>
              <w:jc w:val="left"/>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参加政府采购活动的</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供应商应提供下列材料：</w:t>
            </w:r>
          </w:p>
          <w:p>
            <w:pPr>
              <w:keepNext w:val="0"/>
              <w:keepLines w:val="0"/>
              <w:pageBreakBefore w:val="0"/>
              <w:kinsoku/>
              <w:wordWrap/>
              <w:overflowPunct/>
              <w:topLinePunct w:val="0"/>
              <w:bidi w:val="0"/>
              <w:snapToGrid/>
              <w:spacing w:line="360" w:lineRule="exact"/>
              <w:ind w:firstLine="240" w:firstLineChars="1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1.满足《中华人民共和国政府采购法》第二十二条规定，并提供下列材料；</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①具有独立承担民事责任的能力：</w:t>
            </w:r>
            <w:r>
              <w:rPr>
                <w:rFonts w:hint="eastAsia" w:cs="宋体"/>
                <w:b w:val="0"/>
                <w:color w:val="auto"/>
                <w:sz w:val="24"/>
                <w:szCs w:val="22"/>
                <w:highlight w:val="none"/>
                <w:shd w:val="clear" w:color="auto" w:fill="auto"/>
                <w:lang w:val="en-US" w:eastAsia="zh-CN" w:bidi="ar-SA"/>
              </w:rPr>
              <w:t>提供有效的营业执照</w:t>
            </w:r>
            <w:r>
              <w:rPr>
                <w:rFonts w:hint="eastAsia" w:ascii="宋体" w:hAnsi="宋体" w:eastAsia="宋体" w:cs="宋体"/>
                <w:b w:val="0"/>
                <w:color w:val="auto"/>
                <w:sz w:val="24"/>
                <w:szCs w:val="22"/>
                <w:highlight w:val="none"/>
                <w:shd w:val="clear" w:color="auto" w:fill="auto"/>
                <w:lang w:val="en-US" w:eastAsia="zh-CN" w:bidi="ar-SA"/>
              </w:rPr>
              <w:t>；</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②财务状况报告（经合法审计机构出具的2020年度财务审计报告，</w:t>
            </w:r>
            <w:r>
              <w:rPr>
                <w:rFonts w:hint="eastAsia" w:cs="宋体"/>
                <w:b w:val="0"/>
                <w:color w:val="auto"/>
                <w:sz w:val="24"/>
                <w:szCs w:val="22"/>
                <w:highlight w:val="none"/>
                <w:shd w:val="clear" w:color="auto" w:fill="auto"/>
                <w:lang w:val="en-US" w:eastAsia="zh-CN" w:bidi="ar-SA"/>
              </w:rPr>
              <w:t>2021年新成立的公司提供</w:t>
            </w:r>
            <w:r>
              <w:rPr>
                <w:rFonts w:hint="eastAsia" w:ascii="宋体" w:hAnsi="宋体" w:eastAsia="宋体" w:cs="宋体"/>
                <w:b w:val="0"/>
                <w:color w:val="auto"/>
                <w:sz w:val="24"/>
                <w:szCs w:val="22"/>
                <w:highlight w:val="none"/>
                <w:shd w:val="clear" w:color="auto" w:fill="auto"/>
                <w:lang w:val="en-US" w:eastAsia="zh-CN" w:bidi="ar-SA"/>
              </w:rPr>
              <w:t>银行出具的有效的资信证明）；</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③依法缴纳税收（202</w:t>
            </w:r>
            <w:r>
              <w:rPr>
                <w:rFonts w:hint="eastAsia" w:cs="宋体"/>
                <w:b w:val="0"/>
                <w:color w:val="auto"/>
                <w:sz w:val="24"/>
                <w:szCs w:val="22"/>
                <w:highlight w:val="none"/>
                <w:shd w:val="clear" w:color="auto" w:fill="auto"/>
                <w:lang w:val="en-US" w:eastAsia="zh-CN" w:bidi="ar-SA"/>
              </w:rPr>
              <w:t>1</w:t>
            </w:r>
            <w:r>
              <w:rPr>
                <w:rFonts w:hint="eastAsia" w:ascii="宋体" w:hAnsi="宋体" w:eastAsia="宋体" w:cs="宋体"/>
                <w:b w:val="0"/>
                <w:color w:val="auto"/>
                <w:sz w:val="24"/>
                <w:szCs w:val="22"/>
                <w:highlight w:val="none"/>
                <w:shd w:val="clear" w:color="auto" w:fill="auto"/>
                <w:lang w:val="en-US" w:eastAsia="zh-CN" w:bidi="ar-SA"/>
              </w:rPr>
              <w:t>年1月至今任意3个月缴纳税收的凭据或证明材料复印件（依法免税的供应商须提供相应证明文件））和社会保障资金（202</w:t>
            </w:r>
            <w:r>
              <w:rPr>
                <w:rFonts w:hint="eastAsia" w:cs="宋体"/>
                <w:b w:val="0"/>
                <w:color w:val="auto"/>
                <w:sz w:val="24"/>
                <w:szCs w:val="22"/>
                <w:highlight w:val="none"/>
                <w:shd w:val="clear" w:color="auto" w:fill="auto"/>
                <w:lang w:val="en-US" w:eastAsia="zh-CN" w:bidi="ar-SA"/>
              </w:rPr>
              <w:t>1</w:t>
            </w:r>
            <w:r>
              <w:rPr>
                <w:rFonts w:hint="eastAsia" w:ascii="宋体" w:hAnsi="宋体" w:eastAsia="宋体" w:cs="宋体"/>
                <w:b w:val="0"/>
                <w:color w:val="auto"/>
                <w:sz w:val="24"/>
                <w:szCs w:val="22"/>
                <w:highlight w:val="none"/>
                <w:shd w:val="clear" w:color="auto" w:fill="auto"/>
                <w:lang w:val="en-US" w:eastAsia="zh-CN" w:bidi="ar-SA"/>
              </w:rPr>
              <w:t>年1月至今任意3个月社会保障资金缴纳证明材料复印件)的相关材料；</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④具备履行合同所必需的设备和专业技术能力的证明材料；(提供承诺函（格式自定）或提供相关证明材料复印件)</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5 \* GB3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⑤</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参加政府采购活动前3年内在经营活动中没有重大违法记录的书面声明；（自行声明,格式自定）</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6 \* GB3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⑥</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法律、行政法规规定的其他条件。(自行声明,格式自定）</w:t>
            </w:r>
          </w:p>
          <w:p>
            <w:pPr>
              <w:keepLines w:val="0"/>
              <w:pageBreakBefore w:val="0"/>
              <w:widowControl/>
              <w:kinsoku/>
              <w:wordWrap/>
              <w:overflowPunct/>
              <w:topLinePunct w:val="0"/>
              <w:autoSpaceDE w:val="0"/>
              <w:autoSpaceDN w:val="0"/>
              <w:bidi w:val="0"/>
              <w:adjustRightInd w:val="0"/>
              <w:snapToGrid/>
              <w:spacing w:line="30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7 \* GB3 \* MERGEFORMAT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⑦</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 xml:space="preserve"> </w:t>
            </w:r>
            <w:r>
              <w:rPr>
                <w:rFonts w:hint="eastAsia" w:ascii="宋体" w:hAnsi="宋体" w:eastAsia="宋体" w:cs="宋体"/>
                <w:color w:val="auto"/>
                <w:sz w:val="24"/>
                <w:szCs w:val="24"/>
                <w:highlight w:val="none"/>
                <w:shd w:val="clear" w:color="auto" w:fill="auto"/>
              </w:rPr>
              <w:t>供应商须承诺：在信用中国网站、中国政府采购网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60" w:lineRule="exact"/>
              <w:ind w:right="0"/>
              <w:jc w:val="left"/>
              <w:rPr>
                <w:rFonts w:asciiTheme="minorEastAsia" w:hAnsiTheme="minorEastAsia" w:eastAsiaTheme="minorEastAsia"/>
                <w:color w:val="auto"/>
                <w:spacing w:val="-2"/>
                <w:sz w:val="24"/>
                <w:szCs w:val="24"/>
                <w:highlight w:val="none"/>
                <w:shd w:val="clear" w:color="auto" w:fill="auto"/>
              </w:rPr>
            </w:pPr>
            <w:r>
              <w:rPr>
                <w:rFonts w:hint="eastAsia" w:ascii="宋体" w:hAnsi="宋体" w:eastAsia="宋体" w:cs="宋体"/>
                <w:b w:val="0"/>
                <w:color w:val="auto"/>
                <w:sz w:val="24"/>
                <w:szCs w:val="22"/>
                <w:highlight w:val="none"/>
                <w:shd w:val="clear" w:color="auto" w:fill="auto"/>
                <w:lang w:val="en-US" w:eastAsia="zh-CN" w:bidi="ar-SA"/>
              </w:rPr>
              <w:t>（2）特殊资格要求：</w:t>
            </w:r>
            <w:r>
              <w:rPr>
                <w:rFonts w:hint="eastAsia" w:ascii="宋体" w:hAnsi="宋体" w:eastAsia="宋体" w:cs="宋体"/>
                <w:color w:val="auto"/>
                <w:sz w:val="24"/>
                <w:szCs w:val="24"/>
                <w:highlight w:val="none"/>
                <w:shd w:val="clear" w:color="auto" w:fill="auto"/>
              </w:rPr>
              <w:t>投标人须具备</w:t>
            </w:r>
            <w:r>
              <w:rPr>
                <w:rFonts w:hint="eastAsia" w:ascii="宋体" w:hAnsi="宋体" w:eastAsia="宋体" w:cs="宋体"/>
                <w:color w:val="auto"/>
                <w:sz w:val="24"/>
                <w:szCs w:val="24"/>
                <w:highlight w:val="none"/>
                <w:shd w:val="clear" w:color="auto" w:fill="auto"/>
                <w:lang w:eastAsia="zh-CN"/>
              </w:rPr>
              <w:t>环保工程专业承包三级</w:t>
            </w:r>
            <w:r>
              <w:rPr>
                <w:rFonts w:hint="eastAsia" w:ascii="宋体" w:hAnsi="宋体" w:eastAsia="宋体" w:cs="宋体"/>
                <w:color w:val="auto"/>
                <w:sz w:val="24"/>
                <w:szCs w:val="24"/>
                <w:highlight w:val="none"/>
                <w:shd w:val="clear" w:color="auto" w:fill="auto"/>
              </w:rPr>
              <w:t>及以上资质</w:t>
            </w:r>
            <w:r>
              <w:rPr>
                <w:rFonts w:hint="eastAsia" w:cs="宋体"/>
                <w:b w:val="0"/>
                <w:color w:val="auto"/>
                <w:sz w:val="24"/>
                <w:szCs w:val="22"/>
                <w:highlight w:val="none"/>
                <w:shd w:val="clear" w:color="auto" w:fill="auto"/>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项号</w:t>
            </w:r>
          </w:p>
        </w:tc>
        <w:tc>
          <w:tcPr>
            <w:tcW w:w="9115"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符合性检查表具体内容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1</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供应商的响应文件未按规定的响应截止时间之前提交的，其响应将被拒绝。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714" w:type="dxa"/>
            <w:vAlign w:val="center"/>
          </w:tcPr>
          <w:p>
            <w:pPr>
              <w:adjustRightInd w:val="0"/>
              <w:snapToGrid w:val="0"/>
              <w:spacing w:before="93" w:beforeLines="30" w:after="93" w:afterLines="30"/>
              <w:ind w:firstLine="427" w:firstLineChars="178"/>
              <w:rPr>
                <w:rFonts w:cs="宋体" w:asciiTheme="minorEastAsia" w:hAnsiTheme="minorEastAsia" w:eastAsiaTheme="minorEastAsia"/>
                <w:color w:val="auto"/>
                <w:sz w:val="24"/>
                <w:szCs w:val="24"/>
                <w:highlight w:val="none"/>
                <w:shd w:val="clear" w:color="auto" w:fill="auto"/>
              </w:rPr>
            </w:pPr>
            <w:r>
              <w:rPr>
                <w:rFonts w:cs="宋体" w:asciiTheme="minorEastAsia" w:hAnsiTheme="minorEastAsia" w:eastAsiaTheme="minorEastAsia"/>
                <w:color w:val="auto"/>
                <w:sz w:val="24"/>
                <w:szCs w:val="24"/>
                <w:highlight w:val="none"/>
                <w:shd w:val="clear" w:color="auto" w:fill="auto"/>
              </w:rPr>
              <w:t>2</w:t>
            </w:r>
          </w:p>
        </w:tc>
        <w:tc>
          <w:tcPr>
            <w:tcW w:w="9115" w:type="dxa"/>
            <w:vAlign w:val="center"/>
          </w:tcPr>
          <w:p>
            <w:pPr>
              <w:pStyle w:val="2"/>
              <w:ind w:left="0" w:leftChars="0" w:firstLine="0" w:firstLineChars="0"/>
              <w:rPr>
                <w:rFonts w:hint="eastAsia" w:eastAsiaTheme="minorEastAsia"/>
                <w:color w:val="auto"/>
                <w:highlight w:val="none"/>
                <w:shd w:val="clear" w:color="auto" w:fill="auto"/>
                <w:lang w:val="en-US" w:eastAsia="zh-CN"/>
              </w:rPr>
            </w:pPr>
            <w:r>
              <w:rPr>
                <w:rFonts w:asciiTheme="minorEastAsia" w:hAnsiTheme="minorEastAsia" w:eastAsiaTheme="minorEastAsia"/>
                <w:color w:val="auto"/>
                <w:sz w:val="24"/>
                <w:szCs w:val="24"/>
                <w:highlight w:val="none"/>
                <w:shd w:val="clear" w:color="auto" w:fill="auto"/>
              </w:rPr>
              <w:t>符合性检查</w:t>
            </w:r>
            <w:r>
              <w:rPr>
                <w:rFonts w:hint="eastAsia" w:asciiTheme="minorEastAsia" w:hAnsiTheme="minorEastAsia" w:eastAsiaTheme="minorEastAsia"/>
                <w:color w:val="auto"/>
                <w:sz w:val="24"/>
                <w:szCs w:val="24"/>
                <w:highlight w:val="none"/>
                <w:shd w:val="clear" w:color="auto" w:fill="auto"/>
                <w:lang w:val="en-US" w:eastAsia="zh-CN"/>
              </w:rPr>
              <w:t>:</w:t>
            </w:r>
          </w:p>
          <w:p>
            <w:pPr>
              <w:adjustRightInd w:val="0"/>
              <w:snapToGrid w:val="0"/>
              <w:spacing w:before="93" w:beforeLines="30" w:after="93" w:afterLines="30"/>
              <w:rPr>
                <w:rFonts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lang w:val="en-US" w:eastAsia="zh-CN"/>
              </w:rPr>
              <w:t>(1)</w:t>
            </w:r>
            <w:r>
              <w:rPr>
                <w:rFonts w:cs="宋体" w:asciiTheme="minorEastAsia" w:hAnsiTheme="minorEastAsia" w:eastAsiaTheme="minorEastAsia"/>
                <w:color w:val="auto"/>
                <w:sz w:val="24"/>
                <w:szCs w:val="24"/>
                <w:highlight w:val="none"/>
                <w:shd w:val="clear" w:color="auto" w:fill="auto"/>
              </w:rPr>
              <w:t>报价函签字盖章</w:t>
            </w:r>
            <w:r>
              <w:rPr>
                <w:rFonts w:hint="eastAsia" w:cs="宋体" w:asciiTheme="minorEastAsia" w:hAnsiTheme="minorEastAsia" w:eastAsiaTheme="minorEastAsia"/>
                <w:color w:val="auto"/>
                <w:sz w:val="24"/>
                <w:szCs w:val="24"/>
                <w:highlight w:val="none"/>
                <w:shd w:val="clear" w:color="auto" w:fill="auto"/>
                <w:lang w:val="en-US" w:eastAsia="zh-CN"/>
              </w:rPr>
              <w:t>:</w:t>
            </w:r>
            <w:r>
              <w:rPr>
                <w:rFonts w:cs="宋体" w:asciiTheme="minorEastAsia" w:hAnsiTheme="minorEastAsia" w:eastAsiaTheme="minorEastAsia"/>
                <w:color w:val="auto"/>
                <w:sz w:val="24"/>
                <w:szCs w:val="24"/>
                <w:highlight w:val="none"/>
                <w:shd w:val="clear" w:color="auto" w:fill="auto"/>
              </w:rPr>
              <w:t>符合招标文件要求</w:t>
            </w:r>
          </w:p>
          <w:p>
            <w:pPr>
              <w:adjustRightInd w:val="0"/>
              <w:snapToGrid w:val="0"/>
              <w:spacing w:before="93" w:beforeLines="30" w:after="93" w:afterLines="30"/>
              <w:rPr>
                <w:rFonts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lang w:val="en-US" w:eastAsia="zh-CN"/>
              </w:rPr>
              <w:t>(2)</w:t>
            </w:r>
            <w:r>
              <w:rPr>
                <w:rFonts w:cs="宋体" w:asciiTheme="minorEastAsia" w:hAnsiTheme="minorEastAsia" w:eastAsiaTheme="minorEastAsia"/>
                <w:color w:val="auto"/>
                <w:sz w:val="24"/>
                <w:szCs w:val="24"/>
                <w:highlight w:val="none"/>
                <w:shd w:val="clear" w:color="auto" w:fill="auto"/>
              </w:rPr>
              <w:t>投标文件份数、装订、格式、签署</w:t>
            </w:r>
            <w:r>
              <w:rPr>
                <w:rFonts w:hint="eastAsia" w:cs="宋体" w:asciiTheme="minorEastAsia" w:hAnsiTheme="minorEastAsia" w:eastAsiaTheme="minorEastAsia"/>
                <w:color w:val="auto"/>
                <w:sz w:val="24"/>
                <w:szCs w:val="24"/>
                <w:highlight w:val="none"/>
                <w:shd w:val="clear" w:color="auto" w:fill="auto"/>
                <w:lang w:val="en-US" w:eastAsia="zh-CN"/>
              </w:rPr>
              <w:t>:</w:t>
            </w:r>
            <w:r>
              <w:rPr>
                <w:rFonts w:cs="宋体" w:asciiTheme="minorEastAsia" w:hAnsiTheme="minorEastAsia" w:eastAsiaTheme="minorEastAsia"/>
                <w:color w:val="auto"/>
                <w:sz w:val="24"/>
                <w:szCs w:val="24"/>
                <w:highlight w:val="none"/>
                <w:shd w:val="clear" w:color="auto" w:fill="auto"/>
              </w:rPr>
              <w:t>符合招标文件要求</w:t>
            </w:r>
          </w:p>
          <w:p>
            <w:pPr>
              <w:adjustRightInd w:val="0"/>
              <w:snapToGrid w:val="0"/>
              <w:spacing w:before="93" w:beforeLines="30" w:after="93" w:afterLines="30"/>
              <w:rPr>
                <w:rFonts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lang w:val="en-US" w:eastAsia="zh-CN"/>
              </w:rPr>
              <w:t>(3)</w:t>
            </w:r>
            <w:r>
              <w:rPr>
                <w:rFonts w:cs="宋体" w:asciiTheme="minorEastAsia" w:hAnsiTheme="minorEastAsia" w:eastAsiaTheme="minorEastAsia"/>
                <w:color w:val="auto"/>
                <w:sz w:val="24"/>
                <w:szCs w:val="24"/>
                <w:highlight w:val="none"/>
                <w:shd w:val="clear" w:color="auto" w:fill="auto"/>
              </w:rPr>
              <w:t>投标报价有效性</w:t>
            </w:r>
            <w:r>
              <w:rPr>
                <w:rFonts w:hint="eastAsia" w:cs="宋体" w:asciiTheme="minorEastAsia" w:hAnsiTheme="minorEastAsia" w:eastAsiaTheme="minorEastAsia"/>
                <w:color w:val="auto"/>
                <w:sz w:val="24"/>
                <w:szCs w:val="24"/>
                <w:highlight w:val="none"/>
                <w:shd w:val="clear" w:color="auto" w:fill="auto"/>
                <w:lang w:val="en-US" w:eastAsia="zh-CN"/>
              </w:rPr>
              <w:t>:</w:t>
            </w:r>
            <w:r>
              <w:rPr>
                <w:rFonts w:cs="宋体" w:asciiTheme="minorEastAsia" w:hAnsiTheme="minorEastAsia" w:eastAsiaTheme="minorEastAsia"/>
                <w:color w:val="auto"/>
                <w:sz w:val="24"/>
                <w:szCs w:val="24"/>
                <w:highlight w:val="none"/>
                <w:shd w:val="clear" w:color="auto" w:fill="auto"/>
              </w:rPr>
              <w:t>只能有一个投标报价，且未超过采购预算价</w:t>
            </w:r>
          </w:p>
          <w:p>
            <w:pPr>
              <w:adjustRightInd w:val="0"/>
              <w:snapToGrid w:val="0"/>
              <w:spacing w:before="93" w:beforeLines="30" w:after="93" w:afterLines="30"/>
              <w:rPr>
                <w:rFonts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lang w:val="en-US" w:eastAsia="zh-CN"/>
              </w:rPr>
              <w:t>(4)</w:t>
            </w:r>
            <w:r>
              <w:rPr>
                <w:rFonts w:cs="宋体" w:asciiTheme="minorEastAsia" w:hAnsiTheme="minorEastAsia" w:eastAsiaTheme="minorEastAsia"/>
                <w:color w:val="auto"/>
                <w:sz w:val="24"/>
                <w:szCs w:val="24"/>
                <w:highlight w:val="none"/>
                <w:shd w:val="clear" w:color="auto" w:fill="auto"/>
              </w:rPr>
              <w:t>交货时间或服务时间</w:t>
            </w:r>
            <w:r>
              <w:rPr>
                <w:rFonts w:hint="eastAsia" w:cs="宋体" w:asciiTheme="minorEastAsia" w:hAnsiTheme="minorEastAsia" w:eastAsiaTheme="minorEastAsia"/>
                <w:color w:val="auto"/>
                <w:sz w:val="24"/>
                <w:szCs w:val="24"/>
                <w:highlight w:val="none"/>
                <w:shd w:val="clear" w:color="auto" w:fill="auto"/>
                <w:lang w:val="en-US" w:eastAsia="zh-CN"/>
              </w:rPr>
              <w:t>:</w:t>
            </w:r>
            <w:r>
              <w:rPr>
                <w:rFonts w:cs="宋体" w:asciiTheme="minorEastAsia" w:hAnsiTheme="minorEastAsia" w:eastAsiaTheme="minorEastAsia"/>
                <w:color w:val="auto"/>
                <w:sz w:val="24"/>
                <w:szCs w:val="24"/>
                <w:highlight w:val="none"/>
                <w:shd w:val="clear" w:color="auto" w:fill="auto"/>
              </w:rPr>
              <w:t>符合招标文件规定的交货时间或服务时间</w:t>
            </w:r>
          </w:p>
          <w:p>
            <w:pPr>
              <w:adjustRightInd w:val="0"/>
              <w:snapToGrid w:val="0"/>
              <w:spacing w:before="93" w:beforeLines="30" w:after="93" w:afterLines="30"/>
              <w:rPr>
                <w:rFonts w:hint="eastAsia"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lang w:val="en-US" w:eastAsia="zh-CN"/>
              </w:rPr>
              <w:t>(5)</w:t>
            </w:r>
            <w:r>
              <w:rPr>
                <w:rFonts w:cs="宋体" w:asciiTheme="minorEastAsia" w:hAnsiTheme="minorEastAsia" w:eastAsiaTheme="minorEastAsia"/>
                <w:color w:val="auto"/>
                <w:sz w:val="24"/>
                <w:szCs w:val="24"/>
                <w:highlight w:val="none"/>
                <w:shd w:val="clear" w:color="auto" w:fill="auto"/>
              </w:rPr>
              <w:t>投标有效期</w:t>
            </w:r>
            <w:r>
              <w:rPr>
                <w:rFonts w:hint="eastAsia" w:cs="宋体" w:asciiTheme="minorEastAsia" w:hAnsiTheme="minorEastAsia" w:eastAsiaTheme="minorEastAsia"/>
                <w:color w:val="auto"/>
                <w:sz w:val="24"/>
                <w:szCs w:val="24"/>
                <w:highlight w:val="none"/>
                <w:shd w:val="clear" w:color="auto" w:fill="auto"/>
                <w:lang w:val="en-US" w:eastAsia="zh-CN"/>
              </w:rPr>
              <w:t>:</w:t>
            </w:r>
            <w:r>
              <w:rPr>
                <w:rFonts w:cs="宋体" w:asciiTheme="minorEastAsia" w:hAnsiTheme="minorEastAsia" w:eastAsiaTheme="minorEastAsia"/>
                <w:color w:val="auto"/>
                <w:sz w:val="24"/>
                <w:szCs w:val="24"/>
                <w:highlight w:val="none"/>
                <w:shd w:val="clear" w:color="auto" w:fill="auto"/>
              </w:rPr>
              <w:t>符合招标文件要求</w:t>
            </w:r>
          </w:p>
          <w:p>
            <w:pPr>
              <w:adjustRightInd w:val="0"/>
              <w:snapToGrid w:val="0"/>
              <w:spacing w:before="93" w:beforeLines="30" w:after="93" w:afterLines="30"/>
              <w:rPr>
                <w:rFonts w:cs="宋体" w:asciiTheme="minorEastAsia" w:hAnsiTheme="minorEastAsia" w:eastAsiaTheme="minorEastAsia"/>
                <w:color w:val="auto"/>
                <w:sz w:val="24"/>
                <w:szCs w:val="24"/>
                <w:highlight w:val="none"/>
                <w:shd w:val="clear" w:color="auto" w:fill="auto"/>
              </w:rPr>
            </w:pPr>
            <w:r>
              <w:rPr>
                <w:rFonts w:hint="eastAsia" w:cs="宋体" w:asciiTheme="minorEastAsia" w:hAnsiTheme="minorEastAsia" w:eastAsiaTheme="minorEastAsia"/>
                <w:color w:val="auto"/>
                <w:sz w:val="24"/>
                <w:szCs w:val="24"/>
                <w:highlight w:val="none"/>
                <w:shd w:val="clear" w:color="auto" w:fill="auto"/>
              </w:rPr>
              <w:t>（</w:t>
            </w:r>
            <w:r>
              <w:rPr>
                <w:rFonts w:hint="eastAsia" w:cs="宋体" w:asciiTheme="minorEastAsia" w:hAnsiTheme="minorEastAsia" w:eastAsiaTheme="minorEastAsia"/>
                <w:color w:val="auto"/>
                <w:sz w:val="24"/>
                <w:szCs w:val="24"/>
                <w:highlight w:val="none"/>
                <w:shd w:val="clear" w:color="auto" w:fill="auto"/>
                <w:lang w:val="en-US" w:eastAsia="zh-CN"/>
              </w:rPr>
              <w:t>6</w:t>
            </w:r>
            <w:r>
              <w:rPr>
                <w:rFonts w:cs="宋体" w:asciiTheme="minorEastAsia" w:hAnsiTheme="minorEastAsia" w:eastAsiaTheme="minorEastAsia"/>
                <w:color w:val="auto"/>
                <w:sz w:val="24"/>
                <w:szCs w:val="24"/>
                <w:highlight w:val="none"/>
                <w:shd w:val="clear" w:color="auto" w:fill="auto"/>
              </w:rPr>
              <w:t>）与本投标项目的有关联的投标人（为同一个单位负责人或存在控股、管理关系）不得重复参与本次投标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lang w:val="en-US"/>
              </w:rPr>
            </w:pPr>
            <w:r>
              <w:rPr>
                <w:rFonts w:hint="eastAsia" w:asciiTheme="minorEastAsia" w:hAnsiTheme="minorEastAsia" w:eastAsiaTheme="minorEastAsia"/>
                <w:color w:val="auto"/>
                <w:sz w:val="24"/>
                <w:szCs w:val="24"/>
                <w:highlight w:val="none"/>
                <w:shd w:val="clear" w:color="auto" w:fill="auto"/>
                <w:lang w:val="en-US"/>
              </w:rPr>
              <w:t>3</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响应文件有效期：</w:t>
            </w:r>
          </w:p>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响应文件提交截止之日起</w:t>
            </w:r>
            <w:r>
              <w:rPr>
                <w:rFonts w:asciiTheme="minorEastAsia" w:hAnsiTheme="minorEastAsia" w:eastAsiaTheme="minorEastAsia"/>
                <w:color w:val="auto"/>
                <w:sz w:val="24"/>
                <w:szCs w:val="24"/>
                <w:highlight w:val="none"/>
                <w:u w:val="single"/>
                <w:shd w:val="clear" w:color="auto" w:fill="auto"/>
              </w:rPr>
              <w:t>90</w:t>
            </w:r>
            <w:r>
              <w:rPr>
                <w:rFonts w:asciiTheme="minorEastAsia" w:hAnsiTheme="minorEastAsia" w:eastAsiaTheme="minorEastAsia"/>
                <w:color w:val="auto"/>
                <w:sz w:val="24"/>
                <w:szCs w:val="24"/>
                <w:highlight w:val="none"/>
                <w:shd w:val="clear" w:color="auto" w:fill="auto"/>
              </w:rPr>
              <w:t>个日历日。有效期不足将导致其响应文件被拒绝。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lang w:val="en-US"/>
              </w:rPr>
            </w:pPr>
            <w:r>
              <w:rPr>
                <w:rFonts w:hint="eastAsia" w:asciiTheme="minorEastAsia" w:hAnsiTheme="minorEastAsia" w:eastAsiaTheme="minorEastAsia"/>
                <w:color w:val="auto"/>
                <w:sz w:val="24"/>
                <w:szCs w:val="24"/>
                <w:highlight w:val="none"/>
                <w:shd w:val="clear" w:color="auto" w:fill="auto"/>
                <w:lang w:val="en-US"/>
              </w:rPr>
              <w:t>4</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pacing w:val="-10"/>
                <w:sz w:val="24"/>
                <w:szCs w:val="24"/>
                <w:highlight w:val="none"/>
                <w:shd w:val="clear" w:color="auto" w:fill="auto"/>
              </w:rPr>
              <w:t>未按规定提交</w:t>
            </w:r>
            <w:r>
              <w:rPr>
                <w:rFonts w:hint="eastAsia" w:asciiTheme="minorEastAsia" w:hAnsiTheme="minorEastAsia" w:eastAsiaTheme="minorEastAsia"/>
                <w:color w:val="auto"/>
                <w:spacing w:val="-10"/>
                <w:sz w:val="24"/>
                <w:szCs w:val="24"/>
                <w:highlight w:val="none"/>
                <w:shd w:val="clear" w:color="auto" w:fill="auto"/>
                <w:lang w:eastAsia="zh-CN"/>
              </w:rPr>
              <w:t>磋商</w:t>
            </w:r>
            <w:r>
              <w:rPr>
                <w:rFonts w:asciiTheme="minorEastAsia" w:hAnsiTheme="minorEastAsia" w:eastAsiaTheme="minorEastAsia"/>
                <w:color w:val="auto"/>
                <w:spacing w:val="-10"/>
                <w:sz w:val="24"/>
                <w:szCs w:val="24"/>
                <w:highlight w:val="none"/>
                <w:shd w:val="clear" w:color="auto" w:fill="auto"/>
              </w:rPr>
              <w:t>保证金，将被视为未响应</w:t>
            </w:r>
            <w:r>
              <w:rPr>
                <w:rFonts w:hint="eastAsia" w:asciiTheme="minorEastAsia" w:hAnsiTheme="minorEastAsia" w:eastAsiaTheme="minorEastAsia"/>
                <w:color w:val="auto"/>
                <w:spacing w:val="-10"/>
                <w:sz w:val="24"/>
                <w:szCs w:val="24"/>
                <w:highlight w:val="none"/>
                <w:shd w:val="clear" w:color="auto" w:fill="auto"/>
                <w:lang w:eastAsia="zh-CN"/>
              </w:rPr>
              <w:t>磋商</w:t>
            </w:r>
            <w:r>
              <w:rPr>
                <w:rFonts w:asciiTheme="minorEastAsia" w:hAnsiTheme="minorEastAsia" w:eastAsiaTheme="minorEastAsia"/>
                <w:color w:val="auto"/>
                <w:spacing w:val="-10"/>
                <w:sz w:val="24"/>
                <w:szCs w:val="24"/>
                <w:highlight w:val="none"/>
                <w:shd w:val="clear" w:color="auto" w:fill="auto"/>
              </w:rPr>
              <w:t>文件要求，取消其</w:t>
            </w:r>
            <w:r>
              <w:rPr>
                <w:rFonts w:hint="eastAsia" w:asciiTheme="minorEastAsia" w:hAnsiTheme="minorEastAsia" w:eastAsiaTheme="minorEastAsia"/>
                <w:color w:val="auto"/>
                <w:spacing w:val="-10"/>
                <w:sz w:val="24"/>
                <w:szCs w:val="24"/>
                <w:highlight w:val="none"/>
                <w:shd w:val="clear" w:color="auto" w:fill="auto"/>
                <w:lang w:eastAsia="zh-CN"/>
              </w:rPr>
              <w:t>磋商</w:t>
            </w:r>
            <w:r>
              <w:rPr>
                <w:rFonts w:asciiTheme="minorEastAsia" w:hAnsiTheme="minorEastAsia" w:eastAsiaTheme="minorEastAsia"/>
                <w:color w:val="auto"/>
                <w:spacing w:val="-10"/>
                <w:sz w:val="24"/>
                <w:szCs w:val="24"/>
                <w:highlight w:val="none"/>
                <w:shd w:val="clear" w:color="auto" w:fill="auto"/>
              </w:rPr>
              <w:t>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lang w:val="en-US"/>
              </w:rPr>
            </w:pPr>
            <w:r>
              <w:rPr>
                <w:rFonts w:hint="eastAsia" w:asciiTheme="minorEastAsia" w:hAnsiTheme="minorEastAsia" w:eastAsiaTheme="minorEastAsia"/>
                <w:color w:val="auto"/>
                <w:sz w:val="24"/>
                <w:szCs w:val="24"/>
                <w:highlight w:val="none"/>
                <w:shd w:val="clear" w:color="auto" w:fill="auto"/>
                <w:lang w:val="en-US"/>
              </w:rPr>
              <w:t>5</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实质性偏离是指：</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w:t>
            </w:r>
            <w:r>
              <w:rPr>
                <w:rFonts w:asciiTheme="minorEastAsia" w:hAnsiTheme="minorEastAsia" w:eastAsiaTheme="minorEastAsia"/>
                <w:color w:val="auto"/>
                <w:sz w:val="24"/>
                <w:szCs w:val="24"/>
                <w:highlight w:val="none"/>
                <w:shd w:val="clear" w:color="auto" w:fill="auto"/>
              </w:rPr>
              <w:t>实质性影响合同的范围、质量和履行；</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rPr>
              <w:t>2</w:t>
            </w: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实质性违背</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文件，限制了采购人的权利和成交供应商合同项下的义务；</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rPr>
              <w:t>3</w:t>
            </w:r>
            <w:r>
              <w:rPr>
                <w:rFonts w:asciiTheme="minorEastAsia" w:hAnsiTheme="minorEastAsia" w:eastAsiaTheme="minorEastAsia"/>
                <w:color w:val="auto"/>
                <w:sz w:val="24"/>
                <w:szCs w:val="24"/>
                <w:highlight w:val="none"/>
                <w:shd w:val="clear" w:color="auto" w:fill="auto"/>
              </w:rPr>
              <w:t>）不公正地影响了其他作出实质性响应的</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供应商的竞争地位。对没有实质性响应的</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文件将不进行评审，其报价将被拒绝。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lang w:val="en-US"/>
              </w:rPr>
            </w:pPr>
            <w:r>
              <w:rPr>
                <w:rFonts w:hint="eastAsia" w:asciiTheme="minorEastAsia" w:hAnsiTheme="minorEastAsia" w:eastAsiaTheme="minorEastAsia"/>
                <w:color w:val="auto"/>
                <w:sz w:val="24"/>
                <w:szCs w:val="24"/>
                <w:highlight w:val="none"/>
                <w:shd w:val="clear" w:color="auto" w:fill="auto"/>
                <w:lang w:val="en-US"/>
              </w:rPr>
              <w:t>6</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凡有下列情况之一者，</w:t>
            </w:r>
            <w:r>
              <w:rPr>
                <w:rFonts w:hint="eastAsia" w:asciiTheme="minorEastAsia" w:hAnsiTheme="minorEastAsia" w:eastAsiaTheme="minorEastAsia"/>
                <w:color w:val="auto"/>
                <w:sz w:val="24"/>
                <w:szCs w:val="24"/>
                <w:highlight w:val="none"/>
                <w:shd w:val="clear" w:color="auto" w:fill="auto"/>
                <w:lang w:eastAsia="zh-CN"/>
              </w:rPr>
              <w:t>作废标处理</w:t>
            </w:r>
            <w:r>
              <w:rPr>
                <w:rFonts w:asciiTheme="minorEastAsia" w:hAnsiTheme="minorEastAsia" w:eastAsiaTheme="minorEastAsia"/>
                <w:color w:val="auto"/>
                <w:sz w:val="24"/>
                <w:szCs w:val="24"/>
                <w:highlight w:val="none"/>
                <w:shd w:val="clear" w:color="auto" w:fill="auto"/>
              </w:rPr>
              <w:t>：</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1）投标文件未按本投标文件要求送达的；</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2）投标人的参会代表未按本投标文件规定时间参加开标的；</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3）投标文件的包封套未按投标文件要求密封、标识和签署的（多余标识和签署的除外）；或者包封套破损严重并且足以看见投标文件封面所有内容的；</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4）投标人参会代表应出示的证件不齐或证件无效的；</w:t>
            </w:r>
          </w:p>
          <w:p>
            <w:pPr>
              <w:adjustRightInd w:val="0"/>
              <w:snapToGrid w:val="0"/>
              <w:spacing w:before="93" w:beforeLines="30" w:after="93" w:afterLines="30"/>
              <w:ind w:firstLine="427" w:firstLineChars="178"/>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5）投标人的投标总价超出本投标文件限价的；</w:t>
            </w:r>
          </w:p>
          <w:p>
            <w:pPr>
              <w:adjustRightInd w:val="0"/>
              <w:snapToGrid w:val="0"/>
              <w:spacing w:before="93" w:beforeLines="30" w:after="93" w:afterLines="30"/>
              <w:ind w:firstLine="568" w:firstLineChars="237"/>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6）投标函的投标价格采用手写或作修改的；</w:t>
            </w:r>
          </w:p>
          <w:p>
            <w:pPr>
              <w:adjustRightInd w:val="0"/>
              <w:snapToGrid w:val="0"/>
              <w:spacing w:before="93" w:beforeLines="30" w:after="93" w:afterLines="30"/>
              <w:ind w:firstLine="568" w:firstLineChars="237"/>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7）投标文件对本投标文件需承诺内容未作出承诺的；</w:t>
            </w:r>
          </w:p>
          <w:p>
            <w:pPr>
              <w:adjustRightInd w:val="0"/>
              <w:snapToGrid w:val="0"/>
              <w:spacing w:before="93" w:beforeLines="30" w:after="93" w:afterLines="30"/>
              <w:ind w:firstLine="568" w:firstLineChars="237"/>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8）评标组成员一致认定投标文件异常一致或投标报价呈规律性差异的；投标人串通投标或弄虚作假或有其他违法行为的；</w:t>
            </w:r>
          </w:p>
          <w:p>
            <w:pPr>
              <w:adjustRightInd w:val="0"/>
              <w:snapToGrid w:val="0"/>
              <w:spacing w:before="93" w:beforeLines="30" w:after="93" w:afterLines="30"/>
              <w:ind w:firstLine="568" w:firstLineChars="237"/>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asciiTheme="minorEastAsia" w:hAnsiTheme="minorEastAsia" w:eastAsiaTheme="minorEastAsia"/>
                <w:color w:val="auto"/>
                <w:sz w:val="24"/>
                <w:szCs w:val="24"/>
                <w:highlight w:val="none"/>
                <w:shd w:val="clear" w:color="auto" w:fill="auto"/>
              </w:rPr>
              <w:t>9）违反法律法规规章相关规定的。</w:t>
            </w:r>
          </w:p>
          <w:p>
            <w:pPr>
              <w:adjustRightInd w:val="0"/>
              <w:snapToGrid w:val="0"/>
              <w:spacing w:before="93" w:beforeLines="30" w:after="93" w:afterLines="30"/>
              <w:ind w:firstLine="568" w:firstLineChars="237"/>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小组决定</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响应供应商的响应性只根据响应文件本身的内容，而不寻求其他的外部证据。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lang w:val="en-US"/>
              </w:rPr>
            </w:pPr>
            <w:r>
              <w:rPr>
                <w:rFonts w:hint="eastAsia" w:asciiTheme="minorEastAsia" w:hAnsiTheme="minorEastAsia" w:eastAsiaTheme="minorEastAsia"/>
                <w:color w:val="auto"/>
                <w:sz w:val="24"/>
                <w:szCs w:val="24"/>
                <w:highlight w:val="none"/>
                <w:shd w:val="clear" w:color="auto" w:fill="auto"/>
                <w:lang w:val="en-US"/>
              </w:rPr>
              <w:t>7</w:t>
            </w:r>
          </w:p>
        </w:tc>
        <w:tc>
          <w:tcPr>
            <w:tcW w:w="9115" w:type="dxa"/>
            <w:vAlign w:val="center"/>
          </w:tcPr>
          <w:p>
            <w:pPr>
              <w:pStyle w:val="6"/>
              <w:ind w:firstLine="240" w:firstLineChars="100"/>
              <w:rPr>
                <w:rFonts w:hint="eastAsia" w:ascii="宋体" w:hAnsi="宋体" w:eastAsia="宋体" w:cs="宋体"/>
                <w:b w:val="0"/>
                <w:bCs w:val="0"/>
                <w:color w:val="auto"/>
                <w:sz w:val="24"/>
                <w:szCs w:val="24"/>
                <w:highlight w:val="none"/>
                <w:shd w:val="clear" w:color="auto" w:fill="auto"/>
                <w:lang w:val="en-US" w:eastAsia="zh-CN"/>
              </w:rPr>
            </w:pPr>
            <w:r>
              <w:rPr>
                <w:rFonts w:ascii="宋体" w:hAnsi="宋体" w:eastAsia="宋体" w:cs="宋体"/>
                <w:b w:val="0"/>
                <w:bCs w:val="0"/>
                <w:color w:val="auto"/>
                <w:sz w:val="24"/>
                <w:szCs w:val="24"/>
                <w:highlight w:val="none"/>
                <w:shd w:val="clear" w:color="auto" w:fill="auto"/>
              </w:rPr>
              <w:t>投标人报价低于最高限价</w:t>
            </w:r>
            <w:r>
              <w:rPr>
                <w:rFonts w:hint="eastAsia" w:cs="宋体"/>
                <w:b w:val="0"/>
                <w:bCs w:val="0"/>
                <w:color w:val="auto"/>
                <w:sz w:val="24"/>
                <w:szCs w:val="24"/>
                <w:highlight w:val="none"/>
                <w:shd w:val="clear" w:color="auto" w:fill="auto"/>
                <w:lang w:val="en-US" w:eastAsia="zh-CN"/>
              </w:rPr>
              <w:t>90</w:t>
            </w:r>
            <w:r>
              <w:rPr>
                <w:rFonts w:ascii="宋体" w:hAnsi="宋体" w:eastAsia="宋体" w:cs="宋体"/>
                <w:b w:val="0"/>
                <w:bCs w:val="0"/>
                <w:color w:val="auto"/>
                <w:sz w:val="24"/>
                <w:szCs w:val="24"/>
                <w:highlight w:val="none"/>
                <w:shd w:val="clear" w:color="auto" w:fill="auto"/>
              </w:rPr>
              <w:t>%的，必须在投标文件中说明报价理由。</w:t>
            </w:r>
            <w:r>
              <w:rPr>
                <w:rFonts w:hint="eastAsia" w:ascii="宋体" w:hAnsi="宋体" w:eastAsia="宋体" w:cs="宋体"/>
                <w:b w:val="0"/>
                <w:bCs w:val="0"/>
                <w:color w:val="auto"/>
                <w:sz w:val="24"/>
                <w:szCs w:val="24"/>
                <w:highlight w:val="none"/>
                <w:shd w:val="clear" w:color="auto" w:fill="auto"/>
                <w:lang w:val="en-US" w:eastAsia="zh-CN"/>
              </w:rPr>
              <w:t xml:space="preserve">         </w:t>
            </w:r>
          </w:p>
          <w:p>
            <w:pPr>
              <w:adjustRightInd w:val="0"/>
              <w:snapToGrid w:val="0"/>
              <w:spacing w:before="93" w:beforeLines="30" w:after="93" w:afterLines="30"/>
              <w:ind w:firstLine="240" w:firstLineChars="100"/>
              <w:rPr>
                <w:rFonts w:asciiTheme="minorEastAsia" w:hAnsiTheme="minorEastAsia" w:eastAsiaTheme="minorEastAsia"/>
                <w:color w:val="auto"/>
                <w:sz w:val="24"/>
                <w:szCs w:val="24"/>
                <w:highlight w:val="none"/>
                <w:shd w:val="clear" w:color="auto" w:fill="auto"/>
              </w:rPr>
            </w:pPr>
            <w:r>
              <w:rPr>
                <w:rFonts w:ascii="宋体" w:hAnsi="宋体" w:eastAsia="宋体" w:cs="宋体"/>
                <w:b w:val="0"/>
                <w:bCs w:val="0"/>
                <w:color w:val="auto"/>
                <w:sz w:val="24"/>
                <w:szCs w:val="24"/>
                <w:highlight w:val="none"/>
                <w:shd w:val="clear" w:color="auto" w:fill="auto"/>
              </w:rPr>
              <w:t>投标人的报价明显低于其他通过符合性审查投标人的报价，有可能影响</w:t>
            </w:r>
            <w:r>
              <w:rPr>
                <w:rFonts w:hint="eastAsia" w:ascii="宋体" w:hAnsi="宋体" w:eastAsia="宋体" w:cs="宋体"/>
                <w:b w:val="0"/>
                <w:bCs w:val="0"/>
                <w:color w:val="auto"/>
                <w:sz w:val="24"/>
                <w:szCs w:val="24"/>
                <w:highlight w:val="none"/>
                <w:shd w:val="clear" w:color="auto" w:fill="auto"/>
                <w:lang w:eastAsia="zh-CN"/>
              </w:rPr>
              <w:t>服务</w:t>
            </w:r>
            <w:r>
              <w:rPr>
                <w:rFonts w:ascii="宋体" w:hAnsi="宋体" w:eastAsia="宋体" w:cs="宋体"/>
                <w:b w:val="0"/>
                <w:bCs w:val="0"/>
                <w:color w:val="auto"/>
                <w:sz w:val="24"/>
                <w:szCs w:val="24"/>
                <w:highlight w:val="none"/>
                <w:shd w:val="clear" w:color="auto" w:fill="auto"/>
              </w:rPr>
              <w:t>质量或者不能诚信履约的，应当按评标委员会的要求，在评标现场合理的时间内提供书面说明，必要时提交相关证明材料；投标人不能证明其报价合理性的，将被作为无效投标处理。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714" w:type="dxa"/>
            <w:vAlign w:val="center"/>
          </w:tcPr>
          <w:p>
            <w:pPr>
              <w:adjustRightInd w:val="0"/>
              <w:snapToGrid w:val="0"/>
              <w:spacing w:before="93" w:beforeLines="30" w:after="93" w:afterLines="30"/>
              <w:jc w:val="center"/>
              <w:rPr>
                <w:rFonts w:asciiTheme="minorEastAsia" w:hAnsiTheme="minorEastAsia" w:eastAsiaTheme="minorEastAsia"/>
                <w:color w:val="auto"/>
                <w:sz w:val="24"/>
                <w:szCs w:val="24"/>
                <w:highlight w:val="none"/>
                <w:shd w:val="clear" w:color="auto" w:fill="auto"/>
                <w:lang w:val="en-US"/>
              </w:rPr>
            </w:pPr>
            <w:r>
              <w:rPr>
                <w:rFonts w:hint="eastAsia" w:asciiTheme="minorEastAsia" w:hAnsiTheme="minorEastAsia" w:eastAsiaTheme="minorEastAsia"/>
                <w:color w:val="auto"/>
                <w:sz w:val="24"/>
                <w:szCs w:val="24"/>
                <w:highlight w:val="none"/>
                <w:shd w:val="clear" w:color="auto" w:fill="auto"/>
                <w:lang w:val="en-US"/>
              </w:rPr>
              <w:t>8</w:t>
            </w:r>
          </w:p>
        </w:tc>
        <w:tc>
          <w:tcPr>
            <w:tcW w:w="9115" w:type="dxa"/>
            <w:vAlign w:val="center"/>
          </w:tcPr>
          <w:p>
            <w:pPr>
              <w:adjustRightInd w:val="0"/>
              <w:snapToGrid w:val="0"/>
              <w:spacing w:before="93" w:beforeLines="30" w:after="93" w:afterLines="3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小组将对</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文件中列明的合格</w:t>
            </w:r>
            <w:r>
              <w:rPr>
                <w:rFonts w:hint="eastAsia" w:asciiTheme="minorEastAsia" w:hAnsiTheme="minorEastAsia" w:eastAsiaTheme="minorEastAsia"/>
                <w:color w:val="auto"/>
                <w:sz w:val="24"/>
                <w:szCs w:val="24"/>
                <w:highlight w:val="none"/>
                <w:shd w:val="clear" w:color="auto" w:fill="auto"/>
                <w:lang w:eastAsia="zh-CN"/>
              </w:rPr>
              <w:t>磋商</w:t>
            </w:r>
            <w:r>
              <w:rPr>
                <w:rFonts w:asciiTheme="minorEastAsia" w:hAnsiTheme="minorEastAsia" w:eastAsiaTheme="minorEastAsia"/>
                <w:color w:val="auto"/>
                <w:sz w:val="24"/>
                <w:szCs w:val="24"/>
                <w:highlight w:val="none"/>
                <w:shd w:val="clear" w:color="auto" w:fill="auto"/>
              </w:rPr>
              <w:t>方应符合“资格及符合性要求”做审查，没有提供相关证明文件以无效</w:t>
            </w:r>
            <w:r>
              <w:rPr>
                <w:rFonts w:hint="eastAsia" w:asciiTheme="minorEastAsia" w:hAnsiTheme="minorEastAsia" w:eastAsiaTheme="minorEastAsia"/>
                <w:color w:val="auto"/>
                <w:sz w:val="24"/>
                <w:szCs w:val="24"/>
                <w:highlight w:val="none"/>
                <w:shd w:val="clear" w:color="auto" w:fill="auto"/>
                <w:lang w:val="en-US" w:eastAsia="zh-CN"/>
              </w:rPr>
              <w:t>响应</w:t>
            </w:r>
            <w:r>
              <w:rPr>
                <w:rFonts w:asciiTheme="minorEastAsia" w:hAnsiTheme="minorEastAsia" w:eastAsiaTheme="minorEastAsia"/>
                <w:color w:val="auto"/>
                <w:sz w:val="24"/>
                <w:szCs w:val="24"/>
                <w:highlight w:val="none"/>
                <w:shd w:val="clear" w:color="auto" w:fill="auto"/>
              </w:rPr>
              <w:t>论。</w:t>
            </w:r>
          </w:p>
        </w:tc>
      </w:tr>
    </w:tbl>
    <w:p>
      <w:pPr>
        <w:jc w:val="center"/>
        <w:rPr>
          <w:rFonts w:hint="eastAsia"/>
          <w:b/>
          <w:bCs/>
          <w:color w:val="auto"/>
          <w:sz w:val="28"/>
          <w:szCs w:val="28"/>
          <w:highlight w:val="none"/>
          <w:shd w:val="clear" w:color="auto" w:fill="auto"/>
          <w:lang w:eastAsia="zh-CN"/>
        </w:rPr>
      </w:pPr>
    </w:p>
    <w:p>
      <w:pPr>
        <w:pStyle w:val="6"/>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jc w:val="center"/>
        <w:rPr>
          <w:b/>
          <w:bCs/>
          <w:color w:val="auto"/>
          <w:sz w:val="28"/>
          <w:szCs w:val="28"/>
          <w:highlight w:val="none"/>
          <w:shd w:val="clear" w:color="auto" w:fill="auto"/>
        </w:rPr>
      </w:pPr>
      <w:r>
        <w:rPr>
          <w:rFonts w:hint="eastAsia"/>
          <w:b/>
          <w:bCs/>
          <w:color w:val="auto"/>
          <w:sz w:val="28"/>
          <w:szCs w:val="28"/>
          <w:highlight w:val="none"/>
          <w:shd w:val="clear" w:color="auto" w:fill="auto"/>
          <w:lang w:eastAsia="zh-CN"/>
        </w:rPr>
        <w:t>磋商</w:t>
      </w:r>
      <w:r>
        <w:rPr>
          <w:b/>
          <w:bCs/>
          <w:color w:val="auto"/>
          <w:sz w:val="28"/>
          <w:szCs w:val="28"/>
          <w:highlight w:val="none"/>
          <w:shd w:val="clear" w:color="auto" w:fill="auto"/>
        </w:rPr>
        <w:t>供应商须知前附表3：</w:t>
      </w:r>
      <w:r>
        <w:rPr>
          <w:rFonts w:hint="eastAsia"/>
          <w:b/>
          <w:bCs/>
          <w:color w:val="auto"/>
          <w:sz w:val="28"/>
          <w:szCs w:val="28"/>
          <w:highlight w:val="none"/>
          <w:shd w:val="clear" w:color="auto" w:fill="auto"/>
        </w:rPr>
        <w:t>评分标准</w:t>
      </w:r>
    </w:p>
    <w:tbl>
      <w:tblPr>
        <w:tblStyle w:val="19"/>
        <w:tblpPr w:leftFromText="180" w:rightFromText="180" w:vertAnchor="text" w:horzAnchor="page" w:tblpX="1798" w:tblpY="8"/>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13"/>
        <w:gridCol w:w="808"/>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shd w:val="clear" w:color="auto" w:fill="auto"/>
              </w:rPr>
            </w:pPr>
            <w:r>
              <w:rPr>
                <w:rFonts w:hint="eastAsia"/>
                <w:color w:val="auto"/>
                <w:szCs w:val="21"/>
                <w:highlight w:val="none"/>
                <w:shd w:val="clear" w:color="auto" w:fill="auto"/>
              </w:rPr>
              <w:t>分值构成</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shd w:val="clear" w:color="auto" w:fill="auto"/>
              </w:rPr>
            </w:pPr>
            <w:r>
              <w:rPr>
                <w:rFonts w:hint="eastAsia"/>
                <w:color w:val="auto"/>
                <w:szCs w:val="21"/>
                <w:highlight w:val="none"/>
                <w:shd w:val="clear" w:color="auto" w:fill="auto"/>
              </w:rPr>
              <w:t>评分项目</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shd w:val="clear" w:color="auto" w:fill="auto"/>
              </w:rPr>
            </w:pPr>
            <w:r>
              <w:rPr>
                <w:rFonts w:hint="eastAsia"/>
                <w:color w:val="auto"/>
                <w:szCs w:val="21"/>
                <w:highlight w:val="none"/>
                <w:shd w:val="clear" w:color="auto" w:fill="auto"/>
              </w:rPr>
              <w:t>分值</w:t>
            </w:r>
          </w:p>
        </w:tc>
        <w:tc>
          <w:tcPr>
            <w:tcW w:w="605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shd w:val="clear" w:color="auto" w:fill="auto"/>
              </w:rPr>
            </w:pPr>
            <w:r>
              <w:rPr>
                <w:rFonts w:hint="eastAsia"/>
                <w:color w:val="auto"/>
                <w:szCs w:val="21"/>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69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shd w:val="clear" w:color="auto" w:fill="auto"/>
              </w:rPr>
            </w:pPr>
            <w:r>
              <w:rPr>
                <w:rFonts w:hint="eastAsia"/>
                <w:color w:val="auto"/>
                <w:sz w:val="21"/>
                <w:szCs w:val="21"/>
                <w:highlight w:val="none"/>
                <w:shd w:val="clear" w:color="auto" w:fill="auto"/>
              </w:rPr>
              <w:t>报价评分</w:t>
            </w:r>
          </w:p>
          <w:p>
            <w:pPr>
              <w:rPr>
                <w:color w:val="auto"/>
                <w:sz w:val="21"/>
                <w:szCs w:val="21"/>
                <w:highlight w:val="none"/>
                <w:shd w:val="clear" w:color="auto" w:fill="auto"/>
              </w:rPr>
            </w:pP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3</w:t>
            </w:r>
            <w:r>
              <w:rPr>
                <w:color w:val="auto"/>
                <w:sz w:val="21"/>
                <w:szCs w:val="21"/>
                <w:highlight w:val="none"/>
                <w:shd w:val="clear" w:color="auto" w:fill="auto"/>
              </w:rPr>
              <w:t>0</w:t>
            </w:r>
            <w:r>
              <w:rPr>
                <w:rFonts w:hint="eastAsia"/>
                <w:color w:val="auto"/>
                <w:sz w:val="21"/>
                <w:szCs w:val="21"/>
                <w:highlight w:val="none"/>
                <w:shd w:val="clear" w:color="auto" w:fill="auto"/>
              </w:rPr>
              <w:t>分）</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shd w:val="clear" w:color="auto" w:fill="auto"/>
              </w:rPr>
            </w:pPr>
            <w:r>
              <w:rPr>
                <w:rFonts w:hint="eastAsia"/>
                <w:color w:val="auto"/>
                <w:sz w:val="21"/>
                <w:szCs w:val="21"/>
                <w:highlight w:val="none"/>
                <w:shd w:val="clear" w:color="auto" w:fill="auto"/>
              </w:rPr>
              <w:t>投标报价</w:t>
            </w:r>
          </w:p>
        </w:tc>
        <w:tc>
          <w:tcPr>
            <w:tcW w:w="808" w:type="dxa"/>
            <w:tcBorders>
              <w:top w:val="single" w:color="auto" w:sz="4" w:space="0"/>
              <w:left w:val="single" w:color="auto" w:sz="4" w:space="0"/>
              <w:bottom w:val="single" w:color="auto" w:sz="4" w:space="0"/>
              <w:right w:val="single" w:color="auto" w:sz="4" w:space="0"/>
            </w:tcBorders>
            <w:vAlign w:val="center"/>
          </w:tcPr>
          <w:p>
            <w:pPr>
              <w:rPr>
                <w:strike/>
                <w:color w:val="auto"/>
                <w:sz w:val="21"/>
                <w:szCs w:val="21"/>
                <w:highlight w:val="none"/>
                <w:shd w:val="clear" w:color="auto" w:fill="auto"/>
              </w:rPr>
            </w:pPr>
            <w:r>
              <w:rPr>
                <w:rFonts w:hint="eastAsia"/>
                <w:color w:val="auto"/>
                <w:sz w:val="21"/>
                <w:szCs w:val="21"/>
                <w:highlight w:val="none"/>
                <w:shd w:val="clear" w:color="auto" w:fill="auto"/>
                <w:lang w:val="en-US" w:eastAsia="zh-CN"/>
              </w:rPr>
              <w:t>3</w:t>
            </w:r>
            <w:r>
              <w:rPr>
                <w:color w:val="auto"/>
                <w:sz w:val="21"/>
                <w:szCs w:val="21"/>
                <w:highlight w:val="none"/>
                <w:shd w:val="clear" w:color="auto" w:fill="auto"/>
              </w:rPr>
              <w:t>0</w:t>
            </w:r>
            <w:r>
              <w:rPr>
                <w:rFonts w:hint="eastAsia"/>
                <w:color w:val="auto"/>
                <w:sz w:val="21"/>
                <w:szCs w:val="21"/>
                <w:highlight w:val="none"/>
                <w:shd w:val="clear" w:color="auto" w:fill="auto"/>
              </w:rPr>
              <w:t>分</w:t>
            </w:r>
          </w:p>
        </w:tc>
        <w:tc>
          <w:tcPr>
            <w:tcW w:w="60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highlight w:val="none"/>
                <w:shd w:val="clear" w:color="auto" w:fill="auto"/>
              </w:rPr>
            </w:pPr>
            <w:r>
              <w:rPr>
                <w:rFonts w:hint="eastAsia"/>
                <w:color w:val="auto"/>
                <w:highlight w:val="none"/>
                <w:shd w:val="clear" w:color="auto" w:fill="auto"/>
              </w:rPr>
              <w:t>价格评审：（满分：</w:t>
            </w:r>
            <w:r>
              <w:rPr>
                <w:rFonts w:hint="eastAsia"/>
                <w:color w:val="auto"/>
                <w:highlight w:val="none"/>
                <w:shd w:val="clear" w:color="auto" w:fill="auto"/>
                <w:lang w:val="en-US" w:eastAsia="zh-CN"/>
              </w:rPr>
              <w:t>30</w:t>
            </w:r>
            <w:r>
              <w:rPr>
                <w:rFonts w:hint="eastAsia"/>
                <w:color w:val="auto"/>
                <w:highlight w:val="none"/>
                <w:shd w:val="clear" w:color="auto" w:fill="auto"/>
              </w:rPr>
              <w:t>分）</w:t>
            </w:r>
          </w:p>
          <w:p>
            <w:pPr>
              <w:spacing w:line="360" w:lineRule="auto"/>
              <w:ind w:firstLine="880" w:firstLineChars="400"/>
              <w:rPr>
                <w:rFonts w:hint="default"/>
                <w:color w:val="auto"/>
                <w:highlight w:val="none"/>
                <w:shd w:val="clear" w:color="auto" w:fill="auto"/>
                <w:lang w:val="en-US" w:eastAsia="zh-CN"/>
              </w:rPr>
            </w:pPr>
            <w:r>
              <w:rPr>
                <w:rFonts w:hint="eastAsia"/>
                <w:color w:val="auto"/>
                <w:highlight w:val="none"/>
                <w:shd w:val="clear" w:color="auto" w:fill="auto"/>
              </w:rPr>
              <w:t>投标报价得分=(评标基准价／投标报价)</w:t>
            </w:r>
            <w:bookmarkStart w:id="11" w:name="OLE_LINK4"/>
            <w:r>
              <w:rPr>
                <w:rFonts w:hint="eastAsia"/>
                <w:color w:val="auto"/>
                <w:highlight w:val="none"/>
                <w:shd w:val="clear" w:color="auto" w:fill="auto"/>
              </w:rPr>
              <w:t>×</w:t>
            </w:r>
            <w:bookmarkEnd w:id="11"/>
            <w:r>
              <w:rPr>
                <w:rFonts w:hint="eastAsia"/>
                <w:color w:val="auto"/>
                <w:highlight w:val="none"/>
                <w:shd w:val="clear" w:color="auto" w:fill="auto"/>
                <w:lang w:val="en-US" w:eastAsia="zh-CN"/>
              </w:rPr>
              <w:t>30</w:t>
            </w:r>
          </w:p>
          <w:p>
            <w:pPr>
              <w:snapToGrid w:val="0"/>
              <w:spacing w:line="360" w:lineRule="auto"/>
              <w:rPr>
                <w:color w:val="auto"/>
                <w:highlight w:val="none"/>
                <w:shd w:val="clear" w:color="auto" w:fill="auto"/>
              </w:rPr>
            </w:pPr>
            <w:r>
              <w:rPr>
                <w:rFonts w:hint="eastAsia"/>
                <w:color w:val="auto"/>
                <w:highlight w:val="none"/>
                <w:shd w:val="clear" w:color="auto" w:fill="auto"/>
                <w:lang w:val="en-US" w:eastAsia="zh-CN"/>
              </w:rPr>
              <w:t>1、</w:t>
            </w:r>
            <w:r>
              <w:rPr>
                <w:rFonts w:hint="eastAsia"/>
                <w:color w:val="auto"/>
                <w:highlight w:val="none"/>
                <w:shd w:val="clear" w:color="auto" w:fill="auto"/>
              </w:rPr>
              <w:t>评标基准价指满足招标文件要求且投标价格（或扣除后价格）最低的投标报价，投标报价指满足招标文件要求的各投标供应商的投标报价。</w:t>
            </w:r>
          </w:p>
          <w:p>
            <w:pPr>
              <w:rPr>
                <w:color w:val="auto"/>
                <w:highlight w:val="none"/>
                <w:shd w:val="clear" w:color="auto" w:fill="auto"/>
              </w:rPr>
            </w:pPr>
            <w:r>
              <w:rPr>
                <w:rFonts w:hint="eastAsia"/>
                <w:color w:val="auto"/>
                <w:highlight w:val="none"/>
                <w:shd w:val="clear" w:color="auto" w:fill="auto"/>
                <w:lang w:val="en-US" w:eastAsia="zh-CN"/>
              </w:rPr>
              <w:t>2</w:t>
            </w:r>
            <w:r>
              <w:rPr>
                <w:color w:val="auto"/>
                <w:highlight w:val="none"/>
                <w:shd w:val="clear" w:color="auto" w:fill="auto"/>
              </w:rPr>
              <w:t>、对小型和微型企业（含监狱企业、残疾人福利性单位）产品的价格给予</w:t>
            </w:r>
            <w:r>
              <w:rPr>
                <w:color w:val="auto"/>
                <w:highlight w:val="none"/>
                <w:u w:val="single"/>
                <w:shd w:val="clear" w:color="auto" w:fill="auto"/>
              </w:rPr>
              <w:t xml:space="preserve"> 6</w:t>
            </w:r>
            <w:r>
              <w:rPr>
                <w:rFonts w:hint="eastAsia"/>
                <w:color w:val="auto"/>
                <w:highlight w:val="none"/>
                <w:u w:val="single"/>
                <w:shd w:val="clear" w:color="auto" w:fill="auto"/>
                <w:lang w:val="en-US" w:eastAsia="zh-CN"/>
              </w:rPr>
              <w:t xml:space="preserve"> </w:t>
            </w:r>
            <w:r>
              <w:rPr>
                <w:color w:val="auto"/>
                <w:highlight w:val="none"/>
                <w:u w:val="none"/>
                <w:shd w:val="clear" w:color="auto" w:fill="auto"/>
              </w:rPr>
              <w:t xml:space="preserve">% </w:t>
            </w:r>
            <w:r>
              <w:rPr>
                <w:color w:val="auto"/>
                <w:highlight w:val="none"/>
                <w:shd w:val="clear" w:color="auto" w:fill="auto"/>
              </w:rPr>
              <w:t>的扣除，用扣除后的价格参与评审。</w:t>
            </w:r>
          </w:p>
          <w:p>
            <w:pPr>
              <w:pStyle w:val="11"/>
              <w:rPr>
                <w:color w:val="auto"/>
                <w:highlight w:val="none"/>
                <w:shd w:val="clear" w:color="auto" w:fill="auto"/>
              </w:rPr>
            </w:pPr>
            <w:r>
              <w:rPr>
                <w:rFonts w:hint="eastAsia" w:ascii="宋体" w:hAnsi="宋体" w:eastAsia="宋体" w:cs="宋体"/>
                <w:color w:val="auto"/>
                <w:sz w:val="22"/>
                <w:szCs w:val="22"/>
                <w:highlight w:val="none"/>
                <w:shd w:val="clear" w:color="auto" w:fill="auto"/>
                <w:lang w:val="zh-CN" w:eastAsia="zh-CN" w:bidi="zh-CN"/>
              </w:rPr>
              <w:t>（</w:t>
            </w:r>
            <w:r>
              <w:rPr>
                <w:rFonts w:hint="eastAsia" w:ascii="宋体" w:hAnsi="宋体" w:eastAsia="宋体" w:cs="宋体"/>
                <w:color w:val="auto"/>
                <w:sz w:val="22"/>
                <w:szCs w:val="22"/>
                <w:highlight w:val="none"/>
                <w:shd w:val="clear" w:color="auto" w:fill="auto"/>
                <w:lang w:val="en-US" w:eastAsia="zh-CN" w:bidi="zh-CN"/>
              </w:rPr>
              <w:t>注：</w:t>
            </w:r>
            <w:r>
              <w:rPr>
                <w:rFonts w:hint="eastAsia" w:ascii="宋体" w:hAnsi="宋体" w:eastAsia="宋体" w:cs="宋体"/>
                <w:color w:val="auto"/>
                <w:sz w:val="22"/>
                <w:szCs w:val="22"/>
                <w:highlight w:val="none"/>
                <w:shd w:val="clear" w:color="auto" w:fill="auto"/>
                <w:lang w:val="zh-CN" w:eastAsia="zh-CN" w:bidi="zh-CN"/>
              </w:rPr>
              <w:t>凡申明为小微或监狱企业的，需提供权威部门出具的小微或监狱企业认定证明，否则不予认定。）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698"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shd w:val="clear" w:color="auto" w:fill="auto"/>
              </w:rPr>
            </w:pPr>
            <w:r>
              <w:rPr>
                <w:rFonts w:hint="eastAsia"/>
                <w:color w:val="auto"/>
                <w:sz w:val="21"/>
                <w:szCs w:val="21"/>
                <w:highlight w:val="none"/>
                <w:shd w:val="clear" w:color="auto" w:fill="auto"/>
              </w:rPr>
              <w:t>商务评分（</w:t>
            </w:r>
            <w:r>
              <w:rPr>
                <w:rFonts w:hint="eastAsia"/>
                <w:color w:val="auto"/>
                <w:sz w:val="21"/>
                <w:szCs w:val="21"/>
                <w:highlight w:val="none"/>
                <w:shd w:val="clear" w:color="auto" w:fill="auto"/>
                <w:lang w:val="en-US" w:eastAsia="zh-CN"/>
              </w:rPr>
              <w:t>23</w:t>
            </w:r>
            <w:r>
              <w:rPr>
                <w:rFonts w:hint="eastAsia"/>
                <w:color w:val="auto"/>
                <w:sz w:val="21"/>
                <w:szCs w:val="21"/>
                <w:highlight w:val="none"/>
                <w:shd w:val="clear" w:color="auto" w:fill="auto"/>
              </w:rPr>
              <w:t>分）</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企业业绩</w:t>
            </w:r>
          </w:p>
        </w:tc>
        <w:tc>
          <w:tcPr>
            <w:tcW w:w="808" w:type="dxa"/>
            <w:tcBorders>
              <w:top w:val="single" w:color="auto" w:sz="4" w:space="0"/>
              <w:left w:val="single" w:color="auto" w:sz="4" w:space="0"/>
              <w:bottom w:val="single" w:color="auto" w:sz="4" w:space="0"/>
              <w:right w:val="single" w:color="auto" w:sz="4" w:space="0"/>
            </w:tcBorders>
            <w:vAlign w:val="center"/>
          </w:tcPr>
          <w:p>
            <w:pPr>
              <w:rPr>
                <w:rFonts w:hint="default"/>
                <w:color w:val="auto"/>
                <w:sz w:val="21"/>
                <w:szCs w:val="21"/>
                <w:highlight w:val="none"/>
                <w:shd w:val="clear" w:color="auto" w:fill="auto"/>
                <w:lang w:val="en-US"/>
              </w:rPr>
            </w:pPr>
            <w:r>
              <w:rPr>
                <w:rFonts w:hint="eastAsia"/>
                <w:color w:val="auto"/>
                <w:sz w:val="21"/>
                <w:szCs w:val="21"/>
                <w:highlight w:val="none"/>
                <w:shd w:val="clear" w:color="auto" w:fill="auto"/>
                <w:lang w:val="en-US" w:eastAsia="zh-CN"/>
              </w:rPr>
              <w:t>9</w:t>
            </w:r>
            <w:r>
              <w:rPr>
                <w:rFonts w:hint="eastAsia"/>
                <w:color w:val="auto"/>
                <w:sz w:val="21"/>
                <w:szCs w:val="21"/>
                <w:highlight w:val="none"/>
                <w:shd w:val="clear" w:color="auto" w:fill="auto"/>
              </w:rPr>
              <w:t>分</w:t>
            </w:r>
          </w:p>
        </w:tc>
        <w:tc>
          <w:tcPr>
            <w:tcW w:w="6059" w:type="dxa"/>
            <w:tcBorders>
              <w:top w:val="single" w:color="auto" w:sz="4" w:space="0"/>
              <w:left w:val="single" w:color="auto" w:sz="4" w:space="0"/>
              <w:right w:val="single" w:color="auto" w:sz="4" w:space="0"/>
            </w:tcBorders>
            <w:vAlign w:val="center"/>
          </w:tcPr>
          <w:p>
            <w:pPr>
              <w:spacing w:line="440" w:lineRule="exact"/>
              <w:jc w:val="both"/>
              <w:rPr>
                <w:rFonts w:hint="eastAsia" w:hAnsi="宋体" w:cs="宋体"/>
                <w:color w:val="auto"/>
                <w:kern w:val="2"/>
                <w:sz w:val="21"/>
                <w:szCs w:val="21"/>
                <w:highlight w:val="none"/>
                <w:shd w:val="clear" w:color="auto" w:fill="auto"/>
              </w:rPr>
            </w:pPr>
            <w:r>
              <w:rPr>
                <w:rFonts w:hint="eastAsia" w:hAnsi="宋体" w:cs="宋体"/>
                <w:color w:val="auto"/>
                <w:kern w:val="2"/>
                <w:sz w:val="21"/>
                <w:szCs w:val="21"/>
                <w:highlight w:val="none"/>
                <w:shd w:val="clear" w:color="auto" w:fill="auto"/>
              </w:rPr>
              <w:t>提供201</w:t>
            </w:r>
            <w:r>
              <w:rPr>
                <w:rFonts w:hint="eastAsia" w:hAnsi="宋体" w:cs="宋体"/>
                <w:color w:val="auto"/>
                <w:kern w:val="2"/>
                <w:sz w:val="21"/>
                <w:szCs w:val="21"/>
                <w:highlight w:val="none"/>
                <w:shd w:val="clear" w:color="auto" w:fill="auto"/>
                <w:lang w:val="en-US" w:eastAsia="zh-CN"/>
              </w:rPr>
              <w:t>8年1月</w:t>
            </w:r>
            <w:r>
              <w:rPr>
                <w:rFonts w:hint="eastAsia" w:hAnsi="宋体" w:cs="宋体"/>
                <w:color w:val="auto"/>
                <w:kern w:val="2"/>
                <w:sz w:val="21"/>
                <w:szCs w:val="21"/>
                <w:highlight w:val="none"/>
                <w:shd w:val="clear" w:color="auto" w:fill="auto"/>
              </w:rPr>
              <w:t>至今</w:t>
            </w:r>
            <w:r>
              <w:rPr>
                <w:rFonts w:hint="eastAsia" w:hAnsi="宋体" w:cs="宋体"/>
                <w:color w:val="auto"/>
                <w:kern w:val="2"/>
                <w:sz w:val="21"/>
                <w:szCs w:val="21"/>
                <w:highlight w:val="none"/>
                <w:shd w:val="clear" w:color="auto" w:fill="auto"/>
                <w:lang w:val="en-US" w:eastAsia="zh-CN"/>
              </w:rPr>
              <w:t>类似</w:t>
            </w:r>
            <w:r>
              <w:rPr>
                <w:rFonts w:hint="eastAsia" w:hAnsi="宋体" w:cs="宋体"/>
                <w:color w:val="auto"/>
                <w:kern w:val="2"/>
                <w:sz w:val="21"/>
                <w:szCs w:val="21"/>
                <w:highlight w:val="none"/>
                <w:shd w:val="clear" w:color="auto" w:fill="auto"/>
              </w:rPr>
              <w:t>业绩证明材料</w:t>
            </w:r>
            <w:r>
              <w:rPr>
                <w:rFonts w:hint="eastAsia" w:hAnsi="宋体" w:cs="宋体"/>
                <w:color w:val="auto"/>
                <w:kern w:val="2"/>
                <w:sz w:val="21"/>
                <w:szCs w:val="21"/>
                <w:highlight w:val="none"/>
                <w:shd w:val="clear" w:color="auto" w:fill="auto"/>
                <w:lang w:eastAsia="zh-CN"/>
              </w:rPr>
              <w:t>，</w:t>
            </w:r>
            <w:r>
              <w:rPr>
                <w:rFonts w:hint="eastAsia" w:hAnsi="宋体" w:cs="宋体"/>
                <w:color w:val="auto"/>
                <w:kern w:val="2"/>
                <w:sz w:val="21"/>
                <w:szCs w:val="21"/>
                <w:highlight w:val="none"/>
                <w:shd w:val="clear" w:color="auto" w:fill="auto"/>
              </w:rPr>
              <w:t>每提供1</w:t>
            </w:r>
            <w:r>
              <w:rPr>
                <w:rFonts w:hint="eastAsia" w:hAnsi="宋体" w:cs="宋体"/>
                <w:color w:val="auto"/>
                <w:kern w:val="2"/>
                <w:sz w:val="21"/>
                <w:szCs w:val="21"/>
                <w:highlight w:val="none"/>
                <w:shd w:val="clear" w:color="auto" w:fill="auto"/>
                <w:lang w:eastAsia="zh-CN"/>
              </w:rPr>
              <w:t>个</w:t>
            </w:r>
            <w:r>
              <w:rPr>
                <w:rFonts w:hint="eastAsia" w:hAnsi="宋体" w:cs="宋体"/>
                <w:color w:val="auto"/>
                <w:kern w:val="2"/>
                <w:sz w:val="21"/>
                <w:szCs w:val="21"/>
                <w:highlight w:val="none"/>
                <w:shd w:val="clear" w:color="auto" w:fill="auto"/>
              </w:rPr>
              <w:t>业绩得</w:t>
            </w:r>
            <w:r>
              <w:rPr>
                <w:rFonts w:hint="eastAsia" w:hAnsi="宋体" w:cs="宋体"/>
                <w:color w:val="auto"/>
                <w:kern w:val="2"/>
                <w:sz w:val="21"/>
                <w:szCs w:val="21"/>
                <w:highlight w:val="none"/>
                <w:shd w:val="clear" w:color="auto" w:fill="auto"/>
                <w:lang w:val="en-US" w:eastAsia="zh-CN"/>
              </w:rPr>
              <w:t>3</w:t>
            </w:r>
            <w:r>
              <w:rPr>
                <w:rFonts w:hint="eastAsia" w:hAnsi="宋体" w:cs="宋体"/>
                <w:color w:val="auto"/>
                <w:kern w:val="2"/>
                <w:sz w:val="21"/>
                <w:szCs w:val="21"/>
                <w:highlight w:val="none"/>
                <w:shd w:val="clear" w:color="auto" w:fill="auto"/>
              </w:rPr>
              <w:t>分，满分</w:t>
            </w:r>
            <w:r>
              <w:rPr>
                <w:rFonts w:hint="eastAsia" w:hAnsi="宋体" w:cs="宋体"/>
                <w:color w:val="auto"/>
                <w:kern w:val="2"/>
                <w:sz w:val="21"/>
                <w:szCs w:val="21"/>
                <w:highlight w:val="none"/>
                <w:shd w:val="clear" w:color="auto" w:fill="auto"/>
                <w:lang w:val="en-US" w:eastAsia="zh-CN"/>
              </w:rPr>
              <w:t>9</w:t>
            </w:r>
            <w:r>
              <w:rPr>
                <w:rFonts w:hint="eastAsia" w:hAnsi="宋体" w:cs="宋体"/>
                <w:color w:val="auto"/>
                <w:kern w:val="2"/>
                <w:sz w:val="21"/>
                <w:szCs w:val="21"/>
                <w:highlight w:val="none"/>
                <w:shd w:val="clear" w:color="auto" w:fill="auto"/>
              </w:rPr>
              <w:t>分。</w:t>
            </w:r>
          </w:p>
          <w:p>
            <w:pPr>
              <w:rPr>
                <w:color w:val="auto"/>
                <w:sz w:val="21"/>
                <w:szCs w:val="21"/>
                <w:highlight w:val="none"/>
                <w:shd w:val="clear" w:color="auto" w:fill="auto"/>
              </w:rPr>
            </w:pPr>
            <w:r>
              <w:rPr>
                <w:rFonts w:hint="eastAsia" w:hAnsi="宋体" w:cs="宋体"/>
                <w:color w:val="auto"/>
                <w:kern w:val="2"/>
                <w:sz w:val="21"/>
                <w:szCs w:val="21"/>
                <w:highlight w:val="none"/>
                <w:shd w:val="clear" w:color="auto" w:fill="auto"/>
              </w:rPr>
              <w:t>注：提供</w:t>
            </w:r>
            <w:r>
              <w:rPr>
                <w:rFonts w:hint="eastAsia" w:hAnsi="宋体" w:cs="宋体"/>
                <w:color w:val="auto"/>
                <w:kern w:val="2"/>
                <w:sz w:val="21"/>
                <w:szCs w:val="21"/>
                <w:highlight w:val="none"/>
                <w:shd w:val="clear" w:color="auto" w:fill="auto"/>
                <w:lang w:val="en-US" w:eastAsia="zh-CN"/>
              </w:rPr>
              <w:t>类似业绩</w:t>
            </w:r>
            <w:r>
              <w:rPr>
                <w:rFonts w:hint="eastAsia" w:hAnsi="宋体" w:cs="宋体"/>
                <w:color w:val="auto"/>
                <w:kern w:val="2"/>
                <w:sz w:val="21"/>
                <w:szCs w:val="21"/>
                <w:highlight w:val="none"/>
                <w:shd w:val="clear" w:color="auto" w:fill="auto"/>
              </w:rPr>
              <w:t>（合同</w:t>
            </w:r>
            <w:r>
              <w:rPr>
                <w:rFonts w:hint="eastAsia" w:hAnsi="宋体" w:cs="宋体"/>
                <w:color w:val="auto"/>
                <w:kern w:val="2"/>
                <w:sz w:val="21"/>
                <w:szCs w:val="21"/>
                <w:highlight w:val="none"/>
                <w:shd w:val="clear" w:color="auto" w:fill="auto"/>
                <w:lang w:eastAsia="zh-CN"/>
              </w:rPr>
              <w:t>协议书或中标（成交）通知书</w:t>
            </w:r>
            <w:r>
              <w:rPr>
                <w:rFonts w:hint="eastAsia" w:hAnsi="宋体" w:cs="宋体"/>
                <w:color w:val="auto"/>
                <w:kern w:val="2"/>
                <w:sz w:val="21"/>
                <w:szCs w:val="21"/>
                <w:highlight w:val="none"/>
                <w:shd w:val="clear" w:color="auto" w:fill="auto"/>
              </w:rPr>
              <w:t>）并加盖公章</w:t>
            </w:r>
            <w:r>
              <w:rPr>
                <w:rFonts w:hint="eastAsia" w:hAnsi="宋体" w:cs="宋体"/>
                <w:color w:val="auto"/>
                <w:kern w:val="2"/>
                <w:sz w:val="21"/>
                <w:szCs w:val="21"/>
                <w:highlight w:val="none"/>
                <w:shd w:val="clear" w:color="auto" w:fill="auto"/>
                <w:lang w:eastAsia="zh-CN"/>
              </w:rPr>
              <w:t>）</w:t>
            </w:r>
            <w:r>
              <w:rPr>
                <w:rFonts w:hint="eastAsia" w:hAnsi="宋体" w:cs="宋体"/>
                <w:color w:val="auto"/>
                <w:kern w:val="2"/>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tcBorders>
              <w:left w:val="single" w:color="auto" w:sz="4" w:space="0"/>
              <w:right w:val="single" w:color="auto" w:sz="4" w:space="0"/>
            </w:tcBorders>
            <w:vAlign w:val="center"/>
          </w:tcPr>
          <w:p>
            <w:pPr>
              <w:rPr>
                <w:rFonts w:hint="eastAsia"/>
                <w:color w:val="auto"/>
                <w:sz w:val="21"/>
                <w:szCs w:val="21"/>
                <w:highlight w:val="none"/>
                <w:shd w:val="clear" w:color="auto" w:fill="auto"/>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rPr>
              <w:t>项目团队</w:t>
            </w:r>
          </w:p>
        </w:tc>
        <w:tc>
          <w:tcPr>
            <w:tcW w:w="80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rPr>
              <w:t>8分</w:t>
            </w:r>
          </w:p>
        </w:tc>
        <w:tc>
          <w:tcPr>
            <w:tcW w:w="6059" w:type="dxa"/>
            <w:tcBorders>
              <w:top w:val="single" w:color="auto" w:sz="4" w:space="0"/>
              <w:left w:val="single" w:color="auto" w:sz="4" w:space="0"/>
              <w:right w:val="single" w:color="auto" w:sz="4" w:space="0"/>
            </w:tcBorders>
            <w:vAlign w:val="center"/>
          </w:tcPr>
          <w:p>
            <w:pPr>
              <w:spacing w:line="440" w:lineRule="exact"/>
              <w:jc w:val="both"/>
              <w:rPr>
                <w:rFonts w:hint="eastAsia"/>
                <w:highlight w:val="none"/>
                <w:lang w:val="en-US" w:eastAsia="zh-CN"/>
              </w:rPr>
            </w:pPr>
            <w:r>
              <w:rPr>
                <w:rFonts w:hint="eastAsia"/>
                <w:highlight w:val="none"/>
                <w:lang w:val="en-US" w:eastAsia="zh-CN"/>
              </w:rPr>
              <w:t>1、项目负责人具有相关专业中级及以上职称得4分。</w:t>
            </w:r>
          </w:p>
          <w:p>
            <w:pPr>
              <w:rPr>
                <w:rFonts w:hint="eastAsia"/>
                <w:highlight w:val="none"/>
                <w:lang w:val="en-US" w:eastAsia="zh-CN"/>
              </w:rPr>
            </w:pPr>
            <w:r>
              <w:rPr>
                <w:rFonts w:hint="eastAsia"/>
                <w:highlight w:val="none"/>
                <w:lang w:val="en-US" w:eastAsia="zh-CN"/>
              </w:rPr>
              <w:t>2、技术负责人具有相关专业高级及以上职称得4分。</w:t>
            </w:r>
          </w:p>
          <w:p>
            <w:pPr>
              <w:pStyle w:val="2"/>
              <w:ind w:left="0" w:leftChars="0" w:firstLine="0" w:firstLineChars="0"/>
              <w:rPr>
                <w:rFonts w:hint="default"/>
                <w:highlight w:val="none"/>
                <w:lang w:val="en-US"/>
              </w:rPr>
            </w:pPr>
            <w:r>
              <w:rPr>
                <w:rFonts w:hint="eastAsia" w:cs="宋体"/>
                <w:color w:val="auto"/>
                <w:kern w:val="2"/>
                <w:sz w:val="21"/>
                <w:szCs w:val="21"/>
                <w:highlight w:val="none"/>
                <w:shd w:val="clear" w:color="auto" w:fill="auto"/>
                <w:lang w:val="en-US" w:eastAsia="zh-CN"/>
              </w:rPr>
              <w:t>注：提供项目负责人及技术负责人相关信息一日览表及职称证书原件扫描件，原件备查。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98" w:type="dxa"/>
            <w:vMerge w:val="continue"/>
            <w:tcBorders>
              <w:left w:val="single" w:color="auto" w:sz="4" w:space="0"/>
              <w:right w:val="single" w:color="auto" w:sz="4" w:space="0"/>
            </w:tcBorders>
            <w:vAlign w:val="center"/>
          </w:tcPr>
          <w:p>
            <w:pPr>
              <w:rPr>
                <w:rFonts w:hint="eastAsia"/>
                <w:color w:val="auto"/>
                <w:sz w:val="21"/>
                <w:szCs w:val="21"/>
                <w:highlight w:val="none"/>
                <w:shd w:val="clear" w:color="auto" w:fill="auto"/>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宋体"/>
                <w:color w:val="auto"/>
                <w:kern w:val="2"/>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rPr>
              <w:t>管理体系认证</w:t>
            </w:r>
          </w:p>
        </w:tc>
        <w:tc>
          <w:tcPr>
            <w:tcW w:w="80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宋体"/>
                <w:color w:val="auto"/>
                <w:kern w:val="2"/>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rPr>
              <w:t>3分</w:t>
            </w:r>
          </w:p>
        </w:tc>
        <w:tc>
          <w:tcPr>
            <w:tcW w:w="6059" w:type="dxa"/>
            <w:tcBorders>
              <w:top w:val="single" w:color="auto" w:sz="4" w:space="0"/>
              <w:left w:val="single" w:color="auto" w:sz="4" w:space="0"/>
              <w:right w:val="single" w:color="auto" w:sz="4" w:space="0"/>
            </w:tcBorders>
            <w:vAlign w:val="center"/>
          </w:tcPr>
          <w:p>
            <w:pPr>
              <w:spacing w:line="440" w:lineRule="exact"/>
              <w:jc w:val="both"/>
              <w:rPr>
                <w:rFonts w:hint="eastAsia"/>
                <w:highlight w:val="none"/>
                <w:lang w:val="en-US" w:eastAsia="zh-CN"/>
              </w:rPr>
            </w:pPr>
            <w:r>
              <w:rPr>
                <w:rFonts w:hint="eastAsia"/>
                <w:highlight w:val="none"/>
                <w:lang w:val="en-US" w:eastAsia="zh-CN"/>
              </w:rPr>
              <w:t>投标人具有质量管理体系认证证书得1分、环境管理体系认证证书得1分、职业健康安全管理体系认证证书得1分，不提供不得分。</w:t>
            </w:r>
          </w:p>
          <w:p>
            <w:pPr>
              <w:pStyle w:val="2"/>
              <w:ind w:left="0" w:leftChars="0" w:firstLine="0" w:firstLineChars="0"/>
              <w:rPr>
                <w:rFonts w:hint="eastAsia"/>
                <w:highlight w:val="none"/>
                <w:lang w:val="en-US" w:eastAsia="zh-CN"/>
              </w:rPr>
            </w:pPr>
            <w:r>
              <w:rPr>
                <w:rFonts w:hint="eastAsia" w:cs="宋体"/>
                <w:color w:val="auto"/>
                <w:kern w:val="2"/>
                <w:sz w:val="21"/>
                <w:szCs w:val="21"/>
                <w:highlight w:val="none"/>
                <w:shd w:val="clear" w:color="auto" w:fill="auto"/>
                <w:lang w:val="en-US" w:eastAsia="zh-CN"/>
              </w:rPr>
              <w:t>注：提供原件扫描件，原件备查。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98" w:type="dxa"/>
            <w:vMerge w:val="continue"/>
            <w:tcBorders>
              <w:left w:val="single" w:color="auto" w:sz="4" w:space="0"/>
              <w:right w:val="single" w:color="auto" w:sz="4" w:space="0"/>
            </w:tcBorders>
            <w:vAlign w:val="center"/>
          </w:tcPr>
          <w:p>
            <w:pPr>
              <w:rPr>
                <w:rFonts w:hint="eastAsia"/>
                <w:color w:val="auto"/>
                <w:sz w:val="21"/>
                <w:szCs w:val="21"/>
                <w:highlight w:val="none"/>
                <w:shd w:val="clear" w:color="auto" w:fill="auto"/>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rPr>
              <w:t>企业信誉</w:t>
            </w:r>
          </w:p>
        </w:tc>
        <w:tc>
          <w:tcPr>
            <w:tcW w:w="80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rPr>
              <w:t>3分</w:t>
            </w:r>
          </w:p>
        </w:tc>
        <w:tc>
          <w:tcPr>
            <w:tcW w:w="6059" w:type="dxa"/>
            <w:tcBorders>
              <w:top w:val="single" w:color="auto" w:sz="4" w:space="0"/>
              <w:left w:val="single" w:color="auto" w:sz="4" w:space="0"/>
              <w:right w:val="single" w:color="auto" w:sz="4" w:space="0"/>
            </w:tcBorders>
            <w:vAlign w:val="center"/>
          </w:tcPr>
          <w:p>
            <w:pPr>
              <w:spacing w:line="440" w:lineRule="exact"/>
              <w:jc w:val="both"/>
              <w:rPr>
                <w:rFonts w:hint="eastAsia"/>
                <w:highlight w:val="none"/>
                <w:lang w:val="en-US" w:eastAsia="zh-CN"/>
              </w:rPr>
            </w:pPr>
            <w:r>
              <w:rPr>
                <w:rFonts w:hint="eastAsia"/>
                <w:highlight w:val="none"/>
                <w:lang w:val="en-US" w:eastAsia="zh-CN"/>
              </w:rPr>
              <w:t>投标人近 3 年（2018 年至今）连续三年获得纳税信用 A 级纳税人得3分。</w:t>
            </w:r>
          </w:p>
          <w:p>
            <w:pPr>
              <w:pStyle w:val="2"/>
              <w:ind w:left="0" w:leftChars="0" w:firstLine="0" w:firstLineChars="0"/>
              <w:rPr>
                <w:rFonts w:hint="default"/>
                <w:highlight w:val="none"/>
                <w:lang w:val="en-US" w:eastAsia="zh-CN"/>
              </w:rPr>
            </w:pPr>
            <w:r>
              <w:rPr>
                <w:rFonts w:hint="eastAsia" w:cs="宋体"/>
                <w:color w:val="auto"/>
                <w:kern w:val="2"/>
                <w:sz w:val="21"/>
                <w:szCs w:val="21"/>
                <w:highlight w:val="none"/>
                <w:shd w:val="clear" w:color="auto" w:fill="auto"/>
                <w:lang w:val="en-US" w:eastAsia="zh-CN"/>
              </w:rPr>
              <w:t>注：提供相关证明材料，原件备查。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98" w:type="dxa"/>
            <w:vMerge w:val="restart"/>
            <w:tcBorders>
              <w:left w:val="single" w:color="auto" w:sz="4" w:space="0"/>
              <w:right w:val="single" w:color="auto" w:sz="4" w:space="0"/>
            </w:tcBorders>
            <w:vAlign w:val="center"/>
          </w:tcPr>
          <w:p>
            <w:pPr>
              <w:rPr>
                <w:color w:val="auto"/>
                <w:sz w:val="21"/>
                <w:szCs w:val="21"/>
                <w:highlight w:val="none"/>
                <w:shd w:val="clear" w:color="auto" w:fill="auto"/>
              </w:rPr>
            </w:pPr>
            <w:r>
              <w:rPr>
                <w:rFonts w:hint="eastAsia"/>
                <w:color w:val="auto"/>
                <w:sz w:val="21"/>
                <w:szCs w:val="21"/>
                <w:highlight w:val="none"/>
                <w:shd w:val="clear" w:color="auto" w:fill="auto"/>
                <w:lang w:eastAsia="zh-CN"/>
              </w:rPr>
              <w:t>技术部分</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42</w:t>
            </w:r>
            <w:r>
              <w:rPr>
                <w:rFonts w:hint="eastAsia"/>
                <w:color w:val="auto"/>
                <w:sz w:val="21"/>
                <w:szCs w:val="21"/>
                <w:highlight w:val="none"/>
                <w:shd w:val="clear" w:color="auto" w:fill="auto"/>
              </w:rPr>
              <w:t>分）</w:t>
            </w:r>
          </w:p>
        </w:tc>
        <w:tc>
          <w:tcPr>
            <w:tcW w:w="1013" w:type="dxa"/>
            <w:tcBorders>
              <w:top w:val="single" w:color="auto" w:sz="4" w:space="0"/>
              <w:left w:val="single" w:color="auto" w:sz="4" w:space="0"/>
              <w:bottom w:val="single" w:color="auto" w:sz="4" w:space="0"/>
              <w:right w:val="single" w:color="auto" w:sz="4" w:space="0"/>
            </w:tcBorders>
            <w:vAlign w:val="top"/>
          </w:tcPr>
          <w:p>
            <w:pPr>
              <w:pStyle w:val="36"/>
              <w:ind w:left="218" w:leftChars="0"/>
              <w:jc w:val="left"/>
              <w:rPr>
                <w:rFonts w:hint="eastAsia" w:ascii="宋体" w:hAnsi="宋体" w:eastAsia="宋体" w:cs="宋体"/>
                <w:color w:val="auto"/>
                <w:sz w:val="21"/>
                <w:szCs w:val="21"/>
                <w:highlight w:val="none"/>
                <w:shd w:val="clear" w:color="auto" w:fill="auto"/>
                <w:lang w:val="en-US" w:eastAsia="zh-CN" w:bidi="ar-SA"/>
              </w:rPr>
            </w:pPr>
          </w:p>
          <w:p>
            <w:pPr>
              <w:pStyle w:val="36"/>
              <w:ind w:left="218" w:leftChars="0"/>
              <w:jc w:val="left"/>
              <w:rPr>
                <w:rFonts w:hint="eastAsia" w:ascii="宋体" w:hAnsi="宋体" w:eastAsia="宋体" w:cs="宋体"/>
                <w:color w:val="auto"/>
                <w:sz w:val="21"/>
                <w:szCs w:val="21"/>
                <w:highlight w:val="none"/>
                <w:shd w:val="clear" w:color="auto" w:fill="auto"/>
                <w:lang w:val="en-US" w:eastAsia="zh-CN" w:bidi="ar-SA"/>
              </w:rPr>
            </w:pPr>
          </w:p>
          <w:p>
            <w:pPr>
              <w:pStyle w:val="36"/>
              <w:ind w:left="218" w:leftChars="0"/>
              <w:jc w:val="left"/>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bidi="ar-SA"/>
              </w:rPr>
              <w:t>技术参数</w:t>
            </w:r>
          </w:p>
        </w:tc>
        <w:tc>
          <w:tcPr>
            <w:tcW w:w="808" w:type="dxa"/>
            <w:tcBorders>
              <w:top w:val="single" w:color="auto" w:sz="4" w:space="0"/>
              <w:left w:val="single" w:color="auto" w:sz="4" w:space="0"/>
              <w:bottom w:val="single" w:color="auto" w:sz="4" w:space="0"/>
              <w:right w:val="single" w:color="auto" w:sz="4" w:space="0"/>
            </w:tcBorders>
            <w:vAlign w:val="top"/>
          </w:tcPr>
          <w:p>
            <w:pPr>
              <w:pStyle w:val="36"/>
              <w:ind w:right="77" w:rightChars="0"/>
              <w:jc w:val="left"/>
              <w:rPr>
                <w:rFonts w:hint="eastAsia" w:cs="宋体"/>
                <w:color w:val="auto"/>
                <w:sz w:val="21"/>
                <w:szCs w:val="21"/>
                <w:highlight w:val="none"/>
                <w:shd w:val="clear" w:color="auto" w:fill="auto"/>
                <w:lang w:val="en-US" w:eastAsia="zh-CN" w:bidi="ar-SA"/>
              </w:rPr>
            </w:pPr>
          </w:p>
          <w:p>
            <w:pPr>
              <w:pStyle w:val="36"/>
              <w:ind w:right="77" w:rightChars="0"/>
              <w:jc w:val="left"/>
              <w:rPr>
                <w:rFonts w:hint="eastAsia" w:cs="宋体"/>
                <w:color w:val="auto"/>
                <w:sz w:val="21"/>
                <w:szCs w:val="21"/>
                <w:highlight w:val="none"/>
                <w:shd w:val="clear" w:color="auto" w:fill="auto"/>
                <w:lang w:val="en-US" w:eastAsia="zh-CN" w:bidi="ar-SA"/>
              </w:rPr>
            </w:pPr>
          </w:p>
          <w:p>
            <w:pPr>
              <w:pStyle w:val="36"/>
              <w:ind w:right="77" w:rightChars="0"/>
              <w:jc w:val="left"/>
              <w:rPr>
                <w:rFonts w:hint="eastAsia" w:ascii="宋体" w:hAnsi="宋体" w:eastAsia="宋体" w:cs="宋体"/>
                <w:color w:val="auto"/>
                <w:kern w:val="2"/>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bidi="ar-SA"/>
              </w:rPr>
              <w:t>25</w:t>
            </w:r>
            <w:r>
              <w:rPr>
                <w:rFonts w:hint="eastAsia" w:eastAsia="宋体" w:cs="宋体"/>
                <w:color w:val="auto"/>
                <w:sz w:val="21"/>
                <w:szCs w:val="21"/>
                <w:highlight w:val="none"/>
                <w:shd w:val="clear" w:color="auto" w:fill="auto"/>
                <w:lang w:val="en-US" w:eastAsia="zh-CN" w:bidi="ar-SA"/>
              </w:rPr>
              <w:t>分</w:t>
            </w:r>
          </w:p>
        </w:tc>
        <w:tc>
          <w:tcPr>
            <w:tcW w:w="6059" w:type="dxa"/>
            <w:tcBorders>
              <w:top w:val="single" w:color="auto" w:sz="4" w:space="0"/>
              <w:left w:val="single" w:color="auto" w:sz="4" w:space="0"/>
              <w:bottom w:val="single" w:color="auto" w:sz="4" w:space="0"/>
              <w:right w:val="single" w:color="auto" w:sz="4" w:space="0"/>
            </w:tcBorders>
            <w:vAlign w:val="top"/>
          </w:tcPr>
          <w:p>
            <w:pPr>
              <w:spacing w:line="440" w:lineRule="exact"/>
              <w:jc w:val="both"/>
              <w:rPr>
                <w:rFonts w:hint="eastAsia"/>
                <w:highlight w:val="none"/>
                <w:lang w:val="en-US" w:eastAsia="zh-CN"/>
              </w:rPr>
            </w:pPr>
            <w:r>
              <w:rPr>
                <w:rFonts w:hint="eastAsia"/>
                <w:highlight w:val="none"/>
                <w:lang w:val="en-US" w:eastAsia="zh-CN"/>
              </w:rPr>
              <w:t>根据投标人提供的仪器设备技术参数及性能、功能等指标对招标文件技术指标的响应情况，由评委在0～25分之间评分，满分16分；若投标人不是投标设备生产厂家，需提供投标设备生产厂家授权书，技术指标有一项不满足招标文件要求扣2分，扣完为止。</w:t>
            </w:r>
          </w:p>
          <w:p>
            <w:pPr>
              <w:pStyle w:val="2"/>
              <w:ind w:left="0" w:leftChars="0" w:firstLine="0" w:firstLineChars="0"/>
              <w:rPr>
                <w:rFonts w:hint="eastAsia"/>
                <w:highlight w:val="none"/>
                <w:lang w:val="zh-CN" w:eastAsia="zh-CN"/>
              </w:rPr>
            </w:pPr>
            <w:r>
              <w:rPr>
                <w:rFonts w:hint="eastAsia" w:cs="宋体"/>
                <w:color w:val="auto"/>
                <w:kern w:val="2"/>
                <w:sz w:val="21"/>
                <w:szCs w:val="21"/>
                <w:highlight w:val="none"/>
                <w:shd w:val="clear" w:color="auto" w:fill="auto"/>
                <w:lang w:val="en-US" w:eastAsia="zh-CN"/>
              </w:rPr>
              <w:t>注：提供相关证明材料，原件备查。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98" w:type="dxa"/>
            <w:vMerge w:val="continue"/>
            <w:tcBorders>
              <w:left w:val="single" w:color="auto" w:sz="4" w:space="0"/>
              <w:right w:val="single" w:color="auto" w:sz="4" w:space="0"/>
            </w:tcBorders>
            <w:vAlign w:val="center"/>
          </w:tcPr>
          <w:p>
            <w:pPr>
              <w:rPr>
                <w:rFonts w:hint="eastAsia"/>
                <w:color w:val="auto"/>
                <w:sz w:val="21"/>
                <w:szCs w:val="21"/>
                <w:highlight w:val="none"/>
                <w:shd w:val="clear" w:color="auto" w:fill="auto"/>
                <w:lang w:eastAsia="zh-CN"/>
              </w:rPr>
            </w:pPr>
          </w:p>
        </w:tc>
        <w:tc>
          <w:tcPr>
            <w:tcW w:w="10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sz w:val="21"/>
                <w:szCs w:val="21"/>
                <w:highlight w:val="none"/>
                <w:shd w:val="clear" w:color="auto" w:fill="auto"/>
              </w:rPr>
              <w:t>售后服务及保障</w:t>
            </w:r>
          </w:p>
        </w:tc>
        <w:tc>
          <w:tcPr>
            <w:tcW w:w="808" w:type="dxa"/>
            <w:tcBorders>
              <w:top w:val="single" w:color="auto" w:sz="4" w:space="0"/>
              <w:left w:val="single" w:color="auto" w:sz="4" w:space="0"/>
              <w:bottom w:val="single" w:color="auto" w:sz="4" w:space="0"/>
              <w:right w:val="single" w:color="auto" w:sz="4" w:space="0"/>
            </w:tcBorders>
            <w:vAlign w:val="top"/>
          </w:tcPr>
          <w:p>
            <w:pPr>
              <w:pStyle w:val="36"/>
              <w:ind w:right="77" w:rightChars="0"/>
              <w:jc w:val="left"/>
              <w:rPr>
                <w:rFonts w:hint="eastAsia" w:cs="宋体"/>
                <w:color w:val="auto"/>
                <w:sz w:val="21"/>
                <w:szCs w:val="21"/>
                <w:highlight w:val="none"/>
                <w:shd w:val="clear" w:color="auto" w:fill="auto"/>
                <w:lang w:val="en-US" w:eastAsia="zh-CN" w:bidi="ar-SA"/>
              </w:rPr>
            </w:pPr>
          </w:p>
          <w:p>
            <w:pPr>
              <w:pStyle w:val="36"/>
              <w:ind w:right="77" w:rightChars="0"/>
              <w:jc w:val="left"/>
              <w:rPr>
                <w:rFonts w:hint="eastAsia" w:cs="宋体"/>
                <w:color w:val="auto"/>
                <w:sz w:val="21"/>
                <w:szCs w:val="21"/>
                <w:highlight w:val="none"/>
                <w:shd w:val="clear" w:color="auto" w:fill="auto"/>
                <w:lang w:val="en-US" w:eastAsia="zh-CN" w:bidi="ar-SA"/>
              </w:rPr>
            </w:pPr>
          </w:p>
          <w:p>
            <w:pPr>
              <w:pStyle w:val="36"/>
              <w:ind w:right="77" w:rightChars="0"/>
              <w:jc w:val="left"/>
              <w:rPr>
                <w:rFonts w:hint="eastAsia" w:ascii="宋体" w:hAnsi="宋体" w:eastAsia="宋体" w:cs="宋体"/>
                <w:color w:val="auto"/>
                <w:kern w:val="2"/>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bidi="ar-SA"/>
              </w:rPr>
              <w:t>9</w:t>
            </w:r>
            <w:r>
              <w:rPr>
                <w:rFonts w:hint="eastAsia" w:eastAsia="宋体" w:cs="宋体"/>
                <w:color w:val="auto"/>
                <w:sz w:val="21"/>
                <w:szCs w:val="21"/>
                <w:highlight w:val="none"/>
                <w:shd w:val="clear" w:color="auto" w:fill="auto"/>
                <w:lang w:val="en-US" w:eastAsia="zh-CN" w:bidi="ar-SA"/>
              </w:rPr>
              <w:t>分</w:t>
            </w:r>
          </w:p>
        </w:tc>
        <w:tc>
          <w:tcPr>
            <w:tcW w:w="60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投标人针对本项目提供的售后服务方案、培训方案的可行性、针对性、完整性和合理性等，由专家横向比较打分</w:t>
            </w:r>
            <w:r>
              <w:rPr>
                <w:rFonts w:hint="eastAsia" w:ascii="宋体" w:hAnsi="宋体" w:eastAsia="宋体" w:cs="宋体"/>
                <w:color w:val="auto"/>
                <w:sz w:val="21"/>
                <w:szCs w:val="21"/>
                <w:highlight w:val="none"/>
                <w:shd w:val="clear" w:color="auto" w:fill="auto"/>
                <w:lang w:eastAsia="zh-CN"/>
              </w:rPr>
              <w:t>。</w:t>
            </w:r>
            <w:r>
              <w:rPr>
                <w:rFonts w:hint="eastAsia" w:hAnsi="宋体" w:cs="宋体"/>
                <w:color w:val="auto"/>
                <w:kern w:val="2"/>
                <w:sz w:val="21"/>
                <w:szCs w:val="21"/>
                <w:highlight w:val="none"/>
                <w:shd w:val="clear" w:color="auto" w:fill="auto"/>
                <w:lang w:eastAsia="zh-CN"/>
              </w:rPr>
              <w:t>（</w:t>
            </w:r>
            <w:r>
              <w:rPr>
                <w:rFonts w:hint="eastAsia" w:hAnsi="宋体" w:cs="宋体"/>
                <w:color w:val="auto"/>
                <w:kern w:val="2"/>
                <w:sz w:val="21"/>
                <w:szCs w:val="21"/>
                <w:highlight w:val="none"/>
                <w:shd w:val="clear" w:color="auto" w:fill="auto"/>
                <w:lang w:val="en-US" w:eastAsia="zh-CN"/>
              </w:rPr>
              <w:t>0-</w:t>
            </w:r>
            <w:r>
              <w:rPr>
                <w:rFonts w:hint="eastAsia" w:cs="宋体"/>
                <w:color w:val="auto"/>
                <w:kern w:val="2"/>
                <w:sz w:val="21"/>
                <w:szCs w:val="21"/>
                <w:highlight w:val="none"/>
                <w:shd w:val="clear" w:color="auto" w:fill="auto"/>
                <w:lang w:val="en-US" w:eastAsia="zh-CN"/>
              </w:rPr>
              <w:t>9</w:t>
            </w:r>
            <w:r>
              <w:rPr>
                <w:rFonts w:hint="eastAsia" w:hAnsi="宋体" w:cs="宋体"/>
                <w:color w:val="auto"/>
                <w:kern w:val="2"/>
                <w:sz w:val="21"/>
                <w:szCs w:val="21"/>
                <w:highlight w:val="none"/>
                <w:shd w:val="clear" w:color="auto" w:fill="auto"/>
              </w:rPr>
              <w:t>分</w:t>
            </w:r>
            <w:r>
              <w:rPr>
                <w:rFonts w:hint="eastAsia" w:hAnsi="宋体" w:cs="宋体"/>
                <w:color w:val="auto"/>
                <w:kern w:val="2"/>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98" w:type="dxa"/>
            <w:vMerge w:val="continue"/>
            <w:tcBorders>
              <w:left w:val="single" w:color="auto" w:sz="4" w:space="0"/>
              <w:right w:val="single" w:color="auto" w:sz="4" w:space="0"/>
            </w:tcBorders>
            <w:vAlign w:val="center"/>
          </w:tcPr>
          <w:p>
            <w:pPr>
              <w:rPr>
                <w:rFonts w:hint="eastAsia"/>
                <w:color w:val="auto"/>
                <w:sz w:val="21"/>
                <w:szCs w:val="21"/>
                <w:highlight w:val="none"/>
                <w:shd w:val="clear" w:color="auto" w:fill="auto"/>
                <w:lang w:eastAsia="zh-CN"/>
              </w:rPr>
            </w:pPr>
          </w:p>
        </w:tc>
        <w:tc>
          <w:tcPr>
            <w:tcW w:w="1013" w:type="dxa"/>
            <w:tcBorders>
              <w:top w:val="single" w:color="auto" w:sz="4" w:space="0"/>
              <w:left w:val="single" w:color="auto" w:sz="4" w:space="0"/>
              <w:bottom w:val="single" w:color="auto" w:sz="4" w:space="0"/>
              <w:right w:val="single" w:color="auto" w:sz="4" w:space="0"/>
            </w:tcBorders>
            <w:vAlign w:val="top"/>
          </w:tcPr>
          <w:p>
            <w:pPr>
              <w:pStyle w:val="36"/>
              <w:spacing w:before="47"/>
              <w:ind w:right="0" w:rightChars="0"/>
              <w:rPr>
                <w:rFonts w:hint="default" w:ascii="宋体" w:hAnsi="宋体" w:eastAsia="宋体" w:cs="宋体"/>
                <w:color w:val="auto"/>
                <w:kern w:val="2"/>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项目实施方案</w:t>
            </w:r>
          </w:p>
        </w:tc>
        <w:tc>
          <w:tcPr>
            <w:tcW w:w="808" w:type="dxa"/>
            <w:tcBorders>
              <w:top w:val="single" w:color="auto" w:sz="4" w:space="0"/>
              <w:left w:val="single" w:color="auto" w:sz="4" w:space="0"/>
              <w:bottom w:val="single" w:color="auto" w:sz="4" w:space="0"/>
              <w:right w:val="single" w:color="auto" w:sz="4" w:space="0"/>
            </w:tcBorders>
            <w:vAlign w:val="center"/>
          </w:tcPr>
          <w:p>
            <w:pPr>
              <w:pStyle w:val="36"/>
              <w:spacing w:before="47"/>
              <w:ind w:right="0" w:rightChars="0"/>
              <w:rPr>
                <w:rFonts w:hint="eastAsia" w:ascii="宋体" w:hAnsi="宋体" w:eastAsia="宋体" w:cs="宋体"/>
                <w:color w:val="auto"/>
                <w:kern w:val="2"/>
                <w:sz w:val="21"/>
                <w:szCs w:val="21"/>
                <w:highlight w:val="none"/>
                <w:shd w:val="clear" w:color="auto" w:fill="auto"/>
                <w:lang w:val="en-US" w:eastAsia="zh-CN"/>
              </w:rPr>
            </w:pPr>
            <w:r>
              <w:rPr>
                <w:rFonts w:hint="eastAsia" w:cs="宋体"/>
                <w:color w:val="auto"/>
                <w:kern w:val="2"/>
                <w:sz w:val="21"/>
                <w:szCs w:val="21"/>
                <w:highlight w:val="none"/>
                <w:shd w:val="clear" w:color="auto" w:fill="auto"/>
                <w:lang w:val="en-US" w:eastAsia="zh-CN"/>
              </w:rPr>
              <w:t>8</w:t>
            </w:r>
            <w:r>
              <w:rPr>
                <w:rFonts w:hint="eastAsia" w:ascii="宋体" w:hAnsi="宋体" w:eastAsia="宋体" w:cs="宋体"/>
                <w:color w:val="auto"/>
                <w:kern w:val="2"/>
                <w:sz w:val="21"/>
                <w:szCs w:val="21"/>
                <w:highlight w:val="none"/>
                <w:shd w:val="clear" w:color="auto" w:fill="auto"/>
              </w:rPr>
              <w:t>分</w:t>
            </w:r>
          </w:p>
        </w:tc>
        <w:tc>
          <w:tcPr>
            <w:tcW w:w="6059"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color w:val="auto"/>
                <w:kern w:val="2"/>
                <w:sz w:val="21"/>
                <w:szCs w:val="21"/>
                <w:highlight w:val="none"/>
                <w:shd w:val="clear" w:color="auto" w:fill="auto"/>
              </w:rPr>
            </w:pPr>
            <w:r>
              <w:rPr>
                <w:rFonts w:hint="eastAsia" w:cs="宋体"/>
                <w:color w:val="auto"/>
                <w:sz w:val="21"/>
                <w:szCs w:val="21"/>
                <w:highlight w:val="none"/>
                <w:shd w:val="clear" w:color="auto" w:fill="auto"/>
                <w:lang w:val="en-US" w:eastAsia="zh-CN"/>
              </w:rPr>
              <w:t>包括施工方案</w:t>
            </w:r>
            <w:r>
              <w:rPr>
                <w:rFonts w:hint="eastAsia" w:ascii="宋体" w:hAnsi="宋体" w:eastAsia="宋体" w:cs="宋体"/>
                <w:color w:val="auto"/>
                <w:kern w:val="0"/>
                <w:sz w:val="21"/>
                <w:szCs w:val="21"/>
                <w:highlight w:val="none"/>
                <w:shd w:val="clear" w:color="auto" w:fill="auto"/>
                <w:lang w:val="en-US" w:eastAsia="zh-CN" w:bidi="ar"/>
              </w:rPr>
              <w:t>与技术措施</w:t>
            </w:r>
            <w:r>
              <w:rPr>
                <w:rFonts w:hint="eastAsia" w:cs="宋体"/>
                <w:color w:val="auto"/>
                <w:kern w:val="0"/>
                <w:sz w:val="21"/>
                <w:szCs w:val="21"/>
                <w:highlight w:val="none"/>
                <w:shd w:val="clear" w:color="auto" w:fill="auto"/>
                <w:lang w:val="en-US" w:eastAsia="zh-CN" w:bidi="ar"/>
              </w:rPr>
              <w:t>、</w:t>
            </w:r>
            <w:r>
              <w:rPr>
                <w:rFonts w:hint="eastAsia" w:ascii="宋体" w:hAnsi="宋体" w:eastAsia="宋体" w:cs="宋体"/>
                <w:color w:val="auto"/>
                <w:kern w:val="0"/>
                <w:sz w:val="21"/>
                <w:szCs w:val="21"/>
                <w:highlight w:val="none"/>
                <w:shd w:val="clear" w:color="auto" w:fill="auto"/>
                <w:lang w:val="en-US" w:eastAsia="zh-CN" w:bidi="ar"/>
              </w:rPr>
              <w:t>施工安全措施</w:t>
            </w:r>
            <w:r>
              <w:rPr>
                <w:rFonts w:hint="eastAsia" w:cs="宋体"/>
                <w:color w:val="auto"/>
                <w:kern w:val="0"/>
                <w:sz w:val="21"/>
                <w:szCs w:val="21"/>
                <w:highlight w:val="none"/>
                <w:shd w:val="clear" w:color="auto" w:fill="auto"/>
                <w:lang w:val="en-US" w:eastAsia="zh-CN" w:bidi="ar"/>
              </w:rPr>
              <w:t>、</w:t>
            </w:r>
            <w:r>
              <w:rPr>
                <w:rFonts w:hint="eastAsia" w:ascii="宋体" w:hAnsi="宋体" w:eastAsia="宋体" w:cs="宋体"/>
                <w:color w:val="auto"/>
                <w:kern w:val="0"/>
                <w:sz w:val="21"/>
                <w:szCs w:val="21"/>
                <w:highlight w:val="none"/>
                <w:shd w:val="clear" w:color="auto" w:fill="auto"/>
                <w:lang w:val="en-US" w:eastAsia="zh-CN" w:bidi="ar"/>
              </w:rPr>
              <w:t>施工环保措施</w:t>
            </w:r>
            <w:r>
              <w:rPr>
                <w:rFonts w:hint="eastAsia" w:cs="宋体"/>
                <w:color w:val="auto"/>
                <w:kern w:val="0"/>
                <w:sz w:val="21"/>
                <w:szCs w:val="21"/>
                <w:highlight w:val="none"/>
                <w:shd w:val="clear" w:color="auto" w:fill="auto"/>
                <w:lang w:val="en-US" w:eastAsia="zh-CN" w:bidi="ar"/>
              </w:rPr>
              <w:t>、</w:t>
            </w:r>
            <w:r>
              <w:rPr>
                <w:rFonts w:hint="eastAsia" w:ascii="宋体" w:hAnsi="宋体" w:eastAsia="宋体" w:cs="宋体"/>
                <w:color w:val="auto"/>
                <w:kern w:val="0"/>
                <w:sz w:val="21"/>
                <w:szCs w:val="21"/>
                <w:highlight w:val="none"/>
                <w:shd w:val="clear" w:color="auto" w:fill="auto"/>
                <w:lang w:val="en-US" w:eastAsia="zh-CN" w:bidi="ar"/>
              </w:rPr>
              <w:t>质量保证措施</w:t>
            </w:r>
            <w:r>
              <w:rPr>
                <w:rFonts w:hint="eastAsia" w:cs="宋体"/>
                <w:color w:val="auto"/>
                <w:kern w:val="0"/>
                <w:sz w:val="21"/>
                <w:szCs w:val="21"/>
                <w:highlight w:val="none"/>
                <w:shd w:val="clear" w:color="auto" w:fill="auto"/>
                <w:lang w:val="en-US" w:eastAsia="zh-CN" w:bidi="ar"/>
              </w:rPr>
              <w:t>等，方案可行性针对性强，8-6分方案合理，只有可操作性6-4分，缺项0分。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1" w:hRule="atLeast"/>
        </w:trPr>
        <w:tc>
          <w:tcPr>
            <w:tcW w:w="698" w:type="dxa"/>
            <w:tcBorders>
              <w:left w:val="single" w:color="auto" w:sz="4" w:space="0"/>
              <w:right w:val="single" w:color="auto" w:sz="4" w:space="0"/>
            </w:tcBorders>
            <w:vAlign w:val="center"/>
          </w:tcPr>
          <w:p>
            <w:pPr>
              <w:spacing w:after="0"/>
              <w:jc w:val="both"/>
              <w:rPr>
                <w:rFonts w:hint="eastAsia" w:ascii="宋体" w:hAnsi="宋体" w:eastAsia="宋体" w:cs="宋体"/>
                <w:color w:val="auto"/>
                <w:sz w:val="21"/>
                <w:szCs w:val="21"/>
                <w:highlight w:val="none"/>
                <w:shd w:val="clear" w:color="auto" w:fill="auto"/>
                <w:lang w:val="en-US" w:eastAsia="zh-CN" w:bidi="zh-CN"/>
              </w:rPr>
            </w:pPr>
            <w:r>
              <w:rPr>
                <w:rFonts w:hint="eastAsia" w:ascii="宋体" w:hAnsi="宋体" w:eastAsia="宋体" w:cs="宋体"/>
                <w:color w:val="auto"/>
                <w:sz w:val="21"/>
                <w:szCs w:val="21"/>
                <w:highlight w:val="none"/>
                <w:shd w:val="clear" w:color="auto" w:fill="auto"/>
                <w:lang w:val="en-US" w:eastAsia="zh-CN" w:bidi="zh-CN"/>
              </w:rPr>
              <w:t>政策性加分（5分）</w:t>
            </w:r>
          </w:p>
          <w:p>
            <w:pPr>
              <w:rPr>
                <w:color w:val="auto"/>
                <w:szCs w:val="21"/>
                <w:highlight w:val="none"/>
                <w:shd w:val="clear" w:color="auto" w:fill="auto"/>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bidi="zh-CN"/>
              </w:rPr>
              <w:t>政策性加分</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bidi="zh-CN"/>
              </w:rPr>
              <w:t>5分</w:t>
            </w:r>
          </w:p>
        </w:tc>
        <w:tc>
          <w:tcPr>
            <w:tcW w:w="6059" w:type="dxa"/>
            <w:tcBorders>
              <w:top w:val="single" w:color="auto" w:sz="4" w:space="0"/>
              <w:left w:val="single" w:color="auto" w:sz="4" w:space="0"/>
              <w:bottom w:val="single" w:color="auto" w:sz="4" w:space="0"/>
              <w:right w:val="single" w:color="auto" w:sz="4" w:space="0"/>
            </w:tcBorders>
            <w:vAlign w:val="center"/>
          </w:tcPr>
          <w:p>
            <w:pPr>
              <w:pStyle w:val="36"/>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46"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国家市场监管总局确定的认证机构出具的、处于有效期之内的节能产品、环境标志产品认证证书。（复印件加盖投标单位公章）</w:t>
            </w:r>
          </w:p>
          <w:p>
            <w:pPr>
              <w:pStyle w:val="36"/>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46" w:line="360" w:lineRule="auto"/>
              <w:textAlignment w:val="auto"/>
              <w:rPr>
                <w:rFonts w:hint="eastAsia"/>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2、对原产地在少数民族自治区和享受少数民族自治待遇的省份的投标主产品(不含附带产品)，享受政策性加分和价格扣除，在总得分基础上加3分。投标主产品按照不得低于本采购项目预算金额50%进行确定。① 少数民族自治区：内蒙古自治区、新疆维吾尔自治区、宁夏 回族自治区、广西壮族自治区、西藏自治区； ② 享受少数民族自治待遇的省份：青海省、云南省、贵州省。</w:t>
            </w:r>
          </w:p>
        </w:tc>
      </w:tr>
    </w:tbl>
    <w:p>
      <w:pPr>
        <w:jc w:val="center"/>
        <w:rPr>
          <w:b/>
          <w:bCs/>
          <w:color w:val="auto"/>
          <w:sz w:val="28"/>
          <w:szCs w:val="28"/>
          <w:highlight w:val="none"/>
          <w:shd w:val="clear" w:color="auto" w:fill="auto"/>
        </w:rPr>
      </w:pPr>
    </w:p>
    <w:p>
      <w:pPr>
        <w:rPr>
          <w:b/>
          <w:color w:val="auto"/>
          <w:sz w:val="24"/>
          <w:highlight w:val="none"/>
          <w:shd w:val="clear" w:color="auto" w:fill="auto"/>
        </w:rPr>
      </w:pPr>
    </w:p>
    <w:p>
      <w:pPr>
        <w:pStyle w:val="11"/>
        <w:rPr>
          <w:color w:val="auto"/>
          <w:highlight w:val="none"/>
          <w:shd w:val="clear" w:color="auto" w:fill="auto"/>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jc w:val="center"/>
        <w:rPr>
          <w:b w:val="0"/>
          <w:bCs w:val="0"/>
          <w:color w:val="auto"/>
          <w:sz w:val="44"/>
          <w:szCs w:val="44"/>
          <w:highlight w:val="none"/>
          <w:shd w:val="clear" w:color="auto" w:fill="auto"/>
        </w:rPr>
      </w:pPr>
      <w:bookmarkStart w:id="12" w:name="_Toc532559330"/>
      <w:bookmarkStart w:id="13" w:name="_Toc67240017"/>
      <w:r>
        <w:rPr>
          <w:rFonts w:hint="eastAsia"/>
          <w:color w:val="auto"/>
          <w:sz w:val="44"/>
          <w:szCs w:val="44"/>
          <w:highlight w:val="none"/>
          <w:shd w:val="clear" w:color="auto" w:fill="auto"/>
        </w:rPr>
        <w:t xml:space="preserve">第三章 </w:t>
      </w:r>
      <w:r>
        <w:rPr>
          <w:rFonts w:hint="eastAsia"/>
          <w:color w:val="auto"/>
          <w:sz w:val="44"/>
          <w:szCs w:val="44"/>
          <w:highlight w:val="none"/>
          <w:shd w:val="clear" w:color="auto" w:fill="auto"/>
          <w:lang w:eastAsia="zh-CN"/>
        </w:rPr>
        <w:t>磋商</w:t>
      </w:r>
      <w:r>
        <w:rPr>
          <w:rFonts w:hint="eastAsia"/>
          <w:color w:val="auto"/>
          <w:sz w:val="44"/>
          <w:szCs w:val="44"/>
          <w:highlight w:val="none"/>
          <w:shd w:val="clear" w:color="auto" w:fill="auto"/>
        </w:rPr>
        <w:t>供应商须知正文部分</w:t>
      </w:r>
      <w:bookmarkEnd w:id="12"/>
      <w:bookmarkEnd w:id="13"/>
    </w:p>
    <w:p>
      <w:pPr>
        <w:adjustRightInd w:val="0"/>
        <w:snapToGrid w:val="0"/>
        <w:spacing w:line="360" w:lineRule="auto"/>
        <w:rPr>
          <w:b/>
          <w:color w:val="auto"/>
          <w:sz w:val="28"/>
          <w:szCs w:val="28"/>
          <w:highlight w:val="none"/>
          <w:shd w:val="clear" w:color="auto" w:fill="auto"/>
        </w:rPr>
      </w:pPr>
      <w:r>
        <w:rPr>
          <w:rFonts w:hint="eastAsia"/>
          <w:b/>
          <w:color w:val="auto"/>
          <w:sz w:val="28"/>
          <w:szCs w:val="28"/>
          <w:highlight w:val="none"/>
          <w:shd w:val="clear" w:color="auto" w:fill="auto"/>
        </w:rPr>
        <w:t>一、说明</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1.适用范围</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1.1本</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文件仅适用于邀请中所叙述项目的</w:t>
      </w:r>
      <w:r>
        <w:rPr>
          <w:rFonts w:hint="eastAsia" w:asciiTheme="minorEastAsia" w:hAnsiTheme="minorEastAsia" w:eastAsiaTheme="minorEastAsia"/>
          <w:bCs/>
          <w:color w:val="auto"/>
          <w:sz w:val="24"/>
          <w:szCs w:val="24"/>
          <w:highlight w:val="none"/>
          <w:shd w:val="clear" w:color="auto" w:fill="auto"/>
          <w:lang w:eastAsia="zh-CN"/>
        </w:rPr>
        <w:t>货物</w:t>
      </w:r>
      <w:r>
        <w:rPr>
          <w:rFonts w:hint="eastAsia" w:asciiTheme="minorEastAsia" w:hAnsiTheme="minorEastAsia" w:eastAsiaTheme="minorEastAsia"/>
          <w:bCs/>
          <w:color w:val="auto"/>
          <w:sz w:val="24"/>
          <w:szCs w:val="24"/>
          <w:highlight w:val="none"/>
          <w:shd w:val="clear" w:color="auto" w:fill="auto"/>
        </w:rPr>
        <w:t>采购。</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2.定义</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2.1“采购人”系指采购单位。是采购活动当事人之一，负责项目的整体规划、技术方案可行性设计论证与实施，作为合同采购方(用户)的主体承担质疑回复、履行合同、验收等义务。</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2.2“采购单位”系指组织本次采购活动的采购人。</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2.3“</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响应供应商”系指购买了本</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文件，且已经提交或准备提交响应文件的制造商或供货商。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2.5“服务”系指除货物和工程以外的其他政府采购对象。</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3.合格的</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响应供应商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3.1见《</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供应商须知前附表2》。</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3.2</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响应供应商应遵守有关法律、法规和规章的规定，同时其响应货物或服务也应符合有关法律、法规和规章的规定。</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3.3本次招标不接受联合体。</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3.4</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响应供应商不得与本次</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项下设计、编制技术规格和其他文件的公司或提供咨询服务的公司包括其附属机构有任何关联。</w:t>
      </w:r>
    </w:p>
    <w:p>
      <w:pPr>
        <w:spacing w:line="360" w:lineRule="auto"/>
        <w:ind w:firstLine="480" w:firstLineChars="200"/>
        <w:rPr>
          <w:rFonts w:hint="eastAsia"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3.5</w:t>
      </w:r>
      <w:r>
        <w:rPr>
          <w:rFonts w:hint="eastAsia" w:hAnsi="宋体"/>
          <w:color w:val="auto"/>
          <w:sz w:val="24"/>
          <w:szCs w:val="24"/>
          <w:highlight w:val="none"/>
          <w:shd w:val="clear" w:color="auto" w:fill="auto"/>
        </w:rPr>
        <w:t>一个供应商只能委托一个代表参与同一项目的投标，一个代表只能代表一个供应商。</w:t>
      </w:r>
      <w:r>
        <w:rPr>
          <w:rFonts w:hint="eastAsia" w:hAnsi="宋体"/>
          <w:color w:val="auto"/>
          <w:sz w:val="24"/>
          <w:highlight w:val="none"/>
          <w:shd w:val="clear" w:color="auto" w:fill="auto"/>
        </w:rPr>
        <w:t>如果供应商存在下列互为关联关系的情形之一的，不得同时参加本项目投标。</w:t>
      </w:r>
    </w:p>
    <w:p>
      <w:pPr>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hAnsi="宋体"/>
          <w:color w:val="auto"/>
          <w:sz w:val="24"/>
          <w:highlight w:val="none"/>
          <w:shd w:val="clear" w:color="auto" w:fill="auto"/>
        </w:rPr>
        <w:t>单位负责人为同一人或者存在直接控股、管理关系的不同供应商，不得参加同一合同项下的政府采购活动。</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w:t>
      </w:r>
      <w:r>
        <w:rPr>
          <w:rFonts w:asciiTheme="minorEastAsia" w:hAnsiTheme="minorEastAsia" w:eastAsiaTheme="minorEastAsia"/>
          <w:bCs/>
          <w:color w:val="auto"/>
          <w:sz w:val="24"/>
          <w:szCs w:val="24"/>
          <w:highlight w:val="none"/>
          <w:shd w:val="clear" w:color="auto" w:fill="auto"/>
        </w:rPr>
        <w:t>6</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响应供应商存在下列情形之一的，将被认定为串通响应行为并作无效响应处理：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响应供应商之间协商</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报价；</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响应供应商之间约定成交供应商；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响应供应商之间约定部分</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响应供应商放弃</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响应或者成交；</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（4）属于同一集团、协会、商会等组织成员的</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响应供应商按照该组织</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要求协同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（5）</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响应供应商之间为谋取成交或者排斥特定</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响应供应商而采取其他联合行动；</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（6）不同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响应供应商的响应文件由同一单位或者个人编制；</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（7）不同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响应供应商委托同一单位或者个人办理</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响应事宜；</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（8）不同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响应供应商的响应文件载明的项目管理成员为同一人；</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（9）不同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响应供应商的响应文件报价呈规律性差异；</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（10）不同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响应供应商的响应文件相互混装；</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（11）不同</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保证金从同一单位或者个人的账户转出。</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（12）不同的</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响应供应商的法定代表人、委托代理人等由同一个单位缴纳社会保险的；</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（13）由同一人或分别由几个有利害关系的人携带两个以上（含两个）</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响应供应商的企业资料参与资格审查、领取采购资料，或代表两个以上（含两个）</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响应供应商参加项目答疑会、交纳或退还</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保证金、参加</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的；</w:t>
      </w:r>
    </w:p>
    <w:p>
      <w:pPr>
        <w:adjustRightInd w:val="0"/>
        <w:snapToGrid w:val="0"/>
        <w:spacing w:line="360" w:lineRule="auto"/>
        <w:ind w:firstLine="480"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（14）有关法律、法规或规章规定的其他串通行为</w:t>
      </w:r>
      <w:r>
        <w:rPr>
          <w:rFonts w:hint="eastAsia" w:asciiTheme="minorEastAsia" w:hAnsiTheme="minorEastAsia" w:eastAsiaTheme="minorEastAsia"/>
          <w:b/>
          <w:color w:val="auto"/>
          <w:sz w:val="24"/>
          <w:szCs w:val="24"/>
          <w:highlight w:val="none"/>
          <w:shd w:val="clear" w:color="auto" w:fill="auto"/>
        </w:rPr>
        <w:t>。</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4.知识产权</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4.1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响应供应商应保证在本项目使用任何产品或其任何一部分时，不会产生因第三方提出侵犯其专利权、商标权或其它知识产权而引起的法律和经济责任。因此产生的法律和经济责任由</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响应供应商承担。</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二、</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文件</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5.</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文件的组成</w:t>
      </w:r>
    </w:p>
    <w:p>
      <w:pPr>
        <w:adjustRightInd w:val="0"/>
        <w:snapToGrid w:val="0"/>
        <w:spacing w:line="360" w:lineRule="auto"/>
        <w:ind w:firstLine="480" w:firstLineChars="200"/>
        <w:rPr>
          <w:rFonts w:hint="eastAsia" w:asciiTheme="minorEastAsia" w:hAnsiTheme="minorEastAsia" w:eastAsiaTheme="minorEastAsia"/>
          <w:bCs/>
          <w:color w:val="auto"/>
          <w:sz w:val="24"/>
          <w:szCs w:val="24"/>
          <w:highlight w:val="none"/>
          <w:shd w:val="clear" w:color="auto" w:fill="auto"/>
          <w:lang w:eastAsia="zh-CN"/>
        </w:rPr>
      </w:pPr>
      <w:r>
        <w:rPr>
          <w:rFonts w:hint="eastAsia" w:asciiTheme="minorEastAsia" w:hAnsiTheme="minorEastAsia" w:eastAsiaTheme="minorEastAsia"/>
          <w:bCs/>
          <w:color w:val="auto"/>
          <w:sz w:val="24"/>
          <w:szCs w:val="24"/>
          <w:highlight w:val="none"/>
          <w:shd w:val="clear" w:color="auto" w:fill="auto"/>
        </w:rPr>
        <w:t>5.1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文件用以阐明所需货物及服务、</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程序和合同格式及条款。</w:t>
      </w:r>
      <w:r>
        <w:rPr>
          <w:rFonts w:hint="eastAsia" w:asciiTheme="minorEastAsia" w:hAnsiTheme="minorEastAsia" w:eastAsiaTheme="minorEastAsia"/>
          <w:bCs/>
          <w:color w:val="auto"/>
          <w:sz w:val="24"/>
          <w:szCs w:val="24"/>
          <w:highlight w:val="none"/>
          <w:shd w:val="clear" w:color="auto" w:fill="auto"/>
          <w:lang w:eastAsia="zh-CN"/>
        </w:rPr>
        <w:t>磋商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文件由下述部分组成：</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邀请</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响应供应商须知</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供应商须知正文部分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（4）采购内容及要求</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（5）政府采购合同</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（6）响应文件格式</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6.</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文件的澄清与修改</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1、供应商认为招标文件、采购过程和中标结果使自己的权益受到损害的，可以在知道或者应知其权益受到损害之日起至</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前一个工作日内，以书面原件形式向采购代理机构提出质疑，逾期，代理公司将不再接受对</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文件内容提出的质疑。</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2、</w:t>
      </w:r>
      <w:r>
        <w:rPr>
          <w:rFonts w:hint="eastAsia" w:asciiTheme="minorEastAsia" w:hAnsiTheme="minorEastAsia" w:eastAsiaTheme="minorEastAsia"/>
          <w:bCs/>
          <w:color w:val="auto"/>
          <w:sz w:val="24"/>
          <w:szCs w:val="24"/>
          <w:highlight w:val="none"/>
          <w:shd w:val="clear" w:color="auto" w:fill="auto"/>
        </w:rPr>
        <w:t>供应商应知其权益受到损害之日是指：对招标文件提出质疑的，为下载招标文件之日。</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2.1对采购过程提出质疑的，为采购过程此环节结束之日；</w:t>
      </w:r>
    </w:p>
    <w:p>
      <w:pPr>
        <w:adjustRightInd w:val="0"/>
        <w:snapToGrid w:val="0"/>
        <w:spacing w:line="360" w:lineRule="auto"/>
        <w:ind w:firstLine="480" w:firstLineChars="200"/>
        <w:rPr>
          <w:rFonts w:hint="eastAsia"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2.2对中标结果提出质疑的，为中标结果公告发布之日后</w:t>
      </w:r>
      <w:r>
        <w:rPr>
          <w:rFonts w:asciiTheme="minorEastAsia" w:hAnsiTheme="minorEastAsia" w:eastAsiaTheme="minorEastAsia"/>
          <w:bCs/>
          <w:color w:val="auto"/>
          <w:sz w:val="24"/>
          <w:szCs w:val="24"/>
          <w:highlight w:val="none"/>
          <w:shd w:val="clear" w:color="auto" w:fill="auto"/>
        </w:rPr>
        <w:t>3</w:t>
      </w:r>
      <w:r>
        <w:rPr>
          <w:rFonts w:hint="eastAsia" w:asciiTheme="minorEastAsia" w:hAnsiTheme="minorEastAsia" w:eastAsiaTheme="minorEastAsia"/>
          <w:bCs/>
          <w:color w:val="auto"/>
          <w:sz w:val="24"/>
          <w:szCs w:val="24"/>
          <w:highlight w:val="none"/>
          <w:shd w:val="clear" w:color="auto" w:fill="auto"/>
        </w:rPr>
        <w:t>个工作日内。</w:t>
      </w:r>
    </w:p>
    <w:p>
      <w:pPr>
        <w:adjustRightInd w:val="0"/>
        <w:snapToGrid w:val="0"/>
        <w:spacing w:line="360" w:lineRule="auto"/>
        <w:ind w:firstLine="480" w:firstLineChars="200"/>
        <w:rPr>
          <w:rFonts w:hint="eastAsia" w:asciiTheme="minorEastAsia" w:hAnsiTheme="minorEastAsia" w:eastAsiaTheme="minorEastAsia"/>
          <w:bCs/>
          <w:color w:val="auto"/>
          <w:sz w:val="24"/>
          <w:szCs w:val="24"/>
          <w:highlight w:val="none"/>
          <w:shd w:val="clear" w:color="auto" w:fill="auto"/>
          <w:lang w:val="en-US" w:eastAsia="zh-CN"/>
        </w:rPr>
      </w:pPr>
      <w:r>
        <w:rPr>
          <w:rFonts w:hint="eastAsia" w:asciiTheme="minorEastAsia" w:hAnsiTheme="minorEastAsia" w:eastAsiaTheme="minorEastAsia"/>
          <w:bCs/>
          <w:color w:val="auto"/>
          <w:sz w:val="24"/>
          <w:szCs w:val="24"/>
          <w:highlight w:val="none"/>
          <w:shd w:val="clear" w:color="auto" w:fill="auto"/>
          <w:lang w:val="en-US" w:eastAsia="zh-CN"/>
        </w:rPr>
        <w:t>3、质疑与投诉</w:t>
      </w:r>
    </w:p>
    <w:p>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Times New Roman"/>
          <w:b w:val="0"/>
          <w:bCs/>
          <w:color w:val="auto"/>
          <w:sz w:val="24"/>
          <w:szCs w:val="24"/>
          <w:highlight w:val="none"/>
          <w:shd w:val="clear" w:color="auto" w:fill="auto"/>
          <w:lang w:val="en-US" w:eastAsia="zh-CN" w:bidi="ar-SA"/>
        </w:rPr>
      </w:pP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.1供应商认为招标文件、采购过程和中标结果使自己的权益受到损害的，可以在知道或者应知其权益受到损害之日起七个工作日内，以书面原件形式向采购人或代理机构提出质疑，逾期质疑无效。</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.2供应商应知其权益受到损害之日是指：对招标文件提出质疑的，为收到招标文件之日或者招标文件公告期限届满之日；</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（1）对采购过程提出质疑的，为各采购程序环节结束之日；</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（2）对中标结果提出质疑的，为中标结果公告发布之日。</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.3质疑文件应当包括下列主要内容：</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质疑供应商和相关供应商的名称、地址、联系人及联系电话等；质疑项目及编号、质疑事项；认为采购文件、采购过程、中标和成交结果使自己的合法权益受到损害的法律依据、事实依据、相关证明材料及证据来源；提出质疑的日期。（注：质疑函格式详相关政府采购文件）</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.4质疑函应当署名：质疑供应商为自然人的，应当由本人签字；质疑供应商为法人的，应当由法人代表签字并加盖法人章，质疑供应商为其他组织的，应当由其负责人签字并加盖单位公章。</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5供应商质疑应当有明确的请求和必要的证明材料，质疑内容不得含有虚假、恶意成份。依照谁主张谁举证的原则，提出质疑者必须同时提交相关确凿的证据材料和注明证据的确切来源，证据来源必须合法，采购人或代理机构有权将质疑函转发质疑事项各关联方，请其作出解释说明。对捏造事实、滥用维权扰乱采购秩序的恶意质疑者，将上报政府采购监督管理部门依法处理。</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.6质疑供应商对采购人、招标代理机构的质疑答复不满意，或者采购人、招标代理机构未在规定期限内作出答复的，可以在答复期满后15个工作日内向采购人的同级政府采购监督管理部门提起投诉。</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.7质疑受理部门：</w:t>
      </w:r>
      <w:r>
        <w:rPr>
          <w:rFonts w:hint="eastAsia" w:cs="宋体"/>
          <w:b w:val="0"/>
          <w:color w:val="auto"/>
          <w:sz w:val="24"/>
          <w:szCs w:val="22"/>
          <w:highlight w:val="none"/>
          <w:shd w:val="clear" w:color="auto" w:fill="auto"/>
          <w:lang w:val="en-US" w:eastAsia="zh-CN" w:bidi="ar-SA"/>
        </w:rPr>
        <w:t>贵州万和工程招标代理造价咨询有限责任公司</w:t>
      </w:r>
      <w:r>
        <w:rPr>
          <w:rFonts w:hint="eastAsia" w:ascii="宋体" w:hAnsi="宋体" w:eastAsia="宋体" w:cs="Times New Roman"/>
          <w:b w:val="0"/>
          <w:bCs/>
          <w:color w:val="auto"/>
          <w:sz w:val="24"/>
          <w:szCs w:val="24"/>
          <w:highlight w:val="none"/>
          <w:shd w:val="clear" w:color="auto" w:fill="auto"/>
          <w:lang w:val="en-US" w:eastAsia="zh-CN" w:bidi="ar-SA"/>
        </w:rPr>
        <w:t>或</w:t>
      </w:r>
      <w:r>
        <w:rPr>
          <w:rFonts w:hint="eastAsia" w:cs="Times New Roman"/>
          <w:b w:val="0"/>
          <w:bCs/>
          <w:color w:val="auto"/>
          <w:sz w:val="24"/>
          <w:szCs w:val="24"/>
          <w:highlight w:val="none"/>
          <w:shd w:val="clear" w:color="auto" w:fill="auto"/>
          <w:lang w:val="en-US" w:eastAsia="zh-CN" w:bidi="ar-SA"/>
        </w:rPr>
        <w:t>铜仁市生态环境局石阡分局</w:t>
      </w:r>
      <w:r>
        <w:rPr>
          <w:rFonts w:hint="eastAsia" w:ascii="宋体" w:hAnsi="宋体" w:eastAsia="宋体" w:cs="Times New Roman"/>
          <w:b w:val="0"/>
          <w:bCs/>
          <w:color w:val="auto"/>
          <w:sz w:val="24"/>
          <w:szCs w:val="24"/>
          <w:highlight w:val="none"/>
          <w:shd w:val="clear" w:color="auto" w:fill="auto"/>
          <w:lang w:val="en-US" w:eastAsia="zh-CN" w:bidi="ar-SA"/>
        </w:rPr>
        <w:t> </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.8提交质疑文件地点：贵阳市云岩区延安中路81号（鑫海大厦19楼座），（只接受现场提交书面质疑函）（只接受现场提交书面质疑函）。联系电话：18385891992</w:t>
      </w:r>
      <w:r>
        <w:rPr>
          <w:rFonts w:hint="eastAsia" w:ascii="宋体" w:hAnsi="宋体" w:eastAsia="宋体" w:cs="Times New Roman"/>
          <w:b w:val="0"/>
          <w:bCs/>
          <w:color w:val="auto"/>
          <w:sz w:val="24"/>
          <w:szCs w:val="24"/>
          <w:highlight w:val="none"/>
          <w:shd w:val="clear" w:color="auto" w:fill="auto"/>
          <w:lang w:val="en-US" w:eastAsia="zh-CN" w:bidi="ar-SA"/>
        </w:rPr>
        <w:br w:type="textWrapping"/>
      </w:r>
      <w:r>
        <w:rPr>
          <w:rFonts w:hint="eastAsia" w:ascii="宋体" w:hAnsi="宋体" w:eastAsia="宋体" w:cs="Times New Roman"/>
          <w:b w:val="0"/>
          <w:bCs/>
          <w:color w:val="auto"/>
          <w:sz w:val="24"/>
          <w:szCs w:val="24"/>
          <w:highlight w:val="none"/>
          <w:shd w:val="clear" w:color="auto" w:fill="auto"/>
          <w:lang w:val="en-US" w:eastAsia="zh-CN" w:bidi="ar-SA"/>
        </w:rPr>
        <w:t xml:space="preserve">  </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w:t>
      </w:r>
      <w:r>
        <w:rPr>
          <w:rFonts w:hint="eastAsia" w:cs="Times New Roman"/>
          <w:b w:val="0"/>
          <w:bCs/>
          <w:color w:val="auto"/>
          <w:sz w:val="24"/>
          <w:szCs w:val="24"/>
          <w:highlight w:val="none"/>
          <w:shd w:val="clear" w:color="auto" w:fill="auto"/>
          <w:lang w:val="en-US" w:eastAsia="zh-CN" w:bidi="ar-SA"/>
        </w:rPr>
        <w:t>3</w:t>
      </w:r>
      <w:r>
        <w:rPr>
          <w:rFonts w:hint="eastAsia" w:ascii="宋体" w:hAnsi="宋体" w:eastAsia="宋体" w:cs="Times New Roman"/>
          <w:b w:val="0"/>
          <w:bCs/>
          <w:color w:val="auto"/>
          <w:sz w:val="24"/>
          <w:szCs w:val="24"/>
          <w:highlight w:val="none"/>
          <w:shd w:val="clear" w:color="auto" w:fill="auto"/>
          <w:lang w:val="en-US" w:eastAsia="zh-CN" w:bidi="ar-SA"/>
        </w:rPr>
        <w:t>.9本次采购活动中，采购人或招标代理机构对质疑回复等文件的送达方式为现场取件、邮寄（到付方式）或电子邮件。</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三、响应文件的编写</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7.要求</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7.1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响应供应商应仔细阅读</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文件的所有内容，按</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文件的要求提供响应文件，响应文件应对</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文件的要求作出实质性响应，并保证所提供的</w:t>
      </w:r>
    </w:p>
    <w:p>
      <w:pPr>
        <w:adjustRightInd w:val="0"/>
        <w:snapToGrid w:val="0"/>
        <w:spacing w:line="360" w:lineRule="auto"/>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全部资料的真实性，否则其响应文件可被作响应无效处理。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7.2除非有另外的规定，</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响应供应商应按被邀请参加响应的合同包进行报价，同时，应对所报价合同包下的所有品目号进行报价。采购人不接受有任</w:t>
      </w:r>
    </w:p>
    <w:p>
      <w:pPr>
        <w:adjustRightInd w:val="0"/>
        <w:snapToGrid w:val="0"/>
        <w:spacing w:line="360" w:lineRule="auto"/>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何可选择性的报价，每一种货物、服务、工程只能有一个报价。</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8.</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响应文件语言及报价要求</w:t>
      </w:r>
    </w:p>
    <w:p>
      <w:pPr>
        <w:adjustRightInd w:val="0"/>
        <w:snapToGrid w:val="0"/>
        <w:spacing w:line="360" w:lineRule="auto"/>
        <w:ind w:firstLine="480"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响应文件应用中文书写。响应文件中所附或所引用的的原件不是中文时，应附中文译文。各种计量单位及符号应采用国际上统一使用的公制计量单位和符号。</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9.</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响应文件的组成包括下列部分</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9</w:t>
      </w: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响应声明函</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9</w:t>
      </w:r>
      <w:r>
        <w:rPr>
          <w:rFonts w:hint="eastAsia" w:asciiTheme="minorEastAsia" w:hAnsiTheme="minorEastAsia" w:eastAsiaTheme="minorEastAsia"/>
          <w:bCs/>
          <w:color w:val="auto"/>
          <w:sz w:val="24"/>
          <w:szCs w:val="24"/>
          <w:highlight w:val="none"/>
          <w:shd w:val="clear" w:color="auto" w:fill="auto"/>
        </w:rPr>
        <w:t>.2、报价一览表</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9</w:t>
      </w:r>
      <w:r>
        <w:rPr>
          <w:rFonts w:hint="eastAsia" w:asciiTheme="minorEastAsia" w:hAnsiTheme="minorEastAsia" w:eastAsiaTheme="minorEastAsia"/>
          <w:bCs/>
          <w:color w:val="auto"/>
          <w:sz w:val="24"/>
          <w:szCs w:val="24"/>
          <w:highlight w:val="none"/>
          <w:shd w:val="clear" w:color="auto" w:fill="auto"/>
        </w:rPr>
        <w:t>.3、技术规格偏离表</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9</w:t>
      </w:r>
      <w:r>
        <w:rPr>
          <w:rFonts w:hint="eastAsia" w:asciiTheme="minorEastAsia" w:hAnsiTheme="minorEastAsia" w:eastAsiaTheme="minorEastAsia"/>
          <w:bCs/>
          <w:color w:val="auto"/>
          <w:sz w:val="24"/>
          <w:szCs w:val="24"/>
          <w:highlight w:val="none"/>
          <w:shd w:val="clear" w:color="auto" w:fill="auto"/>
        </w:rPr>
        <w:t>.4、商务条款偏离表</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9</w:t>
      </w:r>
      <w:r>
        <w:rPr>
          <w:rFonts w:hint="eastAsia" w:asciiTheme="minorEastAsia" w:hAnsiTheme="minorEastAsia" w:eastAsiaTheme="minorEastAsia"/>
          <w:bCs/>
          <w:color w:val="auto"/>
          <w:sz w:val="24"/>
          <w:szCs w:val="24"/>
          <w:highlight w:val="none"/>
          <w:shd w:val="clear" w:color="auto" w:fill="auto"/>
        </w:rPr>
        <w:t>.5、法定代表人授权书</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rPr>
        <w:t>9</w:t>
      </w:r>
      <w:r>
        <w:rPr>
          <w:rFonts w:hint="eastAsia" w:asciiTheme="minorEastAsia" w:hAnsiTheme="minorEastAsia" w:eastAsiaTheme="minorEastAsia"/>
          <w:bCs/>
          <w:color w:val="auto"/>
          <w:sz w:val="24"/>
          <w:szCs w:val="24"/>
          <w:highlight w:val="none"/>
          <w:shd w:val="clear" w:color="auto" w:fill="auto"/>
        </w:rPr>
        <w:t>.6、</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响应供应商提交的其他资料</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10.</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响应有效期</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10.1响应文件从</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响应供应商须知前附表1所规定的</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响应截止期之日开始生效，在</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响应供应商须知前附表所规定的期限内保持有效。有效期不足将导致其响应文件被拒绝。</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10.2特殊情况下采购代理机构可于</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有效期满之前书面要求</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响应供应商同意延长有效期，</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响应供应商应在采购代理机构规定的期限内以书面形式予以答复。</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响应供应商可以拒绝上述要求而其</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保证金可按规定予以退还。</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响应供应商答复不明确或者逾期未答复的，均视为拒绝上述要求。对于接受该要求的</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响应供应商，既不要求也不允许其修改响应文件，但将要求其相应延长</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保证金有效期，有关退还和不予退还</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保证金的规定在报价有效期延长期内继续有效。</w:t>
      </w:r>
    </w:p>
    <w:p>
      <w:pPr>
        <w:adjustRightInd w:val="0"/>
        <w:snapToGrid w:val="0"/>
        <w:spacing w:line="360" w:lineRule="auto"/>
        <w:ind w:firstLine="480" w:firstLineChars="200"/>
        <w:rPr>
          <w:rFonts w:hint="eastAsia"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11.</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保证金：见</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供应商须知前要求。</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12.</w:t>
      </w:r>
      <w:r>
        <w:rPr>
          <w:rFonts w:hint="eastAsia" w:asciiTheme="minorEastAsia" w:hAnsiTheme="minorEastAsia" w:eastAsiaTheme="minorEastAsia"/>
          <w:b/>
          <w:color w:val="auto"/>
          <w:sz w:val="24"/>
          <w:szCs w:val="24"/>
          <w:highlight w:val="none"/>
          <w:shd w:val="clear" w:color="auto" w:fill="auto"/>
          <w:lang w:eastAsia="zh-CN"/>
        </w:rPr>
        <w:t>磋商</w:t>
      </w:r>
      <w:r>
        <w:rPr>
          <w:rFonts w:hint="eastAsia" w:asciiTheme="minorEastAsia" w:hAnsiTheme="minorEastAsia" w:eastAsiaTheme="minorEastAsia"/>
          <w:b/>
          <w:color w:val="auto"/>
          <w:sz w:val="24"/>
          <w:szCs w:val="24"/>
          <w:highlight w:val="none"/>
          <w:shd w:val="clear" w:color="auto" w:fill="auto"/>
        </w:rPr>
        <w:t>响应文件的格式</w:t>
      </w:r>
    </w:p>
    <w:p>
      <w:pPr>
        <w:adjustRightInd w:val="0"/>
        <w:snapToGrid w:val="0"/>
        <w:spacing w:line="360" w:lineRule="auto"/>
        <w:ind w:firstLine="480" w:firstLineChars="200"/>
        <w:rPr>
          <w:rFonts w:asciiTheme="minorEastAsia" w:hAnsiTheme="minorEastAsia" w:eastAsiaTheme="minorEastAsia"/>
          <w:b w:val="0"/>
          <w:bCs/>
          <w:color w:val="auto"/>
          <w:sz w:val="24"/>
          <w:szCs w:val="24"/>
          <w:highlight w:val="none"/>
          <w:shd w:val="clear" w:color="auto" w:fill="auto"/>
        </w:rPr>
      </w:pPr>
      <w:r>
        <w:rPr>
          <w:rFonts w:hint="eastAsia" w:asciiTheme="minorEastAsia" w:hAnsiTheme="minorEastAsia" w:eastAsiaTheme="minorEastAsia"/>
          <w:b w:val="0"/>
          <w:bCs/>
          <w:color w:val="auto"/>
          <w:sz w:val="24"/>
          <w:szCs w:val="24"/>
          <w:highlight w:val="none"/>
          <w:shd w:val="clear" w:color="auto" w:fill="auto"/>
        </w:rPr>
        <w:t>12.1投标人应将投标文件用密封袋密封，投标文件密封袋及正文封面均应注明“正本”</w:t>
      </w:r>
      <w:r>
        <w:rPr>
          <w:rFonts w:hint="eastAsia" w:asciiTheme="minorEastAsia" w:hAnsiTheme="minorEastAsia" w:eastAsiaTheme="minorEastAsia"/>
          <w:b w:val="0"/>
          <w:bCs/>
          <w:color w:val="auto"/>
          <w:sz w:val="24"/>
          <w:szCs w:val="24"/>
          <w:highlight w:val="none"/>
          <w:shd w:val="clear" w:color="auto" w:fill="auto"/>
          <w:lang w:eastAsia="zh-CN"/>
        </w:rPr>
        <w:t>或</w:t>
      </w:r>
      <w:r>
        <w:rPr>
          <w:rFonts w:hint="eastAsia" w:asciiTheme="minorEastAsia" w:hAnsiTheme="minorEastAsia" w:eastAsiaTheme="minorEastAsia"/>
          <w:b w:val="0"/>
          <w:bCs/>
          <w:color w:val="auto"/>
          <w:sz w:val="24"/>
          <w:szCs w:val="24"/>
          <w:highlight w:val="none"/>
          <w:shd w:val="clear" w:color="auto" w:fill="auto"/>
        </w:rPr>
        <w:t>“副本”。正副本密封袋及投标文件封面均应写明项目名称、</w:t>
      </w:r>
      <w:r>
        <w:rPr>
          <w:rFonts w:hint="eastAsia" w:asciiTheme="minorEastAsia" w:hAnsiTheme="minorEastAsia" w:eastAsiaTheme="minorEastAsia"/>
          <w:b w:val="0"/>
          <w:bCs/>
          <w:color w:val="auto"/>
          <w:sz w:val="24"/>
          <w:szCs w:val="24"/>
          <w:highlight w:val="none"/>
          <w:shd w:val="clear" w:color="auto" w:fill="auto"/>
          <w:lang w:val="en-US" w:eastAsia="zh-CN"/>
        </w:rPr>
        <w:t>项目</w:t>
      </w:r>
      <w:r>
        <w:rPr>
          <w:rFonts w:hint="eastAsia" w:asciiTheme="minorEastAsia" w:hAnsiTheme="minorEastAsia" w:eastAsiaTheme="minorEastAsia"/>
          <w:b w:val="0"/>
          <w:bCs/>
          <w:color w:val="auto"/>
          <w:sz w:val="24"/>
          <w:szCs w:val="24"/>
          <w:highlight w:val="none"/>
          <w:shd w:val="clear" w:color="auto" w:fill="auto"/>
        </w:rPr>
        <w:t>编号、投标人名称、地址、联系人及联系人电话，并加盖投标单位公章。封袋口密封处必须加盖骑缝章并注明“开标时启封”的字样。</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12.2响应文件应由</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响应供应商的法定代表人或其授权代表签字并加盖</w:t>
      </w:r>
    </w:p>
    <w:p>
      <w:pPr>
        <w:adjustRightInd w:val="0"/>
        <w:snapToGrid w:val="0"/>
        <w:spacing w:line="360" w:lineRule="auto"/>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公章，如由后者签字，应提供“法定代表人授权委托书”。</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12.3除非另有规定或许可，</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响应使用货币为人民币。</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12.4</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响应供应商应提交证明其拟供货物、服务、工程符合</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文件要求的技术响应文件，该文件可以是文字资料、图纸和数据，并须提供货物、服务、工程主要技术性能的详细描述。</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12.5</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文件的正本和全部副本均应使用不能擦去的墨料或墨水打印、书写或复印，并由法定代表人或其授权代表签署，盖</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响应供应商公章。</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12.6全套响应文件应无涂改和行间插字，除非这些改动是根据采购代理机构的指示进行的，或者是为改正</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响应供应商造成的必须修改的错误而进行的。有改动时，修改处应由法定代表人或授权代表签字证明或加盖</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响应供应商公章。</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12.7未按本须知规定的格式填写响应文件、响应文件字迹模糊不清的，其</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响应将被拒绝。</w:t>
      </w:r>
    </w:p>
    <w:p>
      <w:pPr>
        <w:adjustRightInd w:val="0"/>
        <w:snapToGrid w:val="0"/>
        <w:spacing w:line="360" w:lineRule="auto"/>
        <w:ind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12.8所有资格证明文件复印件须加盖</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响应供应商公章。</w:t>
      </w:r>
    </w:p>
    <w:p>
      <w:pPr>
        <w:adjustRightInd w:val="0"/>
        <w:snapToGrid w:val="0"/>
        <w:spacing w:line="360" w:lineRule="auto"/>
        <w:ind w:firstLine="480"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12.9</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响应供应商应将上述文件按顺序装订成册、打印页码，并编列响应文件目录、资料清单，由于装订不规范或编排顺序混乱而导致响应文件被误读或漏读，该</w:t>
      </w:r>
      <w:r>
        <w:rPr>
          <w:rFonts w:hint="eastAsia" w:asciiTheme="minorEastAsia" w:hAnsiTheme="minorEastAsia" w:eastAsiaTheme="minorEastAsia"/>
          <w:bCs/>
          <w:color w:val="auto"/>
          <w:sz w:val="24"/>
          <w:szCs w:val="24"/>
          <w:highlight w:val="none"/>
          <w:shd w:val="clear" w:color="auto" w:fill="auto"/>
          <w:lang w:eastAsia="zh-CN"/>
        </w:rPr>
        <w:t>磋商</w:t>
      </w:r>
      <w:r>
        <w:rPr>
          <w:rFonts w:hint="eastAsia" w:asciiTheme="minorEastAsia" w:hAnsiTheme="minorEastAsia" w:eastAsiaTheme="minorEastAsia"/>
          <w:bCs/>
          <w:color w:val="auto"/>
          <w:sz w:val="24"/>
          <w:szCs w:val="24"/>
          <w:highlight w:val="none"/>
          <w:shd w:val="clear" w:color="auto" w:fill="auto"/>
        </w:rPr>
        <w:t>响应可能被视为无效响应或承担不利的评审结果</w:t>
      </w:r>
      <w:r>
        <w:rPr>
          <w:rFonts w:hint="eastAsia" w:asciiTheme="minorEastAsia" w:hAnsiTheme="minorEastAsia" w:eastAsiaTheme="minorEastAsia"/>
          <w:b/>
          <w:color w:val="auto"/>
          <w:sz w:val="24"/>
          <w:szCs w:val="24"/>
          <w:highlight w:val="none"/>
          <w:shd w:val="clear" w:color="auto" w:fill="auto"/>
        </w:rPr>
        <w:t>。</w:t>
      </w:r>
    </w:p>
    <w:p>
      <w:pPr>
        <w:adjustRightInd w:val="0"/>
        <w:snapToGrid w:val="0"/>
        <w:spacing w:line="360" w:lineRule="auto"/>
        <w:ind w:firstLine="482" w:firstLineChars="200"/>
        <w:rPr>
          <w:rFonts w:asciiTheme="minorEastAsia" w:hAnsiTheme="minorEastAsia" w:eastAsiaTheme="minorEastAsia"/>
          <w:b/>
          <w:color w:val="auto"/>
          <w:sz w:val="24"/>
          <w:szCs w:val="24"/>
          <w:highlight w:val="none"/>
          <w:shd w:val="clear" w:color="auto" w:fill="auto"/>
        </w:rPr>
      </w:pPr>
      <w:r>
        <w:rPr>
          <w:rFonts w:hint="eastAsia" w:asciiTheme="minorEastAsia" w:hAnsiTheme="minorEastAsia" w:eastAsiaTheme="minorEastAsia"/>
          <w:b/>
          <w:color w:val="auto"/>
          <w:sz w:val="24"/>
          <w:szCs w:val="24"/>
          <w:highlight w:val="none"/>
          <w:shd w:val="clear" w:color="auto" w:fill="auto"/>
        </w:rPr>
        <w:t>四、响应文件的提交</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13.响应文件的密封、标记和递交</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13.1</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响应供应商应将响应文件正本和副本分别密封，并标明</w:t>
      </w:r>
      <w:r>
        <w:rPr>
          <w:rFonts w:hint="eastAsia" w:asciiTheme="minorEastAsia" w:hAnsiTheme="minorEastAsia" w:eastAsiaTheme="minorEastAsia"/>
          <w:b w:val="0"/>
          <w:bCs/>
          <w:color w:val="auto"/>
          <w:sz w:val="24"/>
          <w:szCs w:val="24"/>
          <w:highlight w:val="none"/>
          <w:shd w:val="clear" w:color="auto" w:fill="auto"/>
        </w:rPr>
        <w:t>项目名称、</w:t>
      </w:r>
      <w:r>
        <w:rPr>
          <w:rFonts w:hint="eastAsia" w:asciiTheme="minorEastAsia" w:hAnsiTheme="minorEastAsia" w:eastAsiaTheme="minorEastAsia"/>
          <w:b w:val="0"/>
          <w:bCs/>
          <w:color w:val="auto"/>
          <w:sz w:val="24"/>
          <w:szCs w:val="24"/>
          <w:highlight w:val="none"/>
          <w:shd w:val="clear" w:color="auto" w:fill="auto"/>
          <w:lang w:val="en-US" w:eastAsia="zh-CN"/>
        </w:rPr>
        <w:t>项目</w:t>
      </w:r>
      <w:r>
        <w:rPr>
          <w:rFonts w:hint="eastAsia" w:asciiTheme="minorEastAsia" w:hAnsiTheme="minorEastAsia" w:eastAsiaTheme="minorEastAsia"/>
          <w:b w:val="0"/>
          <w:bCs/>
          <w:color w:val="auto"/>
          <w:sz w:val="24"/>
          <w:szCs w:val="24"/>
          <w:highlight w:val="none"/>
          <w:shd w:val="clear" w:color="auto" w:fill="auto"/>
        </w:rPr>
        <w:t>编号、投标人名称、地址、联系人及联系人电话</w:t>
      </w:r>
      <w:r>
        <w:rPr>
          <w:rFonts w:hint="eastAsia"/>
          <w:bCs/>
          <w:color w:val="auto"/>
          <w:sz w:val="24"/>
          <w:szCs w:val="24"/>
          <w:highlight w:val="none"/>
          <w:shd w:val="clear" w:color="auto" w:fill="auto"/>
        </w:rPr>
        <w:t>及“正本”或“副本”。响应文件未密封可导致其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被拒绝。</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13.2如果未按上述规定进行密封和标记，采购代理机构将不承担由此造成的对响应文件的误投或提前拆封的责任。</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13.3响应文件应在</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邀请中规定的截止时间前送达，迟到的响应文件为无效响应文件，将被拒绝。</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13.4</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响应供应商在</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响应截止时间前，可以对所提交的</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文件进行修改或者撤回，并书面通知采购代理机构。修改的内容和撤回通知应当按本须知要求签署、盖章、密封，并作为响应文件的组成部分。</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13.5</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响应供应商在</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响应截止期后不得修改、撤回响应文件。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响应供应商在报价截止期后修改响应文件的，其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响应将被拒绝。</w:t>
      </w:r>
    </w:p>
    <w:p>
      <w:pPr>
        <w:adjustRightInd w:val="0"/>
        <w:snapToGrid w:val="0"/>
        <w:spacing w:line="360" w:lineRule="auto"/>
        <w:ind w:firstLine="480" w:firstLineChars="200"/>
        <w:rPr>
          <w:b/>
          <w:bCs w:val="0"/>
          <w:color w:val="auto"/>
          <w:sz w:val="24"/>
          <w:szCs w:val="24"/>
          <w:highlight w:val="none"/>
          <w:shd w:val="clear" w:color="auto" w:fill="auto"/>
        </w:rPr>
      </w:pPr>
      <w:r>
        <w:rPr>
          <w:rFonts w:hint="eastAsia"/>
          <w:bCs/>
          <w:color w:val="auto"/>
          <w:sz w:val="24"/>
          <w:szCs w:val="24"/>
          <w:highlight w:val="none"/>
          <w:shd w:val="clear" w:color="auto" w:fill="auto"/>
        </w:rPr>
        <w:t>1</w:t>
      </w:r>
      <w:r>
        <w:rPr>
          <w:rFonts w:hint="eastAsia"/>
          <w:bCs/>
          <w:color w:val="auto"/>
          <w:sz w:val="24"/>
          <w:szCs w:val="24"/>
          <w:highlight w:val="none"/>
          <w:shd w:val="clear" w:color="auto" w:fill="auto"/>
          <w:lang w:val="en-US"/>
        </w:rPr>
        <w:t>3</w:t>
      </w:r>
      <w:r>
        <w:rPr>
          <w:rFonts w:hint="eastAsia"/>
          <w:bCs/>
          <w:color w:val="auto"/>
          <w:sz w:val="24"/>
          <w:szCs w:val="24"/>
          <w:highlight w:val="none"/>
          <w:shd w:val="clear" w:color="auto" w:fill="auto"/>
        </w:rPr>
        <w:t>.6投标文件的签署、密封及规定，投标人应按照要求，</w:t>
      </w:r>
      <w:r>
        <w:rPr>
          <w:rFonts w:hint="eastAsia"/>
          <w:b/>
          <w:bCs w:val="0"/>
          <w:color w:val="auto"/>
          <w:sz w:val="24"/>
          <w:szCs w:val="24"/>
          <w:highlight w:val="none"/>
          <w:shd w:val="clear" w:color="auto" w:fill="auto"/>
        </w:rPr>
        <w:t>准备（1份正本、</w:t>
      </w:r>
    </w:p>
    <w:p>
      <w:pPr>
        <w:adjustRightInd w:val="0"/>
        <w:snapToGrid w:val="0"/>
        <w:spacing w:line="360" w:lineRule="auto"/>
        <w:rPr>
          <w:bCs/>
          <w:color w:val="auto"/>
          <w:sz w:val="24"/>
          <w:szCs w:val="24"/>
          <w:highlight w:val="none"/>
          <w:shd w:val="clear" w:color="auto" w:fill="auto"/>
        </w:rPr>
      </w:pPr>
      <w:r>
        <w:rPr>
          <w:rFonts w:hint="eastAsia"/>
          <w:b/>
          <w:bCs w:val="0"/>
          <w:color w:val="auto"/>
          <w:sz w:val="24"/>
          <w:szCs w:val="24"/>
          <w:highlight w:val="none"/>
          <w:shd w:val="clear" w:color="auto" w:fill="auto"/>
          <w:lang w:val="en-US" w:eastAsia="zh-CN"/>
        </w:rPr>
        <w:t>3</w:t>
      </w:r>
      <w:r>
        <w:rPr>
          <w:rFonts w:hint="eastAsia"/>
          <w:b/>
          <w:bCs w:val="0"/>
          <w:color w:val="auto"/>
          <w:sz w:val="24"/>
          <w:szCs w:val="24"/>
          <w:highlight w:val="none"/>
          <w:shd w:val="clear" w:color="auto" w:fill="auto"/>
        </w:rPr>
        <w:t>份副本</w:t>
      </w:r>
      <w:r>
        <w:rPr>
          <w:rFonts w:hint="eastAsia"/>
          <w:b/>
          <w:bCs w:val="0"/>
          <w:color w:val="auto"/>
          <w:sz w:val="24"/>
          <w:szCs w:val="24"/>
          <w:highlight w:val="none"/>
          <w:shd w:val="clear" w:color="auto" w:fill="auto"/>
          <w:lang w:eastAsia="zh-CN"/>
        </w:rPr>
        <w:t>，电子光盘或</w:t>
      </w:r>
      <w:r>
        <w:rPr>
          <w:rFonts w:hint="eastAsia"/>
          <w:b/>
          <w:bCs w:val="0"/>
          <w:color w:val="auto"/>
          <w:sz w:val="24"/>
          <w:szCs w:val="24"/>
          <w:highlight w:val="none"/>
          <w:shd w:val="clear" w:color="auto" w:fill="auto"/>
          <w:lang w:val="en-US" w:eastAsia="zh-CN"/>
        </w:rPr>
        <w:t>U盘1份</w:t>
      </w:r>
      <w:r>
        <w:rPr>
          <w:rFonts w:hint="eastAsia"/>
          <w:b/>
          <w:bCs w:val="0"/>
          <w:color w:val="auto"/>
          <w:sz w:val="24"/>
          <w:szCs w:val="24"/>
          <w:highlight w:val="none"/>
          <w:shd w:val="clear" w:color="auto" w:fill="auto"/>
        </w:rPr>
        <w:t>）</w:t>
      </w:r>
      <w:r>
        <w:rPr>
          <w:rFonts w:hint="eastAsia"/>
          <w:bCs/>
          <w:color w:val="auto"/>
          <w:sz w:val="24"/>
          <w:szCs w:val="24"/>
          <w:highlight w:val="none"/>
          <w:shd w:val="clear" w:color="auto" w:fill="auto"/>
        </w:rPr>
        <w:t>，投标文件（正、副本）内容均须按页码顺序装订成册并编制目录，并在投标文件（正、副本）内容每一页加盖投标单位公章,投标文件正副本不一致时，以正本为准。经补充后，对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文件作出实质响应的供应商只有两家的，经请示</w:t>
      </w:r>
      <w:r>
        <w:rPr>
          <w:rFonts w:hint="eastAsia"/>
          <w:bCs/>
          <w:color w:val="auto"/>
          <w:sz w:val="24"/>
          <w:szCs w:val="24"/>
          <w:highlight w:val="none"/>
          <w:shd w:val="clear" w:color="auto" w:fill="auto"/>
          <w:lang w:eastAsia="zh-CN"/>
        </w:rPr>
        <w:t>相关</w:t>
      </w:r>
      <w:r>
        <w:rPr>
          <w:rFonts w:hint="eastAsia"/>
          <w:bCs/>
          <w:color w:val="auto"/>
          <w:sz w:val="24"/>
          <w:szCs w:val="24"/>
          <w:highlight w:val="none"/>
          <w:shd w:val="clear" w:color="auto" w:fill="auto"/>
        </w:rPr>
        <w:t>部门同意后，</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小组可以与两家供应商进行</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五、响应文件的评估和比较</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14.</w:t>
      </w:r>
      <w:r>
        <w:rPr>
          <w:rFonts w:hint="eastAsia"/>
          <w:b/>
          <w:color w:val="auto"/>
          <w:sz w:val="24"/>
          <w:szCs w:val="24"/>
          <w:highlight w:val="none"/>
          <w:shd w:val="clear" w:color="auto" w:fill="auto"/>
          <w:lang w:eastAsia="zh-CN"/>
        </w:rPr>
        <w:t>磋商</w:t>
      </w:r>
      <w:r>
        <w:rPr>
          <w:rFonts w:hint="eastAsia"/>
          <w:b/>
          <w:color w:val="auto"/>
          <w:sz w:val="24"/>
          <w:szCs w:val="24"/>
          <w:highlight w:val="none"/>
          <w:shd w:val="clear" w:color="auto" w:fill="auto"/>
        </w:rPr>
        <w:t>时间</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14.1在</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响应供应商须知前附表中所规定的时间、地点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（如有推迟情形，以推迟后的时间、地点为准）。</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14.2</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由采购代理机构主持，邀请采购人、</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响应供应商和有关方面代表参加。</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响应供应商一般应派授权代表参加</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，并办理签到手续。</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15.</w:t>
      </w:r>
      <w:r>
        <w:rPr>
          <w:rFonts w:hint="eastAsia"/>
          <w:b/>
          <w:color w:val="auto"/>
          <w:sz w:val="24"/>
          <w:szCs w:val="24"/>
          <w:highlight w:val="none"/>
          <w:shd w:val="clear" w:color="auto" w:fill="auto"/>
          <w:lang w:eastAsia="zh-CN"/>
        </w:rPr>
        <w:t>磋商</w:t>
      </w:r>
      <w:r>
        <w:rPr>
          <w:rFonts w:hint="eastAsia"/>
          <w:b/>
          <w:color w:val="auto"/>
          <w:sz w:val="24"/>
          <w:szCs w:val="24"/>
          <w:highlight w:val="none"/>
          <w:shd w:val="clear" w:color="auto" w:fill="auto"/>
        </w:rPr>
        <w:t>小组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采购代理机构将根据项目的特点及相关规定组建</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小组由技术、经济方面的专家和采购人代表（具有相关专业且具有评标资格的专家）组成。成员为3人及以上单数组成，专家不能少于三分之二。</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小组将对响应文件进行审查、评估和比较，进行</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并做出授予合同的建议。</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16.响应文件的初审</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对所有</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响应供应商的评估，都采用相同的程序和标准。评议过程将严格按照</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文件的要求和条件进行。</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有关响应文件的审查、澄清、评估和比较以及推荐成交候选人的一切情况都不得透露给任一</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响应供应商或与上诉</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工作无关的人员。</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响应供应商任何试图影响</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小组对响应文件的评审、比较或者推荐候选人的行为，都将导致其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响应被拒绝，并被没收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保证金。</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16.1开标时，投标文件开启之前，除对投标文件的密封进行检查外，主要是对投标人的投标人身份（授权委托书、被授权人身份证原件）进行核查，如未能提供，视为无效投标。</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16.2评标时，需审查以下资质文件原件：</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16.3</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小组将对响应文件进行审查，以确定响应文件是否完整、有无计算上的错误、是否提交了</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保证金、文件是否已正确签署。</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16.4算术错误将按以下方法更正：</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w:t>
      </w:r>
      <w:r>
        <w:rPr>
          <w:rFonts w:hint="eastAsia"/>
          <w:bCs/>
          <w:color w:val="auto"/>
          <w:sz w:val="24"/>
          <w:szCs w:val="24"/>
          <w:highlight w:val="none"/>
          <w:shd w:val="clear" w:color="auto" w:fill="auto"/>
          <w:lang w:val="en-US"/>
        </w:rPr>
        <w:t>1</w:t>
      </w:r>
      <w:r>
        <w:rPr>
          <w:rFonts w:hint="eastAsia"/>
          <w:bCs/>
          <w:color w:val="auto"/>
          <w:sz w:val="24"/>
          <w:szCs w:val="24"/>
          <w:highlight w:val="none"/>
          <w:shd w:val="clear" w:color="auto" w:fill="auto"/>
        </w:rPr>
        <w:t>）响应文件中报价一览表内容与响应文件中明细表内容不一致的，以报价一览表为准。</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w:t>
      </w:r>
      <w:r>
        <w:rPr>
          <w:rFonts w:hint="eastAsia"/>
          <w:bCs/>
          <w:color w:val="auto"/>
          <w:sz w:val="24"/>
          <w:szCs w:val="24"/>
          <w:highlight w:val="none"/>
          <w:shd w:val="clear" w:color="auto" w:fill="auto"/>
          <w:lang w:val="en-US"/>
        </w:rPr>
        <w:t>2</w:t>
      </w:r>
      <w:r>
        <w:rPr>
          <w:rFonts w:hint="eastAsia"/>
          <w:bCs/>
          <w:color w:val="auto"/>
          <w:sz w:val="24"/>
          <w:szCs w:val="24"/>
          <w:highlight w:val="none"/>
          <w:shd w:val="clear" w:color="auto" w:fill="auto"/>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如果</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响应供应商不接受按上述方法对响应文件中的算术错误进行更正，其响应将被拒绝并没收其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保证金。</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16.5资格性检查和符合性检查</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16.5.1资格性检查。依据法律法规和</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文件的规定，在对响应文件详细评估之前，</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小组将依据</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响应供应商提交的响应文件按</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响应供应商须知前附表所述的资格性要求对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响应供应商进行资格审查,以确定其是否具备</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资格。如果</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响应供应商不具备</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资格，不满足</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文件所规定的资格标准或提供资格证明文件不全的,其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响应将被拒绝。</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16.5.2符合性检查。依据</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文件的规定，</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小组还将从响应文件的有效性、完整性和对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文件的响应程度进行审查，以确定其是否符合对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文件的实质性要求作出响应。（采购人可根据具体项目的情况对实质性要求作特别的规定。）实质性偏离是指：(1)实质性影响合同的范围、质量和履行；(2)实质性违背</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文件，限制了采购人的权利和成交供应商合同项下的义务；((3)不公正地影响了其它作出实质性响应的</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响应供应商的竞争地位。对没有实质性响应的响应文件将不进行评估，其响应将按照无效响应处理。凡有下列情况之一者，响应文件也将被视为未实质性响应</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文件要求：</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(1)响应文件未按照本须知规定进行封包的；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(2)未按规定由</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响应供应商的授权代表签字或未加盖公章的；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(3)</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保证金未在</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响应截止时间前到账的；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(4)响应文件有效期不满足</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文件要求的；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(5)响应文件内容与采购内容及要求有重大偏离或保留的；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(6)响应供应商提交的是可选择的报价；</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(7)响应文件中提供虚假或失实资料的；</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(8)不符合</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文件中规定的其它实质性条款。</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小组决定报价的响应性</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只根据响应文件本身的内容，而不寻求其他的外部证据。</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w:t>
      </w:r>
      <w:r>
        <w:rPr>
          <w:rFonts w:hint="eastAsia"/>
          <w:bCs/>
          <w:color w:val="auto"/>
          <w:sz w:val="24"/>
          <w:szCs w:val="24"/>
          <w:highlight w:val="none"/>
          <w:shd w:val="clear" w:color="auto" w:fill="auto"/>
          <w:lang w:val="en-US"/>
        </w:rPr>
        <w:t>6.5</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响应供应商提交的响应文件将给予保密，但不予退回。</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lang w:val="en-US"/>
        </w:rPr>
        <w:t>16.6</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响应供应商资格和报价产品均必须满足中华人民共和国相关法律法规及行业的强制性要求，否则将作无效响应处理。</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17.</w:t>
      </w:r>
      <w:r>
        <w:rPr>
          <w:rFonts w:hint="eastAsia"/>
          <w:b/>
          <w:color w:val="auto"/>
          <w:sz w:val="24"/>
          <w:szCs w:val="24"/>
          <w:highlight w:val="none"/>
          <w:shd w:val="clear" w:color="auto" w:fill="auto"/>
          <w:lang w:eastAsia="zh-CN"/>
        </w:rPr>
        <w:t>磋商</w:t>
      </w:r>
      <w:r>
        <w:rPr>
          <w:rFonts w:hint="eastAsia"/>
          <w:b/>
          <w:color w:val="auto"/>
          <w:sz w:val="24"/>
          <w:szCs w:val="24"/>
          <w:highlight w:val="none"/>
          <w:shd w:val="clear" w:color="auto" w:fill="auto"/>
        </w:rPr>
        <w:t>相应文件的澄清</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文件中含义不明确、同类问题表述不一致或者有明显文字和计算错误的内容，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小组可以书面形式要求</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响应供应商作出必要的澄清、说明或者纠正。</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响应供应商的澄清、说明或者补正应当在</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小组规定的时间内以书面形式作出，由其法定代表人或者授权代表签字，并不得超出响应文件的范围或者改变响应文件的实质性内容。</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18.比较与评价</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18.1本次</w:t>
      </w:r>
      <w:r>
        <w:rPr>
          <w:rFonts w:hint="eastAsia"/>
          <w:bCs/>
          <w:color w:val="auto"/>
          <w:sz w:val="24"/>
          <w:szCs w:val="24"/>
          <w:highlight w:val="none"/>
          <w:shd w:val="clear" w:color="auto" w:fill="auto"/>
          <w:lang w:eastAsia="zh-CN"/>
        </w:rPr>
        <w:t>竞争性磋商</w:t>
      </w:r>
      <w:r>
        <w:rPr>
          <w:rFonts w:hint="eastAsia"/>
          <w:bCs/>
          <w:color w:val="auto"/>
          <w:sz w:val="24"/>
          <w:szCs w:val="24"/>
          <w:highlight w:val="none"/>
          <w:shd w:val="clear" w:color="auto" w:fill="auto"/>
        </w:rPr>
        <w:t>采用</w:t>
      </w:r>
      <w:r>
        <w:rPr>
          <w:rFonts w:hint="eastAsia"/>
          <w:bCs/>
          <w:color w:val="auto"/>
          <w:sz w:val="24"/>
          <w:szCs w:val="24"/>
          <w:highlight w:val="none"/>
          <w:shd w:val="clear" w:color="auto" w:fill="auto"/>
          <w:lang w:eastAsia="zh-CN"/>
        </w:rPr>
        <w:t>综合</w:t>
      </w:r>
      <w:r>
        <w:rPr>
          <w:rFonts w:hint="eastAsia"/>
          <w:bCs/>
          <w:color w:val="auto"/>
          <w:sz w:val="24"/>
          <w:szCs w:val="24"/>
          <w:highlight w:val="none"/>
          <w:shd w:val="clear" w:color="auto" w:fill="auto"/>
        </w:rPr>
        <w:t>评标法。</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18.2对漏（缺）报项的处理：</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文件中要求列入报价的费用（含配置、功能），漏（缺）报的视同已含在报价总价中。但在评审时取有效</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响应供应商该项最高报价加入漏（缺）报人的</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响应报价进行评审。对多报及赠送项的价格评审时不予核减，全部进入评审价评议。</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18.3若</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响应供应商的报价明显低于其他报价，使得其报价可能低于其个别成本的，有可能影响商品质量或不能诚信履约的，</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相应供应商应按</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小组要求作出书面说明并提供相关证明材料，不能合理说明或不能提供相关证明材料的，可作无效报价处理。</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六、成交与签订合同</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19.成交准则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hAnsi="宋体"/>
          <w:color w:val="auto"/>
          <w:sz w:val="24"/>
          <w:szCs w:val="22"/>
          <w:highlight w:val="none"/>
          <w:shd w:val="clear" w:color="auto" w:fill="auto"/>
        </w:rPr>
      </w:pPr>
      <w:r>
        <w:rPr>
          <w:rFonts w:hint="eastAsia" w:hAnsi="宋体"/>
          <w:color w:val="auto"/>
          <w:sz w:val="24"/>
          <w:szCs w:val="22"/>
          <w:highlight w:val="none"/>
          <w:shd w:val="clear" w:color="auto" w:fill="auto"/>
          <w:lang w:val="en-US" w:eastAsia="zh-CN"/>
        </w:rPr>
        <w:t>19.1磋商：磋商小组所有成员集中对通过资格审查</w:t>
      </w:r>
      <w:r>
        <w:rPr>
          <w:rFonts w:hint="eastAsia"/>
          <w:color w:val="auto"/>
          <w:sz w:val="24"/>
          <w:szCs w:val="22"/>
          <w:highlight w:val="none"/>
          <w:shd w:val="clear" w:color="auto" w:fill="auto"/>
          <w:lang w:val="en-US" w:eastAsia="zh-CN"/>
        </w:rPr>
        <w:t>的</w:t>
      </w:r>
      <w:r>
        <w:rPr>
          <w:rFonts w:hint="eastAsia" w:hAnsi="宋体"/>
          <w:color w:val="auto"/>
          <w:sz w:val="24"/>
          <w:szCs w:val="22"/>
          <w:highlight w:val="none"/>
          <w:shd w:val="clear" w:color="auto" w:fill="auto"/>
          <w:lang w:val="en-US" w:eastAsia="zh-CN"/>
        </w:rPr>
        <w:t xml:space="preserve">单一供应商分别进行磋商。在磋商过程中，磋商小组可以根据磋商文件和磋商情况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hAnsi="宋体"/>
          <w:color w:val="auto"/>
          <w:sz w:val="24"/>
          <w:szCs w:val="22"/>
          <w:highlight w:val="none"/>
          <w:shd w:val="clear" w:color="auto" w:fill="auto"/>
        </w:rPr>
      </w:pPr>
      <w:r>
        <w:rPr>
          <w:rFonts w:hint="eastAsia" w:hAnsi="宋体"/>
          <w:color w:val="auto"/>
          <w:sz w:val="24"/>
          <w:szCs w:val="22"/>
          <w:highlight w:val="none"/>
          <w:shd w:val="clear" w:color="auto" w:fill="auto"/>
          <w:lang w:val="en-US" w:eastAsia="zh-CN"/>
        </w:rPr>
        <w:t xml:space="preserve">19.2最后报价：磋商结束后，磋商小组要求所有通过资格审查供应商按照磋商文件的变动情况和磋商小组的要求在规定时间内进行最后报价，并由其法定代表人或授权代表签字或者盖章。最后报价是供应商响应文件的有效组成部分。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hAnsi="宋体"/>
          <w:color w:val="auto"/>
          <w:sz w:val="24"/>
          <w:highlight w:val="none"/>
          <w:shd w:val="clear" w:color="auto" w:fill="auto"/>
        </w:rPr>
      </w:pPr>
      <w:r>
        <w:rPr>
          <w:rFonts w:hint="eastAsia" w:hAnsi="宋体"/>
          <w:color w:val="auto"/>
          <w:sz w:val="24"/>
          <w:highlight w:val="none"/>
          <w:shd w:val="clear" w:color="auto" w:fill="auto"/>
          <w:lang w:val="en-US" w:eastAsia="zh-CN"/>
        </w:rPr>
        <w:t>19.3</w:t>
      </w:r>
      <w:r>
        <w:rPr>
          <w:rFonts w:hint="eastAsia" w:hAnsi="宋体"/>
          <w:color w:val="auto"/>
          <w:sz w:val="24"/>
          <w:highlight w:val="none"/>
          <w:shd w:val="clear" w:color="auto" w:fill="auto"/>
        </w:rPr>
        <w:t>评标委员会采用综合评分法，用量化指标评价各供应商综合水平，以各项评标因素评价得分的累积值高低，排出优劣。以得分最高者推荐</w:t>
      </w:r>
      <w:r>
        <w:rPr>
          <w:rFonts w:hint="eastAsia" w:hAnsi="宋体"/>
          <w:color w:val="auto"/>
          <w:sz w:val="24"/>
          <w:highlight w:val="none"/>
          <w:shd w:val="clear" w:color="auto" w:fill="auto"/>
          <w:lang w:eastAsia="zh-CN"/>
        </w:rPr>
        <w:t>为</w:t>
      </w:r>
      <w:r>
        <w:rPr>
          <w:rFonts w:hint="eastAsia" w:hAnsi="宋体"/>
          <w:color w:val="auto"/>
          <w:sz w:val="24"/>
          <w:highlight w:val="none"/>
          <w:shd w:val="clear" w:color="auto" w:fill="auto"/>
        </w:rPr>
        <w:t>中标人，得分次高者为候补中标人。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20.成交通知</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结束后，</w:t>
      </w:r>
      <w:r>
        <w:rPr>
          <w:rFonts w:hint="eastAsia" w:asciiTheme="minorEastAsia" w:hAnsiTheme="minorEastAsia" w:eastAsiaTheme="minorEastAsia"/>
          <w:bCs/>
          <w:color w:val="auto"/>
          <w:sz w:val="24"/>
          <w:szCs w:val="24"/>
          <w:highlight w:val="none"/>
          <w:u w:val="single"/>
          <w:shd w:val="clear" w:color="auto" w:fill="auto"/>
          <w:lang w:val="en-US" w:eastAsia="zh-CN"/>
        </w:rPr>
        <w:t>贵州万和工程招标代理造价咨询有限责任公司</w:t>
      </w:r>
      <w:r>
        <w:rPr>
          <w:rFonts w:hint="eastAsia"/>
          <w:bCs/>
          <w:color w:val="auto"/>
          <w:sz w:val="24"/>
          <w:szCs w:val="24"/>
          <w:highlight w:val="none"/>
          <w:shd w:val="clear" w:color="auto" w:fill="auto"/>
        </w:rPr>
        <w:t>将中标候选人报</w:t>
      </w:r>
      <w:r>
        <w:rPr>
          <w:rFonts w:hint="eastAsia"/>
          <w:bCs/>
          <w:color w:val="auto"/>
          <w:sz w:val="24"/>
          <w:szCs w:val="24"/>
          <w:highlight w:val="none"/>
          <w:shd w:val="clear" w:color="auto" w:fill="auto"/>
          <w:lang w:eastAsia="zh-CN"/>
        </w:rPr>
        <w:t>采购</w:t>
      </w:r>
      <w:r>
        <w:rPr>
          <w:rFonts w:hint="eastAsia"/>
          <w:bCs/>
          <w:color w:val="auto"/>
          <w:sz w:val="24"/>
          <w:szCs w:val="24"/>
          <w:highlight w:val="none"/>
          <w:shd w:val="clear" w:color="auto" w:fill="auto"/>
        </w:rPr>
        <w:t>单位进行审核，</w:t>
      </w:r>
      <w:r>
        <w:rPr>
          <w:rFonts w:hint="eastAsia"/>
          <w:bCs/>
          <w:color w:val="auto"/>
          <w:sz w:val="24"/>
          <w:szCs w:val="24"/>
          <w:highlight w:val="none"/>
          <w:shd w:val="clear" w:color="auto" w:fill="auto"/>
          <w:lang w:eastAsia="zh-CN"/>
        </w:rPr>
        <w:t>采购</w:t>
      </w:r>
      <w:r>
        <w:rPr>
          <w:rFonts w:hint="eastAsia"/>
          <w:bCs/>
          <w:color w:val="auto"/>
          <w:sz w:val="24"/>
          <w:szCs w:val="24"/>
          <w:highlight w:val="none"/>
          <w:shd w:val="clear" w:color="auto" w:fill="auto"/>
        </w:rPr>
        <w:t>单位审核确定中标人后发放</w:t>
      </w:r>
      <w:r>
        <w:rPr>
          <w:rFonts w:hint="eastAsia"/>
          <w:bCs/>
          <w:color w:val="auto"/>
          <w:sz w:val="24"/>
          <w:szCs w:val="24"/>
          <w:highlight w:val="none"/>
          <w:shd w:val="clear" w:color="auto" w:fill="auto"/>
          <w:lang w:eastAsia="zh-CN"/>
        </w:rPr>
        <w:t>中标通知书（</w:t>
      </w:r>
      <w:r>
        <w:rPr>
          <w:rFonts w:hint="eastAsia"/>
          <w:bCs/>
          <w:color w:val="auto"/>
          <w:sz w:val="24"/>
          <w:szCs w:val="24"/>
          <w:highlight w:val="none"/>
          <w:shd w:val="clear" w:color="auto" w:fill="auto"/>
        </w:rPr>
        <w:t>成交通知书</w:t>
      </w:r>
      <w:r>
        <w:rPr>
          <w:rFonts w:hint="eastAsia"/>
          <w:bCs/>
          <w:color w:val="auto"/>
          <w:sz w:val="24"/>
          <w:szCs w:val="24"/>
          <w:highlight w:val="none"/>
          <w:shd w:val="clear" w:color="auto" w:fill="auto"/>
          <w:lang w:eastAsia="zh-CN"/>
        </w:rPr>
        <w:t>）</w:t>
      </w:r>
      <w:r>
        <w:rPr>
          <w:rFonts w:hint="eastAsia"/>
          <w:bCs/>
          <w:color w:val="auto"/>
          <w:sz w:val="24"/>
          <w:szCs w:val="24"/>
          <w:highlight w:val="none"/>
          <w:shd w:val="clear" w:color="auto" w:fill="auto"/>
        </w:rPr>
        <w:t>，</w:t>
      </w:r>
      <w:r>
        <w:rPr>
          <w:rFonts w:hint="eastAsia"/>
          <w:bCs/>
          <w:color w:val="auto"/>
          <w:sz w:val="24"/>
          <w:szCs w:val="24"/>
          <w:highlight w:val="none"/>
          <w:shd w:val="clear" w:color="auto" w:fill="auto"/>
          <w:lang w:eastAsia="zh-CN"/>
        </w:rPr>
        <w:t>中标通知书</w:t>
      </w:r>
      <w:r>
        <w:rPr>
          <w:rFonts w:hint="eastAsia"/>
          <w:bCs/>
          <w:color w:val="auto"/>
          <w:sz w:val="24"/>
          <w:szCs w:val="24"/>
          <w:highlight w:val="none"/>
          <w:shd w:val="clear" w:color="auto" w:fill="auto"/>
        </w:rPr>
        <w:t>《成交通知书》将作为签订合同的重要依据，所有未成交的供应商不另行通知。</w:t>
      </w: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21.签订合同</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21.1采购人、成交供应商在《成交通知书》发出之日起30日内，根据</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文件确定的事项和成交供应商响应文件，参照本</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文件第四章的《合同》文本签订合同。双方所签订的合同不得对</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文件和成交供应商响应文件作实质性修改。</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21.2</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文件的修改文件、成交供应商的响应文件、补充或修改的文件及澄清或承诺文件等，均为双方签订合同的组成部分，并与合同一并作为本</w:t>
      </w:r>
      <w:r>
        <w:rPr>
          <w:rFonts w:hint="eastAsia"/>
          <w:bCs/>
          <w:color w:val="auto"/>
          <w:sz w:val="24"/>
          <w:szCs w:val="24"/>
          <w:highlight w:val="none"/>
          <w:shd w:val="clear" w:color="auto" w:fill="auto"/>
          <w:lang w:eastAsia="zh-CN"/>
        </w:rPr>
        <w:t>磋商</w:t>
      </w:r>
      <w:r>
        <w:rPr>
          <w:rFonts w:hint="eastAsia"/>
          <w:bCs/>
          <w:color w:val="auto"/>
          <w:sz w:val="24"/>
          <w:szCs w:val="24"/>
          <w:highlight w:val="none"/>
          <w:shd w:val="clear" w:color="auto" w:fill="auto"/>
        </w:rPr>
        <w:t>文件所列采购项目的互补性法律文件，与合同具有同等法律效力。</w:t>
      </w:r>
    </w:p>
    <w:p>
      <w:pPr>
        <w:adjustRightInd w:val="0"/>
        <w:snapToGrid w:val="0"/>
        <w:spacing w:line="360" w:lineRule="auto"/>
        <w:ind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21.3采购人在合同履行中，需追加与合同标的相同的货物或者服务的，在不改变合同其他条款的前提下，可与供应商协商签订补充合同，但所有补充合同的采购金额不得超过原合同采购金额的10%。</w:t>
      </w:r>
    </w:p>
    <w:p>
      <w:pPr>
        <w:adjustRightInd w:val="0"/>
        <w:snapToGrid w:val="0"/>
        <w:spacing w:line="360" w:lineRule="auto"/>
        <w:ind w:firstLine="480" w:firstLineChars="200"/>
        <w:rPr>
          <w:rFonts w:hint="eastAsia"/>
          <w:bCs/>
          <w:color w:val="auto"/>
          <w:sz w:val="24"/>
          <w:szCs w:val="24"/>
          <w:highlight w:val="none"/>
          <w:shd w:val="clear" w:color="auto" w:fill="auto"/>
        </w:rPr>
      </w:pPr>
      <w:r>
        <w:rPr>
          <w:rFonts w:hint="eastAsia"/>
          <w:bCs/>
          <w:color w:val="auto"/>
          <w:sz w:val="24"/>
          <w:szCs w:val="24"/>
          <w:highlight w:val="none"/>
          <w:shd w:val="clear" w:color="auto" w:fill="auto"/>
        </w:rPr>
        <w:t>21.4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11"/>
        <w:rPr>
          <w:color w:val="auto"/>
          <w:highlight w:val="none"/>
          <w:shd w:val="clear" w:color="auto" w:fill="auto"/>
        </w:rPr>
      </w:pPr>
    </w:p>
    <w:p>
      <w:pPr>
        <w:adjustRightInd w:val="0"/>
        <w:snapToGrid w:val="0"/>
        <w:spacing w:line="360" w:lineRule="auto"/>
        <w:ind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22.成交服务费</w:t>
      </w:r>
    </w:p>
    <w:p>
      <w:pPr>
        <w:adjustRightInd w:val="0"/>
        <w:snapToGrid w:val="0"/>
        <w:spacing w:line="360" w:lineRule="auto"/>
        <w:ind w:firstLine="480" w:firstLineChars="200"/>
        <w:rPr>
          <w:bCs/>
          <w:color w:val="auto"/>
          <w:sz w:val="24"/>
          <w:highlight w:val="none"/>
          <w:shd w:val="clear" w:color="auto" w:fill="auto"/>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Cs/>
          <w:color w:val="auto"/>
          <w:sz w:val="24"/>
          <w:szCs w:val="24"/>
          <w:highlight w:val="none"/>
          <w:shd w:val="clear" w:color="auto" w:fill="auto"/>
        </w:rPr>
        <w:t>详见供应商须知。</w:t>
      </w:r>
    </w:p>
    <w:p>
      <w:pPr>
        <w:numPr>
          <w:ilvl w:val="0"/>
          <w:numId w:val="1"/>
        </w:numPr>
        <w:jc w:val="center"/>
        <w:outlineLvl w:val="0"/>
        <w:rPr>
          <w:rFonts w:hint="eastAsia"/>
          <w:b/>
          <w:color w:val="auto"/>
          <w:sz w:val="44"/>
          <w:szCs w:val="44"/>
          <w:highlight w:val="none"/>
          <w:shd w:val="clear" w:color="auto" w:fill="auto"/>
        </w:rPr>
      </w:pPr>
      <w:bookmarkStart w:id="14" w:name="_Toc67240018"/>
      <w:bookmarkStart w:id="15" w:name="_Toc532559331"/>
      <w:r>
        <w:rPr>
          <w:b/>
          <w:color w:val="auto"/>
          <w:sz w:val="44"/>
          <w:szCs w:val="44"/>
          <w:highlight w:val="none"/>
          <w:shd w:val="clear" w:color="auto" w:fill="auto"/>
        </w:rPr>
        <w:t xml:space="preserve"> </w:t>
      </w:r>
      <w:r>
        <w:rPr>
          <w:rFonts w:hint="eastAsia"/>
          <w:b/>
          <w:color w:val="auto"/>
          <w:sz w:val="44"/>
          <w:szCs w:val="44"/>
          <w:highlight w:val="none"/>
          <w:shd w:val="clear" w:color="auto" w:fill="auto"/>
        </w:rPr>
        <w:t>技术要求</w:t>
      </w:r>
      <w:bookmarkEnd w:id="14"/>
    </w:p>
    <w:p>
      <w:pPr>
        <w:pStyle w:val="2"/>
        <w:numPr>
          <w:ilvl w:val="0"/>
          <w:numId w:val="0"/>
        </w:numPr>
        <w:rPr>
          <w:color w:val="auto"/>
          <w:highlight w:val="none"/>
          <w:shd w:val="clear" w:color="auto" w:fill="auto"/>
        </w:rPr>
      </w:pPr>
    </w:p>
    <w:bookmarkEnd w:id="15"/>
    <w:p>
      <w:pPr>
        <w:spacing w:before="240" w:beforeLines="100" w:after="120" w:afterLines="50" w:line="360" w:lineRule="auto"/>
        <w:rPr>
          <w:rFonts w:hAnsi="宋体"/>
          <w:b/>
          <w:color w:val="auto"/>
          <w:sz w:val="32"/>
          <w:szCs w:val="32"/>
          <w:highlight w:val="none"/>
          <w:shd w:val="clear" w:color="auto" w:fill="auto"/>
        </w:rPr>
      </w:pPr>
      <w:bookmarkStart w:id="16" w:name="_Toc67240019"/>
      <w:r>
        <w:rPr>
          <w:rFonts w:hint="eastAsia" w:hAnsi="宋体"/>
          <w:b/>
          <w:color w:val="auto"/>
          <w:sz w:val="32"/>
          <w:szCs w:val="32"/>
          <w:highlight w:val="none"/>
          <w:shd w:val="clear" w:color="auto" w:fill="auto"/>
        </w:rPr>
        <w:t>一、说  明：</w:t>
      </w:r>
    </w:p>
    <w:p>
      <w:pPr>
        <w:widowControl/>
        <w:autoSpaceDE/>
        <w:autoSpaceDN/>
        <w:adjustRightInd/>
        <w:spacing w:line="360" w:lineRule="auto"/>
        <w:ind w:firstLine="480"/>
        <w:textAlignment w:val="auto"/>
        <w:rPr>
          <w:rFonts w:hAnsi="宋体" w:cs="宋体"/>
          <w:color w:val="auto"/>
          <w:sz w:val="24"/>
          <w:highlight w:val="none"/>
          <w:shd w:val="clear" w:color="auto" w:fill="auto"/>
        </w:rPr>
      </w:pPr>
      <w:r>
        <w:rPr>
          <w:rFonts w:hint="eastAsia" w:hAnsi="宋体" w:cs="宋体"/>
          <w:color w:val="auto"/>
          <w:sz w:val="24"/>
          <w:highlight w:val="none"/>
          <w:shd w:val="clear" w:color="auto" w:fill="auto"/>
          <w:lang w:val="en-US" w:eastAsia="zh-CN"/>
        </w:rPr>
        <w:t>1、</w:t>
      </w:r>
      <w:r>
        <w:rPr>
          <w:rFonts w:hint="eastAsia" w:hAnsi="宋体" w:cs="宋体"/>
          <w:color w:val="auto"/>
          <w:sz w:val="24"/>
          <w:highlight w:val="none"/>
          <w:shd w:val="clear" w:color="auto" w:fill="auto"/>
        </w:rPr>
        <w:t>供应商</w:t>
      </w:r>
      <w:r>
        <w:rPr>
          <w:rFonts w:hAnsi="宋体" w:cs="宋体"/>
          <w:color w:val="auto"/>
          <w:sz w:val="24"/>
          <w:highlight w:val="none"/>
          <w:shd w:val="clear" w:color="auto" w:fill="auto"/>
        </w:rPr>
        <w:t>应注意投标风险，认真阅读和理解招标文件，选择符合或优于标书要求的产品参与投标。如所投产品存在技术偏离，</w:t>
      </w:r>
      <w:r>
        <w:rPr>
          <w:rFonts w:hint="eastAsia" w:hAnsi="宋体" w:cs="宋体"/>
          <w:color w:val="auto"/>
          <w:sz w:val="24"/>
          <w:highlight w:val="none"/>
          <w:shd w:val="clear" w:color="auto" w:fill="auto"/>
        </w:rPr>
        <w:t>供应商</w:t>
      </w:r>
      <w:r>
        <w:rPr>
          <w:rFonts w:hAnsi="宋体" w:cs="宋体"/>
          <w:color w:val="auto"/>
          <w:sz w:val="24"/>
          <w:highlight w:val="none"/>
          <w:shd w:val="clear" w:color="auto" w:fill="auto"/>
        </w:rPr>
        <w:t>应如实填写技术规格偏离表。若</w:t>
      </w:r>
      <w:r>
        <w:rPr>
          <w:rFonts w:hint="eastAsia" w:hAnsi="宋体" w:cs="宋体"/>
          <w:color w:val="auto"/>
          <w:sz w:val="24"/>
          <w:highlight w:val="none"/>
          <w:shd w:val="clear" w:color="auto" w:fill="auto"/>
        </w:rPr>
        <w:t>供应商</w:t>
      </w:r>
      <w:r>
        <w:rPr>
          <w:rFonts w:hAnsi="宋体" w:cs="宋体"/>
          <w:color w:val="auto"/>
          <w:sz w:val="24"/>
          <w:highlight w:val="none"/>
          <w:shd w:val="clear" w:color="auto" w:fill="auto"/>
        </w:rPr>
        <w:t xml:space="preserve">未如实填写技术规格偏离表，用户验收时发现货物中确实存在指标负偏离，将拒绝支付合同货款，并追究相应的法律责任。 </w:t>
      </w:r>
    </w:p>
    <w:p>
      <w:pPr>
        <w:pStyle w:val="11"/>
        <w:ind w:firstLine="480" w:firstLineChars="200"/>
        <w:rPr>
          <w:color w:val="auto"/>
          <w:highlight w:val="none"/>
          <w:shd w:val="clear" w:color="auto" w:fill="auto"/>
        </w:rPr>
      </w:pPr>
      <w:r>
        <w:rPr>
          <w:rFonts w:hint="eastAsia" w:hAnsi="宋体" w:eastAsia="宋体" w:cs="宋体"/>
          <w:color w:val="auto"/>
          <w:sz w:val="24"/>
          <w:szCs w:val="24"/>
          <w:highlight w:val="none"/>
          <w:shd w:val="clear" w:color="auto" w:fill="auto"/>
          <w:lang w:val="en-US" w:eastAsia="zh-CN"/>
        </w:rPr>
        <w:t>2</w:t>
      </w:r>
      <w:r>
        <w:rPr>
          <w:rFonts w:ascii="宋体" w:hAnsi="宋体" w:eastAsia="宋体" w:cs="宋体"/>
          <w:color w:val="auto"/>
          <w:sz w:val="24"/>
          <w:szCs w:val="24"/>
          <w:highlight w:val="none"/>
          <w:shd w:val="clear" w:color="auto" w:fill="auto"/>
        </w:rPr>
        <w:t>、本项目按整包中标，投标人不得拆分序号投标，否则按无效投标处理。</w:t>
      </w:r>
    </w:p>
    <w:p>
      <w:pPr>
        <w:widowControl/>
        <w:autoSpaceDE/>
        <w:autoSpaceDN/>
        <w:adjustRightInd/>
        <w:spacing w:line="360" w:lineRule="auto"/>
        <w:ind w:firstLine="480"/>
        <w:textAlignment w:val="auto"/>
        <w:rPr>
          <w:rFonts w:hint="eastAsia" w:hAnsi="宋体" w:cs="宋体"/>
          <w:b/>
          <w:color w:val="auto"/>
          <w:sz w:val="24"/>
          <w:szCs w:val="24"/>
          <w:highlight w:val="none"/>
          <w:shd w:val="clear" w:color="auto" w:fill="auto"/>
        </w:rPr>
      </w:pPr>
    </w:p>
    <w:p>
      <w:pPr>
        <w:rPr>
          <w:b/>
          <w:color w:val="auto"/>
          <w:sz w:val="24"/>
          <w:szCs w:val="24"/>
          <w:highlight w:val="none"/>
          <w:shd w:val="clear" w:color="auto" w:fill="auto"/>
        </w:rPr>
      </w:pPr>
      <w:r>
        <w:rPr>
          <w:rFonts w:hint="eastAsia" w:hAnsi="宋体"/>
          <w:b/>
          <w:color w:val="auto"/>
          <w:sz w:val="30"/>
          <w:szCs w:val="30"/>
          <w:highlight w:val="none"/>
          <w:shd w:val="clear" w:color="auto" w:fill="auto"/>
          <w:lang w:bidi="ar"/>
        </w:rPr>
        <w:t>二、采购清单及技术要求</w:t>
      </w:r>
    </w:p>
    <w:p>
      <w:pPr>
        <w:numPr>
          <w:ilvl w:val="0"/>
          <w:numId w:val="0"/>
        </w:numPr>
        <w:rPr>
          <w:rFonts w:hint="eastAsia" w:ascii="宋体" w:hAnsi="宋体" w:eastAsia="宋体" w:cs="宋体"/>
          <w:b/>
          <w:color w:val="auto"/>
          <w:sz w:val="21"/>
          <w:szCs w:val="21"/>
          <w:highlight w:val="none"/>
          <w:shd w:val="clear" w:color="auto" w:fill="auto"/>
          <w:lang w:bidi="ar"/>
        </w:rPr>
      </w:pPr>
      <w:bookmarkStart w:id="17" w:name="印江县2020年下半年生态环境质量监测采购项目货物需求及技术要求"/>
      <w:bookmarkEnd w:id="17"/>
    </w:p>
    <w:p>
      <w:pPr>
        <w:widowControl/>
        <w:spacing w:line="600" w:lineRule="exact"/>
        <w:ind w:firstLine="39"/>
        <w:jc w:val="center"/>
        <w:outlineLvl w:val="0"/>
        <w:rPr>
          <w:rFonts w:ascii="宋体" w:hAnsi="宋体" w:cs="宋体"/>
          <w:b/>
          <w:kern w:val="0"/>
          <w:sz w:val="32"/>
          <w:szCs w:val="32"/>
          <w:highlight w:val="none"/>
        </w:rPr>
      </w:pPr>
      <w:bookmarkStart w:id="18" w:name="_Toc80740095"/>
      <w:bookmarkStart w:id="19" w:name="_Toc530148303"/>
      <w:bookmarkStart w:id="20" w:name="_Toc11976"/>
      <w:r>
        <w:rPr>
          <w:rFonts w:hint="eastAsia" w:ascii="宋体" w:hAnsi="宋体" w:cs="宋体"/>
          <w:b/>
          <w:bCs/>
          <w:kern w:val="0"/>
          <w:sz w:val="32"/>
          <w:szCs w:val="32"/>
          <w:highlight w:val="none"/>
        </w:rPr>
        <w:t xml:space="preserve">第一章 </w:t>
      </w:r>
      <w:r>
        <w:rPr>
          <w:rFonts w:hint="eastAsia" w:ascii="宋体" w:hAnsi="宋体" w:cs="宋体"/>
          <w:b/>
          <w:bCs/>
          <w:kern w:val="0"/>
          <w:sz w:val="32"/>
          <w:szCs w:val="32"/>
          <w:highlight w:val="none"/>
          <w:lang w:val="en-US" w:eastAsia="zh-CN"/>
        </w:rPr>
        <w:t>石阡县岩门口集中式饮用水水源地</w:t>
      </w:r>
      <w:r>
        <w:rPr>
          <w:rFonts w:hint="eastAsia" w:ascii="宋体" w:hAnsi="宋体" w:cs="宋体"/>
          <w:b/>
          <w:bCs/>
          <w:kern w:val="0"/>
          <w:sz w:val="32"/>
          <w:szCs w:val="32"/>
          <w:highlight w:val="none"/>
        </w:rPr>
        <w:t>水质自动监测站建设项目</w:t>
      </w:r>
      <w:bookmarkEnd w:id="18"/>
      <w:r>
        <w:rPr>
          <w:rFonts w:hint="eastAsia" w:ascii="宋体" w:hAnsi="宋体" w:cs="宋体"/>
          <w:b/>
          <w:kern w:val="0"/>
          <w:sz w:val="32"/>
          <w:szCs w:val="32"/>
          <w:highlight w:val="none"/>
        </w:rPr>
        <w:t>技术部分</w:t>
      </w:r>
    </w:p>
    <w:p>
      <w:pPr>
        <w:widowControl/>
        <w:spacing w:line="600" w:lineRule="exact"/>
        <w:jc w:val="left"/>
        <w:outlineLvl w:val="1"/>
        <w:rPr>
          <w:rFonts w:ascii="宋体" w:hAnsi="宋体" w:cs="宋体"/>
          <w:b/>
          <w:kern w:val="0"/>
          <w:sz w:val="28"/>
          <w:highlight w:val="none"/>
        </w:rPr>
      </w:pPr>
      <w:bookmarkStart w:id="21" w:name="_Toc6335_WPSOffice_Level2"/>
      <w:bookmarkStart w:id="22" w:name="_Toc80740096"/>
      <w:r>
        <w:rPr>
          <w:rFonts w:hint="eastAsia" w:ascii="宋体" w:hAnsi="宋体" w:cs="宋体"/>
          <w:b/>
          <w:kern w:val="0"/>
          <w:sz w:val="28"/>
          <w:highlight w:val="none"/>
        </w:rPr>
        <w:t>1.1 项目总体要求</w:t>
      </w:r>
      <w:bookmarkEnd w:id="21"/>
      <w:bookmarkEnd w:id="22"/>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（1）本项目采用标准配置对在线监测系统的参数进行设定，项目需要配置五参数（pH值、温度、溶解氧、电导率、浊度</w:t>
      </w:r>
      <w:r>
        <w:rPr>
          <w:rFonts w:ascii="宋体" w:hAnsi="宋体" w:cs="宋体"/>
          <w:kern w:val="0"/>
          <w:sz w:val="28"/>
          <w:szCs w:val="28"/>
          <w:highlight w:val="none"/>
        </w:rPr>
        <w:t>）</w:t>
      </w:r>
      <w:r>
        <w:rPr>
          <w:rFonts w:hint="eastAsia" w:ascii="宋体" w:hAnsi="宋体" w:cs="宋体"/>
          <w:kern w:val="0"/>
          <w:sz w:val="28"/>
          <w:szCs w:val="28"/>
          <w:highlight w:val="none"/>
        </w:rPr>
        <w:t>、高锰酸盐指数、氨氮、总磷、总氮作为水质自动监测系统标准配置。</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(2)为了充分发挥水站的作用，保证监测结果的客观性和科学性，确保本系统能长期、稳定、正常地运行，自动监测站各单元应符合以下基本要求：提供代表品牌厂商原装、全新的、符合国家及采购方提出的有关质量标准的仪器和设备；为提高水质自动监测站长期无人职守及具备应急预警能力的目标，系统监测的水质指标项目可根据需要进行扩展，相应的控制、传输满足相应要求；各种监测仪器设备能够长期、稳定、准确地运行；监测数据可靠、运行费用低、自动化程度高、便于维护、抗干扰能力强。系统运行状况能远程诊断和控制，响应及时、控制准确、预警可靠，在超标情况下能自动留样，也能手动或远程遥控手动留样。</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3)在线监测系统需支持本地和远程控制系统进行数据质量控制（如：标样自动核查、加标回收自动核查、平行样自动测定），系统和仪器具有日志功能，能够采集和传输系统、仪器设备的运行状态，满足在线监测数据可溯源性。</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(4)水质在线监测系统需支持本地或远程控制系统进行常规模式、质控模式、数据异常判定模式、应急模式等自动化运行方式之间的转换。</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 xml:space="preserve">  (5)在线监测仪器所排放的废液要求委托有资质的第三方处理机构回收处理，避免水质自动站运行过程中产生的废液造成二次污染，实现绿色零污染水质监测。</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(6)提供一套数据管理平台实现对数据进行深层应用。为适应复杂多变的水质测试环境，提高监测设备故障自动识别能力、数据有效性判断能力及自动站应急监测能力，系统应具备灵活设定水站运行模式，具备常规监测、异常数据自动识别及应急监测等多种智能运行模式，能够满足环境保护管理行政部门的工作需求。</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（7）数据接入平台：贵州省水环境自动监测监控系统平台</w:t>
      </w:r>
    </w:p>
    <w:p>
      <w:pPr>
        <w:widowControl/>
        <w:spacing w:line="600" w:lineRule="exact"/>
        <w:jc w:val="left"/>
        <w:outlineLvl w:val="1"/>
        <w:rPr>
          <w:rFonts w:ascii="宋体" w:hAnsi="宋体" w:cs="宋体"/>
          <w:b/>
          <w:kern w:val="0"/>
          <w:sz w:val="28"/>
          <w:highlight w:val="none"/>
        </w:rPr>
      </w:pPr>
      <w:bookmarkStart w:id="23" w:name="_Toc3120_WPSOffice_Level2"/>
      <w:bookmarkStart w:id="24" w:name="_Toc80740097"/>
      <w:r>
        <w:rPr>
          <w:rFonts w:hint="eastAsia" w:ascii="宋体" w:hAnsi="宋体" w:cs="宋体"/>
          <w:b/>
          <w:kern w:val="0"/>
          <w:sz w:val="28"/>
          <w:highlight w:val="none"/>
        </w:rPr>
        <w:t>1.2 技术要求</w:t>
      </w:r>
      <w:bookmarkEnd w:id="23"/>
      <w:bookmarkEnd w:id="24"/>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(1) 支持语言：所有技术信息必须提供中文版，尤其是控制单元的所有显示必须支持GB 2312-80国际标准中文字符集。</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(2) 电力：所有设备的运行交流电压必须为：220(±10%)V，单相位，交流频率为50～60Hz。所有设备的电源插头必须为中国制式A9120-9085-1。</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(3) 环境：除非特别指出，所有设备能够在温度（5～35℃）、相对湿度（最大90%）和尘土(0～40mg/m3)的环境下运行。</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(4) 安全性：</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①除非特别指出，所有设备的噪音指数不得超过55分贝。</w:t>
      </w:r>
    </w:p>
    <w:p>
      <w:pPr>
        <w:widowControl/>
        <w:spacing w:line="600" w:lineRule="exact"/>
        <w:ind w:firstLine="280" w:firstLineChars="100"/>
        <w:jc w:val="left"/>
        <w:rPr>
          <w:rFonts w:ascii="宋体" w:hAnsi="宋体" w:cs="宋体"/>
          <w:kern w:val="0"/>
          <w:sz w:val="28"/>
          <w:szCs w:val="28"/>
          <w:highlight w:val="none"/>
        </w:rPr>
      </w:pPr>
      <w:r>
        <w:rPr>
          <w:rFonts w:hint="eastAsia" w:ascii="宋体" w:hAnsi="宋体" w:cs="宋体"/>
          <w:kern w:val="0"/>
          <w:sz w:val="28"/>
          <w:szCs w:val="28"/>
          <w:highlight w:val="none"/>
        </w:rPr>
        <w:t>（5） 监测设备应急性。采用高集成、便携式设计，提升应急监测能力，一旦发生污染，自动站的仪器可迅速转化为人工应急设备。</w:t>
      </w:r>
    </w:p>
    <w:p>
      <w:pPr>
        <w:ind w:firstLine="638" w:firstLineChars="228"/>
        <w:rPr>
          <w:rFonts w:ascii="宋体" w:hAnsi="宋体" w:cs="宋体"/>
          <w:sz w:val="28"/>
          <w:szCs w:val="28"/>
          <w:highlight w:val="none"/>
          <w:lang w:val="af-ZA"/>
        </w:rPr>
      </w:pPr>
      <w:r>
        <w:rPr>
          <w:rFonts w:hint="eastAsia" w:ascii="宋体" w:hAnsi="宋体" w:cs="宋体"/>
          <w:sz w:val="28"/>
          <w:szCs w:val="28"/>
          <w:highlight w:val="none"/>
          <w:lang w:val="af-ZA"/>
        </w:rPr>
        <w:t xml:space="preserve">说明：① </w:t>
      </w:r>
      <w:r>
        <w:rPr>
          <w:rFonts w:hint="eastAsia" w:ascii="宋体" w:hAnsi="宋体" w:cs="宋体"/>
          <w:sz w:val="28"/>
          <w:szCs w:val="28"/>
          <w:highlight w:val="none"/>
        </w:rPr>
        <w:t>控制系统及集成技术</w:t>
      </w:r>
      <w:r>
        <w:rPr>
          <w:rFonts w:hint="eastAsia" w:ascii="宋体" w:hAnsi="宋体" w:cs="宋体"/>
          <w:sz w:val="28"/>
          <w:szCs w:val="28"/>
          <w:highlight w:val="none"/>
          <w:lang w:val="af-ZA"/>
        </w:rPr>
        <w:t xml:space="preserve">对子站配置分析仪器按要求进行集成，能对监测子站水质进行在线测定，按要求进行数据处理及传输。② </w:t>
      </w:r>
      <w:r>
        <w:rPr>
          <w:rFonts w:hint="eastAsia" w:ascii="宋体" w:hAnsi="宋体" w:cs="宋体"/>
          <w:sz w:val="28"/>
          <w:szCs w:val="28"/>
          <w:highlight w:val="none"/>
        </w:rPr>
        <w:t>集成辅助设备及系统包括压缩空气系统、纯水系统、防雷系统、稳压系统、除藻系统等支持系统运行必须的其他设备及系统。</w:t>
      </w:r>
    </w:p>
    <w:p>
      <w:pPr>
        <w:widowControl/>
        <w:spacing w:line="600" w:lineRule="exact"/>
        <w:jc w:val="left"/>
        <w:outlineLvl w:val="1"/>
        <w:rPr>
          <w:rFonts w:ascii="宋体" w:hAnsi="宋体" w:cs="宋体"/>
          <w:b/>
          <w:kern w:val="0"/>
          <w:sz w:val="28"/>
          <w:highlight w:val="none"/>
        </w:rPr>
      </w:pPr>
      <w:bookmarkStart w:id="25" w:name="_Toc28659_WPSOffice_Level2"/>
      <w:bookmarkStart w:id="26" w:name="_Toc80740098"/>
      <w:r>
        <w:rPr>
          <w:rFonts w:hint="eastAsia" w:ascii="宋体" w:hAnsi="宋体" w:cs="宋体"/>
          <w:b/>
          <w:kern w:val="0"/>
          <w:sz w:val="28"/>
          <w:highlight w:val="none"/>
        </w:rPr>
        <w:t>1.3标准配置仪器分析方法</w:t>
      </w:r>
      <w:bookmarkEnd w:id="25"/>
      <w:bookmarkEnd w:id="26"/>
    </w:p>
    <w:p>
      <w:pPr>
        <w:ind w:firstLine="638" w:firstLineChars="228"/>
        <w:rPr>
          <w:rFonts w:ascii="宋体" w:hAnsi="宋体" w:cs="宋体"/>
          <w:sz w:val="28"/>
          <w:szCs w:val="28"/>
          <w:highlight w:val="none"/>
        </w:rPr>
      </w:pPr>
      <w:r>
        <w:rPr>
          <w:rFonts w:hint="eastAsia" w:ascii="宋体" w:hAnsi="宋体" w:cs="宋体"/>
          <w:sz w:val="28"/>
          <w:szCs w:val="28"/>
          <w:highlight w:val="none"/>
        </w:rPr>
        <w:t>自动分析仪器测定方法应与我国国家标准方法或行业标准方法一致，见下表：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94"/>
        <w:gridCol w:w="2698"/>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b/>
                <w:bCs/>
                <w:snapToGrid w:val="0"/>
                <w:kern w:val="0"/>
                <w:szCs w:val="21"/>
                <w:highlight w:val="none"/>
              </w:rPr>
            </w:pPr>
            <w:r>
              <w:rPr>
                <w:rFonts w:hint="eastAsia" w:ascii="宋体" w:hAnsi="宋体" w:cs="宋体"/>
                <w:b/>
                <w:bCs/>
                <w:snapToGrid w:val="0"/>
                <w:kern w:val="0"/>
                <w:szCs w:val="21"/>
                <w:highlight w:val="none"/>
              </w:rPr>
              <w:t>序号</w:t>
            </w:r>
          </w:p>
        </w:tc>
        <w:tc>
          <w:tcPr>
            <w:tcW w:w="2194" w:type="dxa"/>
            <w:vAlign w:val="center"/>
          </w:tcPr>
          <w:p>
            <w:pPr>
              <w:adjustRightInd w:val="0"/>
              <w:snapToGrid w:val="0"/>
              <w:jc w:val="center"/>
              <w:rPr>
                <w:rFonts w:ascii="宋体" w:hAnsi="宋体"/>
                <w:b/>
                <w:bCs/>
                <w:snapToGrid w:val="0"/>
                <w:kern w:val="0"/>
                <w:szCs w:val="21"/>
                <w:highlight w:val="none"/>
              </w:rPr>
            </w:pPr>
            <w:r>
              <w:rPr>
                <w:rFonts w:hint="eastAsia" w:ascii="宋体" w:hAnsi="宋体" w:cs="宋体"/>
                <w:b/>
                <w:bCs/>
                <w:snapToGrid w:val="0"/>
                <w:kern w:val="0"/>
                <w:szCs w:val="21"/>
                <w:highlight w:val="none"/>
              </w:rPr>
              <w:t>项目</w:t>
            </w:r>
          </w:p>
        </w:tc>
        <w:tc>
          <w:tcPr>
            <w:tcW w:w="2698" w:type="dxa"/>
            <w:vAlign w:val="center"/>
          </w:tcPr>
          <w:p>
            <w:pPr>
              <w:adjustRightInd w:val="0"/>
              <w:snapToGrid w:val="0"/>
              <w:jc w:val="center"/>
              <w:rPr>
                <w:rFonts w:ascii="宋体" w:hAnsi="宋体"/>
                <w:b/>
                <w:bCs/>
                <w:snapToGrid w:val="0"/>
                <w:kern w:val="0"/>
                <w:szCs w:val="21"/>
                <w:highlight w:val="none"/>
              </w:rPr>
            </w:pPr>
            <w:r>
              <w:rPr>
                <w:rFonts w:hint="eastAsia" w:ascii="宋体" w:hAnsi="宋体" w:cs="宋体"/>
                <w:b/>
                <w:bCs/>
                <w:snapToGrid w:val="0"/>
                <w:kern w:val="0"/>
                <w:szCs w:val="21"/>
                <w:highlight w:val="none"/>
              </w:rPr>
              <w:t>方法</w:t>
            </w:r>
          </w:p>
        </w:tc>
        <w:tc>
          <w:tcPr>
            <w:tcW w:w="3188" w:type="dxa"/>
            <w:vAlign w:val="center"/>
          </w:tcPr>
          <w:p>
            <w:pPr>
              <w:adjustRightInd w:val="0"/>
              <w:snapToGrid w:val="0"/>
              <w:jc w:val="center"/>
              <w:rPr>
                <w:rFonts w:ascii="宋体" w:hAnsi="宋体"/>
                <w:b/>
                <w:bCs/>
                <w:snapToGrid w:val="0"/>
                <w:kern w:val="0"/>
                <w:szCs w:val="21"/>
                <w:highlight w:val="none"/>
              </w:rPr>
            </w:pPr>
            <w:r>
              <w:rPr>
                <w:rFonts w:hint="eastAsia" w:ascii="宋体" w:hAnsi="宋体" w:cs="宋体"/>
                <w:b/>
                <w:bCs/>
                <w:snapToGrid w:val="0"/>
                <w:kern w:val="0"/>
                <w:szCs w:val="21"/>
                <w:highlight w:val="none"/>
              </w:rPr>
              <w:t>参照标准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2194"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水温</w:t>
            </w:r>
          </w:p>
        </w:tc>
        <w:tc>
          <w:tcPr>
            <w:tcW w:w="2698" w:type="dxa"/>
          </w:tcPr>
          <w:p>
            <w:pPr>
              <w:jc w:val="center"/>
              <w:rPr>
                <w:rFonts w:ascii="宋体" w:hAnsi="宋体"/>
                <w:snapToGrid w:val="0"/>
                <w:kern w:val="0"/>
                <w:szCs w:val="21"/>
                <w:highlight w:val="none"/>
              </w:rPr>
            </w:pPr>
            <w:r>
              <w:rPr>
                <w:rFonts w:hint="eastAsia" w:ascii="宋体" w:hAnsi="宋体"/>
                <w:snapToGrid w:val="0"/>
                <w:kern w:val="0"/>
                <w:szCs w:val="21"/>
                <w:highlight w:val="none"/>
              </w:rPr>
              <w:t>热电阻法</w:t>
            </w:r>
          </w:p>
        </w:tc>
        <w:tc>
          <w:tcPr>
            <w:tcW w:w="3188" w:type="dxa"/>
          </w:tcPr>
          <w:p>
            <w:pPr>
              <w:jc w:val="center"/>
              <w:rPr>
                <w:rFonts w:ascii="宋体" w:hAnsi="宋体"/>
                <w:snapToGrid w:val="0"/>
                <w:kern w:val="0"/>
                <w:szCs w:val="21"/>
                <w:highlight w:val="none"/>
              </w:rPr>
            </w:pPr>
            <w:r>
              <w:rPr>
                <w:rFonts w:hint="eastAsia" w:ascii="宋体" w:hAnsi="宋体"/>
                <w:snapToGrid w:val="0"/>
                <w:kern w:val="0"/>
                <w:szCs w:val="21"/>
                <w:highlight w:val="none"/>
              </w:rPr>
              <w:t>GB 13195-91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194"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pH</w:t>
            </w:r>
          </w:p>
        </w:tc>
        <w:tc>
          <w:tcPr>
            <w:tcW w:w="2698" w:type="dxa"/>
          </w:tcPr>
          <w:p>
            <w:pPr>
              <w:jc w:val="center"/>
              <w:rPr>
                <w:rFonts w:ascii="宋体" w:hAnsi="宋体"/>
                <w:snapToGrid w:val="0"/>
                <w:kern w:val="0"/>
                <w:szCs w:val="21"/>
                <w:highlight w:val="none"/>
              </w:rPr>
            </w:pPr>
            <w:r>
              <w:rPr>
                <w:rFonts w:hint="eastAsia" w:ascii="宋体" w:hAnsi="宋体"/>
                <w:snapToGrid w:val="0"/>
                <w:kern w:val="0"/>
                <w:szCs w:val="21"/>
                <w:highlight w:val="none"/>
              </w:rPr>
              <w:t>玻璃电极法</w:t>
            </w:r>
          </w:p>
        </w:tc>
        <w:tc>
          <w:tcPr>
            <w:tcW w:w="3188" w:type="dxa"/>
          </w:tcPr>
          <w:p>
            <w:pPr>
              <w:jc w:val="center"/>
              <w:rPr>
                <w:rFonts w:ascii="宋体" w:hAnsi="宋体"/>
                <w:snapToGrid w:val="0"/>
                <w:kern w:val="0"/>
                <w:szCs w:val="21"/>
                <w:highlight w:val="none"/>
              </w:rPr>
            </w:pPr>
            <w:r>
              <w:rPr>
                <w:rFonts w:hint="eastAsia" w:ascii="宋体" w:hAnsi="宋体"/>
                <w:snapToGrid w:val="0"/>
                <w:kern w:val="0"/>
                <w:szCs w:val="21"/>
                <w:highlight w:val="none"/>
              </w:rPr>
              <w:t>GB 6920－86和HJ/T 101-2003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194"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溶解氧</w:t>
            </w:r>
          </w:p>
        </w:tc>
        <w:tc>
          <w:tcPr>
            <w:tcW w:w="2698" w:type="dxa"/>
          </w:tcPr>
          <w:p>
            <w:pPr>
              <w:jc w:val="center"/>
              <w:rPr>
                <w:rFonts w:ascii="宋体" w:hAnsi="宋体"/>
                <w:snapToGrid w:val="0"/>
                <w:kern w:val="0"/>
                <w:szCs w:val="21"/>
                <w:highlight w:val="none"/>
              </w:rPr>
            </w:pPr>
            <w:r>
              <w:rPr>
                <w:rFonts w:hint="eastAsia" w:ascii="宋体" w:hAnsi="宋体"/>
                <w:snapToGrid w:val="0"/>
                <w:kern w:val="0"/>
                <w:szCs w:val="21"/>
                <w:highlight w:val="none"/>
              </w:rPr>
              <w:t>荧光法</w:t>
            </w:r>
          </w:p>
        </w:tc>
        <w:tc>
          <w:tcPr>
            <w:tcW w:w="3188" w:type="dxa"/>
          </w:tcPr>
          <w:p>
            <w:pPr>
              <w:jc w:val="center"/>
              <w:rPr>
                <w:rFonts w:ascii="宋体" w:hAnsi="宋体"/>
                <w:snapToGrid w:val="0"/>
                <w:kern w:val="0"/>
                <w:szCs w:val="21"/>
                <w:highlight w:val="none"/>
              </w:rPr>
            </w:pPr>
            <w:r>
              <w:rPr>
                <w:rFonts w:hint="eastAsia" w:ascii="宋体" w:hAnsi="宋体"/>
                <w:snapToGrid w:val="0"/>
                <w:kern w:val="0"/>
                <w:szCs w:val="21"/>
                <w:highlight w:val="none"/>
              </w:rPr>
              <w:t>GB 11913－89和HJ/T 99－2003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2194"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电导率</w:t>
            </w:r>
          </w:p>
        </w:tc>
        <w:tc>
          <w:tcPr>
            <w:tcW w:w="2698" w:type="dxa"/>
          </w:tcPr>
          <w:p>
            <w:pPr>
              <w:jc w:val="center"/>
              <w:rPr>
                <w:rFonts w:ascii="宋体" w:hAnsi="宋体"/>
                <w:snapToGrid w:val="0"/>
                <w:kern w:val="0"/>
                <w:szCs w:val="21"/>
                <w:highlight w:val="none"/>
              </w:rPr>
            </w:pPr>
            <w:r>
              <w:rPr>
                <w:rFonts w:hint="eastAsia" w:ascii="宋体" w:hAnsi="宋体"/>
                <w:snapToGrid w:val="0"/>
                <w:kern w:val="0"/>
                <w:szCs w:val="21"/>
                <w:highlight w:val="none"/>
              </w:rPr>
              <w:t>电极法</w:t>
            </w:r>
          </w:p>
        </w:tc>
        <w:tc>
          <w:tcPr>
            <w:tcW w:w="3188" w:type="dxa"/>
          </w:tcPr>
          <w:p>
            <w:pPr>
              <w:jc w:val="center"/>
              <w:rPr>
                <w:rFonts w:ascii="宋体" w:hAnsi="宋体"/>
                <w:snapToGrid w:val="0"/>
                <w:kern w:val="0"/>
                <w:szCs w:val="21"/>
                <w:highlight w:val="none"/>
              </w:rPr>
            </w:pPr>
            <w:r>
              <w:rPr>
                <w:rFonts w:hint="eastAsia" w:ascii="宋体" w:hAnsi="宋体"/>
                <w:snapToGrid w:val="0"/>
                <w:kern w:val="0"/>
                <w:szCs w:val="21"/>
                <w:highlight w:val="none"/>
              </w:rPr>
              <w:t>HJ/T 97-2003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2194"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浊度</w:t>
            </w:r>
          </w:p>
        </w:tc>
        <w:tc>
          <w:tcPr>
            <w:tcW w:w="2698" w:type="dxa"/>
          </w:tcPr>
          <w:p>
            <w:pPr>
              <w:jc w:val="center"/>
              <w:rPr>
                <w:rFonts w:ascii="宋体" w:hAnsi="宋体"/>
                <w:snapToGrid w:val="0"/>
                <w:kern w:val="0"/>
                <w:szCs w:val="21"/>
                <w:highlight w:val="none"/>
              </w:rPr>
            </w:pPr>
            <w:r>
              <w:rPr>
                <w:rFonts w:ascii="宋体" w:hAnsi="宋体"/>
                <w:snapToGrid w:val="0"/>
                <w:kern w:val="0"/>
                <w:szCs w:val="21"/>
                <w:highlight w:val="none"/>
              </w:rPr>
              <w:t>光散射法</w:t>
            </w:r>
          </w:p>
        </w:tc>
        <w:tc>
          <w:tcPr>
            <w:tcW w:w="3188" w:type="dxa"/>
          </w:tcPr>
          <w:p>
            <w:pPr>
              <w:jc w:val="center"/>
              <w:rPr>
                <w:rFonts w:ascii="宋体" w:hAnsi="宋体"/>
                <w:snapToGrid w:val="0"/>
                <w:kern w:val="0"/>
                <w:szCs w:val="21"/>
                <w:highlight w:val="none"/>
              </w:rPr>
            </w:pPr>
            <w:r>
              <w:rPr>
                <w:rFonts w:hint="eastAsia" w:ascii="宋体" w:hAnsi="宋体"/>
                <w:snapToGrid w:val="0"/>
                <w:kern w:val="0"/>
                <w:szCs w:val="21"/>
                <w:highlight w:val="none"/>
              </w:rPr>
              <w:t>GB 13200-91和HJ/T 98－2003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6</w:t>
            </w:r>
          </w:p>
        </w:tc>
        <w:tc>
          <w:tcPr>
            <w:tcW w:w="2194" w:type="dxa"/>
            <w:vAlign w:val="center"/>
          </w:tcPr>
          <w:p>
            <w:pPr>
              <w:jc w:val="center"/>
              <w:rPr>
                <w:rFonts w:ascii="宋体" w:hAnsi="宋体"/>
                <w:snapToGrid w:val="0"/>
                <w:kern w:val="0"/>
                <w:szCs w:val="21"/>
                <w:highlight w:val="none"/>
              </w:rPr>
            </w:pPr>
            <w:r>
              <w:rPr>
                <w:rFonts w:hint="eastAsia" w:ascii="宋体" w:hAnsi="宋体"/>
                <w:snapToGrid w:val="0"/>
                <w:kern w:val="0"/>
                <w:szCs w:val="21"/>
                <w:highlight w:val="none"/>
              </w:rPr>
              <w:t>高锰酸盐指数</w:t>
            </w:r>
          </w:p>
        </w:tc>
        <w:tc>
          <w:tcPr>
            <w:tcW w:w="2698" w:type="dxa"/>
            <w:vAlign w:val="center"/>
          </w:tcPr>
          <w:p>
            <w:pPr>
              <w:jc w:val="center"/>
              <w:rPr>
                <w:rFonts w:ascii="宋体" w:hAnsi="宋体"/>
                <w:snapToGrid w:val="0"/>
                <w:kern w:val="0"/>
                <w:szCs w:val="21"/>
                <w:highlight w:val="none"/>
              </w:rPr>
            </w:pPr>
            <w:r>
              <w:rPr>
                <w:rFonts w:hint="eastAsia" w:ascii="宋体" w:hAnsi="宋体"/>
                <w:snapToGrid w:val="0"/>
                <w:kern w:val="0"/>
                <w:szCs w:val="21"/>
                <w:highlight w:val="none"/>
              </w:rPr>
              <w:t>高锰酸钾氧化-ORP滴定法</w:t>
            </w:r>
          </w:p>
        </w:tc>
        <w:tc>
          <w:tcPr>
            <w:tcW w:w="3188" w:type="dxa"/>
            <w:vAlign w:val="center"/>
          </w:tcPr>
          <w:p>
            <w:pPr>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GB11892-89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7</w:t>
            </w:r>
          </w:p>
        </w:tc>
        <w:tc>
          <w:tcPr>
            <w:tcW w:w="2194" w:type="dxa"/>
            <w:vAlign w:val="center"/>
          </w:tcPr>
          <w:p>
            <w:pPr>
              <w:jc w:val="center"/>
              <w:rPr>
                <w:rFonts w:ascii="宋体" w:hAnsi="宋体"/>
                <w:snapToGrid w:val="0"/>
                <w:kern w:val="0"/>
                <w:szCs w:val="21"/>
                <w:highlight w:val="none"/>
              </w:rPr>
            </w:pPr>
            <w:r>
              <w:rPr>
                <w:rFonts w:hint="eastAsia" w:ascii="宋体" w:hAnsi="宋体"/>
                <w:snapToGrid w:val="0"/>
                <w:kern w:val="0"/>
                <w:szCs w:val="21"/>
                <w:highlight w:val="none"/>
              </w:rPr>
              <w:t>氨氮</w:t>
            </w:r>
          </w:p>
        </w:tc>
        <w:tc>
          <w:tcPr>
            <w:tcW w:w="2698" w:type="dxa"/>
            <w:vAlign w:val="center"/>
          </w:tcPr>
          <w:p>
            <w:pPr>
              <w:jc w:val="center"/>
              <w:rPr>
                <w:rFonts w:ascii="宋体" w:hAnsi="宋体"/>
                <w:snapToGrid w:val="0"/>
                <w:kern w:val="0"/>
                <w:szCs w:val="21"/>
                <w:highlight w:val="none"/>
              </w:rPr>
            </w:pPr>
            <w:r>
              <w:rPr>
                <w:rFonts w:hint="eastAsia"/>
                <w:highlight w:val="none"/>
              </w:rPr>
              <w:t>水杨酸</w:t>
            </w:r>
            <w:r>
              <w:rPr>
                <w:highlight w:val="none"/>
              </w:rPr>
              <w:t>分光光度法</w:t>
            </w:r>
          </w:p>
        </w:tc>
        <w:tc>
          <w:tcPr>
            <w:tcW w:w="3188" w:type="dxa"/>
            <w:vAlign w:val="center"/>
          </w:tcPr>
          <w:p>
            <w:pPr>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GB7479-87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8</w:t>
            </w:r>
          </w:p>
        </w:tc>
        <w:tc>
          <w:tcPr>
            <w:tcW w:w="2194" w:type="dxa"/>
            <w:vAlign w:val="center"/>
          </w:tcPr>
          <w:p>
            <w:pPr>
              <w:jc w:val="center"/>
              <w:rPr>
                <w:rFonts w:ascii="宋体" w:hAnsi="宋体"/>
                <w:snapToGrid w:val="0"/>
                <w:kern w:val="0"/>
                <w:szCs w:val="21"/>
                <w:highlight w:val="none"/>
              </w:rPr>
            </w:pPr>
            <w:r>
              <w:rPr>
                <w:rFonts w:hint="eastAsia" w:ascii="宋体" w:hAnsi="宋体"/>
                <w:snapToGrid w:val="0"/>
                <w:kern w:val="0"/>
                <w:szCs w:val="21"/>
                <w:highlight w:val="none"/>
              </w:rPr>
              <w:t>总磷</w:t>
            </w:r>
          </w:p>
        </w:tc>
        <w:tc>
          <w:tcPr>
            <w:tcW w:w="2698" w:type="dxa"/>
          </w:tcPr>
          <w:p>
            <w:pPr>
              <w:jc w:val="center"/>
              <w:rPr>
                <w:rFonts w:ascii="宋体" w:hAnsi="宋体"/>
                <w:snapToGrid w:val="0"/>
                <w:kern w:val="0"/>
                <w:szCs w:val="21"/>
                <w:highlight w:val="none"/>
              </w:rPr>
            </w:pPr>
            <w:r>
              <w:rPr>
                <w:rFonts w:hint="eastAsia" w:ascii="宋体" w:hAnsi="宋体"/>
                <w:snapToGrid w:val="0"/>
                <w:kern w:val="0"/>
                <w:szCs w:val="21"/>
                <w:highlight w:val="none"/>
              </w:rPr>
              <w:t>钼酸铵分光光度法</w:t>
            </w:r>
          </w:p>
        </w:tc>
        <w:tc>
          <w:tcPr>
            <w:tcW w:w="3188" w:type="dxa"/>
          </w:tcPr>
          <w:p>
            <w:pPr>
              <w:jc w:val="center"/>
              <w:rPr>
                <w:rFonts w:ascii="宋体" w:hAnsi="宋体"/>
                <w:snapToGrid w:val="0"/>
                <w:kern w:val="0"/>
                <w:szCs w:val="21"/>
                <w:highlight w:val="none"/>
              </w:rPr>
            </w:pPr>
            <w:r>
              <w:rPr>
                <w:rFonts w:hint="eastAsia" w:ascii="宋体" w:hAnsi="宋体"/>
                <w:snapToGrid w:val="0"/>
                <w:kern w:val="0"/>
                <w:szCs w:val="21"/>
                <w:highlight w:val="none"/>
              </w:rPr>
              <w:t>GB 11893-89和HJ/T 103－2003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9</w:t>
            </w:r>
          </w:p>
        </w:tc>
        <w:tc>
          <w:tcPr>
            <w:tcW w:w="2194" w:type="dxa"/>
            <w:vAlign w:val="center"/>
          </w:tcPr>
          <w:p>
            <w:pPr>
              <w:spacing w:line="360" w:lineRule="exact"/>
              <w:jc w:val="center"/>
              <w:rPr>
                <w:rFonts w:ascii="宋体" w:hAnsi="宋体"/>
                <w:snapToGrid w:val="0"/>
                <w:kern w:val="0"/>
                <w:szCs w:val="21"/>
                <w:highlight w:val="none"/>
              </w:rPr>
            </w:pPr>
            <w:r>
              <w:rPr>
                <w:rFonts w:hint="eastAsia" w:ascii="宋体" w:hAnsi="宋体"/>
                <w:snapToGrid w:val="0"/>
                <w:kern w:val="0"/>
                <w:szCs w:val="21"/>
                <w:highlight w:val="none"/>
              </w:rPr>
              <w:t>总氮</w:t>
            </w:r>
          </w:p>
        </w:tc>
        <w:tc>
          <w:tcPr>
            <w:tcW w:w="2698" w:type="dxa"/>
            <w:vAlign w:val="center"/>
          </w:tcPr>
          <w:p>
            <w:pPr>
              <w:spacing w:line="360" w:lineRule="exact"/>
              <w:jc w:val="center"/>
              <w:rPr>
                <w:rFonts w:ascii="宋体" w:hAnsi="宋体"/>
                <w:snapToGrid w:val="0"/>
                <w:kern w:val="0"/>
                <w:szCs w:val="21"/>
                <w:highlight w:val="none"/>
              </w:rPr>
            </w:pPr>
            <w:r>
              <w:rPr>
                <w:rFonts w:hint="eastAsia" w:ascii="宋体" w:hAnsi="宋体"/>
                <w:snapToGrid w:val="0"/>
                <w:kern w:val="0"/>
                <w:szCs w:val="21"/>
                <w:highlight w:val="none"/>
              </w:rPr>
              <w:t>过硫酸钾分光光度法</w:t>
            </w:r>
          </w:p>
        </w:tc>
        <w:tc>
          <w:tcPr>
            <w:tcW w:w="3188" w:type="dxa"/>
            <w:vAlign w:val="center"/>
          </w:tcPr>
          <w:p>
            <w:pPr>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GB 11894-89/HJ 636-2012</w:t>
            </w:r>
          </w:p>
        </w:tc>
      </w:tr>
    </w:tbl>
    <w:p>
      <w:pPr>
        <w:widowControl/>
        <w:spacing w:line="600" w:lineRule="exact"/>
        <w:jc w:val="left"/>
        <w:outlineLvl w:val="1"/>
        <w:rPr>
          <w:rFonts w:ascii="宋体" w:hAnsi="宋体" w:cs="宋体"/>
          <w:b/>
          <w:kern w:val="0"/>
          <w:sz w:val="28"/>
          <w:highlight w:val="none"/>
        </w:rPr>
      </w:pPr>
      <w:bookmarkStart w:id="27" w:name="_Toc4498_WPSOffice_Level2"/>
      <w:bookmarkStart w:id="28" w:name="_Toc80740099"/>
      <w:r>
        <w:rPr>
          <w:rFonts w:hint="eastAsia" w:ascii="宋体" w:hAnsi="宋体" w:cs="宋体"/>
          <w:b/>
          <w:kern w:val="0"/>
          <w:sz w:val="28"/>
          <w:highlight w:val="none"/>
        </w:rPr>
        <w:t>1.4仪器基本功能（五参数除外）</w:t>
      </w:r>
      <w:bookmarkEnd w:id="27"/>
      <w:bookmarkEnd w:id="28"/>
    </w:p>
    <w:p>
      <w:pPr>
        <w:ind w:firstLine="280" w:firstLineChars="100"/>
        <w:rPr>
          <w:rFonts w:ascii="宋体" w:hAnsi="宋体" w:cs="宋体"/>
          <w:sz w:val="28"/>
          <w:szCs w:val="28"/>
          <w:highlight w:val="none"/>
        </w:rPr>
      </w:pPr>
      <w:r>
        <w:rPr>
          <w:rFonts w:hint="eastAsia" w:ascii="宋体" w:hAnsi="宋体" w:cs="宋体"/>
          <w:sz w:val="28"/>
          <w:szCs w:val="28"/>
          <w:highlight w:val="none"/>
        </w:rPr>
        <w:t>（1）具有仪器基本参数贮存、显示、断电保护与自动恢复并能自动排出仪器内部残余留物的功能。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（2）具有时间设置功能，可根据需要任意设定监测频次。</w:t>
      </w:r>
    </w:p>
    <w:p>
      <w:pPr>
        <w:ind w:firstLine="280" w:firstLineChars="100"/>
        <w:rPr>
          <w:rFonts w:ascii="宋体" w:hAnsi="宋体" w:cs="宋体"/>
          <w:sz w:val="28"/>
          <w:szCs w:val="28"/>
          <w:highlight w:val="none"/>
        </w:rPr>
      </w:pPr>
      <w:r>
        <w:rPr>
          <w:rFonts w:hint="eastAsia" w:ascii="宋体" w:hAnsi="宋体" w:cs="宋体"/>
          <w:sz w:val="28"/>
          <w:szCs w:val="28"/>
          <w:highlight w:val="none"/>
        </w:rPr>
        <w:t>（3）具有仪器故障自动报警、异常值自动报警及试剂液位报警功能。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（4）具有自动清洗功能。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（5）具有定期自动校准功能。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（6）具有密封防护箱体及防潮功能。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（7）仪器状态远程显示功能。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（8）具有双向数据传输功能。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（9）输出信号采用4-20mA和RS-485/232或MODBUS标准接口，并提供标准协议。</w:t>
      </w:r>
    </w:p>
    <w:p>
      <w:pPr>
        <w:ind w:firstLine="280" w:firstLineChars="100"/>
        <w:rPr>
          <w:rFonts w:ascii="宋体" w:hAnsi="宋体" w:cs="宋体"/>
          <w:sz w:val="28"/>
          <w:szCs w:val="28"/>
          <w:highlight w:val="none"/>
        </w:rPr>
      </w:pPr>
      <w:r>
        <w:rPr>
          <w:rFonts w:hint="eastAsia" w:ascii="宋体" w:hAnsi="宋体" w:cs="宋体"/>
          <w:sz w:val="28"/>
          <w:szCs w:val="28"/>
          <w:highlight w:val="none"/>
        </w:rPr>
        <w:t>（10）集成系统配备加标制样模块，具备自动加标功能和远成控制加标功能,实现加标回收率自动核查。</w:t>
      </w:r>
    </w:p>
    <w:p>
      <w:pPr>
        <w:ind w:firstLine="280" w:firstLineChars="100"/>
        <w:rPr>
          <w:rFonts w:ascii="宋体" w:hAnsi="宋体" w:cs="宋体"/>
          <w:sz w:val="28"/>
          <w:szCs w:val="28"/>
          <w:highlight w:val="none"/>
        </w:rPr>
      </w:pPr>
      <w:r>
        <w:rPr>
          <w:rFonts w:hint="eastAsia" w:ascii="宋体" w:hAnsi="宋体" w:cs="宋体"/>
          <w:sz w:val="28"/>
          <w:szCs w:val="28"/>
          <w:highlight w:val="none"/>
        </w:rPr>
        <w:t>（11）仪器采用模块化设计，根据水质实际情况可切换监测参数，达到水站扩项监测的功能。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（12）具有数据储存、下载功能。</w:t>
      </w:r>
    </w:p>
    <w:p>
      <w:pPr>
        <w:ind w:firstLine="280" w:firstLineChars="100"/>
        <w:rPr>
          <w:rFonts w:ascii="宋体" w:hAnsi="宋体" w:cs="宋体"/>
          <w:sz w:val="28"/>
          <w:szCs w:val="28"/>
          <w:highlight w:val="none"/>
        </w:rPr>
      </w:pPr>
      <w:r>
        <w:rPr>
          <w:rFonts w:hint="eastAsia" w:ascii="宋体" w:hAnsi="宋体" w:cs="宋体"/>
          <w:sz w:val="28"/>
          <w:szCs w:val="28"/>
          <w:highlight w:val="none"/>
        </w:rPr>
        <w:t>（13）提供远程启动、远程校正、故障关机功能。提供独立的远程控制软件，可通过网络远程控制实现仪表各项操作功能及显示仪表各项工作状态。</w:t>
      </w:r>
    </w:p>
    <w:p>
      <w:pPr>
        <w:ind w:firstLine="280" w:firstLineChars="100"/>
        <w:rPr>
          <w:rFonts w:ascii="宋体" w:hAnsi="宋体" w:cs="宋体"/>
          <w:sz w:val="28"/>
          <w:szCs w:val="28"/>
          <w:highlight w:val="none"/>
        </w:rPr>
      </w:pPr>
      <w:r>
        <w:rPr>
          <w:rFonts w:hint="eastAsia" w:ascii="宋体" w:hAnsi="宋体" w:cs="宋体"/>
          <w:sz w:val="28"/>
          <w:szCs w:val="28"/>
          <w:highlight w:val="none"/>
        </w:rPr>
        <w:t>（14）具有仪器测试流程记录功能（仪器日志功能），并能存储或输出仪器详细日志。</w:t>
      </w:r>
    </w:p>
    <w:p>
      <w:pPr>
        <w:ind w:firstLine="280" w:firstLineChars="100"/>
        <w:rPr>
          <w:rFonts w:ascii="宋体" w:hAnsi="宋体" w:cs="宋体"/>
          <w:sz w:val="28"/>
          <w:szCs w:val="28"/>
          <w:highlight w:val="none"/>
        </w:rPr>
      </w:pPr>
      <w:r>
        <w:rPr>
          <w:rFonts w:hint="eastAsia" w:ascii="宋体" w:hAnsi="宋体" w:cs="宋体"/>
          <w:sz w:val="28"/>
          <w:szCs w:val="28"/>
          <w:highlight w:val="none"/>
        </w:rPr>
        <w:t>（15）仪器采用双通道进样设计，具备标样自动核查功能。</w:t>
      </w:r>
    </w:p>
    <w:p>
      <w:pPr>
        <w:widowControl/>
        <w:spacing w:line="600" w:lineRule="exact"/>
        <w:jc w:val="left"/>
        <w:outlineLvl w:val="1"/>
        <w:rPr>
          <w:rFonts w:ascii="宋体" w:hAnsi="宋体" w:cs="宋体"/>
          <w:b/>
          <w:kern w:val="0"/>
          <w:sz w:val="28"/>
          <w:highlight w:val="none"/>
        </w:rPr>
      </w:pPr>
      <w:bookmarkStart w:id="29" w:name="_Toc28782_WPSOffice_Level2"/>
      <w:bookmarkStart w:id="30" w:name="_Toc80740100"/>
      <w:r>
        <w:rPr>
          <w:rFonts w:hint="eastAsia" w:ascii="宋体" w:hAnsi="宋体" w:cs="宋体"/>
          <w:b/>
          <w:kern w:val="0"/>
          <w:sz w:val="28"/>
          <w:highlight w:val="none"/>
        </w:rPr>
        <w:t>1.5仪器技术参数和主体结构</w:t>
      </w:r>
      <w:bookmarkEnd w:id="29"/>
      <w:bookmarkEnd w:id="30"/>
    </w:p>
    <w:p>
      <w:pPr>
        <w:ind w:firstLine="280" w:firstLineChars="100"/>
        <w:rPr>
          <w:rFonts w:ascii="宋体" w:hAnsi="宋体" w:cs="宋体"/>
          <w:sz w:val="28"/>
          <w:szCs w:val="28"/>
          <w:highlight w:val="none"/>
        </w:rPr>
      </w:pPr>
      <w:bookmarkStart w:id="31" w:name="_Toc532073342"/>
      <w:bookmarkStart w:id="32" w:name="_Toc18785_WPSOffice_Level3"/>
      <w:r>
        <w:rPr>
          <w:rFonts w:hint="eastAsia" w:ascii="宋体" w:hAnsi="宋体" w:cs="宋体"/>
          <w:sz w:val="28"/>
          <w:szCs w:val="28"/>
          <w:highlight w:val="none"/>
        </w:rPr>
        <w:t>1.5.1仪器技术参数</w:t>
      </w:r>
      <w:bookmarkEnd w:id="31"/>
      <w:bookmarkEnd w:id="32"/>
    </w:p>
    <w:p>
      <w:pPr>
        <w:ind w:firstLine="281" w:firstLineChars="100"/>
        <w:rPr>
          <w:rFonts w:ascii="宋体" w:hAnsi="宋体" w:cs="宋体"/>
          <w:b/>
          <w:sz w:val="28"/>
          <w:szCs w:val="28"/>
          <w:highlight w:val="none"/>
        </w:rPr>
      </w:pPr>
      <w:r>
        <w:rPr>
          <w:rFonts w:hint="eastAsia" w:ascii="宋体" w:hAnsi="宋体" w:cs="宋体"/>
          <w:b/>
          <w:sz w:val="28"/>
          <w:szCs w:val="28"/>
          <w:highlight w:val="none"/>
        </w:rPr>
        <w:t>（1）水温自动分析仪技术指标要求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vAlign w:val="center"/>
          </w:tcPr>
          <w:p>
            <w:pPr>
              <w:tabs>
                <w:tab w:val="left" w:pos="1080"/>
              </w:tabs>
              <w:rPr>
                <w:rFonts w:ascii="宋体" w:hAnsi="宋体" w:cs="宋体"/>
                <w:sz w:val="24"/>
                <w:highlight w:val="none"/>
              </w:rPr>
            </w:pPr>
            <w:r>
              <w:rPr>
                <w:rFonts w:hint="eastAsia" w:ascii="宋体" w:hAnsi="宋体" w:cs="宋体"/>
                <w:sz w:val="24"/>
                <w:highlight w:val="none"/>
              </w:rPr>
              <w:t>项目</w:t>
            </w:r>
          </w:p>
        </w:tc>
        <w:tc>
          <w:tcPr>
            <w:tcW w:w="4166" w:type="dxa"/>
            <w:vAlign w:val="center"/>
          </w:tcPr>
          <w:p>
            <w:pPr>
              <w:tabs>
                <w:tab w:val="left" w:pos="1080"/>
              </w:tabs>
              <w:rPr>
                <w:rFonts w:ascii="宋体" w:hAnsi="宋体" w:cs="宋体"/>
                <w:sz w:val="24"/>
                <w:highlight w:val="none"/>
              </w:rPr>
            </w:pPr>
            <w:r>
              <w:rPr>
                <w:rFonts w:hint="eastAsia" w:ascii="宋体" w:hAnsi="宋体" w:cs="宋体"/>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vAlign w:val="center"/>
          </w:tcPr>
          <w:p>
            <w:pPr>
              <w:tabs>
                <w:tab w:val="left" w:pos="1080"/>
              </w:tabs>
              <w:rPr>
                <w:rFonts w:ascii="宋体" w:hAnsi="宋体" w:cs="宋体"/>
                <w:sz w:val="24"/>
                <w:highlight w:val="none"/>
              </w:rPr>
            </w:pPr>
            <w:r>
              <w:rPr>
                <w:rFonts w:hint="eastAsia" w:ascii="宋体" w:hAnsi="宋体" w:cs="宋体"/>
                <w:sz w:val="24"/>
                <w:highlight w:val="none"/>
              </w:rPr>
              <w:t>测量范围</w:t>
            </w:r>
          </w:p>
        </w:tc>
        <w:tc>
          <w:tcPr>
            <w:tcW w:w="4166" w:type="dxa"/>
            <w:vAlign w:val="center"/>
          </w:tcPr>
          <w:p>
            <w:pPr>
              <w:tabs>
                <w:tab w:val="left" w:pos="1080"/>
              </w:tabs>
              <w:rPr>
                <w:rFonts w:ascii="宋体" w:hAnsi="宋体" w:cs="宋体"/>
                <w:sz w:val="24"/>
                <w:highlight w:val="none"/>
              </w:rPr>
            </w:pPr>
            <w:r>
              <w:rPr>
                <w:rFonts w:hint="eastAsia" w:ascii="宋体" w:hAnsi="宋体" w:cs="宋体"/>
                <w:sz w:val="24"/>
                <w:highlight w:val="none"/>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vAlign w:val="center"/>
          </w:tcPr>
          <w:p>
            <w:pPr>
              <w:tabs>
                <w:tab w:val="left" w:pos="1080"/>
              </w:tabs>
              <w:rPr>
                <w:rFonts w:ascii="宋体" w:hAnsi="宋体" w:cs="宋体"/>
                <w:sz w:val="24"/>
                <w:highlight w:val="none"/>
              </w:rPr>
            </w:pPr>
            <w:r>
              <w:rPr>
                <w:rFonts w:hint="eastAsia" w:ascii="宋体" w:hAnsi="宋体" w:cs="宋体"/>
                <w:sz w:val="24"/>
                <w:highlight w:val="none"/>
              </w:rPr>
              <w:t>分辨率</w:t>
            </w:r>
          </w:p>
        </w:tc>
        <w:tc>
          <w:tcPr>
            <w:tcW w:w="4166" w:type="dxa"/>
            <w:vAlign w:val="center"/>
          </w:tcPr>
          <w:p>
            <w:pPr>
              <w:tabs>
                <w:tab w:val="left" w:pos="1080"/>
              </w:tabs>
              <w:rPr>
                <w:rFonts w:ascii="宋体" w:hAnsi="宋体" w:cs="宋体"/>
                <w:sz w:val="24"/>
                <w:highlight w:val="none"/>
              </w:rPr>
            </w:pPr>
            <w:r>
              <w:rPr>
                <w:rFonts w:hint="eastAsia" w:ascii="宋体" w:hAnsi="宋体" w:cs="宋体"/>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vAlign w:val="center"/>
          </w:tcPr>
          <w:p>
            <w:pPr>
              <w:tabs>
                <w:tab w:val="left" w:pos="1080"/>
              </w:tabs>
              <w:rPr>
                <w:rFonts w:ascii="宋体" w:hAnsi="宋体" w:cs="宋体"/>
                <w:sz w:val="24"/>
                <w:highlight w:val="none"/>
              </w:rPr>
            </w:pPr>
            <w:r>
              <w:rPr>
                <w:rFonts w:hint="eastAsia" w:ascii="宋体" w:hAnsi="宋体" w:cs="宋体"/>
                <w:sz w:val="24"/>
                <w:highlight w:val="none"/>
              </w:rPr>
              <w:t>重复性</w:t>
            </w:r>
          </w:p>
        </w:tc>
        <w:tc>
          <w:tcPr>
            <w:tcW w:w="4166" w:type="dxa"/>
            <w:vAlign w:val="center"/>
          </w:tcPr>
          <w:p>
            <w:pPr>
              <w:tabs>
                <w:tab w:val="left" w:pos="1080"/>
              </w:tabs>
              <w:rPr>
                <w:rFonts w:ascii="宋体" w:hAnsi="宋体" w:cs="宋体"/>
                <w:sz w:val="24"/>
                <w:highlight w:val="none"/>
              </w:rPr>
            </w:pPr>
            <w:r>
              <w:rPr>
                <w:rFonts w:hint="eastAsia" w:ascii="宋体" w:hAnsi="宋体" w:cs="宋体"/>
                <w:sz w:val="24"/>
                <w:highlight w:val="none"/>
              </w:rPr>
              <w:t>±0.1℃以内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vAlign w:val="center"/>
          </w:tcPr>
          <w:p>
            <w:pPr>
              <w:tabs>
                <w:tab w:val="left" w:pos="1080"/>
              </w:tabs>
              <w:rPr>
                <w:rFonts w:ascii="宋体" w:hAnsi="宋体" w:cs="宋体"/>
                <w:sz w:val="24"/>
                <w:highlight w:val="none"/>
              </w:rPr>
            </w:pPr>
            <w:r>
              <w:rPr>
                <w:rFonts w:hint="eastAsia" w:ascii="宋体" w:hAnsi="宋体" w:cs="宋体"/>
                <w:sz w:val="24"/>
                <w:highlight w:val="none"/>
              </w:rPr>
              <w:t>漂移</w:t>
            </w:r>
          </w:p>
        </w:tc>
        <w:tc>
          <w:tcPr>
            <w:tcW w:w="4166" w:type="dxa"/>
            <w:vAlign w:val="center"/>
          </w:tcPr>
          <w:p>
            <w:pPr>
              <w:tabs>
                <w:tab w:val="left" w:pos="1080"/>
              </w:tabs>
              <w:rPr>
                <w:rFonts w:ascii="宋体" w:hAnsi="宋体" w:cs="宋体"/>
                <w:sz w:val="24"/>
                <w:highlight w:val="none"/>
              </w:rPr>
            </w:pPr>
            <w:r>
              <w:rPr>
                <w:rFonts w:hint="eastAsia" w:ascii="宋体" w:hAnsi="宋体" w:cs="宋体"/>
                <w:sz w:val="24"/>
                <w:highlight w:val="none"/>
              </w:rPr>
              <w:t>±0.1℃以内（24h）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vAlign w:val="center"/>
          </w:tcPr>
          <w:p>
            <w:pPr>
              <w:tabs>
                <w:tab w:val="left" w:pos="1080"/>
              </w:tabs>
              <w:rPr>
                <w:rFonts w:ascii="宋体" w:hAnsi="宋体" w:cs="宋体"/>
                <w:sz w:val="24"/>
                <w:highlight w:val="none"/>
              </w:rPr>
            </w:pPr>
            <w:r>
              <w:rPr>
                <w:rFonts w:hint="eastAsia" w:ascii="宋体" w:hAnsi="宋体" w:cs="宋体"/>
                <w:sz w:val="24"/>
                <w:highlight w:val="none"/>
              </w:rPr>
              <w:t>响应时间</w:t>
            </w:r>
          </w:p>
        </w:tc>
        <w:tc>
          <w:tcPr>
            <w:tcW w:w="4166" w:type="dxa"/>
            <w:vAlign w:val="center"/>
          </w:tcPr>
          <w:p>
            <w:pPr>
              <w:tabs>
                <w:tab w:val="left" w:pos="1080"/>
              </w:tabs>
              <w:rPr>
                <w:rFonts w:ascii="宋体" w:hAnsi="宋体" w:cs="宋体"/>
                <w:sz w:val="24"/>
                <w:highlight w:val="none"/>
              </w:rPr>
            </w:pPr>
            <w:r>
              <w:rPr>
                <w:rFonts w:hint="eastAsia" w:ascii="宋体" w:hAnsi="宋体" w:cs="宋体"/>
                <w:sz w:val="24"/>
                <w:highlight w:val="none"/>
              </w:rPr>
              <w:t>≤0.5min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4" w:type="dxa"/>
          </w:tcPr>
          <w:p>
            <w:pPr>
              <w:tabs>
                <w:tab w:val="left" w:pos="1080"/>
              </w:tabs>
              <w:rPr>
                <w:rFonts w:ascii="宋体" w:hAnsi="宋体" w:cs="宋体"/>
                <w:sz w:val="24"/>
                <w:highlight w:val="none"/>
              </w:rPr>
            </w:pPr>
            <w:r>
              <w:rPr>
                <w:rFonts w:hint="eastAsia" w:ascii="宋体" w:hAnsi="宋体" w:cs="宋体"/>
                <w:sz w:val="24"/>
                <w:highlight w:val="none"/>
              </w:rPr>
              <w:t>MTBF</w:t>
            </w:r>
          </w:p>
        </w:tc>
        <w:tc>
          <w:tcPr>
            <w:tcW w:w="4166" w:type="dxa"/>
          </w:tcPr>
          <w:p>
            <w:pPr>
              <w:tabs>
                <w:tab w:val="left" w:pos="1080"/>
              </w:tabs>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720</w:t>
            </w:r>
            <w:r>
              <w:rPr>
                <w:rFonts w:hint="eastAsia" w:ascii="宋体" w:hAnsi="宋体" w:cs="宋体"/>
                <w:sz w:val="24"/>
                <w:highlight w:val="none"/>
              </w:rPr>
              <w:t>h/次</w:t>
            </w:r>
          </w:p>
        </w:tc>
      </w:tr>
    </w:tbl>
    <w:p>
      <w:pPr>
        <w:tabs>
          <w:tab w:val="left" w:pos="525"/>
        </w:tabs>
        <w:adjustRightInd w:val="0"/>
        <w:snapToGrid w:val="0"/>
        <w:spacing w:line="336" w:lineRule="auto"/>
        <w:rPr>
          <w:rFonts w:ascii="宋体" w:hAnsi="宋体" w:cs="宋体"/>
          <w:b/>
          <w:bCs/>
          <w:snapToGrid w:val="0"/>
          <w:kern w:val="0"/>
          <w:sz w:val="28"/>
          <w:szCs w:val="28"/>
          <w:highlight w:val="none"/>
        </w:rPr>
      </w:pPr>
    </w:p>
    <w:p>
      <w:pPr>
        <w:ind w:firstLine="281" w:firstLineChars="100"/>
        <w:rPr>
          <w:rFonts w:ascii="宋体" w:hAnsi="宋体" w:cs="宋体"/>
          <w:b/>
          <w:sz w:val="28"/>
          <w:szCs w:val="28"/>
          <w:highlight w:val="none"/>
        </w:rPr>
      </w:pPr>
      <w:r>
        <w:rPr>
          <w:rFonts w:hint="eastAsia" w:ascii="宋体" w:hAnsi="宋体" w:cs="宋体"/>
          <w:b/>
          <w:sz w:val="28"/>
          <w:szCs w:val="28"/>
          <w:highlight w:val="none"/>
        </w:rPr>
        <w:t xml:space="preserve"> （2） pH自动分析仪技术指标要求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3"/>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项目</w:t>
            </w:r>
          </w:p>
        </w:tc>
        <w:tc>
          <w:tcPr>
            <w:tcW w:w="4112" w:type="dxa"/>
            <w:vAlign w:val="center"/>
          </w:tcPr>
          <w:p>
            <w:pPr>
              <w:tabs>
                <w:tab w:val="left" w:pos="1080"/>
              </w:tabs>
              <w:rPr>
                <w:rFonts w:ascii="宋体" w:hAnsi="宋体" w:cs="宋体"/>
                <w:sz w:val="24"/>
                <w:highlight w:val="none"/>
              </w:rPr>
            </w:pPr>
            <w:r>
              <w:rPr>
                <w:rFonts w:hint="eastAsia" w:ascii="宋体" w:hAnsi="宋体" w:cs="宋体"/>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测量范围</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分辨率/精度</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0.01pH;±0.01pH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温度补偿精度</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±0.1pH以内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自动温度补偿</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重复性</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±0.1pH以内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漂移</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±0.1pH以内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vAlign w:val="center"/>
          </w:tcPr>
          <w:p>
            <w:pPr>
              <w:tabs>
                <w:tab w:val="left" w:pos="1080"/>
              </w:tabs>
              <w:rPr>
                <w:rFonts w:ascii="宋体" w:hAnsi="宋体" w:cs="宋体"/>
                <w:sz w:val="24"/>
                <w:highlight w:val="none"/>
              </w:rPr>
            </w:pPr>
            <w:r>
              <w:rPr>
                <w:rFonts w:hint="eastAsia" w:ascii="宋体" w:hAnsi="宋体" w:cs="宋体"/>
                <w:sz w:val="24"/>
                <w:highlight w:val="none"/>
              </w:rPr>
              <w:t>响应时间</w:t>
            </w:r>
          </w:p>
        </w:tc>
        <w:tc>
          <w:tcPr>
            <w:tcW w:w="4112" w:type="dxa"/>
            <w:vAlign w:val="center"/>
          </w:tcPr>
          <w:p>
            <w:pPr>
              <w:tabs>
                <w:tab w:val="left" w:pos="1080"/>
              </w:tabs>
              <w:jc w:val="left"/>
              <w:rPr>
                <w:rFonts w:ascii="宋体" w:hAnsi="宋体" w:cs="宋体"/>
                <w:sz w:val="24"/>
                <w:highlight w:val="none"/>
              </w:rPr>
            </w:pPr>
            <w:r>
              <w:rPr>
                <w:rFonts w:hint="eastAsia" w:ascii="宋体" w:hAnsi="宋体" w:cs="宋体"/>
                <w:sz w:val="24"/>
                <w:highlight w:val="none"/>
              </w:rPr>
              <w:t>0.5min以内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tcPr>
          <w:p>
            <w:pPr>
              <w:tabs>
                <w:tab w:val="left" w:pos="1080"/>
              </w:tabs>
              <w:rPr>
                <w:rFonts w:ascii="宋体" w:hAnsi="宋体" w:cs="宋体"/>
                <w:sz w:val="24"/>
                <w:highlight w:val="none"/>
              </w:rPr>
            </w:pPr>
            <w:r>
              <w:rPr>
                <w:rFonts w:hint="eastAsia" w:ascii="宋体" w:hAnsi="宋体" w:cs="宋体"/>
                <w:sz w:val="24"/>
                <w:highlight w:val="none"/>
              </w:rPr>
              <w:t>MTBF</w:t>
            </w:r>
          </w:p>
        </w:tc>
        <w:tc>
          <w:tcPr>
            <w:tcW w:w="4112" w:type="dxa"/>
          </w:tcPr>
          <w:p>
            <w:pPr>
              <w:tabs>
                <w:tab w:val="left" w:pos="1080"/>
              </w:tabs>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720</w:t>
            </w:r>
            <w:r>
              <w:rPr>
                <w:rFonts w:hint="eastAsia" w:ascii="宋体" w:hAnsi="宋体" w:cs="宋体"/>
                <w:sz w:val="24"/>
                <w:highlight w:val="none"/>
              </w:rPr>
              <w:t>h/次</w:t>
            </w:r>
          </w:p>
        </w:tc>
      </w:tr>
    </w:tbl>
    <w:p>
      <w:pPr>
        <w:ind w:firstLine="280" w:firstLineChars="100"/>
        <w:rPr>
          <w:rFonts w:ascii="宋体" w:hAnsi="宋体" w:cs="宋体"/>
          <w:sz w:val="28"/>
          <w:szCs w:val="28"/>
          <w:highlight w:val="none"/>
        </w:rPr>
      </w:pPr>
    </w:p>
    <w:p>
      <w:pPr>
        <w:ind w:firstLine="280" w:firstLineChars="100"/>
        <w:rPr>
          <w:rFonts w:ascii="宋体" w:hAnsi="宋体" w:cs="宋体"/>
          <w:b/>
          <w:sz w:val="28"/>
          <w:szCs w:val="28"/>
          <w:highlight w:val="none"/>
        </w:rPr>
      </w:pPr>
      <w:r>
        <w:rPr>
          <w:rFonts w:hint="eastAsia" w:ascii="宋体" w:hAnsi="宋体" w:cs="宋体"/>
          <w:sz w:val="28"/>
          <w:szCs w:val="28"/>
          <w:highlight w:val="none"/>
        </w:rPr>
        <w:t xml:space="preserve"> </w:t>
      </w:r>
      <w:r>
        <w:rPr>
          <w:rFonts w:hint="eastAsia" w:ascii="宋体" w:hAnsi="宋体" w:cs="宋体"/>
          <w:b/>
          <w:sz w:val="28"/>
          <w:szCs w:val="28"/>
          <w:highlight w:val="none"/>
        </w:rPr>
        <w:t xml:space="preserve"> （3） 电导率自动分析仪技术指标要求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项 目</w:t>
            </w:r>
          </w:p>
        </w:tc>
        <w:tc>
          <w:tcPr>
            <w:tcW w:w="3825" w:type="dxa"/>
            <w:vAlign w:val="center"/>
          </w:tcPr>
          <w:p>
            <w:pPr>
              <w:tabs>
                <w:tab w:val="left" w:pos="1080"/>
              </w:tabs>
              <w:rPr>
                <w:rFonts w:ascii="宋体" w:hAnsi="宋体" w:cs="宋体"/>
                <w:sz w:val="24"/>
                <w:highlight w:val="none"/>
              </w:rPr>
            </w:pPr>
            <w:r>
              <w:rPr>
                <w:rFonts w:hint="eastAsia" w:ascii="宋体" w:hAnsi="宋体" w:cs="宋体"/>
                <w:sz w:val="24"/>
                <w:highlight w:val="none"/>
              </w:rPr>
              <w:t>技 术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测量范围</w:t>
            </w:r>
          </w:p>
        </w:tc>
        <w:tc>
          <w:tcPr>
            <w:tcW w:w="3825" w:type="dxa"/>
            <w:vAlign w:val="center"/>
          </w:tcPr>
          <w:p>
            <w:pPr>
              <w:tabs>
                <w:tab w:val="left" w:pos="1080"/>
              </w:tabs>
              <w:rPr>
                <w:rFonts w:ascii="宋体" w:hAnsi="宋体" w:cs="宋体"/>
                <w:sz w:val="24"/>
                <w:highlight w:val="none"/>
              </w:rPr>
            </w:pPr>
            <w:r>
              <w:rPr>
                <w:rFonts w:hint="eastAsia" w:ascii="宋体" w:hAnsi="宋体" w:cs="宋体"/>
                <w:sz w:val="24"/>
                <w:highlight w:val="none"/>
              </w:rPr>
              <w:t>0.00-500.0mS/cm（自动分档量程，量程自动切换）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响应时间</w:t>
            </w:r>
          </w:p>
        </w:tc>
        <w:tc>
          <w:tcPr>
            <w:tcW w:w="3825" w:type="dxa"/>
            <w:vAlign w:val="center"/>
          </w:tcPr>
          <w:p>
            <w:pPr>
              <w:tabs>
                <w:tab w:val="left" w:pos="1080"/>
              </w:tabs>
              <w:rPr>
                <w:rFonts w:ascii="宋体" w:hAnsi="宋体" w:cs="宋体"/>
                <w:sz w:val="24"/>
                <w:highlight w:val="none"/>
              </w:rPr>
            </w:pPr>
            <w:r>
              <w:rPr>
                <w:rFonts w:hint="eastAsia" w:ascii="宋体" w:hAnsi="宋体" w:cs="宋体"/>
                <w:sz w:val="24"/>
                <w:highlight w:val="none"/>
              </w:rPr>
              <w:t>≤0.5min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重复性误差</w:t>
            </w:r>
          </w:p>
        </w:tc>
        <w:tc>
          <w:tcPr>
            <w:tcW w:w="3825"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±1%以内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零点漂移</w:t>
            </w:r>
          </w:p>
        </w:tc>
        <w:tc>
          <w:tcPr>
            <w:tcW w:w="3825"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量程漂移</w:t>
            </w:r>
          </w:p>
        </w:tc>
        <w:tc>
          <w:tcPr>
            <w:tcW w:w="3825"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温度补偿精度</w:t>
            </w:r>
          </w:p>
        </w:tc>
        <w:tc>
          <w:tcPr>
            <w:tcW w:w="3825"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tcPr>
          <w:p>
            <w:pPr>
              <w:tabs>
                <w:tab w:val="left" w:pos="1080"/>
              </w:tabs>
              <w:rPr>
                <w:rFonts w:ascii="宋体" w:hAnsi="宋体" w:cs="宋体"/>
                <w:sz w:val="24"/>
                <w:highlight w:val="none"/>
              </w:rPr>
            </w:pPr>
            <w:r>
              <w:rPr>
                <w:rFonts w:hint="eastAsia" w:ascii="宋体" w:hAnsi="宋体" w:cs="宋体"/>
                <w:sz w:val="24"/>
                <w:highlight w:val="none"/>
              </w:rPr>
              <w:t>MTBF</w:t>
            </w:r>
          </w:p>
        </w:tc>
        <w:tc>
          <w:tcPr>
            <w:tcW w:w="3825" w:type="dxa"/>
          </w:tcPr>
          <w:p>
            <w:pPr>
              <w:tabs>
                <w:tab w:val="left" w:pos="1080"/>
              </w:tabs>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720</w:t>
            </w:r>
            <w:r>
              <w:rPr>
                <w:rFonts w:hint="eastAsia" w:ascii="宋体" w:hAnsi="宋体" w:cs="宋体"/>
                <w:sz w:val="24"/>
                <w:highlight w:val="none"/>
              </w:rPr>
              <w:t>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工作电压与频率</w:t>
            </w:r>
          </w:p>
        </w:tc>
        <w:tc>
          <w:tcPr>
            <w:tcW w:w="3825" w:type="dxa"/>
            <w:vAlign w:val="center"/>
          </w:tcPr>
          <w:p>
            <w:pPr>
              <w:tabs>
                <w:tab w:val="left" w:pos="1080"/>
              </w:tabs>
              <w:rPr>
                <w:rFonts w:ascii="宋体" w:hAnsi="宋体" w:cs="宋体"/>
                <w:sz w:val="24"/>
                <w:highlight w:val="none"/>
              </w:rPr>
            </w:pPr>
            <w:r>
              <w:rPr>
                <w:rFonts w:hint="eastAsia" w:ascii="宋体" w:hAnsi="宋体" w:cs="宋体"/>
                <w:sz w:val="24"/>
                <w:highlight w:val="none"/>
              </w:rPr>
              <w:t>(220±20)V    (50±0.5)HZ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输出信号</w:t>
            </w:r>
          </w:p>
        </w:tc>
        <w:tc>
          <w:tcPr>
            <w:tcW w:w="3825" w:type="dxa"/>
            <w:vAlign w:val="center"/>
          </w:tcPr>
          <w:p>
            <w:pPr>
              <w:tabs>
                <w:tab w:val="left" w:pos="1080"/>
              </w:tabs>
              <w:rPr>
                <w:rFonts w:ascii="宋体" w:hAnsi="宋体" w:cs="宋体"/>
                <w:sz w:val="24"/>
                <w:highlight w:val="none"/>
              </w:rPr>
            </w:pPr>
            <w:r>
              <w:rPr>
                <w:rFonts w:hint="eastAsia" w:ascii="宋体" w:hAnsi="宋体" w:cs="宋体"/>
                <w:sz w:val="24"/>
                <w:highlight w:val="none"/>
              </w:rPr>
              <w:t>4-20mA或RS-485/232</w:t>
            </w:r>
          </w:p>
        </w:tc>
      </w:tr>
    </w:tbl>
    <w:p>
      <w:pPr>
        <w:ind w:firstLine="280" w:firstLineChars="100"/>
        <w:rPr>
          <w:rFonts w:ascii="宋体" w:hAnsi="宋体" w:cs="宋体"/>
          <w:sz w:val="28"/>
          <w:szCs w:val="28"/>
          <w:highlight w:val="none"/>
        </w:rPr>
      </w:pPr>
    </w:p>
    <w:p>
      <w:pPr>
        <w:ind w:firstLine="281" w:firstLineChars="100"/>
        <w:rPr>
          <w:rFonts w:ascii="宋体" w:hAnsi="宋体" w:cs="宋体"/>
          <w:b/>
          <w:sz w:val="28"/>
          <w:szCs w:val="28"/>
          <w:highlight w:val="none"/>
        </w:rPr>
      </w:pPr>
      <w:r>
        <w:rPr>
          <w:rFonts w:hint="eastAsia" w:ascii="宋体" w:hAnsi="宋体" w:cs="宋体"/>
          <w:b/>
          <w:sz w:val="28"/>
          <w:szCs w:val="28"/>
          <w:highlight w:val="none"/>
        </w:rPr>
        <w:t xml:space="preserve"> （4） 浊度自动分析仪技术指标要求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jc w:val="left"/>
              <w:rPr>
                <w:rFonts w:ascii="宋体" w:hAnsi="宋体" w:cs="宋体"/>
                <w:sz w:val="24"/>
                <w:highlight w:val="none"/>
              </w:rPr>
            </w:pPr>
            <w:r>
              <w:rPr>
                <w:rFonts w:hint="eastAsia" w:ascii="宋体" w:hAnsi="宋体" w:cs="宋体"/>
                <w:sz w:val="24"/>
                <w:highlight w:val="none"/>
              </w:rPr>
              <w:t>项目</w:t>
            </w:r>
          </w:p>
        </w:tc>
        <w:tc>
          <w:tcPr>
            <w:tcW w:w="3840" w:type="dxa"/>
            <w:vAlign w:val="center"/>
          </w:tcPr>
          <w:p>
            <w:pPr>
              <w:jc w:val="left"/>
              <w:rPr>
                <w:rFonts w:ascii="宋体" w:hAnsi="宋体" w:cs="宋体"/>
                <w:sz w:val="24"/>
                <w:highlight w:val="none"/>
              </w:rPr>
            </w:pPr>
            <w:r>
              <w:rPr>
                <w:rFonts w:hint="eastAsia" w:ascii="宋体" w:hAnsi="宋体" w:cs="宋体"/>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测量范围</w:t>
            </w:r>
          </w:p>
        </w:tc>
        <w:tc>
          <w:tcPr>
            <w:tcW w:w="3840" w:type="dxa"/>
            <w:vAlign w:val="center"/>
          </w:tcPr>
          <w:p>
            <w:pPr>
              <w:tabs>
                <w:tab w:val="left" w:pos="1080"/>
              </w:tabs>
              <w:rPr>
                <w:rFonts w:ascii="宋体" w:hAnsi="宋体" w:cs="宋体"/>
                <w:sz w:val="24"/>
                <w:highlight w:val="none"/>
              </w:rPr>
            </w:pPr>
            <w:r>
              <w:rPr>
                <w:rFonts w:hint="eastAsia" w:ascii="宋体" w:hAnsi="宋体" w:cs="宋体"/>
                <w:sz w:val="24"/>
                <w:highlight w:val="none"/>
              </w:rPr>
              <w:t>0～400NTU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分辨率</w:t>
            </w:r>
          </w:p>
        </w:tc>
        <w:tc>
          <w:tcPr>
            <w:tcW w:w="3840" w:type="dxa"/>
            <w:vAlign w:val="center"/>
          </w:tcPr>
          <w:p>
            <w:pPr>
              <w:tabs>
                <w:tab w:val="left" w:pos="1080"/>
              </w:tabs>
              <w:rPr>
                <w:rFonts w:ascii="宋体" w:hAnsi="宋体" w:cs="宋体"/>
                <w:sz w:val="24"/>
                <w:highlight w:val="none"/>
              </w:rPr>
            </w:pPr>
            <w:r>
              <w:rPr>
                <w:rFonts w:hint="eastAsia" w:ascii="宋体" w:hAnsi="宋体" w:cs="宋体"/>
                <w:sz w:val="24"/>
                <w:highlight w:val="none"/>
              </w:rPr>
              <w:t>0.01NTU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重复性误差</w:t>
            </w:r>
          </w:p>
        </w:tc>
        <w:tc>
          <w:tcPr>
            <w:tcW w:w="3840"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零点漂移</w:t>
            </w:r>
          </w:p>
        </w:tc>
        <w:tc>
          <w:tcPr>
            <w:tcW w:w="3840"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量程漂移</w:t>
            </w:r>
          </w:p>
        </w:tc>
        <w:tc>
          <w:tcPr>
            <w:tcW w:w="3840" w:type="dxa"/>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w:t>
            </w:r>
            <w:r>
              <w:rPr>
                <w:rFonts w:hint="eastAsia" w:ascii="宋体" w:hAnsi="宋体" w:cs="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tcPr>
          <w:p>
            <w:pPr>
              <w:tabs>
                <w:tab w:val="left" w:pos="1080"/>
              </w:tabs>
              <w:rPr>
                <w:rFonts w:ascii="宋体" w:hAnsi="宋体" w:cs="宋体"/>
                <w:sz w:val="24"/>
                <w:highlight w:val="none"/>
              </w:rPr>
            </w:pPr>
            <w:r>
              <w:rPr>
                <w:rFonts w:hint="eastAsia" w:ascii="宋体" w:hAnsi="宋体" w:cs="宋体"/>
                <w:sz w:val="24"/>
                <w:highlight w:val="none"/>
              </w:rPr>
              <w:t>MTBF</w:t>
            </w:r>
          </w:p>
        </w:tc>
        <w:tc>
          <w:tcPr>
            <w:tcW w:w="3840" w:type="dxa"/>
          </w:tcPr>
          <w:p>
            <w:pPr>
              <w:tabs>
                <w:tab w:val="left" w:pos="1080"/>
              </w:tabs>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720</w:t>
            </w:r>
            <w:r>
              <w:rPr>
                <w:rFonts w:hint="eastAsia" w:ascii="宋体" w:hAnsi="宋体" w:cs="宋体"/>
                <w:sz w:val="24"/>
                <w:highlight w:val="none"/>
              </w:rPr>
              <w:t>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560" w:type="dxa"/>
            <w:vAlign w:val="center"/>
          </w:tcPr>
          <w:p>
            <w:pPr>
              <w:tabs>
                <w:tab w:val="left" w:pos="1080"/>
              </w:tabs>
              <w:rPr>
                <w:rFonts w:ascii="宋体" w:hAnsi="宋体" w:cs="宋体"/>
                <w:sz w:val="24"/>
                <w:highlight w:val="none"/>
              </w:rPr>
            </w:pPr>
            <w:r>
              <w:rPr>
                <w:rFonts w:hint="eastAsia" w:ascii="宋体" w:hAnsi="宋体" w:cs="宋体"/>
                <w:sz w:val="24"/>
                <w:highlight w:val="none"/>
              </w:rPr>
              <w:t>工作电压与频率</w:t>
            </w:r>
          </w:p>
        </w:tc>
        <w:tc>
          <w:tcPr>
            <w:tcW w:w="3840" w:type="dxa"/>
            <w:vAlign w:val="center"/>
          </w:tcPr>
          <w:p>
            <w:pPr>
              <w:tabs>
                <w:tab w:val="left" w:pos="1080"/>
              </w:tabs>
              <w:rPr>
                <w:rFonts w:ascii="宋体" w:hAnsi="宋体" w:cs="宋体"/>
                <w:sz w:val="24"/>
                <w:highlight w:val="none"/>
              </w:rPr>
            </w:pPr>
            <w:r>
              <w:rPr>
                <w:rFonts w:hint="eastAsia" w:ascii="宋体" w:hAnsi="宋体" w:cs="宋体"/>
                <w:sz w:val="24"/>
                <w:highlight w:val="none"/>
              </w:rPr>
              <w:t>(220±20)V    (50±0.5)HZ</w:t>
            </w:r>
          </w:p>
        </w:tc>
      </w:tr>
    </w:tbl>
    <w:p>
      <w:pPr>
        <w:tabs>
          <w:tab w:val="left" w:pos="525"/>
        </w:tabs>
        <w:ind w:left="-108"/>
        <w:rPr>
          <w:rFonts w:ascii="宋体" w:hAnsi="宋体" w:cs="宋体"/>
          <w:sz w:val="28"/>
          <w:szCs w:val="28"/>
          <w:highlight w:val="none"/>
        </w:rPr>
      </w:pPr>
    </w:p>
    <w:p>
      <w:pPr>
        <w:ind w:firstLine="281" w:firstLineChars="100"/>
        <w:rPr>
          <w:rFonts w:ascii="宋体" w:hAnsi="宋体" w:cs="宋体"/>
          <w:b/>
          <w:sz w:val="28"/>
          <w:szCs w:val="28"/>
          <w:highlight w:val="none"/>
        </w:rPr>
      </w:pPr>
      <w:r>
        <w:rPr>
          <w:rFonts w:hint="eastAsia" w:ascii="宋体" w:hAnsi="宋体" w:cs="宋体"/>
          <w:b/>
          <w:sz w:val="28"/>
          <w:szCs w:val="28"/>
          <w:highlight w:val="none"/>
        </w:rPr>
        <w:t>（5）溶解氧自动分析仪技术指标要求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jc w:val="center"/>
              <w:rPr>
                <w:rFonts w:ascii="宋体" w:hAnsi="宋体" w:cs="宋体"/>
                <w:sz w:val="24"/>
                <w:highlight w:val="none"/>
              </w:rPr>
            </w:pPr>
            <w:r>
              <w:rPr>
                <w:rFonts w:hint="eastAsia" w:ascii="宋体" w:hAnsi="宋体" w:cs="宋体"/>
                <w:sz w:val="24"/>
                <w:highlight w:val="none"/>
              </w:rPr>
              <w:t>项目</w:t>
            </w:r>
          </w:p>
        </w:tc>
        <w:tc>
          <w:tcPr>
            <w:tcW w:w="3855" w:type="dxa"/>
            <w:vAlign w:val="center"/>
          </w:tcPr>
          <w:p>
            <w:pPr>
              <w:jc w:val="center"/>
              <w:rPr>
                <w:rFonts w:ascii="宋体" w:hAnsi="宋体" w:cs="宋体"/>
                <w:sz w:val="24"/>
                <w:highlight w:val="none"/>
              </w:rPr>
            </w:pPr>
            <w:r>
              <w:rPr>
                <w:rFonts w:hint="eastAsia" w:ascii="宋体" w:hAnsi="宋体" w:cs="宋体"/>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测量范围</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0.00～20.00mg/L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分辨率</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重复性误差</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零点漂移</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量程漂移</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响应时间（T90）</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2min以内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温度补偿精度</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tcPr>
          <w:p>
            <w:pPr>
              <w:tabs>
                <w:tab w:val="left" w:pos="1080"/>
              </w:tabs>
              <w:rPr>
                <w:rFonts w:ascii="宋体" w:hAnsi="宋体" w:cs="宋体"/>
                <w:sz w:val="24"/>
                <w:highlight w:val="none"/>
              </w:rPr>
            </w:pPr>
            <w:r>
              <w:rPr>
                <w:rFonts w:hint="eastAsia" w:ascii="宋体" w:hAnsi="宋体" w:cs="宋体"/>
                <w:sz w:val="24"/>
                <w:highlight w:val="none"/>
              </w:rPr>
              <w:t>MTBF</w:t>
            </w:r>
          </w:p>
        </w:tc>
        <w:tc>
          <w:tcPr>
            <w:tcW w:w="3855" w:type="dxa"/>
          </w:tcPr>
          <w:p>
            <w:pPr>
              <w:tabs>
                <w:tab w:val="left" w:pos="1080"/>
              </w:tabs>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720</w:t>
            </w:r>
            <w:r>
              <w:rPr>
                <w:rFonts w:hint="eastAsia" w:ascii="宋体" w:hAnsi="宋体" w:cs="宋体"/>
                <w:sz w:val="24"/>
                <w:highlight w:val="none"/>
              </w:rPr>
              <w:t>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vAlign w:val="center"/>
          </w:tcPr>
          <w:p>
            <w:pPr>
              <w:tabs>
                <w:tab w:val="left" w:pos="1080"/>
              </w:tabs>
              <w:rPr>
                <w:rFonts w:ascii="宋体" w:hAnsi="宋体" w:cs="宋体"/>
                <w:sz w:val="24"/>
                <w:highlight w:val="none"/>
              </w:rPr>
            </w:pPr>
            <w:r>
              <w:rPr>
                <w:rFonts w:hint="eastAsia" w:ascii="宋体" w:hAnsi="宋体" w:cs="宋体"/>
                <w:sz w:val="24"/>
                <w:highlight w:val="none"/>
              </w:rPr>
              <w:t>工作电压与频率</w:t>
            </w:r>
          </w:p>
        </w:tc>
        <w:tc>
          <w:tcPr>
            <w:tcW w:w="3855" w:type="dxa"/>
            <w:vAlign w:val="center"/>
          </w:tcPr>
          <w:p>
            <w:pPr>
              <w:tabs>
                <w:tab w:val="left" w:pos="1080"/>
              </w:tabs>
              <w:rPr>
                <w:rFonts w:ascii="宋体" w:hAnsi="宋体" w:cs="宋体"/>
                <w:sz w:val="24"/>
                <w:highlight w:val="none"/>
              </w:rPr>
            </w:pPr>
            <w:r>
              <w:rPr>
                <w:rFonts w:hint="eastAsia" w:ascii="宋体" w:hAnsi="宋体" w:cs="宋体"/>
                <w:sz w:val="24"/>
                <w:highlight w:val="none"/>
              </w:rPr>
              <w:t>(220±20)V    (50±0.5)HZ</w:t>
            </w:r>
          </w:p>
        </w:tc>
      </w:tr>
    </w:tbl>
    <w:p>
      <w:pPr>
        <w:ind w:firstLine="281" w:firstLineChars="100"/>
        <w:rPr>
          <w:rFonts w:ascii="宋体" w:hAnsi="宋体" w:cs="宋体"/>
          <w:b/>
          <w:sz w:val="28"/>
          <w:szCs w:val="28"/>
          <w:highlight w:val="none"/>
        </w:rPr>
      </w:pPr>
    </w:p>
    <w:p>
      <w:pPr>
        <w:ind w:firstLine="281" w:firstLineChars="100"/>
        <w:rPr>
          <w:rFonts w:ascii="宋体" w:hAnsi="宋体" w:cs="宋体"/>
          <w:b/>
          <w:sz w:val="28"/>
          <w:szCs w:val="28"/>
          <w:highlight w:val="none"/>
        </w:rPr>
      </w:pPr>
      <w:r>
        <w:rPr>
          <w:rFonts w:hint="eastAsia" w:ascii="宋体" w:hAnsi="宋体" w:cs="宋体"/>
          <w:b/>
          <w:sz w:val="28"/>
          <w:szCs w:val="28"/>
          <w:highlight w:val="none"/>
        </w:rPr>
        <w:t>（6）高锰酸盐指数分析仪技术要求</w:t>
      </w:r>
    </w:p>
    <w:tbl>
      <w:tblPr>
        <w:tblStyle w:val="19"/>
        <w:tblW w:w="0" w:type="auto"/>
        <w:tblInd w:w="42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5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79" w:type="dxa"/>
            <w:tcBorders>
              <w:top w:val="single" w:color="auto" w:sz="8" w:space="0"/>
              <w:bottom w:val="single" w:color="auto" w:sz="8" w:space="0"/>
            </w:tcBorders>
            <w:vAlign w:val="center"/>
          </w:tcPr>
          <w:p>
            <w:pPr>
              <w:tabs>
                <w:tab w:val="left" w:pos="1080"/>
              </w:tabs>
              <w:jc w:val="left"/>
              <w:rPr>
                <w:rFonts w:ascii="宋体" w:hAnsi="宋体" w:cs="宋体"/>
                <w:sz w:val="24"/>
                <w:highlight w:val="none"/>
              </w:rPr>
            </w:pPr>
            <w:r>
              <w:rPr>
                <w:rFonts w:hint="eastAsia" w:ascii="宋体" w:hAnsi="宋体" w:cs="宋体"/>
                <w:sz w:val="24"/>
                <w:highlight w:val="none"/>
              </w:rPr>
              <w:t>项目</w:t>
            </w:r>
          </w:p>
        </w:tc>
        <w:tc>
          <w:tcPr>
            <w:tcW w:w="5663" w:type="dxa"/>
            <w:tcBorders>
              <w:top w:val="single" w:color="auto" w:sz="8" w:space="0"/>
              <w:bottom w:val="single" w:color="auto" w:sz="8" w:space="0"/>
            </w:tcBorders>
            <w:vAlign w:val="center"/>
          </w:tcPr>
          <w:p>
            <w:pPr>
              <w:tabs>
                <w:tab w:val="left" w:pos="1080"/>
              </w:tabs>
              <w:jc w:val="left"/>
              <w:rPr>
                <w:rFonts w:ascii="宋体" w:hAnsi="宋体" w:cs="宋体"/>
                <w:sz w:val="24"/>
                <w:highlight w:val="none"/>
              </w:rPr>
            </w:pPr>
            <w:r>
              <w:rPr>
                <w:rFonts w:hint="eastAsia" w:ascii="宋体" w:hAnsi="宋体" w:cs="宋体"/>
                <w:sz w:val="24"/>
                <w:highlight w:val="none"/>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79" w:type="dxa"/>
            <w:tcBorders>
              <w:top w:val="single" w:color="auto" w:sz="8" w:space="0"/>
              <w:bottom w:val="single" w:color="auto" w:sz="8" w:space="0"/>
            </w:tcBorders>
            <w:vAlign w:val="center"/>
          </w:tcPr>
          <w:p>
            <w:pPr>
              <w:tabs>
                <w:tab w:val="left" w:pos="1080"/>
              </w:tabs>
              <w:jc w:val="left"/>
              <w:rPr>
                <w:rFonts w:ascii="宋体" w:hAnsi="宋体" w:cs="宋体"/>
                <w:sz w:val="24"/>
                <w:highlight w:val="none"/>
              </w:rPr>
            </w:pPr>
            <w:r>
              <w:rPr>
                <w:rFonts w:hint="eastAsia" w:ascii="宋体" w:hAnsi="宋体" w:cs="宋体"/>
                <w:color w:val="000000"/>
                <w:kern w:val="0"/>
                <w:sz w:val="24"/>
                <w:highlight w:val="none"/>
              </w:rPr>
              <w:t>原理</w:t>
            </w:r>
          </w:p>
        </w:tc>
        <w:tc>
          <w:tcPr>
            <w:tcW w:w="5663" w:type="dxa"/>
            <w:tcBorders>
              <w:top w:val="single" w:color="auto" w:sz="8" w:space="0"/>
              <w:bottom w:val="single" w:color="auto" w:sz="8" w:space="0"/>
            </w:tcBorders>
            <w:vAlign w:val="center"/>
          </w:tcPr>
          <w:p>
            <w:pPr>
              <w:tabs>
                <w:tab w:val="left" w:pos="1080"/>
              </w:tabs>
              <w:jc w:val="left"/>
              <w:rPr>
                <w:rFonts w:ascii="宋体" w:hAnsi="宋体" w:cs="宋体"/>
                <w:sz w:val="24"/>
                <w:highlight w:val="none"/>
              </w:rPr>
            </w:pPr>
            <w:r>
              <w:rPr>
                <w:rFonts w:hint="eastAsia" w:ascii="宋体" w:hAnsi="宋体" w:cs="宋体"/>
                <w:color w:val="000000"/>
                <w:kern w:val="0"/>
                <w:sz w:val="24"/>
                <w:highlight w:val="none"/>
              </w:rPr>
              <w:t>酸性高锰酸钾氧化法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79" w:type="dxa"/>
            <w:tcBorders>
              <w:top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测定范围</w:t>
            </w:r>
          </w:p>
        </w:tc>
        <w:tc>
          <w:tcPr>
            <w:tcW w:w="5663" w:type="dxa"/>
            <w:tcBorders>
              <w:top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0-20/30/50mg/L（安装后量程可调可扩展）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79"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准确度</w:t>
            </w:r>
          </w:p>
        </w:tc>
        <w:tc>
          <w:tcPr>
            <w:tcW w:w="5663"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≤±5</w:t>
            </w:r>
            <w:r>
              <w:rPr>
                <w:rFonts w:hint="eastAsia" w:ascii="宋体" w:hAnsi="宋体" w:cs="宋体"/>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779"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重复性</w:t>
            </w:r>
          </w:p>
        </w:tc>
        <w:tc>
          <w:tcPr>
            <w:tcW w:w="5663"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≤±5</w:t>
            </w:r>
            <w:r>
              <w:rPr>
                <w:rFonts w:hint="eastAsia" w:ascii="宋体" w:hAnsi="宋体" w:cs="宋体"/>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79"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零点漂移</w:t>
            </w:r>
          </w:p>
        </w:tc>
        <w:tc>
          <w:tcPr>
            <w:tcW w:w="5663"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779" w:type="dxa"/>
            <w:tcBorders>
              <w:top w:val="single" w:color="auto" w:sz="4"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量程漂移</w:t>
            </w:r>
          </w:p>
        </w:tc>
        <w:tc>
          <w:tcPr>
            <w:tcW w:w="5663" w:type="dxa"/>
            <w:tcBorders>
              <w:top w:val="single" w:color="auto" w:sz="4"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79" w:type="dxa"/>
            <w:tcBorders>
              <w:top w:val="single" w:color="auto" w:sz="8"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检出限</w:t>
            </w:r>
          </w:p>
        </w:tc>
        <w:tc>
          <w:tcPr>
            <w:tcW w:w="5663" w:type="dxa"/>
            <w:tcBorders>
              <w:top w:val="single" w:color="auto" w:sz="8"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≤0.5mg/L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79"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分辨率</w:t>
            </w:r>
          </w:p>
        </w:tc>
        <w:tc>
          <w:tcPr>
            <w:tcW w:w="5663"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0.1mg/L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779"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平均无故障运行时间</w:t>
            </w:r>
          </w:p>
        </w:tc>
        <w:tc>
          <w:tcPr>
            <w:tcW w:w="5663"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720</w:t>
            </w:r>
            <w:r>
              <w:rPr>
                <w:rFonts w:hint="eastAsia" w:ascii="宋体" w:hAnsi="宋体" w:cs="宋体"/>
                <w:sz w:val="24"/>
                <w:szCs w:val="24"/>
                <w:highlight w:val="none"/>
              </w:rPr>
              <w:t>h/次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779"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质控措施</w:t>
            </w:r>
          </w:p>
        </w:tc>
        <w:tc>
          <w:tcPr>
            <w:tcW w:w="5663"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color w:val="000000"/>
                <w:sz w:val="24"/>
                <w:szCs w:val="24"/>
                <w:highlight w:val="none"/>
              </w:rPr>
              <w:t>仪器采用双通道进样，具备标样自动核查以及加标回收率自动核查功能</w:t>
            </w:r>
          </w:p>
        </w:tc>
      </w:tr>
    </w:tbl>
    <w:p>
      <w:pPr>
        <w:tabs>
          <w:tab w:val="left" w:pos="720"/>
        </w:tabs>
        <w:spacing w:line="360" w:lineRule="auto"/>
        <w:ind w:left="961" w:hanging="961" w:hangingChars="342"/>
        <w:rPr>
          <w:rFonts w:ascii="宋体" w:hAnsi="宋体" w:cs="宋体"/>
          <w:b/>
          <w:bCs/>
          <w:kern w:val="0"/>
          <w:sz w:val="28"/>
          <w:szCs w:val="28"/>
          <w:highlight w:val="none"/>
        </w:rPr>
      </w:pPr>
      <w:r>
        <w:rPr>
          <w:rFonts w:hint="eastAsia" w:ascii="宋体" w:hAnsi="宋体" w:cs="宋体"/>
          <w:b/>
          <w:bCs/>
          <w:kern w:val="0"/>
          <w:sz w:val="28"/>
          <w:szCs w:val="28"/>
          <w:highlight w:val="none"/>
        </w:rPr>
        <w:t xml:space="preserve"> </w:t>
      </w:r>
    </w:p>
    <w:p>
      <w:pPr>
        <w:ind w:firstLine="281" w:firstLineChars="100"/>
        <w:rPr>
          <w:rFonts w:ascii="宋体" w:hAnsi="宋体" w:cs="宋体"/>
          <w:b/>
          <w:bCs/>
          <w:kern w:val="0"/>
          <w:sz w:val="28"/>
          <w:szCs w:val="28"/>
          <w:highlight w:val="none"/>
        </w:rPr>
      </w:pPr>
      <w:r>
        <w:rPr>
          <w:rFonts w:hint="eastAsia" w:ascii="宋体" w:hAnsi="宋体" w:cs="宋体"/>
          <w:b/>
          <w:bCs/>
          <w:snapToGrid w:val="0"/>
          <w:kern w:val="0"/>
          <w:sz w:val="28"/>
          <w:szCs w:val="28"/>
          <w:highlight w:val="none"/>
        </w:rPr>
        <w:t xml:space="preserve"> </w:t>
      </w:r>
      <w:r>
        <w:rPr>
          <w:rFonts w:hint="eastAsia" w:ascii="宋体" w:hAnsi="宋体" w:cs="宋体"/>
          <w:b/>
          <w:sz w:val="28"/>
          <w:szCs w:val="28"/>
          <w:highlight w:val="none"/>
        </w:rPr>
        <w:t>（7）氨氮分析仪技术要求</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5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sz w:val="24"/>
                <w:highlight w:val="none"/>
              </w:rPr>
              <w:t>项目</w:t>
            </w:r>
          </w:p>
        </w:tc>
        <w:tc>
          <w:tcPr>
            <w:tcW w:w="5805"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sz w:val="24"/>
                <w:highlight w:val="none"/>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原理</w:t>
            </w:r>
          </w:p>
        </w:tc>
        <w:tc>
          <w:tcPr>
            <w:tcW w:w="5805"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sz w:val="24"/>
                <w:highlight w:val="none"/>
              </w:rPr>
              <w:t>水杨酸</w:t>
            </w:r>
            <w:r>
              <w:rPr>
                <w:rFonts w:ascii="宋体" w:hAnsi="宋体" w:cs="宋体"/>
                <w:sz w:val="24"/>
                <w:highlight w:val="none"/>
              </w:rPr>
              <w:t>分光光度法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top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测定范围</w:t>
            </w:r>
          </w:p>
        </w:tc>
        <w:tc>
          <w:tcPr>
            <w:tcW w:w="5805" w:type="dxa"/>
            <w:tcBorders>
              <w:top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0-0.5/2/4mg/L（安装后量程可调可扩展）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准确度</w:t>
            </w:r>
          </w:p>
        </w:tc>
        <w:tc>
          <w:tcPr>
            <w:tcW w:w="5805" w:type="dxa"/>
            <w:tcBorders>
              <w:bottom w:val="single" w:color="auto" w:sz="4"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≤±5</w:t>
            </w:r>
            <w:r>
              <w:rPr>
                <w:rFonts w:hint="eastAsia" w:ascii="宋体" w:hAnsi="宋体" w:cs="宋体"/>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5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重复性</w:t>
            </w:r>
          </w:p>
        </w:tc>
        <w:tc>
          <w:tcPr>
            <w:tcW w:w="5805" w:type="dxa"/>
            <w:tcBorders>
              <w:top w:val="single" w:color="auto" w:sz="4" w:space="0"/>
              <w:bottom w:val="single" w:color="auto" w:sz="4"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≤±5</w:t>
            </w:r>
            <w:r>
              <w:rPr>
                <w:rFonts w:hint="eastAsia" w:ascii="宋体" w:hAnsi="宋体" w:cs="宋体"/>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零点漂移</w:t>
            </w:r>
          </w:p>
        </w:tc>
        <w:tc>
          <w:tcPr>
            <w:tcW w:w="5805" w:type="dxa"/>
            <w:tcBorders>
              <w:top w:val="single" w:color="auto" w:sz="4" w:space="0"/>
              <w:bottom w:val="single" w:color="auto" w:sz="4"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51" w:type="dxa"/>
            <w:tcBorders>
              <w:top w:val="single" w:color="auto" w:sz="4"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量程漂移</w:t>
            </w:r>
          </w:p>
        </w:tc>
        <w:tc>
          <w:tcPr>
            <w:tcW w:w="5805" w:type="dxa"/>
            <w:tcBorders>
              <w:top w:val="single" w:color="auto" w:sz="4" w:space="0"/>
              <w:bottom w:val="single" w:color="auto" w:sz="8"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top w:val="single" w:color="auto" w:sz="8"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检出限</w:t>
            </w:r>
          </w:p>
        </w:tc>
        <w:tc>
          <w:tcPr>
            <w:tcW w:w="5805" w:type="dxa"/>
            <w:tcBorders>
              <w:top w:val="single" w:color="auto" w:sz="8"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≤0.02mg/L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51"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分辨率</w:t>
            </w:r>
          </w:p>
        </w:tc>
        <w:tc>
          <w:tcPr>
            <w:tcW w:w="5805"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0.01mg/L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5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平均无故障运行时间</w:t>
            </w:r>
          </w:p>
        </w:tc>
        <w:tc>
          <w:tcPr>
            <w:tcW w:w="5805"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720</w:t>
            </w:r>
            <w:r>
              <w:rPr>
                <w:rFonts w:hint="eastAsia" w:ascii="宋体" w:hAnsi="宋体" w:cs="宋体"/>
                <w:sz w:val="24"/>
                <w:szCs w:val="24"/>
                <w:highlight w:val="none"/>
              </w:rPr>
              <w:t>h/次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5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lang w:val="zh-CN"/>
              </w:rPr>
              <w:t>质控措施</w:t>
            </w:r>
          </w:p>
        </w:tc>
        <w:tc>
          <w:tcPr>
            <w:tcW w:w="5805"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color w:val="000000"/>
                <w:sz w:val="24"/>
                <w:szCs w:val="24"/>
                <w:highlight w:val="none"/>
              </w:rPr>
              <w:t>仪器采用双通道进样，具备标样自动核查以及加标回收率自动核查功能</w:t>
            </w:r>
          </w:p>
        </w:tc>
      </w:tr>
    </w:tbl>
    <w:p>
      <w:pPr>
        <w:tabs>
          <w:tab w:val="left" w:pos="720"/>
        </w:tabs>
        <w:spacing w:beforeLines="50" w:line="360" w:lineRule="auto"/>
        <w:rPr>
          <w:rFonts w:ascii="宋体" w:hAnsi="宋体" w:cs="宋体"/>
          <w:b/>
          <w:bCs/>
          <w:snapToGrid w:val="0"/>
          <w:kern w:val="0"/>
          <w:sz w:val="28"/>
          <w:szCs w:val="28"/>
          <w:highlight w:val="none"/>
        </w:rPr>
      </w:pPr>
      <w:r>
        <w:rPr>
          <w:rFonts w:hint="eastAsia" w:ascii="宋体" w:hAnsi="宋体" w:cs="宋体"/>
          <w:b/>
          <w:bCs/>
          <w:snapToGrid w:val="0"/>
          <w:kern w:val="0"/>
          <w:sz w:val="28"/>
          <w:szCs w:val="28"/>
          <w:highlight w:val="none"/>
        </w:rPr>
        <w:t xml:space="preserve"> </w:t>
      </w:r>
    </w:p>
    <w:p>
      <w:pPr>
        <w:ind w:firstLine="281" w:firstLineChars="100"/>
        <w:rPr>
          <w:rFonts w:ascii="宋体" w:hAnsi="宋体" w:cs="宋体"/>
          <w:b/>
          <w:sz w:val="28"/>
          <w:szCs w:val="28"/>
          <w:highlight w:val="none"/>
        </w:rPr>
      </w:pPr>
      <w:r>
        <w:rPr>
          <w:rFonts w:hint="eastAsia" w:ascii="宋体" w:hAnsi="宋体" w:cs="宋体"/>
          <w:b/>
          <w:sz w:val="28"/>
          <w:szCs w:val="28"/>
          <w:highlight w:val="none"/>
        </w:rPr>
        <w:t xml:space="preserve"> （8）总磷分析仪技术要求</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5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sz w:val="24"/>
                <w:highlight w:val="none"/>
              </w:rPr>
              <w:t>项目</w:t>
            </w:r>
          </w:p>
        </w:tc>
        <w:tc>
          <w:tcPr>
            <w:tcW w:w="5824"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sz w:val="24"/>
                <w:highlight w:val="none"/>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sz w:val="24"/>
                <w:highlight w:val="none"/>
              </w:rPr>
              <w:t>原理</w:t>
            </w:r>
          </w:p>
        </w:tc>
        <w:tc>
          <w:tcPr>
            <w:tcW w:w="5824" w:type="dxa"/>
            <w:tcBorders>
              <w:top w:val="single" w:color="auto" w:sz="8" w:space="0"/>
              <w:bottom w:val="single" w:color="auto" w:sz="8" w:space="0"/>
            </w:tcBorders>
            <w:vAlign w:val="center"/>
          </w:tcPr>
          <w:p>
            <w:pPr>
              <w:tabs>
                <w:tab w:val="left" w:pos="1080"/>
              </w:tabs>
              <w:rPr>
                <w:rFonts w:ascii="宋体" w:hAnsi="宋体" w:cs="宋体"/>
                <w:sz w:val="24"/>
                <w:highlight w:val="none"/>
              </w:rPr>
            </w:pPr>
            <w:r>
              <w:rPr>
                <w:rFonts w:hint="eastAsia" w:ascii="宋体" w:hAnsi="宋体" w:cs="宋体"/>
                <w:color w:val="000000"/>
                <w:kern w:val="0"/>
                <w:sz w:val="24"/>
                <w:highlight w:val="none"/>
              </w:rPr>
              <w:t>过硫酸盐紫外氧化分解—光度法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top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测定范围</w:t>
            </w:r>
          </w:p>
        </w:tc>
        <w:tc>
          <w:tcPr>
            <w:tcW w:w="5824" w:type="dxa"/>
            <w:tcBorders>
              <w:top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0-0.5/1/2/10mg/L（安装后量程可调可扩展）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准确度</w:t>
            </w:r>
          </w:p>
        </w:tc>
        <w:tc>
          <w:tcPr>
            <w:tcW w:w="5824" w:type="dxa"/>
            <w:tcBorders>
              <w:bottom w:val="single" w:color="auto" w:sz="4"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≤±5</w:t>
            </w:r>
            <w:r>
              <w:rPr>
                <w:rFonts w:hint="eastAsia" w:ascii="宋体" w:hAnsi="宋体" w:cs="宋体"/>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8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重复性</w:t>
            </w:r>
          </w:p>
        </w:tc>
        <w:tc>
          <w:tcPr>
            <w:tcW w:w="5824" w:type="dxa"/>
            <w:tcBorders>
              <w:top w:val="single" w:color="auto" w:sz="4" w:space="0"/>
              <w:bottom w:val="single" w:color="auto" w:sz="4"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≤±3</w:t>
            </w:r>
            <w:r>
              <w:rPr>
                <w:rFonts w:hint="eastAsia" w:ascii="宋体" w:hAnsi="宋体" w:cs="宋体"/>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零点漂移</w:t>
            </w:r>
          </w:p>
        </w:tc>
        <w:tc>
          <w:tcPr>
            <w:tcW w:w="5824" w:type="dxa"/>
            <w:tcBorders>
              <w:top w:val="single" w:color="auto" w:sz="4" w:space="0"/>
              <w:bottom w:val="single" w:color="auto" w:sz="4"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±3</w:t>
            </w:r>
            <w:r>
              <w:rPr>
                <w:rFonts w:hint="eastAsia" w:ascii="宋体" w:hAnsi="宋体" w:cs="宋体"/>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81" w:type="dxa"/>
            <w:tcBorders>
              <w:top w:val="single" w:color="auto" w:sz="4"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量程漂移</w:t>
            </w:r>
          </w:p>
        </w:tc>
        <w:tc>
          <w:tcPr>
            <w:tcW w:w="5824" w:type="dxa"/>
            <w:tcBorders>
              <w:top w:val="single" w:color="auto" w:sz="4" w:space="0"/>
              <w:bottom w:val="single" w:color="auto" w:sz="8" w:space="0"/>
            </w:tcBorders>
          </w:tcPr>
          <w:p>
            <w:pPr>
              <w:pStyle w:val="50"/>
              <w:jc w:val="left"/>
              <w:rPr>
                <w:rFonts w:ascii="宋体" w:hAnsi="宋体" w:cs="宋体"/>
                <w:sz w:val="24"/>
                <w:szCs w:val="24"/>
                <w:highlight w:val="none"/>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top w:val="single" w:color="auto" w:sz="8"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检出限</w:t>
            </w:r>
          </w:p>
        </w:tc>
        <w:tc>
          <w:tcPr>
            <w:tcW w:w="5824" w:type="dxa"/>
            <w:tcBorders>
              <w:top w:val="single" w:color="auto" w:sz="8" w:space="0"/>
              <w:bottom w:val="single" w:color="auto" w:sz="8"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0.005mg/L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81"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分辨率</w:t>
            </w:r>
          </w:p>
        </w:tc>
        <w:tc>
          <w:tcPr>
            <w:tcW w:w="5824" w:type="dxa"/>
            <w:tcBorders>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0.001mg/L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8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平均无故障运行时间</w:t>
            </w:r>
          </w:p>
        </w:tc>
        <w:tc>
          <w:tcPr>
            <w:tcW w:w="5824"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720</w:t>
            </w:r>
            <w:r>
              <w:rPr>
                <w:rFonts w:hint="eastAsia" w:ascii="宋体" w:hAnsi="宋体" w:cs="宋体"/>
                <w:sz w:val="24"/>
                <w:szCs w:val="24"/>
                <w:highlight w:val="none"/>
              </w:rPr>
              <w:t>h/次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581"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sz w:val="24"/>
                <w:szCs w:val="24"/>
                <w:highlight w:val="none"/>
                <w:lang w:val="zh-CN"/>
              </w:rPr>
              <w:t>质控措施</w:t>
            </w:r>
          </w:p>
        </w:tc>
        <w:tc>
          <w:tcPr>
            <w:tcW w:w="5824" w:type="dxa"/>
            <w:tcBorders>
              <w:top w:val="single" w:color="auto" w:sz="4" w:space="0"/>
              <w:bottom w:val="single" w:color="auto" w:sz="4" w:space="0"/>
            </w:tcBorders>
            <w:vAlign w:val="center"/>
          </w:tcPr>
          <w:p>
            <w:pPr>
              <w:pStyle w:val="50"/>
              <w:jc w:val="left"/>
              <w:rPr>
                <w:rFonts w:ascii="宋体" w:hAnsi="宋体" w:cs="宋体"/>
                <w:sz w:val="24"/>
                <w:szCs w:val="24"/>
                <w:highlight w:val="none"/>
              </w:rPr>
            </w:pPr>
            <w:r>
              <w:rPr>
                <w:rFonts w:hint="eastAsia" w:ascii="宋体" w:hAnsi="宋体" w:cs="宋体"/>
                <w:color w:val="000000"/>
                <w:sz w:val="24"/>
                <w:szCs w:val="24"/>
                <w:highlight w:val="none"/>
              </w:rPr>
              <w:t>仪器采用双通道进样，具备标样自动核查以及加标回收率自动核查功能</w:t>
            </w:r>
          </w:p>
        </w:tc>
      </w:tr>
    </w:tbl>
    <w:p>
      <w:pPr>
        <w:widowControl/>
        <w:adjustRightInd w:val="0"/>
        <w:snapToGrid w:val="0"/>
        <w:spacing w:beforeLines="50" w:line="360" w:lineRule="auto"/>
        <w:jc w:val="left"/>
        <w:rPr>
          <w:rFonts w:ascii="宋体" w:hAnsi="宋体" w:cs="宋体"/>
          <w:b/>
          <w:bCs/>
          <w:snapToGrid w:val="0"/>
          <w:kern w:val="0"/>
          <w:sz w:val="28"/>
          <w:szCs w:val="28"/>
          <w:highlight w:val="none"/>
        </w:rPr>
      </w:pPr>
    </w:p>
    <w:p>
      <w:pPr>
        <w:ind w:firstLine="281" w:firstLineChars="100"/>
        <w:rPr>
          <w:rFonts w:ascii="宋体" w:hAnsi="宋体" w:cs="宋体"/>
          <w:b/>
          <w:sz w:val="28"/>
          <w:szCs w:val="28"/>
          <w:highlight w:val="none"/>
        </w:rPr>
      </w:pPr>
      <w:r>
        <w:rPr>
          <w:rFonts w:hint="eastAsia" w:ascii="宋体" w:hAnsi="宋体" w:cs="宋体"/>
          <w:b/>
          <w:sz w:val="28"/>
          <w:szCs w:val="28"/>
          <w:highlight w:val="none"/>
        </w:rPr>
        <w:t>（9）总氮分析仪技术要求</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0"/>
        <w:gridCol w:w="4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pStyle w:val="50"/>
              <w:jc w:val="left"/>
              <w:rPr>
                <w:rFonts w:ascii="宋体" w:hAnsi="宋体" w:cs="宋体"/>
                <w:bCs/>
                <w:sz w:val="24"/>
                <w:szCs w:val="24"/>
                <w:highlight w:val="none"/>
              </w:rPr>
            </w:pPr>
            <w:r>
              <w:rPr>
                <w:rFonts w:hint="eastAsia" w:ascii="宋体" w:hAnsi="宋体" w:cs="宋体"/>
                <w:bCs/>
                <w:sz w:val="24"/>
                <w:szCs w:val="24"/>
                <w:highlight w:val="none"/>
              </w:rPr>
              <w:t>项目</w:t>
            </w:r>
          </w:p>
        </w:tc>
        <w:tc>
          <w:tcPr>
            <w:tcW w:w="4005" w:type="dxa"/>
            <w:vAlign w:val="center"/>
          </w:tcPr>
          <w:p>
            <w:pPr>
              <w:pStyle w:val="50"/>
              <w:jc w:val="left"/>
              <w:rPr>
                <w:rFonts w:ascii="宋体" w:hAnsi="宋体" w:cs="宋体"/>
                <w:bCs/>
                <w:sz w:val="24"/>
                <w:szCs w:val="24"/>
                <w:highlight w:val="none"/>
              </w:rPr>
            </w:pPr>
            <w:r>
              <w:rPr>
                <w:rFonts w:hint="eastAsia" w:ascii="宋体" w:hAnsi="宋体" w:cs="宋体"/>
                <w:sz w:val="24"/>
                <w:szCs w:val="24"/>
                <w:highlight w:val="none"/>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测定原理</w:t>
            </w:r>
          </w:p>
        </w:tc>
        <w:tc>
          <w:tcPr>
            <w:tcW w:w="4005"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过硫酸钾消解-紫外分光光度法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680" w:type="dxa"/>
            <w:tcBorders>
              <w:bottom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量程</w:t>
            </w:r>
          </w:p>
        </w:tc>
        <w:tc>
          <w:tcPr>
            <w:tcW w:w="4005" w:type="dxa"/>
            <w:tcBorders>
              <w:bottom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0～50mg/L，可调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680" w:type="dxa"/>
            <w:tcBorders>
              <w:top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零点漂移</w:t>
            </w:r>
          </w:p>
        </w:tc>
        <w:tc>
          <w:tcPr>
            <w:tcW w:w="4005" w:type="dxa"/>
            <w:tcBorders>
              <w:top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量程漂移</w:t>
            </w:r>
          </w:p>
        </w:tc>
        <w:tc>
          <w:tcPr>
            <w:tcW w:w="4005"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直线性</w:t>
            </w:r>
          </w:p>
        </w:tc>
        <w:tc>
          <w:tcPr>
            <w:tcW w:w="4005"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重复性</w:t>
            </w:r>
          </w:p>
        </w:tc>
        <w:tc>
          <w:tcPr>
            <w:tcW w:w="4005"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检出限</w:t>
            </w:r>
          </w:p>
        </w:tc>
        <w:tc>
          <w:tcPr>
            <w:tcW w:w="4005"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≤0.05mg/L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4680" w:type="dxa"/>
            <w:tcBorders>
              <w:bottom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MTBF</w:t>
            </w:r>
          </w:p>
        </w:tc>
        <w:tc>
          <w:tcPr>
            <w:tcW w:w="4005" w:type="dxa"/>
            <w:tcBorders>
              <w:bottom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w:t>
            </w:r>
            <w:r>
              <w:rPr>
                <w:rFonts w:hint="eastAsia" w:ascii="宋体" w:hAnsi="宋体" w:cs="宋体"/>
                <w:bCs/>
                <w:sz w:val="24"/>
                <w:highlight w:val="none"/>
                <w:lang w:eastAsia="zh-CN"/>
              </w:rPr>
              <w:t>720</w:t>
            </w:r>
            <w:r>
              <w:rPr>
                <w:rFonts w:hint="eastAsia" w:ascii="宋体" w:hAnsi="宋体" w:cs="宋体"/>
                <w:bCs/>
                <w:sz w:val="24"/>
                <w:highlight w:val="none"/>
              </w:rPr>
              <w:t>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4680" w:type="dxa"/>
            <w:tcBorders>
              <w:top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实际水样比对试验</w:t>
            </w:r>
          </w:p>
        </w:tc>
        <w:tc>
          <w:tcPr>
            <w:tcW w:w="4005" w:type="dxa"/>
            <w:tcBorders>
              <w:top w:val="single" w:color="auto" w:sz="4" w:space="0"/>
            </w:tcBorders>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4680" w:type="dxa"/>
            <w:tcBorders>
              <w:top w:val="single" w:color="auto" w:sz="4" w:space="0"/>
            </w:tcBorders>
            <w:vAlign w:val="center"/>
          </w:tcPr>
          <w:p>
            <w:pPr>
              <w:pStyle w:val="50"/>
              <w:jc w:val="left"/>
              <w:rPr>
                <w:rFonts w:ascii="宋体" w:hAnsi="宋体" w:cs="宋体"/>
                <w:bCs/>
                <w:sz w:val="24"/>
                <w:szCs w:val="24"/>
                <w:highlight w:val="none"/>
              </w:rPr>
            </w:pPr>
            <w:r>
              <w:rPr>
                <w:rFonts w:hint="eastAsia" w:ascii="宋体" w:hAnsi="宋体" w:cs="宋体"/>
                <w:sz w:val="24"/>
                <w:szCs w:val="24"/>
                <w:highlight w:val="none"/>
                <w:lang w:val="zh-CN"/>
              </w:rPr>
              <w:t>质控措施</w:t>
            </w:r>
          </w:p>
        </w:tc>
        <w:tc>
          <w:tcPr>
            <w:tcW w:w="4005" w:type="dxa"/>
            <w:tcBorders>
              <w:top w:val="single" w:color="auto" w:sz="4" w:space="0"/>
            </w:tcBorders>
            <w:vAlign w:val="center"/>
          </w:tcPr>
          <w:p>
            <w:pPr>
              <w:pStyle w:val="50"/>
              <w:jc w:val="left"/>
              <w:rPr>
                <w:rFonts w:ascii="宋体" w:hAnsi="宋体" w:cs="宋体"/>
                <w:bCs/>
                <w:sz w:val="24"/>
                <w:szCs w:val="24"/>
                <w:highlight w:val="none"/>
              </w:rPr>
            </w:pPr>
            <w:r>
              <w:rPr>
                <w:rFonts w:hint="eastAsia" w:ascii="宋体" w:hAnsi="宋体" w:cs="宋体"/>
                <w:color w:val="000000"/>
                <w:sz w:val="24"/>
                <w:szCs w:val="24"/>
                <w:highlight w:val="none"/>
              </w:rPr>
              <w:t>仪器采用双通道进样，具备标样自动核查以及加标回收率自动核查功能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0"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可扩展</w:t>
            </w:r>
          </w:p>
        </w:tc>
        <w:tc>
          <w:tcPr>
            <w:tcW w:w="4005" w:type="dxa"/>
            <w:vAlign w:val="center"/>
          </w:tcPr>
          <w:p>
            <w:pPr>
              <w:tabs>
                <w:tab w:val="left" w:pos="-108"/>
                <w:tab w:val="left" w:pos="668"/>
              </w:tabs>
              <w:wordWrap w:val="0"/>
              <w:spacing w:line="100" w:lineRule="atLeast"/>
              <w:jc w:val="left"/>
              <w:rPr>
                <w:rFonts w:ascii="宋体" w:hAnsi="宋体" w:cs="宋体"/>
                <w:sz w:val="24"/>
                <w:highlight w:val="none"/>
              </w:rPr>
            </w:pPr>
            <w:r>
              <w:rPr>
                <w:rFonts w:hint="eastAsia" w:ascii="宋体" w:hAnsi="宋体" w:cs="宋体"/>
                <w:bCs/>
                <w:sz w:val="24"/>
                <w:highlight w:val="none"/>
              </w:rPr>
              <w:t>可切换实现硝酸盐氮、亚硝酸盐氮、六价铬、铁、锰、镍、铜等参数的扩展监测</w:t>
            </w:r>
          </w:p>
        </w:tc>
      </w:tr>
    </w:tbl>
    <w:p>
      <w:pPr>
        <w:widowControl/>
        <w:adjustRightInd w:val="0"/>
        <w:snapToGrid w:val="0"/>
        <w:spacing w:beforeLines="50" w:line="360" w:lineRule="auto"/>
        <w:jc w:val="left"/>
        <w:rPr>
          <w:rFonts w:ascii="宋体" w:hAnsi="宋体" w:cs="宋体"/>
          <w:b/>
          <w:bCs/>
          <w:snapToGrid w:val="0"/>
          <w:kern w:val="0"/>
          <w:sz w:val="28"/>
          <w:szCs w:val="28"/>
          <w:highlight w:val="none"/>
        </w:rPr>
      </w:pPr>
    </w:p>
    <w:p>
      <w:pPr>
        <w:ind w:firstLine="281" w:firstLineChars="100"/>
        <w:rPr>
          <w:rFonts w:ascii="宋体" w:hAnsi="宋体" w:cs="宋体"/>
          <w:b/>
          <w:sz w:val="28"/>
          <w:szCs w:val="28"/>
          <w:highlight w:val="none"/>
        </w:rPr>
      </w:pPr>
      <w:bookmarkStart w:id="33" w:name="_Toc532073343"/>
      <w:bookmarkStart w:id="34" w:name="_Toc23523_WPSOffice_Level3"/>
      <w:r>
        <w:rPr>
          <w:rFonts w:hint="eastAsia" w:ascii="宋体" w:hAnsi="宋体" w:cs="宋体"/>
          <w:b/>
          <w:sz w:val="28"/>
          <w:szCs w:val="28"/>
          <w:highlight w:val="none"/>
        </w:rPr>
        <w:t>1.5.2 仪器主体结构要求</w:t>
      </w:r>
      <w:bookmarkEnd w:id="33"/>
      <w:bookmarkEnd w:id="34"/>
    </w:p>
    <w:p>
      <w:pPr>
        <w:spacing w:line="360" w:lineRule="auto"/>
        <w:ind w:left="420"/>
        <w:rPr>
          <w:rFonts w:ascii="宋体" w:hAnsi="宋体" w:cs="宋体"/>
          <w:sz w:val="28"/>
          <w:szCs w:val="28"/>
          <w:highlight w:val="none"/>
        </w:rPr>
      </w:pPr>
      <w:r>
        <w:rPr>
          <w:rFonts w:hint="eastAsia" w:ascii="宋体" w:hAnsi="宋体" w:cs="宋体"/>
          <w:kern w:val="0"/>
          <w:sz w:val="28"/>
          <w:szCs w:val="28"/>
          <w:highlight w:val="none"/>
        </w:rPr>
        <w:t>（1）检测灵活；</w:t>
      </w:r>
    </w:p>
    <w:p>
      <w:pPr>
        <w:spacing w:line="360" w:lineRule="auto"/>
        <w:ind w:left="420"/>
        <w:rPr>
          <w:rFonts w:ascii="宋体" w:hAnsi="宋体" w:cs="宋体"/>
          <w:sz w:val="28"/>
          <w:szCs w:val="28"/>
          <w:highlight w:val="none"/>
        </w:rPr>
      </w:pPr>
      <w:r>
        <w:rPr>
          <w:rFonts w:hint="eastAsia" w:ascii="宋体" w:hAnsi="宋体" w:cs="宋体"/>
          <w:kern w:val="0"/>
          <w:sz w:val="28"/>
          <w:szCs w:val="28"/>
          <w:highlight w:val="none"/>
        </w:rPr>
        <w:t>（2）</w:t>
      </w:r>
      <w:r>
        <w:rPr>
          <w:rFonts w:hint="eastAsia" w:ascii="宋体" w:hAnsi="宋体" w:cs="宋体"/>
          <w:sz w:val="28"/>
          <w:szCs w:val="28"/>
          <w:highlight w:val="none"/>
        </w:rPr>
        <w:t>全自动控制，实时连续监测；</w:t>
      </w:r>
    </w:p>
    <w:p>
      <w:pPr>
        <w:spacing w:line="360" w:lineRule="auto"/>
        <w:ind w:left="420"/>
        <w:rPr>
          <w:rFonts w:ascii="宋体" w:hAnsi="宋体" w:cs="宋体"/>
          <w:bCs/>
          <w:kern w:val="0"/>
          <w:sz w:val="28"/>
          <w:szCs w:val="28"/>
          <w:highlight w:val="none"/>
        </w:rPr>
      </w:pPr>
      <w:r>
        <w:rPr>
          <w:rFonts w:hint="eastAsia" w:ascii="宋体" w:hAnsi="宋体" w:cs="宋体"/>
          <w:kern w:val="0"/>
          <w:sz w:val="28"/>
          <w:szCs w:val="28"/>
          <w:highlight w:val="none"/>
        </w:rPr>
        <w:t>（3）使用和维护成本低，试剂消耗量小；</w:t>
      </w:r>
    </w:p>
    <w:p>
      <w:pPr>
        <w:spacing w:line="360" w:lineRule="auto"/>
        <w:rPr>
          <w:rFonts w:ascii="宋体" w:hAnsi="宋体" w:cs="宋体"/>
          <w:bCs/>
          <w:kern w:val="0"/>
          <w:sz w:val="28"/>
          <w:szCs w:val="28"/>
          <w:highlight w:val="none"/>
        </w:rPr>
      </w:pPr>
      <w:r>
        <w:rPr>
          <w:rFonts w:hint="eastAsia" w:ascii="宋体" w:hAnsi="宋体" w:cs="宋体"/>
          <w:sz w:val="28"/>
          <w:szCs w:val="28"/>
          <w:highlight w:val="none"/>
        </w:rPr>
        <w:t xml:space="preserve">   </w:t>
      </w:r>
      <w:r>
        <w:rPr>
          <w:rFonts w:hint="eastAsia" w:ascii="宋体" w:hAnsi="宋体" w:cs="宋体"/>
          <w:kern w:val="0"/>
          <w:sz w:val="28"/>
          <w:szCs w:val="28"/>
          <w:highlight w:val="none"/>
        </w:rPr>
        <w:t>（4）</w:t>
      </w:r>
      <w:r>
        <w:rPr>
          <w:rFonts w:hint="eastAsia" w:ascii="宋体" w:hAnsi="宋体" w:cs="宋体"/>
          <w:bCs/>
          <w:kern w:val="0"/>
          <w:sz w:val="28"/>
          <w:szCs w:val="28"/>
          <w:highlight w:val="none"/>
        </w:rPr>
        <w:t>具有自动校准功能；</w:t>
      </w:r>
    </w:p>
    <w:p>
      <w:pPr>
        <w:spacing w:line="360" w:lineRule="auto"/>
        <w:ind w:left="420"/>
        <w:rPr>
          <w:rFonts w:ascii="宋体" w:hAnsi="宋体" w:cs="宋体"/>
          <w:bCs/>
          <w:kern w:val="0"/>
          <w:sz w:val="28"/>
          <w:szCs w:val="28"/>
          <w:highlight w:val="none"/>
        </w:rPr>
      </w:pPr>
      <w:r>
        <w:rPr>
          <w:rFonts w:hint="eastAsia" w:ascii="宋体" w:hAnsi="宋体" w:cs="宋体"/>
          <w:kern w:val="0"/>
          <w:sz w:val="28"/>
          <w:szCs w:val="28"/>
          <w:highlight w:val="none"/>
        </w:rPr>
        <w:t>（5）</w:t>
      </w:r>
      <w:r>
        <w:rPr>
          <w:rFonts w:hint="eastAsia" w:ascii="宋体" w:hAnsi="宋体" w:cs="宋体"/>
          <w:bCs/>
          <w:kern w:val="0"/>
          <w:sz w:val="28"/>
          <w:szCs w:val="28"/>
          <w:highlight w:val="none"/>
        </w:rPr>
        <w:t>运行可靠，具备标样核查功能，确保监测数据真实准确；</w:t>
      </w:r>
    </w:p>
    <w:p>
      <w:pPr>
        <w:spacing w:line="360" w:lineRule="auto"/>
        <w:ind w:left="420"/>
        <w:rPr>
          <w:rFonts w:ascii="宋体" w:hAnsi="宋体" w:cs="宋体"/>
          <w:bCs/>
          <w:kern w:val="0"/>
          <w:sz w:val="28"/>
          <w:szCs w:val="28"/>
          <w:highlight w:val="none"/>
        </w:rPr>
      </w:pPr>
      <w:r>
        <w:rPr>
          <w:rFonts w:hint="eastAsia" w:ascii="宋体" w:hAnsi="宋体" w:cs="宋体"/>
          <w:kern w:val="0"/>
          <w:sz w:val="28"/>
          <w:szCs w:val="28"/>
          <w:highlight w:val="none"/>
        </w:rPr>
        <w:t>（6）</w:t>
      </w:r>
      <w:r>
        <w:rPr>
          <w:rFonts w:hint="eastAsia" w:ascii="宋体" w:hAnsi="宋体" w:cs="宋体"/>
          <w:bCs/>
          <w:kern w:val="0"/>
          <w:sz w:val="28"/>
          <w:szCs w:val="28"/>
          <w:highlight w:val="none"/>
        </w:rPr>
        <w:t>仪器工作过程中可实时当前仪器的状态日志；</w:t>
      </w:r>
    </w:p>
    <w:p>
      <w:pPr>
        <w:spacing w:line="360" w:lineRule="auto"/>
        <w:rPr>
          <w:rFonts w:ascii="宋体" w:hAnsi="宋体" w:cs="宋体"/>
          <w:bCs/>
          <w:kern w:val="0"/>
          <w:sz w:val="28"/>
          <w:szCs w:val="28"/>
          <w:highlight w:val="none"/>
        </w:rPr>
      </w:pPr>
      <w:r>
        <w:rPr>
          <w:rFonts w:hint="eastAsia" w:ascii="宋体" w:hAnsi="宋体" w:cs="宋体"/>
          <w:sz w:val="28"/>
          <w:szCs w:val="28"/>
          <w:highlight w:val="none"/>
        </w:rPr>
        <w:t xml:space="preserve">   </w:t>
      </w:r>
      <w:r>
        <w:rPr>
          <w:rFonts w:hint="eastAsia" w:ascii="宋体" w:hAnsi="宋体" w:cs="宋体"/>
          <w:kern w:val="0"/>
          <w:sz w:val="28"/>
          <w:szCs w:val="28"/>
          <w:highlight w:val="none"/>
        </w:rPr>
        <w:t>（7）</w:t>
      </w:r>
      <w:r>
        <w:rPr>
          <w:rFonts w:hint="eastAsia" w:ascii="宋体" w:hAnsi="宋体" w:cs="宋体"/>
          <w:bCs/>
          <w:kern w:val="0"/>
          <w:sz w:val="28"/>
          <w:szCs w:val="28"/>
          <w:highlight w:val="none"/>
        </w:rPr>
        <w:t>具有浓度超标、故障、以及缺试剂时自动报警功能；</w:t>
      </w:r>
    </w:p>
    <w:p>
      <w:pPr>
        <w:spacing w:line="360" w:lineRule="auto"/>
        <w:ind w:left="420"/>
        <w:rPr>
          <w:rFonts w:ascii="宋体" w:hAnsi="宋体" w:cs="宋体"/>
          <w:bCs/>
          <w:kern w:val="0"/>
          <w:sz w:val="28"/>
          <w:szCs w:val="28"/>
          <w:highlight w:val="none"/>
        </w:rPr>
      </w:pPr>
      <w:r>
        <w:rPr>
          <w:rFonts w:hint="eastAsia" w:ascii="宋体" w:hAnsi="宋体" w:cs="宋体"/>
          <w:kern w:val="0"/>
          <w:sz w:val="28"/>
          <w:szCs w:val="28"/>
          <w:highlight w:val="none"/>
        </w:rPr>
        <w:t>（8）</w:t>
      </w:r>
      <w:r>
        <w:rPr>
          <w:rFonts w:hint="eastAsia" w:ascii="宋体" w:hAnsi="宋体" w:cs="宋体"/>
          <w:bCs/>
          <w:kern w:val="0"/>
          <w:sz w:val="28"/>
          <w:szCs w:val="28"/>
          <w:highlight w:val="none"/>
        </w:rPr>
        <w:t>报表和图表等多种数据查询方式，使用方便；</w:t>
      </w:r>
    </w:p>
    <w:p>
      <w:pPr>
        <w:spacing w:line="360" w:lineRule="auto"/>
        <w:ind w:left="420"/>
        <w:rPr>
          <w:rFonts w:ascii="宋体" w:hAnsi="宋体" w:cs="宋体"/>
          <w:bCs/>
          <w:kern w:val="0"/>
          <w:sz w:val="28"/>
          <w:szCs w:val="28"/>
          <w:highlight w:val="none"/>
        </w:rPr>
      </w:pPr>
      <w:r>
        <w:rPr>
          <w:rFonts w:hint="eastAsia" w:ascii="宋体" w:hAnsi="宋体" w:cs="宋体"/>
          <w:kern w:val="0"/>
          <w:sz w:val="28"/>
          <w:szCs w:val="28"/>
          <w:highlight w:val="none"/>
        </w:rPr>
        <w:t>（9）</w:t>
      </w:r>
      <w:r>
        <w:rPr>
          <w:rFonts w:hint="eastAsia" w:ascii="宋体" w:hAnsi="宋体" w:cs="宋体"/>
          <w:bCs/>
          <w:kern w:val="0"/>
          <w:sz w:val="28"/>
          <w:szCs w:val="28"/>
          <w:highlight w:val="none"/>
        </w:rPr>
        <w:t>智能化设计，远程控制、数据分析和故障排除。</w:t>
      </w:r>
    </w:p>
    <w:p>
      <w:pPr>
        <w:spacing w:line="360" w:lineRule="auto"/>
        <w:ind w:left="420"/>
        <w:rPr>
          <w:rFonts w:ascii="宋体" w:hAnsi="宋体" w:cs="宋体"/>
          <w:bCs/>
          <w:kern w:val="0"/>
          <w:sz w:val="28"/>
          <w:szCs w:val="28"/>
          <w:highlight w:val="none"/>
        </w:rPr>
      </w:pPr>
    </w:p>
    <w:p>
      <w:pPr>
        <w:ind w:firstLine="281" w:firstLineChars="100"/>
        <w:rPr>
          <w:rFonts w:ascii="宋体" w:hAnsi="宋体" w:cs="宋体"/>
          <w:b/>
          <w:sz w:val="28"/>
          <w:szCs w:val="28"/>
          <w:highlight w:val="none"/>
        </w:rPr>
      </w:pPr>
      <w:bookmarkStart w:id="35" w:name="_Toc4729_WPSOffice_Level3"/>
      <w:bookmarkStart w:id="36" w:name="_Toc532073344"/>
      <w:r>
        <w:rPr>
          <w:rFonts w:hint="eastAsia" w:ascii="宋体" w:hAnsi="宋体" w:cs="宋体"/>
          <w:b/>
          <w:sz w:val="28"/>
          <w:szCs w:val="28"/>
          <w:highlight w:val="none"/>
        </w:rPr>
        <w:t>1.5.3水质自动采样留样器</w:t>
      </w:r>
      <w:bookmarkEnd w:id="35"/>
      <w:bookmarkEnd w:id="3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项目</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采样方法</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真空（蠕动）泵采样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冷藏温度</w:t>
            </w:r>
          </w:p>
        </w:tc>
        <w:tc>
          <w:tcPr>
            <w:tcW w:w="5610" w:type="dxa"/>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af-ZA"/>
              </w:rPr>
              <w:t>℃±</w:t>
            </w:r>
            <w:r>
              <w:rPr>
                <w:rFonts w:hint="eastAsia" w:ascii="宋体" w:hAnsi="宋体" w:cs="宋体"/>
                <w:kern w:val="0"/>
                <w:sz w:val="24"/>
                <w:highlight w:val="none"/>
              </w:rPr>
              <w:t>0.2</w:t>
            </w:r>
            <w:r>
              <w:rPr>
                <w:rFonts w:hint="eastAsia" w:ascii="宋体" w:hAnsi="宋体" w:cs="宋体"/>
                <w:kern w:val="0"/>
                <w:sz w:val="24"/>
                <w:highlight w:val="none"/>
                <w:lang w:val="af-Z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分瓶存储</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≥24瓶，可设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单次采样量</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 xml:space="preserve"> 10～</w:t>
            </w:r>
            <w:r>
              <w:rPr>
                <w:rFonts w:hint="eastAsia" w:ascii="宋体" w:hAnsi="宋体" w:cs="宋体"/>
                <w:kern w:val="0"/>
                <w:sz w:val="24"/>
                <w:highlight w:val="none"/>
              </w:rPr>
              <w:t>100</w:t>
            </w:r>
            <w:r>
              <w:rPr>
                <w:rFonts w:hint="eastAsia" w:ascii="宋体" w:hAnsi="宋体" w:cs="宋体"/>
                <w:kern w:val="0"/>
                <w:sz w:val="24"/>
                <w:highlight w:val="none"/>
                <w:lang w:val="af-ZA"/>
              </w:rPr>
              <w:t>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采样量误差</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w:t>
            </w:r>
            <w:r>
              <w:rPr>
                <w:rFonts w:hint="eastAsia" w:ascii="宋体" w:hAnsi="宋体" w:cs="宋体"/>
                <w:kern w:val="0"/>
                <w:sz w:val="24"/>
                <w:highlight w:val="none"/>
              </w:rPr>
              <w:t>2</w:t>
            </w:r>
            <w:r>
              <w:rPr>
                <w:rFonts w:hint="eastAsia" w:ascii="宋体" w:hAnsi="宋体" w:cs="宋体"/>
                <w:kern w:val="0"/>
                <w:sz w:val="24"/>
                <w:highlight w:val="none"/>
                <w:lang w:val="af-Z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等比例采样误差</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w:t>
            </w:r>
            <w:r>
              <w:rPr>
                <w:rFonts w:hint="eastAsia" w:ascii="宋体" w:hAnsi="宋体" w:cs="宋体"/>
                <w:kern w:val="0"/>
                <w:sz w:val="24"/>
                <w:highlight w:val="none"/>
              </w:rPr>
              <w:t>5</w:t>
            </w:r>
            <w:r>
              <w:rPr>
                <w:rFonts w:hint="eastAsia" w:ascii="宋体" w:hAnsi="宋体" w:cs="宋体"/>
                <w:kern w:val="0"/>
                <w:sz w:val="24"/>
                <w:highlight w:val="none"/>
                <w:lang w:val="af-Z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系统时钟时间控制误差</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△1≤0.1%及△12≤30s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机箱内温度控制误差</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±1</w:t>
            </w:r>
            <w:r>
              <w:rPr>
                <w:rFonts w:hint="eastAsia" w:ascii="宋体" w:hAnsi="宋体" w:cs="宋体"/>
                <w:kern w:val="0"/>
                <w:sz w:val="24"/>
                <w:highlight w:val="none"/>
                <w:lang w:val="af-ZA"/>
              </w:rPr>
              <w:sym w:font="Times New Roman" w:char="0000"/>
            </w:r>
            <w:r>
              <w:rPr>
                <w:rFonts w:hint="eastAsia" w:ascii="宋体" w:hAnsi="宋体" w:cs="宋体"/>
                <w:kern w:val="0"/>
                <w:sz w:val="24"/>
                <w:highlight w:val="none"/>
                <w:lang w:val="af-ZA"/>
              </w:rPr>
              <w:t>C 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最大垂直采样高度</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w:t>
            </w:r>
            <w:r>
              <w:rPr>
                <w:rFonts w:hint="eastAsia" w:ascii="宋体" w:hAnsi="宋体" w:cs="宋体"/>
                <w:kern w:val="0"/>
                <w:sz w:val="24"/>
                <w:highlight w:val="none"/>
              </w:rPr>
              <w:t>8</w:t>
            </w:r>
            <w:r>
              <w:rPr>
                <w:rFonts w:hint="eastAsia" w:ascii="宋体" w:hAnsi="宋体" w:cs="宋体"/>
                <w:kern w:val="0"/>
                <w:sz w:val="24"/>
                <w:highlight w:val="none"/>
                <w:lang w:val="af-ZA"/>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水平采样距离</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w:t>
            </w:r>
            <w:r>
              <w:rPr>
                <w:rFonts w:hint="eastAsia" w:ascii="宋体" w:hAnsi="宋体" w:cs="宋体"/>
                <w:kern w:val="0"/>
                <w:sz w:val="24"/>
                <w:highlight w:val="none"/>
              </w:rPr>
              <w:t>100</w:t>
            </w:r>
            <w:r>
              <w:rPr>
                <w:rFonts w:hint="eastAsia" w:ascii="宋体" w:hAnsi="宋体" w:cs="宋体"/>
                <w:kern w:val="0"/>
                <w:sz w:val="24"/>
                <w:highlight w:val="none"/>
                <w:lang w:val="af-ZA"/>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81"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MTBF</w:t>
            </w:r>
          </w:p>
        </w:tc>
        <w:tc>
          <w:tcPr>
            <w:tcW w:w="5610" w:type="dxa"/>
            <w:vAlign w:val="center"/>
          </w:tcPr>
          <w:p>
            <w:pPr>
              <w:snapToGrid w:val="0"/>
              <w:spacing w:line="360" w:lineRule="auto"/>
              <w:jc w:val="center"/>
              <w:rPr>
                <w:rFonts w:ascii="宋体" w:hAnsi="宋体" w:cs="宋体"/>
                <w:kern w:val="0"/>
                <w:sz w:val="24"/>
                <w:highlight w:val="none"/>
                <w:lang w:val="af-ZA"/>
              </w:rPr>
            </w:pPr>
            <w:r>
              <w:rPr>
                <w:rFonts w:hint="eastAsia" w:ascii="宋体" w:hAnsi="宋体" w:cs="宋体"/>
                <w:kern w:val="0"/>
                <w:sz w:val="24"/>
                <w:highlight w:val="none"/>
                <w:lang w:val="af-ZA"/>
              </w:rPr>
              <w:t>≥</w:t>
            </w:r>
            <w:r>
              <w:rPr>
                <w:rFonts w:hint="eastAsia" w:ascii="宋体" w:hAnsi="宋体" w:cs="宋体"/>
                <w:kern w:val="0"/>
                <w:sz w:val="24"/>
                <w:highlight w:val="none"/>
              </w:rPr>
              <w:t>4880</w:t>
            </w:r>
            <w:r>
              <w:rPr>
                <w:rFonts w:hint="eastAsia" w:ascii="宋体" w:hAnsi="宋体" w:cs="宋体"/>
                <w:kern w:val="0"/>
                <w:sz w:val="24"/>
                <w:highlight w:val="none"/>
                <w:lang w:val="af-ZA"/>
              </w:rPr>
              <w:t>小时/次</w:t>
            </w:r>
          </w:p>
        </w:tc>
      </w:tr>
    </w:tbl>
    <w:p>
      <w:pPr>
        <w:widowControl/>
        <w:spacing w:line="600" w:lineRule="exact"/>
        <w:jc w:val="left"/>
        <w:outlineLvl w:val="1"/>
        <w:rPr>
          <w:rFonts w:ascii="宋体" w:hAnsi="宋体" w:cs="宋体"/>
          <w:b/>
          <w:kern w:val="0"/>
          <w:sz w:val="28"/>
          <w:highlight w:val="none"/>
        </w:rPr>
      </w:pPr>
      <w:bookmarkStart w:id="37" w:name="_Toc80740101"/>
      <w:bookmarkStart w:id="38" w:name="_Toc4562_WPSOffice_Level2"/>
      <w:bookmarkStart w:id="39" w:name="_Toc367785841"/>
      <w:r>
        <w:rPr>
          <w:rFonts w:hint="eastAsia" w:ascii="宋体" w:hAnsi="宋体" w:cs="宋体"/>
          <w:b/>
          <w:kern w:val="0"/>
          <w:sz w:val="28"/>
          <w:highlight w:val="none"/>
        </w:rPr>
        <w:t>1.6 水质自动监测站管理平台要求</w:t>
      </w:r>
      <w:bookmarkEnd w:id="37"/>
      <w:bookmarkEnd w:id="38"/>
    </w:p>
    <w:p>
      <w:pPr>
        <w:ind w:firstLine="281" w:firstLineChars="100"/>
        <w:rPr>
          <w:rFonts w:ascii="宋体" w:hAnsi="宋体" w:cs="宋体"/>
          <w:b/>
          <w:sz w:val="28"/>
          <w:szCs w:val="28"/>
          <w:highlight w:val="none"/>
        </w:rPr>
      </w:pPr>
      <w:bookmarkStart w:id="40" w:name="_Toc8745_WPSOffice_Level3"/>
      <w:bookmarkStart w:id="41" w:name="_Toc532073346"/>
      <w:r>
        <w:rPr>
          <w:rFonts w:hint="eastAsia" w:ascii="宋体" w:hAnsi="宋体" w:cs="宋体"/>
          <w:b/>
          <w:sz w:val="28"/>
          <w:szCs w:val="28"/>
          <w:highlight w:val="none"/>
        </w:rPr>
        <w:t>1.6.1 建设内容及主要任务</w:t>
      </w:r>
      <w:bookmarkEnd w:id="40"/>
      <w:bookmarkEnd w:id="41"/>
    </w:p>
    <w:p>
      <w:pPr>
        <w:ind w:firstLine="280" w:firstLineChars="100"/>
        <w:rPr>
          <w:rFonts w:ascii="宋体" w:hAnsi="宋体" w:cs="宋体"/>
          <w:sz w:val="28"/>
          <w:szCs w:val="28"/>
          <w:highlight w:val="none"/>
        </w:rPr>
      </w:pPr>
      <w:bookmarkStart w:id="42" w:name="_Toc5006_WPSOffice_Level3"/>
      <w:bookmarkStart w:id="43" w:name="_Toc5655_WPSOffice_Level3"/>
      <w:r>
        <w:rPr>
          <w:rFonts w:hint="eastAsia" w:ascii="宋体" w:hAnsi="宋体" w:cs="宋体"/>
          <w:sz w:val="28"/>
          <w:szCs w:val="28"/>
          <w:highlight w:val="none"/>
        </w:rPr>
        <w:t>1.6.1.1建设内容</w:t>
      </w:r>
      <w:bookmarkEnd w:id="42"/>
      <w:bookmarkEnd w:id="43"/>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在水质自动站建设后，水质自动监测实时联网平台将按照统一的规范标准接入自动站在线监测监控数据，并实现对现场端设备的远程控制，实时监控水源地水质情况，实现水质自动站建设“智能化”和监控预警“零时差”。数据接入后，平台软件通过对自动站传输的仪器状态信号、自动质控误差率、系统状态记录、运维管理等信息综合分析达到数据有效性自动判别的目的。</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以此为基础，水质自动监测站同步建立水质监测数据仓库，通过对海量数据分析提供多样化的数据挖掘功能，全方位、多维度、多形式显示河流断面水质数据分析结果和未来水质变化趋势，为各级环境保护主管部门及时准确分析监测数据，管理水环境质量，为应对水环境突发污染事故提供技术依据。</w:t>
      </w:r>
    </w:p>
    <w:p>
      <w:pPr>
        <w:ind w:firstLine="280" w:firstLineChars="100"/>
        <w:rPr>
          <w:rFonts w:ascii="宋体" w:hAnsi="宋体" w:cs="宋体"/>
          <w:sz w:val="28"/>
          <w:szCs w:val="28"/>
          <w:highlight w:val="none"/>
        </w:rPr>
      </w:pPr>
      <w:bookmarkStart w:id="44" w:name="_Toc6631_WPSOffice_Level3"/>
      <w:bookmarkStart w:id="45" w:name="_Toc14000_WPSOffice_Level3"/>
      <w:r>
        <w:rPr>
          <w:rFonts w:hint="eastAsia" w:ascii="宋体" w:hAnsi="宋体" w:cs="宋体"/>
          <w:sz w:val="28"/>
          <w:szCs w:val="28"/>
          <w:highlight w:val="none"/>
        </w:rPr>
        <w:t>1.6.1.2建设主要任务</w:t>
      </w:r>
      <w:bookmarkEnd w:id="44"/>
      <w:bookmarkEnd w:id="45"/>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采用模块化开发方式，以GIS地理信息系统为基础，与自动监控基础数据库紧密结合，地图界面放置简洁明了的操作控件，用户操作地图时系统后台程序读取地理信息基础数据库、空间信息数据库、自动监控监测数据库等基础数据综合分析，显示结果大气、美观，简约。升级后系统需满足如下需求：</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（1）统一数据采集内容和传输标准，保障后期水质自动站标准化建设和未来不同厂家、不同类型设备监测数据接入可持续化建设需求。</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（2）要求基于.NET平台开发，部署于WINDOWS操作系统，采用B/S和C/S结合的架构，以SQL Server大型网络数据库技术作为程序开发的底层数据库。</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（3）以GIS为基础，以铜仁市</w:t>
      </w:r>
      <w:r>
        <w:rPr>
          <w:rFonts w:hint="eastAsia" w:ascii="宋体" w:hAnsi="宋体" w:cs="宋体"/>
          <w:kern w:val="0"/>
          <w:sz w:val="28"/>
          <w:szCs w:val="28"/>
          <w:highlight w:val="none"/>
          <w:lang w:val="en-US" w:eastAsia="zh-CN"/>
        </w:rPr>
        <w:t>石阡县</w:t>
      </w:r>
      <w:r>
        <w:rPr>
          <w:rFonts w:hint="eastAsia" w:ascii="宋体" w:hAnsi="宋体" w:cs="宋体"/>
          <w:kern w:val="0"/>
          <w:sz w:val="28"/>
          <w:szCs w:val="28"/>
          <w:highlight w:val="none"/>
        </w:rPr>
        <w:t>水环境安全防控为目的，数据集中管理、统一应用，提升环境监测站数据分析应用能力。</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4）实现水站的设备状态量采集功能，增加环境温度、环境湿度、工作电压/电流、天气状态、UPS工作状态（市电/电池）等环境动力参数采集，提供水站的水质自动站可视化管理界面、现场状态实时显示、可控模块远程指挥，实现对水质自动站远程虚拟化管理。</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（5）预留自动站监控现场视频接入接口，满足图像采集的要求。</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（6）能对已实现远程自动质控的自动站进行流程设定,控制自动站在不同的使用条件下进行常规模式、数据异常判别模式、应急监测模式的科学快速转换;支持数据有效性审核机制，每个监测数据均可溯源。</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（7）对于水质超标、设备故障等自动站运行异常情况实时预警，事故应急时可提供支撑数据来源。</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（8）中心管理系统软件功能多样化，图形图表丰富。</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（9）具备数据审核管理功能，能对自动监测数据进行自动审核、人工修正等，可补录实验室监测数据。</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（10）提供水质自动站运维管理和质量考核功能，实现对水质自动站的无纸化运维管理，全面提升监测数据质量，保障国家总站对“四个考核指标”的要求。</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11）联网情况统计，实时统计自动监控点联网在线情况、数据完整率情况、数据超标情况等功能。能实时统计水站的联网状态，统计指标包括：最后一次在线/在线时间、在线/掉线持续时长、当日掉线次数、当日掉线累计时间、当日通信流量等，并提供相应的图表分析功能。</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（12）能自动采集缺失数据、自动传输数据、自动处理及自动分析数据，实现数字化环境管理。</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（13）以现有环境自动监测数据为基础，研究基于水质机理和神经网络模拟相结合的混合智能水质预警预测技术及应用。</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（14）能按采购人需求扩展通信传输协议，实现对现场端设施工况信息、周期数据、 数据、标样核查、平行样测试、加标回收率数据的采集和分析功能。</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（15）能够发布水环境状态基本信息和在线监测统计数据；</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（16）可以实现与环保厅自动监控系统无缝对接。</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（17）能满足上级领导视察、日常会议培训的需要。</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（18）现有系统功能平稳过渡与加强。</w:t>
      </w:r>
    </w:p>
    <w:p>
      <w:pPr>
        <w:widowControl/>
        <w:spacing w:line="600" w:lineRule="exact"/>
        <w:jc w:val="left"/>
        <w:outlineLvl w:val="1"/>
        <w:rPr>
          <w:rFonts w:ascii="宋体" w:hAnsi="宋体" w:cs="宋体"/>
          <w:b/>
          <w:kern w:val="0"/>
          <w:sz w:val="28"/>
          <w:highlight w:val="none"/>
        </w:rPr>
      </w:pPr>
      <w:bookmarkStart w:id="46" w:name="_Toc80740102"/>
      <w:bookmarkStart w:id="47" w:name="_Toc7919_WPSOffice_Level2"/>
      <w:r>
        <w:rPr>
          <w:rFonts w:hint="eastAsia" w:ascii="宋体" w:hAnsi="宋体" w:cs="宋体"/>
          <w:b/>
          <w:kern w:val="0"/>
          <w:sz w:val="28"/>
          <w:highlight w:val="none"/>
        </w:rPr>
        <w:t>1.7视频监控系统技术要求</w:t>
      </w:r>
      <w:bookmarkEnd w:id="46"/>
      <w:bookmarkEnd w:id="47"/>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综合监控项目的需求，搭建一套网络视频监控系统，通过建设在监控中心的监控指挥中心，专门监控各现场的情况以及对监控资源作分配管理调度。本系统整体上可分为三部分：前端视频采集编码部分、视频传输线路部分、视频监控中心部分及视频访问终端。</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微型水站内部带网络接口的设备包括：1台站内网络摄像机、2台站外网络摄像机、1台4路网络硬盘录像机、1台门禁控制器和1台监控一体机。3台网络摄像机通过交换机接入到网络硬盘录像机，网络硬盘录像机负责存储3台网络摄像机的录像，可存储两个月视频监控数据，电脑和手机均可远程监控。网络硬盘录像机和监控一体机（数据采集与控制子单元）通过光纤+4G网络与监测中心服务器通讯。</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对于各站点的视频监控，建议将在室内和室外分别按照视频摄像头，室内和室外视频主要以下进行监控：</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1）在监测机房内安装摄像头，远程监视水质自动监测站内设备（采样分配单元，自动监测分析仪器、供电系统、数据采集及传输系统等）的整体工作情况（如设备的面板指示灯及数据的显示，电源是否正常等），以实现远端的工作人员对水质自动监测设备运行情况、电源、环境信息的实时视频监视。</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（2）监测站室外安装摄像头，远程观察水质自动站工作状况，观察水质自动监测站周边的水位、流量等水情情况，同时也可观察水质自动监测站院站房、取水设施等周边。</w:t>
      </w:r>
    </w:p>
    <w:p>
      <w:pPr>
        <w:snapToGrid w:val="0"/>
        <w:spacing w:line="360" w:lineRule="auto"/>
        <w:ind w:firstLine="610" w:firstLineChars="218"/>
        <w:rPr>
          <w:rFonts w:ascii="宋体" w:hAnsi="宋体" w:cs="宋体"/>
          <w:kern w:val="0"/>
          <w:sz w:val="28"/>
          <w:szCs w:val="28"/>
          <w:highlight w:val="none"/>
        </w:rPr>
      </w:pPr>
      <w:r>
        <w:rPr>
          <w:rFonts w:hint="eastAsia" w:ascii="宋体" w:hAnsi="宋体" w:cs="宋体"/>
          <w:kern w:val="0"/>
          <w:sz w:val="28"/>
          <w:szCs w:val="28"/>
          <w:highlight w:val="none"/>
        </w:rPr>
        <w:t>视频监控配置表：</w:t>
      </w:r>
    </w:p>
    <w:tbl>
      <w:tblPr>
        <w:tblStyle w:val="19"/>
        <w:tblW w:w="0" w:type="auto"/>
        <w:jc w:val="center"/>
        <w:tblLayout w:type="fixed"/>
        <w:tblCellMar>
          <w:top w:w="0" w:type="dxa"/>
          <w:left w:w="108" w:type="dxa"/>
          <w:bottom w:w="0" w:type="dxa"/>
          <w:right w:w="108" w:type="dxa"/>
        </w:tblCellMar>
      </w:tblPr>
      <w:tblGrid>
        <w:gridCol w:w="1086"/>
        <w:gridCol w:w="2221"/>
        <w:gridCol w:w="1380"/>
        <w:gridCol w:w="930"/>
        <w:gridCol w:w="2268"/>
      </w:tblGrid>
      <w:tr>
        <w:tblPrEx>
          <w:tblCellMar>
            <w:top w:w="0" w:type="dxa"/>
            <w:left w:w="108" w:type="dxa"/>
            <w:bottom w:w="0" w:type="dxa"/>
            <w:right w:w="108" w:type="dxa"/>
          </w:tblCellMar>
        </w:tblPrEx>
        <w:trPr>
          <w:trHeight w:val="402" w:hRule="atLeast"/>
          <w:jc w:val="center"/>
        </w:trPr>
        <w:tc>
          <w:tcPr>
            <w:tcW w:w="1086"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序号</w:t>
            </w:r>
          </w:p>
        </w:tc>
        <w:tc>
          <w:tcPr>
            <w:tcW w:w="2221"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jc w:val="center"/>
              <w:rPr>
                <w:rFonts w:ascii="宋体" w:hAnsi="宋体" w:cs="宋体"/>
                <w:kern w:val="0"/>
                <w:sz w:val="24"/>
                <w:highlight w:val="none"/>
                <w:lang w:val="af-ZA"/>
              </w:rPr>
            </w:pPr>
            <w:r>
              <w:rPr>
                <w:rFonts w:hint="eastAsia" w:ascii="宋体" w:hAnsi="宋体" w:cs="宋体"/>
                <w:kern w:val="0"/>
                <w:sz w:val="24"/>
                <w:highlight w:val="none"/>
                <w:lang w:val="af-ZA"/>
              </w:rPr>
              <w:t>名称</w:t>
            </w:r>
          </w:p>
        </w:tc>
        <w:tc>
          <w:tcPr>
            <w:tcW w:w="1380" w:type="dxa"/>
            <w:tcBorders>
              <w:top w:val="single" w:color="000000" w:sz="4" w:space="0"/>
              <w:left w:val="nil"/>
              <w:bottom w:val="single" w:color="000000" w:sz="4" w:space="0"/>
              <w:right w:val="single" w:color="000000" w:sz="4" w:space="0"/>
            </w:tcBorders>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单位</w:t>
            </w:r>
          </w:p>
        </w:tc>
        <w:tc>
          <w:tcPr>
            <w:tcW w:w="930" w:type="dxa"/>
            <w:tcBorders>
              <w:top w:val="single" w:color="000000" w:sz="4" w:space="0"/>
              <w:left w:val="nil"/>
              <w:bottom w:val="single" w:color="000000" w:sz="4" w:space="0"/>
              <w:right w:val="single" w:color="000000" w:sz="4" w:space="0"/>
            </w:tcBorders>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数量</w:t>
            </w:r>
          </w:p>
        </w:tc>
        <w:tc>
          <w:tcPr>
            <w:tcW w:w="2268"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备注</w:t>
            </w:r>
          </w:p>
        </w:tc>
      </w:tr>
      <w:tr>
        <w:tblPrEx>
          <w:tblCellMar>
            <w:top w:w="0" w:type="dxa"/>
            <w:left w:w="108" w:type="dxa"/>
            <w:bottom w:w="0" w:type="dxa"/>
            <w:right w:w="108" w:type="dxa"/>
          </w:tblCellMar>
        </w:tblPrEx>
        <w:trPr>
          <w:trHeight w:val="402" w:hRule="atLeast"/>
          <w:jc w:val="center"/>
        </w:trPr>
        <w:tc>
          <w:tcPr>
            <w:tcW w:w="1086" w:type="dxa"/>
            <w:tcBorders>
              <w:top w:val="single" w:color="000000" w:sz="4" w:space="0"/>
              <w:left w:val="single" w:color="000000" w:sz="4" w:space="0"/>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1</w:t>
            </w:r>
          </w:p>
        </w:tc>
        <w:tc>
          <w:tcPr>
            <w:tcW w:w="2221" w:type="dxa"/>
            <w:tcBorders>
              <w:top w:val="single" w:color="000000" w:sz="4" w:space="0"/>
              <w:left w:val="nil"/>
              <w:bottom w:val="single" w:color="000000" w:sz="4" w:space="0"/>
              <w:right w:val="single" w:color="000000" w:sz="4" w:space="0"/>
            </w:tcBorders>
            <w:vAlign w:val="center"/>
          </w:tcPr>
          <w:p>
            <w:pPr>
              <w:spacing w:line="430" w:lineRule="exact"/>
              <w:jc w:val="left"/>
              <w:rPr>
                <w:rFonts w:ascii="宋体" w:hAnsi="宋体" w:cs="宋体"/>
                <w:kern w:val="0"/>
                <w:sz w:val="24"/>
                <w:highlight w:val="none"/>
                <w:lang w:val="af-ZA"/>
              </w:rPr>
            </w:pPr>
            <w:r>
              <w:rPr>
                <w:rFonts w:hint="eastAsia" w:ascii="宋体" w:hAnsi="宋体" w:cs="宋体"/>
                <w:kern w:val="0"/>
                <w:sz w:val="24"/>
                <w:highlight w:val="none"/>
                <w:lang w:val="af-ZA"/>
              </w:rPr>
              <w:t>硬盘录像机</w:t>
            </w:r>
          </w:p>
        </w:tc>
        <w:tc>
          <w:tcPr>
            <w:tcW w:w="138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台</w:t>
            </w:r>
          </w:p>
        </w:tc>
        <w:tc>
          <w:tcPr>
            <w:tcW w:w="93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1</w:t>
            </w:r>
          </w:p>
        </w:tc>
        <w:tc>
          <w:tcPr>
            <w:tcW w:w="2268"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p>
        </w:tc>
      </w:tr>
      <w:tr>
        <w:tblPrEx>
          <w:tblCellMar>
            <w:top w:w="0" w:type="dxa"/>
            <w:left w:w="108" w:type="dxa"/>
            <w:bottom w:w="0" w:type="dxa"/>
            <w:right w:w="108" w:type="dxa"/>
          </w:tblCellMar>
        </w:tblPrEx>
        <w:trPr>
          <w:trHeight w:val="402" w:hRule="atLeast"/>
          <w:jc w:val="center"/>
        </w:trPr>
        <w:tc>
          <w:tcPr>
            <w:tcW w:w="1086" w:type="dxa"/>
            <w:tcBorders>
              <w:top w:val="single" w:color="000000" w:sz="4" w:space="0"/>
              <w:left w:val="single" w:color="000000" w:sz="4" w:space="0"/>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2</w:t>
            </w:r>
          </w:p>
        </w:tc>
        <w:tc>
          <w:tcPr>
            <w:tcW w:w="2221" w:type="dxa"/>
            <w:tcBorders>
              <w:top w:val="single" w:color="000000" w:sz="4" w:space="0"/>
              <w:left w:val="nil"/>
              <w:bottom w:val="single" w:color="000000" w:sz="4" w:space="0"/>
              <w:right w:val="single" w:color="000000" w:sz="4" w:space="0"/>
            </w:tcBorders>
            <w:vAlign w:val="center"/>
          </w:tcPr>
          <w:p>
            <w:pPr>
              <w:spacing w:line="430" w:lineRule="exact"/>
              <w:jc w:val="left"/>
              <w:rPr>
                <w:rFonts w:ascii="宋体" w:hAnsi="宋体" w:cs="宋体"/>
                <w:kern w:val="0"/>
                <w:sz w:val="24"/>
                <w:highlight w:val="none"/>
                <w:lang w:val="af-ZA"/>
              </w:rPr>
            </w:pPr>
            <w:r>
              <w:rPr>
                <w:rFonts w:hint="eastAsia" w:ascii="宋体" w:hAnsi="宋体" w:cs="宋体"/>
                <w:kern w:val="0"/>
                <w:sz w:val="24"/>
                <w:highlight w:val="none"/>
                <w:lang w:val="af-ZA"/>
              </w:rPr>
              <w:t>2TB硬盘</w:t>
            </w:r>
          </w:p>
        </w:tc>
        <w:tc>
          <w:tcPr>
            <w:tcW w:w="138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个</w:t>
            </w:r>
          </w:p>
        </w:tc>
        <w:tc>
          <w:tcPr>
            <w:tcW w:w="93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1</w:t>
            </w:r>
          </w:p>
        </w:tc>
        <w:tc>
          <w:tcPr>
            <w:tcW w:w="2268"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p>
        </w:tc>
      </w:tr>
      <w:tr>
        <w:tblPrEx>
          <w:tblCellMar>
            <w:top w:w="0" w:type="dxa"/>
            <w:left w:w="108" w:type="dxa"/>
            <w:bottom w:w="0" w:type="dxa"/>
            <w:right w:w="108" w:type="dxa"/>
          </w:tblCellMar>
        </w:tblPrEx>
        <w:trPr>
          <w:trHeight w:val="402" w:hRule="atLeast"/>
          <w:jc w:val="center"/>
        </w:trPr>
        <w:tc>
          <w:tcPr>
            <w:tcW w:w="1086" w:type="dxa"/>
            <w:tcBorders>
              <w:top w:val="single" w:color="000000" w:sz="4" w:space="0"/>
              <w:left w:val="single" w:color="000000" w:sz="4" w:space="0"/>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3</w:t>
            </w:r>
          </w:p>
        </w:tc>
        <w:tc>
          <w:tcPr>
            <w:tcW w:w="2221" w:type="dxa"/>
            <w:tcBorders>
              <w:top w:val="single" w:color="000000" w:sz="4" w:space="0"/>
              <w:left w:val="nil"/>
              <w:bottom w:val="single" w:color="000000" w:sz="4" w:space="0"/>
              <w:right w:val="single" w:color="000000" w:sz="4" w:space="0"/>
            </w:tcBorders>
            <w:vAlign w:val="center"/>
          </w:tcPr>
          <w:p>
            <w:pPr>
              <w:spacing w:line="430" w:lineRule="exact"/>
              <w:jc w:val="left"/>
              <w:rPr>
                <w:rFonts w:ascii="宋体" w:hAnsi="宋体" w:cs="宋体"/>
                <w:kern w:val="0"/>
                <w:sz w:val="24"/>
                <w:highlight w:val="none"/>
                <w:lang w:val="af-ZA"/>
              </w:rPr>
            </w:pPr>
            <w:r>
              <w:rPr>
                <w:rFonts w:hint="eastAsia" w:ascii="宋体" w:hAnsi="宋体" w:cs="宋体"/>
                <w:kern w:val="0"/>
                <w:sz w:val="24"/>
                <w:highlight w:val="none"/>
                <w:lang w:val="af-ZA"/>
              </w:rPr>
              <w:t>红外智能球机</w:t>
            </w:r>
          </w:p>
        </w:tc>
        <w:tc>
          <w:tcPr>
            <w:tcW w:w="138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个</w:t>
            </w:r>
          </w:p>
        </w:tc>
        <w:tc>
          <w:tcPr>
            <w:tcW w:w="93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1</w:t>
            </w:r>
          </w:p>
        </w:tc>
        <w:tc>
          <w:tcPr>
            <w:tcW w:w="2268" w:type="dxa"/>
            <w:tcBorders>
              <w:top w:val="single" w:color="000000" w:sz="4" w:space="0"/>
              <w:left w:val="nil"/>
              <w:bottom w:val="single" w:color="000000" w:sz="4" w:space="0"/>
              <w:right w:val="single" w:color="000000" w:sz="4" w:space="0"/>
            </w:tcBorders>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室外监控，含电源</w:t>
            </w:r>
          </w:p>
        </w:tc>
      </w:tr>
      <w:tr>
        <w:tblPrEx>
          <w:tblCellMar>
            <w:top w:w="0" w:type="dxa"/>
            <w:left w:w="108" w:type="dxa"/>
            <w:bottom w:w="0" w:type="dxa"/>
            <w:right w:w="108" w:type="dxa"/>
          </w:tblCellMar>
        </w:tblPrEx>
        <w:trPr>
          <w:trHeight w:val="402" w:hRule="atLeast"/>
          <w:jc w:val="center"/>
        </w:trPr>
        <w:tc>
          <w:tcPr>
            <w:tcW w:w="1086" w:type="dxa"/>
            <w:tcBorders>
              <w:top w:val="single" w:color="000000" w:sz="4" w:space="0"/>
              <w:left w:val="single" w:color="000000" w:sz="4" w:space="0"/>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rPr>
            </w:pPr>
            <w:r>
              <w:rPr>
                <w:rFonts w:hint="eastAsia" w:ascii="宋体" w:hAnsi="宋体" w:cs="宋体"/>
                <w:kern w:val="0"/>
                <w:sz w:val="24"/>
                <w:highlight w:val="none"/>
              </w:rPr>
              <w:t>4</w:t>
            </w:r>
          </w:p>
        </w:tc>
        <w:tc>
          <w:tcPr>
            <w:tcW w:w="2221" w:type="dxa"/>
            <w:tcBorders>
              <w:top w:val="single" w:color="000000" w:sz="4" w:space="0"/>
              <w:left w:val="nil"/>
              <w:bottom w:val="single" w:color="000000" w:sz="4" w:space="0"/>
              <w:right w:val="single" w:color="000000" w:sz="4" w:space="0"/>
            </w:tcBorders>
            <w:vAlign w:val="center"/>
          </w:tcPr>
          <w:p>
            <w:pPr>
              <w:spacing w:line="430" w:lineRule="exact"/>
              <w:jc w:val="left"/>
              <w:rPr>
                <w:rFonts w:ascii="宋体" w:hAnsi="宋体" w:cs="宋体"/>
                <w:kern w:val="0"/>
                <w:sz w:val="24"/>
                <w:highlight w:val="none"/>
                <w:lang w:val="af-ZA"/>
              </w:rPr>
            </w:pPr>
            <w:r>
              <w:rPr>
                <w:rFonts w:hint="eastAsia" w:ascii="宋体" w:hAnsi="宋体" w:cs="宋体"/>
                <w:kern w:val="0"/>
                <w:sz w:val="24"/>
                <w:highlight w:val="none"/>
                <w:lang w:val="af-ZA"/>
              </w:rPr>
              <w:t>球机支架</w:t>
            </w:r>
          </w:p>
        </w:tc>
        <w:tc>
          <w:tcPr>
            <w:tcW w:w="138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个</w:t>
            </w:r>
          </w:p>
        </w:tc>
        <w:tc>
          <w:tcPr>
            <w:tcW w:w="930"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1</w:t>
            </w:r>
          </w:p>
        </w:tc>
        <w:tc>
          <w:tcPr>
            <w:tcW w:w="2268" w:type="dxa"/>
            <w:tcBorders>
              <w:top w:val="single" w:color="000000" w:sz="4" w:space="0"/>
              <w:left w:val="nil"/>
              <w:bottom w:val="single" w:color="000000" w:sz="4" w:space="0"/>
              <w:right w:val="single" w:color="000000" w:sz="4" w:space="0"/>
            </w:tcBorders>
            <w:vAlign w:val="center"/>
          </w:tcPr>
          <w:p>
            <w:pPr>
              <w:spacing w:line="430" w:lineRule="exact"/>
              <w:ind w:firstLine="480" w:firstLineChars="200"/>
              <w:rPr>
                <w:rFonts w:ascii="宋体" w:hAnsi="宋体" w:cs="宋体"/>
                <w:kern w:val="0"/>
                <w:sz w:val="24"/>
                <w:highlight w:val="none"/>
                <w:lang w:val="af-ZA"/>
              </w:rPr>
            </w:pPr>
          </w:p>
        </w:tc>
      </w:tr>
    </w:tbl>
    <w:p>
      <w:pPr>
        <w:spacing w:line="430" w:lineRule="exact"/>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在取水口安装视频监控点，视频点接入远程视频监控及安防统一管理平台，实现远程视频监控。</w:t>
      </w:r>
    </w:p>
    <w:p>
      <w:pPr>
        <w:spacing w:line="430" w:lineRule="exact"/>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室外摄像机配置表：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65"/>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gridSpan w:val="2"/>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项目名称</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机芯 </w:t>
            </w:r>
          </w:p>
        </w:tc>
        <w:tc>
          <w:tcPr>
            <w:tcW w:w="196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图像传感器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1/3"Progressive Scan CMOS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水平解析度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≥720TVL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Merge w:val="restart"/>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最低照度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彩色：0.05Lux @ （F1.4，AGC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Merge w:val="continue"/>
            <w:vAlign w:val="center"/>
          </w:tcPr>
          <w:p>
            <w:pPr>
              <w:spacing w:line="430" w:lineRule="exact"/>
              <w:ind w:firstLine="480" w:firstLineChars="200"/>
              <w:rPr>
                <w:rFonts w:ascii="宋体" w:hAnsi="宋体" w:cs="宋体"/>
                <w:kern w:val="0"/>
                <w:sz w:val="24"/>
                <w:highlight w:val="none"/>
                <w:lang w:val="af-ZA"/>
              </w:rPr>
            </w:pP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黑白：0.01Lux @（F1.4，AGC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信噪比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大于 52dB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电子快门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1-1/10,000s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日夜模式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自动ICR 彩转黑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数字变倍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16倍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镜头 </w:t>
            </w: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焦距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4.7-94mm, 20倍光学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变倍速度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大约3秒（光学, 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水平视角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58.3-3.2度（广角-望远）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近摄距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10-1000mm（广角-望远）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光圈数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F1.6-F3.5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外功能 </w:t>
            </w:r>
          </w:p>
        </w:tc>
        <w:tc>
          <w:tcPr>
            <w:tcW w:w="196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红外照射距离 </w:t>
            </w:r>
          </w:p>
        </w:tc>
        <w:tc>
          <w:tcPr>
            <w:tcW w:w="505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150米 </w:t>
            </w:r>
          </w:p>
        </w:tc>
      </w:tr>
    </w:tbl>
    <w:p>
      <w:pPr>
        <w:spacing w:line="430" w:lineRule="exact"/>
        <w:rPr>
          <w:rFonts w:ascii="宋体" w:hAnsi="宋体" w:cs="宋体"/>
          <w:kern w:val="0"/>
          <w:sz w:val="28"/>
          <w:szCs w:val="28"/>
          <w:highlight w:val="none"/>
          <w:lang w:val="af-ZA"/>
        </w:rPr>
      </w:pPr>
      <w:r>
        <w:rPr>
          <w:rFonts w:hint="eastAsia" w:ascii="宋体" w:hAnsi="宋体" w:cs="宋体"/>
          <w:kern w:val="0"/>
          <w:sz w:val="28"/>
          <w:szCs w:val="28"/>
          <w:highlight w:val="none"/>
          <w:lang w:val="af-ZA"/>
        </w:rPr>
        <w:t>室内摄像机配置表：</w:t>
      </w:r>
    </w:p>
    <w:p>
      <w:pPr>
        <w:spacing w:line="430" w:lineRule="exact"/>
        <w:ind w:firstLine="560" w:firstLineChars="200"/>
        <w:rPr>
          <w:rFonts w:ascii="宋体" w:hAnsi="宋体" w:cs="宋体"/>
          <w:kern w:val="0"/>
          <w:sz w:val="28"/>
          <w:szCs w:val="28"/>
          <w:highlight w:val="none"/>
          <w:lang w:val="af-Z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8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061" w:type="dxa"/>
            <w:gridSpan w:val="2"/>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项目名称</w:t>
            </w:r>
          </w:p>
        </w:tc>
        <w:tc>
          <w:tcPr>
            <w:tcW w:w="525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机芯</w:t>
            </w: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图像传感器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1/2.8"Progressive Scan CMOS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有效像素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约250万像素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最低照度 </w:t>
            </w:r>
          </w:p>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彩色：0.1Lux @ （F2.0，AGC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Merge w:val="continue"/>
            <w:vAlign w:val="center"/>
          </w:tcPr>
          <w:p>
            <w:pPr>
              <w:spacing w:line="430" w:lineRule="exact"/>
              <w:ind w:firstLine="480" w:firstLineChars="200"/>
              <w:rPr>
                <w:rFonts w:ascii="宋体" w:hAnsi="宋体" w:cs="宋体"/>
                <w:kern w:val="0"/>
                <w:sz w:val="24"/>
                <w:highlight w:val="none"/>
                <w:lang w:val="af-ZA"/>
              </w:rPr>
            </w:pP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黑白：0.01Lux @ （F2.0，AGC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信噪比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大于 52dB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电子快门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1-1/10000s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日夜模式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自动ICR 彩转黑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数字变倍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16倍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聚焦模式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自动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6"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镜头 </w:t>
            </w:r>
          </w:p>
        </w:tc>
        <w:tc>
          <w:tcPr>
            <w:tcW w:w="178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焦距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3-6mm，2倍变倍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变倍速度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大约1秒（广角-望远）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水平视角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80-64.5度（广角-望远）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光圈数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F2.0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Merge w:val="continue"/>
            <w:vAlign w:val="center"/>
          </w:tcPr>
          <w:p>
            <w:pPr>
              <w:spacing w:line="430" w:lineRule="exact"/>
              <w:ind w:firstLine="480" w:firstLineChars="200"/>
              <w:rPr>
                <w:rFonts w:ascii="宋体" w:hAnsi="宋体" w:cs="宋体"/>
                <w:kern w:val="0"/>
                <w:sz w:val="24"/>
                <w:highlight w:val="none"/>
                <w:lang w:val="af-ZA"/>
              </w:rPr>
            </w:pPr>
          </w:p>
        </w:tc>
        <w:tc>
          <w:tcPr>
            <w:tcW w:w="178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近摄距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10-1500mm（广角-望远）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276"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红外功能 </w:t>
            </w:r>
          </w:p>
        </w:tc>
        <w:tc>
          <w:tcPr>
            <w:tcW w:w="1785"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红外照射距离 </w:t>
            </w:r>
          </w:p>
        </w:tc>
        <w:tc>
          <w:tcPr>
            <w:tcW w:w="525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20米</w:t>
            </w:r>
          </w:p>
        </w:tc>
      </w:tr>
    </w:tbl>
    <w:p>
      <w:pPr>
        <w:spacing w:line="430" w:lineRule="exact"/>
        <w:rPr>
          <w:rFonts w:ascii="宋体" w:hAnsi="宋体" w:cs="宋体"/>
          <w:kern w:val="0"/>
          <w:sz w:val="28"/>
          <w:szCs w:val="28"/>
          <w:highlight w:val="none"/>
          <w:lang w:val="af-ZA"/>
        </w:rPr>
      </w:pPr>
      <w:r>
        <w:rPr>
          <w:rFonts w:hint="eastAsia" w:ascii="宋体" w:hAnsi="宋体" w:cs="宋体"/>
          <w:kern w:val="0"/>
          <w:sz w:val="28"/>
          <w:szCs w:val="28"/>
          <w:highlight w:val="none"/>
          <w:lang w:val="af-ZA"/>
        </w:rPr>
        <w:t>网络硬盘录像机配置表：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96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174" w:type="dxa"/>
            <w:gridSpan w:val="2"/>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项目名称</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209"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视音频编解码参数 </w:t>
            </w:r>
          </w:p>
        </w:tc>
        <w:tc>
          <w:tcPr>
            <w:tcW w:w="1965" w:type="dxa"/>
            <w:vMerge w:val="restart"/>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录像分辨率 </w:t>
            </w:r>
          </w:p>
        </w:tc>
        <w:tc>
          <w:tcPr>
            <w:tcW w:w="414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6MP/5MP/3MP/1080p/UXGA/720p/VGA/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209"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Merge w:val="continue"/>
            <w:vAlign w:val="center"/>
          </w:tcPr>
          <w:p>
            <w:pPr>
              <w:spacing w:line="430" w:lineRule="exact"/>
              <w:ind w:firstLine="480" w:firstLineChars="200"/>
              <w:rPr>
                <w:rFonts w:ascii="宋体" w:hAnsi="宋体" w:cs="宋体"/>
                <w:kern w:val="0"/>
                <w:sz w:val="24"/>
                <w:highlight w:val="none"/>
                <w:lang w:val="af-ZA"/>
              </w:rPr>
            </w:pPr>
          </w:p>
        </w:tc>
        <w:tc>
          <w:tcPr>
            <w:tcW w:w="414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4CIF/DCIF/2CIF/CIF/QCIF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09"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同步回放 </w:t>
            </w:r>
          </w:p>
        </w:tc>
        <w:tc>
          <w:tcPr>
            <w:tcW w:w="414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4路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09" w:type="dxa"/>
            <w:vMerge w:val="restart"/>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录像管理 </w:t>
            </w:r>
          </w:p>
        </w:tc>
        <w:tc>
          <w:tcPr>
            <w:tcW w:w="1965" w:type="dxa"/>
            <w:vAlign w:val="center"/>
          </w:tcPr>
          <w:p>
            <w:pPr>
              <w:spacing w:line="430" w:lineRule="exact"/>
              <w:jc w:val="left"/>
              <w:rPr>
                <w:rFonts w:ascii="宋体" w:hAnsi="宋体" w:cs="宋体"/>
                <w:kern w:val="0"/>
                <w:sz w:val="24"/>
                <w:highlight w:val="none"/>
                <w:lang w:val="af-ZA"/>
              </w:rPr>
            </w:pPr>
            <w:r>
              <w:rPr>
                <w:rFonts w:hint="eastAsia" w:ascii="宋体" w:hAnsi="宋体" w:cs="宋体"/>
                <w:kern w:val="0"/>
                <w:sz w:val="24"/>
                <w:highlight w:val="none"/>
                <w:lang w:val="af-ZA"/>
              </w:rPr>
              <w:t xml:space="preserve">录像/抓图模式 </w:t>
            </w:r>
          </w:p>
        </w:tc>
        <w:tc>
          <w:tcPr>
            <w:tcW w:w="414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手动录像、定时录像、事件录像、移动侦测录像、报警录像、动测或报警录像、动测且报警录像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09"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 xml:space="preserve">回放模式 </w:t>
            </w:r>
          </w:p>
        </w:tc>
        <w:tc>
          <w:tcPr>
            <w:tcW w:w="414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即时回放、常规回放、事件回放、标签回放、智能回放、外部文件回放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209"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 xml:space="preserve">备份模式 </w:t>
            </w:r>
          </w:p>
        </w:tc>
        <w:tc>
          <w:tcPr>
            <w:tcW w:w="4140" w:type="dxa"/>
            <w:vAlign w:val="center"/>
          </w:tcPr>
          <w:p>
            <w:pPr>
              <w:spacing w:line="430" w:lineRule="exact"/>
              <w:rPr>
                <w:rFonts w:ascii="宋体" w:hAnsi="宋体" w:cs="宋体"/>
                <w:kern w:val="0"/>
                <w:sz w:val="24"/>
                <w:highlight w:val="none"/>
                <w:lang w:val="af-ZA"/>
              </w:rPr>
            </w:pPr>
            <w:r>
              <w:rPr>
                <w:rFonts w:hint="eastAsia" w:ascii="宋体" w:hAnsi="宋体" w:cs="宋体"/>
                <w:kern w:val="0"/>
                <w:sz w:val="24"/>
                <w:highlight w:val="none"/>
                <w:lang w:val="af-ZA"/>
              </w:rPr>
              <w:t xml:space="preserve">常规备份、事件备份、录像剪辑备份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209"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硬盘驱动器 </w:t>
            </w: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 xml:space="preserve">类型 </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1个SATA接口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09"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 </w:t>
            </w: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最大容量</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每个接口支持容量最大4TB的硬盘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09" w:type="dxa"/>
            <w:vMerge w:val="restart"/>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外部接口 </w:t>
            </w:r>
          </w:p>
        </w:tc>
        <w:tc>
          <w:tcPr>
            <w:tcW w:w="1965" w:type="dxa"/>
            <w:vAlign w:val="center"/>
          </w:tcPr>
          <w:p>
            <w:pPr>
              <w:spacing w:line="430" w:lineRule="exact"/>
              <w:jc w:val="left"/>
              <w:rPr>
                <w:rFonts w:ascii="宋体" w:hAnsi="宋体" w:cs="宋体"/>
                <w:kern w:val="0"/>
                <w:sz w:val="24"/>
                <w:highlight w:val="none"/>
                <w:lang w:val="af-ZA"/>
              </w:rPr>
            </w:pPr>
            <w:r>
              <w:rPr>
                <w:rFonts w:hint="eastAsia" w:ascii="宋体" w:hAnsi="宋体" w:cs="宋体"/>
                <w:kern w:val="0"/>
                <w:sz w:val="24"/>
                <w:highlight w:val="none"/>
                <w:lang w:val="af-ZA"/>
              </w:rPr>
              <w:t xml:space="preserve">语音对讲输入 </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1个，RCA接口（电平：2.0Vp-p，阻抗：1kΩ）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09"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 xml:space="preserve">网络接口 </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1个，RJ45 10M/100M/1000M自适应以太网口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09" w:type="dxa"/>
            <w:vMerge w:val="continue"/>
            <w:vAlign w:val="center"/>
          </w:tcPr>
          <w:p>
            <w:pPr>
              <w:spacing w:line="430" w:lineRule="exact"/>
              <w:ind w:firstLine="480" w:firstLineChars="200"/>
              <w:rPr>
                <w:rFonts w:ascii="宋体" w:hAnsi="宋体" w:cs="宋体"/>
                <w:kern w:val="0"/>
                <w:sz w:val="24"/>
                <w:highlight w:val="none"/>
                <w:lang w:val="af-ZA"/>
              </w:rPr>
            </w:pP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 xml:space="preserve">USB接口 </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1个USB2.0，1个USB3.0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09"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网络管理</w:t>
            </w:r>
          </w:p>
        </w:tc>
        <w:tc>
          <w:tcPr>
            <w:tcW w:w="1965" w:type="dxa"/>
            <w:vAlign w:val="center"/>
          </w:tcPr>
          <w:p>
            <w:pPr>
              <w:spacing w:line="430" w:lineRule="exact"/>
              <w:ind w:firstLine="480" w:firstLineChars="200"/>
              <w:jc w:val="left"/>
              <w:rPr>
                <w:rFonts w:ascii="宋体" w:hAnsi="宋体" w:cs="宋体"/>
                <w:kern w:val="0"/>
                <w:sz w:val="24"/>
                <w:highlight w:val="none"/>
                <w:lang w:val="af-ZA"/>
              </w:rPr>
            </w:pPr>
            <w:r>
              <w:rPr>
                <w:rFonts w:hint="eastAsia" w:ascii="宋体" w:hAnsi="宋体" w:cs="宋体"/>
                <w:kern w:val="0"/>
                <w:sz w:val="24"/>
                <w:highlight w:val="none"/>
                <w:lang w:val="af-ZA"/>
              </w:rPr>
              <w:t xml:space="preserve">网络协议 </w:t>
            </w:r>
          </w:p>
        </w:tc>
        <w:tc>
          <w:tcPr>
            <w:tcW w:w="4140" w:type="dxa"/>
            <w:vAlign w:val="center"/>
          </w:tcPr>
          <w:p>
            <w:pPr>
              <w:spacing w:line="430" w:lineRule="exact"/>
              <w:ind w:firstLine="480" w:firstLineChars="200"/>
              <w:rPr>
                <w:rFonts w:ascii="宋体" w:hAnsi="宋体" w:cs="宋体"/>
                <w:kern w:val="0"/>
                <w:sz w:val="24"/>
                <w:highlight w:val="none"/>
                <w:lang w:val="af-ZA"/>
              </w:rPr>
            </w:pPr>
            <w:r>
              <w:rPr>
                <w:rFonts w:hint="eastAsia" w:ascii="宋体" w:hAnsi="宋体" w:cs="宋体"/>
                <w:kern w:val="0"/>
                <w:sz w:val="24"/>
                <w:highlight w:val="none"/>
                <w:lang w:val="af-ZA"/>
              </w:rPr>
              <w:t xml:space="preserve">IPv6、UPnP（即插即用）、NTP（网络校时）、SADP（自动搜索IP地址）、PPPoE（拨号上网）、DHCP（自动获取IP地址）等 </w:t>
            </w:r>
          </w:p>
        </w:tc>
      </w:tr>
    </w:tbl>
    <w:p>
      <w:pPr>
        <w:spacing w:line="430" w:lineRule="exact"/>
        <w:ind w:firstLine="560" w:firstLineChars="200"/>
        <w:rPr>
          <w:rFonts w:ascii="宋体" w:hAnsi="宋体" w:cs="宋体"/>
          <w:kern w:val="0"/>
          <w:sz w:val="28"/>
          <w:szCs w:val="28"/>
          <w:highlight w:val="none"/>
          <w:lang w:val="af-ZA"/>
        </w:rPr>
      </w:pPr>
    </w:p>
    <w:p>
      <w:pPr>
        <w:widowControl/>
        <w:spacing w:line="600" w:lineRule="exact"/>
        <w:jc w:val="left"/>
        <w:outlineLvl w:val="1"/>
        <w:rPr>
          <w:rFonts w:ascii="宋体" w:hAnsi="宋体" w:cs="宋体"/>
          <w:b/>
          <w:kern w:val="0"/>
          <w:sz w:val="28"/>
          <w:highlight w:val="none"/>
        </w:rPr>
      </w:pPr>
      <w:bookmarkStart w:id="48" w:name="_Toc80740103"/>
      <w:bookmarkStart w:id="49" w:name="_Toc21609_WPSOffice_Level2"/>
      <w:r>
        <w:rPr>
          <w:rFonts w:hint="eastAsia" w:ascii="宋体" w:hAnsi="宋体" w:cs="宋体"/>
          <w:b/>
          <w:kern w:val="0"/>
          <w:sz w:val="28"/>
          <w:highlight w:val="none"/>
        </w:rPr>
        <w:t>1.8现场端系统集成技术要求</w:t>
      </w:r>
      <w:bookmarkEnd w:id="39"/>
      <w:bookmarkEnd w:id="48"/>
      <w:bookmarkEnd w:id="49"/>
    </w:p>
    <w:p>
      <w:pPr>
        <w:ind w:firstLine="280" w:firstLineChars="100"/>
        <w:rPr>
          <w:rFonts w:ascii="宋体" w:hAnsi="宋体" w:cs="宋体"/>
          <w:sz w:val="28"/>
          <w:szCs w:val="28"/>
          <w:highlight w:val="none"/>
        </w:rPr>
      </w:pPr>
      <w:bookmarkStart w:id="50" w:name="_Toc317543707"/>
      <w:bookmarkStart w:id="51" w:name="_Toc276054651"/>
      <w:bookmarkStart w:id="52" w:name="_Toc20740_WPSOffice_Level3"/>
      <w:bookmarkStart w:id="53" w:name="_Toc532073349"/>
      <w:bookmarkStart w:id="54" w:name="_Toc317543506"/>
      <w:r>
        <w:rPr>
          <w:rFonts w:hint="eastAsia" w:ascii="宋体" w:hAnsi="宋体" w:cs="宋体"/>
          <w:sz w:val="28"/>
          <w:szCs w:val="28"/>
          <w:highlight w:val="none"/>
        </w:rPr>
        <w:t>1.8.1  现场端系统总体设计目标</w:t>
      </w:r>
      <w:bookmarkEnd w:id="50"/>
      <w:bookmarkEnd w:id="51"/>
      <w:bookmarkEnd w:id="52"/>
      <w:bookmarkEnd w:id="53"/>
      <w:bookmarkEnd w:id="54"/>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1）能连续反映被对象的水质变化情况，准确及时捕捉污染物事故排放并发出预警信号，测点布置合理，采样方式恰当，避开死水区及季节性断流带取样。</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2）设备分类安装，布置合理美观。水质自动监测站系统工艺装置要求整体式机柜式安装方式，尽量缩短现场安装调试的工作量。</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3）系统工艺流程简捷，系统设备的投资合理。管线布置通畅合理，管材选择确保系统能长期有效运行，管道及所有与被测介质接触的部件，必须允许清洗介质通过而不产生损坏。</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4）提供的方案要求系统性能稳定，运行费用低，维护工作量小。</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5）提供所需要的辅助设备，UPS专用电源（能完成所有设备的一个测试周期，采用隔离输出模式，免维修）等。</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6）应达到三级防雷要求，并提供气象部门的鉴定文件。</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7）系统应具有抗电磁干扰能力，同时需配备电力供应稳定的配套系统。</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8）系统工艺流程简捷，系统组成精简，力求使系统建设投资尽量合理。</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9）管线布置通畅合理，管材的选择应确保系统能长期有效运行。</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10）自动化程度高，做到自动采样、自动预处理反吹、自动分析和自动清洗以及数据记录和输出等环节的可靠有效；可实现远程启动主要自动分析仪。</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11）根据工作需要，通过切换程序或切换仪器测试面板可便捷的扩充或变更系统监测指标和项目。系统设置具有开放性，可以根据用户需要设置有关参数，系统具有良好扩展性。</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12）可设定运行方式（连续或间歇），数据自动采集、处理及传输。</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13）当出现超标情况时，能现场报警并能自动留样，并能通过网络远程超标报警。</w:t>
      </w:r>
    </w:p>
    <w:p>
      <w:pPr>
        <w:spacing w:line="430" w:lineRule="exact"/>
        <w:ind w:firstLine="560" w:firstLineChars="200"/>
        <w:rPr>
          <w:rFonts w:ascii="宋体" w:hAnsi="宋体" w:cs="宋体"/>
          <w:sz w:val="28"/>
          <w:szCs w:val="28"/>
          <w:highlight w:val="none"/>
        </w:rPr>
      </w:pPr>
      <w:r>
        <w:rPr>
          <w:rFonts w:hint="eastAsia" w:ascii="宋体" w:hAnsi="宋体" w:cs="宋体"/>
          <w:kern w:val="0"/>
          <w:sz w:val="28"/>
          <w:szCs w:val="28"/>
          <w:highlight w:val="none"/>
        </w:rPr>
        <w:t>14）</w:t>
      </w:r>
      <w:r>
        <w:rPr>
          <w:rFonts w:hint="eastAsia" w:ascii="宋体" w:hAnsi="宋体" w:cs="宋体"/>
          <w:sz w:val="28"/>
          <w:szCs w:val="28"/>
          <w:highlight w:val="none"/>
        </w:rPr>
        <w:t>对一些不符合环保要求的排放废液应作相应的处理，并使用正确处理方法处理后收集外运。</w:t>
      </w:r>
    </w:p>
    <w:p>
      <w:pPr>
        <w:spacing w:line="430" w:lineRule="exact"/>
        <w:ind w:firstLine="560" w:firstLineChars="200"/>
        <w:rPr>
          <w:rFonts w:ascii="宋体" w:hAnsi="宋体" w:cs="宋体"/>
          <w:sz w:val="28"/>
          <w:szCs w:val="28"/>
          <w:highlight w:val="none"/>
        </w:rPr>
      </w:pPr>
      <w:r>
        <w:rPr>
          <w:rFonts w:hint="eastAsia" w:ascii="宋体" w:hAnsi="宋体" w:cs="宋体"/>
          <w:sz w:val="28"/>
          <w:szCs w:val="28"/>
          <w:highlight w:val="none"/>
        </w:rPr>
        <w:t>15）有完整的设计说明、设计图纸和详细的使用、维护说明书（全部中文）。</w:t>
      </w:r>
    </w:p>
    <w:p>
      <w:pPr>
        <w:ind w:firstLine="280" w:firstLineChars="100"/>
        <w:rPr>
          <w:rFonts w:ascii="宋体" w:hAnsi="宋体" w:cs="宋体"/>
          <w:sz w:val="28"/>
          <w:szCs w:val="28"/>
          <w:highlight w:val="none"/>
        </w:rPr>
      </w:pPr>
      <w:bookmarkStart w:id="55" w:name="_Toc25293_WPSOffice_Level3"/>
      <w:bookmarkStart w:id="56" w:name="_Toc532073350"/>
      <w:r>
        <w:rPr>
          <w:rFonts w:hint="eastAsia" w:ascii="宋体" w:hAnsi="宋体" w:cs="宋体"/>
          <w:sz w:val="28"/>
          <w:szCs w:val="28"/>
          <w:highlight w:val="none"/>
        </w:rPr>
        <w:t>1.8.2 现场端系统功能</w:t>
      </w:r>
      <w:bookmarkEnd w:id="55"/>
      <w:bookmarkEnd w:id="56"/>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1）可调节取样方式（连续或间歇）。预处理应具有沉砂、过滤、除藻，达到抑制藻类在系统内孽生的功能。可设置清洗周期进行自动反吹清洗。</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2）远程监控功能，系统故障报警及记录。停电保护及来电自动恢复，达到无人值守的目的。</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3）数据自动采集、处理、存储及传输、有效性判断；自动分析过程中有完整的数据质量控制体系（包括：标样自动核查、加标回收率自动核查、日志功能、异常数据自动标识功能等）及质控数据报告。</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4）具备实时监控功能，动态显示水站设备和监测仪器的运行状况。</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sz w:val="28"/>
          <w:szCs w:val="28"/>
          <w:highlight w:val="none"/>
        </w:rPr>
        <w:t>5）</w:t>
      </w:r>
      <w:r>
        <w:rPr>
          <w:rFonts w:hint="eastAsia" w:ascii="宋体" w:hAnsi="宋体" w:cs="宋体"/>
          <w:sz w:val="28"/>
          <w:szCs w:val="28"/>
          <w:highlight w:val="none"/>
          <w:lang w:val="af-ZA"/>
        </w:rPr>
        <w:t>动态显示各种变量（电压、</w:t>
      </w:r>
      <w:r>
        <w:rPr>
          <w:rFonts w:hint="eastAsia" w:ascii="宋体" w:hAnsi="宋体" w:cs="宋体"/>
          <w:kern w:val="0"/>
          <w:sz w:val="28"/>
          <w:szCs w:val="28"/>
          <w:highlight w:val="none"/>
          <w:lang w:val="af-ZA"/>
        </w:rPr>
        <w:t>水位、温湿度等）的变化值，并有提示和报警功能，便于实时监控，各种变量值自动进入数据库，备查。</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6）系统设置具有开放性和扩展性可以方便增加监测仪器和进行系统升级。</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7）具有系统日志功能，对系统和设备运行状况信息进行存储和传输并方便查询。</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8）具有数据智能判断功能，对异常数据进行标识并存储和传输。</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9）水质五参数分析使用未经预处理的水样。</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10）系统自动诊断。</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11）具有监测到异常数据时自动留样功能。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12）推荐控制系统采用基于PC/PLC的可编程逻辑控制器。</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13）可以远程校准、标定（对有自动校准、标定功能的仪器）。</w:t>
      </w:r>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14</w:t>
      </w:r>
      <w:r>
        <w:rPr>
          <w:rFonts w:hint="eastAsia" w:ascii="宋体" w:hAnsi="宋体" w:cs="宋体"/>
          <w:kern w:val="0"/>
          <w:sz w:val="28"/>
          <w:szCs w:val="28"/>
          <w:highlight w:val="none"/>
          <w:lang w:val="af-ZA"/>
        </w:rPr>
        <w:t>）监测站房内应设有沉淀水箱，以减少泥沙对测定结果的影响。</w:t>
      </w:r>
    </w:p>
    <w:p>
      <w:pPr>
        <w:ind w:firstLine="281" w:firstLineChars="100"/>
        <w:rPr>
          <w:rFonts w:ascii="宋体" w:hAnsi="宋体" w:cs="宋体"/>
          <w:b/>
          <w:sz w:val="28"/>
          <w:szCs w:val="28"/>
          <w:highlight w:val="none"/>
        </w:rPr>
      </w:pPr>
      <w:bookmarkStart w:id="57" w:name="_Toc276054653"/>
      <w:bookmarkStart w:id="58" w:name="_Toc317543508"/>
      <w:bookmarkStart w:id="59" w:name="_Toc317543709"/>
      <w:bookmarkStart w:id="60" w:name="_Toc532073351"/>
      <w:bookmarkStart w:id="61" w:name="_Toc15000_WPSOffice_Level3"/>
      <w:r>
        <w:rPr>
          <w:rFonts w:hint="eastAsia" w:ascii="宋体" w:hAnsi="宋体" w:cs="宋体"/>
          <w:b/>
          <w:sz w:val="28"/>
          <w:szCs w:val="28"/>
          <w:highlight w:val="none"/>
        </w:rPr>
        <w:t xml:space="preserve">1.8.3  </w:t>
      </w:r>
      <w:bookmarkEnd w:id="57"/>
      <w:bookmarkEnd w:id="58"/>
      <w:bookmarkEnd w:id="59"/>
      <w:r>
        <w:rPr>
          <w:rFonts w:hint="eastAsia" w:ascii="宋体" w:hAnsi="宋体" w:cs="宋体"/>
          <w:b/>
          <w:sz w:val="28"/>
          <w:szCs w:val="28"/>
          <w:highlight w:val="none"/>
        </w:rPr>
        <w:t>采水系统</w:t>
      </w:r>
      <w:bookmarkEnd w:id="60"/>
      <w:bookmarkEnd w:id="61"/>
    </w:p>
    <w:p>
      <w:pPr>
        <w:ind w:firstLine="280" w:firstLineChars="100"/>
        <w:rPr>
          <w:rFonts w:ascii="宋体" w:hAnsi="宋体" w:cs="宋体"/>
          <w:sz w:val="28"/>
          <w:szCs w:val="28"/>
          <w:highlight w:val="none"/>
        </w:rPr>
      </w:pPr>
      <w:r>
        <w:rPr>
          <w:rFonts w:hint="eastAsia" w:ascii="宋体" w:hAnsi="宋体" w:cs="宋体"/>
          <w:sz w:val="28"/>
          <w:szCs w:val="28"/>
          <w:highlight w:val="none"/>
        </w:rPr>
        <w:t>1.8.3.1采水方式技术要求</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采水方式可以采取滑动式或浮台式采水方式，保证取水口能够随水位变化，保证取水水管的进水孔位于水表面以下0.5m～1m的位置，并与池底保持一定距离，保证采集到具有代表性的符合监测需要的水样，又要保证取样吸头的连续正常使用。</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1）须满足采集水样的基本条件，采水方案科学可行，确保水样有代表性。</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2）采用双泵／双管路设计，一用一备，满足实时不间断监测的要求；并且当一路出现故障时，能够自动切换到另一路进行工作，保证整个系统的正常运行。</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3）采水浮筒要方便人工提升与安装，以便日常清洗和维护。水泵根据实际情况可采用自吸泵或潜水泵，可有效防止堵塞。水泵应具有停电再复电后能重启动的自动恢复功能。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采水管路均要安装聚已稀保温套管进行绝热处理，并在外部套用PVC管材，以减少环境温度等因素对水样造成的影响，管路清洗干净后进行安装；为防意外堵塞和方便泥沙沉积后的清洗，采水管路采用可拆洗式，每4米内须装有一个活接头，便于零件更换。</w:t>
      </w:r>
    </w:p>
    <w:p>
      <w:pPr>
        <w:spacing w:line="360" w:lineRule="auto"/>
        <w:ind w:firstLine="482"/>
        <w:rPr>
          <w:rFonts w:ascii="宋体" w:hAnsi="宋体" w:cs="宋体"/>
          <w:kern w:val="0"/>
          <w:sz w:val="28"/>
          <w:szCs w:val="28"/>
          <w:highlight w:val="none"/>
          <w:lang w:val="af-ZA"/>
        </w:rPr>
      </w:pPr>
      <w:r>
        <w:rPr>
          <w:rFonts w:hint="eastAsia" w:ascii="宋体" w:hAnsi="宋体" w:cs="宋体"/>
          <w:kern w:val="0"/>
          <w:sz w:val="28"/>
          <w:szCs w:val="28"/>
          <w:highlight w:val="none"/>
          <w:lang w:val="af-ZA"/>
        </w:rPr>
        <w:t>5）采水系统中的所有部件均要选用优质产品，自吸泵或潜水泵性能参数需满足要求，保证采水系统工作的可靠性和使用寿命。且</w:t>
      </w:r>
      <w:r>
        <w:rPr>
          <w:rFonts w:hint="eastAsia" w:ascii="宋体" w:hAnsi="宋体" w:cs="宋体"/>
          <w:sz w:val="28"/>
          <w:szCs w:val="28"/>
          <w:highlight w:val="none"/>
        </w:rPr>
        <w:t>采水泵流量应保证在3t/h以上；室外采水管路超过100米时，采水泵电缆应选用比泵线线径大一倍的电缆，以避免压降。</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6）采水系统可采用连续或间歇方式工作，并能够根据监测要求现场或远程设置监测频次。</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7）配置在线除泥沙装置和灭藻清洗装置，保证系统管路内部免受泥沙和藻类影响，以保证测量的准确性，比色法仪器进口浊度必须控制在40NTU以下，针对高浊度水体需具备旁路自动切换功能。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8）采水系统的构造保障在汛期或枯水期能正常工作而不至被损坏。并有必要的保温、防冻、防腐、防压、防淤、防撞和防盗措施，并对采水设备和设施进行必要的固定。</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9）浮筒应有阻挡水中垃圾，防止进水口堵塞的功能。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10）管道采用排空设计，使管道内不存水，以防采水管路结冰和藻类孳生。</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11）采水系统的采水主管路采用串联结构，各仪器并接到管路中。各个仪器的压力、流量均可单独调节，并分别配备压力表。管路的连接方式不仅要满足所有仪器对需水量的要求，而且任何仪器故障不会影响其他仪器的工作。</w:t>
      </w:r>
    </w:p>
    <w:p>
      <w:pPr>
        <w:spacing w:line="360" w:lineRule="auto"/>
        <w:ind w:firstLine="482"/>
        <w:rPr>
          <w:rFonts w:ascii="宋体" w:hAnsi="宋体" w:cs="宋体"/>
          <w:sz w:val="28"/>
          <w:szCs w:val="28"/>
          <w:highlight w:val="none"/>
        </w:rPr>
      </w:pPr>
      <w:r>
        <w:rPr>
          <w:rFonts w:hint="eastAsia" w:ascii="宋体" w:hAnsi="宋体" w:cs="宋体"/>
          <w:kern w:val="0"/>
          <w:sz w:val="28"/>
          <w:szCs w:val="28"/>
          <w:highlight w:val="none"/>
        </w:rPr>
        <w:t>12）</w:t>
      </w:r>
      <w:r>
        <w:rPr>
          <w:rFonts w:hint="eastAsia" w:ascii="宋体" w:hAnsi="宋体" w:cs="宋体"/>
          <w:sz w:val="28"/>
          <w:szCs w:val="28"/>
          <w:highlight w:val="none"/>
        </w:rPr>
        <w:t>采水系统管路和电路应分开安装，采水管路材质必须保证不影响水质变化，管路外有必要的防水、防压、防冻保护措施；电线应该安装套管，信号电缆线用厚度不小于3mm的钢管保护。采水管路和电路埋深不得小于80厘米，过路时必须加装钢套管；输水管、压缩空气反吹管和供电电缆保护管固定安装（不允许在水中漂浮）。</w:t>
      </w:r>
    </w:p>
    <w:p>
      <w:pPr>
        <w:spacing w:line="360" w:lineRule="auto"/>
        <w:ind w:firstLine="482"/>
        <w:rPr>
          <w:rFonts w:ascii="宋体" w:hAnsi="宋体" w:cs="宋体"/>
          <w:kern w:val="0"/>
          <w:sz w:val="28"/>
          <w:szCs w:val="28"/>
          <w:highlight w:val="none"/>
          <w:lang w:val="af-ZA"/>
        </w:rPr>
      </w:pPr>
      <w:r>
        <w:rPr>
          <w:rFonts w:hint="eastAsia" w:ascii="宋体" w:hAnsi="宋体" w:cs="宋体"/>
          <w:sz w:val="28"/>
          <w:szCs w:val="28"/>
          <w:highlight w:val="none"/>
        </w:rPr>
        <w:t>13）</w:t>
      </w:r>
      <w:r>
        <w:rPr>
          <w:rFonts w:hint="eastAsia" w:ascii="宋体" w:hAnsi="宋体" w:cs="宋体"/>
          <w:kern w:val="0"/>
          <w:sz w:val="28"/>
          <w:szCs w:val="28"/>
          <w:highlight w:val="none"/>
          <w:lang w:val="af-ZA"/>
        </w:rPr>
        <w:t>根据各个采水点到站房的距离、地形等实际情况，合理选择采水管路的大小，以保证采水子系统的进口压力和流速达到整个系统全部仪器的要求，并具有良好的性能，确保采水子系统的稳定运行。</w:t>
      </w:r>
    </w:p>
    <w:p>
      <w:pPr>
        <w:spacing w:line="360" w:lineRule="auto"/>
        <w:ind w:firstLine="482"/>
        <w:rPr>
          <w:rFonts w:ascii="宋体" w:hAnsi="宋体" w:cs="宋体"/>
          <w:sz w:val="28"/>
          <w:szCs w:val="28"/>
          <w:highlight w:val="none"/>
        </w:rPr>
      </w:pPr>
      <w:r>
        <w:rPr>
          <w:rFonts w:hint="eastAsia" w:ascii="宋体" w:hAnsi="宋体" w:cs="宋体"/>
          <w:sz w:val="28"/>
          <w:szCs w:val="28"/>
          <w:highlight w:val="none"/>
        </w:rPr>
        <w:t>14）根据水站现场条件和功能，设计采水设施采取不同的保护方式，以避免采水设施损坏，影响水站有效运行。</w:t>
      </w:r>
    </w:p>
    <w:p>
      <w:pPr>
        <w:spacing w:line="360" w:lineRule="auto"/>
        <w:ind w:firstLine="482"/>
        <w:rPr>
          <w:rFonts w:ascii="宋体" w:hAnsi="宋体" w:cs="宋体"/>
          <w:kern w:val="0"/>
          <w:sz w:val="28"/>
          <w:szCs w:val="28"/>
          <w:highlight w:val="none"/>
        </w:rPr>
      </w:pPr>
      <w:r>
        <w:rPr>
          <w:rFonts w:hint="eastAsia" w:ascii="宋体" w:hAnsi="宋体" w:cs="宋体"/>
          <w:sz w:val="28"/>
          <w:szCs w:val="28"/>
          <w:highlight w:val="none"/>
        </w:rPr>
        <w:t>15）采水子系统设计，水泵、管路的选择应按照一套完整系统的原则进行，保证采水子系统采水量可满足所有仪器的用水要求。并应适当考虑将来增加分析仪器的可能。</w:t>
      </w:r>
    </w:p>
    <w:p>
      <w:pPr>
        <w:ind w:firstLine="280" w:firstLineChars="100"/>
        <w:rPr>
          <w:rFonts w:ascii="宋体" w:hAnsi="宋体" w:cs="宋体"/>
          <w:sz w:val="28"/>
          <w:szCs w:val="28"/>
          <w:highlight w:val="none"/>
        </w:rPr>
      </w:pPr>
      <w:r>
        <w:rPr>
          <w:rFonts w:hint="eastAsia" w:ascii="宋体" w:hAnsi="宋体" w:cs="宋体"/>
          <w:sz w:val="28"/>
          <w:szCs w:val="28"/>
          <w:highlight w:val="none"/>
        </w:rPr>
        <w:t>1.8.3.2</w:t>
      </w:r>
      <w:r>
        <w:rPr>
          <w:rFonts w:hint="eastAsia" w:ascii="宋体" w:hAnsi="宋体" w:cs="宋体"/>
          <w:sz w:val="28"/>
          <w:szCs w:val="28"/>
          <w:highlight w:val="none"/>
        </w:rPr>
        <w:tab/>
      </w:r>
      <w:r>
        <w:rPr>
          <w:rFonts w:hint="eastAsia" w:ascii="宋体" w:hAnsi="宋体" w:cs="宋体"/>
          <w:sz w:val="28"/>
          <w:szCs w:val="28"/>
          <w:highlight w:val="none"/>
        </w:rPr>
        <w:t>采水泵技术要求</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根据采水点到站房的距离、地形等实际情况，选择优质的潜水泵、潜污泵或自吸泵，保证站房的进口压力和流速流量达到整个系统全部仪器的要求。</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采用双泵/双管路采水，可互为备用，方便维护，满足实时不间断监测的要求；并且当一路出现故障时，能够自动切换到另一路进行工作的同时，系统向管理人员发送故障报警信息（故障排除前系统采水一直启用单泵工作模式），保证整个系统的正常运行。</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采水泵具有停电后来电再启动的自动恢复功能。</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每台采水泵各铺设一根4×4mm</w:t>
      </w:r>
      <w:r>
        <w:rPr>
          <w:rFonts w:hint="eastAsia" w:ascii="宋体" w:hAnsi="宋体" w:cs="宋体"/>
          <w:sz w:val="28"/>
          <w:szCs w:val="28"/>
          <w:highlight w:val="none"/>
          <w:vertAlign w:val="superscript"/>
        </w:rPr>
        <w:t>2</w:t>
      </w:r>
      <w:r>
        <w:rPr>
          <w:rFonts w:hint="eastAsia" w:ascii="宋体" w:hAnsi="宋体" w:cs="宋体"/>
          <w:sz w:val="28"/>
          <w:szCs w:val="28"/>
          <w:highlight w:val="none"/>
        </w:rPr>
        <w:t>符合国标（GB 5023-1997）要求并通过3C认证的防水、防油、耐酸碱、耐老化的“RVV”铜芯电缆，多余的作为备用，采水泵电源的零线和相线（备用线除外）全部接入水泵电源控制交流接触器，以便线路故障时检查。</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采水泵的总水量可以满足所有仪器的用水要求。适当考虑将来增加2-3台分析仪器的可能。</w:t>
      </w:r>
    </w:p>
    <w:p>
      <w:pPr>
        <w:ind w:firstLine="280" w:firstLineChars="100"/>
        <w:rPr>
          <w:rFonts w:ascii="宋体" w:hAnsi="宋体" w:cs="宋体"/>
          <w:sz w:val="28"/>
          <w:szCs w:val="28"/>
          <w:highlight w:val="none"/>
        </w:rPr>
      </w:pPr>
      <w:r>
        <w:rPr>
          <w:rFonts w:hint="eastAsia" w:ascii="宋体" w:hAnsi="宋体" w:cs="宋体"/>
          <w:sz w:val="28"/>
          <w:szCs w:val="28"/>
          <w:highlight w:val="none"/>
        </w:rPr>
        <w:t>1.8.3.3采水管路要求</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综合考虑管路防护、保温、水位变动、寿命以及出现故障时容易检测和维修。</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双管路采水，采水管路均要安装保温套管进行绝热处理，并在外部套用PVC管材，减少环境温度等因素对水样造成的影响，保证对测定项目(除水温)监测结果的影响必须小于5%（水温的影响必须小于20%）。</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采水系统管路保证-5～50℃能正常运行。</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管路中电路和采水管路应分开安装。</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管道采用排空设计，使管道内不存水，以防藻类孳生。</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管路外应有必要的防水、防压、防冻保护措施。</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采水管路材质必须保证不影响水质变化。</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室外管线应做到有效防冻防护措施，水中管路和电缆不应直接暴露在水中，应做到有效保护防止水流的冲刷。</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站房与取水点之间地埋部分的取水管更换采用与抽水泵出水口径合适配套的优质热水用铝塑管，河岸与浮船之间的取水管采用磐石胶管。</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安装管路时，适当增加管路长度，维持增加量在10米以内，以备水位骤降可以及时调整取水点安装位置。管路与泵连接采用强压蝶式卡头固定，不易脱落同时维修拆卸和更换简便。</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预处理单元前、后必须分别设有自、（手）动取水口，方便水样比对实验的采水。</w:t>
      </w:r>
    </w:p>
    <w:p>
      <w:pPr>
        <w:ind w:firstLine="280" w:firstLineChars="100"/>
        <w:rPr>
          <w:rFonts w:ascii="宋体" w:hAnsi="宋体" w:cs="宋体"/>
          <w:sz w:val="28"/>
          <w:szCs w:val="28"/>
          <w:highlight w:val="none"/>
        </w:rPr>
      </w:pPr>
      <w:r>
        <w:rPr>
          <w:rFonts w:hint="eastAsia" w:ascii="宋体" w:hAnsi="宋体" w:cs="宋体"/>
          <w:sz w:val="28"/>
          <w:szCs w:val="28"/>
          <w:highlight w:val="none"/>
        </w:rPr>
        <w:t>1.8.3.4</w:t>
      </w:r>
      <w:r>
        <w:rPr>
          <w:rFonts w:hint="eastAsia" w:ascii="宋体" w:hAnsi="宋体" w:cs="宋体"/>
          <w:sz w:val="28"/>
          <w:szCs w:val="28"/>
          <w:highlight w:val="none"/>
        </w:rPr>
        <w:tab/>
      </w:r>
      <w:r>
        <w:rPr>
          <w:rFonts w:hint="eastAsia" w:ascii="宋体" w:hAnsi="宋体" w:cs="宋体"/>
          <w:sz w:val="28"/>
          <w:szCs w:val="28"/>
          <w:highlight w:val="none"/>
        </w:rPr>
        <w:t>工作方式</w:t>
      </w:r>
    </w:p>
    <w:p>
      <w:pPr>
        <w:spacing w:line="360" w:lineRule="auto"/>
        <w:ind w:firstLine="480"/>
        <w:rPr>
          <w:rFonts w:ascii="宋体" w:hAnsi="宋体" w:cs="宋体"/>
          <w:sz w:val="28"/>
          <w:szCs w:val="28"/>
          <w:highlight w:val="none"/>
        </w:rPr>
      </w:pPr>
      <w:r>
        <w:rPr>
          <w:rFonts w:hint="eastAsia" w:ascii="宋体" w:hAnsi="宋体" w:cs="宋体"/>
          <w:sz w:val="28"/>
          <w:szCs w:val="28"/>
          <w:highlight w:val="none"/>
        </w:rPr>
        <w:t>采水系统可采用连续或间歇方式工作，并能够根据监测要求现场或远程设置监测频次。保证停电后重新来电时，采水系统、控制系统、监控软件能自动恢复工作。</w:t>
      </w:r>
    </w:p>
    <w:p>
      <w:pPr>
        <w:ind w:firstLine="280" w:firstLineChars="100"/>
        <w:rPr>
          <w:rFonts w:ascii="宋体" w:hAnsi="宋体" w:cs="宋体"/>
          <w:sz w:val="28"/>
          <w:szCs w:val="28"/>
          <w:highlight w:val="none"/>
        </w:rPr>
      </w:pPr>
      <w:r>
        <w:rPr>
          <w:rFonts w:hint="eastAsia" w:ascii="宋体" w:hAnsi="宋体" w:cs="宋体"/>
          <w:sz w:val="28"/>
          <w:szCs w:val="28"/>
          <w:highlight w:val="none"/>
        </w:rPr>
        <w:t>1.8.3.5采水系统反冲洗要求</w:t>
      </w:r>
    </w:p>
    <w:p>
      <w:pPr>
        <w:numPr>
          <w:ilvl w:val="2"/>
          <w:numId w:val="2"/>
        </w:numPr>
        <w:tabs>
          <w:tab w:val="clear" w:pos="1260"/>
        </w:tabs>
        <w:spacing w:line="360" w:lineRule="auto"/>
        <w:ind w:left="0"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具备足够的反冲洗能力，保证管道内无泥沙、无藻、管壁无附着物。</w:t>
      </w:r>
    </w:p>
    <w:p>
      <w:pPr>
        <w:numPr>
          <w:ilvl w:val="2"/>
          <w:numId w:val="2"/>
        </w:numPr>
        <w:tabs>
          <w:tab w:val="clear" w:pos="1260"/>
        </w:tabs>
        <w:spacing w:line="360" w:lineRule="auto"/>
        <w:ind w:left="0"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配置灭藻清洗装置，保证系统管路内部免受藻类影响。</w:t>
      </w:r>
    </w:p>
    <w:p>
      <w:pPr>
        <w:numPr>
          <w:ilvl w:val="2"/>
          <w:numId w:val="2"/>
        </w:numPr>
        <w:tabs>
          <w:tab w:val="clear" w:pos="1260"/>
        </w:tabs>
        <w:spacing w:line="360" w:lineRule="auto"/>
        <w:ind w:left="0"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能通过通入清洁水流对采、配水管路和采样吸头进行自动反冲洗。所配置的空压机须是无油型空压机，保证不对分析结果造成影响。</w:t>
      </w:r>
    </w:p>
    <w:p>
      <w:pPr>
        <w:numPr>
          <w:ilvl w:val="2"/>
          <w:numId w:val="2"/>
        </w:numPr>
        <w:tabs>
          <w:tab w:val="clear" w:pos="1260"/>
        </w:tabs>
        <w:spacing w:line="360" w:lineRule="auto"/>
        <w:ind w:left="0"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系统反冲清洗的操作，可以通过现场或远程进行自动或手动控制。</w:t>
      </w:r>
    </w:p>
    <w:p>
      <w:pPr>
        <w:numPr>
          <w:ilvl w:val="2"/>
          <w:numId w:val="2"/>
        </w:numPr>
        <w:tabs>
          <w:tab w:val="clear" w:pos="1260"/>
        </w:tabs>
        <w:spacing w:line="360" w:lineRule="auto"/>
        <w:ind w:left="0"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保证每个测量周期对整体系统及五参数传感器进行清洗。</w:t>
      </w:r>
    </w:p>
    <w:p>
      <w:pPr>
        <w:numPr>
          <w:ilvl w:val="2"/>
          <w:numId w:val="2"/>
        </w:numPr>
        <w:tabs>
          <w:tab w:val="clear" w:pos="1260"/>
        </w:tabs>
        <w:spacing w:line="360" w:lineRule="auto"/>
        <w:ind w:left="0"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 xml:space="preserve">冲洗水应保证抽排至不会对监测结果产生影响的区域外。考虑到不对环境造成二次污染，设计中应不使用对环境产生污染的清洗方法。    </w:t>
      </w:r>
    </w:p>
    <w:p>
      <w:pPr>
        <w:ind w:firstLine="281" w:firstLineChars="100"/>
        <w:rPr>
          <w:rFonts w:ascii="宋体" w:hAnsi="宋体" w:cs="宋体"/>
          <w:b/>
          <w:sz w:val="28"/>
          <w:szCs w:val="28"/>
          <w:highlight w:val="none"/>
        </w:rPr>
      </w:pPr>
      <w:bookmarkStart w:id="62" w:name="_Toc532073352"/>
      <w:bookmarkStart w:id="63" w:name="_Toc276054654"/>
      <w:bookmarkStart w:id="64" w:name="_Toc317543710"/>
      <w:bookmarkStart w:id="65" w:name="_Toc24563_WPSOffice_Level3"/>
      <w:bookmarkStart w:id="66" w:name="_Toc317543509"/>
      <w:r>
        <w:rPr>
          <w:rFonts w:hint="eastAsia" w:ascii="宋体" w:hAnsi="宋体" w:cs="宋体"/>
          <w:b/>
          <w:sz w:val="28"/>
          <w:szCs w:val="28"/>
          <w:highlight w:val="none"/>
        </w:rPr>
        <w:t>1.8.4  配水子系统</w:t>
      </w:r>
      <w:bookmarkEnd w:id="62"/>
      <w:bookmarkEnd w:id="63"/>
      <w:bookmarkEnd w:id="64"/>
      <w:bookmarkEnd w:id="65"/>
      <w:bookmarkEnd w:id="66"/>
    </w:p>
    <w:p>
      <w:pPr>
        <w:ind w:firstLine="280" w:firstLineChars="100"/>
        <w:rPr>
          <w:rFonts w:ascii="宋体" w:hAnsi="宋体" w:cs="宋体"/>
          <w:sz w:val="28"/>
          <w:szCs w:val="28"/>
          <w:highlight w:val="none"/>
        </w:rPr>
      </w:pPr>
      <w:r>
        <w:rPr>
          <w:rFonts w:hint="eastAsia" w:ascii="宋体" w:hAnsi="宋体" w:cs="宋体"/>
          <w:sz w:val="28"/>
          <w:szCs w:val="28"/>
          <w:highlight w:val="none"/>
        </w:rPr>
        <w:t>1.8.4.1 配水子系统的设计</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1）配水子系统配置独立的配水容器，供监测分析仪取水，配水容器安装液位计，由液位计判断是否有水样，有水样时通知监测分析仪取水分析。</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2)管路干路中应配置无阻拦式过滤装置，除五参数仪器外的分析仪通过各自的过滤装置取水，且过滤后的水质不能改变水样的代表性，并保证任何仪器出现故障均不会影响其它仪器的工作。</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3）配水子系统不仅要满足各仪器对样品的要求，也要满足所有的仪器的需水量。</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4）根据五参数仪器对水样的要求，对于五参数仪器供水不经过任何处理，直接进入仪器的进样方式。</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lang w:val="af-ZA"/>
        </w:rPr>
        <w:t>5）</w:t>
      </w:r>
      <w:r>
        <w:rPr>
          <w:rFonts w:hint="eastAsia" w:ascii="宋体" w:hAnsi="宋体" w:cs="宋体"/>
          <w:sz w:val="28"/>
          <w:szCs w:val="28"/>
          <w:highlight w:val="none"/>
        </w:rPr>
        <w:t>除五参数外的其他仪器，根据仪器对水样的要求，对水样进行预处理，使各仪器可以从各自专门的过滤装置中取样，且过滤后的水质不能改变水样的代表性。要求配水管路采用化学稳定性好，不影响水质的优质ＰＰＲ管材，管路要求易于拆卸清洗和安装。</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6）配水管路设取样口，便于留取样品。设观察孔，方便随时观察管路中泥沙和藻类的孳生情况。有排空设计，在每次测试完毕后可自动用自来水冲洗管道，冲洗完毕后自动排空。</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7）各仪器配水管路采用并联取水方式，每个设备具有独立的水量控制手阀，可根据设备需水量进行供水控制。管路预留多个仪器扩展接口，可方便系统的升级。配水管线设压力变送器，用于辅助调节流量及判断配水单元工作状态。</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8）旁路设计要求：方便系统进行维护，在主管路上，每台仪器都要设有旁路系统，通过手动阀来进行调节。保证单台仪器、过滤器损坏或者需要维护时，不影响其他仪器的正常工作。</w:t>
      </w:r>
    </w:p>
    <w:p>
      <w:pPr>
        <w:ind w:firstLine="280" w:firstLineChars="100"/>
        <w:rPr>
          <w:rFonts w:ascii="宋体" w:hAnsi="宋体" w:cs="宋体"/>
          <w:sz w:val="28"/>
          <w:szCs w:val="28"/>
          <w:highlight w:val="none"/>
        </w:rPr>
      </w:pPr>
      <w:r>
        <w:rPr>
          <w:rFonts w:hint="eastAsia" w:ascii="宋体" w:hAnsi="宋体" w:cs="宋体"/>
          <w:sz w:val="28"/>
          <w:szCs w:val="28"/>
          <w:highlight w:val="none"/>
        </w:rPr>
        <w:t>1.8.4.2 自动控制过程</w:t>
      </w:r>
    </w:p>
    <w:p>
      <w:pPr>
        <w:spacing w:line="430" w:lineRule="exact"/>
        <w:rPr>
          <w:rFonts w:ascii="宋体" w:hAnsi="宋体" w:cs="宋体"/>
          <w:b/>
          <w:sz w:val="28"/>
          <w:szCs w:val="28"/>
          <w:highlight w:val="none"/>
        </w:rPr>
      </w:pPr>
      <w:r>
        <w:rPr>
          <w:rFonts w:hint="eastAsia" w:ascii="宋体" w:hAnsi="宋体" w:cs="宋体"/>
          <w:b/>
          <w:sz w:val="28"/>
          <w:szCs w:val="28"/>
          <w:highlight w:val="none"/>
        </w:rPr>
        <w:t>（一）测量阶段</w:t>
      </w:r>
    </w:p>
    <w:p>
      <w:pPr>
        <w:spacing w:line="360" w:lineRule="auto"/>
        <w:ind w:firstLine="509" w:firstLineChars="182"/>
        <w:rPr>
          <w:rFonts w:ascii="宋体" w:hAnsi="宋体" w:cs="宋体"/>
          <w:kern w:val="0"/>
          <w:sz w:val="28"/>
          <w:szCs w:val="28"/>
          <w:highlight w:val="none"/>
          <w:lang w:val="af-ZA"/>
        </w:rPr>
      </w:pPr>
      <w:r>
        <w:rPr>
          <w:rFonts w:hint="eastAsia" w:ascii="宋体" w:hAnsi="宋体" w:cs="宋体"/>
          <w:kern w:val="0"/>
          <w:sz w:val="28"/>
          <w:szCs w:val="28"/>
          <w:highlight w:val="none"/>
          <w:lang w:val="af-ZA"/>
        </w:rPr>
        <w:t>1）启动采样泵之前，关闭清洗管道和空气泵阀门，防止水样进入清洗管和空气管。</w:t>
      </w:r>
    </w:p>
    <w:p>
      <w:pPr>
        <w:spacing w:line="360" w:lineRule="auto"/>
        <w:ind w:firstLine="509" w:firstLineChars="182"/>
        <w:rPr>
          <w:rFonts w:ascii="宋体" w:hAnsi="宋体" w:cs="宋体"/>
          <w:sz w:val="28"/>
          <w:szCs w:val="28"/>
          <w:highlight w:val="none"/>
        </w:rPr>
      </w:pPr>
      <w:r>
        <w:rPr>
          <w:rFonts w:hint="eastAsia" w:ascii="宋体" w:hAnsi="宋体" w:cs="宋体"/>
          <w:kern w:val="0"/>
          <w:sz w:val="28"/>
          <w:szCs w:val="28"/>
          <w:highlight w:val="none"/>
          <w:lang w:val="af-ZA"/>
        </w:rPr>
        <w:t>2）启动采样泵开始采水样至沉淀池，直到沉淀池液位计给出停止信</w:t>
      </w:r>
      <w:r>
        <w:rPr>
          <w:rFonts w:hint="eastAsia" w:ascii="宋体" w:hAnsi="宋体" w:cs="宋体"/>
          <w:sz w:val="28"/>
          <w:szCs w:val="28"/>
          <w:highlight w:val="none"/>
        </w:rPr>
        <w:t>号，采样泵停止采水。沉淀池里设有溢出孔联接到排水管道，防止液位计发生故障时不能给采样泵停止信号而导致沉淀池水样溢出到设备房。</w:t>
      </w:r>
    </w:p>
    <w:p>
      <w:pPr>
        <w:spacing w:line="360" w:lineRule="auto"/>
        <w:ind w:firstLine="509" w:firstLineChars="182"/>
        <w:rPr>
          <w:rFonts w:ascii="宋体" w:hAnsi="宋体" w:cs="宋体"/>
          <w:kern w:val="0"/>
          <w:sz w:val="28"/>
          <w:szCs w:val="28"/>
          <w:highlight w:val="none"/>
          <w:lang w:val="af-ZA"/>
        </w:rPr>
      </w:pPr>
      <w:r>
        <w:rPr>
          <w:rFonts w:hint="eastAsia" w:ascii="宋体" w:hAnsi="宋体" w:cs="宋体"/>
          <w:sz w:val="28"/>
          <w:szCs w:val="28"/>
          <w:highlight w:val="none"/>
        </w:rPr>
        <w:t>3）在采水管道设立压力变送器，以检查管道中水压，同时作为备用采</w:t>
      </w:r>
      <w:r>
        <w:rPr>
          <w:rFonts w:hint="eastAsia" w:ascii="宋体" w:hAnsi="宋体" w:cs="宋体"/>
          <w:kern w:val="0"/>
          <w:sz w:val="28"/>
          <w:szCs w:val="28"/>
          <w:highlight w:val="none"/>
          <w:lang w:val="af-ZA"/>
        </w:rPr>
        <w:t>样泵切换的条件，即如果管道中无水压，则执行切换。</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4）当沉淀池内水位到达给定条件要求时，采样泵停止。</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5）采用自流或者增压泵的方式将沉淀池中的水样，送到配水杯中，水样经过预处理后送到各水质自动分析仪的采水子系统，自动分析仪采样测量。增压泵的开启由沉淀池内的液位控制器作条件控制器，即沉淀池内的液位到达一定条件后增压泵才能开启，以防其空运转。增压泵由计时器控制其停止，具体的计时长度由管路条件决定。</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6）对测量的数据进行校验，如果有发现测试数据超标或异常，立即启动水质自动采样留样器，对超标水样进行封装保存。</w:t>
      </w:r>
    </w:p>
    <w:p>
      <w:pPr>
        <w:spacing w:line="360" w:lineRule="auto"/>
        <w:ind w:firstLine="509" w:firstLineChars="182"/>
        <w:rPr>
          <w:rFonts w:ascii="宋体" w:hAnsi="宋体" w:cs="宋体"/>
          <w:sz w:val="28"/>
          <w:szCs w:val="28"/>
          <w:highlight w:val="none"/>
        </w:rPr>
      </w:pPr>
      <w:r>
        <w:rPr>
          <w:rFonts w:hint="eastAsia" w:ascii="宋体" w:hAnsi="宋体" w:cs="宋体"/>
          <w:sz w:val="28"/>
          <w:szCs w:val="28"/>
          <w:highlight w:val="none"/>
        </w:rPr>
        <w:t>7）一个测量周期完了后，计数器自动加1，做测量次数纪录，作为灭藻条件控制器。</w:t>
      </w:r>
    </w:p>
    <w:p>
      <w:pPr>
        <w:spacing w:line="360" w:lineRule="auto"/>
        <w:rPr>
          <w:rFonts w:ascii="宋体" w:hAnsi="宋体" w:cs="宋体"/>
          <w:b/>
          <w:sz w:val="28"/>
          <w:szCs w:val="28"/>
          <w:highlight w:val="none"/>
        </w:rPr>
      </w:pPr>
      <w:r>
        <w:rPr>
          <w:rFonts w:hint="eastAsia" w:ascii="宋体" w:hAnsi="宋体" w:cs="宋体"/>
          <w:b/>
          <w:sz w:val="28"/>
          <w:szCs w:val="28"/>
          <w:highlight w:val="none"/>
        </w:rPr>
        <w:t>（二）清洗阶段</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系统采用清洁水作为清洗水，清洗阶段分三个步骤，即采水管道、沉淀池和配水杯的清洗。容易实现也减少了清洗增压泵的压力。</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1）关闭清洗管道到达配水部分和采水部分的路径，清洗水直接流入沉淀池然后排到排水管道。</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2）关闭清洗管道到达配水部分和沉淀池的路径，清洗水经采水管道到达采水点回到湖库中。</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3）关闭清洗管道到达采水部分和沉淀池的路径，清洗水经直接流入配水杯然后排到排水管道。</w:t>
      </w:r>
    </w:p>
    <w:p>
      <w:pPr>
        <w:spacing w:line="360" w:lineRule="auto"/>
        <w:rPr>
          <w:rFonts w:ascii="宋体" w:hAnsi="宋体" w:cs="宋体"/>
          <w:b/>
          <w:sz w:val="28"/>
          <w:szCs w:val="28"/>
          <w:highlight w:val="none"/>
        </w:rPr>
      </w:pPr>
      <w:r>
        <w:rPr>
          <w:rFonts w:hint="eastAsia" w:ascii="宋体" w:hAnsi="宋体" w:cs="宋体"/>
          <w:b/>
          <w:sz w:val="28"/>
          <w:szCs w:val="28"/>
          <w:highlight w:val="none"/>
        </w:rPr>
        <w:t>（三）灭藻阶段</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系统完成合适的完整测量次数后，在清洗水中加入臭氧进行管道的杀菌灭藻，和清洗阶段一样分为三个步骤，不同的是在清洗水中加入了灭藻剂。</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1）沉淀池灭藻：关闭灭藻管道到达配水部分和采水部分的路径，灭藻剂直接流入沉淀池然后排到排水管道。</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2）采水管灭藻：关闭灭藻管道到达配水部分和沉淀池的路径，灭藻剂经采水管道到达采水点回到湖库中。</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3）配水杯灭藻：关闭灭藻管道到达沉淀池和采水部分的路径，灭藻剂直接流入配水杯然后排到排水管道。</w:t>
      </w:r>
    </w:p>
    <w:p>
      <w:pPr>
        <w:spacing w:line="360" w:lineRule="auto"/>
        <w:rPr>
          <w:rFonts w:ascii="宋体" w:hAnsi="宋体" w:cs="宋体"/>
          <w:b/>
          <w:sz w:val="28"/>
          <w:szCs w:val="28"/>
          <w:highlight w:val="none"/>
          <w:lang w:val="af-ZA"/>
        </w:rPr>
      </w:pPr>
      <w:bookmarkStart w:id="67" w:name="_Toc14640_WPSOffice_Level3"/>
      <w:bookmarkStart w:id="68" w:name="_Toc276054655"/>
      <w:r>
        <w:rPr>
          <w:rFonts w:hint="eastAsia" w:ascii="宋体" w:hAnsi="宋体" w:cs="宋体"/>
          <w:b/>
          <w:sz w:val="28"/>
          <w:szCs w:val="28"/>
          <w:highlight w:val="none"/>
          <w:lang w:val="af-ZA"/>
        </w:rPr>
        <w:t>（四）系统自维护单元</w:t>
      </w:r>
      <w:bookmarkEnd w:id="67"/>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清洗系统既支持手动启动清洗单元工作，也可根据现场水质状况，设定清洗间隔。控制系统定时启动或者根据用户的需要启动清洗操作，分别对室内进样管路、五参数管路、室外取水管路沉砂池及过滤装置进行清洗。</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为防止系统对环境造成二次污染，要求对仪器测量过程中产生的废液设计独立的收集系统，配备专用的废液收集桶2只，通过专用的防腐蚀管路与仪器废液管路连接收集废液。收集满的废液经酸碱中和处理后送到专门的水处理厂处理。</w:t>
      </w:r>
    </w:p>
    <w:p>
      <w:pPr>
        <w:spacing w:line="360" w:lineRule="auto"/>
        <w:ind w:firstLine="480"/>
        <w:rPr>
          <w:rFonts w:ascii="宋体" w:hAnsi="宋体" w:cs="宋体"/>
          <w:kern w:val="0"/>
          <w:sz w:val="28"/>
          <w:szCs w:val="28"/>
          <w:highlight w:val="none"/>
          <w:lang w:val="af-ZA"/>
        </w:rPr>
      </w:pPr>
      <w:r>
        <w:rPr>
          <w:rFonts w:hint="eastAsia" w:ascii="宋体" w:hAnsi="宋体" w:cs="宋体"/>
          <w:kern w:val="0"/>
          <w:sz w:val="28"/>
          <w:szCs w:val="28"/>
          <w:highlight w:val="none"/>
          <w:lang w:val="af-ZA"/>
        </w:rPr>
        <w:t>压缩空气单元为管路的反吹清洗、过滤器清洗提供高压气源。系统应配置无油空压机，可以设定压力的上限和下限，不需要单独的控制信号，维护量小。当储气罐中压力高于设定上限时，空压机自动切断电源；在供气时，储气罐内压力逐渐降低，当压力低于设定下限时，空压机自行启动，重新为储气罐加气。</w:t>
      </w:r>
    </w:p>
    <w:p>
      <w:pPr>
        <w:spacing w:line="360" w:lineRule="auto"/>
        <w:ind w:firstLine="480"/>
        <w:rPr>
          <w:rFonts w:ascii="宋体" w:hAnsi="宋体" w:cs="宋体"/>
          <w:kern w:val="0"/>
          <w:sz w:val="28"/>
          <w:szCs w:val="28"/>
          <w:highlight w:val="none"/>
          <w:lang w:val="af-ZA"/>
        </w:rPr>
      </w:pPr>
      <w:r>
        <w:rPr>
          <w:rFonts w:hint="eastAsia" w:ascii="宋体" w:hAnsi="宋体" w:cs="宋体"/>
          <w:kern w:val="0"/>
          <w:sz w:val="28"/>
          <w:szCs w:val="28"/>
          <w:highlight w:val="none"/>
          <w:lang w:val="af-ZA"/>
        </w:rPr>
        <w:t>为防止藻类在管路中的大量繁殖堵塞管道、影响和改变水样的水质，系统要求配置高效的除藻装置。</w:t>
      </w:r>
    </w:p>
    <w:p>
      <w:pPr>
        <w:ind w:firstLine="281" w:firstLineChars="100"/>
        <w:rPr>
          <w:rFonts w:ascii="宋体" w:hAnsi="宋体" w:cs="宋体"/>
          <w:b/>
          <w:sz w:val="28"/>
          <w:szCs w:val="28"/>
          <w:highlight w:val="none"/>
        </w:rPr>
      </w:pPr>
      <w:bookmarkStart w:id="69" w:name="_Toc317543711"/>
      <w:bookmarkStart w:id="70" w:name="_Toc11555_WPSOffice_Level3"/>
      <w:bookmarkStart w:id="71" w:name="_Toc532073353"/>
      <w:bookmarkStart w:id="72" w:name="_Toc317543510"/>
      <w:r>
        <w:rPr>
          <w:rFonts w:hint="eastAsia" w:ascii="宋体" w:hAnsi="宋体" w:cs="宋体"/>
          <w:b/>
          <w:sz w:val="28"/>
          <w:szCs w:val="28"/>
          <w:highlight w:val="none"/>
        </w:rPr>
        <w:t>1.8.5  预处理子系统</w:t>
      </w:r>
      <w:bookmarkEnd w:id="68"/>
      <w:bookmarkEnd w:id="69"/>
      <w:bookmarkEnd w:id="70"/>
      <w:bookmarkEnd w:id="71"/>
      <w:bookmarkEnd w:id="72"/>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1）具有在线除沙和在线过滤功能，向监测仪器提供样品水既要保证不改变水样的性状和成分浓度，确保水样的真实性，又能满足自动监测仪器的要求。</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2）过滤单元应设有电磁阀、气动阀等，在控制系统定时反吹的指令下，可对系统管路进行全面的清洗，以满足分析仪对水样的预处理要求。</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3）预处理系统须在系统停电恢复并自动启动后按照采集控制器控制时序自动启动。</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4）根据五参数仪器对水样的要求，对于五参数仪器供水不经过任何处理，直接进入仪器的进样方式。</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5）方便系统进行维护，在主管路上，每台仪器都要设有旁路系统，通过手动阀来进行调节。保证单台仪器、过滤器损坏或者需要维护时，不影响其他仪器的正常工作。</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6）为保证系统监测项目的扩充需要，预留出预处理单元与分析设备水路连接的接口。</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7）水样的预处理应可保证分析系统的连续长时间可靠运行。</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8）初级过滤后，应可将消除水样中较大的杂物，再进一步进行自然沉降，经过滤沉淀的泥沙应定期外运排放。</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9）根据不同仪表的具体要求应选定精密过滤，它与分析仪表共同组成分析单元。</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10）水样预处理系统的自动运行及定时反吹应由采集控制系统控制的，并能够在现场中心站计算机的控制画面中通过指令来切换预处理系统运行状态。</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11）由于预处理系统关系到整个仪表分析系统的可靠性，因此预处理的阀组件须采用优质品牌的气动阀或电磁阀。</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12）根据需要，配置预处理装置（一备一用）。</w:t>
      </w:r>
    </w:p>
    <w:p>
      <w:pPr>
        <w:ind w:firstLine="281" w:firstLineChars="100"/>
        <w:rPr>
          <w:rFonts w:ascii="宋体" w:hAnsi="宋体" w:cs="宋体"/>
          <w:b/>
          <w:sz w:val="28"/>
          <w:szCs w:val="28"/>
          <w:highlight w:val="none"/>
        </w:rPr>
      </w:pPr>
    </w:p>
    <w:p>
      <w:pPr>
        <w:ind w:firstLine="281" w:firstLineChars="100"/>
        <w:rPr>
          <w:rFonts w:ascii="宋体" w:hAnsi="宋体" w:cs="宋体"/>
          <w:b/>
          <w:sz w:val="28"/>
          <w:szCs w:val="28"/>
          <w:highlight w:val="none"/>
        </w:rPr>
      </w:pPr>
      <w:bookmarkStart w:id="73" w:name="_Toc276054657"/>
      <w:bookmarkStart w:id="74" w:name="_Toc532073354"/>
      <w:bookmarkStart w:id="75" w:name="_Toc893_WPSOffice_Level3"/>
      <w:bookmarkStart w:id="76" w:name="_Toc317543512"/>
      <w:bookmarkStart w:id="77" w:name="_Toc317543713"/>
      <w:r>
        <w:rPr>
          <w:rFonts w:hint="eastAsia" w:ascii="宋体" w:hAnsi="宋体" w:cs="宋体"/>
          <w:b/>
          <w:sz w:val="28"/>
          <w:szCs w:val="28"/>
          <w:highlight w:val="none"/>
        </w:rPr>
        <w:t>1.8.6 电气控制子系统</w:t>
      </w:r>
      <w:bookmarkEnd w:id="73"/>
      <w:bookmarkEnd w:id="74"/>
      <w:bookmarkEnd w:id="75"/>
      <w:bookmarkEnd w:id="76"/>
      <w:bookmarkEnd w:id="77"/>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系统应由总空气开关、各仪器设备的空气开关、接触器、继电器和接线端子等部分组成。电气元件需采用知名品牌。</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主要功能与特点：</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 xml:space="preserve">1）采用单相220V进线供电； </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电控柜中应安装有雷击保护器，可以有效地保护自动监测系统中的仪器设备；对采集控制器的供电使用隔离变压器，有效地阻隔电源中的干扰；除总电源开关外，各仪器、设备均有各自的空气开关，方便单独对任一仪器进行手动/自动控制。</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rPr>
        <w:t>3</w:t>
      </w:r>
      <w:r>
        <w:rPr>
          <w:rFonts w:hint="eastAsia" w:ascii="宋体" w:hAnsi="宋体" w:cs="宋体"/>
          <w:kern w:val="0"/>
          <w:sz w:val="28"/>
          <w:szCs w:val="28"/>
          <w:highlight w:val="none"/>
          <w:lang w:val="af-ZA"/>
        </w:rPr>
        <w:t>）水质自动站的所有与控制、通讯相关的器件都应安装在控制柜中。通过编程可以实现对全部设备、仪器的自动控制，实现清洗等多种自动控制功能；实现系统参数的采集，实现与现场工控机的实时通信等功能。在存储容量、数字量输入输出通道、模拟量输入通道等应考虑了一定的冗余，便于系统扩展。</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4）电控柜中主要配件（如空气开关、按钮、转换开关、继电器、输入输出接线端子等等）应采用知名产品，符合相关部门抗电磁辐射、电磁感应规定，提高系统可靠性。</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5）系统应布局合理、走线整齐清晰（用安装导轨、走线槽等），检修维护方便。</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6）各动力部件的输出端子均应附带保险丝，具有短路保护、过载保护功能。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7）全部设备、仪器等的供电电缆、信号电缆均应采用高质量屏蔽电缆，穿管或在线槽中布线，美观整齐。</w:t>
      </w:r>
    </w:p>
    <w:p>
      <w:pPr>
        <w:ind w:firstLine="281" w:firstLineChars="100"/>
        <w:rPr>
          <w:rFonts w:ascii="宋体" w:hAnsi="宋体" w:cs="宋体"/>
          <w:b/>
          <w:sz w:val="28"/>
          <w:szCs w:val="28"/>
          <w:highlight w:val="none"/>
        </w:rPr>
      </w:pPr>
      <w:bookmarkStart w:id="78" w:name="_Toc317543513"/>
      <w:bookmarkStart w:id="79" w:name="_Toc532073355"/>
      <w:bookmarkStart w:id="80" w:name="_Toc317543714"/>
      <w:bookmarkStart w:id="81" w:name="_Toc276054658"/>
      <w:bookmarkStart w:id="82" w:name="_Toc9629_WPSOffice_Level3"/>
      <w:r>
        <w:rPr>
          <w:rFonts w:hint="eastAsia" w:ascii="宋体" w:hAnsi="宋体" w:cs="宋体"/>
          <w:b/>
          <w:sz w:val="28"/>
          <w:szCs w:val="28"/>
          <w:highlight w:val="none"/>
        </w:rPr>
        <w:t>1.8.7 数据采集传输子系统</w:t>
      </w:r>
      <w:bookmarkEnd w:id="78"/>
      <w:bookmarkEnd w:id="79"/>
      <w:bookmarkEnd w:id="80"/>
      <w:bookmarkEnd w:id="81"/>
      <w:bookmarkEnd w:id="82"/>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将数据采集、系统控制、仪器控制、数据的整理和远程传输等功能集成到一起，方便进行系统管理和维护。数据采集与传输应完整、准确、可靠。常规五参数连续采集数据，其它仪表则按照分析周期采集一个数值及系统的工作状态。</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2）现场数据采集控制器应采用知名品牌一体化工控机，适合恶劣的工作环境使用。</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3）数据通讯协议应满足</w:t>
      </w:r>
      <w:r>
        <w:rPr>
          <w:rFonts w:ascii="宋体" w:hAnsi="宋体" w:cs="宋体"/>
          <w:kern w:val="0"/>
          <w:sz w:val="28"/>
          <w:szCs w:val="28"/>
          <w:highlight w:val="none"/>
        </w:rPr>
        <w:t>《污染源在线自动监控（监测） 数据采集传输仪技术要求》、《污染物在线监控（监测）系统数据传输标准》</w:t>
      </w:r>
      <w:r>
        <w:rPr>
          <w:rFonts w:hint="eastAsia" w:ascii="宋体" w:hAnsi="宋体" w:cs="宋体"/>
          <w:kern w:val="0"/>
          <w:sz w:val="28"/>
          <w:szCs w:val="28"/>
          <w:highlight w:val="none"/>
          <w:lang w:val="af-ZA"/>
        </w:rPr>
        <w:t>数据通讯要求，预留有多路数据通讯接口，可以与中心系统平台软件平滑升级、扩展与兼容。</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4）数据采集控制器应直接支持键盘，鼠标，VGA，多个RS232/RS485接口，可同时支持控制采集逻辑，支持OPC SERVER,MODBUS，可扩充大容量的存储单元，系统抗病毒，稳定可靠，要求具备打印功能。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5）通过通用的通讯接口可以采集实时数据并存储，数据传输之间采用开放的通讯协议和标准数据传输方式，并能对各级控制中心进行权限设置。</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6）应配备相应容量UPS后备系统，保证系统正常的数据采集、报警传输，停电自诊断处理。</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7）应采用以有线ADSL通讯为主，不具备ADSL有线通讯的，采用CDMA、GPRS、3G等无线通讯方式，通讯方式实时在线，通讯周期频率按需实时可调。</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8）现场控制系统界面应可动态显示系统的实时状态，实时数据，历史报表和历史报警。系统能够自动生成各种污染因子的曲线图、日报表等，能够实时记录现场各种分析设备的工作状态方便进行维护。</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9）应具有显示现场工作状态、安全和参数超标报警、并能将报警信号自动发送至上端监控平台。提供数据标识功能，并能进行数据有效性判别。</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10）具有测量数据及实时状态的查询功能，按需要进行各种方式的数据查询。</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11）能储存2年以上的原始数据，同时保存有关校准、断电、系统工作过程、仪器测试过程及其它事件记录。</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12）数据采集控制系统应可以设定和操控仪表触发运行时间间隔，可以设定相应测试间隔如1小时运行一次、2小时运行一次、4小时运行一次、1至24小时运行一次等。</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13）数据采集控制系统应与现场仪表运行维护紧密结合，当用户要进行仪表检修或者是人工干预时，数据采集控制系统可以进行相应的数据采集控制，记录仪表的运行状况，便于用户知道此时采集到的数据为用户检修时的测量数据，并加上相应的数据标识。</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14）系统应具有历史数据主动及被动上传功能，当系统网络或者是通讯线路有故障时，仍然可以进行正常的数据采集和控制，当系统网络或者是通讯线路故障恢复后，系统可以将所有未上传的数据主动上传给中心软件系统平台，保证数据不丢失。</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15）应支持远程启动应急监测功能，具有运行状态日志功能，并留有服务端口供及时获取故障服务信息，该端口应能采集系统日志及非正常数据，以供技术服务机构及时获取系统故障信息。。</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16）各执行器的动作和传感器反馈在工控系统界面都要有准确的显示。工控界面可将系统流程实时反应出来，同时自动站所有的操作在工控界面上都能实现。</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17）数据采集和传输能自动记录，工作可靠有效。</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18）系统设计及建设采用开放式体系结构，使系统易于扩充，并为以后预留可扩充接口，网络具有升级能力。</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19）自动控制系统需运行稳定可靠，并可在现场及远程进行人工参与控制。</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20）系统需具备有自动分类报警。</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21） 数据采集与传输应完整、准确、可靠，数据采集应采集数字量，当无法采集数字量时，采集的模拟量采集值与测量值误差≤1%（满量程）。</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22）水站采用系统软件进行数据的采集、控制与传输，系统软件需具备通用性强，可扩展性强，维护方便的特点。</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23）根据状态参数或故障报警信号等能自动对分析结果的有效性进行判断，并可根据状态参数等对测量数据进行人工有效性识别，无效数据应根据种类标注不同的状态标识符。</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24）系统安全防护功能，需有数据加密功能，并采用金字塔式权限约束，在进入系统时需确认身份，使其可使用相应的操作。</w:t>
      </w:r>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25）</w:t>
      </w:r>
      <w:r>
        <w:rPr>
          <w:rFonts w:hint="eastAsia" w:ascii="宋体" w:hAnsi="宋体" w:cs="宋体"/>
          <w:kern w:val="0"/>
          <w:sz w:val="28"/>
          <w:szCs w:val="28"/>
          <w:highlight w:val="none"/>
          <w:lang w:val="af-ZA"/>
        </w:rPr>
        <w:t>数据采集系统所存储数据只能进行读取、写入但不能进行处理，以保证数据的真实性。数据采集系统存储所采集的数据之后，通过接入的网络接口传输至监控中心，由监控中心对所采集的数据进行处理。其中数据传输必须符合国家相关技术规范的要求。</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w:t>
      </w:r>
      <w:r>
        <w:rPr>
          <w:rFonts w:hint="eastAsia" w:ascii="宋体" w:hAnsi="宋体" w:cs="宋体"/>
          <w:kern w:val="0"/>
          <w:sz w:val="28"/>
          <w:szCs w:val="28"/>
          <w:highlight w:val="none"/>
        </w:rPr>
        <w:t>6</w:t>
      </w:r>
      <w:r>
        <w:rPr>
          <w:rFonts w:hint="eastAsia" w:ascii="宋体" w:hAnsi="宋体" w:cs="宋体"/>
          <w:kern w:val="0"/>
          <w:sz w:val="28"/>
          <w:szCs w:val="28"/>
          <w:highlight w:val="none"/>
          <w:lang w:val="af-ZA"/>
        </w:rPr>
        <w:t>）数据采集仪器应支持一点多报，满足将监测数据报送至不同管理部门监测平台。</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w:t>
      </w:r>
      <w:r>
        <w:rPr>
          <w:rFonts w:hint="eastAsia" w:ascii="宋体" w:hAnsi="宋体" w:cs="宋体"/>
          <w:kern w:val="0"/>
          <w:sz w:val="28"/>
          <w:szCs w:val="28"/>
          <w:highlight w:val="none"/>
        </w:rPr>
        <w:t>7</w:t>
      </w:r>
      <w:r>
        <w:rPr>
          <w:rFonts w:hint="eastAsia" w:ascii="宋体" w:hAnsi="宋体" w:cs="宋体"/>
          <w:kern w:val="0"/>
          <w:sz w:val="28"/>
          <w:szCs w:val="28"/>
          <w:highlight w:val="none"/>
          <w:lang w:val="af-ZA"/>
        </w:rPr>
        <w:t>）数据传输通讯协议</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通讯协议应满足《污染源在线自动监控(监测)系统数据传输标准》（HJ/T212-2017）、《环境污染源自动监控信息传输、交换技术规范(试行)》(HJ/T 352-2007)等国家相关技术规范要求。系统必须接入省级水环境自动监测监控系统平台，以方便实现全省自动站联网监控。</w:t>
      </w:r>
    </w:p>
    <w:p>
      <w:pPr>
        <w:spacing w:line="360" w:lineRule="auto"/>
        <w:ind w:firstLine="480"/>
        <w:rPr>
          <w:rFonts w:ascii="宋体" w:hAnsi="宋体" w:cs="宋体"/>
          <w:kern w:val="0"/>
          <w:sz w:val="28"/>
          <w:szCs w:val="28"/>
          <w:highlight w:val="none"/>
          <w:lang w:val="af-ZA"/>
        </w:rPr>
      </w:pPr>
      <w:r>
        <w:rPr>
          <w:rFonts w:hint="eastAsia" w:ascii="宋体" w:hAnsi="宋体" w:cs="宋体"/>
          <w:kern w:val="0"/>
          <w:sz w:val="28"/>
          <w:szCs w:val="28"/>
          <w:highlight w:val="none"/>
          <w:lang w:val="af-ZA"/>
        </w:rPr>
        <w:t>中标供应商必须提供“完整的现场仪器设备数据通讯协议、传输协议、系统接口、系统集成软件的数据库结构说明材料”等材料，以满足实现实时数据、历史数据的调用和处理以及仪器参数远程设置、校准等反控功能的集成需要。</w:t>
      </w:r>
    </w:p>
    <w:p>
      <w:pPr>
        <w:ind w:firstLine="281" w:firstLineChars="100"/>
        <w:rPr>
          <w:rFonts w:ascii="宋体" w:hAnsi="宋体" w:cs="宋体"/>
          <w:b/>
          <w:sz w:val="28"/>
          <w:szCs w:val="28"/>
          <w:highlight w:val="none"/>
        </w:rPr>
      </w:pPr>
      <w:bookmarkStart w:id="83" w:name="_Toc317543514"/>
      <w:bookmarkStart w:id="84" w:name="_Toc317543715"/>
      <w:bookmarkStart w:id="85" w:name="_Toc532073356"/>
      <w:bookmarkStart w:id="86" w:name="_Toc29409_WPSOffice_Level3"/>
      <w:r>
        <w:rPr>
          <w:rFonts w:hint="eastAsia" w:ascii="宋体" w:hAnsi="宋体" w:cs="宋体"/>
          <w:b/>
          <w:sz w:val="28"/>
          <w:szCs w:val="28"/>
          <w:highlight w:val="none"/>
        </w:rPr>
        <w:t>1.8.8  报警系统</w:t>
      </w:r>
      <w:bookmarkEnd w:id="83"/>
      <w:bookmarkEnd w:id="84"/>
      <w:bookmarkEnd w:id="85"/>
      <w:bookmarkEnd w:id="86"/>
    </w:p>
    <w:p>
      <w:pPr>
        <w:spacing w:line="430" w:lineRule="exact"/>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1）现场仪器检测到水样超标时，能通过声音等方式报警，通知现场维护人员。</w:t>
      </w:r>
    </w:p>
    <w:p>
      <w:pPr>
        <w:spacing w:line="430" w:lineRule="exact"/>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2）系统将超标数据上传到中心软件系统平台，对超标数据进行提示和报警，通知主管部门监管人员。</w:t>
      </w:r>
    </w:p>
    <w:p>
      <w:pPr>
        <w:ind w:firstLine="281" w:firstLineChars="100"/>
        <w:rPr>
          <w:rFonts w:ascii="宋体" w:hAnsi="宋体" w:cs="宋体"/>
          <w:b/>
          <w:sz w:val="28"/>
          <w:szCs w:val="28"/>
          <w:highlight w:val="none"/>
        </w:rPr>
      </w:pPr>
      <w:bookmarkStart w:id="87" w:name="_Toc532073357"/>
      <w:bookmarkStart w:id="88" w:name="_Toc18075_WPSOffice_Level3"/>
      <w:bookmarkStart w:id="89" w:name="_Toc317543515"/>
      <w:bookmarkStart w:id="90" w:name="_Toc276054659"/>
      <w:bookmarkStart w:id="91" w:name="_Toc317543716"/>
      <w:r>
        <w:rPr>
          <w:rFonts w:hint="eastAsia" w:ascii="宋体" w:hAnsi="宋体" w:cs="宋体"/>
          <w:b/>
          <w:sz w:val="28"/>
          <w:szCs w:val="28"/>
          <w:highlight w:val="none"/>
        </w:rPr>
        <w:t>1.8.9  运行环境支持子系统</w:t>
      </w:r>
      <w:bookmarkEnd w:id="87"/>
      <w:bookmarkEnd w:id="88"/>
      <w:bookmarkEnd w:id="89"/>
      <w:bookmarkEnd w:id="90"/>
      <w:bookmarkEnd w:id="91"/>
    </w:p>
    <w:p>
      <w:pPr>
        <w:spacing w:line="430" w:lineRule="exact"/>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1）系统供电：应根据水站现场用电的实际情况，给出合理的停电后自启方案，以防止因重启频率过高而造成系统使用寿命的缩短。</w:t>
      </w:r>
    </w:p>
    <w:p>
      <w:pPr>
        <w:spacing w:line="430" w:lineRule="exact"/>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2）采用双供电系统，主电源为交流电，备用电源为在线式不间断电源，当交流电停电时，可以保证传感器和测控设备在一定时间内的应急运行。</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3）系统防雷：应包括电源防雷和通讯防雷。</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4）系统防火：分析仪器室内应安装烟感和温感探测器，如果室内空气浊度或室温超过探测器内预设上限，可发出声光报警通知安全守卫人员采取相应措施。</w:t>
      </w:r>
    </w:p>
    <w:p>
      <w:pPr>
        <w:spacing w:line="360" w:lineRule="auto"/>
        <w:ind w:firstLine="560" w:firstLineChars="200"/>
        <w:rPr>
          <w:rFonts w:ascii="宋体" w:hAnsi="宋体" w:cs="宋体"/>
          <w:kern w:val="0"/>
          <w:sz w:val="28"/>
          <w:szCs w:val="28"/>
          <w:highlight w:val="none"/>
          <w:lang w:val="af-ZA"/>
        </w:rPr>
      </w:pPr>
      <w:bookmarkStart w:id="92" w:name="_Toc80895222"/>
      <w:r>
        <w:rPr>
          <w:rFonts w:hint="eastAsia" w:ascii="宋体" w:hAnsi="宋体" w:cs="宋体"/>
          <w:kern w:val="0"/>
          <w:sz w:val="28"/>
          <w:szCs w:val="28"/>
          <w:highlight w:val="none"/>
          <w:lang w:val="af-ZA"/>
        </w:rPr>
        <w:t>5）系统</w:t>
      </w:r>
      <w:bookmarkEnd w:id="92"/>
      <w:r>
        <w:rPr>
          <w:rFonts w:hint="eastAsia" w:ascii="宋体" w:hAnsi="宋体" w:cs="宋体"/>
          <w:kern w:val="0"/>
          <w:sz w:val="28"/>
          <w:szCs w:val="28"/>
          <w:highlight w:val="none"/>
          <w:lang w:val="af-ZA"/>
        </w:rPr>
        <w:t>排空：对系统管道暴露在外的部分应进行良好保温，应在管道最低点设排空阀。冬天管道良好保温或系统停运后自动排空对于系统管道内抑制藻类孳生有着良好效果</w:t>
      </w:r>
      <w:bookmarkStart w:id="93" w:name="_Toc80895223"/>
      <w:r>
        <w:rPr>
          <w:rFonts w:hint="eastAsia" w:ascii="宋体" w:hAnsi="宋体" w:cs="宋体"/>
          <w:kern w:val="0"/>
          <w:sz w:val="28"/>
          <w:szCs w:val="28"/>
          <w:highlight w:val="none"/>
          <w:lang w:val="af-ZA"/>
        </w:rPr>
        <w:t>。</w:t>
      </w:r>
    </w:p>
    <w:bookmarkEnd w:id="93"/>
    <w:p>
      <w:pPr>
        <w:ind w:firstLine="281" w:firstLineChars="100"/>
        <w:rPr>
          <w:rFonts w:ascii="宋体" w:hAnsi="宋体" w:cs="宋体"/>
          <w:b/>
          <w:sz w:val="28"/>
          <w:szCs w:val="28"/>
          <w:highlight w:val="none"/>
        </w:rPr>
      </w:pPr>
      <w:bookmarkStart w:id="94" w:name="_Toc21895_WPSOffice_Level3"/>
      <w:bookmarkStart w:id="95" w:name="_Toc317543717"/>
      <w:bookmarkStart w:id="96" w:name="_Toc532073358"/>
      <w:bookmarkStart w:id="97" w:name="_Toc276054660"/>
      <w:bookmarkStart w:id="98" w:name="_Toc317543516"/>
      <w:r>
        <w:rPr>
          <w:rFonts w:hint="eastAsia" w:ascii="宋体" w:hAnsi="宋体" w:cs="宋体"/>
          <w:b/>
          <w:sz w:val="28"/>
          <w:szCs w:val="28"/>
          <w:highlight w:val="none"/>
        </w:rPr>
        <w:t>1.8.10  现场端控制系统软件</w:t>
      </w:r>
      <w:bookmarkEnd w:id="94"/>
      <w:bookmarkEnd w:id="95"/>
      <w:bookmarkEnd w:id="96"/>
      <w:bookmarkEnd w:id="97"/>
      <w:bookmarkEnd w:id="98"/>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1）须提供功能完善的控制系统软件。</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2）应具有先进性、扩展性、灵活性。应保证项目验收合格后三年内对系统软件免费升级。</w:t>
      </w:r>
    </w:p>
    <w:p>
      <w:pPr>
        <w:spacing w:line="360" w:lineRule="auto"/>
        <w:rPr>
          <w:rFonts w:ascii="宋体" w:hAnsi="宋体" w:cs="宋体"/>
          <w:kern w:val="0"/>
          <w:sz w:val="28"/>
          <w:szCs w:val="28"/>
          <w:highlight w:val="none"/>
          <w:lang w:val="af-ZA"/>
        </w:rPr>
      </w:pPr>
      <w:r>
        <w:rPr>
          <w:rFonts w:hint="eastAsia" w:ascii="宋体" w:hAnsi="宋体" w:cs="宋体"/>
          <w:kern w:val="0"/>
          <w:sz w:val="28"/>
          <w:szCs w:val="28"/>
          <w:highlight w:val="none"/>
          <w:lang w:val="af-ZA"/>
        </w:rPr>
        <w:t xml:space="preserve">    3）能够将自动数据采集、数据有效性分析、监测控制、有效数据入库、日常维护、数据管理、数据报表、数据上报、统计分析等功能有机的溶合到一个软件中，界面美观，操作方便。</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4）应支持无线及有线多种通讯采集方式，通讯采集方式及通讯频率可跟据系统的配置及需要方便设置及调整。</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5）应具有对各种数据分析、监控、浏览方便、操作简单的功能。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6）应具有丰富的数据处理及查询功能。</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7）应能定制各种报表，能根据有效数据显示和打印出日、周、月、季、年报表和曲线图形进行分析。</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8）可根据用户需要设置状态参数和故障报警信号自动对数据的有效性进行判断，能判断水质类别，首要污染物、污染指数和各指标的超标情况。</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9）能将数据库定期自动备份，当数据库破坏时可由用户设置自动恢复。同时对监测数据能由用户选择时间段备份出来，当需要时可由用户恢复回数据库。</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10）能修正水站的时间使之与省站监控中心同步。</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11）应可分配多级权限控制，可根据具体用户、用户组分配相应的权限。</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12）应具有强大的扩展能力，可以根据需要扩充监测项目参数，同时对于监测站点的数据信息和监测项目参数,可以设置监测项目报警限等等。</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13）应具有辅助水站运行维护功能,用户可以定制计划任务，提醒用户何时更换试剂，手动清洗管路，仪表进行标定等等。</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14）应具有报警数据上传功能。</w:t>
      </w:r>
    </w:p>
    <w:p>
      <w:pPr>
        <w:ind w:firstLine="281" w:firstLineChars="100"/>
        <w:rPr>
          <w:rFonts w:ascii="宋体" w:hAnsi="宋体" w:cs="宋体"/>
          <w:b/>
          <w:sz w:val="28"/>
          <w:szCs w:val="28"/>
          <w:highlight w:val="none"/>
        </w:rPr>
      </w:pPr>
      <w:bookmarkStart w:id="99" w:name="_Toc532073359"/>
      <w:bookmarkStart w:id="100" w:name="_Toc5222_WPSOffice_Level3"/>
      <w:r>
        <w:rPr>
          <w:rFonts w:hint="eastAsia" w:ascii="宋体" w:hAnsi="宋体" w:cs="宋体"/>
          <w:b/>
          <w:sz w:val="28"/>
          <w:szCs w:val="28"/>
          <w:highlight w:val="none"/>
        </w:rPr>
        <w:t>1.8.11 辅助系统</w:t>
      </w:r>
      <w:bookmarkEnd w:id="99"/>
      <w:bookmarkEnd w:id="100"/>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1）根据系统需要，配置相应的压缩空气系统（无油型，</w:t>
      </w:r>
      <w:r>
        <w:rPr>
          <w:rFonts w:hint="eastAsia" w:ascii="宋体" w:hAnsi="宋体" w:cs="宋体"/>
          <w:snapToGrid w:val="0"/>
          <w:kern w:val="0"/>
          <w:sz w:val="28"/>
          <w:szCs w:val="28"/>
          <w:highlight w:val="none"/>
        </w:rPr>
        <w:t>电机功率≥0.56KW，排气量≥ 98L/min，转速≥1450R.P.M，气缸数1个，使用压力≥7Kg/cm</w:t>
      </w:r>
      <w:r>
        <w:rPr>
          <w:rFonts w:hint="eastAsia" w:ascii="宋体" w:hAnsi="宋体" w:cs="宋体"/>
          <w:snapToGrid w:val="0"/>
          <w:kern w:val="0"/>
          <w:sz w:val="28"/>
          <w:szCs w:val="28"/>
          <w:highlight w:val="none"/>
          <w:vertAlign w:val="superscript"/>
        </w:rPr>
        <w:t>2</w:t>
      </w:r>
      <w:r>
        <w:rPr>
          <w:rFonts w:hint="eastAsia" w:ascii="宋体" w:hAnsi="宋体" w:cs="宋体"/>
          <w:snapToGrid w:val="0"/>
          <w:kern w:val="0"/>
          <w:sz w:val="28"/>
          <w:szCs w:val="28"/>
          <w:highlight w:val="none"/>
        </w:rPr>
        <w:t>，最大压力≥8Kg/cm</w:t>
      </w:r>
      <w:r>
        <w:rPr>
          <w:rFonts w:hint="eastAsia" w:ascii="宋体" w:hAnsi="宋体" w:cs="宋体"/>
          <w:snapToGrid w:val="0"/>
          <w:kern w:val="0"/>
          <w:sz w:val="28"/>
          <w:szCs w:val="28"/>
          <w:highlight w:val="none"/>
          <w:vertAlign w:val="superscript"/>
        </w:rPr>
        <w:t>2</w:t>
      </w:r>
      <w:r>
        <w:rPr>
          <w:rFonts w:hint="eastAsia" w:ascii="宋体" w:hAnsi="宋体" w:cs="宋体"/>
          <w:snapToGrid w:val="0"/>
          <w:kern w:val="0"/>
          <w:sz w:val="28"/>
          <w:szCs w:val="28"/>
          <w:highlight w:val="none"/>
        </w:rPr>
        <w:t>，气路有除水装置。</w:t>
      </w:r>
      <w:r>
        <w:rPr>
          <w:rFonts w:hint="eastAsia" w:ascii="宋体" w:hAnsi="宋体" w:cs="宋体"/>
          <w:kern w:val="0"/>
          <w:sz w:val="28"/>
          <w:szCs w:val="28"/>
          <w:highlight w:val="none"/>
          <w:lang w:val="af-ZA"/>
        </w:rPr>
        <w:t>），以满足清洗反吹使用。</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2）配置相应的UPS系统（功率：10KVA、短电情况下可保持控制系统12小时供电），起停电保护作用，在停电状态下能保存及传输数据，恢复供电后系统能自动工作。</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lang w:val="af-ZA"/>
        </w:rPr>
        <w:t>3）配置相应的电源稳压装置，满足系统所需。</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rPr>
        <w:t>4</w:t>
      </w:r>
      <w:r>
        <w:rPr>
          <w:rFonts w:hint="eastAsia" w:ascii="宋体" w:hAnsi="宋体" w:cs="宋体"/>
          <w:kern w:val="0"/>
          <w:sz w:val="28"/>
          <w:szCs w:val="28"/>
          <w:highlight w:val="none"/>
          <w:lang w:val="af-ZA"/>
        </w:rPr>
        <w:t>）配置三级防雷系统。包括电源直击雷和一切线路的感应雷。</w:t>
      </w:r>
    </w:p>
    <w:p>
      <w:pPr>
        <w:spacing w:line="360" w:lineRule="auto"/>
        <w:ind w:firstLine="560" w:firstLineChars="200"/>
        <w:rPr>
          <w:rFonts w:ascii="宋体" w:hAnsi="宋体" w:cs="宋体"/>
          <w:kern w:val="0"/>
          <w:sz w:val="28"/>
          <w:szCs w:val="28"/>
          <w:highlight w:val="none"/>
          <w:lang w:val="af-ZA"/>
        </w:rPr>
      </w:pPr>
      <w:r>
        <w:rPr>
          <w:rFonts w:hint="eastAsia" w:ascii="宋体" w:hAnsi="宋体" w:cs="宋体"/>
          <w:kern w:val="0"/>
          <w:sz w:val="28"/>
          <w:szCs w:val="28"/>
          <w:highlight w:val="none"/>
        </w:rPr>
        <w:t>5</w:t>
      </w:r>
      <w:r>
        <w:rPr>
          <w:rFonts w:hint="eastAsia" w:ascii="宋体" w:hAnsi="宋体" w:cs="宋体"/>
          <w:kern w:val="0"/>
          <w:sz w:val="28"/>
          <w:szCs w:val="28"/>
          <w:highlight w:val="none"/>
          <w:lang w:val="af-ZA"/>
        </w:rPr>
        <w:t>）为防止系统对环境造成二次污染，要求对仪器测量过程中产生的废液设计独立的收集系统，配备专用的废液收集桶2只，通过专用的防腐蚀管路与仪器废液管路连接收集废液。收集满的废液经酸碱中和处理后送到专门的水处理厂处理。</w:t>
      </w:r>
      <w:bookmarkStart w:id="101" w:name="_Toc14098_WPSOffice_Level3"/>
      <w:bookmarkStart w:id="102" w:name="_Toc532073360"/>
    </w:p>
    <w:bookmarkEnd w:id="101"/>
    <w:bookmarkEnd w:id="102"/>
    <w:p>
      <w:pPr>
        <w:widowControl/>
        <w:spacing w:line="600" w:lineRule="exact"/>
        <w:jc w:val="left"/>
        <w:outlineLvl w:val="1"/>
        <w:rPr>
          <w:rFonts w:ascii="宋体" w:hAnsi="宋体" w:cs="宋体"/>
          <w:b/>
          <w:kern w:val="0"/>
          <w:sz w:val="28"/>
          <w:highlight w:val="none"/>
        </w:rPr>
      </w:pPr>
      <w:bookmarkStart w:id="103" w:name="_Toc29029"/>
      <w:bookmarkStart w:id="104" w:name="_Toc9223"/>
      <w:bookmarkStart w:id="105" w:name="_Toc497237697"/>
      <w:bookmarkStart w:id="106" w:name="_Toc28755"/>
      <w:bookmarkStart w:id="107" w:name="_Toc80740104"/>
      <w:bookmarkStart w:id="108" w:name="_Toc30686"/>
      <w:bookmarkStart w:id="109" w:name="_Toc408930297"/>
      <w:bookmarkStart w:id="110" w:name="_Toc13902"/>
      <w:bookmarkStart w:id="111" w:name="_Toc16952"/>
      <w:bookmarkStart w:id="112" w:name="_Toc278274487"/>
      <w:r>
        <w:rPr>
          <w:rFonts w:hint="eastAsia" w:ascii="宋体" w:hAnsi="宋体" w:cs="宋体"/>
          <w:b/>
          <w:kern w:val="0"/>
          <w:sz w:val="28"/>
          <w:highlight w:val="none"/>
        </w:rPr>
        <w:t>1.9动力环境监控系统解决方案</w:t>
      </w:r>
      <w:bookmarkEnd w:id="103"/>
      <w:bookmarkEnd w:id="104"/>
      <w:bookmarkEnd w:id="105"/>
      <w:bookmarkEnd w:id="106"/>
      <w:bookmarkEnd w:id="107"/>
      <w:bookmarkEnd w:id="108"/>
      <w:bookmarkEnd w:id="109"/>
      <w:bookmarkEnd w:id="110"/>
      <w:bookmarkEnd w:id="111"/>
    </w:p>
    <w:p>
      <w:pPr>
        <w:ind w:firstLine="281" w:firstLineChars="100"/>
        <w:rPr>
          <w:rFonts w:ascii="宋体" w:hAnsi="宋体" w:cs="宋体"/>
          <w:b/>
          <w:sz w:val="28"/>
          <w:szCs w:val="28"/>
          <w:highlight w:val="none"/>
        </w:rPr>
      </w:pPr>
      <w:bookmarkStart w:id="113" w:name="_Toc26575"/>
      <w:bookmarkStart w:id="114" w:name="_Toc6081"/>
      <w:bookmarkStart w:id="115" w:name="_Toc9300"/>
      <w:bookmarkStart w:id="116" w:name="_Toc24284"/>
      <w:bookmarkStart w:id="117" w:name="_Toc7970"/>
      <w:bookmarkStart w:id="118" w:name="_Toc20354"/>
      <w:bookmarkStart w:id="119" w:name="_Toc497237698"/>
      <w:r>
        <w:rPr>
          <w:rFonts w:hint="eastAsia" w:ascii="宋体" w:hAnsi="宋体" w:cs="宋体"/>
          <w:b/>
          <w:sz w:val="28"/>
          <w:szCs w:val="28"/>
          <w:highlight w:val="none"/>
        </w:rPr>
        <w:t>1.9.1 主要设计原则</w:t>
      </w:r>
      <w:bookmarkEnd w:id="113"/>
      <w:bookmarkEnd w:id="114"/>
      <w:bookmarkEnd w:id="115"/>
      <w:bookmarkEnd w:id="116"/>
      <w:bookmarkEnd w:id="117"/>
      <w:bookmarkEnd w:id="118"/>
      <w:bookmarkEnd w:id="119"/>
    </w:p>
    <w:p>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监控测点的选取本着经济实用、重点监控及测点不重复的原则，并参考实际使用需求。部分设备参量的监控对用户的设备有要求，在用户的设备没有达到监控要求时，不予进行监测。总体设计原则如下：</w:t>
      </w:r>
    </w:p>
    <w:p>
      <w:pPr>
        <w:pStyle w:val="35"/>
        <w:widowControl/>
        <w:numPr>
          <w:ilvl w:val="0"/>
          <w:numId w:val="3"/>
        </w:numPr>
        <w:ind w:left="0" w:firstLine="200" w:firstLineChars="0"/>
        <w:jc w:val="left"/>
        <w:rPr>
          <w:rFonts w:ascii="宋体" w:hAnsi="宋体" w:eastAsia="宋体" w:cs="宋体"/>
          <w:szCs w:val="28"/>
          <w:highlight w:val="none"/>
        </w:rPr>
      </w:pPr>
      <w:r>
        <w:rPr>
          <w:rFonts w:hint="eastAsia" w:ascii="宋体" w:hAnsi="宋体" w:eastAsia="宋体" w:cs="宋体"/>
          <w:szCs w:val="28"/>
          <w:highlight w:val="none"/>
        </w:rPr>
        <w:t>提供站房安全的管理，以保证水质监测数据准确稳定输出为核心；</w:t>
      </w:r>
    </w:p>
    <w:p>
      <w:pPr>
        <w:pStyle w:val="35"/>
        <w:widowControl/>
        <w:numPr>
          <w:ilvl w:val="0"/>
          <w:numId w:val="3"/>
        </w:numPr>
        <w:ind w:left="0" w:firstLine="200" w:firstLineChars="0"/>
        <w:jc w:val="left"/>
        <w:rPr>
          <w:rFonts w:ascii="宋体" w:hAnsi="宋体" w:eastAsia="宋体" w:cs="宋体"/>
          <w:szCs w:val="28"/>
          <w:highlight w:val="none"/>
        </w:rPr>
      </w:pPr>
      <w:r>
        <w:rPr>
          <w:rFonts w:hint="eastAsia" w:ascii="宋体" w:hAnsi="宋体" w:eastAsia="宋体" w:cs="宋体"/>
          <w:szCs w:val="28"/>
          <w:highlight w:val="none"/>
        </w:rPr>
        <w:t>方便对设备和环境的监控，提高站房的维护效率；</w:t>
      </w:r>
    </w:p>
    <w:p>
      <w:pPr>
        <w:pStyle w:val="35"/>
        <w:widowControl/>
        <w:numPr>
          <w:ilvl w:val="0"/>
          <w:numId w:val="3"/>
        </w:numPr>
        <w:spacing w:afterLines="50"/>
        <w:ind w:left="0" w:firstLine="200" w:firstLineChars="0"/>
        <w:jc w:val="left"/>
        <w:rPr>
          <w:rFonts w:ascii="宋体" w:hAnsi="宋体" w:eastAsia="宋体" w:cs="宋体"/>
          <w:szCs w:val="28"/>
          <w:highlight w:val="none"/>
        </w:rPr>
      </w:pPr>
      <w:r>
        <w:rPr>
          <w:rFonts w:hint="eastAsia" w:ascii="宋体" w:hAnsi="宋体" w:eastAsia="宋体" w:cs="宋体"/>
          <w:szCs w:val="28"/>
          <w:highlight w:val="none"/>
        </w:rPr>
        <w:t>详实的系统运行状态的记录和报警，做到无人职守；</w:t>
      </w:r>
    </w:p>
    <w:p>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硬件选型和交互通信设计原则：</w:t>
      </w:r>
    </w:p>
    <w:p>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 (1)通用性：符合国际工业监控开放式设计标准，支持众多厂商的智能化设备和非智能化设备。</w:t>
      </w:r>
    </w:p>
    <w:p>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 (2)可靠性：系统具有良好的电磁兼容性和电气隔离性能，不影响被监控设备正常工作，全部硬件均采用国内外著名的工控设备，可靠性高，平均无故障时间大于20万小时。</w:t>
      </w:r>
    </w:p>
    <w:p>
      <w:pPr>
        <w:widowControl/>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 (3)兼容性：支持各种智能设备,支持所有提供开放协议（如RS-232/485等协议）接口的设备。</w:t>
      </w:r>
    </w:p>
    <w:p>
      <w:pPr>
        <w:ind w:firstLine="281" w:firstLineChars="100"/>
        <w:rPr>
          <w:rFonts w:ascii="宋体" w:hAnsi="宋体" w:cs="宋体"/>
          <w:b/>
          <w:sz w:val="28"/>
          <w:szCs w:val="28"/>
          <w:highlight w:val="none"/>
        </w:rPr>
      </w:pPr>
      <w:bookmarkStart w:id="120" w:name="_Toc20047"/>
      <w:bookmarkStart w:id="121" w:name="_Toc11203"/>
      <w:bookmarkStart w:id="122" w:name="_Toc18428"/>
      <w:bookmarkStart w:id="123" w:name="_Toc12267"/>
      <w:bookmarkStart w:id="124" w:name="_Toc27906"/>
      <w:bookmarkStart w:id="125" w:name="_Toc22047"/>
      <w:bookmarkStart w:id="126" w:name="_Toc497237699"/>
      <w:r>
        <w:rPr>
          <w:rFonts w:hint="eastAsia" w:ascii="宋体" w:hAnsi="宋体" w:cs="宋体"/>
          <w:b/>
          <w:sz w:val="28"/>
          <w:szCs w:val="28"/>
          <w:highlight w:val="none"/>
        </w:rPr>
        <w:t xml:space="preserve">  1.9.2、监控对象与内容</w:t>
      </w:r>
      <w:bookmarkEnd w:id="120"/>
      <w:bookmarkEnd w:id="121"/>
      <w:bookmarkEnd w:id="122"/>
      <w:bookmarkEnd w:id="123"/>
      <w:bookmarkEnd w:id="124"/>
      <w:bookmarkEnd w:id="125"/>
      <w:bookmarkEnd w:id="126"/>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动力环境监控系统通过分布在各水站站房内和设备中的传感器搜集数据。对会影响水质监测系统运行的因素，包括各种设备，如：UPS电源、交流稳压电流、专用空调等的工作是否正常，站房的环境（温度、湿度）、站房内的水害和安全防卫措施（门禁系统、视频监控系统）纳入网络管理范围。在监控网络中，操作者设定所需监测的温度、湿度、压力、电压、电流等监测数据的正常值，当某一部分某个参数的输入值超出设定的正常范围，监控系统就会发出报警信号，提醒操作者注意，使其及时采用相应的措施。</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根据水站站房建设的实际情况，纳入动力环境监控系统管理范围的项目主要包括：</w:t>
      </w:r>
    </w:p>
    <w:p>
      <w:pPr>
        <w:widowControl/>
        <w:numPr>
          <w:ilvl w:val="0"/>
          <w:numId w:val="4"/>
        </w:numPr>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UPS主机的运行状态；</w:t>
      </w:r>
    </w:p>
    <w:p>
      <w:pPr>
        <w:widowControl/>
        <w:numPr>
          <w:ilvl w:val="0"/>
          <w:numId w:val="4"/>
        </w:numPr>
        <w:tabs>
          <w:tab w:val="left" w:pos="210"/>
          <w:tab w:val="left" w:pos="840"/>
        </w:tabs>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站房配电系统；</w:t>
      </w:r>
    </w:p>
    <w:p>
      <w:pPr>
        <w:widowControl/>
        <w:numPr>
          <w:ilvl w:val="0"/>
          <w:numId w:val="4"/>
        </w:numPr>
        <w:tabs>
          <w:tab w:val="left" w:pos="210"/>
          <w:tab w:val="left" w:pos="840"/>
        </w:tabs>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站房恒温、恒湿专用空调的运行状态；</w:t>
      </w:r>
    </w:p>
    <w:p>
      <w:pPr>
        <w:widowControl/>
        <w:numPr>
          <w:ilvl w:val="0"/>
          <w:numId w:val="4"/>
        </w:numPr>
        <w:tabs>
          <w:tab w:val="left" w:pos="210"/>
          <w:tab w:val="left" w:pos="840"/>
        </w:tabs>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站房内水质监测设备与中控系统通信的状态；</w:t>
      </w:r>
    </w:p>
    <w:p>
      <w:pPr>
        <w:widowControl/>
        <w:numPr>
          <w:ilvl w:val="0"/>
          <w:numId w:val="4"/>
        </w:numPr>
        <w:tabs>
          <w:tab w:val="left" w:pos="210"/>
          <w:tab w:val="left" w:pos="840"/>
        </w:tabs>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站房监测设备区域内的温、湿度控制；</w:t>
      </w:r>
    </w:p>
    <w:p>
      <w:pPr>
        <w:widowControl/>
        <w:numPr>
          <w:ilvl w:val="0"/>
          <w:numId w:val="4"/>
        </w:numPr>
        <w:tabs>
          <w:tab w:val="left" w:pos="210"/>
          <w:tab w:val="left" w:pos="840"/>
        </w:tabs>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站房内水害报警（漏水预警）。</w:t>
      </w:r>
      <w:bookmarkStart w:id="127" w:name="_Toc158956116"/>
      <w:bookmarkEnd w:id="127"/>
    </w:p>
    <w:p>
      <w:pPr>
        <w:widowControl/>
        <w:numPr>
          <w:ilvl w:val="0"/>
          <w:numId w:val="4"/>
        </w:numPr>
        <w:tabs>
          <w:tab w:val="left" w:pos="210"/>
          <w:tab w:val="left" w:pos="840"/>
        </w:tabs>
        <w:spacing w:before="100" w:beforeAutospacing="1" w:after="100" w:afterAutospacing="1" w:line="360" w:lineRule="auto"/>
        <w:ind w:firstLine="0"/>
        <w:jc w:val="left"/>
        <w:textAlignment w:val="baseline"/>
        <w:rPr>
          <w:rFonts w:ascii="宋体" w:hAnsi="宋体" w:cs="宋体"/>
          <w:sz w:val="28"/>
          <w:szCs w:val="28"/>
          <w:highlight w:val="none"/>
        </w:rPr>
      </w:pPr>
      <w:r>
        <w:rPr>
          <w:rFonts w:hint="eastAsia" w:ascii="宋体" w:hAnsi="宋体" w:cs="宋体"/>
          <w:sz w:val="28"/>
          <w:szCs w:val="28"/>
          <w:highlight w:val="none"/>
        </w:rPr>
        <w:t>极早期火灾预警系统（烟雾探测）；</w:t>
      </w:r>
    </w:p>
    <w:p>
      <w:pPr>
        <w:ind w:firstLine="560" w:firstLineChars="200"/>
        <w:rPr>
          <w:rFonts w:ascii="宋体" w:hAnsi="宋体" w:cs="宋体"/>
          <w:sz w:val="28"/>
          <w:szCs w:val="28"/>
          <w:highlight w:val="none"/>
        </w:rPr>
      </w:pPr>
      <w:r>
        <w:rPr>
          <w:rFonts w:ascii="宋体" w:hAnsi="宋体" w:cs="宋体"/>
          <w:sz w:val="28"/>
          <w:szCs w:val="28"/>
          <w:highlight w:val="none"/>
        </w:rPr>
        <w:t>水站站房动力环境详细监控内容</w:t>
      </w:r>
    </w:p>
    <w:tbl>
      <w:tblPr>
        <w:tblStyle w:val="19"/>
        <w:tblW w:w="934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50"/>
        <w:gridCol w:w="1725"/>
        <w:gridCol w:w="1935"/>
        <w:gridCol w:w="1500"/>
        <w:gridCol w:w="13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5" w:type="dxa"/>
            <w:gridSpan w:val="2"/>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监控对象</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遥测</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遥信</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遥调</w:t>
            </w: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遥控</w:t>
            </w: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遥视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restart"/>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动力</w:t>
            </w:r>
          </w:p>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设备</w:t>
            </w: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高压配电设备</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三相电压或电流、高压操作电源电压</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变压器温度过高、高压在线、故障告警等</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告警参数设置</w:t>
            </w: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continue"/>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低压配电设备</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三相电压、三相电流、频率、功率因数</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主要开关状态、停电、缺相、超压、欠压告警</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告警参数设置</w:t>
            </w: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重要配电开关分和闸</w:t>
            </w: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continue"/>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整流设备</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交流输入电压、电流，直流输入电压、电流（总），各台整流器输出电压</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整流器工作状态，浮充、均充状态，整流器故障、整流器过载、直流输出过压、欠压、熔丝断等告警</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相控整流器的复位、开/关机、均充、浮充</w:t>
            </w: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continue"/>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交流稳压器</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输入电压、输出电压</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稳压器工作、市电直通、稳压器故障告警等</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开/关机、复位</w:t>
            </w: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continue"/>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交流不间断电源UPS</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交流输入电压、直流电压、标示电池端电压、交流输出电压、电流、频率</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市电故障、整流器故障、逆变器故障、UPS供电、旁路供电、电池电压低等</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restart"/>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环境</w:t>
            </w: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站房专用空调设备</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站房温度、湿度、进排气压力等</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工作状态、温度过高、温度过低、湿度过高、湿度过低、风机故障、压缩机故障、加湿器故障、排气压力过高、进气压力过低等告警</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开/关机</w:t>
            </w: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continue"/>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bookmarkStart w:id="128" w:name="_Toc130698247"/>
            <w:r>
              <w:rPr>
                <w:rFonts w:hint="eastAsia" w:ascii="宋体" w:hAnsi="宋体" w:cs="宋体"/>
                <w:szCs w:val="21"/>
                <w:highlight w:val="none"/>
              </w:rPr>
              <w:t>站房环境</w:t>
            </w:r>
            <w:bookmarkEnd w:id="128"/>
          </w:p>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站房温度、湿度</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温度、湿度、烟雾、水浸、门禁等</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灯光、喷淋、开门</w:t>
            </w: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环境视频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restart"/>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线缆资源</w:t>
            </w: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bookmarkStart w:id="129" w:name="_Toc127588854"/>
            <w:r>
              <w:rPr>
                <w:rFonts w:hint="eastAsia" w:ascii="宋体" w:hAnsi="宋体" w:cs="宋体"/>
                <w:szCs w:val="21"/>
                <w:highlight w:val="none"/>
              </w:rPr>
              <w:t>电缆防盗</w:t>
            </w:r>
            <w:bookmarkEnd w:id="129"/>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电缆状态检测测距、电缆故障点定位</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电缆故障告警</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报警转移电话</w:t>
            </w: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Merge w:val="continue"/>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配线架</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配线架工频入侵电流</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配线架列接地、列温度、列断线、列电缆断线告警</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告警参数设置</w:t>
            </w: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Align w:val="center"/>
          </w:tcPr>
          <w:p>
            <w:pPr>
              <w:widowControl/>
              <w:jc w:val="center"/>
              <w:rPr>
                <w:rFonts w:ascii="宋体" w:hAnsi="宋体" w:cs="宋体"/>
                <w:szCs w:val="21"/>
                <w:highlight w:val="none"/>
              </w:rPr>
            </w:pPr>
          </w:p>
        </w:tc>
        <w:tc>
          <w:tcPr>
            <w:tcW w:w="105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通信与网络</w:t>
            </w:r>
          </w:p>
        </w:tc>
        <w:tc>
          <w:tcPr>
            <w:tcW w:w="172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设备连接状态、远程通信心跳频率、数据实时传输间隔</w:t>
            </w:r>
          </w:p>
        </w:tc>
        <w:tc>
          <w:tcPr>
            <w:tcW w:w="1935"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连接消失、心跳断开等告警</w:t>
            </w:r>
          </w:p>
        </w:tc>
        <w:tc>
          <w:tcPr>
            <w:tcW w:w="1500" w:type="dxa"/>
          </w:tcPr>
          <w:p>
            <w:pPr>
              <w:pBdr>
                <w:top w:val="single" w:color="auto" w:sz="12" w:space="1"/>
              </w:pBdr>
              <w:tabs>
                <w:tab w:val="center" w:pos="4153"/>
                <w:tab w:val="right" w:pos="8306"/>
              </w:tabs>
              <w:snapToGrid w:val="0"/>
              <w:ind w:right="-48"/>
              <w:jc w:val="center"/>
              <w:rPr>
                <w:rFonts w:ascii="宋体" w:hAnsi="宋体" w:cs="宋体"/>
                <w:szCs w:val="21"/>
                <w:highlight w:val="none"/>
              </w:rPr>
            </w:pPr>
            <w:r>
              <w:rPr>
                <w:rFonts w:hint="eastAsia" w:ascii="宋体" w:hAnsi="宋体" w:cs="宋体"/>
                <w:szCs w:val="21"/>
                <w:highlight w:val="none"/>
              </w:rPr>
              <w:t>告警参数设置</w:t>
            </w:r>
          </w:p>
        </w:tc>
        <w:tc>
          <w:tcPr>
            <w:tcW w:w="130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c>
          <w:tcPr>
            <w:tcW w:w="1095" w:type="dxa"/>
          </w:tcPr>
          <w:p>
            <w:pPr>
              <w:pBdr>
                <w:top w:val="single" w:color="auto" w:sz="12" w:space="1"/>
              </w:pBdr>
              <w:tabs>
                <w:tab w:val="center" w:pos="4153"/>
                <w:tab w:val="right" w:pos="8306"/>
              </w:tabs>
              <w:snapToGrid w:val="0"/>
              <w:ind w:right="-48"/>
              <w:jc w:val="center"/>
              <w:rPr>
                <w:rFonts w:ascii="宋体" w:hAnsi="宋体" w:cs="宋体"/>
                <w:szCs w:val="21"/>
                <w:highlight w:val="none"/>
              </w:rPr>
            </w:pPr>
          </w:p>
        </w:tc>
      </w:tr>
    </w:tbl>
    <w:p>
      <w:pPr>
        <w:ind w:firstLine="281" w:firstLineChars="100"/>
        <w:rPr>
          <w:rFonts w:ascii="宋体" w:hAnsi="宋体" w:cs="宋体"/>
          <w:b/>
          <w:sz w:val="28"/>
          <w:szCs w:val="28"/>
          <w:highlight w:val="none"/>
        </w:rPr>
      </w:pPr>
      <w:bookmarkStart w:id="130" w:name="_Toc17183"/>
      <w:bookmarkStart w:id="131" w:name="_Toc29354"/>
      <w:bookmarkStart w:id="132" w:name="_Toc25528"/>
      <w:bookmarkStart w:id="133" w:name="_Toc30835"/>
      <w:bookmarkStart w:id="134" w:name="_Toc10109"/>
      <w:bookmarkStart w:id="135" w:name="_Toc497237700"/>
      <w:bookmarkStart w:id="136" w:name="_Toc25400"/>
      <w:r>
        <w:rPr>
          <w:rFonts w:hint="eastAsia" w:ascii="宋体" w:hAnsi="宋体" w:cs="宋体"/>
          <w:b/>
          <w:sz w:val="28"/>
          <w:szCs w:val="28"/>
          <w:highlight w:val="none"/>
        </w:rPr>
        <w:t>1.9.3、系统设计</w:t>
      </w:r>
      <w:bookmarkEnd w:id="130"/>
      <w:bookmarkEnd w:id="131"/>
      <w:bookmarkEnd w:id="132"/>
      <w:bookmarkEnd w:id="133"/>
      <w:bookmarkEnd w:id="134"/>
      <w:bookmarkEnd w:id="135"/>
      <w:bookmarkEnd w:id="136"/>
      <w:r>
        <w:rPr>
          <w:rFonts w:hint="eastAsia" w:ascii="宋体" w:hAnsi="宋体" w:cs="宋体"/>
          <w:b/>
          <w:sz w:val="28"/>
          <w:szCs w:val="28"/>
          <w:highlight w:val="none"/>
        </w:rPr>
        <w:t>要求</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工控级产品</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系统设备硬件均采用高可靠性的工控级产品，并采用了强弱电分离的设计架构，温湿度适应性强、抗电磁干扰、抗噪、防震、防尘。</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供电系统</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监控主机采用双路供电结构，并内置后备电源，任何一路供电中断都不会影响系统正常运行，并可监控设备的自身的供电，任何一路断开都可通过上位机软件进行报警。内置的后备电源，在系统外的市电及UPS全部中断的情况下可启动后备电源支持系统延时运行。</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网络安全</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全方位网络安全设计，系统通讯采用双链路以太专网，独立光纤组网、独立供电，可靠性高，环境适应性好。工作站内置安全网关、系统内部网络层以上数据通讯采用自定义专有协议，客户端与服务端支持自定义握手密码，网络数据接口采用握手密码认证、误码判断验证、延时验证等多种安全措施，全方位防护网络攻击威胁。</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分布式监控、集中化管理</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针对散布在不同空间或地域的受监控场所，可设计实现不同的监测控制体系，结构简洁、监测布点全面、系统运行稳定。</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实现对影响网络硬件运行环境安全的监控，可以全面的集中管理控制和监测所有影响环境的设备，把所有的设备状态完全的集中在一个软件平台上管理，省却往返奔波检查的烦恼。</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多维监控、无人值守及辅助值守</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集设备监控、运行环境监控、安防监控、消防监控、动力电源监控、视频监控于一身，构建全方位的设备安全保障体系，实现防电力异常、防火、防盗、防设备运行异常的全方位监测报警，多方面的应对安全事件的发生。</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基于其分布式环境监控平台，集中化管理的优势，可实现无人值守和辅助值守，当环境出现异常时，系统可以自动调节环境变量。</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移动监测控制、系统自动化控制相结合</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在相关人员无法及时赶到现场也无法登陆网络的时候，经授权的管理人员可以通过监控中心管理平台发送控制指令的方式进行远程处置，全面保证处置安全事件所需的及时性。</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系统将按用户预设的策略对异常状况进行自动处置，全面保障异常状况处置的时效性和可靠性。</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报警处理</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系统可区分多级报警级别，根据用户需要设定报警级别，报警事件发生时系统自动按事件级别排队报警、处理，并对应各级别发送报警信息；系统提供软件图示定位、多媒体语音、电话、手机短信、E-mail 等多种报警方式供用户选择，在发生报警事件时，保证警情的及时告知；系统还可通过智能语音组合对分布在不同区域及不同设备的警情进行精确定位式报警，方便管理者准确了解发生警情的位置及状态，可实现现代化智能管理的无人或辅助值守。</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系统结构</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支持以C/S 为主B/S 为辅，独立的C/S 和独立的B/S 三种不同的架构，以安全性更有保障的C/S 客户端全方位提供基于网络的监测报警与远程管理功能，以仅提供常规远程监测功能的WEB 浏览方式覆盖更广的监控范围 ，并同时对用户来访网段、用户身份进行过滤和认证。</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人机界面和扩展</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可根据监测区域的真实场景深度定制3D 仿真UI，根据设备在监测区域的实际位置，把设备的数据和图示放在相应的位置上，可实现有报警发生能很直观的确定报警位置。使用本系统软件和修改监控系统无需专业软件知识，用户可因监测区域内的变动（设备位置、类型、图形、内部结构等）或因增加设备（在限定范围内）、增加监控点数，而自由修改监控系统。</w:t>
      </w:r>
    </w:p>
    <w:p>
      <w:pPr>
        <w:pStyle w:val="35"/>
        <w:widowControl/>
        <w:numPr>
          <w:ilvl w:val="0"/>
          <w:numId w:val="5"/>
        </w:numPr>
        <w:ind w:firstLineChars="0"/>
        <w:jc w:val="left"/>
        <w:textAlignment w:val="baseline"/>
        <w:rPr>
          <w:rFonts w:ascii="宋体" w:hAnsi="宋体" w:eastAsia="宋体" w:cs="宋体"/>
          <w:szCs w:val="28"/>
          <w:highlight w:val="none"/>
        </w:rPr>
      </w:pPr>
      <w:r>
        <w:rPr>
          <w:rFonts w:hint="eastAsia" w:ascii="宋体" w:hAnsi="宋体" w:eastAsia="宋体" w:cs="宋体"/>
          <w:szCs w:val="28"/>
          <w:highlight w:val="none"/>
        </w:rPr>
        <w:t>兼容泛在互联</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可以根据要求定制开发协议和控件。客户系统对这些扩充没有任何限制，而且基本结构不用改变。系统支持多种类型UPS、空调及各种带接口的配电柜、列头柜、实验仪器设备以及其他各大厂商生产的智能设备。</w:t>
      </w:r>
    </w:p>
    <w:p>
      <w:pPr>
        <w:ind w:firstLine="281" w:firstLineChars="100"/>
        <w:rPr>
          <w:rFonts w:ascii="宋体" w:hAnsi="宋体" w:cs="宋体"/>
          <w:b/>
          <w:sz w:val="28"/>
          <w:szCs w:val="28"/>
          <w:highlight w:val="none"/>
        </w:rPr>
      </w:pPr>
      <w:bookmarkStart w:id="137" w:name="_Toc14082"/>
      <w:bookmarkStart w:id="138" w:name="_Toc13580"/>
      <w:bookmarkStart w:id="139" w:name="_Toc27855"/>
      <w:bookmarkStart w:id="140" w:name="_Toc27145"/>
      <w:bookmarkStart w:id="141" w:name="_Toc18840"/>
      <w:bookmarkStart w:id="142" w:name="_Toc18445"/>
      <w:bookmarkStart w:id="143" w:name="_Toc497237701"/>
      <w:r>
        <w:rPr>
          <w:rFonts w:hint="eastAsia" w:ascii="宋体" w:hAnsi="宋体" w:cs="宋体"/>
          <w:b/>
          <w:sz w:val="28"/>
          <w:szCs w:val="28"/>
          <w:highlight w:val="none"/>
        </w:rPr>
        <w:t>1.9.4、数据采集方式</w:t>
      </w:r>
      <w:bookmarkEnd w:id="137"/>
      <w:bookmarkEnd w:id="138"/>
      <w:bookmarkEnd w:id="139"/>
      <w:bookmarkEnd w:id="140"/>
      <w:bookmarkEnd w:id="141"/>
      <w:bookmarkEnd w:id="142"/>
      <w:bookmarkEnd w:id="143"/>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采用分散式采集方法，本次使用的是智能一体化监控采集器，智能一体化采集器与水质自动监测系统的工控机功能相似，根据实际信号接入数量和类型定制通信模块，是智能与通用设备合二为一的监控设备，可实现的监控内容为：交流配电、开关电源、空调、各种环境量等等。</w:t>
      </w:r>
    </w:p>
    <w:p>
      <w:pPr>
        <w:ind w:firstLine="560" w:firstLineChars="200"/>
        <w:jc w:val="center"/>
        <w:rPr>
          <w:rFonts w:ascii="宋体" w:hAnsi="宋体" w:cs="宋体"/>
          <w:sz w:val="28"/>
          <w:szCs w:val="28"/>
          <w:highlight w:val="none"/>
        </w:rPr>
      </w:pPr>
      <w:r>
        <w:rPr>
          <w:rFonts w:ascii="宋体" w:hAnsi="宋体" w:cs="宋体"/>
          <w:sz w:val="28"/>
          <w:szCs w:val="28"/>
          <w:highlight w:val="none"/>
        </w:rPr>
        <w:drawing>
          <wp:inline distT="0" distB="0" distL="0" distR="0">
            <wp:extent cx="4762500" cy="3073400"/>
            <wp:effectExtent l="0" t="0" r="7620" b="5080"/>
            <wp:docPr id="7"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62500" cy="3073400"/>
                    </a:xfrm>
                    <a:prstGeom prst="rect">
                      <a:avLst/>
                    </a:prstGeom>
                    <a:noFill/>
                    <a:ln>
                      <a:noFill/>
                    </a:ln>
                  </pic:spPr>
                </pic:pic>
              </a:graphicData>
            </a:graphic>
          </wp:inline>
        </w:drawing>
      </w:r>
    </w:p>
    <w:p>
      <w:pPr>
        <w:pStyle w:val="9"/>
        <w:tabs>
          <w:tab w:val="left" w:pos="1134"/>
        </w:tabs>
        <w:spacing w:line="360" w:lineRule="auto"/>
        <w:ind w:firstLine="560"/>
        <w:jc w:val="center"/>
        <w:rPr>
          <w:rFonts w:ascii="宋体" w:hAnsi="宋体" w:eastAsia="宋体" w:cs="宋体"/>
          <w:sz w:val="28"/>
          <w:szCs w:val="28"/>
          <w:highlight w:val="none"/>
        </w:rPr>
      </w:pPr>
      <w:r>
        <w:rPr>
          <w:rFonts w:ascii="宋体" w:hAnsi="宋体" w:eastAsia="宋体" w:cs="宋体"/>
          <w:sz w:val="28"/>
          <w:szCs w:val="28"/>
          <w:highlight w:val="none"/>
        </w:rPr>
        <w:t>数据采集系统结构图</w:t>
      </w:r>
    </w:p>
    <w:p>
      <w:pPr>
        <w:widowControl/>
        <w:ind w:firstLine="560" w:firstLineChars="200"/>
        <w:jc w:val="left"/>
        <w:textAlignment w:val="baseline"/>
        <w:rPr>
          <w:rFonts w:ascii="宋体" w:hAnsi="宋体" w:cs="宋体"/>
          <w:sz w:val="28"/>
          <w:szCs w:val="28"/>
          <w:highlight w:val="none"/>
        </w:rPr>
      </w:pPr>
      <w:r>
        <w:rPr>
          <w:rFonts w:hint="eastAsia" w:ascii="宋体" w:hAnsi="宋体" w:cs="宋体"/>
          <w:sz w:val="28"/>
          <w:szCs w:val="28"/>
          <w:highlight w:val="none"/>
        </w:rPr>
        <w:t>功能：对于非智能设备的监控，具有监视、控制和测量能力，接受并执行监控主机所下达的各种命令。对于智能设备的解码，将各种智能型接口的协议码转换成为同一标准协议码。综合以上两种能力，对各种设备进行集中监控。</w:t>
      </w:r>
    </w:p>
    <w:p>
      <w:pPr>
        <w:widowControl/>
        <w:jc w:val="left"/>
        <w:textAlignment w:val="baseline"/>
        <w:rPr>
          <w:rFonts w:ascii="宋体" w:hAnsi="宋体" w:cs="宋体"/>
          <w:sz w:val="28"/>
          <w:szCs w:val="28"/>
          <w:highlight w:val="none"/>
        </w:rPr>
      </w:pPr>
      <w:r>
        <w:rPr>
          <w:rFonts w:hint="eastAsia" w:ascii="宋体" w:hAnsi="宋体" w:cs="宋体"/>
          <w:sz w:val="28"/>
          <w:szCs w:val="28"/>
          <w:highlight w:val="none"/>
        </w:rPr>
        <w:tab/>
      </w:r>
      <w:r>
        <w:rPr>
          <w:rFonts w:hint="eastAsia" w:ascii="宋体" w:hAnsi="宋体" w:cs="宋体"/>
          <w:sz w:val="28"/>
          <w:szCs w:val="28"/>
          <w:highlight w:val="none"/>
        </w:rPr>
        <w:t>规格：每台可采集24个模拟量（AI）、16个开关量（DI）、8个控制量（DO）和2个智能设备接口（RS232/RS485/RS422）。</w:t>
      </w:r>
    </w:p>
    <w:p>
      <w:pPr>
        <w:widowControl/>
        <w:jc w:val="left"/>
        <w:textAlignment w:val="baseline"/>
        <w:rPr>
          <w:rFonts w:ascii="宋体" w:hAnsi="宋体" w:cs="宋体"/>
          <w:sz w:val="28"/>
          <w:szCs w:val="28"/>
          <w:highlight w:val="none"/>
        </w:rPr>
      </w:pPr>
      <w:r>
        <w:rPr>
          <w:rFonts w:hint="eastAsia" w:ascii="宋体" w:hAnsi="宋体" w:cs="宋体"/>
          <w:sz w:val="28"/>
          <w:szCs w:val="28"/>
          <w:highlight w:val="none"/>
        </w:rPr>
        <w:tab/>
      </w:r>
      <w:r>
        <w:rPr>
          <w:rFonts w:hint="eastAsia" w:ascii="宋体" w:hAnsi="宋体" w:cs="宋体"/>
          <w:sz w:val="28"/>
          <w:szCs w:val="28"/>
          <w:highlight w:val="none"/>
        </w:rPr>
        <w:t>采集对象：传统设备的模拟量、状态量、控制量，如——低压设备的三相交流电压、开关状态、各告警点；相控电源的输出电压；传统空调的开关控制、状态；以及环境系统的温湿度、火警、水浸、门禁监控点可通过传感器或变送器等界面输入。</w:t>
      </w:r>
    </w:p>
    <w:p>
      <w:pPr>
        <w:widowControl/>
        <w:jc w:val="left"/>
        <w:textAlignment w:val="baseline"/>
        <w:rPr>
          <w:rFonts w:ascii="宋体" w:hAnsi="宋体" w:cs="宋体"/>
          <w:sz w:val="28"/>
          <w:szCs w:val="28"/>
          <w:highlight w:val="none"/>
        </w:rPr>
      </w:pPr>
      <w:r>
        <w:rPr>
          <w:rFonts w:hint="eastAsia" w:ascii="宋体" w:hAnsi="宋体" w:cs="宋体"/>
          <w:sz w:val="28"/>
          <w:szCs w:val="28"/>
          <w:highlight w:val="none"/>
        </w:rPr>
        <w:tab/>
      </w:r>
      <w:r>
        <w:rPr>
          <w:rFonts w:hint="eastAsia" w:ascii="宋体" w:hAnsi="宋体" w:cs="宋体"/>
          <w:sz w:val="28"/>
          <w:szCs w:val="28"/>
          <w:highlight w:val="none"/>
        </w:rPr>
        <w:t>智能设备监控特点：智能设备经协议转换并入集中监控网后，其监控功能完全取决于智能设备本身监控软件所能达到的功能。</w:t>
      </w:r>
    </w:p>
    <w:p>
      <w:pPr>
        <w:widowControl/>
        <w:jc w:val="left"/>
        <w:textAlignment w:val="baseline"/>
        <w:rPr>
          <w:rFonts w:ascii="宋体" w:hAnsi="宋体" w:cs="宋体"/>
          <w:sz w:val="28"/>
          <w:szCs w:val="28"/>
          <w:highlight w:val="none"/>
        </w:rPr>
      </w:pPr>
      <w:r>
        <w:rPr>
          <w:rFonts w:hint="eastAsia" w:ascii="宋体" w:hAnsi="宋体" w:cs="宋体"/>
          <w:sz w:val="28"/>
          <w:szCs w:val="28"/>
          <w:highlight w:val="none"/>
        </w:rPr>
        <w:t xml:space="preserve">    解码能力：只要厂方能提供正确的监控软件（监控软件可与设备连线且监、测、控功能都能正确实现）及必要的通讯协议，该智能设备就一定能纳入集中监控网。</w:t>
      </w:r>
    </w:p>
    <w:p>
      <w:pPr>
        <w:spacing w:line="360" w:lineRule="auto"/>
        <w:rPr>
          <w:rFonts w:ascii="宋体" w:hAnsi="宋体" w:cs="宋体"/>
          <w:sz w:val="28"/>
          <w:szCs w:val="28"/>
          <w:highlight w:val="none"/>
        </w:rPr>
      </w:pPr>
    </w:p>
    <w:bookmarkEnd w:id="112"/>
    <w:p>
      <w:pPr>
        <w:widowControl/>
        <w:spacing w:line="600" w:lineRule="exact"/>
        <w:jc w:val="left"/>
        <w:outlineLvl w:val="1"/>
        <w:rPr>
          <w:rFonts w:ascii="宋体" w:hAnsi="宋体" w:cs="宋体"/>
          <w:b/>
          <w:kern w:val="0"/>
          <w:sz w:val="28"/>
          <w:highlight w:val="none"/>
        </w:rPr>
      </w:pPr>
      <w:bookmarkStart w:id="144" w:name="_Toc80740105"/>
      <w:bookmarkStart w:id="145" w:name="_Toc5496"/>
      <w:bookmarkStart w:id="146" w:name="_Toc2727_WPSOffice_Level2"/>
      <w:bookmarkStart w:id="147" w:name="_Toc23435"/>
      <w:r>
        <w:rPr>
          <w:rFonts w:hint="eastAsia" w:ascii="宋体" w:hAnsi="宋体" w:cs="宋体"/>
          <w:b/>
          <w:kern w:val="0"/>
          <w:sz w:val="28"/>
          <w:highlight w:val="none"/>
        </w:rPr>
        <w:t>1.10站房建设要求</w:t>
      </w:r>
      <w:bookmarkEnd w:id="144"/>
      <w:bookmarkEnd w:id="145"/>
      <w:bookmarkEnd w:id="146"/>
      <w:bookmarkEnd w:id="147"/>
    </w:p>
    <w:p>
      <w:pPr>
        <w:ind w:firstLine="281" w:firstLineChars="100"/>
        <w:rPr>
          <w:rFonts w:ascii="宋体" w:hAnsi="宋体" w:cs="宋体"/>
          <w:b/>
          <w:sz w:val="28"/>
          <w:szCs w:val="28"/>
          <w:highlight w:val="none"/>
        </w:rPr>
      </w:pPr>
      <w:bookmarkStart w:id="148" w:name="_Toc373286824"/>
      <w:bookmarkStart w:id="149" w:name="_Toc532073362"/>
      <w:bookmarkStart w:id="150" w:name="_Toc521098362"/>
      <w:bookmarkStart w:id="151" w:name="_Toc4299_WPSOffice_Level3"/>
      <w:bookmarkStart w:id="152" w:name="_Toc566"/>
      <w:bookmarkStart w:id="153" w:name="_Toc726"/>
      <w:r>
        <w:rPr>
          <w:rFonts w:hint="eastAsia" w:ascii="宋体" w:hAnsi="宋体" w:cs="宋体"/>
          <w:b/>
          <w:sz w:val="28"/>
          <w:szCs w:val="28"/>
          <w:highlight w:val="none"/>
        </w:rPr>
        <w:t>1.10.1站房设计概述</w:t>
      </w:r>
      <w:bookmarkEnd w:id="148"/>
      <w:bookmarkEnd w:id="149"/>
      <w:bookmarkEnd w:id="150"/>
      <w:bookmarkEnd w:id="151"/>
      <w:bookmarkEnd w:id="152"/>
      <w:bookmarkEnd w:id="153"/>
    </w:p>
    <w:p>
      <w:pPr>
        <w:ind w:firstLine="280" w:firstLineChars="100"/>
        <w:rPr>
          <w:rFonts w:ascii="宋体" w:hAnsi="宋体" w:cs="宋体"/>
          <w:sz w:val="28"/>
          <w:szCs w:val="28"/>
          <w:highlight w:val="none"/>
        </w:rPr>
      </w:pPr>
      <w:r>
        <w:rPr>
          <w:rFonts w:hint="eastAsia" w:ascii="宋体" w:hAnsi="宋体" w:cs="宋体"/>
          <w:sz w:val="28"/>
          <w:szCs w:val="28"/>
          <w:highlight w:val="none"/>
        </w:rPr>
        <w:t>本项目要求配置微型水站占地面积小于10平方米，可实现</w:t>
      </w:r>
      <w:r>
        <w:rPr>
          <w:rFonts w:hint="eastAsia" w:ascii="宋体" w:hAnsi="宋体" w:cs="宋体"/>
          <w:kern w:val="0"/>
          <w:sz w:val="28"/>
          <w:szCs w:val="28"/>
          <w:highlight w:val="none"/>
        </w:rPr>
        <w:t>五参数（pH值、温度、溶解氧、电导率、浊度</w:t>
      </w:r>
      <w:r>
        <w:rPr>
          <w:rFonts w:ascii="宋体" w:hAnsi="宋体" w:cs="宋体"/>
          <w:kern w:val="0"/>
          <w:sz w:val="28"/>
          <w:szCs w:val="28"/>
          <w:highlight w:val="none"/>
        </w:rPr>
        <w:t>）</w:t>
      </w:r>
      <w:r>
        <w:rPr>
          <w:rFonts w:hint="eastAsia" w:ascii="宋体" w:hAnsi="宋体" w:cs="宋体"/>
          <w:kern w:val="0"/>
          <w:sz w:val="28"/>
          <w:szCs w:val="28"/>
          <w:highlight w:val="none"/>
        </w:rPr>
        <w:t>、高锰酸盐指数、氨氮、总磷、总氮、</w:t>
      </w:r>
      <w:r>
        <w:rPr>
          <w:rFonts w:hint="eastAsia" w:ascii="宋体" w:hAnsi="宋体" w:cs="宋体"/>
          <w:sz w:val="28"/>
          <w:szCs w:val="28"/>
          <w:highlight w:val="none"/>
        </w:rPr>
        <w:t>水质自动监测系统布置要求。</w:t>
      </w:r>
    </w:p>
    <w:p>
      <w:pPr>
        <w:ind w:firstLine="422" w:firstLineChars="150"/>
        <w:rPr>
          <w:rFonts w:ascii="宋体" w:hAnsi="宋体" w:cs="宋体"/>
          <w:b/>
          <w:bCs/>
          <w:sz w:val="28"/>
          <w:szCs w:val="28"/>
          <w:highlight w:val="none"/>
        </w:rPr>
      </w:pPr>
      <w:r>
        <w:rPr>
          <w:rFonts w:hint="eastAsia" w:ascii="宋体" w:hAnsi="宋体" w:cs="宋体"/>
          <w:b/>
          <w:bCs/>
          <w:sz w:val="28"/>
          <w:szCs w:val="28"/>
          <w:highlight w:val="none"/>
        </w:rPr>
        <w:t>站房制造工艺与要求：</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站房</w:t>
      </w:r>
      <w:r>
        <w:rPr>
          <w:rFonts w:ascii="宋体" w:hAnsi="宋体" w:cs="宋体"/>
          <w:sz w:val="28"/>
          <w:szCs w:val="28"/>
          <w:highlight w:val="none"/>
        </w:rPr>
        <w:t>外部尺寸：</w:t>
      </w:r>
      <w:r>
        <w:rPr>
          <w:rFonts w:hint="eastAsia" w:ascii="宋体" w:hAnsi="宋体" w:cs="宋体"/>
          <w:sz w:val="28"/>
          <w:szCs w:val="28"/>
          <w:highlight w:val="none"/>
        </w:rPr>
        <w:t>3</w:t>
      </w:r>
      <w:r>
        <w:rPr>
          <w:rFonts w:ascii="宋体" w:hAnsi="宋体" w:cs="宋体"/>
          <w:sz w:val="28"/>
          <w:szCs w:val="28"/>
          <w:highlight w:val="none"/>
        </w:rPr>
        <w:t>700mm×2200mm×2600mm（</w:t>
      </w:r>
      <w:r>
        <w:rPr>
          <w:rFonts w:hint="eastAsia" w:ascii="宋体" w:hAnsi="宋体" w:cs="宋体"/>
          <w:sz w:val="28"/>
          <w:szCs w:val="28"/>
          <w:highlight w:val="none"/>
        </w:rPr>
        <w:t>长</w:t>
      </w:r>
      <w:r>
        <w:rPr>
          <w:rFonts w:ascii="宋体" w:hAnsi="宋体" w:cs="宋体"/>
          <w:sz w:val="28"/>
          <w:szCs w:val="28"/>
          <w:highlight w:val="none"/>
        </w:rPr>
        <w:t>*</w:t>
      </w:r>
      <w:r>
        <w:rPr>
          <w:rFonts w:hint="eastAsia" w:ascii="宋体" w:hAnsi="宋体" w:cs="宋体"/>
          <w:sz w:val="28"/>
          <w:szCs w:val="28"/>
          <w:highlight w:val="none"/>
        </w:rPr>
        <w:t>宽</w:t>
      </w:r>
      <w:r>
        <w:rPr>
          <w:rFonts w:ascii="宋体" w:hAnsi="宋体" w:cs="宋体"/>
          <w:sz w:val="28"/>
          <w:szCs w:val="28"/>
          <w:highlight w:val="none"/>
        </w:rPr>
        <w:t>*</w:t>
      </w:r>
      <w:r>
        <w:rPr>
          <w:rFonts w:hint="eastAsia" w:ascii="宋体" w:hAnsi="宋体" w:cs="宋体"/>
          <w:sz w:val="28"/>
          <w:szCs w:val="28"/>
          <w:highlight w:val="none"/>
        </w:rPr>
        <w:t>高</w:t>
      </w:r>
      <w:r>
        <w:rPr>
          <w:rFonts w:ascii="宋体" w:hAnsi="宋体" w:cs="宋体"/>
          <w:sz w:val="28"/>
          <w:szCs w:val="28"/>
          <w:highlight w:val="none"/>
        </w:rPr>
        <w:t>）</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站房</w:t>
      </w:r>
      <w:r>
        <w:rPr>
          <w:rFonts w:ascii="宋体" w:hAnsi="宋体" w:cs="宋体"/>
          <w:sz w:val="28"/>
          <w:szCs w:val="28"/>
          <w:highlight w:val="none"/>
        </w:rPr>
        <w:t>内空尺寸：3500mm×2000mm×2200mm（</w:t>
      </w:r>
      <w:r>
        <w:rPr>
          <w:rFonts w:hint="eastAsia" w:ascii="宋体" w:hAnsi="宋体" w:cs="宋体"/>
          <w:sz w:val="28"/>
          <w:szCs w:val="28"/>
          <w:highlight w:val="none"/>
        </w:rPr>
        <w:t>长</w:t>
      </w:r>
      <w:r>
        <w:rPr>
          <w:rFonts w:ascii="宋体" w:hAnsi="宋体" w:cs="宋体"/>
          <w:sz w:val="28"/>
          <w:szCs w:val="28"/>
          <w:highlight w:val="none"/>
        </w:rPr>
        <w:t>*</w:t>
      </w:r>
      <w:r>
        <w:rPr>
          <w:rFonts w:hint="eastAsia" w:ascii="宋体" w:hAnsi="宋体" w:cs="宋体"/>
          <w:sz w:val="28"/>
          <w:szCs w:val="28"/>
          <w:highlight w:val="none"/>
        </w:rPr>
        <w:t>宽</w:t>
      </w:r>
      <w:r>
        <w:rPr>
          <w:rFonts w:ascii="宋体" w:hAnsi="宋体" w:cs="宋体"/>
          <w:sz w:val="28"/>
          <w:szCs w:val="28"/>
          <w:highlight w:val="none"/>
        </w:rPr>
        <w:t>*</w:t>
      </w:r>
      <w:r>
        <w:rPr>
          <w:rFonts w:hint="eastAsia" w:ascii="宋体" w:hAnsi="宋体" w:cs="宋体"/>
          <w:sz w:val="28"/>
          <w:szCs w:val="28"/>
          <w:highlight w:val="none"/>
        </w:rPr>
        <w:t>高</w:t>
      </w:r>
      <w:r>
        <w:rPr>
          <w:rFonts w:ascii="宋体" w:hAnsi="宋体" w:cs="宋体"/>
          <w:sz w:val="28"/>
          <w:szCs w:val="28"/>
          <w:highlight w:val="none"/>
        </w:rPr>
        <w:t>）</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主要材质</w:t>
      </w:r>
      <w:r>
        <w:rPr>
          <w:rFonts w:ascii="宋体" w:hAnsi="宋体" w:cs="宋体"/>
          <w:sz w:val="28"/>
          <w:szCs w:val="28"/>
          <w:highlight w:val="none"/>
        </w:rPr>
        <w:t>：框架及</w:t>
      </w:r>
      <w:r>
        <w:rPr>
          <w:rFonts w:hint="eastAsia" w:ascii="宋体" w:hAnsi="宋体" w:cs="宋体"/>
          <w:sz w:val="28"/>
          <w:szCs w:val="28"/>
          <w:highlight w:val="none"/>
        </w:rPr>
        <w:t>主材</w:t>
      </w:r>
      <w:r>
        <w:rPr>
          <w:rFonts w:ascii="宋体" w:hAnsi="宋体" w:cs="宋体"/>
          <w:sz w:val="28"/>
          <w:szCs w:val="28"/>
          <w:highlight w:val="none"/>
        </w:rPr>
        <w:t>采用覆铝锌板</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表面</w:t>
      </w:r>
      <w:r>
        <w:rPr>
          <w:rFonts w:ascii="宋体" w:hAnsi="宋体" w:cs="宋体"/>
          <w:sz w:val="28"/>
          <w:szCs w:val="28"/>
          <w:highlight w:val="none"/>
        </w:rPr>
        <w:t>处理：</w:t>
      </w:r>
      <w:r>
        <w:rPr>
          <w:rFonts w:hint="eastAsia" w:ascii="宋体" w:hAnsi="宋体" w:cs="宋体"/>
          <w:sz w:val="28"/>
          <w:szCs w:val="28"/>
          <w:highlight w:val="none"/>
        </w:rPr>
        <w:t>户外</w:t>
      </w:r>
      <w:r>
        <w:rPr>
          <w:rFonts w:ascii="宋体" w:hAnsi="宋体" w:cs="宋体"/>
          <w:sz w:val="28"/>
          <w:szCs w:val="28"/>
          <w:highlight w:val="none"/>
        </w:rPr>
        <w:t>塑粉喷塑处理</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外部</w:t>
      </w:r>
      <w:r>
        <w:rPr>
          <w:rFonts w:ascii="宋体" w:hAnsi="宋体" w:cs="宋体"/>
          <w:sz w:val="28"/>
          <w:szCs w:val="28"/>
          <w:highlight w:val="none"/>
        </w:rPr>
        <w:t>装饰：防腐木</w:t>
      </w:r>
      <w:r>
        <w:rPr>
          <w:rFonts w:hint="eastAsia" w:ascii="宋体" w:hAnsi="宋体" w:cs="宋体"/>
          <w:sz w:val="28"/>
          <w:szCs w:val="28"/>
          <w:highlight w:val="none"/>
        </w:rPr>
        <w:t>条</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防护</w:t>
      </w:r>
      <w:r>
        <w:rPr>
          <w:rFonts w:ascii="宋体" w:hAnsi="宋体" w:cs="宋体"/>
          <w:sz w:val="28"/>
          <w:szCs w:val="28"/>
          <w:highlight w:val="none"/>
        </w:rPr>
        <w:t>等级：IP65</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保温层</w:t>
      </w:r>
      <w:r>
        <w:rPr>
          <w:rFonts w:ascii="宋体" w:hAnsi="宋体" w:cs="宋体"/>
          <w:sz w:val="28"/>
          <w:szCs w:val="28"/>
          <w:highlight w:val="none"/>
        </w:rPr>
        <w:t>：</w:t>
      </w:r>
      <w:r>
        <w:rPr>
          <w:rFonts w:hint="eastAsia" w:ascii="宋体" w:hAnsi="宋体" w:cs="宋体"/>
          <w:sz w:val="28"/>
          <w:szCs w:val="28"/>
          <w:highlight w:val="none"/>
        </w:rPr>
        <w:t>6</w:t>
      </w:r>
      <w:r>
        <w:rPr>
          <w:rFonts w:ascii="宋体" w:hAnsi="宋体" w:cs="宋体"/>
          <w:sz w:val="28"/>
          <w:szCs w:val="28"/>
          <w:highlight w:val="none"/>
        </w:rPr>
        <w:t>面50mm</w:t>
      </w:r>
      <w:r>
        <w:rPr>
          <w:rFonts w:hint="eastAsia" w:ascii="宋体" w:hAnsi="宋体" w:cs="宋体"/>
          <w:sz w:val="28"/>
          <w:szCs w:val="28"/>
          <w:highlight w:val="none"/>
        </w:rPr>
        <w:t>户外</w:t>
      </w:r>
      <w:r>
        <w:rPr>
          <w:rFonts w:ascii="宋体" w:hAnsi="宋体" w:cs="宋体"/>
          <w:sz w:val="28"/>
          <w:szCs w:val="28"/>
          <w:highlight w:val="none"/>
        </w:rPr>
        <w:t>机柜专用保温</w:t>
      </w:r>
      <w:r>
        <w:rPr>
          <w:rFonts w:hint="eastAsia" w:ascii="宋体" w:hAnsi="宋体" w:cs="宋体"/>
          <w:sz w:val="28"/>
          <w:szCs w:val="28"/>
          <w:highlight w:val="none"/>
        </w:rPr>
        <w:t>棉</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保障</w:t>
      </w:r>
      <w:r>
        <w:rPr>
          <w:rFonts w:ascii="宋体" w:hAnsi="宋体" w:cs="宋体"/>
          <w:sz w:val="28"/>
          <w:szCs w:val="28"/>
          <w:highlight w:val="none"/>
        </w:rPr>
        <w:t>设施：新风/换气系统、1.5P冷暖空调</w:t>
      </w:r>
      <w:r>
        <w:rPr>
          <w:rFonts w:hint="eastAsia" w:ascii="宋体" w:hAnsi="宋体" w:cs="宋体"/>
          <w:sz w:val="28"/>
          <w:szCs w:val="28"/>
          <w:highlight w:val="none"/>
        </w:rPr>
        <w:t>、</w:t>
      </w:r>
      <w:r>
        <w:rPr>
          <w:rFonts w:ascii="宋体" w:hAnsi="宋体" w:cs="宋体"/>
          <w:sz w:val="28"/>
          <w:szCs w:val="28"/>
          <w:highlight w:val="none"/>
        </w:rPr>
        <w:t>温湿度监控系统</w:t>
      </w:r>
    </w:p>
    <w:p>
      <w:pPr>
        <w:pStyle w:val="51"/>
        <w:numPr>
          <w:ilvl w:val="0"/>
          <w:numId w:val="6"/>
        </w:numPr>
        <w:spacing w:line="360" w:lineRule="auto"/>
        <w:ind w:firstLineChars="0"/>
        <w:rPr>
          <w:rFonts w:ascii="宋体" w:hAnsi="宋体" w:cs="宋体"/>
          <w:sz w:val="28"/>
          <w:szCs w:val="28"/>
          <w:highlight w:val="none"/>
        </w:rPr>
      </w:pPr>
      <w:r>
        <w:rPr>
          <w:rFonts w:hint="eastAsia" w:ascii="宋体" w:hAnsi="宋体" w:cs="宋体"/>
          <w:sz w:val="28"/>
          <w:szCs w:val="28"/>
          <w:highlight w:val="none"/>
        </w:rPr>
        <w:t>安防</w:t>
      </w:r>
      <w:r>
        <w:rPr>
          <w:rFonts w:ascii="宋体" w:hAnsi="宋体" w:cs="宋体"/>
          <w:sz w:val="28"/>
          <w:szCs w:val="28"/>
          <w:highlight w:val="none"/>
        </w:rPr>
        <w:t>设施：门禁/视频联防系统、</w:t>
      </w:r>
      <w:r>
        <w:rPr>
          <w:rFonts w:hint="eastAsia" w:ascii="宋体" w:hAnsi="宋体" w:cs="宋体"/>
          <w:sz w:val="28"/>
          <w:szCs w:val="28"/>
          <w:highlight w:val="none"/>
        </w:rPr>
        <w:t>水浸</w:t>
      </w:r>
      <w:r>
        <w:rPr>
          <w:rFonts w:ascii="宋体" w:hAnsi="宋体" w:cs="宋体"/>
          <w:sz w:val="28"/>
          <w:szCs w:val="28"/>
          <w:highlight w:val="none"/>
        </w:rPr>
        <w:t>报警、烟雾报警</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要求站房外观应美观实用，与当地环境相协调，无需征地建房，占地面积小，内部面积底部密封防潮，结构设计通风、防尘，门、窗安全、美观、密封，保温性能优良。</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采用的是机柜式安装方式，站房可移动。</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采样管线以及电线电缆的敷设，符合《仪表配管配线设计规定》(HG/T20512)的规定。站房的接地符合《 仪表系统接地设计规定》(HG/T20513)的规定。</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配备具有来电自启功能的冷暖空调。站房内安装有温湿度传感器，在线采集站房包含环境因素，如：站外站内温度。站房周围有疏通雨水渠道，具备防雨、防虫、防尘、防渗漏和防电磁波干扰的措施。箱体主要采用厚度为2 mm的覆铝锌板制作，采用组件嵌装式；站房底座有足够的强度，保证在拖动、起吊、荷载和空载时不变形，安装于混凝土基础上。同时站房安装有避雷设施和良好的接地装置；根据周边环境可设置防护栏等外观辅助设计，并设置站房铜牌；包含站点名称、建设单位、提醒标识等。站房高程满足50年一遇防洪标准。站房内安装水、电计量表，并满足相关部门对水、电的计量要求。站房内有配电系统，配有3*10A三相四线电度表、40A总触电（漏电）保护开关、配电箱，安全可靠，6组以上电源插座。总配电箱内设置一级防雷模块，系统配电箱中设置二级防雷模块。系统供电功率要求（包括仪表间所有设备、空调）2KVA；在系统配电箱中预留三相空开。</w:t>
      </w:r>
    </w:p>
    <w:p>
      <w:pPr>
        <w:spacing w:line="440" w:lineRule="exact"/>
        <w:ind w:firstLine="560" w:firstLineChars="200"/>
        <w:rPr>
          <w:rFonts w:ascii="宋体" w:hAnsi="宋体" w:cs="宋体"/>
          <w:sz w:val="28"/>
          <w:szCs w:val="28"/>
          <w:highlight w:val="none"/>
        </w:rPr>
      </w:pPr>
      <w:bookmarkStart w:id="154" w:name="_Toc521098363"/>
      <w:bookmarkStart w:id="155" w:name="_Toc12473"/>
      <w:r>
        <w:rPr>
          <w:rFonts w:hint="eastAsia" w:ascii="宋体" w:hAnsi="宋体" w:cs="宋体"/>
          <w:sz w:val="28"/>
          <w:szCs w:val="28"/>
          <w:highlight w:val="none"/>
        </w:rPr>
        <w:t>总体要求</w:t>
      </w:r>
      <w:bookmarkEnd w:id="154"/>
      <w:bookmarkEnd w:id="155"/>
      <w:r>
        <w:rPr>
          <w:rFonts w:hint="eastAsia" w:ascii="宋体" w:hAnsi="宋体" w:cs="宋体"/>
          <w:sz w:val="28"/>
          <w:szCs w:val="28"/>
          <w:highlight w:val="none"/>
        </w:rPr>
        <w:t>符合《HJ/T193-2005》及建筑行业标准规范相关要求，满足监测系统设备的安装场所及提供正常运行的良好环境。</w:t>
      </w:r>
    </w:p>
    <w:p>
      <w:pPr>
        <w:ind w:firstLine="281" w:firstLineChars="100"/>
        <w:rPr>
          <w:rFonts w:ascii="宋体" w:hAnsi="宋体" w:cs="宋体"/>
          <w:b/>
          <w:sz w:val="28"/>
          <w:szCs w:val="28"/>
          <w:highlight w:val="none"/>
        </w:rPr>
      </w:pPr>
      <w:bookmarkStart w:id="156" w:name="_Toc8354_WPSOffice_Level3"/>
      <w:bookmarkStart w:id="157" w:name="_Toc521098364"/>
      <w:bookmarkStart w:id="158" w:name="_Toc532073363"/>
      <w:bookmarkStart w:id="159" w:name="_Toc28780"/>
      <w:r>
        <w:rPr>
          <w:rFonts w:hint="eastAsia" w:ascii="宋体" w:hAnsi="宋体" w:cs="宋体"/>
          <w:b/>
          <w:sz w:val="28"/>
          <w:szCs w:val="28"/>
          <w:highlight w:val="none"/>
        </w:rPr>
        <w:t>1</w:t>
      </w:r>
      <w:r>
        <w:rPr>
          <w:rFonts w:ascii="宋体" w:hAnsi="宋体" w:cs="宋体"/>
          <w:b/>
          <w:sz w:val="28"/>
          <w:szCs w:val="28"/>
          <w:highlight w:val="none"/>
        </w:rPr>
        <w:t>.10</w:t>
      </w:r>
      <w:r>
        <w:rPr>
          <w:rFonts w:hint="eastAsia" w:ascii="宋体" w:hAnsi="宋体" w:cs="宋体"/>
          <w:b/>
          <w:sz w:val="28"/>
          <w:szCs w:val="28"/>
          <w:highlight w:val="none"/>
        </w:rPr>
        <w:t>.2规模与范围</w:t>
      </w:r>
      <w:bookmarkEnd w:id="156"/>
      <w:bookmarkEnd w:id="157"/>
      <w:bookmarkEnd w:id="158"/>
      <w:bookmarkEnd w:id="159"/>
    </w:p>
    <w:p>
      <w:pPr>
        <w:ind w:firstLine="280" w:firstLineChars="100"/>
        <w:rPr>
          <w:rFonts w:ascii="宋体" w:hAnsi="宋体" w:cs="宋体"/>
          <w:sz w:val="28"/>
          <w:szCs w:val="28"/>
          <w:highlight w:val="none"/>
        </w:rPr>
      </w:pPr>
      <w:bookmarkStart w:id="160" w:name="_Toc521098365"/>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.2.1、站房建设规模</w:t>
      </w:r>
      <w:bookmarkEnd w:id="160"/>
    </w:p>
    <w:p>
      <w:pPr>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本项目采用集装箱式站房，一层结构，满足9个参数安装需求，具有扩展性。</w:t>
      </w:r>
      <w:bookmarkStart w:id="161" w:name="_Toc521098366"/>
    </w:p>
    <w:p>
      <w:pPr>
        <w:spacing w:line="440" w:lineRule="exact"/>
        <w:rPr>
          <w:rFonts w:ascii="宋体" w:hAnsi="宋体" w:cs="宋体"/>
          <w:sz w:val="28"/>
          <w:szCs w:val="28"/>
          <w:highlight w:val="none"/>
        </w:rPr>
      </w:pPr>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.2.2、设计范围</w:t>
      </w:r>
      <w:bookmarkEnd w:id="161"/>
    </w:p>
    <w:p>
      <w:pPr>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设计内容包括：建筑功能和造型、结构布置，供水排水、供电和弱电、空调和通风、相应的消防设计及工程概算的编制。</w:t>
      </w:r>
    </w:p>
    <w:p>
      <w:pPr>
        <w:ind w:firstLine="281" w:firstLineChars="100"/>
        <w:rPr>
          <w:rFonts w:ascii="宋体" w:hAnsi="宋体" w:cs="宋体"/>
          <w:b/>
          <w:sz w:val="28"/>
          <w:szCs w:val="28"/>
          <w:highlight w:val="none"/>
        </w:rPr>
      </w:pPr>
      <w:bookmarkStart w:id="162" w:name="_Toc521098369"/>
      <w:bookmarkStart w:id="163" w:name="_Toc532073364"/>
      <w:bookmarkStart w:id="164" w:name="_Toc23429_WPSOffice_Level3"/>
      <w:r>
        <w:rPr>
          <w:rFonts w:hint="eastAsia" w:ascii="宋体" w:hAnsi="宋体" w:cs="宋体"/>
          <w:b/>
          <w:sz w:val="28"/>
          <w:szCs w:val="28"/>
          <w:highlight w:val="none"/>
        </w:rPr>
        <w:t>1</w:t>
      </w:r>
      <w:r>
        <w:rPr>
          <w:rFonts w:ascii="宋体" w:hAnsi="宋体" w:cs="宋体"/>
          <w:b/>
          <w:sz w:val="28"/>
          <w:szCs w:val="28"/>
          <w:highlight w:val="none"/>
        </w:rPr>
        <w:t>.10</w:t>
      </w:r>
      <w:r>
        <w:rPr>
          <w:rFonts w:hint="eastAsia" w:ascii="宋体" w:hAnsi="宋体" w:cs="宋体"/>
          <w:b/>
          <w:sz w:val="28"/>
          <w:szCs w:val="28"/>
          <w:highlight w:val="none"/>
        </w:rPr>
        <w:t>.3建设条件</w:t>
      </w:r>
      <w:bookmarkEnd w:id="162"/>
      <w:bookmarkEnd w:id="163"/>
      <w:bookmarkEnd w:id="164"/>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供水：由施工方接入，管径25mm。</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地面粗糙度：B类；</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场地地震基本烈度：7度，抗震设防烈度：按7度设防；</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排水；监测废水经废液收集系统处理，委托有资质的第三方废液处理机构回收处理，站房内无生活污水直排。</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供电：</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本项目由附近电网向机柜提供一路不小于3KVA的单相电源，供电电压220V。系统采用专用接地点和联合接地体连接，接地电阻≤4Ω。系统配置2KVA稳压电源给控制单元和分析单元供电。350VA UPS电源给控制系统供电。</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抗震要求：工程抗震设防烈度Ⅵ度。</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环保要求：在设计、施工上加强环保节能意识，使其对环境的不利影响降到最低。</w:t>
      </w:r>
    </w:p>
    <w:p>
      <w:pPr>
        <w:spacing w:line="360" w:lineRule="auto"/>
        <w:ind w:firstLine="560" w:firstLineChars="200"/>
        <w:rPr>
          <w:rFonts w:ascii="宋体" w:hAnsi="宋体" w:cs="宋体"/>
          <w:sz w:val="28"/>
          <w:szCs w:val="28"/>
          <w:highlight w:val="none"/>
        </w:rPr>
      </w:pPr>
      <w:bookmarkStart w:id="165" w:name="_Toc521098370"/>
      <w:bookmarkStart w:id="166" w:name="_Toc4940"/>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.3．1编制依据</w:t>
      </w:r>
      <w:bookmarkEnd w:id="165"/>
      <w:bookmarkEnd w:id="166"/>
      <w:bookmarkStart w:id="167" w:name="_Toc521098371"/>
      <w:r>
        <w:rPr>
          <w:rFonts w:hint="eastAsia" w:ascii="宋体" w:hAnsi="宋体" w:cs="宋体"/>
          <w:sz w:val="28"/>
          <w:szCs w:val="28"/>
          <w:highlight w:val="none"/>
        </w:rPr>
        <w:t>法律法规</w:t>
      </w:r>
      <w:bookmarkEnd w:id="167"/>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《中华人民共和国城乡规划法》</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《中华人民共和国建筑法》</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《建设工程勘察设计管理规定》</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《建设工程质量管理条例》</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《房屋建设和市政基础设施工程施工图文件审查管理办法》</w:t>
      </w:r>
    </w:p>
    <w:p>
      <w:pPr>
        <w:spacing w:line="360" w:lineRule="auto"/>
        <w:ind w:firstLine="560" w:firstLineChars="200"/>
        <w:rPr>
          <w:rFonts w:ascii="宋体" w:hAnsi="宋体" w:cs="宋体"/>
          <w:sz w:val="28"/>
          <w:szCs w:val="28"/>
          <w:highlight w:val="none"/>
        </w:rPr>
      </w:pPr>
      <w:bookmarkStart w:id="168" w:name="_Toc521098372"/>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.3.2国家标准、行业标准和技术规范</w:t>
      </w:r>
      <w:bookmarkEnd w:id="168"/>
      <w:r>
        <w:rPr>
          <w:rFonts w:hint="eastAsia" w:ascii="宋体" w:hAnsi="宋体" w:cs="宋体"/>
          <w:sz w:val="28"/>
          <w:szCs w:val="28"/>
          <w:highlight w:val="none"/>
        </w:rPr>
        <w:tab/>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《建筑给水排水设计规范》（GB50015-2019）；</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《自动喷水灭火系统设计规范》（GB50084-2017）；</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《建筑灭火器配置设计规范》（GB50140－2005）；</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《建筑设计防火规范》（GB50016-2014）；</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《室外给水设计规范》（GB 50013-2018）；</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《室外排水设计规范》（GB 50014-2018）；</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《气体灭火系统设计规范》（GB 50370-2005）；</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《民用建筑电气设计规范》JGJ/T16-2008；</w:t>
      </w:r>
    </w:p>
    <w:p>
      <w:pPr>
        <w:ind w:firstLine="281" w:firstLineChars="100"/>
        <w:rPr>
          <w:rFonts w:ascii="宋体" w:hAnsi="宋体" w:cs="宋体"/>
          <w:b/>
          <w:sz w:val="28"/>
          <w:szCs w:val="28"/>
          <w:highlight w:val="none"/>
        </w:rPr>
      </w:pPr>
      <w:bookmarkStart w:id="169" w:name="_Toc521098381"/>
      <w:bookmarkStart w:id="170" w:name="_Toc14357_WPSOffice_Level3"/>
      <w:bookmarkStart w:id="171" w:name="_Toc532073365"/>
      <w:bookmarkStart w:id="172" w:name="_Toc21487"/>
      <w:bookmarkStart w:id="173" w:name="_Toc7186"/>
      <w:r>
        <w:rPr>
          <w:rFonts w:hint="eastAsia" w:ascii="宋体" w:hAnsi="宋体" w:cs="宋体"/>
          <w:b/>
          <w:sz w:val="28"/>
          <w:szCs w:val="28"/>
          <w:highlight w:val="none"/>
        </w:rPr>
        <w:t>1</w:t>
      </w:r>
      <w:r>
        <w:rPr>
          <w:rFonts w:ascii="宋体" w:hAnsi="宋体" w:cs="宋体"/>
          <w:b/>
          <w:sz w:val="28"/>
          <w:szCs w:val="28"/>
          <w:highlight w:val="none"/>
        </w:rPr>
        <w:t>.10</w:t>
      </w:r>
      <w:r>
        <w:rPr>
          <w:rFonts w:hint="eastAsia" w:ascii="宋体" w:hAnsi="宋体" w:cs="宋体"/>
          <w:b/>
          <w:sz w:val="28"/>
          <w:szCs w:val="28"/>
          <w:highlight w:val="none"/>
        </w:rPr>
        <w:t>.4给水排水设施</w:t>
      </w:r>
      <w:bookmarkEnd w:id="169"/>
      <w:r>
        <w:rPr>
          <w:rFonts w:hint="eastAsia" w:ascii="宋体" w:hAnsi="宋体" w:cs="宋体"/>
          <w:b/>
          <w:sz w:val="28"/>
          <w:szCs w:val="28"/>
          <w:highlight w:val="none"/>
        </w:rPr>
        <w:t>要求</w:t>
      </w:r>
      <w:bookmarkEnd w:id="170"/>
      <w:bookmarkEnd w:id="171"/>
      <w:bookmarkEnd w:id="172"/>
      <w:bookmarkEnd w:id="173"/>
    </w:p>
    <w:p>
      <w:pPr>
        <w:ind w:firstLine="280" w:firstLineChars="100"/>
        <w:rPr>
          <w:rFonts w:ascii="宋体" w:hAnsi="宋体" w:cs="宋体"/>
          <w:sz w:val="28"/>
          <w:szCs w:val="28"/>
          <w:highlight w:val="none"/>
        </w:rPr>
      </w:pPr>
      <w:bookmarkStart w:id="174" w:name="_Toc6961"/>
      <w:bookmarkStart w:id="175" w:name="_Toc521098382"/>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．4.1设计依据</w:t>
      </w:r>
      <w:bookmarkEnd w:id="174"/>
      <w:bookmarkEnd w:id="175"/>
    </w:p>
    <w:p>
      <w:pPr>
        <w:spacing w:line="440" w:lineRule="exact"/>
        <w:rPr>
          <w:rFonts w:ascii="宋体" w:hAnsi="宋体" w:cs="宋体"/>
          <w:sz w:val="28"/>
          <w:szCs w:val="28"/>
          <w:highlight w:val="none"/>
        </w:rPr>
      </w:pPr>
      <w:r>
        <w:rPr>
          <w:rFonts w:hint="eastAsia" w:ascii="宋体" w:hAnsi="宋体" w:cs="宋体"/>
          <w:sz w:val="28"/>
          <w:szCs w:val="28"/>
          <w:highlight w:val="none"/>
        </w:rPr>
        <w:t>（1）《建筑给水排水设计规范》（GB50015-2019）；</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（2）《自动喷水灭火系统设计规范》（GB50084-2001、2005年版）；</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（3）《建筑灭火器配置设计规范》（GB50084-2017）；</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（4）《建筑设计防火规范》（GB50016-2014）；</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（5）《室外给水设计规范》（GB 50013-2018）；</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（6）《室外排水设计规范》（GB 50014-2018）；</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（7）《气体灭火系统设计规范》（GB 50370-2005）；</w:t>
      </w:r>
    </w:p>
    <w:p>
      <w:pPr>
        <w:ind w:firstLine="280" w:firstLineChars="100"/>
        <w:rPr>
          <w:rFonts w:ascii="宋体" w:hAnsi="宋体" w:cs="宋体"/>
          <w:sz w:val="28"/>
          <w:szCs w:val="28"/>
          <w:highlight w:val="none"/>
        </w:rPr>
      </w:pPr>
      <w:bookmarkStart w:id="176" w:name="_Toc521098383"/>
      <w:bookmarkStart w:id="177" w:name="_Toc13389"/>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.4.2、总体给排水设计</w:t>
      </w:r>
      <w:bookmarkEnd w:id="176"/>
      <w:bookmarkEnd w:id="177"/>
    </w:p>
    <w:p>
      <w:pPr>
        <w:ind w:firstLine="280" w:firstLineChars="100"/>
        <w:rPr>
          <w:rFonts w:ascii="宋体" w:hAnsi="宋体" w:cs="宋体"/>
          <w:sz w:val="28"/>
          <w:szCs w:val="28"/>
          <w:highlight w:val="none"/>
        </w:rPr>
      </w:pPr>
      <w:bookmarkStart w:id="178" w:name="_Toc5955"/>
      <w:bookmarkStart w:id="179" w:name="_Toc521098384"/>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.4.3、单体给排水设计</w:t>
      </w:r>
      <w:bookmarkEnd w:id="178"/>
      <w:bookmarkEnd w:id="179"/>
    </w:p>
    <w:p>
      <w:pPr>
        <w:spacing w:line="440" w:lineRule="exact"/>
        <w:rPr>
          <w:rFonts w:ascii="宋体" w:hAnsi="宋体" w:cs="宋体"/>
          <w:sz w:val="28"/>
          <w:szCs w:val="28"/>
          <w:highlight w:val="none"/>
        </w:rPr>
      </w:pPr>
      <w:r>
        <w:rPr>
          <w:rFonts w:hint="eastAsia" w:ascii="宋体" w:hAnsi="宋体" w:cs="宋体"/>
          <w:sz w:val="28"/>
          <w:szCs w:val="28"/>
          <w:highlight w:val="none"/>
        </w:rPr>
        <w:t>（1）给水系统</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系统设置：水质自动监测站自来水由设备安装方引入。 </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管材及连接： 室内生活给水管均采用PP-R给水塑料管，热熔连接；给水支管采用暗装敷设，遇门窗处应局部避让。</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（2）站房自来水配置系统</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接入管道采用￠25的PPR管道接入，接入点设置内部自来水供水总阀门。</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站点内部自来水管道的铺设和分配要求：站房布局图中的洗手池位置和指定自来水接入位置设置水龙头,水管走直线，保持美观，管径大小以满足现场实际需求为准。</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采用排水地漏的方式排水，室内采用2个不小于直径75mm的排水地漏，然后引入排水管道排出。</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洗手盆排水管道在室外合并到总排水管内。</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进水管道在指定点接入并预留接入口。</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（3）灭火器配置</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按《建筑灭火器配置设计规范》</w:t>
      </w:r>
      <w:bookmarkStart w:id="180" w:name="_Toc142798572"/>
      <w:bookmarkStart w:id="181" w:name="_Toc221941499"/>
      <w:r>
        <w:rPr>
          <w:rFonts w:hint="eastAsia" w:ascii="宋体" w:hAnsi="宋体" w:cs="宋体"/>
          <w:sz w:val="28"/>
          <w:szCs w:val="28"/>
          <w:highlight w:val="none"/>
        </w:rPr>
        <w:t>，单位灭火级别最大保护面积为75 m2/A，</w:t>
      </w:r>
      <w:bookmarkEnd w:id="180"/>
      <w:bookmarkEnd w:id="181"/>
      <w:r>
        <w:rPr>
          <w:rFonts w:hint="eastAsia" w:ascii="宋体" w:hAnsi="宋体" w:cs="宋体"/>
          <w:sz w:val="28"/>
          <w:szCs w:val="28"/>
          <w:highlight w:val="none"/>
        </w:rPr>
        <w:t>灭火器配置为A类中危险级.室内设置手提式灭火器,每个配置点设置MF/ABC4*2一组，设于落地灭火器箱内,箱底离地0.1米。</w:t>
      </w:r>
    </w:p>
    <w:p>
      <w:pPr>
        <w:ind w:firstLine="281" w:firstLineChars="100"/>
        <w:rPr>
          <w:rFonts w:ascii="宋体" w:hAnsi="宋体" w:cs="宋体"/>
          <w:b/>
          <w:sz w:val="28"/>
          <w:szCs w:val="28"/>
          <w:highlight w:val="none"/>
        </w:rPr>
      </w:pPr>
      <w:bookmarkStart w:id="182" w:name="_Toc23326"/>
      <w:bookmarkStart w:id="183" w:name="_Toc21871_WPSOffice_Level3"/>
      <w:bookmarkStart w:id="184" w:name="_Toc521098385"/>
      <w:bookmarkStart w:id="185" w:name="_Toc532073366"/>
      <w:bookmarkStart w:id="186" w:name="_Toc12979"/>
      <w:r>
        <w:rPr>
          <w:rFonts w:hint="eastAsia" w:ascii="宋体" w:hAnsi="宋体" w:cs="宋体"/>
          <w:b/>
          <w:sz w:val="28"/>
          <w:szCs w:val="28"/>
          <w:highlight w:val="none"/>
        </w:rPr>
        <w:t>1</w:t>
      </w:r>
      <w:r>
        <w:rPr>
          <w:rFonts w:ascii="宋体" w:hAnsi="宋体" w:cs="宋体"/>
          <w:b/>
          <w:sz w:val="28"/>
          <w:szCs w:val="28"/>
          <w:highlight w:val="none"/>
        </w:rPr>
        <w:t>.10</w:t>
      </w:r>
      <w:r>
        <w:rPr>
          <w:rFonts w:hint="eastAsia" w:ascii="宋体" w:hAnsi="宋体" w:cs="宋体"/>
          <w:b/>
          <w:sz w:val="28"/>
          <w:szCs w:val="28"/>
          <w:highlight w:val="none"/>
        </w:rPr>
        <w:t>.5供电系统</w:t>
      </w:r>
      <w:bookmarkEnd w:id="182"/>
      <w:bookmarkEnd w:id="183"/>
      <w:bookmarkEnd w:id="184"/>
      <w:bookmarkEnd w:id="185"/>
      <w:bookmarkEnd w:id="186"/>
    </w:p>
    <w:p>
      <w:pPr>
        <w:ind w:firstLine="280" w:firstLineChars="100"/>
        <w:rPr>
          <w:rFonts w:ascii="宋体" w:hAnsi="宋体" w:cs="宋体"/>
          <w:sz w:val="28"/>
          <w:szCs w:val="28"/>
          <w:highlight w:val="none"/>
        </w:rPr>
      </w:pPr>
      <w:bookmarkStart w:id="187" w:name="_Toc26076"/>
      <w:bookmarkStart w:id="188" w:name="_Toc521098386"/>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.5.1设计依据</w:t>
      </w:r>
      <w:bookmarkEnd w:id="187"/>
      <w:bookmarkEnd w:id="188"/>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（1）《供配电系统设计规范》GB 50052-2016；</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（2）《低压配电设计规范》GB 50054-2019；</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（3）《通用用电设备配电设计规范》GB 50055-2011；</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（4）《建筑物防雷设计规范》GB 50057-2019；</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（5）《建筑照明设计标准》GB 50034-2019；</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（6）《火灾自动报警系统设计规范》GB 50116-2019；</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（7）《民用建筑电气设计规范》JGJ/T16-2019；</w:t>
      </w:r>
    </w:p>
    <w:p>
      <w:pPr>
        <w:ind w:firstLine="280" w:firstLineChars="100"/>
        <w:rPr>
          <w:rFonts w:ascii="宋体" w:hAnsi="宋体" w:cs="宋体"/>
          <w:sz w:val="28"/>
          <w:szCs w:val="28"/>
          <w:highlight w:val="none"/>
        </w:rPr>
      </w:pPr>
      <w:bookmarkStart w:id="189" w:name="_Toc1185"/>
      <w:bookmarkStart w:id="190" w:name="_Toc521098387"/>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.5.2主要技术要求</w:t>
      </w:r>
      <w:bookmarkEnd w:id="189"/>
      <w:bookmarkEnd w:id="190"/>
    </w:p>
    <w:p>
      <w:pPr>
        <w:spacing w:line="360" w:lineRule="auto"/>
        <w:ind w:firstLine="198" w:firstLineChars="71"/>
        <w:rPr>
          <w:rFonts w:ascii="宋体" w:hAnsi="宋体" w:cs="宋体"/>
          <w:sz w:val="28"/>
          <w:szCs w:val="28"/>
          <w:highlight w:val="none"/>
        </w:rPr>
      </w:pPr>
      <w:r>
        <w:rPr>
          <w:rFonts w:hint="eastAsia" w:ascii="宋体" w:hAnsi="宋体" w:cs="宋体"/>
          <w:sz w:val="28"/>
          <w:szCs w:val="28"/>
          <w:highlight w:val="none"/>
        </w:rPr>
        <w:t>（1）总电力接入配置要求： 供电及系统接地</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项目由附近电网向微型站房提供一路不小于3KVA的单相电源，供电电压220V，用电符合等级为三级，用电量为8kw。系统采用专用接地点和联合接地体连接，接地电阻≤4Ω。系统配置2KVA稳压电源给控制单元和分析单元供电。350VA UPS电源给控制系统供电。</w:t>
      </w:r>
    </w:p>
    <w:p>
      <w:pPr>
        <w:spacing w:line="440" w:lineRule="exact"/>
        <w:ind w:firstLine="2380" w:firstLineChars="850"/>
        <w:rPr>
          <w:rFonts w:ascii="宋体" w:hAnsi="宋体" w:cs="宋体"/>
          <w:sz w:val="28"/>
          <w:szCs w:val="28"/>
          <w:highlight w:val="none"/>
        </w:rPr>
      </w:pPr>
      <w:r>
        <w:rPr>
          <w:rFonts w:hint="eastAsia" w:ascii="宋体" w:hAnsi="宋体" w:cs="宋体"/>
          <w:sz w:val="28"/>
          <w:szCs w:val="28"/>
          <w:highlight w:val="none"/>
        </w:rPr>
        <w:t>集成监测站房设置系统配电箱</w:t>
      </w:r>
      <w:r>
        <w:rPr>
          <w:highlight w:val="none"/>
        </w:rPr>
        <w:drawing>
          <wp:anchor distT="0" distB="0" distL="114300" distR="114300" simplePos="0" relativeHeight="251660288" behindDoc="0" locked="0" layoutInCell="1" allowOverlap="1">
            <wp:simplePos x="0" y="0"/>
            <wp:positionH relativeFrom="column">
              <wp:posOffset>1774825</wp:posOffset>
            </wp:positionH>
            <wp:positionV relativeFrom="paragraph">
              <wp:posOffset>483235</wp:posOffset>
            </wp:positionV>
            <wp:extent cx="2015490" cy="2724785"/>
            <wp:effectExtent l="0" t="0" r="0" b="0"/>
            <wp:wrapTopAndBottom/>
            <wp:docPr id="68" name="图片 3" descr="配电箱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 descr="配电箱hz"/>
                    <pic:cNvPicPr>
                      <a:picLocks noChangeAspect="1" noChangeArrowheads="1"/>
                    </pic:cNvPicPr>
                  </pic:nvPicPr>
                  <pic:blipFill>
                    <a:blip r:embed="rId17" cstate="print">
                      <a:extLst>
                        <a:ext uri="{28A0092B-C50C-407E-A947-70E740481C1C}">
                          <a14:useLocalDpi xmlns:a14="http://schemas.microsoft.com/office/drawing/2010/main" val="0"/>
                        </a:ext>
                      </a:extLst>
                    </a:blip>
                    <a:srcRect l="41306" t="36928" r="46176" b="27390"/>
                    <a:stretch>
                      <a:fillRect/>
                    </a:stretch>
                  </pic:blipFill>
                  <pic:spPr>
                    <a:xfrm>
                      <a:off x="0" y="0"/>
                      <a:ext cx="2015490" cy="2724785"/>
                    </a:xfrm>
                    <a:prstGeom prst="rect">
                      <a:avLst/>
                    </a:prstGeom>
                    <a:noFill/>
                    <a:ln>
                      <a:noFill/>
                    </a:ln>
                  </pic:spPr>
                </pic:pic>
              </a:graphicData>
            </a:graphic>
          </wp:anchor>
        </w:drawing>
      </w:r>
      <w:r>
        <w:rPr>
          <w:rFonts w:hint="eastAsia" w:ascii="宋体" w:hAnsi="宋体" w:cs="宋体"/>
          <w:sz w:val="28"/>
          <w:szCs w:val="28"/>
          <w:highlight w:val="none"/>
        </w:rPr>
        <w:t xml:space="preserve"> </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在集成站房内部为水质自动监测系统配置专用动力配电箱，包括总进电开关、三相电表、照明配电开关、空调配电开关、插座配电开关等。总配电开关不小于100A，系统接入预留开关位63A，其他开关根据实际需要配设。</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站房建设基础需预埋设接地网络，保证集成站房和仪器设备地良好接地，并在仪器室内预留接地端子。</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微型站房内电路铺设按照常规的办公场地电路铺设，包括照明、空调、排气扇、插座、开关等的布设，插座的布设要考虑到办公设备的供电、试验台设备的供电和临时取电等。</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室内预埋设好电话和宽带网络信号电缆，主要位置为控制柜位置。</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配电箱硬件配置表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488"/>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rPr>
                <w:rFonts w:ascii="宋体" w:hAnsi="宋体" w:cs="宋体"/>
                <w:sz w:val="24"/>
                <w:highlight w:val="none"/>
              </w:rPr>
            </w:pPr>
            <w:r>
              <w:rPr>
                <w:rFonts w:hint="eastAsia" w:ascii="宋体" w:hAnsi="宋体" w:cs="宋体"/>
                <w:sz w:val="24"/>
                <w:highlight w:val="none"/>
              </w:rPr>
              <w:t>序号</w:t>
            </w:r>
          </w:p>
        </w:tc>
        <w:tc>
          <w:tcPr>
            <w:tcW w:w="1620" w:type="dxa"/>
            <w:vAlign w:val="center"/>
          </w:tcPr>
          <w:p>
            <w:pPr>
              <w:spacing w:line="440" w:lineRule="exact"/>
              <w:rPr>
                <w:rFonts w:ascii="宋体" w:hAnsi="宋体" w:cs="宋体"/>
                <w:sz w:val="24"/>
                <w:highlight w:val="none"/>
              </w:rPr>
            </w:pPr>
            <w:r>
              <w:rPr>
                <w:rFonts w:hint="eastAsia" w:ascii="宋体" w:hAnsi="宋体" w:cs="宋体"/>
                <w:sz w:val="24"/>
                <w:highlight w:val="none"/>
              </w:rPr>
              <w:t>名称</w:t>
            </w:r>
          </w:p>
        </w:tc>
        <w:tc>
          <w:tcPr>
            <w:tcW w:w="1488" w:type="dxa"/>
            <w:vAlign w:val="center"/>
          </w:tcPr>
          <w:p>
            <w:pPr>
              <w:spacing w:line="440" w:lineRule="exact"/>
              <w:rPr>
                <w:rFonts w:ascii="宋体" w:hAnsi="宋体" w:cs="宋体"/>
                <w:sz w:val="24"/>
                <w:highlight w:val="none"/>
              </w:rPr>
            </w:pPr>
            <w:r>
              <w:rPr>
                <w:rFonts w:hint="eastAsia" w:ascii="宋体" w:hAnsi="宋体" w:cs="宋体"/>
                <w:sz w:val="24"/>
                <w:highlight w:val="none"/>
              </w:rPr>
              <w:t>型号</w:t>
            </w:r>
          </w:p>
        </w:tc>
        <w:tc>
          <w:tcPr>
            <w:tcW w:w="708" w:type="dxa"/>
            <w:vAlign w:val="center"/>
          </w:tcPr>
          <w:p>
            <w:pPr>
              <w:spacing w:line="440" w:lineRule="exact"/>
              <w:rPr>
                <w:rFonts w:ascii="宋体" w:hAnsi="宋体" w:cs="宋体"/>
                <w:sz w:val="24"/>
                <w:highlight w:val="none"/>
              </w:rPr>
            </w:pPr>
            <w:r>
              <w:rPr>
                <w:rFonts w:hint="eastAsia" w:ascii="宋体" w:hAnsi="宋体" w:cs="宋体"/>
                <w:sz w:val="24"/>
                <w:highlight w:val="none"/>
              </w:rPr>
              <w:t>数量</w:t>
            </w:r>
          </w:p>
        </w:tc>
        <w:tc>
          <w:tcPr>
            <w:tcW w:w="1843" w:type="dxa"/>
            <w:vAlign w:val="center"/>
          </w:tcPr>
          <w:p>
            <w:pPr>
              <w:spacing w:line="440" w:lineRule="exact"/>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rPr>
                <w:rFonts w:ascii="宋体" w:hAnsi="宋体" w:cs="宋体"/>
                <w:sz w:val="24"/>
                <w:highlight w:val="none"/>
              </w:rPr>
            </w:pPr>
            <w:r>
              <w:rPr>
                <w:rFonts w:hint="eastAsia" w:ascii="宋体" w:hAnsi="宋体" w:cs="宋体"/>
                <w:sz w:val="24"/>
                <w:highlight w:val="none"/>
              </w:rPr>
              <w:t>1</w:t>
            </w:r>
          </w:p>
        </w:tc>
        <w:tc>
          <w:tcPr>
            <w:tcW w:w="1620" w:type="dxa"/>
            <w:vAlign w:val="center"/>
          </w:tcPr>
          <w:p>
            <w:pPr>
              <w:spacing w:line="440" w:lineRule="exact"/>
              <w:rPr>
                <w:rFonts w:ascii="宋体" w:hAnsi="宋体" w:cs="宋体"/>
                <w:sz w:val="24"/>
                <w:highlight w:val="none"/>
              </w:rPr>
            </w:pPr>
            <w:r>
              <w:rPr>
                <w:rFonts w:hint="eastAsia" w:ascii="宋体" w:hAnsi="宋体" w:cs="宋体"/>
                <w:sz w:val="24"/>
                <w:highlight w:val="none"/>
              </w:rPr>
              <w:t>漏电断路器</w:t>
            </w:r>
          </w:p>
        </w:tc>
        <w:tc>
          <w:tcPr>
            <w:tcW w:w="1488" w:type="dxa"/>
            <w:vAlign w:val="center"/>
          </w:tcPr>
          <w:p>
            <w:pPr>
              <w:spacing w:line="440" w:lineRule="exact"/>
              <w:rPr>
                <w:rFonts w:ascii="宋体" w:hAnsi="宋体" w:cs="宋体"/>
                <w:sz w:val="24"/>
                <w:highlight w:val="none"/>
              </w:rPr>
            </w:pPr>
            <w:r>
              <w:rPr>
                <w:rFonts w:hint="eastAsia" w:ascii="宋体" w:hAnsi="宋体" w:cs="宋体"/>
                <w:sz w:val="24"/>
                <w:highlight w:val="none"/>
              </w:rPr>
              <w:t>100A/220V</w:t>
            </w:r>
          </w:p>
        </w:tc>
        <w:tc>
          <w:tcPr>
            <w:tcW w:w="708" w:type="dxa"/>
            <w:vAlign w:val="center"/>
          </w:tcPr>
          <w:p>
            <w:pPr>
              <w:spacing w:line="440" w:lineRule="exact"/>
              <w:rPr>
                <w:rFonts w:ascii="宋体" w:hAnsi="宋体" w:cs="宋体"/>
                <w:sz w:val="24"/>
                <w:highlight w:val="none"/>
              </w:rPr>
            </w:pPr>
            <w:r>
              <w:rPr>
                <w:rFonts w:hint="eastAsia" w:ascii="宋体" w:hAnsi="宋体" w:cs="宋体"/>
                <w:sz w:val="24"/>
                <w:highlight w:val="none"/>
              </w:rPr>
              <w:t>1</w:t>
            </w:r>
          </w:p>
        </w:tc>
        <w:tc>
          <w:tcPr>
            <w:tcW w:w="1843" w:type="dxa"/>
            <w:vAlign w:val="center"/>
          </w:tcPr>
          <w:p>
            <w:pPr>
              <w:spacing w:line="440" w:lineRule="exact"/>
              <w:rPr>
                <w:rFonts w:ascii="宋体" w:hAnsi="宋体" w:cs="宋体"/>
                <w:sz w:val="24"/>
                <w:highlight w:val="none"/>
              </w:rPr>
            </w:pPr>
            <w:r>
              <w:rPr>
                <w:rFonts w:hint="eastAsia" w:ascii="宋体" w:hAnsi="宋体" w:cs="宋体"/>
                <w:sz w:val="24"/>
                <w:highlight w:val="none"/>
              </w:rPr>
              <w:t>站房总电源开关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rPr>
                <w:rFonts w:ascii="宋体" w:hAnsi="宋体" w:cs="宋体"/>
                <w:sz w:val="24"/>
                <w:highlight w:val="none"/>
              </w:rPr>
            </w:pPr>
            <w:r>
              <w:rPr>
                <w:rFonts w:hint="eastAsia" w:ascii="宋体" w:hAnsi="宋体" w:cs="宋体"/>
                <w:sz w:val="24"/>
                <w:highlight w:val="none"/>
              </w:rPr>
              <w:t>2</w:t>
            </w:r>
          </w:p>
        </w:tc>
        <w:tc>
          <w:tcPr>
            <w:tcW w:w="1620" w:type="dxa"/>
            <w:vAlign w:val="center"/>
          </w:tcPr>
          <w:p>
            <w:pPr>
              <w:spacing w:line="440" w:lineRule="exact"/>
              <w:rPr>
                <w:rFonts w:ascii="宋体" w:hAnsi="宋体" w:cs="宋体"/>
                <w:sz w:val="24"/>
                <w:highlight w:val="none"/>
              </w:rPr>
            </w:pPr>
            <w:r>
              <w:rPr>
                <w:rFonts w:hint="eastAsia" w:ascii="宋体" w:hAnsi="宋体" w:cs="宋体"/>
                <w:sz w:val="24"/>
                <w:highlight w:val="none"/>
              </w:rPr>
              <w:t>漏电断路器</w:t>
            </w:r>
          </w:p>
        </w:tc>
        <w:tc>
          <w:tcPr>
            <w:tcW w:w="1488" w:type="dxa"/>
            <w:vAlign w:val="center"/>
          </w:tcPr>
          <w:p>
            <w:pPr>
              <w:spacing w:line="440" w:lineRule="exact"/>
              <w:rPr>
                <w:rFonts w:ascii="宋体" w:hAnsi="宋体" w:cs="宋体"/>
                <w:sz w:val="24"/>
                <w:highlight w:val="none"/>
              </w:rPr>
            </w:pPr>
            <w:r>
              <w:rPr>
                <w:rFonts w:hint="eastAsia" w:ascii="宋体" w:hAnsi="宋体" w:cs="宋体"/>
                <w:sz w:val="24"/>
                <w:highlight w:val="none"/>
              </w:rPr>
              <w:t>4P 63A D型</w:t>
            </w:r>
          </w:p>
        </w:tc>
        <w:tc>
          <w:tcPr>
            <w:tcW w:w="708" w:type="dxa"/>
            <w:vAlign w:val="center"/>
          </w:tcPr>
          <w:p>
            <w:pPr>
              <w:spacing w:line="440" w:lineRule="exact"/>
              <w:rPr>
                <w:rFonts w:ascii="宋体" w:hAnsi="宋体" w:cs="宋体"/>
                <w:sz w:val="24"/>
                <w:highlight w:val="none"/>
              </w:rPr>
            </w:pPr>
            <w:r>
              <w:rPr>
                <w:rFonts w:hint="eastAsia" w:ascii="宋体" w:hAnsi="宋体" w:cs="宋体"/>
                <w:sz w:val="24"/>
                <w:highlight w:val="none"/>
              </w:rPr>
              <w:t>1</w:t>
            </w:r>
          </w:p>
        </w:tc>
        <w:tc>
          <w:tcPr>
            <w:tcW w:w="1843" w:type="dxa"/>
            <w:vAlign w:val="center"/>
          </w:tcPr>
          <w:p>
            <w:pPr>
              <w:spacing w:line="440" w:lineRule="exact"/>
              <w:rPr>
                <w:rFonts w:ascii="宋体" w:hAnsi="宋体" w:cs="宋体"/>
                <w:sz w:val="24"/>
                <w:highlight w:val="none"/>
              </w:rPr>
            </w:pPr>
            <w:r>
              <w:rPr>
                <w:rFonts w:hint="eastAsia" w:ascii="宋体" w:hAnsi="宋体" w:cs="宋体"/>
                <w:sz w:val="24"/>
                <w:highlight w:val="none"/>
              </w:rPr>
              <w:t>自动监测系统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rPr>
                <w:rFonts w:ascii="宋体" w:hAnsi="宋体" w:cs="宋体"/>
                <w:sz w:val="24"/>
                <w:highlight w:val="none"/>
              </w:rPr>
            </w:pPr>
            <w:r>
              <w:rPr>
                <w:rFonts w:hint="eastAsia" w:ascii="宋体" w:hAnsi="宋体" w:cs="宋体"/>
                <w:sz w:val="24"/>
                <w:highlight w:val="none"/>
              </w:rPr>
              <w:t>3</w:t>
            </w:r>
          </w:p>
        </w:tc>
        <w:tc>
          <w:tcPr>
            <w:tcW w:w="1620" w:type="dxa"/>
            <w:vAlign w:val="center"/>
          </w:tcPr>
          <w:p>
            <w:pPr>
              <w:spacing w:line="440" w:lineRule="exact"/>
              <w:rPr>
                <w:rFonts w:ascii="宋体" w:hAnsi="宋体" w:cs="宋体"/>
                <w:sz w:val="24"/>
                <w:highlight w:val="none"/>
              </w:rPr>
            </w:pPr>
            <w:r>
              <w:rPr>
                <w:rFonts w:hint="eastAsia" w:ascii="宋体" w:hAnsi="宋体" w:cs="宋体"/>
                <w:sz w:val="24"/>
                <w:highlight w:val="none"/>
              </w:rPr>
              <w:t>空气开关</w:t>
            </w:r>
          </w:p>
        </w:tc>
        <w:tc>
          <w:tcPr>
            <w:tcW w:w="1488" w:type="dxa"/>
            <w:vAlign w:val="center"/>
          </w:tcPr>
          <w:p>
            <w:pPr>
              <w:spacing w:line="440" w:lineRule="exact"/>
              <w:rPr>
                <w:rFonts w:ascii="宋体" w:hAnsi="宋体" w:cs="宋体"/>
                <w:sz w:val="24"/>
                <w:highlight w:val="none"/>
              </w:rPr>
            </w:pPr>
            <w:r>
              <w:rPr>
                <w:rFonts w:hint="eastAsia" w:ascii="宋体" w:hAnsi="宋体" w:cs="宋体"/>
                <w:sz w:val="24"/>
                <w:highlight w:val="none"/>
              </w:rPr>
              <w:t>4P 32A D型</w:t>
            </w:r>
          </w:p>
        </w:tc>
        <w:tc>
          <w:tcPr>
            <w:tcW w:w="708" w:type="dxa"/>
            <w:vAlign w:val="center"/>
          </w:tcPr>
          <w:p>
            <w:pPr>
              <w:spacing w:line="440" w:lineRule="exact"/>
              <w:rPr>
                <w:rFonts w:ascii="宋体" w:hAnsi="宋体" w:cs="宋体"/>
                <w:sz w:val="24"/>
                <w:highlight w:val="none"/>
              </w:rPr>
            </w:pPr>
            <w:r>
              <w:rPr>
                <w:rFonts w:hint="eastAsia" w:ascii="宋体" w:hAnsi="宋体" w:cs="宋体"/>
                <w:sz w:val="24"/>
                <w:highlight w:val="none"/>
              </w:rPr>
              <w:t>1</w:t>
            </w:r>
          </w:p>
        </w:tc>
        <w:tc>
          <w:tcPr>
            <w:tcW w:w="1843" w:type="dxa"/>
            <w:vAlign w:val="center"/>
          </w:tcPr>
          <w:p>
            <w:pPr>
              <w:spacing w:line="440" w:lineRule="exact"/>
              <w:rPr>
                <w:rFonts w:ascii="宋体" w:hAnsi="宋体" w:cs="宋体"/>
                <w:sz w:val="24"/>
                <w:highlight w:val="none"/>
              </w:rPr>
            </w:pPr>
            <w:r>
              <w:rPr>
                <w:rFonts w:hint="eastAsia" w:ascii="宋体" w:hAnsi="宋体" w:cs="宋体"/>
                <w:sz w:val="24"/>
                <w:highlight w:val="none"/>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rPr>
                <w:rFonts w:ascii="宋体" w:hAnsi="宋体" w:cs="宋体"/>
                <w:sz w:val="24"/>
                <w:highlight w:val="none"/>
              </w:rPr>
            </w:pPr>
            <w:r>
              <w:rPr>
                <w:rFonts w:hint="eastAsia" w:ascii="宋体" w:hAnsi="宋体" w:cs="宋体"/>
                <w:sz w:val="24"/>
                <w:highlight w:val="none"/>
              </w:rPr>
              <w:t>4</w:t>
            </w:r>
          </w:p>
        </w:tc>
        <w:tc>
          <w:tcPr>
            <w:tcW w:w="1620" w:type="dxa"/>
            <w:vAlign w:val="center"/>
          </w:tcPr>
          <w:p>
            <w:pPr>
              <w:spacing w:line="440" w:lineRule="exact"/>
              <w:rPr>
                <w:rFonts w:ascii="宋体" w:hAnsi="宋体" w:cs="宋体"/>
                <w:sz w:val="24"/>
                <w:highlight w:val="none"/>
              </w:rPr>
            </w:pPr>
            <w:r>
              <w:rPr>
                <w:rFonts w:hint="eastAsia" w:ascii="宋体" w:hAnsi="宋体" w:cs="宋体"/>
                <w:sz w:val="24"/>
                <w:highlight w:val="none"/>
              </w:rPr>
              <w:t>空气开关</w:t>
            </w:r>
          </w:p>
        </w:tc>
        <w:tc>
          <w:tcPr>
            <w:tcW w:w="1488" w:type="dxa"/>
            <w:vAlign w:val="center"/>
          </w:tcPr>
          <w:p>
            <w:pPr>
              <w:spacing w:line="440" w:lineRule="exact"/>
              <w:rPr>
                <w:rFonts w:ascii="宋体" w:hAnsi="宋体" w:cs="宋体"/>
                <w:sz w:val="24"/>
                <w:highlight w:val="none"/>
              </w:rPr>
            </w:pPr>
            <w:r>
              <w:rPr>
                <w:rFonts w:hint="eastAsia" w:ascii="宋体" w:hAnsi="宋体" w:cs="宋体"/>
                <w:sz w:val="24"/>
                <w:highlight w:val="none"/>
              </w:rPr>
              <w:t>2P 16A C型</w:t>
            </w:r>
          </w:p>
        </w:tc>
        <w:tc>
          <w:tcPr>
            <w:tcW w:w="708" w:type="dxa"/>
            <w:vAlign w:val="center"/>
          </w:tcPr>
          <w:p>
            <w:pPr>
              <w:spacing w:line="440" w:lineRule="exact"/>
              <w:rPr>
                <w:rFonts w:ascii="宋体" w:hAnsi="宋体" w:cs="宋体"/>
                <w:sz w:val="24"/>
                <w:highlight w:val="none"/>
              </w:rPr>
            </w:pPr>
            <w:r>
              <w:rPr>
                <w:rFonts w:hint="eastAsia" w:ascii="宋体" w:hAnsi="宋体" w:cs="宋体"/>
                <w:sz w:val="24"/>
                <w:highlight w:val="none"/>
              </w:rPr>
              <w:t>2</w:t>
            </w:r>
          </w:p>
        </w:tc>
        <w:tc>
          <w:tcPr>
            <w:tcW w:w="1843" w:type="dxa"/>
            <w:vAlign w:val="center"/>
          </w:tcPr>
          <w:p>
            <w:pPr>
              <w:spacing w:line="440" w:lineRule="exact"/>
              <w:rPr>
                <w:rFonts w:ascii="宋体" w:hAnsi="宋体" w:cs="宋体"/>
                <w:sz w:val="24"/>
                <w:highlight w:val="none"/>
              </w:rPr>
            </w:pPr>
            <w:r>
              <w:rPr>
                <w:rFonts w:hint="eastAsia" w:ascii="宋体" w:hAnsi="宋体" w:cs="宋体"/>
                <w:sz w:val="24"/>
                <w:highlight w:val="none"/>
              </w:rPr>
              <w:t>照明及插座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440" w:lineRule="exact"/>
              <w:rPr>
                <w:rFonts w:ascii="宋体" w:hAnsi="宋体" w:cs="宋体"/>
                <w:sz w:val="24"/>
                <w:highlight w:val="none"/>
              </w:rPr>
            </w:pPr>
            <w:r>
              <w:rPr>
                <w:rFonts w:hint="eastAsia" w:ascii="宋体" w:hAnsi="宋体" w:cs="宋体"/>
                <w:sz w:val="24"/>
                <w:highlight w:val="none"/>
              </w:rPr>
              <w:t>5</w:t>
            </w:r>
          </w:p>
        </w:tc>
        <w:tc>
          <w:tcPr>
            <w:tcW w:w="1620" w:type="dxa"/>
            <w:vAlign w:val="center"/>
          </w:tcPr>
          <w:p>
            <w:pPr>
              <w:spacing w:line="440" w:lineRule="exact"/>
              <w:rPr>
                <w:rFonts w:ascii="宋体" w:hAnsi="宋体" w:cs="宋体"/>
                <w:sz w:val="24"/>
                <w:highlight w:val="none"/>
              </w:rPr>
            </w:pPr>
            <w:r>
              <w:rPr>
                <w:rFonts w:hint="eastAsia" w:ascii="宋体" w:hAnsi="宋体" w:cs="宋体"/>
                <w:sz w:val="24"/>
                <w:highlight w:val="none"/>
              </w:rPr>
              <w:t>空气开关</w:t>
            </w:r>
          </w:p>
        </w:tc>
        <w:tc>
          <w:tcPr>
            <w:tcW w:w="1488" w:type="dxa"/>
            <w:vAlign w:val="center"/>
          </w:tcPr>
          <w:p>
            <w:pPr>
              <w:spacing w:line="440" w:lineRule="exact"/>
              <w:rPr>
                <w:rFonts w:ascii="宋体" w:hAnsi="宋体" w:cs="宋体"/>
                <w:sz w:val="24"/>
                <w:highlight w:val="none"/>
              </w:rPr>
            </w:pPr>
            <w:r>
              <w:rPr>
                <w:rFonts w:hint="eastAsia" w:ascii="宋体" w:hAnsi="宋体" w:cs="宋体"/>
                <w:sz w:val="24"/>
                <w:highlight w:val="none"/>
              </w:rPr>
              <w:t>2P 16A D型</w:t>
            </w:r>
          </w:p>
        </w:tc>
        <w:tc>
          <w:tcPr>
            <w:tcW w:w="708" w:type="dxa"/>
            <w:vAlign w:val="center"/>
          </w:tcPr>
          <w:p>
            <w:pPr>
              <w:spacing w:line="440" w:lineRule="exact"/>
              <w:rPr>
                <w:rFonts w:ascii="宋体" w:hAnsi="宋体" w:cs="宋体"/>
                <w:sz w:val="24"/>
                <w:highlight w:val="none"/>
              </w:rPr>
            </w:pPr>
            <w:r>
              <w:rPr>
                <w:rFonts w:hint="eastAsia" w:ascii="宋体" w:hAnsi="宋体" w:cs="宋体"/>
                <w:sz w:val="24"/>
                <w:highlight w:val="none"/>
              </w:rPr>
              <w:t>1</w:t>
            </w:r>
          </w:p>
        </w:tc>
        <w:tc>
          <w:tcPr>
            <w:tcW w:w="1843" w:type="dxa"/>
            <w:vAlign w:val="center"/>
          </w:tcPr>
          <w:p>
            <w:pPr>
              <w:spacing w:line="440" w:lineRule="exact"/>
              <w:rPr>
                <w:rFonts w:ascii="宋体" w:hAnsi="宋体" w:cs="宋体"/>
                <w:sz w:val="24"/>
                <w:highlight w:val="none"/>
              </w:rPr>
            </w:pPr>
            <w:r>
              <w:rPr>
                <w:rFonts w:hint="eastAsia" w:ascii="宋体" w:hAnsi="宋体" w:cs="宋体"/>
                <w:sz w:val="24"/>
                <w:highlight w:val="none"/>
              </w:rPr>
              <w:t>空调</w:t>
            </w:r>
          </w:p>
        </w:tc>
      </w:tr>
    </w:tbl>
    <w:p>
      <w:pPr>
        <w:spacing w:line="440" w:lineRule="exact"/>
        <w:rPr>
          <w:rFonts w:ascii="宋体" w:hAnsi="宋体" w:cs="宋体"/>
          <w:sz w:val="28"/>
          <w:szCs w:val="28"/>
          <w:highlight w:val="none"/>
        </w:rPr>
      </w:pPr>
    </w:p>
    <w:p>
      <w:pPr>
        <w:ind w:firstLine="281" w:firstLineChars="100"/>
        <w:rPr>
          <w:rFonts w:ascii="宋体" w:hAnsi="宋体" w:cs="宋体"/>
          <w:b/>
          <w:sz w:val="28"/>
          <w:szCs w:val="28"/>
          <w:highlight w:val="none"/>
        </w:rPr>
      </w:pPr>
      <w:bookmarkStart w:id="191" w:name="_Toc532073367"/>
      <w:bookmarkStart w:id="192" w:name="_Toc25984"/>
      <w:bookmarkStart w:id="193" w:name="_Toc521098388"/>
      <w:bookmarkStart w:id="194" w:name="_Toc5168_WPSOffice_Level3"/>
      <w:bookmarkStart w:id="195" w:name="_Toc14946"/>
      <w:r>
        <w:rPr>
          <w:rFonts w:hint="eastAsia" w:ascii="宋体" w:hAnsi="宋体" w:cs="宋体"/>
          <w:b/>
          <w:sz w:val="28"/>
          <w:szCs w:val="28"/>
          <w:highlight w:val="none"/>
        </w:rPr>
        <w:t>1</w:t>
      </w:r>
      <w:r>
        <w:rPr>
          <w:rFonts w:ascii="宋体" w:hAnsi="宋体" w:cs="宋体"/>
          <w:b/>
          <w:sz w:val="28"/>
          <w:szCs w:val="28"/>
          <w:highlight w:val="none"/>
        </w:rPr>
        <w:t>.10</w:t>
      </w:r>
      <w:r>
        <w:rPr>
          <w:rFonts w:hint="eastAsia" w:ascii="宋体" w:hAnsi="宋体" w:cs="宋体"/>
          <w:b/>
          <w:sz w:val="28"/>
          <w:szCs w:val="28"/>
          <w:highlight w:val="none"/>
        </w:rPr>
        <w:t>.6防雷与接地</w:t>
      </w:r>
      <w:bookmarkEnd w:id="191"/>
      <w:bookmarkEnd w:id="192"/>
      <w:bookmarkEnd w:id="193"/>
      <w:bookmarkEnd w:id="194"/>
      <w:bookmarkEnd w:id="195"/>
    </w:p>
    <w:p>
      <w:pPr>
        <w:ind w:firstLine="280" w:firstLineChars="100"/>
        <w:rPr>
          <w:rFonts w:ascii="宋体" w:hAnsi="宋体" w:cs="宋体"/>
          <w:sz w:val="28"/>
          <w:szCs w:val="28"/>
          <w:highlight w:val="none"/>
        </w:rPr>
      </w:pPr>
      <w:bookmarkStart w:id="196" w:name="_Toc6538"/>
      <w:bookmarkStart w:id="197" w:name="_Toc521098390"/>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.6.1设计标准、规范</w:t>
      </w:r>
      <w:bookmarkEnd w:id="196"/>
      <w:bookmarkEnd w:id="197"/>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（GB50057-2019年版）《建筑物防雷设计规范》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（GB50343-2004）《建筑物电子信息系统防雷技术规范》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（GB50169-2006）《电气装置安装工程接地装置施工及验收规范》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（GB9361-88）   《计算机站场地安全要求》</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（GB50054-2019）  《低压配电设计规范》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（YD5098-2005） 《通信局（站）防雷与接地工程设计规范》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（YDJ26-89）    《通信局（站）接地设计规范》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（YD.T 1235.1 ）《通信局（站）低压配电系统用电涌保护器技术要求》</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（GA173-1998）  《计算机信息系统防雷保护器》</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（GA267-2000）  《计算机信息系统雷电电磁脉冲安全防护规范》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（DL/T621-1997）《交流电器装置的接地》</w:t>
      </w:r>
    </w:p>
    <w:p>
      <w:pPr>
        <w:ind w:firstLine="280" w:firstLineChars="100"/>
        <w:rPr>
          <w:rFonts w:ascii="宋体" w:hAnsi="宋体" w:cs="宋体"/>
          <w:sz w:val="28"/>
          <w:szCs w:val="28"/>
          <w:highlight w:val="none"/>
        </w:rPr>
      </w:pPr>
      <w:bookmarkStart w:id="198" w:name="_Toc521098391"/>
      <w:bookmarkStart w:id="199" w:name="_Toc3816"/>
      <w:r>
        <w:rPr>
          <w:rFonts w:hint="eastAsia" w:ascii="宋体" w:hAnsi="宋体" w:cs="宋体"/>
          <w:sz w:val="28"/>
          <w:szCs w:val="28"/>
          <w:highlight w:val="none"/>
        </w:rPr>
        <w:t>1</w:t>
      </w:r>
      <w:r>
        <w:rPr>
          <w:rFonts w:ascii="宋体" w:hAnsi="宋体" w:cs="宋体"/>
          <w:sz w:val="28"/>
          <w:szCs w:val="28"/>
          <w:highlight w:val="none"/>
        </w:rPr>
        <w:t>.10</w:t>
      </w:r>
      <w:r>
        <w:rPr>
          <w:rFonts w:hint="eastAsia" w:ascii="宋体" w:hAnsi="宋体" w:cs="宋体"/>
          <w:sz w:val="28"/>
          <w:szCs w:val="28"/>
          <w:highlight w:val="none"/>
        </w:rPr>
        <w:t>.6.2主要技术要求</w:t>
      </w:r>
      <w:bookmarkEnd w:id="198"/>
      <w:bookmarkEnd w:id="199"/>
    </w:p>
    <w:p>
      <w:pPr>
        <w:spacing w:line="360" w:lineRule="auto"/>
        <w:ind w:firstLine="198" w:firstLineChars="71"/>
        <w:rPr>
          <w:rFonts w:ascii="宋体" w:hAnsi="宋体" w:cs="宋体"/>
          <w:sz w:val="28"/>
          <w:szCs w:val="28"/>
          <w:highlight w:val="none"/>
        </w:rPr>
      </w:pPr>
      <w:r>
        <w:rPr>
          <w:rFonts w:hint="eastAsia" w:ascii="宋体" w:hAnsi="宋体" w:cs="宋体"/>
          <w:sz w:val="28"/>
          <w:szCs w:val="28"/>
          <w:highlight w:val="none"/>
        </w:rPr>
        <w:t>防雷设计防雷装置有避雷器、接地线和接地装置组成：</w:t>
      </w:r>
    </w:p>
    <w:p>
      <w:pPr>
        <w:spacing w:line="360" w:lineRule="auto"/>
        <w:ind w:firstLine="198" w:firstLineChars="71"/>
        <w:jc w:val="center"/>
        <w:rPr>
          <w:rFonts w:ascii="宋体" w:hAnsi="宋体" w:cs="宋体"/>
          <w:sz w:val="28"/>
          <w:szCs w:val="28"/>
          <w:highlight w:val="none"/>
        </w:rPr>
      </w:pPr>
      <w:r>
        <w:rPr>
          <w:rFonts w:ascii="宋体" w:hAnsi="宋体" w:cs="宋体"/>
          <w:kern w:val="0"/>
          <w:sz w:val="28"/>
          <w:szCs w:val="28"/>
          <w:highlight w:val="none"/>
        </w:rPr>
        <w:drawing>
          <wp:inline distT="0" distB="0" distL="0" distR="0">
            <wp:extent cx="2819400" cy="170180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19400" cy="1701800"/>
                    </a:xfrm>
                    <a:prstGeom prst="rect">
                      <a:avLst/>
                    </a:prstGeom>
                    <a:noFill/>
                    <a:ln>
                      <a:noFill/>
                    </a:ln>
                  </pic:spPr>
                </pic:pic>
              </a:graphicData>
            </a:graphic>
          </wp:inline>
        </w:drawing>
      </w:r>
    </w:p>
    <w:p>
      <w:pPr>
        <w:spacing w:line="360" w:lineRule="auto"/>
        <w:ind w:firstLine="198" w:firstLineChars="71"/>
        <w:rPr>
          <w:rFonts w:ascii="宋体" w:hAnsi="宋体" w:cs="宋体"/>
          <w:sz w:val="28"/>
          <w:szCs w:val="28"/>
          <w:highlight w:val="none"/>
        </w:rPr>
      </w:pPr>
      <w:r>
        <w:rPr>
          <w:rFonts w:hint="eastAsia" w:ascii="宋体" w:hAnsi="宋体" w:cs="宋体"/>
          <w:sz w:val="28"/>
          <w:szCs w:val="28"/>
          <w:highlight w:val="none"/>
        </w:rPr>
        <w:t>a.</w:t>
      </w:r>
      <w:r>
        <w:rPr>
          <w:rFonts w:hint="eastAsia" w:ascii="宋体" w:hAnsi="宋体" w:cs="宋体"/>
          <w:sz w:val="28"/>
          <w:szCs w:val="28"/>
          <w:highlight w:val="none"/>
        </w:rPr>
        <w:tab/>
      </w:r>
      <w:r>
        <w:rPr>
          <w:rFonts w:hint="eastAsia" w:ascii="宋体" w:hAnsi="宋体" w:cs="宋体"/>
          <w:sz w:val="28"/>
          <w:szCs w:val="28"/>
          <w:highlight w:val="none"/>
        </w:rPr>
        <w:t>按照《建筑物电子信息系统防雷技术规范》（GB50343-2004）及附录相关要求设计，采用三级防雷；</w:t>
      </w:r>
    </w:p>
    <w:p>
      <w:pPr>
        <w:spacing w:line="360" w:lineRule="auto"/>
        <w:ind w:firstLine="198" w:firstLineChars="71"/>
        <w:rPr>
          <w:rFonts w:ascii="宋体" w:hAnsi="宋体" w:cs="宋体"/>
          <w:sz w:val="28"/>
          <w:szCs w:val="28"/>
          <w:highlight w:val="none"/>
        </w:rPr>
      </w:pPr>
      <w:r>
        <w:rPr>
          <w:rFonts w:hint="eastAsia" w:ascii="宋体" w:hAnsi="宋体" w:cs="宋体"/>
          <w:sz w:val="28"/>
          <w:szCs w:val="28"/>
          <w:highlight w:val="none"/>
        </w:rPr>
        <w:t>b.</w:t>
      </w:r>
      <w:r>
        <w:rPr>
          <w:rFonts w:hint="eastAsia" w:ascii="宋体" w:hAnsi="宋体" w:cs="宋体"/>
          <w:sz w:val="28"/>
          <w:szCs w:val="28"/>
          <w:highlight w:val="none"/>
        </w:rPr>
        <w:tab/>
      </w:r>
      <w:r>
        <w:rPr>
          <w:rFonts w:hint="eastAsia" w:ascii="宋体" w:hAnsi="宋体" w:cs="宋体"/>
          <w:sz w:val="28"/>
          <w:szCs w:val="28"/>
          <w:highlight w:val="none"/>
        </w:rPr>
        <w:t>机柜柜体设计接地地排。接地地排与接地装置之间用线带绝缘层单芯铜线连接；</w:t>
      </w:r>
    </w:p>
    <w:p>
      <w:pPr>
        <w:spacing w:line="360" w:lineRule="auto"/>
        <w:ind w:firstLine="198" w:firstLineChars="71"/>
        <w:rPr>
          <w:rFonts w:ascii="宋体" w:hAnsi="宋体" w:cs="宋体"/>
          <w:sz w:val="28"/>
          <w:szCs w:val="28"/>
          <w:highlight w:val="none"/>
        </w:rPr>
      </w:pPr>
      <w:r>
        <w:rPr>
          <w:rFonts w:hint="eastAsia" w:ascii="宋体" w:hAnsi="宋体" w:cs="宋体"/>
          <w:sz w:val="28"/>
          <w:szCs w:val="28"/>
          <w:highlight w:val="none"/>
        </w:rPr>
        <w:t>c.</w:t>
      </w:r>
      <w:r>
        <w:rPr>
          <w:rFonts w:hint="eastAsia" w:ascii="宋体" w:hAnsi="宋体" w:cs="宋体"/>
          <w:sz w:val="28"/>
          <w:szCs w:val="28"/>
          <w:highlight w:val="none"/>
        </w:rPr>
        <w:tab/>
      </w:r>
      <w:r>
        <w:rPr>
          <w:rFonts w:hint="eastAsia" w:ascii="宋体" w:hAnsi="宋体" w:cs="宋体"/>
          <w:sz w:val="28"/>
          <w:szCs w:val="28"/>
          <w:highlight w:val="none"/>
        </w:rPr>
        <w:t>垂直接地体为直径50mm、长2.5m的钢管或50×5的角钢。其根数的多少，应根据接地电阻要求而定。为了减少外界温度变化对流散电阻的影响，埋入地下的垂直接地体上端接地体距地面不应小于0.6m，长度与2.5米为宜。对于敷设在腐蚀性较强的场所的接地装置，应根据腐蚀的性质，采用热度锌等防腐措施，或适当加大截面。垂直接地体和水平接地体的间距一般不应小于5米，布置形式有封闭性、反射型、综合型。</w:t>
      </w:r>
    </w:p>
    <w:p>
      <w:pPr>
        <w:spacing w:line="360" w:lineRule="auto"/>
        <w:ind w:firstLine="198" w:firstLineChars="71"/>
        <w:rPr>
          <w:rFonts w:ascii="宋体" w:hAnsi="宋体" w:cs="宋体"/>
          <w:sz w:val="28"/>
          <w:szCs w:val="28"/>
          <w:highlight w:val="none"/>
        </w:rPr>
      </w:pPr>
      <w:r>
        <w:rPr>
          <w:rFonts w:hint="eastAsia" w:ascii="宋体" w:hAnsi="宋体" w:cs="宋体"/>
          <w:sz w:val="28"/>
          <w:szCs w:val="28"/>
          <w:highlight w:val="none"/>
        </w:rPr>
        <w:t>d.</w:t>
      </w:r>
      <w:r>
        <w:rPr>
          <w:rFonts w:hint="eastAsia" w:ascii="宋体" w:hAnsi="宋体" w:cs="宋体"/>
          <w:sz w:val="28"/>
          <w:szCs w:val="28"/>
          <w:highlight w:val="none"/>
        </w:rPr>
        <w:tab/>
      </w:r>
      <w:r>
        <w:rPr>
          <w:rFonts w:hint="eastAsia" w:ascii="宋体" w:hAnsi="宋体" w:cs="宋体"/>
          <w:sz w:val="28"/>
          <w:szCs w:val="28"/>
          <w:highlight w:val="none"/>
        </w:rPr>
        <w:t>接地连线一般用25×4mm的扁钢或8mm的圆钢制作，接地扁钢一般立放，连接时采用焊接，在制作时，要保证接地线与接地体之间有足够的接触面积。对于角钢接地体，应将接地连线弯成90度焊接两个面，对于管型接地体，应先在管子头部焊接O型卡件。扁钢应距钢管或角钢顶端100毫米。接地网连接好后，应在适当位置焊接引出线，引出线应露出地面0.5米以上，并涂以防锈漆。</w:t>
      </w:r>
    </w:p>
    <w:p>
      <w:pPr>
        <w:widowControl/>
        <w:spacing w:line="600" w:lineRule="exact"/>
        <w:jc w:val="left"/>
        <w:outlineLvl w:val="1"/>
        <w:rPr>
          <w:rFonts w:ascii="宋体" w:hAnsi="宋体" w:cs="宋体"/>
          <w:b/>
          <w:kern w:val="0"/>
          <w:sz w:val="28"/>
          <w:highlight w:val="none"/>
        </w:rPr>
      </w:pPr>
      <w:bookmarkStart w:id="200" w:name="_Toc80740106"/>
      <w:r>
        <w:rPr>
          <w:rFonts w:hint="eastAsia" w:ascii="宋体" w:hAnsi="宋体" w:cs="宋体"/>
          <w:b/>
          <w:kern w:val="0"/>
          <w:sz w:val="28"/>
          <w:highlight w:val="none"/>
        </w:rPr>
        <w:t>1.11基础设施</w:t>
      </w:r>
      <w:bookmarkEnd w:id="200"/>
    </w:p>
    <w:p>
      <w:pPr>
        <w:ind w:firstLine="281" w:firstLineChars="100"/>
        <w:rPr>
          <w:rFonts w:ascii="宋体" w:hAnsi="宋体" w:cs="宋体"/>
          <w:b/>
          <w:sz w:val="28"/>
          <w:szCs w:val="28"/>
          <w:highlight w:val="none"/>
        </w:rPr>
      </w:pPr>
      <w:r>
        <w:rPr>
          <w:rFonts w:hint="eastAsia" w:ascii="宋体" w:hAnsi="宋体" w:cs="宋体"/>
          <w:b/>
          <w:sz w:val="28"/>
          <w:szCs w:val="28"/>
          <w:highlight w:val="none"/>
        </w:rPr>
        <w:t>1.10.1 微型水站地基基础</w:t>
      </w:r>
    </w:p>
    <w:p>
      <w:pPr>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主要材质</w:t>
      </w:r>
      <w:r>
        <w:rPr>
          <w:rFonts w:ascii="宋体" w:hAnsi="宋体" w:cs="宋体"/>
          <w:sz w:val="28"/>
          <w:szCs w:val="28"/>
          <w:highlight w:val="none"/>
        </w:rPr>
        <w:t>：C25</w:t>
      </w:r>
      <w:r>
        <w:rPr>
          <w:rFonts w:hint="eastAsia" w:ascii="宋体" w:hAnsi="宋体" w:cs="宋体"/>
          <w:sz w:val="28"/>
          <w:szCs w:val="28"/>
          <w:highlight w:val="none"/>
        </w:rPr>
        <w:t>混凝土</w:t>
      </w:r>
    </w:p>
    <w:p>
      <w:pPr>
        <w:spacing w:line="440" w:lineRule="exact"/>
        <w:ind w:firstLine="560" w:firstLineChars="200"/>
        <w:rPr>
          <w:rFonts w:ascii="宋体" w:hAnsi="宋体" w:cs="宋体"/>
          <w:sz w:val="28"/>
          <w:szCs w:val="28"/>
          <w:highlight w:val="none"/>
        </w:rPr>
      </w:pPr>
      <w:r>
        <w:rPr>
          <w:rFonts w:ascii="宋体" w:hAnsi="宋体" w:cs="宋体"/>
          <w:sz w:val="28"/>
          <w:szCs w:val="28"/>
          <w:highlight w:val="none"/>
        </w:rPr>
        <w:t>外部尺寸：</w:t>
      </w:r>
      <w:r>
        <w:rPr>
          <w:rFonts w:hint="eastAsia" w:ascii="宋体" w:hAnsi="宋体" w:cs="宋体"/>
          <w:sz w:val="28"/>
          <w:szCs w:val="28"/>
          <w:highlight w:val="none"/>
        </w:rPr>
        <w:t>50</w:t>
      </w:r>
      <w:r>
        <w:rPr>
          <w:rFonts w:ascii="宋体" w:hAnsi="宋体" w:cs="宋体"/>
          <w:sz w:val="28"/>
          <w:szCs w:val="28"/>
          <w:highlight w:val="none"/>
        </w:rPr>
        <w:t>00mm×</w:t>
      </w:r>
      <w:r>
        <w:rPr>
          <w:rFonts w:hint="eastAsia" w:ascii="宋体" w:hAnsi="宋体" w:cs="宋体"/>
          <w:sz w:val="28"/>
          <w:szCs w:val="28"/>
          <w:highlight w:val="none"/>
        </w:rPr>
        <w:t>40</w:t>
      </w:r>
      <w:r>
        <w:rPr>
          <w:rFonts w:ascii="宋体" w:hAnsi="宋体" w:cs="宋体"/>
          <w:sz w:val="28"/>
          <w:szCs w:val="28"/>
          <w:highlight w:val="none"/>
        </w:rPr>
        <w:t>00mm×</w:t>
      </w:r>
      <w:r>
        <w:rPr>
          <w:rFonts w:hint="eastAsia" w:ascii="宋体" w:hAnsi="宋体" w:cs="宋体"/>
          <w:sz w:val="28"/>
          <w:szCs w:val="28"/>
          <w:highlight w:val="none"/>
        </w:rPr>
        <w:t>30</w:t>
      </w:r>
      <w:r>
        <w:rPr>
          <w:rFonts w:ascii="宋体" w:hAnsi="宋体" w:cs="宋体"/>
          <w:sz w:val="28"/>
          <w:szCs w:val="28"/>
          <w:highlight w:val="none"/>
        </w:rPr>
        <w:t>0mm（</w:t>
      </w:r>
      <w:r>
        <w:rPr>
          <w:rFonts w:hint="eastAsia" w:ascii="宋体" w:hAnsi="宋体" w:cs="宋体"/>
          <w:sz w:val="28"/>
          <w:szCs w:val="28"/>
          <w:highlight w:val="none"/>
        </w:rPr>
        <w:t>长</w:t>
      </w:r>
      <w:r>
        <w:rPr>
          <w:rFonts w:ascii="宋体" w:hAnsi="宋体" w:cs="宋体"/>
          <w:sz w:val="28"/>
          <w:szCs w:val="28"/>
          <w:highlight w:val="none"/>
        </w:rPr>
        <w:t>*</w:t>
      </w:r>
      <w:r>
        <w:rPr>
          <w:rFonts w:hint="eastAsia" w:ascii="宋体" w:hAnsi="宋体" w:cs="宋体"/>
          <w:sz w:val="28"/>
          <w:szCs w:val="28"/>
          <w:highlight w:val="none"/>
        </w:rPr>
        <w:t>宽</w:t>
      </w:r>
      <w:r>
        <w:rPr>
          <w:rFonts w:ascii="宋体" w:hAnsi="宋体" w:cs="宋体"/>
          <w:sz w:val="28"/>
          <w:szCs w:val="28"/>
          <w:highlight w:val="none"/>
        </w:rPr>
        <w:t>*</w:t>
      </w:r>
      <w:r>
        <w:rPr>
          <w:rFonts w:hint="eastAsia" w:ascii="宋体" w:hAnsi="宋体" w:cs="宋体"/>
          <w:sz w:val="28"/>
          <w:szCs w:val="28"/>
          <w:highlight w:val="none"/>
        </w:rPr>
        <w:t>厚</w:t>
      </w:r>
      <w:r>
        <w:rPr>
          <w:rFonts w:ascii="宋体" w:hAnsi="宋体" w:cs="宋体"/>
          <w:sz w:val="28"/>
          <w:szCs w:val="28"/>
          <w:highlight w:val="none"/>
        </w:rPr>
        <w:t>）</w:t>
      </w:r>
    </w:p>
    <w:p>
      <w:pPr>
        <w:ind w:firstLine="281" w:firstLineChars="100"/>
        <w:rPr>
          <w:rFonts w:ascii="宋体" w:hAnsi="宋体" w:cs="宋体"/>
          <w:b/>
          <w:sz w:val="28"/>
          <w:szCs w:val="28"/>
          <w:highlight w:val="none"/>
        </w:rPr>
      </w:pPr>
      <w:r>
        <w:rPr>
          <w:rFonts w:hint="eastAsia" w:ascii="宋体" w:hAnsi="宋体" w:cs="宋体"/>
          <w:b/>
          <w:sz w:val="28"/>
          <w:szCs w:val="28"/>
          <w:highlight w:val="none"/>
        </w:rPr>
        <w:t>1.10.2外接供电工程</w:t>
      </w:r>
    </w:p>
    <w:p>
      <w:pPr>
        <w:pStyle w:val="52"/>
        <w:spacing w:line="360" w:lineRule="auto"/>
        <w:ind w:firstLine="560" w:firstLineChars="200"/>
        <w:rPr>
          <w:rFonts w:cs="宋体"/>
          <w:kern w:val="0"/>
          <w:highlight w:val="none"/>
          <w:lang w:val="af-ZA"/>
        </w:rPr>
      </w:pPr>
      <w:r>
        <w:rPr>
          <w:rFonts w:hint="eastAsia" w:cs="宋体"/>
          <w:kern w:val="0"/>
          <w:highlight w:val="none"/>
          <w:lang w:val="af-ZA"/>
        </w:rPr>
        <w:t>供电线路长度：50米</w:t>
      </w:r>
    </w:p>
    <w:p>
      <w:pPr>
        <w:pStyle w:val="52"/>
        <w:spacing w:line="360" w:lineRule="auto"/>
        <w:ind w:firstLine="560" w:firstLineChars="200"/>
        <w:rPr>
          <w:rFonts w:hint="eastAsia" w:eastAsia="宋体" w:cs="宋体"/>
          <w:kern w:val="0"/>
          <w:highlight w:val="none"/>
          <w:lang w:val="af-ZA" w:eastAsia="zh-CN"/>
        </w:rPr>
      </w:pPr>
      <w:r>
        <w:rPr>
          <w:rFonts w:hint="eastAsia" w:cs="宋体"/>
          <w:kern w:val="0"/>
          <w:highlight w:val="none"/>
          <w:lang w:val="af-ZA"/>
        </w:rPr>
        <w:t>电源类型：</w:t>
      </w:r>
      <w:r>
        <w:rPr>
          <w:rFonts w:hint="eastAsia" w:cs="宋体"/>
          <w:kern w:val="0"/>
          <w:highlight w:val="none"/>
          <w:lang w:val="en-US" w:eastAsia="zh-CN"/>
        </w:rPr>
        <w:t>两项</w:t>
      </w:r>
    </w:p>
    <w:p>
      <w:pPr>
        <w:pStyle w:val="52"/>
        <w:spacing w:line="360" w:lineRule="auto"/>
        <w:ind w:firstLine="560" w:firstLineChars="200"/>
        <w:rPr>
          <w:rFonts w:hint="default" w:eastAsia="宋体" w:cs="宋体"/>
          <w:kern w:val="0"/>
          <w:highlight w:val="none"/>
          <w:lang w:val="en-US" w:eastAsia="zh-CN"/>
        </w:rPr>
        <w:sectPr>
          <w:footerReference r:id="rId9" w:type="first"/>
          <w:footerReference r:id="rId8" w:type="default"/>
          <w:pgSz w:w="11906" w:h="16838"/>
          <w:pgMar w:top="1440" w:right="1700" w:bottom="1440" w:left="1276" w:header="737" w:footer="992" w:gutter="0"/>
          <w:pgNumType w:fmt="numberInDash" w:start="1"/>
          <w:cols w:space="720" w:num="1"/>
          <w:titlePg/>
          <w:docGrid w:type="lines" w:linePitch="312" w:charSpace="0"/>
        </w:sectPr>
      </w:pPr>
      <w:r>
        <w:rPr>
          <w:rFonts w:hint="eastAsia" w:cs="宋体"/>
          <w:kern w:val="0"/>
          <w:highlight w:val="none"/>
          <w:lang w:val="af-ZA"/>
        </w:rPr>
        <w:t>负荷：7.5</w:t>
      </w:r>
      <w:r>
        <w:rPr>
          <w:rFonts w:cs="宋体"/>
          <w:kern w:val="0"/>
          <w:highlight w:val="none"/>
          <w:lang w:val="af-ZA"/>
        </w:rPr>
        <w:t>K</w:t>
      </w:r>
      <w:r>
        <w:rPr>
          <w:rFonts w:hint="eastAsia" w:cs="宋体"/>
          <w:kern w:val="0"/>
          <w:highlight w:val="none"/>
          <w:lang w:val="af-ZA"/>
        </w:rPr>
        <w:t>w</w:t>
      </w:r>
      <w:r>
        <w:rPr>
          <w:rFonts w:cs="宋体"/>
          <w:kern w:val="0"/>
          <w:highlight w:val="none"/>
          <w:lang w:val="af-ZA"/>
        </w:rPr>
        <w:t>/</w:t>
      </w:r>
      <w:r>
        <w:rPr>
          <w:rFonts w:hint="eastAsia" w:cs="宋体"/>
          <w:kern w:val="0"/>
          <w:highlight w:val="none"/>
          <w:lang w:val="en-US" w:eastAsia="zh-CN"/>
        </w:rPr>
        <w:t>220V</w:t>
      </w:r>
    </w:p>
    <w:p>
      <w:pPr>
        <w:widowControl/>
        <w:spacing w:line="600" w:lineRule="exact"/>
        <w:jc w:val="center"/>
        <w:outlineLvl w:val="0"/>
        <w:rPr>
          <w:rFonts w:ascii="宋体" w:hAnsi="宋体" w:cs="宋体"/>
          <w:b/>
          <w:kern w:val="0"/>
          <w:sz w:val="32"/>
          <w:szCs w:val="32"/>
          <w:highlight w:val="none"/>
        </w:rPr>
      </w:pPr>
      <w:bookmarkStart w:id="201" w:name="_Toc517301069"/>
      <w:bookmarkStart w:id="202" w:name="_Toc80740110"/>
      <w:bookmarkStart w:id="203" w:name="_Toc413008349"/>
      <w:bookmarkStart w:id="204" w:name="_Toc413001258"/>
      <w:bookmarkStart w:id="205" w:name="_Toc417989938"/>
      <w:bookmarkStart w:id="206" w:name="_Toc532073370"/>
      <w:r>
        <w:rPr>
          <w:rFonts w:hint="eastAsia" w:ascii="宋体" w:hAnsi="宋体" w:cs="宋体"/>
          <w:b/>
          <w:kern w:val="0"/>
          <w:sz w:val="32"/>
          <w:szCs w:val="32"/>
          <w:highlight w:val="none"/>
        </w:rPr>
        <w:t>第二章  工程量清单</w:t>
      </w:r>
      <w:bookmarkEnd w:id="201"/>
      <w:bookmarkEnd w:id="202"/>
      <w:bookmarkEnd w:id="203"/>
      <w:bookmarkEnd w:id="204"/>
      <w:bookmarkEnd w:id="205"/>
      <w:bookmarkEnd w:id="206"/>
    </w:p>
    <w:tbl>
      <w:tblPr>
        <w:tblStyle w:val="19"/>
        <w:tblW w:w="13906" w:type="dxa"/>
        <w:tblInd w:w="98" w:type="dxa"/>
        <w:tblLayout w:type="fixed"/>
        <w:tblCellMar>
          <w:top w:w="0" w:type="dxa"/>
          <w:left w:w="108" w:type="dxa"/>
          <w:bottom w:w="0" w:type="dxa"/>
          <w:right w:w="108" w:type="dxa"/>
        </w:tblCellMar>
      </w:tblPr>
      <w:tblGrid>
        <w:gridCol w:w="660"/>
        <w:gridCol w:w="1489"/>
        <w:gridCol w:w="6011"/>
        <w:gridCol w:w="946"/>
        <w:gridCol w:w="785"/>
        <w:gridCol w:w="1408"/>
        <w:gridCol w:w="1096"/>
        <w:gridCol w:w="1511"/>
      </w:tblGrid>
      <w:tr>
        <w:tblPrEx>
          <w:tblCellMar>
            <w:top w:w="0" w:type="dxa"/>
            <w:left w:w="108" w:type="dxa"/>
            <w:bottom w:w="0" w:type="dxa"/>
            <w:right w:w="108" w:type="dxa"/>
          </w:tblCellMar>
        </w:tblPrEx>
        <w:trPr>
          <w:trHeight w:val="28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序号</w:t>
            </w:r>
          </w:p>
        </w:tc>
        <w:tc>
          <w:tcPr>
            <w:tcW w:w="14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项目分项名称</w:t>
            </w:r>
          </w:p>
        </w:tc>
        <w:tc>
          <w:tcPr>
            <w:tcW w:w="60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详细参数/型号</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单位</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357"/>
              </w:tabs>
              <w:jc w:val="left"/>
              <w:rPr>
                <w:rFonts w:hint="eastAsia" w:ascii="宋体" w:hAnsi="宋体" w:eastAsia="宋体" w:cs="宋体"/>
                <w:color w:val="auto"/>
                <w:kern w:val="0"/>
                <w:sz w:val="18"/>
                <w:szCs w:val="18"/>
                <w:highlight w:val="none"/>
                <w:lang w:eastAsia="zh-CN"/>
              </w:rPr>
            </w:pPr>
            <w:r>
              <w:rPr>
                <w:rFonts w:hint="eastAsia" w:cs="宋体"/>
                <w:color w:val="auto"/>
                <w:kern w:val="0"/>
                <w:sz w:val="18"/>
                <w:szCs w:val="18"/>
                <w:highlight w:val="none"/>
                <w:lang w:eastAsia="zh-CN"/>
              </w:rPr>
              <w:t>数量</w:t>
            </w:r>
          </w:p>
        </w:tc>
        <w:tc>
          <w:tcPr>
            <w:tcW w:w="1408"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单位价值（元）</w:t>
            </w:r>
          </w:p>
        </w:tc>
        <w:tc>
          <w:tcPr>
            <w:tcW w:w="1096"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合价（元）</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108" w:type="dxa"/>
            <w:bottom w:w="0" w:type="dxa"/>
            <w:right w:w="108" w:type="dxa"/>
          </w:tblCellMar>
        </w:tblPrEx>
        <w:trPr>
          <w:trHeight w:val="3931"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五参数水质自动分析仪</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1、水温自动分析仪：测量范围:-5～60℃；</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分辨率：0.1℃；重复性：±0.1℃以内；</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漂移：±0.1℃以内（24h）响应时间：≤0.5min；MTBF：≥720h/次。</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2、PH自动分析仪：测量范围：0～14；分辨率/精度：0.01pH;±0.01pH；温度补偿精度：±0.1pH以内；自动温度补偿：0～50℃；重复性：±0.1pH以内；漂移：±0.1pH以内；响应时间：0.5min以内；MTBF：≥720h/次。</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电导率自动分析仪：测量范围：0.00-500.0mS/cm（自动分档量程，量程自动切换）；响应时间：≤0.5min；重复性误差：≤±1%以内；零点漂移：≤±1%；量程漂移：≤±1%；温度补偿精度：≤±1%；MTBF：≥720h/次；工作电压与频率：(220±20)V (50±0.5)HZ；输出信号：4-20mA或RS-485/232</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4、浊度自动分析仪：测量范围：0～400NTU；分辨率：0.01NTU；重复性误差：≤±5%；零点漂移：≤±3%；量程漂移：≤±5%；MTBF：≥720h/次；工作电压与频率：(220±20)V (50±0.5)HZ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5、溶解氧自动分析仪：测量范围：0.00～20.00mg/L；分辨率：0.01 mg/L；重复性误差：±0.3 mg/L；零点漂移：±0.3 mg/L；量程漂移：±0.3 mg/L</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shd w:val="clear" w:color="auto" w:fill="auto"/>
                <w:lang w:val="en-US" w:eastAsia="zh-CN" w:bidi="zh-CN"/>
              </w:rPr>
            </w:pPr>
            <w:r>
              <w:rPr>
                <w:rFonts w:hint="eastAsia" w:ascii="宋体" w:hAnsi="宋体" w:cs="宋体"/>
                <w:color w:val="auto"/>
                <w:kern w:val="0"/>
                <w:sz w:val="18"/>
                <w:szCs w:val="18"/>
                <w:highlight w:val="none"/>
                <w:lang w:val="en-US" w:eastAsia="zh-CN"/>
              </w:rPr>
              <w:t>若投标人不是投标设备生产厂家，需提供投标设备生产厂家授权书</w:t>
            </w: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5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高锰酸盐指数水质自动分析仪</w:t>
            </w:r>
          </w:p>
        </w:tc>
        <w:tc>
          <w:tcPr>
            <w:tcW w:w="601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理：酸性高锰酸钾氧化法；测定范围：0-20/30/50mg/L（安装后量程可调可扩展）；准确度：≤±5%；重复性：≤±5%；零点漂移：≤±5%；量程漂移：≤±5%；检出限：≤0.5mg/L；分辨率：0.1mg/L；平均无故障运行时间：≥720h/次；质控措施：仪器采用双通道进样，具备标样自动核查以及加标回收率自动核查功能。</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18"/>
                <w:szCs w:val="18"/>
                <w:highlight w:val="none"/>
              </w:rPr>
            </w:pP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lang w:val="zh-CN" w:eastAsia="zh-CN"/>
              </w:rPr>
            </w:pPr>
            <w:r>
              <w:rPr>
                <w:rFonts w:hint="eastAsia" w:ascii="宋体" w:hAnsi="宋体" w:cs="宋体"/>
                <w:color w:val="auto"/>
                <w:kern w:val="0"/>
                <w:sz w:val="18"/>
                <w:szCs w:val="18"/>
                <w:highlight w:val="none"/>
                <w:lang w:val="en-US" w:eastAsia="zh-CN"/>
              </w:rPr>
              <w:t>若投标人不是投标设备生产厂家，需提供投标设备生产厂家授权书</w:t>
            </w: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氨氮水质自动分析仪</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理：水杨酸分光光度法；测定范围：0-0.5/2/4mg/L（安装后量程可调可扩展）；准确度：≤±5%；重复性：≤±5%；零点漂移：≤±3%；量程漂移：≤±3%；检出限：≤0.02mg/L；分辨率：0.1mg/L；平均无故障运行时间：≥720h/次；质控措施：仪器采用双通道进样，具备标样自动核查以及加标回收率自动核查功能。</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lang w:val="zh-CN" w:eastAsia="zh-CN"/>
              </w:rPr>
            </w:pPr>
            <w:r>
              <w:rPr>
                <w:rFonts w:hint="eastAsia" w:ascii="宋体" w:hAnsi="宋体" w:cs="宋体"/>
                <w:color w:val="auto"/>
                <w:kern w:val="0"/>
                <w:sz w:val="18"/>
                <w:szCs w:val="18"/>
                <w:highlight w:val="none"/>
                <w:lang w:val="en-US" w:eastAsia="zh-CN"/>
              </w:rPr>
              <w:t>若投标人不是投标设备生产厂家，需提供投标设备生产厂家授权书</w:t>
            </w: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4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总磷水质自动分析仪</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理：过硫酸盐紫外氧化分解—光度法；测定范围：0-0.5/1/2/10mg/L（安装后量程可调可扩展）；准确度：≤±5%；重复性：≤±3%；零点漂移：≤±3%；量程漂移：≤±3%；检出限：≤0.005mg/L；分辨率：0.001mg/L；平均无故障运行时间：≥720h/次；质控措施：仪器采用双通道进样，具备标样自动核查以及加标回收率自动核查功能。</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lang w:val="zh-CN" w:eastAsia="zh-CN"/>
              </w:rPr>
            </w:pPr>
            <w:r>
              <w:rPr>
                <w:rFonts w:hint="eastAsia" w:ascii="宋体" w:hAnsi="宋体" w:cs="宋体"/>
                <w:color w:val="auto"/>
                <w:kern w:val="0"/>
                <w:sz w:val="18"/>
                <w:szCs w:val="18"/>
                <w:highlight w:val="none"/>
                <w:lang w:val="en-US" w:eastAsia="zh-CN"/>
              </w:rPr>
              <w:t>若投标人不是投标设备生产厂家，需提供投标设备生产厂家授权书</w:t>
            </w: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总氮水质自动分析仪</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理：过硫酸钾消解-紫外分光光度法；量程：0～50mg/L，可调；零点漂移：≤±5%；量程漂移：≤±5%；直线性：±10%；重复性：≤5%；检出限：≤0.05mg/L；MTBF：≥720h/次；实际水样比对试验：≤10%；质控措施：仪器采用双通道进样，具备标样自动核查以及加标回收率自动核查功能；</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lang w:val="zh-CN" w:eastAsia="zh-CN"/>
              </w:rPr>
            </w:pPr>
            <w:r>
              <w:rPr>
                <w:rFonts w:hint="eastAsia" w:ascii="宋体" w:hAnsi="宋体" w:cs="宋体"/>
                <w:color w:val="auto"/>
                <w:kern w:val="0"/>
                <w:sz w:val="18"/>
                <w:szCs w:val="18"/>
                <w:highlight w:val="none"/>
                <w:lang w:val="en-US" w:eastAsia="zh-CN"/>
              </w:rPr>
              <w:t>若投标人不是投标设备生产厂家，需提供投标设备生产厂家授权书</w:t>
            </w: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水质自动采样器</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 技术参数</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采样方法 真空（蠕动）泵采样</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冷藏温度 4℃±0.2℃</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分瓶存储 ≥24瓶，可设</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单次采样量 120-18000ml可设定（单瓶5-1500ml可设定）</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采样量误差 ±2% </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等比例采样误差 ±5% </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系统时钟时间控制误差 △1≤0.1%及△12≤30s</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机箱内温度控制误差 ±1℃</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最大垂直采样高度 ≥8米</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水平采样距离 ≥100米</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MTBF ≥4880小时/次</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通讯 集成RS232 /RS485接口</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功能说明 带门禁系统，具有自动采样、自动排空、自动清洗功能</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控制板 LCD显示屏</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有LED背景灯；自动提示，中文菜单程序设置；</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产品特性 具有全天候自动采样功能；</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具有自动取样，排空的功能；</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可自动将所有数据传送到中心平台服务器进行存储和处理；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可根据外接（4～20mA）信号进行相应的显示和以及对强电的反控；</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同时，根据门禁系统的记录，将留下设备的超作痕迹。记录设备操作过程和操作人员。</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外围采水系统</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（1）采水口随水位上下变化，保持在水面下 0.5 米左右（洪水期允许大于 0.5 米），并与水体底部有足够的距离（枯水期＞0.5 米），以保证不受水体底部泥沙的影响。</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（2）采用潜水泵或自吸泵提水，若采用自吸泵提水应考虑停电再启动的自动恢复功能。所选水泵扬程应满足当地实际需要。同时应保证采水管路不受环境、温度而影响水温、水质。</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（3）采水装置应有清洗反吹系统，防止藻类的生成，避免影响水质；取水口防堵塞措施；通</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过流量或压力显示取水状态并能报警；管路材质为内外抛光的不锈钢管路或不与被测物有任何反应、吸附的其它管路，管路安装前应清洗干净，有合理的留路设计，便于拆卸清洗，并配备足够的活动接头。</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（4）采水系统能采用连续或间歇方式工作，能够根据监测要求现场或远程设置监测频次；水压水量满足分析单元的需要，并且适当考虑将来增加分析项目的可能。</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配水单元、预处理单元</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包括水样预处理装置及辅助部分。必须提供配水单元设计方案。</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（1）水质五参数（包括温度、pH、溶解氧、电导率、浊度）的测量，不需预处理，直接检测。</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（2）其它参数根据需要可采用预处理装置。</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（3）配水单元向自动监测仪器供水，其水质、水压和水量必须满足自动监测仪器的需要。</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对管路布置、液流速度、仪器取水方面有独特设计制作，减少沙砾对系统的影响。具有在线过滤装置及管道反冲洗装置，过滤装置可根据不同仪器对水样的要求进行调整；对系统能现场或远程进行自动或手动控制清洗，不使用化学清洗方法，减少对环境二次污染；维护周期≥20 天。</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59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控制单元及数据采集通讯单元</w:t>
            </w:r>
          </w:p>
        </w:tc>
        <w:tc>
          <w:tcPr>
            <w:tcW w:w="60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1）十二通道以上模拟量采集功能；</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2）数据采集精度：≥32 bit，采集频率：≥10Hz；</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3）断电后能自动保护历史数据和参数设置；</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4）数据储存量：≥4000 组；</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5）数据采集正确率：≥99%；</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6）自动记录并分类数据采集异常信息，便于用户全面管理数据；不同监测点可以灵活设置不同监 测项目；</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7）能够使用水质自动站现场配置的基于 TCP/IP 的传输网络（GPRS、3G、ADSL 等）与贵阳市平台连接，实现与中心服务器端的信息交互；</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8）能加强对数据的有效性辨析，必须对每条监测数据赋予标识记录。数据和其数据标识应同时上 传至中心服务器；</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9）平均无故障连续运行时间（MTBF）3000 小时及以上，具备自检及死机自动恢复功能。能存储 5 年的小时数据，停电后所存储的数据不会丢失；</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10）现场工控机数据的向上备份功能；</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11）显示、浏览所有监测项目的监测数据记录表格、曲线，并具有完备的现场仪器设备测控操作界面；</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可接受和执行中心服务器发送的系统控制和质控命令，系统控制命令包括重启或停止控制系统、修改仪器或系统采样周期、启动紧急监测等，质控命令包括标样测试、加标回收、平行测试、多点检查、仪器校准、日期时间修正、切换量程等,可定时控制，手控，远程控制及设置。执行质控命令的同时必须按照规定的数据标识要求对数据赋予标识记录。</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13）数据传输方式：支持多中心发送机制，至少保证 3 个目标中心；</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14）通讯信道方式：系统支持无线和有线通信方式。其中无线方式包括 GPRS(4G)、GSM；有线方式包括以太网等。</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15）通讯自动恢复：具备对通信链路的自动诊断功能，一旦通信链路不畅，能够及时自动恢复通信链路，可在中心站对现场监控软件进行远程升级。</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16）现场层传输方式：现场层以对等或主从方式进行现场总线方式的通讯，数据传输采用开放的通讯协议和标准传输方式，采用基于 RS232/RS485/TCP-IP 端口的 Modbus RTU 协议。</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辅助设备单元</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稳压电源、UPS、空压机、臭氧发生器</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视频监控系统</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采水点需4米以上杆子</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一体式户外站房</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3.7米×2.2米×2.6米</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座</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空调</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挂式空调，3匹</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桌子、椅子</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办公桌</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6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自来水安装</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外接供电及电源工程</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17</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防雷工程</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含防雷扁铁30米、配件及防雷报告</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rPr>
              <w:t>项</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灭火器</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6公斤手提式</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现浇站房钢砼站房基础</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5000mm×4000mm（长*宽），10#槽钢焊接，间距50cm，铺步道钢板</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吊装费</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21</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运维费</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包含药剂、电费、网络等</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22</w:t>
            </w:r>
          </w:p>
        </w:tc>
        <w:tc>
          <w:tcPr>
            <w:tcW w:w="14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设备比对监测费</w:t>
            </w:r>
          </w:p>
        </w:tc>
        <w:tc>
          <w:tcPr>
            <w:tcW w:w="60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rPr>
              <w:t>项</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18"/>
                <w:szCs w:val="18"/>
                <w:highlight w:val="none"/>
              </w:rPr>
              <w:t>1</w:t>
            </w:r>
          </w:p>
        </w:tc>
        <w:tc>
          <w:tcPr>
            <w:tcW w:w="14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bookmarkEnd w:id="19"/>
      <w:bookmarkEnd w:id="20"/>
    </w:tbl>
    <w:p>
      <w:pPr>
        <w:widowControl/>
        <w:spacing w:line="600" w:lineRule="exact"/>
        <w:outlineLvl w:val="0"/>
        <w:rPr>
          <w:rFonts w:ascii="宋体" w:hAnsi="宋体" w:cs="宋体"/>
          <w:b/>
          <w:color w:val="auto"/>
          <w:kern w:val="0"/>
          <w:sz w:val="32"/>
          <w:szCs w:val="32"/>
          <w:highlight w:val="none"/>
          <w:shd w:val="clear" w:color="auto" w:fill="auto"/>
        </w:rPr>
        <w:sectPr>
          <w:footerReference r:id="rId11" w:type="first"/>
          <w:footerReference r:id="rId10" w:type="default"/>
          <w:pgSz w:w="16838" w:h="11906" w:orient="landscape"/>
          <w:pgMar w:top="1701" w:right="1440" w:bottom="1276" w:left="1440" w:header="737" w:footer="992" w:gutter="0"/>
          <w:pgNumType w:fmt="numberInDash"/>
          <w:cols w:space="720" w:num="1"/>
          <w:titlePg/>
          <w:docGrid w:linePitch="312" w:charSpace="0"/>
        </w:sectPr>
      </w:pPr>
    </w:p>
    <w:p>
      <w:pPr>
        <w:jc w:val="center"/>
        <w:outlineLvl w:val="0"/>
        <w:rPr>
          <w:b/>
          <w:color w:val="auto"/>
          <w:sz w:val="44"/>
          <w:szCs w:val="44"/>
          <w:highlight w:val="none"/>
          <w:shd w:val="clear" w:color="auto" w:fill="auto"/>
        </w:rPr>
      </w:pPr>
    </w:p>
    <w:p>
      <w:pPr>
        <w:jc w:val="center"/>
        <w:outlineLvl w:val="0"/>
        <w:rPr>
          <w:b/>
          <w:color w:val="auto"/>
          <w:sz w:val="44"/>
          <w:szCs w:val="44"/>
          <w:highlight w:val="none"/>
          <w:shd w:val="clear" w:color="auto" w:fill="auto"/>
        </w:rPr>
      </w:pPr>
      <w:r>
        <w:rPr>
          <w:b/>
          <w:color w:val="auto"/>
          <w:sz w:val="44"/>
          <w:szCs w:val="44"/>
          <w:highlight w:val="none"/>
          <w:shd w:val="clear" w:color="auto" w:fill="auto"/>
        </w:rPr>
        <w:t>第</w:t>
      </w:r>
      <w:r>
        <w:rPr>
          <w:rFonts w:hint="eastAsia"/>
          <w:b/>
          <w:color w:val="auto"/>
          <w:sz w:val="44"/>
          <w:szCs w:val="44"/>
          <w:highlight w:val="none"/>
          <w:shd w:val="clear" w:color="auto" w:fill="auto"/>
        </w:rPr>
        <w:t>五</w:t>
      </w:r>
      <w:r>
        <w:rPr>
          <w:b/>
          <w:color w:val="auto"/>
          <w:sz w:val="44"/>
          <w:szCs w:val="44"/>
          <w:highlight w:val="none"/>
          <w:shd w:val="clear" w:color="auto" w:fill="auto"/>
        </w:rPr>
        <w:t>章</w:t>
      </w:r>
      <w:r>
        <w:rPr>
          <w:rFonts w:hint="eastAsia"/>
          <w:b/>
          <w:color w:val="auto"/>
          <w:sz w:val="44"/>
          <w:szCs w:val="44"/>
          <w:highlight w:val="none"/>
          <w:shd w:val="clear" w:color="auto" w:fill="auto"/>
        </w:rPr>
        <w:t xml:space="preserve"> </w:t>
      </w:r>
      <w:r>
        <w:rPr>
          <w:b/>
          <w:color w:val="auto"/>
          <w:sz w:val="44"/>
          <w:szCs w:val="44"/>
          <w:highlight w:val="none"/>
          <w:shd w:val="clear" w:color="auto" w:fill="auto"/>
        </w:rPr>
        <w:t xml:space="preserve"> </w:t>
      </w:r>
      <w:r>
        <w:rPr>
          <w:rFonts w:hint="eastAsia"/>
          <w:b/>
          <w:color w:val="auto"/>
          <w:sz w:val="44"/>
          <w:szCs w:val="44"/>
          <w:highlight w:val="none"/>
          <w:shd w:val="clear" w:color="auto" w:fill="auto"/>
        </w:rPr>
        <w:t>商务要求</w:t>
      </w:r>
      <w:bookmarkEnd w:id="16"/>
    </w:p>
    <w:p>
      <w:pPr>
        <w:adjustRightInd w:val="0"/>
        <w:snapToGrid w:val="0"/>
        <w:spacing w:line="360" w:lineRule="auto"/>
        <w:ind w:firstLine="480" w:firstLineChars="200"/>
        <w:rPr>
          <w:bCs/>
          <w:color w:val="auto"/>
          <w:sz w:val="24"/>
          <w:highlight w:val="none"/>
          <w:shd w:val="clear" w:color="auto" w:fill="auto"/>
        </w:rPr>
      </w:pPr>
    </w:p>
    <w:p>
      <w:pPr>
        <w:adjustRightInd w:val="0"/>
        <w:snapToGrid w:val="0"/>
        <w:spacing w:line="360" w:lineRule="auto"/>
        <w:rPr>
          <w:bCs/>
          <w:color w:val="auto"/>
          <w:sz w:val="24"/>
          <w:highlight w:val="none"/>
          <w:shd w:val="clear" w:color="auto" w:fill="auto"/>
        </w:rPr>
      </w:pPr>
      <w:r>
        <w:rPr>
          <w:rFonts w:hint="eastAsia"/>
          <w:bCs/>
          <w:color w:val="auto"/>
          <w:sz w:val="24"/>
          <w:highlight w:val="none"/>
          <w:shd w:val="clear" w:color="auto" w:fill="auto"/>
          <w:lang w:val="en-US" w:eastAsia="zh-CN"/>
        </w:rPr>
        <w:t>一</w:t>
      </w:r>
      <w:r>
        <w:rPr>
          <w:rFonts w:hint="eastAsia"/>
          <w:bCs/>
          <w:color w:val="auto"/>
          <w:sz w:val="24"/>
          <w:highlight w:val="none"/>
          <w:shd w:val="clear" w:color="auto" w:fill="auto"/>
        </w:rPr>
        <w:t>、</w:t>
      </w:r>
      <w:r>
        <w:rPr>
          <w:rFonts w:hint="eastAsia" w:ascii="宋体" w:hAnsi="宋体" w:eastAsia="宋体" w:cs="宋体"/>
          <w:b w:val="0"/>
          <w:color w:val="auto"/>
          <w:sz w:val="24"/>
          <w:szCs w:val="22"/>
          <w:highlight w:val="none"/>
          <w:shd w:val="clear" w:color="auto" w:fill="auto"/>
          <w:lang w:val="en-US" w:eastAsia="zh-CN" w:bidi="ar-SA"/>
        </w:rPr>
        <w:t>交货</w:t>
      </w:r>
      <w:r>
        <w:rPr>
          <w:rFonts w:hint="eastAsia"/>
          <w:bCs/>
          <w:color w:val="auto"/>
          <w:sz w:val="24"/>
          <w:highlight w:val="none"/>
          <w:shd w:val="clear" w:color="auto" w:fill="auto"/>
        </w:rPr>
        <w:t>地点</w:t>
      </w:r>
      <w:r>
        <w:rPr>
          <w:rFonts w:hint="eastAsia" w:ascii="宋体" w:hAnsi="宋体" w:eastAsia="宋体" w:cs="宋体"/>
          <w:b w:val="0"/>
          <w:color w:val="auto"/>
          <w:sz w:val="24"/>
          <w:szCs w:val="22"/>
          <w:highlight w:val="none"/>
          <w:shd w:val="clear" w:color="auto" w:fill="auto"/>
          <w:lang w:val="en-US" w:eastAsia="zh-CN" w:bidi="ar-SA"/>
        </w:rPr>
        <w:t>或服务</w:t>
      </w:r>
      <w:r>
        <w:rPr>
          <w:rFonts w:hint="eastAsia"/>
          <w:bCs/>
          <w:color w:val="auto"/>
          <w:sz w:val="24"/>
          <w:highlight w:val="none"/>
          <w:shd w:val="clear" w:color="auto" w:fill="auto"/>
        </w:rPr>
        <w:t>地点</w:t>
      </w:r>
      <w:r>
        <w:rPr>
          <w:rFonts w:hint="eastAsia" w:ascii="宋体" w:hAnsi="宋体" w:eastAsia="宋体" w:cs="宋体"/>
          <w:b w:val="0"/>
          <w:color w:val="auto"/>
          <w:sz w:val="24"/>
          <w:szCs w:val="22"/>
          <w:highlight w:val="none"/>
          <w:shd w:val="clear" w:color="auto" w:fill="auto"/>
          <w:lang w:val="en-US" w:eastAsia="zh-CN" w:bidi="ar-SA"/>
        </w:rPr>
        <w:t>:</w:t>
      </w:r>
      <w:r>
        <w:rPr>
          <w:rFonts w:hint="eastAsia"/>
          <w:bCs/>
          <w:color w:val="auto"/>
          <w:sz w:val="24"/>
          <w:highlight w:val="none"/>
          <w:shd w:val="clear" w:color="auto" w:fill="auto"/>
          <w:lang w:val="en-US" w:eastAsia="zh-CN"/>
        </w:rPr>
        <w:t>采购人</w:t>
      </w:r>
      <w:r>
        <w:rPr>
          <w:rFonts w:hint="eastAsia"/>
          <w:bCs/>
          <w:color w:val="auto"/>
          <w:sz w:val="24"/>
          <w:highlight w:val="none"/>
          <w:shd w:val="clear" w:color="auto" w:fill="auto"/>
        </w:rPr>
        <w:t>指定地点。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20" w:lineRule="exact"/>
        <w:ind w:right="0"/>
        <w:jc w:val="left"/>
        <w:rPr>
          <w:rFonts w:hint="eastAsia" w:ascii="宋体" w:hAnsi="宋体" w:eastAsia="宋体" w:cs="宋体"/>
          <w:b w:val="0"/>
          <w:color w:val="auto"/>
          <w:sz w:val="24"/>
          <w:szCs w:val="22"/>
          <w:highlight w:val="none"/>
          <w:shd w:val="clear" w:color="auto" w:fill="auto"/>
          <w:lang w:val="en-US" w:eastAsia="zh-CN" w:bidi="ar-SA"/>
        </w:rPr>
      </w:pPr>
      <w:r>
        <w:rPr>
          <w:rFonts w:hint="eastAsia"/>
          <w:bCs/>
          <w:color w:val="auto"/>
          <w:sz w:val="24"/>
          <w:highlight w:val="none"/>
          <w:shd w:val="clear" w:color="auto" w:fill="auto"/>
          <w:lang w:val="en-US" w:eastAsia="zh-CN"/>
        </w:rPr>
        <w:t>二</w:t>
      </w:r>
      <w:r>
        <w:rPr>
          <w:rFonts w:hint="eastAsia"/>
          <w:bCs/>
          <w:color w:val="auto"/>
          <w:sz w:val="24"/>
          <w:highlight w:val="none"/>
          <w:shd w:val="clear" w:color="auto" w:fill="auto"/>
        </w:rPr>
        <w:t>、</w:t>
      </w:r>
      <w:r>
        <w:rPr>
          <w:rFonts w:hint="eastAsia" w:ascii="宋体" w:hAnsi="宋体" w:eastAsia="宋体" w:cs="宋体"/>
          <w:b w:val="0"/>
          <w:color w:val="auto"/>
          <w:sz w:val="24"/>
          <w:szCs w:val="22"/>
          <w:highlight w:val="none"/>
          <w:shd w:val="clear" w:color="auto" w:fill="auto"/>
          <w:lang w:val="en-US" w:eastAsia="zh-CN" w:bidi="ar-SA"/>
        </w:rPr>
        <w:t>交货时间或服务时间:</w:t>
      </w:r>
      <w:r>
        <w:rPr>
          <w:rFonts w:hint="eastAsia" w:cs="宋体"/>
          <w:b w:val="0"/>
          <w:color w:val="auto"/>
          <w:sz w:val="24"/>
          <w:szCs w:val="22"/>
          <w:highlight w:val="none"/>
          <w:shd w:val="clear" w:color="auto" w:fill="auto"/>
          <w:lang w:val="en-US" w:eastAsia="zh-CN" w:bidi="ar-SA"/>
        </w:rPr>
        <w:t>2年（交货期4个月，服务期2年）。</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hAnsi="宋体" w:cs="宋体"/>
          <w:b w:val="0"/>
          <w:bCs/>
          <w:color w:val="auto"/>
          <w:sz w:val="24"/>
          <w:highlight w:val="none"/>
          <w:shd w:val="clear" w:color="auto" w:fill="auto"/>
        </w:rPr>
      </w:pPr>
      <w:r>
        <w:rPr>
          <w:rFonts w:hint="eastAsia" w:hAnsi="宋体" w:cs="宋体"/>
          <w:b w:val="0"/>
          <w:bCs/>
          <w:color w:val="auto"/>
          <w:sz w:val="24"/>
          <w:highlight w:val="none"/>
          <w:shd w:val="clear" w:color="auto" w:fill="auto"/>
          <w:lang w:val="en-US" w:eastAsia="zh-CN"/>
        </w:rPr>
        <w:t>三</w:t>
      </w:r>
      <w:r>
        <w:rPr>
          <w:rFonts w:hint="eastAsia" w:hAnsi="宋体" w:cs="宋体"/>
          <w:b w:val="0"/>
          <w:bCs/>
          <w:color w:val="auto"/>
          <w:sz w:val="24"/>
          <w:highlight w:val="none"/>
          <w:shd w:val="clear" w:color="auto" w:fill="auto"/>
        </w:rPr>
        <w:t>、投标报价:</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hAnsi="宋体" w:cs="宋体"/>
          <w:b w:val="0"/>
          <w:bCs/>
          <w:color w:val="auto"/>
          <w:sz w:val="24"/>
          <w:szCs w:val="22"/>
          <w:highlight w:val="none"/>
          <w:shd w:val="clear" w:color="auto" w:fill="auto"/>
        </w:rPr>
      </w:pPr>
      <w:r>
        <w:rPr>
          <w:rFonts w:hint="eastAsia" w:hAnsi="宋体" w:cs="宋体"/>
          <w:b w:val="0"/>
          <w:bCs/>
          <w:color w:val="auto"/>
          <w:sz w:val="24"/>
          <w:szCs w:val="22"/>
          <w:highlight w:val="none"/>
          <w:shd w:val="clear" w:color="auto" w:fill="auto"/>
        </w:rPr>
        <w:t>1</w:t>
      </w:r>
      <w:r>
        <w:rPr>
          <w:rFonts w:hint="eastAsia" w:hAnsi="宋体" w:cs="宋体"/>
          <w:b w:val="0"/>
          <w:bCs/>
          <w:color w:val="auto"/>
          <w:sz w:val="24"/>
          <w:szCs w:val="22"/>
          <w:highlight w:val="none"/>
          <w:shd w:val="clear" w:color="auto" w:fill="auto"/>
          <w:lang w:eastAsia="zh-CN"/>
        </w:rPr>
        <w:t>、</w:t>
      </w:r>
      <w:r>
        <w:rPr>
          <w:rFonts w:hint="eastAsia" w:hAnsi="宋体" w:cs="宋体"/>
          <w:b w:val="0"/>
          <w:bCs/>
          <w:color w:val="auto"/>
          <w:sz w:val="24"/>
          <w:szCs w:val="22"/>
          <w:highlight w:val="none"/>
          <w:shd w:val="clear" w:color="auto" w:fill="auto"/>
        </w:rPr>
        <w:t>投标人根据招标文件的要求自行核算报价。</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hAnsi="宋体" w:cs="宋体"/>
          <w:b w:val="0"/>
          <w:bCs/>
          <w:color w:val="auto"/>
          <w:sz w:val="24"/>
          <w:szCs w:val="22"/>
          <w:highlight w:val="none"/>
          <w:shd w:val="clear" w:color="auto" w:fill="auto"/>
        </w:rPr>
      </w:pPr>
      <w:r>
        <w:rPr>
          <w:rFonts w:hint="eastAsia" w:hAnsi="宋体" w:cs="宋体"/>
          <w:b w:val="0"/>
          <w:bCs/>
          <w:color w:val="auto"/>
          <w:sz w:val="24"/>
          <w:szCs w:val="22"/>
          <w:highlight w:val="none"/>
          <w:shd w:val="clear" w:color="auto" w:fill="auto"/>
        </w:rPr>
        <w:t>2、投标人的报价包括完成本次服务所发生的全部费用。</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hAnsi="宋体" w:cs="宋体"/>
          <w:b w:val="0"/>
          <w:bCs/>
          <w:color w:val="auto"/>
          <w:sz w:val="24"/>
          <w:szCs w:val="22"/>
          <w:highlight w:val="none"/>
          <w:shd w:val="clear" w:color="auto" w:fill="auto"/>
        </w:rPr>
      </w:pPr>
      <w:r>
        <w:rPr>
          <w:rFonts w:hint="eastAsia" w:hAnsi="宋体" w:cs="宋体"/>
          <w:b w:val="0"/>
          <w:bCs/>
          <w:color w:val="auto"/>
          <w:sz w:val="24"/>
          <w:szCs w:val="22"/>
          <w:highlight w:val="none"/>
          <w:shd w:val="clear" w:color="auto" w:fill="auto"/>
        </w:rPr>
        <w:t>3、投标货币:人民币。</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hAnsi="宋体" w:cs="宋体"/>
          <w:b w:val="0"/>
          <w:bCs/>
          <w:color w:val="auto"/>
          <w:sz w:val="24"/>
          <w:szCs w:val="22"/>
          <w:highlight w:val="none"/>
          <w:shd w:val="clear" w:color="auto" w:fill="auto"/>
          <w:lang w:val="en-US" w:eastAsia="zh-CN"/>
        </w:rPr>
      </w:pPr>
      <w:r>
        <w:rPr>
          <w:rFonts w:hint="eastAsia" w:hAnsi="宋体" w:cs="宋体"/>
          <w:b w:val="0"/>
          <w:bCs/>
          <w:color w:val="auto"/>
          <w:sz w:val="24"/>
          <w:szCs w:val="22"/>
          <w:highlight w:val="none"/>
          <w:shd w:val="clear" w:color="auto" w:fill="auto"/>
          <w:lang w:val="en-US" w:eastAsia="zh-CN"/>
        </w:rPr>
        <w:t>4、验收标准：按国家相关规定执行。</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hAnsi="宋体" w:cs="宋体"/>
          <w:b w:val="0"/>
          <w:bCs/>
          <w:color w:val="auto"/>
          <w:sz w:val="24"/>
          <w:szCs w:val="22"/>
          <w:highlight w:val="none"/>
          <w:shd w:val="clear" w:color="auto" w:fill="auto"/>
          <w:lang w:val="en-US" w:eastAsia="zh-CN"/>
        </w:rPr>
      </w:pPr>
      <w:r>
        <w:rPr>
          <w:rFonts w:hint="eastAsia" w:hAnsi="宋体" w:cs="宋体"/>
          <w:b w:val="0"/>
          <w:bCs/>
          <w:color w:val="auto"/>
          <w:sz w:val="24"/>
          <w:szCs w:val="22"/>
          <w:highlight w:val="none"/>
          <w:shd w:val="clear" w:color="auto" w:fill="auto"/>
          <w:lang w:val="en-US" w:eastAsia="zh-CN"/>
        </w:rPr>
        <w:t>5、付款方式：经验收审计合格后付中标价格的40%，</w:t>
      </w:r>
      <w:r>
        <w:rPr>
          <w:rFonts w:hint="eastAsia" w:cs="宋体"/>
          <w:b w:val="0"/>
          <w:bCs/>
          <w:color w:val="auto"/>
          <w:sz w:val="24"/>
          <w:szCs w:val="22"/>
          <w:highlight w:val="none"/>
          <w:shd w:val="clear" w:color="auto" w:fill="auto"/>
          <w:lang w:val="en-US" w:eastAsia="zh-CN"/>
        </w:rPr>
        <w:t>一年</w:t>
      </w:r>
      <w:r>
        <w:rPr>
          <w:rFonts w:hint="eastAsia" w:hAnsi="宋体" w:cs="宋体"/>
          <w:b w:val="0"/>
          <w:bCs/>
          <w:color w:val="auto"/>
          <w:sz w:val="24"/>
          <w:szCs w:val="22"/>
          <w:highlight w:val="none"/>
          <w:shd w:val="clear" w:color="auto" w:fill="auto"/>
          <w:lang w:val="en-US" w:eastAsia="zh-CN"/>
        </w:rPr>
        <w:t>服务期结束后付</w:t>
      </w:r>
      <w:r>
        <w:rPr>
          <w:rFonts w:hint="eastAsia" w:cs="宋体"/>
          <w:b w:val="0"/>
          <w:bCs/>
          <w:color w:val="auto"/>
          <w:sz w:val="24"/>
          <w:szCs w:val="22"/>
          <w:highlight w:val="none"/>
          <w:shd w:val="clear" w:color="auto" w:fill="auto"/>
          <w:lang w:val="en-US" w:eastAsia="zh-CN"/>
        </w:rPr>
        <w:t>至</w:t>
      </w:r>
      <w:r>
        <w:rPr>
          <w:rFonts w:hint="eastAsia" w:hAnsi="宋体" w:cs="宋体"/>
          <w:b w:val="0"/>
          <w:bCs/>
          <w:color w:val="auto"/>
          <w:sz w:val="24"/>
          <w:szCs w:val="22"/>
          <w:highlight w:val="none"/>
          <w:shd w:val="clear" w:color="auto" w:fill="auto"/>
          <w:lang w:val="en-US" w:eastAsia="zh-CN"/>
        </w:rPr>
        <w:t>中标价格的70%，二年服务期结束后，无息付清尾款。</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hAnsi="宋体" w:cs="宋体"/>
          <w:b w:val="0"/>
          <w:bCs/>
          <w:color w:val="auto"/>
          <w:sz w:val="24"/>
          <w:szCs w:val="22"/>
          <w:highlight w:val="none"/>
          <w:shd w:val="clear" w:color="auto" w:fill="auto"/>
          <w:lang w:val="en-US" w:eastAsia="zh-CN"/>
        </w:rPr>
      </w:pPr>
      <w:r>
        <w:rPr>
          <w:rFonts w:hint="eastAsia" w:hAnsi="宋体" w:cs="宋体"/>
          <w:b w:val="0"/>
          <w:bCs/>
          <w:color w:val="auto"/>
          <w:sz w:val="24"/>
          <w:szCs w:val="22"/>
          <w:highlight w:val="none"/>
          <w:shd w:val="clear" w:color="auto" w:fill="auto"/>
          <w:lang w:val="en-US" w:eastAsia="zh-CN"/>
        </w:rPr>
        <w:t>6、质保金：签订合同后7个工作日内，按中标金额的6%交到采购人指定账户</w:t>
      </w:r>
      <w:r>
        <w:rPr>
          <w:rFonts w:hint="eastAsia" w:cs="宋体"/>
          <w:b w:val="0"/>
          <w:bCs/>
          <w:color w:val="auto"/>
          <w:sz w:val="24"/>
          <w:szCs w:val="22"/>
          <w:highlight w:val="none"/>
          <w:shd w:val="clear" w:color="auto" w:fill="auto"/>
          <w:lang w:val="en-US" w:eastAsia="zh-CN"/>
        </w:rPr>
        <w:t>，经验收合格后1年无息退还质保金</w:t>
      </w:r>
      <w:r>
        <w:rPr>
          <w:rFonts w:hint="eastAsia" w:hAnsi="宋体" w:cs="宋体"/>
          <w:b w:val="0"/>
          <w:bCs/>
          <w:color w:val="auto"/>
          <w:sz w:val="24"/>
          <w:szCs w:val="22"/>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default" w:hAnsi="宋体" w:cs="宋体"/>
          <w:b w:val="0"/>
          <w:bCs/>
          <w:color w:val="auto"/>
          <w:sz w:val="24"/>
          <w:szCs w:val="22"/>
          <w:highlight w:val="none"/>
          <w:shd w:val="clear" w:color="auto" w:fill="auto"/>
          <w:lang w:val="en-US" w:eastAsia="zh-CN"/>
        </w:rPr>
      </w:pPr>
      <w:r>
        <w:rPr>
          <w:rFonts w:hint="eastAsia" w:hAnsi="宋体" w:cs="宋体"/>
          <w:b w:val="0"/>
          <w:bCs/>
          <w:color w:val="auto"/>
          <w:sz w:val="24"/>
          <w:szCs w:val="22"/>
          <w:highlight w:val="none"/>
          <w:shd w:val="clear" w:color="auto" w:fill="auto"/>
          <w:lang w:val="en-US" w:eastAsia="zh-CN"/>
        </w:rPr>
        <w:t>7、安全要求：项目安全责任由中标方完全负责。</w:t>
      </w:r>
    </w:p>
    <w:p>
      <w:pPr>
        <w:pStyle w:val="3"/>
        <w:rPr>
          <w:rFonts w:hint="eastAsia" w:cs="宋体"/>
          <w:b w:val="0"/>
          <w:bCs/>
          <w:color w:val="auto"/>
          <w:sz w:val="24"/>
          <w:szCs w:val="22"/>
          <w:highlight w:val="none"/>
          <w:shd w:val="clear" w:color="auto" w:fill="auto"/>
          <w:lang w:val="en-US" w:eastAsia="zh-CN"/>
        </w:rPr>
      </w:pPr>
    </w:p>
    <w:p>
      <w:pPr>
        <w:pStyle w:val="4"/>
        <w:rPr>
          <w:rFonts w:hint="eastAsia" w:cs="宋体"/>
          <w:b w:val="0"/>
          <w:bCs/>
          <w:color w:val="auto"/>
          <w:sz w:val="24"/>
          <w:szCs w:val="22"/>
          <w:highlight w:val="none"/>
          <w:shd w:val="clear" w:color="auto" w:fill="auto"/>
          <w:lang w:val="en-US" w:eastAsia="zh-CN"/>
        </w:rPr>
      </w:pPr>
    </w:p>
    <w:p>
      <w:pPr>
        <w:rPr>
          <w:rFonts w:hint="eastAsia" w:cs="宋体"/>
          <w:b w:val="0"/>
          <w:bCs/>
          <w:color w:val="auto"/>
          <w:sz w:val="24"/>
          <w:szCs w:val="22"/>
          <w:highlight w:val="none"/>
          <w:shd w:val="clear" w:color="auto" w:fill="auto"/>
          <w:lang w:val="en-US" w:eastAsia="zh-CN"/>
        </w:rPr>
      </w:pPr>
    </w:p>
    <w:p>
      <w:pPr>
        <w:pStyle w:val="2"/>
        <w:rPr>
          <w:rFonts w:hint="eastAsia" w:cs="宋体"/>
          <w:b w:val="0"/>
          <w:bCs/>
          <w:color w:val="auto"/>
          <w:sz w:val="24"/>
          <w:szCs w:val="22"/>
          <w:highlight w:val="none"/>
          <w:shd w:val="clear" w:color="auto" w:fill="auto"/>
          <w:lang w:val="en-US" w:eastAsia="zh-CN"/>
        </w:rPr>
      </w:pPr>
    </w:p>
    <w:p>
      <w:pPr>
        <w:pStyle w:val="3"/>
        <w:rPr>
          <w:rFonts w:hint="eastAsia" w:cs="宋体"/>
          <w:b w:val="0"/>
          <w:bCs/>
          <w:color w:val="auto"/>
          <w:sz w:val="24"/>
          <w:szCs w:val="22"/>
          <w:highlight w:val="none"/>
          <w:shd w:val="clear" w:color="auto" w:fill="auto"/>
          <w:lang w:val="en-US" w:eastAsia="zh-CN"/>
        </w:rPr>
      </w:pPr>
    </w:p>
    <w:p>
      <w:pPr>
        <w:pStyle w:val="4"/>
        <w:rPr>
          <w:rFonts w:hint="eastAsia" w:cs="宋体"/>
          <w:b w:val="0"/>
          <w:bCs/>
          <w:color w:val="auto"/>
          <w:sz w:val="24"/>
          <w:szCs w:val="22"/>
          <w:highlight w:val="none"/>
          <w:shd w:val="clear" w:color="auto" w:fill="auto"/>
          <w:lang w:val="en-US" w:eastAsia="zh-CN"/>
        </w:rPr>
      </w:pPr>
    </w:p>
    <w:p>
      <w:pPr>
        <w:rPr>
          <w:rFonts w:hint="default"/>
          <w:highlight w:val="none"/>
          <w:lang w:val="en-US" w:eastAsia="zh-CN"/>
        </w:rPr>
      </w:pPr>
    </w:p>
    <w:p>
      <w:pPr>
        <w:adjustRightInd w:val="0"/>
        <w:snapToGrid w:val="0"/>
        <w:spacing w:line="360" w:lineRule="auto"/>
        <w:ind w:firstLine="480" w:firstLineChars="200"/>
        <w:rPr>
          <w:bCs/>
          <w:color w:val="auto"/>
          <w:sz w:val="24"/>
          <w:highlight w:val="none"/>
          <w:shd w:val="clear" w:color="auto" w:fill="auto"/>
        </w:rPr>
      </w:pPr>
    </w:p>
    <w:p>
      <w:pPr>
        <w:jc w:val="center"/>
        <w:outlineLvl w:val="0"/>
        <w:rPr>
          <w:rFonts w:hint="eastAsia"/>
          <w:b/>
          <w:color w:val="auto"/>
          <w:sz w:val="44"/>
          <w:szCs w:val="44"/>
          <w:highlight w:val="none"/>
          <w:shd w:val="clear" w:color="auto" w:fill="auto"/>
        </w:rPr>
      </w:pPr>
      <w:bookmarkStart w:id="207" w:name="_Toc532559332"/>
      <w:bookmarkStart w:id="208" w:name="_Toc67240020"/>
    </w:p>
    <w:p>
      <w:pPr>
        <w:jc w:val="both"/>
        <w:outlineLvl w:val="0"/>
        <w:rPr>
          <w:rFonts w:hint="eastAsia"/>
          <w:b/>
          <w:color w:val="auto"/>
          <w:sz w:val="44"/>
          <w:szCs w:val="44"/>
          <w:highlight w:val="none"/>
          <w:shd w:val="clear" w:color="auto" w:fill="auto"/>
        </w:rPr>
      </w:pPr>
    </w:p>
    <w:p>
      <w:pPr>
        <w:pStyle w:val="2"/>
        <w:rPr>
          <w:rFonts w:hint="eastAsia"/>
          <w:highlight w:val="none"/>
        </w:rPr>
      </w:pPr>
    </w:p>
    <w:bookmarkEnd w:id="207"/>
    <w:p>
      <w:pPr>
        <w:numPr>
          <w:ilvl w:val="0"/>
          <w:numId w:val="7"/>
        </w:numPr>
        <w:jc w:val="center"/>
        <w:outlineLvl w:val="0"/>
        <w:rPr>
          <w:rFonts w:hint="eastAsia"/>
          <w:b/>
          <w:color w:val="auto"/>
          <w:sz w:val="32"/>
          <w:szCs w:val="32"/>
          <w:highlight w:val="none"/>
          <w:shd w:val="clear" w:color="auto" w:fill="auto"/>
        </w:rPr>
      </w:pPr>
      <w:r>
        <w:rPr>
          <w:b/>
          <w:color w:val="auto"/>
          <w:sz w:val="32"/>
          <w:szCs w:val="32"/>
          <w:highlight w:val="none"/>
          <w:shd w:val="clear" w:color="auto" w:fill="auto"/>
        </w:rPr>
        <w:t xml:space="preserve"> </w:t>
      </w:r>
      <w:bookmarkEnd w:id="208"/>
      <w:r>
        <w:rPr>
          <w:rFonts w:hint="eastAsia"/>
          <w:b/>
          <w:color w:val="auto"/>
          <w:sz w:val="32"/>
          <w:szCs w:val="32"/>
          <w:highlight w:val="none"/>
          <w:shd w:val="clear" w:color="auto" w:fill="auto"/>
        </w:rPr>
        <w:t>铜仁市政府采购合同（参考文本</w:t>
      </w:r>
      <w:r>
        <w:rPr>
          <w:rFonts w:hint="eastAsia"/>
          <w:b/>
          <w:color w:val="auto"/>
          <w:sz w:val="32"/>
          <w:szCs w:val="32"/>
          <w:highlight w:val="none"/>
          <w:shd w:val="clear" w:color="auto" w:fill="auto"/>
          <w:lang w:eastAsia="zh-CN"/>
        </w:rPr>
        <w:t>）</w:t>
      </w:r>
    </w:p>
    <w:p>
      <w:pPr>
        <w:jc w:val="center"/>
        <w:rPr>
          <w:rFonts w:asciiTheme="minorEastAsia" w:hAnsiTheme="minorEastAsia" w:eastAsiaTheme="minorEastAsia" w:cstheme="minorEastAsia"/>
          <w:b/>
          <w:bCs/>
          <w:color w:val="auto"/>
          <w:sz w:val="24"/>
          <w:szCs w:val="24"/>
          <w:highlight w:val="none"/>
          <w:shd w:val="clear" w:color="auto" w:fill="auto"/>
        </w:rPr>
      </w:pPr>
    </w:p>
    <w:p>
      <w:pPr>
        <w:rPr>
          <w:rFonts w:hint="eastAsia"/>
          <w:color w:val="auto"/>
          <w:highlight w:val="none"/>
          <w:shd w:val="clear" w:color="auto" w:fill="auto"/>
        </w:rPr>
      </w:pPr>
      <w:bookmarkStart w:id="209" w:name="_bookmark14"/>
      <w:bookmarkEnd w:id="209"/>
      <w:bookmarkStart w:id="210" w:name="第一节通用合同条款"/>
      <w:bookmarkEnd w:id="210"/>
      <w:bookmarkStart w:id="211" w:name="_Toc532559333"/>
      <w:bookmarkStart w:id="212" w:name="_Toc67240021"/>
      <w:r>
        <w:rPr>
          <w:rFonts w:hint="eastAsia"/>
          <w:color w:val="auto"/>
          <w:highlight w:val="none"/>
          <w:shd w:val="clear" w:color="auto" w:fill="auto"/>
        </w:rPr>
        <w:t>甲方（采购人）：</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 签订地点： </w:t>
      </w:r>
    </w:p>
    <w:p>
      <w:pPr>
        <w:rPr>
          <w:rFonts w:hint="eastAsia"/>
          <w:color w:val="auto"/>
          <w:highlight w:val="none"/>
          <w:shd w:val="clear" w:color="auto" w:fill="auto"/>
        </w:rPr>
      </w:pPr>
      <w:r>
        <w:rPr>
          <w:rFonts w:hint="eastAsia"/>
          <w:color w:val="auto"/>
          <w:highlight w:val="none"/>
          <w:shd w:val="clear" w:color="auto" w:fill="auto"/>
        </w:rPr>
        <w:t>乙方（成交供应商）：</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签订日期： 年 月 日  </w:t>
      </w:r>
    </w:p>
    <w:p>
      <w:pPr>
        <w:ind w:firstLine="440" w:firstLineChars="200"/>
        <w:rPr>
          <w:rFonts w:hint="eastAsia"/>
          <w:color w:val="auto"/>
          <w:highlight w:val="none"/>
          <w:shd w:val="clear" w:color="auto" w:fill="auto"/>
        </w:rPr>
      </w:pPr>
      <w:r>
        <w:rPr>
          <w:rFonts w:hint="eastAsia"/>
          <w:color w:val="auto"/>
          <w:highlight w:val="none"/>
          <w:shd w:val="clear" w:color="auto" w:fill="auto"/>
        </w:rPr>
        <w:t>根据甲方委托（采购代理机构）对进行采购（项目编号：）的采购结果，乙方为成交供应商，现依照谈判文件、（成交供应商）响应文件及有关法律、法规、规章规定的内容，双方达成如下协议：</w:t>
      </w:r>
    </w:p>
    <w:p>
      <w:pPr>
        <w:numPr>
          <w:ilvl w:val="0"/>
          <w:numId w:val="0"/>
        </w:numPr>
        <w:ind w:left="330" w:leftChars="0"/>
        <w:rPr>
          <w:rFonts w:hint="eastAsia"/>
          <w:color w:val="auto"/>
          <w:highlight w:val="none"/>
          <w:shd w:val="clear" w:color="auto" w:fill="auto"/>
        </w:rPr>
      </w:pPr>
      <w:r>
        <w:rPr>
          <w:rFonts w:hint="eastAsia"/>
          <w:color w:val="auto"/>
          <w:highlight w:val="none"/>
          <w:shd w:val="clear" w:color="auto" w:fill="auto"/>
          <w:lang w:val="en-US" w:eastAsia="zh-CN"/>
        </w:rPr>
        <w:t>1.</w:t>
      </w:r>
      <w:r>
        <w:rPr>
          <w:rFonts w:hint="eastAsia"/>
          <w:color w:val="auto"/>
          <w:highlight w:val="none"/>
          <w:shd w:val="clear" w:color="auto" w:fill="auto"/>
        </w:rPr>
        <w:t xml:space="preserve">合同标物的和合同价格 </w:t>
      </w:r>
    </w:p>
    <w:tbl>
      <w:tblPr>
        <w:tblStyle w:val="2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219"/>
        <w:gridCol w:w="1219"/>
        <w:gridCol w:w="1219"/>
        <w:gridCol w:w="1220"/>
        <w:gridCol w:w="122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19"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产品名称</w:t>
            </w:r>
          </w:p>
        </w:tc>
        <w:tc>
          <w:tcPr>
            <w:tcW w:w="1219"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规格型号</w:t>
            </w:r>
          </w:p>
        </w:tc>
        <w:tc>
          <w:tcPr>
            <w:tcW w:w="1219"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生产厂家</w:t>
            </w:r>
          </w:p>
        </w:tc>
        <w:tc>
          <w:tcPr>
            <w:tcW w:w="1219"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数 量</w:t>
            </w:r>
          </w:p>
        </w:tc>
        <w:tc>
          <w:tcPr>
            <w:tcW w:w="1220"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单 价</w:t>
            </w:r>
          </w:p>
        </w:tc>
        <w:tc>
          <w:tcPr>
            <w:tcW w:w="1220"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总 价</w:t>
            </w:r>
          </w:p>
        </w:tc>
        <w:tc>
          <w:tcPr>
            <w:tcW w:w="1220" w:type="dxa"/>
          </w:tcPr>
          <w:p>
            <w:pPr>
              <w:numPr>
                <w:ilvl w:val="0"/>
                <w:numId w:val="0"/>
              </w:numPr>
              <w:jc w:val="both"/>
              <w:rPr>
                <w:rFonts w:hint="eastAsia"/>
                <w:color w:val="auto"/>
                <w:highlight w:val="none"/>
                <w:shd w:val="clear" w:color="auto" w:fill="auto"/>
                <w:vertAlign w:val="baseline"/>
              </w:rPr>
            </w:pPr>
            <w:r>
              <w:rPr>
                <w:rFonts w:hint="eastAsia"/>
                <w:color w:val="auto"/>
                <w:highlight w:val="none"/>
                <w:shd w:val="clear" w:color="auto" w:fill="auto"/>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19"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c>
          <w:tcPr>
            <w:tcW w:w="1220" w:type="dxa"/>
          </w:tcPr>
          <w:p>
            <w:pPr>
              <w:numPr>
                <w:ilvl w:val="0"/>
                <w:numId w:val="0"/>
              </w:numPr>
              <w:jc w:val="both"/>
              <w:rPr>
                <w:rFonts w:hint="eastAsia"/>
                <w:color w:val="auto"/>
                <w:highlight w:val="none"/>
                <w:shd w:val="clear" w:color="auto" w:fill="auto"/>
                <w:vertAlign w:val="baseline"/>
              </w:rPr>
            </w:pPr>
          </w:p>
        </w:tc>
      </w:tr>
    </w:tbl>
    <w:p>
      <w:pPr>
        <w:numPr>
          <w:ilvl w:val="0"/>
          <w:numId w:val="0"/>
        </w:numPr>
        <w:rPr>
          <w:rFonts w:hint="eastAsia"/>
          <w:color w:val="auto"/>
          <w:highlight w:val="none"/>
          <w:shd w:val="clear" w:color="auto" w:fill="auto"/>
        </w:rPr>
      </w:pPr>
    </w:p>
    <w:p>
      <w:pPr>
        <w:numPr>
          <w:ilvl w:val="0"/>
          <w:numId w:val="8"/>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交货方式和交货地点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2.1交货方式：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2.2交货地点：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供货清单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3.1供货清单：包括产品主机、随机备品备件、专用工具的名称及数量。（采购人对包装及运输有特别要求的，应作具体约定。）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付款方式与条件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4.1货物交货付款  全部货物交货并经验收合格后，甲方凭收讫货物的验收凭证和货物验收合格文件等材料以方式向乙方一次性支付%的货物价款。（若乙方有支付履约保证金的，可在支付货款时予以扣除。）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现场交货条件下，乙方要求付款应提交下列单证和文件。</w:t>
      </w:r>
    </w:p>
    <w:p>
      <w:pPr>
        <w:numPr>
          <w:ilvl w:val="0"/>
          <w:numId w:val="9"/>
        </w:numPr>
        <w:ind w:left="550" w:leftChars="0" w:firstLine="0" w:firstLineChars="0"/>
        <w:rPr>
          <w:rFonts w:hint="eastAsia"/>
          <w:color w:val="auto"/>
          <w:highlight w:val="none"/>
          <w:shd w:val="clear" w:color="auto" w:fill="auto"/>
        </w:rPr>
      </w:pPr>
      <w:r>
        <w:rPr>
          <w:rFonts w:hint="eastAsia"/>
          <w:color w:val="auto"/>
          <w:highlight w:val="none"/>
          <w:shd w:val="clear" w:color="auto" w:fill="auto"/>
        </w:rPr>
        <w:t xml:space="preserve">金额为有关合同货物价格%的正式发票。 </w:t>
      </w:r>
    </w:p>
    <w:p>
      <w:pPr>
        <w:numPr>
          <w:ilvl w:val="0"/>
          <w:numId w:val="9"/>
        </w:numPr>
        <w:ind w:left="550" w:leftChars="0" w:firstLine="0" w:firstLineChars="0"/>
        <w:rPr>
          <w:rFonts w:hint="eastAsia"/>
          <w:color w:val="auto"/>
          <w:highlight w:val="none"/>
          <w:shd w:val="clear" w:color="auto" w:fill="auto"/>
        </w:rPr>
      </w:pPr>
      <w:r>
        <w:rPr>
          <w:rFonts w:hint="eastAsia"/>
          <w:color w:val="auto"/>
          <w:highlight w:val="none"/>
          <w:shd w:val="clear" w:color="auto" w:fill="auto"/>
        </w:rPr>
        <w:t xml:space="preserve">制造厂家出具的货物质量合格证书。 </w:t>
      </w:r>
    </w:p>
    <w:p>
      <w:pPr>
        <w:numPr>
          <w:ilvl w:val="0"/>
          <w:numId w:val="9"/>
        </w:numPr>
        <w:ind w:left="550" w:leftChars="0" w:firstLine="0" w:firstLineChars="0"/>
        <w:rPr>
          <w:rFonts w:hint="eastAsia"/>
          <w:color w:val="auto"/>
          <w:highlight w:val="none"/>
          <w:shd w:val="clear" w:color="auto" w:fill="auto"/>
        </w:rPr>
      </w:pPr>
      <w:r>
        <w:rPr>
          <w:rFonts w:hint="eastAsia"/>
          <w:color w:val="auto"/>
          <w:highlight w:val="none"/>
          <w:shd w:val="clear" w:color="auto" w:fill="auto"/>
        </w:rPr>
        <w:t>甲方已收讫货物的验收凭证。</w:t>
      </w:r>
    </w:p>
    <w:p>
      <w:pPr>
        <w:numPr>
          <w:ilvl w:val="0"/>
          <w:numId w:val="9"/>
        </w:numPr>
        <w:ind w:left="550" w:leftChars="0" w:firstLine="0" w:firstLineChars="0"/>
        <w:rPr>
          <w:rFonts w:hint="eastAsia"/>
          <w:color w:val="auto"/>
          <w:highlight w:val="none"/>
          <w:shd w:val="clear" w:color="auto" w:fill="auto"/>
        </w:rPr>
      </w:pPr>
      <w:r>
        <w:rPr>
          <w:rFonts w:hint="eastAsia"/>
          <w:color w:val="auto"/>
          <w:highlight w:val="none"/>
          <w:shd w:val="clear" w:color="auto" w:fill="auto"/>
        </w:rPr>
        <w:t xml:space="preserve">甲方签发的验收合格文件。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4.2分期支付货款的，余下的货款应于（时间）支付。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质量要求和技术标准 质量条款可细分为产品质量、包装质量、技术资料质量等内容。 （质量要求和技术标准应按谈判文件要求填列。）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安装调试、技术服务、人员培训及技术资料  （安装调试、技术服务、人员培训及技术资料应按谈判文件要求填列。）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验收 （货物验收标准和方法应按谈判文件要求填列。）验收结果经双方确认后，双方代表必须按规定的验收交接单上的项目对照本合同填好验收结果并签名盖章。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验收可细分为到货时的外在质量的验收，投产前的质量验收，大型设备可能还存在更多的验收步骤和验收方式，采购人可在谈判文件中细化规定。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质量保证 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知识产权： 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违约责任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10.1未按期交货的违约责任：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违约终止合同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11.1.1如果乙方未能在合同规定的期限内或双方另行确定的延期交货时间内交付合同约定的货物。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11.1.2乙方未能履行合同项下的任何其它义务。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不可抗力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本合同中的不可抗力指不能预见、不能避免并不能克服的客观情况。包括但不限于：自然灾害如地震、台风、洪水、火灾；政府行为、法律规定或其适用的变化或者其他任何无法预见、避免或者控制的事件。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合同纠纷处理方式：因本合同或与本合同有关的一切事项发生争议，由双方友好协商解决。协商不成的，选择以下其中一种方式解决：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 ）向（甲方所在地）仲裁委员会申请仲裁；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 ）向有管辖权的人民法院提起诉讼。 </w:t>
      </w:r>
    </w:p>
    <w:p>
      <w:pPr>
        <w:numPr>
          <w:ilvl w:val="0"/>
          <w:numId w:val="8"/>
        </w:numPr>
        <w:ind w:left="0" w:leftChars="0" w:firstLine="440" w:firstLineChars="200"/>
        <w:rPr>
          <w:rFonts w:hint="eastAsia"/>
          <w:color w:val="auto"/>
          <w:highlight w:val="none"/>
          <w:shd w:val="clear" w:color="auto" w:fill="auto"/>
        </w:rPr>
      </w:pPr>
      <w:r>
        <w:rPr>
          <w:rFonts w:hint="eastAsia"/>
          <w:color w:val="auto"/>
          <w:highlight w:val="none"/>
          <w:shd w:val="clear" w:color="auto" w:fill="auto"/>
        </w:rPr>
        <w:t xml:space="preserve">其他约定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14.1本采购项目的谈判文件、成交供应商的响应文件以及相关的澄清确认函（如果有的话）均为本合同不可分割的一部分，与本合同具有同等法律效力。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14.2本合同未尽事宜，双方另行补充。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14.3本合同一式三份，经双方授权代表签字并加盖公章后生效。甲方、乙方各执一份，送采购代理机构备案一份，具有同等效力。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14.4甲方应当自合同签订之日起2个工作日，将合同在铜仁市政府采购网上公告，但合同中涉及国家秘密、商业秘密的内容除外。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甲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方：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乙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方：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单位地址：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单位地址：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法定代表人：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法定代表人：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委托代理人：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委托代理人：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电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话：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电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话：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开户银行：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开户银行： </w:t>
      </w:r>
    </w:p>
    <w:p>
      <w:pPr>
        <w:numPr>
          <w:ilvl w:val="0"/>
          <w:numId w:val="0"/>
        </w:numPr>
        <w:ind w:firstLine="440" w:firstLineChars="200"/>
        <w:rPr>
          <w:rFonts w:hint="eastAsia"/>
          <w:color w:val="auto"/>
          <w:highlight w:val="none"/>
          <w:shd w:val="clear" w:color="auto" w:fill="auto"/>
        </w:rPr>
      </w:pPr>
      <w:r>
        <w:rPr>
          <w:rFonts w:hint="eastAsia"/>
          <w:color w:val="auto"/>
          <w:highlight w:val="none"/>
          <w:shd w:val="clear" w:color="auto" w:fill="auto"/>
        </w:rPr>
        <w:t xml:space="preserve">账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号：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账 </w:t>
      </w:r>
      <w:r>
        <w:rPr>
          <w:rFonts w:hint="eastAsia"/>
          <w:color w:val="auto"/>
          <w:highlight w:val="none"/>
          <w:shd w:val="clear" w:color="auto" w:fill="auto"/>
          <w:lang w:val="en-US" w:eastAsia="zh-CN"/>
        </w:rPr>
        <w:t xml:space="preserve">  </w:t>
      </w:r>
      <w:r>
        <w:rPr>
          <w:rFonts w:hint="eastAsia"/>
          <w:color w:val="auto"/>
          <w:highlight w:val="none"/>
          <w:shd w:val="clear" w:color="auto" w:fill="auto"/>
        </w:rPr>
        <w:t xml:space="preserve">号： </w:t>
      </w: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rFonts w:hint="eastAsia" w:hAnsi="宋体"/>
          <w:color w:val="auto"/>
          <w:sz w:val="24"/>
          <w:szCs w:val="24"/>
          <w:highlight w:val="none"/>
          <w:shd w:val="clear" w:color="auto" w:fill="auto"/>
          <w:lang w:val="en-GB"/>
        </w:rPr>
      </w:pPr>
    </w:p>
    <w:p>
      <w:pPr>
        <w:jc w:val="center"/>
        <w:outlineLvl w:val="0"/>
        <w:rPr>
          <w:b/>
          <w:color w:val="auto"/>
          <w:sz w:val="44"/>
          <w:szCs w:val="44"/>
          <w:highlight w:val="none"/>
          <w:shd w:val="clear" w:color="auto" w:fill="auto"/>
        </w:rPr>
      </w:pPr>
      <w:r>
        <w:rPr>
          <w:b/>
          <w:color w:val="auto"/>
          <w:sz w:val="44"/>
          <w:szCs w:val="44"/>
          <w:highlight w:val="none"/>
          <w:shd w:val="clear" w:color="auto" w:fill="auto"/>
        </w:rPr>
        <w:t>第</w:t>
      </w:r>
      <w:r>
        <w:rPr>
          <w:rFonts w:hint="eastAsia"/>
          <w:b/>
          <w:color w:val="auto"/>
          <w:sz w:val="44"/>
          <w:szCs w:val="44"/>
          <w:highlight w:val="none"/>
          <w:shd w:val="clear" w:color="auto" w:fill="auto"/>
        </w:rPr>
        <w:t>七</w:t>
      </w:r>
      <w:r>
        <w:rPr>
          <w:b/>
          <w:color w:val="auto"/>
          <w:sz w:val="44"/>
          <w:szCs w:val="44"/>
          <w:highlight w:val="none"/>
          <w:shd w:val="clear" w:color="auto" w:fill="auto"/>
        </w:rPr>
        <w:t>章</w:t>
      </w:r>
      <w:r>
        <w:rPr>
          <w:rFonts w:hint="eastAsia"/>
          <w:b/>
          <w:color w:val="auto"/>
          <w:sz w:val="44"/>
          <w:szCs w:val="44"/>
          <w:highlight w:val="none"/>
          <w:shd w:val="clear" w:color="auto" w:fill="auto"/>
        </w:rPr>
        <w:t xml:space="preserve"> </w:t>
      </w:r>
      <w:r>
        <w:rPr>
          <w:b/>
          <w:color w:val="auto"/>
          <w:sz w:val="44"/>
          <w:szCs w:val="44"/>
          <w:highlight w:val="none"/>
          <w:shd w:val="clear" w:color="auto" w:fill="auto"/>
        </w:rPr>
        <w:t xml:space="preserve"> 响应文件格式</w:t>
      </w:r>
      <w:bookmarkEnd w:id="211"/>
      <w:bookmarkEnd w:id="212"/>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b/>
          <w:color w:val="auto"/>
          <w:sz w:val="36"/>
          <w:highlight w:val="none"/>
          <w:shd w:val="clear" w:color="auto" w:fill="auto"/>
        </w:rPr>
      </w:pPr>
    </w:p>
    <w:p>
      <w:pPr>
        <w:pStyle w:val="11"/>
        <w:rPr>
          <w:b/>
          <w:color w:val="auto"/>
          <w:sz w:val="36"/>
          <w:highlight w:val="none"/>
          <w:shd w:val="clear" w:color="auto" w:fill="auto"/>
        </w:rPr>
      </w:pPr>
    </w:p>
    <w:p>
      <w:pPr>
        <w:rPr>
          <w:color w:val="auto"/>
          <w:highlight w:val="none"/>
          <w:shd w:val="clear" w:color="auto" w:fill="auto"/>
        </w:rPr>
      </w:pPr>
    </w:p>
    <w:p>
      <w:pPr>
        <w:jc w:val="center"/>
        <w:rPr>
          <w:b/>
          <w:color w:val="auto"/>
          <w:sz w:val="36"/>
          <w:highlight w:val="none"/>
          <w:shd w:val="clear" w:color="auto" w:fill="auto"/>
        </w:rPr>
      </w:pPr>
    </w:p>
    <w:p>
      <w:pPr>
        <w:jc w:val="center"/>
        <w:rPr>
          <w:b/>
          <w:color w:val="auto"/>
          <w:sz w:val="36"/>
          <w:highlight w:val="none"/>
          <w:shd w:val="clear" w:color="auto" w:fill="auto"/>
        </w:rPr>
      </w:pPr>
    </w:p>
    <w:p>
      <w:pPr>
        <w:jc w:val="center"/>
        <w:rPr>
          <w:b/>
          <w:color w:val="auto"/>
          <w:sz w:val="36"/>
          <w:highlight w:val="none"/>
          <w:shd w:val="clear" w:color="auto" w:fill="auto"/>
        </w:rPr>
      </w:pPr>
      <w:r>
        <w:rPr>
          <w:b/>
          <w:color w:val="auto"/>
          <w:sz w:val="36"/>
          <w:highlight w:val="none"/>
          <w:shd w:val="clear" w:color="auto" w:fill="auto"/>
        </w:rPr>
        <w:t>投标密封袋及文件封面格式</w:t>
      </w:r>
    </w:p>
    <w:p>
      <w:pPr>
        <w:rPr>
          <w:color w:val="auto"/>
          <w:sz w:val="24"/>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p>
    <w:p>
      <w:pPr>
        <w:jc w:val="right"/>
        <w:rPr>
          <w:color w:val="auto"/>
          <w:highlight w:val="none"/>
          <w:shd w:val="clear" w:color="auto" w:fill="auto"/>
        </w:rPr>
      </w:pPr>
      <w:r>
        <w:rPr>
          <w:color w:val="auto"/>
          <w:highlight w:val="none"/>
          <w:shd w:val="clear" w:color="auto" w:fill="auto"/>
        </w:rPr>
        <w:t>注:投标文件标明</w:t>
      </w:r>
      <w:r>
        <w:rPr>
          <w:color w:val="auto"/>
          <w:highlight w:val="none"/>
          <w:u w:val="single"/>
          <w:shd w:val="clear" w:color="auto" w:fill="auto"/>
        </w:rPr>
        <w:t>正本或副本</w:t>
      </w:r>
    </w:p>
    <w:p>
      <w:pPr>
        <w:rPr>
          <w:b/>
          <w:color w:val="auto"/>
          <w:sz w:val="23"/>
          <w:highlight w:val="none"/>
          <w:shd w:val="clear" w:color="auto" w:fill="auto"/>
        </w:rPr>
      </w:pPr>
    </w:p>
    <w:p>
      <w:pPr>
        <w:jc w:val="center"/>
        <w:rPr>
          <w:rFonts w:hint="eastAsia" w:eastAsia="宋体"/>
          <w:color w:val="auto"/>
          <w:sz w:val="36"/>
          <w:highlight w:val="none"/>
          <w:shd w:val="clear" w:color="auto" w:fill="auto"/>
          <w:lang w:eastAsia="zh-CN"/>
        </w:rPr>
      </w:pPr>
      <w:r>
        <w:rPr>
          <w:rFonts w:hint="eastAsia"/>
          <w:color w:val="auto"/>
          <w:spacing w:val="-3"/>
          <w:sz w:val="36"/>
          <w:highlight w:val="none"/>
          <w:u w:val="single"/>
          <w:shd w:val="clear" w:color="auto" w:fill="auto"/>
          <w:lang w:val="en-US" w:eastAsia="zh-CN"/>
        </w:rPr>
        <w:t xml:space="preserve">                  </w:t>
      </w:r>
      <w:r>
        <w:rPr>
          <w:rFonts w:hint="eastAsia"/>
          <w:color w:val="auto"/>
          <w:spacing w:val="-3"/>
          <w:sz w:val="36"/>
          <w:highlight w:val="none"/>
          <w:u w:val="none"/>
          <w:shd w:val="clear" w:color="auto" w:fill="auto"/>
          <w:lang w:val="en-US" w:eastAsia="zh-CN"/>
        </w:rPr>
        <w:t>（</w:t>
      </w:r>
      <w:r>
        <w:rPr>
          <w:rFonts w:hint="eastAsia"/>
          <w:color w:val="auto"/>
          <w:spacing w:val="-3"/>
          <w:sz w:val="36"/>
          <w:highlight w:val="none"/>
          <w:shd w:val="clear" w:color="auto" w:fill="auto"/>
        </w:rPr>
        <w:t>项目名称</w:t>
      </w:r>
      <w:r>
        <w:rPr>
          <w:rFonts w:hint="eastAsia"/>
          <w:color w:val="auto"/>
          <w:spacing w:val="-3"/>
          <w:sz w:val="36"/>
          <w:highlight w:val="none"/>
          <w:shd w:val="clear" w:color="auto" w:fill="auto"/>
          <w:lang w:eastAsia="zh-CN"/>
        </w:rPr>
        <w:t>）</w:t>
      </w:r>
    </w:p>
    <w:p>
      <w:pPr>
        <w:rPr>
          <w:b/>
          <w:color w:val="auto"/>
          <w:sz w:val="28"/>
          <w:highlight w:val="none"/>
          <w:shd w:val="clear" w:color="auto" w:fill="auto"/>
        </w:rPr>
      </w:pPr>
    </w:p>
    <w:p>
      <w:pPr>
        <w:rPr>
          <w:b/>
          <w:color w:val="auto"/>
          <w:sz w:val="28"/>
          <w:highlight w:val="none"/>
          <w:shd w:val="clear" w:color="auto" w:fill="auto"/>
        </w:rPr>
      </w:pPr>
    </w:p>
    <w:p>
      <w:pPr>
        <w:jc w:val="center"/>
        <w:rPr>
          <w:b/>
          <w:color w:val="auto"/>
          <w:sz w:val="52"/>
          <w:highlight w:val="none"/>
          <w:shd w:val="clear" w:color="auto" w:fill="auto"/>
        </w:rPr>
      </w:pPr>
      <w:r>
        <w:rPr>
          <w:b/>
          <w:color w:val="auto"/>
          <w:sz w:val="52"/>
          <w:highlight w:val="none"/>
          <w:shd w:val="clear" w:color="auto" w:fill="auto"/>
        </w:rPr>
        <w:t>响</w:t>
      </w:r>
    </w:p>
    <w:p>
      <w:pPr>
        <w:jc w:val="center"/>
        <w:rPr>
          <w:b/>
          <w:color w:val="auto"/>
          <w:sz w:val="52"/>
          <w:highlight w:val="none"/>
          <w:shd w:val="clear" w:color="auto" w:fill="auto"/>
        </w:rPr>
      </w:pPr>
      <w:r>
        <w:rPr>
          <w:b/>
          <w:color w:val="auto"/>
          <w:sz w:val="52"/>
          <w:highlight w:val="none"/>
          <w:shd w:val="clear" w:color="auto" w:fill="auto"/>
        </w:rPr>
        <w:t>应</w:t>
      </w:r>
    </w:p>
    <w:p>
      <w:pPr>
        <w:jc w:val="center"/>
        <w:rPr>
          <w:b/>
          <w:color w:val="auto"/>
          <w:sz w:val="52"/>
          <w:highlight w:val="none"/>
          <w:shd w:val="clear" w:color="auto" w:fill="auto"/>
        </w:rPr>
      </w:pPr>
      <w:r>
        <w:rPr>
          <w:b/>
          <w:color w:val="auto"/>
          <w:sz w:val="52"/>
          <w:highlight w:val="none"/>
          <w:shd w:val="clear" w:color="auto" w:fill="auto"/>
        </w:rPr>
        <w:t>文</w:t>
      </w:r>
    </w:p>
    <w:p>
      <w:pPr>
        <w:jc w:val="center"/>
        <w:rPr>
          <w:b/>
          <w:color w:val="auto"/>
          <w:sz w:val="52"/>
          <w:highlight w:val="none"/>
          <w:shd w:val="clear" w:color="auto" w:fill="auto"/>
        </w:rPr>
      </w:pPr>
      <w:r>
        <w:rPr>
          <w:b/>
          <w:color w:val="auto"/>
          <w:sz w:val="52"/>
          <w:highlight w:val="none"/>
          <w:shd w:val="clear" w:color="auto" w:fill="auto"/>
        </w:rPr>
        <w:t>件</w:t>
      </w:r>
    </w:p>
    <w:p>
      <w:pPr>
        <w:rPr>
          <w:b/>
          <w:color w:val="auto"/>
          <w:sz w:val="25"/>
          <w:highlight w:val="none"/>
          <w:shd w:val="clear" w:color="auto" w:fill="auto"/>
        </w:rPr>
      </w:pPr>
    </w:p>
    <w:p>
      <w:pPr>
        <w:ind w:firstLine="834" w:firstLineChars="300"/>
        <w:rPr>
          <w:rFonts w:hint="eastAsia"/>
          <w:color w:val="auto"/>
          <w:sz w:val="28"/>
          <w:highlight w:val="none"/>
          <w:u w:val="single"/>
          <w:shd w:val="clear" w:color="auto" w:fill="auto"/>
          <w:lang w:val="en-US" w:eastAsia="zh-CN"/>
        </w:rPr>
      </w:pPr>
      <w:r>
        <w:rPr>
          <w:color w:val="auto"/>
          <w:spacing w:val="-1"/>
          <w:sz w:val="28"/>
          <w:highlight w:val="none"/>
          <w:shd w:val="clear" w:color="auto" w:fill="auto"/>
        </w:rPr>
        <w:t>采</w:t>
      </w:r>
      <w:r>
        <w:rPr>
          <w:color w:val="auto"/>
          <w:spacing w:val="-3"/>
          <w:sz w:val="28"/>
          <w:highlight w:val="none"/>
          <w:shd w:val="clear" w:color="auto" w:fill="auto"/>
        </w:rPr>
        <w:t>购</w:t>
      </w:r>
      <w:r>
        <w:rPr>
          <w:color w:val="auto"/>
          <w:spacing w:val="-1"/>
          <w:sz w:val="28"/>
          <w:highlight w:val="none"/>
          <w:shd w:val="clear" w:color="auto" w:fill="auto"/>
        </w:rPr>
        <w:t>项目</w:t>
      </w:r>
      <w:r>
        <w:rPr>
          <w:color w:val="auto"/>
          <w:spacing w:val="-3"/>
          <w:sz w:val="28"/>
          <w:highlight w:val="none"/>
          <w:shd w:val="clear" w:color="auto" w:fill="auto"/>
        </w:rPr>
        <w:t>名</w:t>
      </w:r>
      <w:r>
        <w:rPr>
          <w:color w:val="auto"/>
          <w:spacing w:val="-1"/>
          <w:sz w:val="28"/>
          <w:highlight w:val="none"/>
          <w:shd w:val="clear" w:color="auto" w:fill="auto"/>
        </w:rPr>
        <w:t>称</w:t>
      </w:r>
      <w:r>
        <w:rPr>
          <w:color w:val="auto"/>
          <w:sz w:val="28"/>
          <w:highlight w:val="none"/>
          <w:shd w:val="clear" w:color="auto" w:fill="auto"/>
        </w:rPr>
        <w:t>:</w:t>
      </w:r>
      <w:r>
        <w:rPr>
          <w:color w:val="auto"/>
          <w:sz w:val="28"/>
          <w:highlight w:val="none"/>
          <w:u w:val="single"/>
          <w:shd w:val="clear" w:color="auto" w:fill="auto"/>
        </w:rPr>
        <w:tab/>
      </w:r>
      <w:r>
        <w:rPr>
          <w:rFonts w:hint="eastAsia"/>
          <w:color w:val="auto"/>
          <w:sz w:val="28"/>
          <w:highlight w:val="none"/>
          <w:u w:val="single"/>
          <w:shd w:val="clear" w:color="auto" w:fill="auto"/>
          <w:lang w:val="en-US" w:eastAsia="zh-CN"/>
        </w:rPr>
        <w:t xml:space="preserve">                     </w:t>
      </w:r>
    </w:p>
    <w:p>
      <w:pPr>
        <w:pStyle w:val="11"/>
        <w:ind w:firstLine="840" w:firstLineChars="300"/>
        <w:rPr>
          <w:rFonts w:hint="default"/>
          <w:color w:val="auto"/>
          <w:highlight w:val="none"/>
          <w:u w:val="single"/>
          <w:shd w:val="clear" w:color="auto" w:fill="auto"/>
          <w:lang w:val="en-US" w:eastAsia="zh-CN"/>
        </w:rPr>
      </w:pPr>
      <w:r>
        <w:rPr>
          <w:rFonts w:hint="eastAsia"/>
          <w:color w:val="auto"/>
          <w:sz w:val="28"/>
          <w:highlight w:val="none"/>
          <w:u w:val="none"/>
          <w:shd w:val="clear" w:color="auto" w:fill="auto"/>
          <w:lang w:val="en-US" w:eastAsia="zh-CN"/>
        </w:rPr>
        <w:t>项目编号：</w:t>
      </w:r>
      <w:r>
        <w:rPr>
          <w:rFonts w:hint="eastAsia"/>
          <w:color w:val="auto"/>
          <w:sz w:val="28"/>
          <w:highlight w:val="none"/>
          <w:u w:val="single"/>
          <w:shd w:val="clear" w:color="auto" w:fill="auto"/>
          <w:lang w:val="en-US" w:eastAsia="zh-CN"/>
        </w:rPr>
        <w:t xml:space="preserve">                          </w:t>
      </w:r>
    </w:p>
    <w:p>
      <w:pPr>
        <w:ind w:firstLine="834" w:firstLineChars="300"/>
        <w:rPr>
          <w:rFonts w:hint="default" w:eastAsia="宋体"/>
          <w:color w:val="auto"/>
          <w:sz w:val="28"/>
          <w:highlight w:val="none"/>
          <w:u w:val="single"/>
          <w:shd w:val="clear" w:color="auto" w:fill="auto"/>
          <w:lang w:val="en-US" w:eastAsia="zh-CN"/>
        </w:rPr>
      </w:pPr>
      <w:r>
        <w:rPr>
          <w:color w:val="auto"/>
          <w:spacing w:val="-1"/>
          <w:sz w:val="28"/>
          <w:highlight w:val="none"/>
          <w:shd w:val="clear" w:color="auto" w:fill="auto"/>
        </w:rPr>
        <w:t>投</w:t>
      </w:r>
      <w:r>
        <w:rPr>
          <w:color w:val="auto"/>
          <w:spacing w:val="-3"/>
          <w:sz w:val="28"/>
          <w:highlight w:val="none"/>
          <w:shd w:val="clear" w:color="auto" w:fill="auto"/>
        </w:rPr>
        <w:t>标</w:t>
      </w:r>
      <w:r>
        <w:rPr>
          <w:color w:val="auto"/>
          <w:spacing w:val="-1"/>
          <w:sz w:val="28"/>
          <w:highlight w:val="none"/>
          <w:shd w:val="clear" w:color="auto" w:fill="auto"/>
        </w:rPr>
        <w:t>单位</w:t>
      </w:r>
      <w:r>
        <w:rPr>
          <w:color w:val="auto"/>
          <w:spacing w:val="-3"/>
          <w:sz w:val="28"/>
          <w:highlight w:val="none"/>
          <w:shd w:val="clear" w:color="auto" w:fill="auto"/>
        </w:rPr>
        <w:t>名</w:t>
      </w:r>
      <w:r>
        <w:rPr>
          <w:color w:val="auto"/>
          <w:spacing w:val="-1"/>
          <w:sz w:val="28"/>
          <w:highlight w:val="none"/>
          <w:shd w:val="clear" w:color="auto" w:fill="auto"/>
        </w:rPr>
        <w:t>称</w:t>
      </w:r>
      <w:r>
        <w:rPr>
          <w:color w:val="auto"/>
          <w:sz w:val="28"/>
          <w:highlight w:val="none"/>
          <w:shd w:val="clear" w:color="auto" w:fill="auto"/>
        </w:rPr>
        <w:t>:</w:t>
      </w:r>
      <w:r>
        <w:rPr>
          <w:color w:val="auto"/>
          <w:sz w:val="28"/>
          <w:highlight w:val="none"/>
          <w:u w:val="single"/>
          <w:shd w:val="clear" w:color="auto" w:fill="auto"/>
        </w:rPr>
        <w:tab/>
      </w:r>
      <w:r>
        <w:rPr>
          <w:color w:val="auto"/>
          <w:sz w:val="28"/>
          <w:highlight w:val="none"/>
          <w:u w:val="single"/>
          <w:shd w:val="clear" w:color="auto" w:fill="auto"/>
        </w:rPr>
        <w:tab/>
      </w:r>
      <w:r>
        <w:rPr>
          <w:rFonts w:hint="eastAsia"/>
          <w:color w:val="auto"/>
          <w:sz w:val="28"/>
          <w:highlight w:val="none"/>
          <w:u w:val="single"/>
          <w:shd w:val="clear" w:color="auto" w:fill="auto"/>
          <w:lang w:val="en-US" w:eastAsia="zh-CN"/>
        </w:rPr>
        <w:t xml:space="preserve">                  </w:t>
      </w:r>
    </w:p>
    <w:p>
      <w:pPr>
        <w:ind w:firstLine="840" w:firstLineChars="300"/>
        <w:rPr>
          <w:rFonts w:hint="default" w:ascii="Times New Roman" w:eastAsia="宋体"/>
          <w:color w:val="auto"/>
          <w:sz w:val="28"/>
          <w:highlight w:val="none"/>
          <w:u w:val="single"/>
          <w:shd w:val="clear" w:color="auto" w:fill="auto"/>
          <w:lang w:val="en-US" w:eastAsia="zh-CN"/>
        </w:rPr>
      </w:pPr>
      <w:r>
        <w:rPr>
          <w:color w:val="auto"/>
          <w:sz w:val="28"/>
          <w:highlight w:val="none"/>
          <w:shd w:val="clear" w:color="auto" w:fill="auto"/>
        </w:rPr>
        <w:t>地</w:t>
      </w:r>
      <w:r>
        <w:rPr>
          <w:color w:val="auto"/>
          <w:spacing w:val="-3"/>
          <w:sz w:val="28"/>
          <w:highlight w:val="none"/>
          <w:shd w:val="clear" w:color="auto" w:fill="auto"/>
        </w:rPr>
        <w:t>址</w:t>
      </w:r>
      <w:r>
        <w:rPr>
          <w:color w:val="auto"/>
          <w:sz w:val="28"/>
          <w:highlight w:val="none"/>
          <w:shd w:val="clear" w:color="auto" w:fill="auto"/>
        </w:rPr>
        <w:t>:</w:t>
      </w:r>
      <w:r>
        <w:rPr>
          <w:rFonts w:ascii="Times New Roman" w:eastAsia="Times New Roman"/>
          <w:color w:val="auto"/>
          <w:sz w:val="28"/>
          <w:highlight w:val="none"/>
          <w:u w:val="single"/>
          <w:shd w:val="clear" w:color="auto" w:fill="auto"/>
        </w:rPr>
        <w:tab/>
      </w:r>
      <w:r>
        <w:rPr>
          <w:rFonts w:ascii="Times New Roman" w:eastAsia="Times New Roman"/>
          <w:color w:val="auto"/>
          <w:sz w:val="28"/>
          <w:highlight w:val="none"/>
          <w:u w:val="single"/>
          <w:shd w:val="clear" w:color="auto" w:fill="auto"/>
        </w:rPr>
        <w:tab/>
      </w:r>
      <w:r>
        <w:rPr>
          <w:rFonts w:hint="eastAsia" w:ascii="Times New Roman" w:eastAsia="宋体"/>
          <w:color w:val="auto"/>
          <w:sz w:val="28"/>
          <w:highlight w:val="none"/>
          <w:u w:val="single"/>
          <w:shd w:val="clear" w:color="auto" w:fill="auto"/>
          <w:lang w:val="en-US" w:eastAsia="zh-CN"/>
        </w:rPr>
        <w:t xml:space="preserve">                           </w:t>
      </w:r>
    </w:p>
    <w:p>
      <w:pPr>
        <w:ind w:firstLine="840" w:firstLineChars="300"/>
        <w:rPr>
          <w:rFonts w:hint="default" w:ascii="Times New Roman" w:eastAsia="宋体"/>
          <w:color w:val="auto"/>
          <w:sz w:val="28"/>
          <w:highlight w:val="none"/>
          <w:u w:val="single"/>
          <w:shd w:val="clear" w:color="auto" w:fill="auto"/>
          <w:lang w:val="en-US" w:eastAsia="zh-CN"/>
        </w:rPr>
      </w:pPr>
      <w:r>
        <w:rPr>
          <w:color w:val="auto"/>
          <w:sz w:val="28"/>
          <w:highlight w:val="none"/>
          <w:shd w:val="clear" w:color="auto" w:fill="auto"/>
        </w:rPr>
        <w:t>联系</w:t>
      </w:r>
      <w:r>
        <w:rPr>
          <w:color w:val="auto"/>
          <w:spacing w:val="-3"/>
          <w:sz w:val="28"/>
          <w:highlight w:val="none"/>
          <w:shd w:val="clear" w:color="auto" w:fill="auto"/>
        </w:rPr>
        <w:t>人</w:t>
      </w:r>
      <w:r>
        <w:rPr>
          <w:color w:val="auto"/>
          <w:sz w:val="28"/>
          <w:highlight w:val="none"/>
          <w:shd w:val="clear" w:color="auto" w:fill="auto"/>
        </w:rPr>
        <w:t>:</w:t>
      </w:r>
      <w:r>
        <w:rPr>
          <w:rFonts w:ascii="Times New Roman" w:eastAsia="Times New Roman"/>
          <w:color w:val="auto"/>
          <w:sz w:val="28"/>
          <w:highlight w:val="none"/>
          <w:u w:val="single"/>
          <w:shd w:val="clear" w:color="auto" w:fill="auto"/>
        </w:rPr>
        <w:tab/>
      </w:r>
      <w:r>
        <w:rPr>
          <w:rFonts w:hint="eastAsia" w:ascii="Times New Roman" w:eastAsia="宋体"/>
          <w:color w:val="auto"/>
          <w:sz w:val="28"/>
          <w:highlight w:val="none"/>
          <w:u w:val="single"/>
          <w:shd w:val="clear" w:color="auto" w:fill="auto"/>
          <w:lang w:val="en-US" w:eastAsia="zh-CN"/>
        </w:rPr>
        <w:t xml:space="preserve">                            </w:t>
      </w:r>
    </w:p>
    <w:p>
      <w:pPr>
        <w:ind w:firstLine="840" w:firstLineChars="300"/>
        <w:rPr>
          <w:rFonts w:hint="eastAsia" w:eastAsia="宋体"/>
          <w:color w:val="auto"/>
          <w:sz w:val="24"/>
          <w:highlight w:val="none"/>
          <w:shd w:val="clear" w:color="auto" w:fill="auto"/>
          <w:lang w:val="en-US"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color w:val="auto"/>
          <w:sz w:val="28"/>
          <w:highlight w:val="none"/>
          <w:shd w:val="clear" w:color="auto" w:fill="auto"/>
        </w:rPr>
        <w:t>联系电</w:t>
      </w:r>
      <w:r>
        <w:rPr>
          <w:color w:val="auto"/>
          <w:spacing w:val="-3"/>
          <w:sz w:val="28"/>
          <w:highlight w:val="none"/>
          <w:shd w:val="clear" w:color="auto" w:fill="auto"/>
        </w:rPr>
        <w:t>话</w:t>
      </w:r>
      <w:r>
        <w:rPr>
          <w:color w:val="auto"/>
          <w:sz w:val="28"/>
          <w:highlight w:val="none"/>
          <w:shd w:val="clear" w:color="auto" w:fill="auto"/>
        </w:rPr>
        <w:t>:</w:t>
      </w:r>
      <w:r>
        <w:rPr>
          <w:rFonts w:hint="eastAsia"/>
          <w:color w:val="auto"/>
          <w:sz w:val="28"/>
          <w:highlight w:val="none"/>
          <w:shd w:val="clear" w:color="auto" w:fill="auto"/>
          <w:lang w:val="en-US" w:eastAsia="zh-CN"/>
        </w:rPr>
        <w:t xml:space="preserve"> </w:t>
      </w:r>
      <w:r>
        <w:rPr>
          <w:rFonts w:ascii="Times New Roman" w:eastAsia="Times New Roman"/>
          <w:color w:val="auto"/>
          <w:sz w:val="28"/>
          <w:highlight w:val="none"/>
          <w:u w:val="single"/>
          <w:shd w:val="clear" w:color="auto" w:fill="auto"/>
        </w:rPr>
        <w:tab/>
      </w:r>
      <w:r>
        <w:rPr>
          <w:rFonts w:hint="eastAsia" w:ascii="Times New Roman" w:eastAsia="宋体"/>
          <w:color w:val="auto"/>
          <w:sz w:val="28"/>
          <w:highlight w:val="none"/>
          <w:u w:val="single"/>
          <w:shd w:val="clear" w:color="auto" w:fill="auto"/>
          <w:lang w:val="en-US" w:eastAsia="zh-CN"/>
        </w:rPr>
        <w:t xml:space="preserve">                         </w:t>
      </w:r>
    </w:p>
    <w:p>
      <w:pPr>
        <w:jc w:val="center"/>
        <w:rPr>
          <w:b/>
          <w:color w:val="auto"/>
          <w:sz w:val="28"/>
          <w:szCs w:val="28"/>
          <w:highlight w:val="none"/>
          <w:shd w:val="clear" w:color="auto" w:fill="auto"/>
        </w:rPr>
      </w:pPr>
      <w:r>
        <w:rPr>
          <w:b/>
          <w:color w:val="auto"/>
          <w:sz w:val="28"/>
          <w:szCs w:val="28"/>
          <w:highlight w:val="none"/>
          <w:shd w:val="clear" w:color="auto" w:fill="auto"/>
        </w:rPr>
        <w:t>一</w:t>
      </w:r>
      <w:r>
        <w:rPr>
          <w:rFonts w:hint="eastAsia"/>
          <w:b/>
          <w:color w:val="auto"/>
          <w:sz w:val="28"/>
          <w:szCs w:val="28"/>
          <w:highlight w:val="none"/>
          <w:shd w:val="clear" w:color="auto" w:fill="auto"/>
          <w:lang w:eastAsia="zh-CN"/>
        </w:rPr>
        <w:t>、投标</w:t>
      </w:r>
      <w:r>
        <w:rPr>
          <w:b/>
          <w:color w:val="auto"/>
          <w:sz w:val="28"/>
          <w:szCs w:val="28"/>
          <w:highlight w:val="none"/>
          <w:shd w:val="clear" w:color="auto" w:fill="auto"/>
        </w:rPr>
        <w:t>响应声明函</w:t>
      </w:r>
    </w:p>
    <w:p>
      <w:pPr>
        <w:adjustRightInd w:val="0"/>
        <w:snapToGrid w:val="0"/>
        <w:spacing w:line="360" w:lineRule="auto"/>
        <w:rPr>
          <w:rFonts w:hint="eastAsia" w:eastAsia="宋体"/>
          <w:color w:val="auto"/>
          <w:sz w:val="24"/>
          <w:szCs w:val="24"/>
          <w:highlight w:val="none"/>
          <w:shd w:val="clear" w:color="auto" w:fill="auto"/>
          <w:lang w:eastAsia="zh-CN"/>
        </w:rPr>
      </w:pPr>
      <w:r>
        <w:rPr>
          <w:color w:val="auto"/>
          <w:sz w:val="24"/>
          <w:szCs w:val="24"/>
          <w:highlight w:val="none"/>
          <w:shd w:val="clear" w:color="auto" w:fill="auto"/>
        </w:rPr>
        <w:t>致：</w:t>
      </w:r>
      <w:r>
        <w:rPr>
          <w:rFonts w:hint="eastAsia"/>
          <w:color w:val="auto"/>
          <w:sz w:val="24"/>
          <w:szCs w:val="24"/>
          <w:highlight w:val="none"/>
          <w:shd w:val="clear" w:color="auto" w:fill="auto"/>
          <w:lang w:eastAsia="zh-CN"/>
        </w:rPr>
        <w:t>贵州万和工程招标代理造价咨询有限责任公司</w:t>
      </w:r>
    </w:p>
    <w:p>
      <w:pPr>
        <w:adjustRightInd w:val="0"/>
        <w:snapToGrid w:val="0"/>
        <w:spacing w:line="360" w:lineRule="auto"/>
        <w:ind w:firstLine="480" w:firstLineChars="200"/>
        <w:rPr>
          <w:color w:val="auto"/>
          <w:sz w:val="24"/>
          <w:szCs w:val="24"/>
          <w:highlight w:val="none"/>
          <w:shd w:val="clear" w:color="auto" w:fill="auto"/>
        </w:rPr>
      </w:pPr>
      <w:r>
        <w:rPr>
          <w:color w:val="auto"/>
          <w:sz w:val="24"/>
          <w:szCs w:val="24"/>
          <w:highlight w:val="none"/>
          <w:shd w:val="clear" w:color="auto" w:fill="auto"/>
        </w:rPr>
        <w:t>根据贵方为</w:t>
      </w:r>
      <w:r>
        <w:rPr>
          <w:color w:val="auto"/>
          <w:spacing w:val="-3"/>
          <w:sz w:val="24"/>
          <w:szCs w:val="24"/>
          <w:highlight w:val="none"/>
          <w:u w:val="single"/>
          <w:shd w:val="clear" w:color="auto" w:fill="auto"/>
        </w:rPr>
        <w:t>（</w:t>
      </w:r>
      <w:r>
        <w:rPr>
          <w:color w:val="auto"/>
          <w:sz w:val="24"/>
          <w:szCs w:val="24"/>
          <w:highlight w:val="none"/>
          <w:u w:val="single"/>
          <w:shd w:val="clear" w:color="auto" w:fill="auto"/>
        </w:rPr>
        <w:t>项目名称）</w:t>
      </w:r>
      <w:r>
        <w:rPr>
          <w:color w:val="auto"/>
          <w:spacing w:val="-6"/>
          <w:sz w:val="24"/>
          <w:szCs w:val="24"/>
          <w:highlight w:val="none"/>
          <w:shd w:val="clear" w:color="auto" w:fill="auto"/>
        </w:rPr>
        <w:t>项目的招标公告，签字代表</w:t>
      </w:r>
      <w:r>
        <w:rPr>
          <w:color w:val="auto"/>
          <w:sz w:val="24"/>
          <w:szCs w:val="24"/>
          <w:highlight w:val="none"/>
          <w:u w:val="single"/>
          <w:shd w:val="clear" w:color="auto" w:fill="auto"/>
        </w:rPr>
        <w:t>（</w:t>
      </w:r>
      <w:r>
        <w:rPr>
          <w:color w:val="auto"/>
          <w:spacing w:val="-4"/>
          <w:sz w:val="24"/>
          <w:szCs w:val="24"/>
          <w:highlight w:val="none"/>
          <w:u w:val="single"/>
          <w:shd w:val="clear" w:color="auto" w:fill="auto"/>
        </w:rPr>
        <w:t>姓名、职务</w:t>
      </w:r>
      <w:r>
        <w:rPr>
          <w:color w:val="auto"/>
          <w:spacing w:val="-17"/>
          <w:sz w:val="24"/>
          <w:szCs w:val="24"/>
          <w:highlight w:val="none"/>
          <w:u w:val="single"/>
          <w:shd w:val="clear" w:color="auto" w:fill="auto"/>
        </w:rPr>
        <w:t>）</w:t>
      </w:r>
      <w:r>
        <w:rPr>
          <w:color w:val="auto"/>
          <w:spacing w:val="-7"/>
          <w:sz w:val="24"/>
          <w:szCs w:val="24"/>
          <w:highlight w:val="none"/>
          <w:shd w:val="clear" w:color="auto" w:fill="auto"/>
        </w:rPr>
        <w:t>经正</w:t>
      </w:r>
      <w:r>
        <w:rPr>
          <w:color w:val="auto"/>
          <w:sz w:val="24"/>
          <w:szCs w:val="24"/>
          <w:highlight w:val="none"/>
          <w:shd w:val="clear" w:color="auto" w:fill="auto"/>
        </w:rPr>
        <w:t>式授权并代表投标人</w:t>
      </w:r>
      <w:r>
        <w:rPr>
          <w:color w:val="auto"/>
          <w:sz w:val="24"/>
          <w:szCs w:val="24"/>
          <w:highlight w:val="none"/>
          <w:u w:val="single"/>
          <w:shd w:val="clear" w:color="auto" w:fill="auto"/>
        </w:rPr>
        <w:t>（投标人名称、地址）</w:t>
      </w:r>
      <w:r>
        <w:rPr>
          <w:color w:val="auto"/>
          <w:sz w:val="24"/>
          <w:szCs w:val="24"/>
          <w:highlight w:val="none"/>
          <w:shd w:val="clear" w:color="auto" w:fill="auto"/>
        </w:rPr>
        <w:t>提交本项目投标文件正本</w:t>
      </w:r>
      <w:r>
        <w:rPr>
          <w:color w:val="auto"/>
          <w:sz w:val="24"/>
          <w:szCs w:val="24"/>
          <w:highlight w:val="none"/>
          <w:u w:val="single"/>
          <w:shd w:val="clear" w:color="auto" w:fill="auto"/>
        </w:rPr>
        <w:t>（）</w:t>
      </w:r>
      <w:r>
        <w:rPr>
          <w:color w:val="auto"/>
          <w:spacing w:val="-12"/>
          <w:sz w:val="24"/>
          <w:szCs w:val="24"/>
          <w:highlight w:val="none"/>
          <w:shd w:val="clear" w:color="auto" w:fill="auto"/>
        </w:rPr>
        <w:t>份</w:t>
      </w:r>
      <w:r>
        <w:rPr>
          <w:color w:val="auto"/>
          <w:sz w:val="24"/>
          <w:szCs w:val="24"/>
          <w:highlight w:val="none"/>
          <w:shd w:val="clear" w:color="auto" w:fill="auto"/>
        </w:rPr>
        <w:t>及副本</w:t>
      </w:r>
      <w:r>
        <w:rPr>
          <w:color w:val="auto"/>
          <w:sz w:val="24"/>
          <w:szCs w:val="24"/>
          <w:highlight w:val="none"/>
          <w:u w:val="single"/>
          <w:shd w:val="clear" w:color="auto" w:fill="auto"/>
        </w:rPr>
        <w:t>（）</w:t>
      </w:r>
      <w:r>
        <w:rPr>
          <w:color w:val="auto"/>
          <w:sz w:val="24"/>
          <w:szCs w:val="24"/>
          <w:highlight w:val="none"/>
          <w:shd w:val="clear" w:color="auto" w:fill="auto"/>
        </w:rPr>
        <w:t>份。据此函，签字代表宣布同意如下：</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rPr>
        <w:t>1、</w:t>
      </w:r>
      <w:r>
        <w:rPr>
          <w:color w:val="auto"/>
          <w:sz w:val="24"/>
          <w:szCs w:val="24"/>
          <w:highlight w:val="none"/>
          <w:shd w:val="clear" w:color="auto" w:fill="auto"/>
        </w:rPr>
        <w:t>所附投标价格表中规定的应提交和交付的货物投标总价为</w:t>
      </w:r>
      <w:r>
        <w:rPr>
          <w:color w:val="auto"/>
          <w:sz w:val="24"/>
          <w:szCs w:val="24"/>
          <w:highlight w:val="none"/>
          <w:u w:val="single"/>
          <w:shd w:val="clear" w:color="auto" w:fill="auto"/>
        </w:rPr>
        <w:t>（注明币种，并用文字和数字表示投标总价）（必须按要求填写清楚）</w:t>
      </w:r>
      <w:r>
        <w:rPr>
          <w:color w:val="auto"/>
          <w:sz w:val="24"/>
          <w:szCs w:val="24"/>
          <w:highlight w:val="none"/>
          <w:shd w:val="clear" w:color="auto" w:fill="auto"/>
        </w:rPr>
        <w:t>。</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2</w:t>
      </w:r>
      <w:r>
        <w:rPr>
          <w:color w:val="auto"/>
          <w:sz w:val="24"/>
          <w:szCs w:val="24"/>
          <w:highlight w:val="none"/>
          <w:shd w:val="clear" w:color="auto" w:fill="auto"/>
        </w:rPr>
        <w:t>、投标人将按招标文件的规定履行合同责任和义务。</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3</w:t>
      </w:r>
      <w:r>
        <w:rPr>
          <w:color w:val="auto"/>
          <w:sz w:val="24"/>
          <w:szCs w:val="24"/>
          <w:highlight w:val="none"/>
          <w:shd w:val="clear" w:color="auto" w:fill="auto"/>
        </w:rPr>
        <w:t>、投标人已详细阅读了全部招标文件，包括更正公告（如有）。我们完全理解并同意放弃对这方面有不明及误解的权力。</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4</w:t>
      </w:r>
      <w:r>
        <w:rPr>
          <w:color w:val="auto"/>
          <w:sz w:val="24"/>
          <w:szCs w:val="24"/>
          <w:highlight w:val="none"/>
          <w:shd w:val="clear" w:color="auto" w:fill="auto"/>
        </w:rPr>
        <w:t>、本投标有效期为开标日起</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r>
        <w:rPr>
          <w:color w:val="auto"/>
          <w:sz w:val="24"/>
          <w:szCs w:val="24"/>
          <w:highlight w:val="none"/>
          <w:shd w:val="clear" w:color="auto" w:fill="auto"/>
        </w:rPr>
        <w:t>个日历日。</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5</w:t>
      </w:r>
      <w:r>
        <w:rPr>
          <w:color w:val="auto"/>
          <w:sz w:val="24"/>
          <w:szCs w:val="24"/>
          <w:highlight w:val="none"/>
          <w:shd w:val="clear" w:color="auto" w:fill="auto"/>
        </w:rPr>
        <w:t>、投标人同意提供按照贵方可能要求的与其投标有关的一切数据或资料。</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6</w:t>
      </w:r>
      <w:r>
        <w:rPr>
          <w:color w:val="auto"/>
          <w:sz w:val="24"/>
          <w:szCs w:val="24"/>
          <w:highlight w:val="none"/>
          <w:shd w:val="clear" w:color="auto" w:fill="auto"/>
        </w:rPr>
        <w:t>、完全理解贵方不一定要接受最低价的投标或收到的任何投标。</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7</w:t>
      </w:r>
      <w:r>
        <w:rPr>
          <w:color w:val="auto"/>
          <w:spacing w:val="-1"/>
          <w:sz w:val="24"/>
          <w:szCs w:val="24"/>
          <w:highlight w:val="none"/>
          <w:shd w:val="clear" w:color="auto" w:fill="auto"/>
        </w:rPr>
        <w:t>、我单位承诺满足招标文件要求的付款方式和条件。我方在参与投标前已</w:t>
      </w:r>
      <w:r>
        <w:rPr>
          <w:color w:val="auto"/>
          <w:spacing w:val="-7"/>
          <w:sz w:val="24"/>
          <w:szCs w:val="24"/>
          <w:highlight w:val="none"/>
          <w:shd w:val="clear" w:color="auto" w:fill="auto"/>
        </w:rPr>
        <w:t>仔细研究了招标文件和所有相关资料，我方完全明白并认为此招标文件没有倾向</w:t>
      </w:r>
      <w:r>
        <w:rPr>
          <w:color w:val="auto"/>
          <w:spacing w:val="-10"/>
          <w:sz w:val="24"/>
          <w:szCs w:val="24"/>
          <w:highlight w:val="none"/>
          <w:shd w:val="clear" w:color="auto" w:fill="auto"/>
        </w:rPr>
        <w:t>性，也没有存在排斥潜在投标人的内容，我方同意招标文件的相关条款，放弃对</w:t>
      </w:r>
      <w:r>
        <w:rPr>
          <w:color w:val="auto"/>
          <w:sz w:val="24"/>
          <w:szCs w:val="24"/>
          <w:highlight w:val="none"/>
          <w:shd w:val="clear" w:color="auto" w:fill="auto"/>
        </w:rPr>
        <w:t>招标文件提出误解和质疑的一切权利。</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8</w:t>
      </w:r>
      <w:r>
        <w:rPr>
          <w:color w:val="auto"/>
          <w:sz w:val="24"/>
          <w:szCs w:val="24"/>
          <w:highlight w:val="none"/>
          <w:shd w:val="clear" w:color="auto" w:fill="auto"/>
        </w:rPr>
        <w:t>、我方声明投标文件及所提供的一切资料均真实无误及有效。由于我方提供资料不实而造成的责任和后果由我方承担。我方同意按照贵方可能提出的要求，提供与投标有关的任何其它数据或信息。</w:t>
      </w:r>
    </w:p>
    <w:p>
      <w:pPr>
        <w:adjustRightInd w:val="0"/>
        <w:snapToGrid w:val="0"/>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lang w:val="en-US" w:eastAsia="zh-CN"/>
        </w:rPr>
        <w:t>9</w:t>
      </w:r>
      <w:r>
        <w:rPr>
          <w:color w:val="auto"/>
          <w:spacing w:val="-1"/>
          <w:sz w:val="24"/>
          <w:szCs w:val="24"/>
          <w:highlight w:val="none"/>
          <w:shd w:val="clear" w:color="auto" w:fill="auto"/>
        </w:rPr>
        <w:t>、我方保证，采购人在中华人民共和国境内使用我方报价货物、资料、技</w:t>
      </w:r>
      <w:r>
        <w:rPr>
          <w:color w:val="auto"/>
          <w:spacing w:val="-10"/>
          <w:sz w:val="24"/>
          <w:szCs w:val="24"/>
          <w:highlight w:val="none"/>
          <w:shd w:val="clear" w:color="auto" w:fill="auto"/>
        </w:rPr>
        <w:t>术、服务或其任何一部分时，享有不受限制的无偿使用权，如有第三方向采购人</w:t>
      </w:r>
      <w:r>
        <w:rPr>
          <w:color w:val="auto"/>
          <w:spacing w:val="-8"/>
          <w:sz w:val="24"/>
          <w:szCs w:val="24"/>
          <w:highlight w:val="none"/>
          <w:shd w:val="clear" w:color="auto" w:fill="auto"/>
        </w:rPr>
        <w:t>提出侵犯其专利权、商标权或其它知识产权的主张，该责任由我方承担。我方的</w:t>
      </w:r>
      <w:r>
        <w:rPr>
          <w:color w:val="auto"/>
          <w:spacing w:val="-6"/>
          <w:sz w:val="24"/>
          <w:szCs w:val="24"/>
          <w:highlight w:val="none"/>
          <w:shd w:val="clear" w:color="auto" w:fill="auto"/>
        </w:rPr>
        <w:t>报价已包含所有应向所有权人支付的专利权、商标权或其它知识产权的一切相关</w:t>
      </w:r>
      <w:r>
        <w:rPr>
          <w:color w:val="auto"/>
          <w:sz w:val="24"/>
          <w:szCs w:val="24"/>
          <w:highlight w:val="none"/>
          <w:shd w:val="clear" w:color="auto" w:fill="auto"/>
        </w:rPr>
        <w:t>费用。</w:t>
      </w:r>
    </w:p>
    <w:p>
      <w:pPr>
        <w:adjustRightInd w:val="0"/>
        <w:snapToGrid w:val="0"/>
        <w:ind w:firstLine="480" w:firstLineChars="200"/>
        <w:rPr>
          <w:rFonts w:ascii="Times New Roman"/>
          <w:color w:val="auto"/>
          <w:sz w:val="24"/>
          <w:szCs w:val="24"/>
          <w:highlight w:val="none"/>
          <w:u w:val="single"/>
          <w:shd w:val="clear" w:color="auto" w:fill="auto"/>
          <w:lang w:val="en-US"/>
        </w:rPr>
      </w:pPr>
      <w:r>
        <w:rPr>
          <w:color w:val="auto"/>
          <w:sz w:val="24"/>
          <w:szCs w:val="24"/>
          <w:highlight w:val="none"/>
          <w:shd w:val="clear" w:color="auto" w:fill="auto"/>
        </w:rPr>
        <w:t>地址：</w:t>
      </w:r>
      <w:r>
        <w:rPr>
          <w:rFonts w:hint="eastAsia"/>
          <w:color w:val="auto"/>
          <w:sz w:val="24"/>
          <w:szCs w:val="24"/>
          <w:highlight w:val="none"/>
          <w:shd w:val="clear" w:color="auto" w:fill="auto"/>
        </w:rPr>
        <w:t xml:space="preserve"> </w:t>
      </w:r>
      <w:r>
        <w:rPr>
          <w:color w:val="auto"/>
          <w:sz w:val="24"/>
          <w:szCs w:val="24"/>
          <w:highlight w:val="none"/>
          <w:shd w:val="clear" w:color="auto" w:fill="auto"/>
        </w:rPr>
        <w:t xml:space="preserve">                         </w:t>
      </w:r>
      <w:r>
        <w:rPr>
          <w:color w:val="auto"/>
          <w:spacing w:val="-1"/>
          <w:sz w:val="24"/>
          <w:szCs w:val="24"/>
          <w:highlight w:val="none"/>
          <w:shd w:val="clear" w:color="auto" w:fill="auto"/>
        </w:rPr>
        <w:t>邮</w:t>
      </w:r>
      <w:r>
        <w:rPr>
          <w:color w:val="auto"/>
          <w:sz w:val="24"/>
          <w:szCs w:val="24"/>
          <w:highlight w:val="none"/>
          <w:shd w:val="clear" w:color="auto" w:fill="auto"/>
        </w:rPr>
        <w:t>编：</w:t>
      </w:r>
    </w:p>
    <w:p>
      <w:pPr>
        <w:adjustRightInd w:val="0"/>
        <w:snapToGrid w:val="0"/>
        <w:ind w:firstLine="480" w:firstLineChars="200"/>
        <w:rPr>
          <w:rFonts w:ascii="Times New Roman" w:eastAsia="Times New Roman"/>
          <w:color w:val="auto"/>
          <w:sz w:val="24"/>
          <w:szCs w:val="24"/>
          <w:highlight w:val="none"/>
          <w:u w:val="single"/>
          <w:shd w:val="clear" w:color="auto" w:fill="auto"/>
        </w:rPr>
      </w:pPr>
      <w:r>
        <w:rPr>
          <w:color w:val="auto"/>
          <w:sz w:val="24"/>
          <w:szCs w:val="24"/>
          <w:highlight w:val="none"/>
          <w:shd w:val="clear" w:color="auto" w:fill="auto"/>
        </w:rPr>
        <w:t>电话：</w:t>
      </w:r>
      <w:r>
        <w:rPr>
          <w:rFonts w:hint="eastAsia"/>
          <w:color w:val="auto"/>
          <w:sz w:val="24"/>
          <w:szCs w:val="24"/>
          <w:highlight w:val="none"/>
          <w:shd w:val="clear" w:color="auto" w:fill="auto"/>
        </w:rPr>
        <w:t xml:space="preserve"> </w:t>
      </w:r>
      <w:r>
        <w:rPr>
          <w:color w:val="auto"/>
          <w:sz w:val="24"/>
          <w:szCs w:val="24"/>
          <w:highlight w:val="none"/>
          <w:shd w:val="clear" w:color="auto" w:fill="auto"/>
        </w:rPr>
        <w:t xml:space="preserve">                         </w:t>
      </w:r>
      <w:r>
        <w:rPr>
          <w:color w:val="auto"/>
          <w:spacing w:val="-1"/>
          <w:sz w:val="24"/>
          <w:szCs w:val="24"/>
          <w:highlight w:val="none"/>
          <w:shd w:val="clear" w:color="auto" w:fill="auto"/>
        </w:rPr>
        <w:t>传</w:t>
      </w:r>
      <w:r>
        <w:rPr>
          <w:color w:val="auto"/>
          <w:sz w:val="24"/>
          <w:szCs w:val="24"/>
          <w:highlight w:val="none"/>
          <w:shd w:val="clear" w:color="auto" w:fill="auto"/>
        </w:rPr>
        <w:t>真：</w:t>
      </w:r>
    </w:p>
    <w:p>
      <w:pPr>
        <w:adjustRightInd w:val="0"/>
        <w:snapToGrid w:val="0"/>
        <w:ind w:firstLine="476" w:firstLineChars="200"/>
        <w:rPr>
          <w:rFonts w:ascii="Times New Roman" w:eastAsia="Times New Roman"/>
          <w:color w:val="auto"/>
          <w:sz w:val="24"/>
          <w:szCs w:val="24"/>
          <w:highlight w:val="none"/>
          <w:shd w:val="clear" w:color="auto" w:fill="auto"/>
        </w:rPr>
      </w:pPr>
      <w:r>
        <w:rPr>
          <w:color w:val="auto"/>
          <w:spacing w:val="-1"/>
          <w:sz w:val="24"/>
          <w:szCs w:val="24"/>
          <w:highlight w:val="none"/>
          <w:shd w:val="clear" w:color="auto" w:fill="auto"/>
        </w:rPr>
        <w:t>电</w:t>
      </w:r>
      <w:r>
        <w:rPr>
          <w:color w:val="auto"/>
          <w:sz w:val="24"/>
          <w:szCs w:val="24"/>
          <w:highlight w:val="none"/>
          <w:shd w:val="clear" w:color="auto" w:fill="auto"/>
        </w:rPr>
        <w:t>子信箱：</w:t>
      </w:r>
      <w:r>
        <w:rPr>
          <w:rFonts w:ascii="Times New Roman" w:eastAsia="Times New Roman"/>
          <w:color w:val="auto"/>
          <w:sz w:val="24"/>
          <w:szCs w:val="24"/>
          <w:highlight w:val="none"/>
          <w:u w:val="single"/>
          <w:shd w:val="clear" w:color="auto" w:fill="auto"/>
        </w:rPr>
        <w:tab/>
      </w:r>
    </w:p>
    <w:p>
      <w:pPr>
        <w:adjustRightInd w:val="0"/>
        <w:snapToGrid w:val="0"/>
        <w:ind w:firstLine="476" w:firstLineChars="200"/>
        <w:rPr>
          <w:rFonts w:ascii="Times New Roman" w:eastAsia="Times New Roman"/>
          <w:color w:val="auto"/>
          <w:sz w:val="24"/>
          <w:szCs w:val="24"/>
          <w:highlight w:val="none"/>
          <w:shd w:val="clear" w:color="auto" w:fill="auto"/>
        </w:rPr>
      </w:pPr>
      <w:r>
        <w:rPr>
          <w:rFonts w:hint="eastAsia"/>
          <w:color w:val="auto"/>
          <w:spacing w:val="-1"/>
          <w:sz w:val="24"/>
          <w:szCs w:val="24"/>
          <w:highlight w:val="none"/>
          <w:shd w:val="clear" w:color="auto" w:fill="auto"/>
          <w:lang w:eastAsia="zh-CN"/>
        </w:rPr>
        <w:t>磋商</w:t>
      </w:r>
      <w:r>
        <w:rPr>
          <w:color w:val="auto"/>
          <w:sz w:val="24"/>
          <w:szCs w:val="24"/>
          <w:highlight w:val="none"/>
          <w:shd w:val="clear" w:color="auto" w:fill="auto"/>
        </w:rPr>
        <w:t>响应供应商代表签字：</w:t>
      </w:r>
      <w:r>
        <w:rPr>
          <w:rFonts w:ascii="Times New Roman" w:eastAsia="Times New Roman"/>
          <w:color w:val="auto"/>
          <w:sz w:val="24"/>
          <w:szCs w:val="24"/>
          <w:highlight w:val="none"/>
          <w:u w:val="single"/>
          <w:shd w:val="clear" w:color="auto" w:fill="auto"/>
        </w:rPr>
        <w:tab/>
      </w:r>
    </w:p>
    <w:p>
      <w:pPr>
        <w:adjustRightInd w:val="0"/>
        <w:snapToGrid w:val="0"/>
        <w:ind w:firstLine="476" w:firstLineChars="200"/>
        <w:rPr>
          <w:rFonts w:ascii="Times New Roman" w:eastAsia="Times New Roman"/>
          <w:color w:val="auto"/>
          <w:sz w:val="24"/>
          <w:szCs w:val="24"/>
          <w:highlight w:val="none"/>
          <w:u w:val="single"/>
          <w:shd w:val="clear" w:color="auto" w:fill="auto"/>
        </w:rPr>
      </w:pPr>
      <w:r>
        <w:rPr>
          <w:rFonts w:hint="eastAsia"/>
          <w:color w:val="auto"/>
          <w:spacing w:val="-1"/>
          <w:sz w:val="24"/>
          <w:szCs w:val="24"/>
          <w:highlight w:val="none"/>
          <w:shd w:val="clear" w:color="auto" w:fill="auto"/>
          <w:lang w:eastAsia="zh-CN"/>
        </w:rPr>
        <w:t>磋商</w:t>
      </w:r>
      <w:r>
        <w:rPr>
          <w:color w:val="auto"/>
          <w:sz w:val="24"/>
          <w:szCs w:val="24"/>
          <w:highlight w:val="none"/>
          <w:shd w:val="clear" w:color="auto" w:fill="auto"/>
        </w:rPr>
        <w:t>响应供应商名称（全称并加盖公章）：</w:t>
      </w:r>
    </w:p>
    <w:p>
      <w:pPr>
        <w:adjustRightInd w:val="0"/>
        <w:snapToGrid w:val="0"/>
        <w:ind w:firstLine="480" w:firstLineChars="200"/>
        <w:rPr>
          <w:rFonts w:hint="eastAsia" w:eastAsia="宋体"/>
          <w:b/>
          <w:color w:val="auto"/>
          <w:sz w:val="28"/>
          <w:szCs w:val="28"/>
          <w:highlight w:val="none"/>
          <w:shd w:val="clear" w:color="auto" w:fill="auto"/>
          <w:lang w:val="en-US" w:eastAsia="zh-CN"/>
        </w:rPr>
        <w:sectPr>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pPr>
      <w:r>
        <w:rPr>
          <w:color w:val="auto"/>
          <w:sz w:val="24"/>
          <w:szCs w:val="24"/>
          <w:highlight w:val="none"/>
          <w:shd w:val="clear" w:color="auto" w:fill="auto"/>
        </w:rPr>
        <w:t>日期：</w:t>
      </w:r>
      <w:r>
        <w:rPr>
          <w:rFonts w:hint="eastAsia"/>
          <w:color w:val="auto"/>
          <w:sz w:val="24"/>
          <w:szCs w:val="24"/>
          <w:highlight w:val="none"/>
          <w:shd w:val="clear" w:color="auto" w:fill="auto"/>
        </w:rPr>
        <w:t>年</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月</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日</w:t>
      </w:r>
      <w:r>
        <w:rPr>
          <w:rFonts w:hint="eastAsia"/>
          <w:color w:val="auto"/>
          <w:sz w:val="24"/>
          <w:szCs w:val="24"/>
          <w:highlight w:val="none"/>
          <w:shd w:val="clear" w:color="auto" w:fill="auto"/>
          <w:lang w:val="en-US" w:eastAsia="zh-CN"/>
        </w:rPr>
        <w:t xml:space="preserve"> </w:t>
      </w:r>
    </w:p>
    <w:p>
      <w:pPr>
        <w:jc w:val="center"/>
        <w:rPr>
          <w:b/>
          <w:color w:val="auto"/>
          <w:sz w:val="28"/>
          <w:szCs w:val="28"/>
          <w:highlight w:val="none"/>
          <w:shd w:val="clear" w:color="auto" w:fill="auto"/>
        </w:rPr>
      </w:pPr>
    </w:p>
    <w:p>
      <w:pPr>
        <w:jc w:val="center"/>
        <w:rPr>
          <w:b/>
          <w:color w:val="auto"/>
          <w:sz w:val="24"/>
          <w:szCs w:val="24"/>
          <w:highlight w:val="none"/>
          <w:shd w:val="clear" w:color="auto" w:fill="auto"/>
        </w:rPr>
      </w:pPr>
      <w:r>
        <w:rPr>
          <w:b/>
          <w:color w:val="auto"/>
          <w:sz w:val="28"/>
          <w:szCs w:val="28"/>
          <w:highlight w:val="none"/>
          <w:shd w:val="clear" w:color="auto" w:fill="auto"/>
        </w:rPr>
        <w:t>二</w:t>
      </w:r>
      <w:r>
        <w:rPr>
          <w:b/>
          <w:color w:val="auto"/>
          <w:sz w:val="28"/>
          <w:szCs w:val="28"/>
          <w:highlight w:val="none"/>
          <w:shd w:val="clear" w:color="auto" w:fill="auto"/>
        </w:rPr>
        <w:tab/>
      </w:r>
      <w:r>
        <w:rPr>
          <w:rFonts w:hint="eastAsia"/>
          <w:b/>
          <w:color w:val="auto"/>
          <w:sz w:val="28"/>
          <w:szCs w:val="28"/>
          <w:highlight w:val="none"/>
          <w:shd w:val="clear" w:color="auto" w:fill="auto"/>
          <w:lang w:eastAsia="zh-CN"/>
        </w:rPr>
        <w:t>、</w:t>
      </w:r>
      <w:r>
        <w:rPr>
          <w:b/>
          <w:color w:val="auto"/>
          <w:sz w:val="28"/>
          <w:szCs w:val="28"/>
          <w:highlight w:val="none"/>
          <w:shd w:val="clear" w:color="auto" w:fill="auto"/>
        </w:rPr>
        <w:t>报价一览表</w:t>
      </w:r>
    </w:p>
    <w:p>
      <w:pPr>
        <w:pStyle w:val="8"/>
        <w:spacing w:before="66"/>
        <w:rPr>
          <w:rFonts w:hint="default" w:eastAsia="宋体"/>
          <w:b w:val="0"/>
          <w:color w:val="auto"/>
          <w:highlight w:val="none"/>
          <w:shd w:val="clear" w:color="auto" w:fill="auto"/>
          <w:lang w:val="en-US" w:eastAsia="zh-CN"/>
        </w:rPr>
      </w:pPr>
      <w:r>
        <w:rPr>
          <w:color w:val="auto"/>
          <w:highlight w:val="none"/>
          <w:shd w:val="clear" w:color="auto" w:fill="auto"/>
        </w:rPr>
        <w:t xml:space="preserve">项 目 名 称 </w:t>
      </w:r>
      <w:r>
        <w:rPr>
          <w:b w:val="0"/>
          <w:color w:val="auto"/>
          <w:highlight w:val="none"/>
          <w:shd w:val="clear" w:color="auto" w:fill="auto"/>
        </w:rPr>
        <w:t>：</w:t>
      </w:r>
      <w:r>
        <w:rPr>
          <w:rFonts w:hint="eastAsia"/>
          <w:b w:val="0"/>
          <w:color w:val="auto"/>
          <w:highlight w:val="none"/>
          <w:shd w:val="clear" w:color="auto" w:fill="auto"/>
          <w:lang w:val="en-US" w:eastAsia="zh-CN"/>
        </w:rPr>
        <w:t xml:space="preserve">                                       </w:t>
      </w:r>
      <w:r>
        <w:rPr>
          <w:b/>
          <w:color w:val="auto"/>
          <w:sz w:val="24"/>
          <w:highlight w:val="none"/>
          <w:shd w:val="clear" w:color="auto" w:fill="auto"/>
        </w:rPr>
        <w:t>项</w:t>
      </w:r>
      <w:r>
        <w:rPr>
          <w:b/>
          <w:color w:val="auto"/>
          <w:spacing w:val="-62"/>
          <w:sz w:val="24"/>
          <w:highlight w:val="none"/>
          <w:shd w:val="clear" w:color="auto" w:fill="auto"/>
        </w:rPr>
        <w:t xml:space="preserve"> </w:t>
      </w:r>
      <w:r>
        <w:rPr>
          <w:b/>
          <w:color w:val="auto"/>
          <w:sz w:val="24"/>
          <w:highlight w:val="none"/>
          <w:shd w:val="clear" w:color="auto" w:fill="auto"/>
        </w:rPr>
        <w:t>目</w:t>
      </w:r>
      <w:r>
        <w:rPr>
          <w:b/>
          <w:color w:val="auto"/>
          <w:spacing w:val="-60"/>
          <w:sz w:val="24"/>
          <w:highlight w:val="none"/>
          <w:shd w:val="clear" w:color="auto" w:fill="auto"/>
        </w:rPr>
        <w:t xml:space="preserve"> </w:t>
      </w:r>
      <w:r>
        <w:rPr>
          <w:b/>
          <w:color w:val="auto"/>
          <w:sz w:val="24"/>
          <w:highlight w:val="none"/>
          <w:shd w:val="clear" w:color="auto" w:fill="auto"/>
        </w:rPr>
        <w:t>编</w:t>
      </w:r>
      <w:r>
        <w:rPr>
          <w:b/>
          <w:color w:val="auto"/>
          <w:spacing w:val="-61"/>
          <w:sz w:val="24"/>
          <w:highlight w:val="none"/>
          <w:shd w:val="clear" w:color="auto" w:fill="auto"/>
        </w:rPr>
        <w:t xml:space="preserve"> </w:t>
      </w:r>
      <w:r>
        <w:rPr>
          <w:b/>
          <w:color w:val="auto"/>
          <w:sz w:val="24"/>
          <w:highlight w:val="none"/>
          <w:shd w:val="clear" w:color="auto" w:fill="auto"/>
        </w:rPr>
        <w:t>号</w:t>
      </w:r>
      <w:r>
        <w:rPr>
          <w:b/>
          <w:color w:val="auto"/>
          <w:spacing w:val="-62"/>
          <w:sz w:val="24"/>
          <w:highlight w:val="none"/>
          <w:shd w:val="clear" w:color="auto" w:fill="auto"/>
        </w:rPr>
        <w:t xml:space="preserve"> </w:t>
      </w:r>
      <w:r>
        <w:rPr>
          <w:color w:val="auto"/>
          <w:sz w:val="24"/>
          <w:highlight w:val="none"/>
          <w:shd w:val="clear" w:color="auto" w:fill="auto"/>
        </w:rPr>
        <w:t>：</w:t>
      </w:r>
    </w:p>
    <w:tbl>
      <w:tblPr>
        <w:tblStyle w:val="19"/>
        <w:tblpPr w:leftFromText="180" w:rightFromText="180" w:vertAnchor="text" w:horzAnchor="page" w:tblpX="909" w:tblpY="305"/>
        <w:tblOverlap w:val="never"/>
        <w:tblW w:w="1317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15"/>
        <w:gridCol w:w="2420"/>
        <w:gridCol w:w="1530"/>
        <w:gridCol w:w="1095"/>
        <w:gridCol w:w="1890"/>
        <w:gridCol w:w="2070"/>
        <w:gridCol w:w="1770"/>
        <w:gridCol w:w="14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6" w:hRule="atLeast"/>
        </w:trPr>
        <w:tc>
          <w:tcPr>
            <w:tcW w:w="915" w:type="dxa"/>
            <w:tcBorders>
              <w:right w:val="single" w:color="000000" w:sz="6" w:space="0"/>
            </w:tcBorders>
          </w:tcPr>
          <w:p>
            <w:pPr>
              <w:pStyle w:val="36"/>
              <w:rPr>
                <w:color w:val="auto"/>
                <w:sz w:val="18"/>
                <w:highlight w:val="none"/>
                <w:shd w:val="clear" w:color="auto" w:fill="auto"/>
              </w:rPr>
            </w:pPr>
          </w:p>
          <w:p>
            <w:pPr>
              <w:pStyle w:val="36"/>
              <w:ind w:left="95" w:right="123"/>
              <w:jc w:val="center"/>
              <w:rPr>
                <w:b/>
                <w:color w:val="auto"/>
                <w:sz w:val="24"/>
                <w:highlight w:val="none"/>
                <w:shd w:val="clear" w:color="auto" w:fill="auto"/>
              </w:rPr>
            </w:pPr>
            <w:r>
              <w:rPr>
                <w:b/>
                <w:color w:val="auto"/>
                <w:sz w:val="24"/>
                <w:highlight w:val="none"/>
                <w:shd w:val="clear" w:color="auto" w:fill="auto"/>
              </w:rPr>
              <w:t>序 号</w:t>
            </w:r>
          </w:p>
        </w:tc>
        <w:tc>
          <w:tcPr>
            <w:tcW w:w="2420" w:type="dxa"/>
            <w:tcBorders>
              <w:left w:val="single" w:color="000000" w:sz="6" w:space="0"/>
              <w:right w:val="single" w:color="000000" w:sz="4" w:space="0"/>
            </w:tcBorders>
          </w:tcPr>
          <w:p>
            <w:pPr>
              <w:pStyle w:val="36"/>
              <w:rPr>
                <w:color w:val="auto"/>
                <w:sz w:val="18"/>
                <w:highlight w:val="none"/>
                <w:shd w:val="clear" w:color="auto" w:fill="auto"/>
              </w:rPr>
            </w:pPr>
          </w:p>
          <w:p>
            <w:pPr>
              <w:pStyle w:val="36"/>
              <w:ind w:left="161"/>
              <w:rPr>
                <w:b/>
                <w:color w:val="auto"/>
                <w:sz w:val="24"/>
                <w:highlight w:val="none"/>
                <w:shd w:val="clear" w:color="auto" w:fill="auto"/>
              </w:rPr>
            </w:pPr>
            <w:r>
              <w:rPr>
                <w:b/>
                <w:color w:val="auto"/>
                <w:sz w:val="24"/>
                <w:highlight w:val="none"/>
                <w:shd w:val="clear" w:color="auto" w:fill="auto"/>
              </w:rPr>
              <w:t>产品名称</w:t>
            </w:r>
          </w:p>
          <w:p>
            <w:pPr>
              <w:pStyle w:val="36"/>
              <w:rPr>
                <w:b/>
                <w:color w:val="auto"/>
                <w:sz w:val="24"/>
                <w:highlight w:val="none"/>
                <w:shd w:val="clear" w:color="auto" w:fill="auto"/>
              </w:rPr>
            </w:pPr>
          </w:p>
        </w:tc>
        <w:tc>
          <w:tcPr>
            <w:tcW w:w="1530" w:type="dxa"/>
            <w:tcBorders>
              <w:left w:val="single" w:color="000000" w:sz="4" w:space="0"/>
              <w:right w:val="single" w:color="000000" w:sz="6" w:space="0"/>
            </w:tcBorders>
          </w:tcPr>
          <w:p>
            <w:pPr>
              <w:pStyle w:val="36"/>
              <w:spacing w:before="74" w:line="242" w:lineRule="auto"/>
              <w:ind w:left="417" w:right="143" w:hanging="300"/>
              <w:rPr>
                <w:b/>
                <w:color w:val="auto"/>
                <w:sz w:val="24"/>
                <w:highlight w:val="none"/>
                <w:shd w:val="clear" w:color="auto" w:fill="auto"/>
              </w:rPr>
            </w:pPr>
            <w:r>
              <w:rPr>
                <w:b/>
                <w:color w:val="auto"/>
                <w:spacing w:val="-30"/>
                <w:sz w:val="24"/>
                <w:highlight w:val="none"/>
                <w:shd w:val="clear" w:color="auto" w:fill="auto"/>
              </w:rPr>
              <w:t>主 要 技术</w:t>
            </w:r>
            <w:r>
              <w:rPr>
                <w:b/>
                <w:color w:val="auto"/>
                <w:spacing w:val="-21"/>
                <w:sz w:val="24"/>
                <w:highlight w:val="none"/>
                <w:shd w:val="clear" w:color="auto" w:fill="auto"/>
              </w:rPr>
              <w:t>规 格</w:t>
            </w:r>
          </w:p>
        </w:tc>
        <w:tc>
          <w:tcPr>
            <w:tcW w:w="1095" w:type="dxa"/>
            <w:tcBorders>
              <w:left w:val="single" w:color="000000" w:sz="6" w:space="0"/>
              <w:right w:val="single" w:color="000000" w:sz="6" w:space="0"/>
            </w:tcBorders>
          </w:tcPr>
          <w:p>
            <w:pPr>
              <w:pStyle w:val="36"/>
              <w:rPr>
                <w:color w:val="auto"/>
                <w:sz w:val="18"/>
                <w:highlight w:val="none"/>
                <w:shd w:val="clear" w:color="auto" w:fill="auto"/>
              </w:rPr>
            </w:pPr>
          </w:p>
          <w:p>
            <w:pPr>
              <w:pStyle w:val="36"/>
              <w:ind w:left="225"/>
              <w:rPr>
                <w:b/>
                <w:color w:val="auto"/>
                <w:sz w:val="24"/>
                <w:highlight w:val="none"/>
                <w:shd w:val="clear" w:color="auto" w:fill="auto"/>
              </w:rPr>
            </w:pPr>
            <w:r>
              <w:rPr>
                <w:b/>
                <w:color w:val="auto"/>
                <w:sz w:val="24"/>
                <w:highlight w:val="none"/>
                <w:shd w:val="clear" w:color="auto" w:fill="auto"/>
              </w:rPr>
              <w:t>数 量</w:t>
            </w:r>
          </w:p>
        </w:tc>
        <w:tc>
          <w:tcPr>
            <w:tcW w:w="1890" w:type="dxa"/>
            <w:tcBorders>
              <w:left w:val="single" w:color="000000" w:sz="6" w:space="0"/>
              <w:right w:val="single" w:color="000000" w:sz="4" w:space="0"/>
            </w:tcBorders>
          </w:tcPr>
          <w:p>
            <w:pPr>
              <w:pStyle w:val="36"/>
              <w:rPr>
                <w:color w:val="auto"/>
                <w:sz w:val="18"/>
                <w:highlight w:val="none"/>
                <w:shd w:val="clear" w:color="auto" w:fill="auto"/>
              </w:rPr>
            </w:pPr>
          </w:p>
          <w:p>
            <w:pPr>
              <w:pStyle w:val="36"/>
              <w:ind w:left="176"/>
              <w:rPr>
                <w:b/>
                <w:color w:val="auto"/>
                <w:sz w:val="24"/>
                <w:highlight w:val="none"/>
                <w:shd w:val="clear" w:color="auto" w:fill="auto"/>
              </w:rPr>
            </w:pPr>
            <w:r>
              <w:rPr>
                <w:rFonts w:hint="eastAsia"/>
                <w:b/>
                <w:color w:val="auto"/>
                <w:sz w:val="24"/>
                <w:highlight w:val="none"/>
                <w:shd w:val="clear" w:color="auto" w:fill="auto"/>
              </w:rPr>
              <w:t>投标</w:t>
            </w:r>
            <w:r>
              <w:rPr>
                <w:rFonts w:hint="eastAsia"/>
                <w:b/>
                <w:color w:val="auto"/>
                <w:sz w:val="24"/>
                <w:highlight w:val="none"/>
                <w:shd w:val="clear" w:color="auto" w:fill="auto"/>
                <w:lang w:eastAsia="zh-CN"/>
              </w:rPr>
              <w:t>单</w:t>
            </w:r>
            <w:r>
              <w:rPr>
                <w:rFonts w:hint="eastAsia"/>
                <w:b/>
                <w:color w:val="auto"/>
                <w:sz w:val="24"/>
                <w:highlight w:val="none"/>
                <w:shd w:val="clear" w:color="auto" w:fill="auto"/>
              </w:rPr>
              <w:t>价</w:t>
            </w:r>
          </w:p>
        </w:tc>
        <w:tc>
          <w:tcPr>
            <w:tcW w:w="2070" w:type="dxa"/>
            <w:tcBorders>
              <w:left w:val="single" w:color="000000" w:sz="4" w:space="0"/>
            </w:tcBorders>
          </w:tcPr>
          <w:p>
            <w:pPr>
              <w:pStyle w:val="36"/>
              <w:ind w:left="225"/>
              <w:rPr>
                <w:b/>
                <w:color w:val="auto"/>
                <w:sz w:val="24"/>
                <w:highlight w:val="none"/>
                <w:shd w:val="clear" w:color="auto" w:fill="auto"/>
              </w:rPr>
            </w:pPr>
            <w:r>
              <w:rPr>
                <w:b/>
                <w:color w:val="auto"/>
                <w:sz w:val="24"/>
                <w:highlight w:val="none"/>
                <w:shd w:val="clear" w:color="auto" w:fill="auto"/>
              </w:rPr>
              <w:t>交货时间或服务时间</w:t>
            </w:r>
          </w:p>
        </w:tc>
        <w:tc>
          <w:tcPr>
            <w:tcW w:w="1770" w:type="dxa"/>
            <w:tcBorders>
              <w:left w:val="single" w:color="000000" w:sz="4" w:space="0"/>
            </w:tcBorders>
          </w:tcPr>
          <w:p>
            <w:pPr>
              <w:pStyle w:val="36"/>
              <w:ind w:left="225"/>
              <w:rPr>
                <w:b/>
                <w:color w:val="auto"/>
                <w:sz w:val="24"/>
                <w:highlight w:val="none"/>
                <w:shd w:val="clear" w:color="auto" w:fill="auto"/>
              </w:rPr>
            </w:pPr>
            <w:r>
              <w:rPr>
                <w:b/>
                <w:color w:val="auto"/>
                <w:sz w:val="24"/>
                <w:highlight w:val="none"/>
                <w:shd w:val="clear" w:color="auto" w:fill="auto"/>
              </w:rPr>
              <w:t>交货地点或服务地点</w:t>
            </w:r>
          </w:p>
        </w:tc>
        <w:tc>
          <w:tcPr>
            <w:tcW w:w="1485" w:type="dxa"/>
            <w:tcBorders>
              <w:left w:val="single" w:color="000000" w:sz="4" w:space="0"/>
            </w:tcBorders>
          </w:tcPr>
          <w:p>
            <w:pPr>
              <w:pStyle w:val="36"/>
              <w:rPr>
                <w:color w:val="auto"/>
                <w:sz w:val="18"/>
                <w:highlight w:val="none"/>
                <w:shd w:val="clear" w:color="auto" w:fill="auto"/>
              </w:rPr>
            </w:pPr>
          </w:p>
          <w:p>
            <w:pPr>
              <w:pStyle w:val="36"/>
              <w:ind w:left="264"/>
              <w:rPr>
                <w:b/>
                <w:color w:val="auto"/>
                <w:sz w:val="24"/>
                <w:highlight w:val="none"/>
                <w:shd w:val="clear" w:color="auto" w:fill="auto"/>
              </w:rPr>
            </w:pPr>
            <w:r>
              <w:rPr>
                <w:b/>
                <w:color w:val="auto"/>
                <w:sz w:val="24"/>
                <w:highlight w:val="none"/>
                <w:shd w:val="clear" w:color="auto" w:fill="auto"/>
              </w:rPr>
              <w:t>备 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915" w:type="dxa"/>
            <w:tcBorders>
              <w:right w:val="single" w:color="000000" w:sz="6" w:space="0"/>
            </w:tcBorders>
          </w:tcPr>
          <w:p>
            <w:pPr>
              <w:pStyle w:val="36"/>
              <w:spacing w:before="8"/>
              <w:rPr>
                <w:color w:val="auto"/>
                <w:sz w:val="35"/>
                <w:highlight w:val="none"/>
                <w:shd w:val="clear" w:color="auto" w:fill="auto"/>
              </w:rPr>
            </w:pPr>
          </w:p>
          <w:p>
            <w:pPr>
              <w:pStyle w:val="36"/>
              <w:ind w:left="29"/>
              <w:jc w:val="center"/>
              <w:rPr>
                <w:color w:val="auto"/>
                <w:sz w:val="24"/>
                <w:highlight w:val="none"/>
                <w:shd w:val="clear" w:color="auto" w:fill="auto"/>
              </w:rPr>
            </w:pPr>
            <w:r>
              <w:rPr>
                <w:color w:val="auto"/>
                <w:sz w:val="24"/>
                <w:highlight w:val="none"/>
                <w:shd w:val="clear" w:color="auto" w:fill="auto"/>
              </w:rPr>
              <w:t>1</w:t>
            </w:r>
          </w:p>
        </w:tc>
        <w:tc>
          <w:tcPr>
            <w:tcW w:w="2420" w:type="dxa"/>
            <w:tcBorders>
              <w:left w:val="single" w:color="000000" w:sz="6" w:space="0"/>
              <w:right w:val="single" w:color="000000" w:sz="4" w:space="0"/>
            </w:tcBorders>
          </w:tcPr>
          <w:p>
            <w:pPr>
              <w:pStyle w:val="36"/>
              <w:rPr>
                <w:rFonts w:ascii="Times New Roman"/>
                <w:color w:val="auto"/>
                <w:sz w:val="24"/>
                <w:highlight w:val="none"/>
                <w:shd w:val="clear" w:color="auto" w:fill="auto"/>
              </w:rPr>
            </w:pPr>
          </w:p>
        </w:tc>
        <w:tc>
          <w:tcPr>
            <w:tcW w:w="1530" w:type="dxa"/>
            <w:tcBorders>
              <w:left w:val="single" w:color="000000" w:sz="4" w:space="0"/>
              <w:right w:val="single" w:color="000000" w:sz="6" w:space="0"/>
            </w:tcBorders>
          </w:tcPr>
          <w:p>
            <w:pPr>
              <w:pStyle w:val="36"/>
              <w:rPr>
                <w:rFonts w:ascii="Times New Roman"/>
                <w:color w:val="auto"/>
                <w:sz w:val="24"/>
                <w:highlight w:val="none"/>
                <w:shd w:val="clear" w:color="auto" w:fill="auto"/>
              </w:rPr>
            </w:pPr>
          </w:p>
        </w:tc>
        <w:tc>
          <w:tcPr>
            <w:tcW w:w="1095" w:type="dxa"/>
            <w:tcBorders>
              <w:left w:val="single" w:color="000000" w:sz="6" w:space="0"/>
              <w:right w:val="single" w:color="000000" w:sz="6" w:space="0"/>
            </w:tcBorders>
          </w:tcPr>
          <w:p>
            <w:pPr>
              <w:pStyle w:val="36"/>
              <w:rPr>
                <w:rFonts w:ascii="Times New Roman"/>
                <w:color w:val="auto"/>
                <w:sz w:val="24"/>
                <w:highlight w:val="none"/>
                <w:shd w:val="clear" w:color="auto" w:fill="auto"/>
              </w:rPr>
            </w:pPr>
          </w:p>
        </w:tc>
        <w:tc>
          <w:tcPr>
            <w:tcW w:w="1890" w:type="dxa"/>
            <w:tcBorders>
              <w:left w:val="single" w:color="000000" w:sz="6" w:space="0"/>
              <w:right w:val="single" w:color="000000" w:sz="4" w:space="0"/>
            </w:tcBorders>
          </w:tcPr>
          <w:p>
            <w:pPr>
              <w:pStyle w:val="36"/>
              <w:rPr>
                <w:rFonts w:ascii="Times New Roman"/>
                <w:color w:val="auto"/>
                <w:sz w:val="24"/>
                <w:highlight w:val="none"/>
                <w:shd w:val="clear" w:color="auto" w:fill="auto"/>
              </w:rPr>
            </w:pPr>
          </w:p>
        </w:tc>
        <w:tc>
          <w:tcPr>
            <w:tcW w:w="2070" w:type="dxa"/>
            <w:tcBorders>
              <w:left w:val="single" w:color="000000" w:sz="4" w:space="0"/>
            </w:tcBorders>
          </w:tcPr>
          <w:p>
            <w:pPr>
              <w:pStyle w:val="36"/>
              <w:rPr>
                <w:rFonts w:ascii="Times New Roman"/>
                <w:color w:val="auto"/>
                <w:sz w:val="24"/>
                <w:highlight w:val="none"/>
                <w:shd w:val="clear" w:color="auto" w:fill="auto"/>
              </w:rPr>
            </w:pPr>
          </w:p>
        </w:tc>
        <w:tc>
          <w:tcPr>
            <w:tcW w:w="1770" w:type="dxa"/>
            <w:tcBorders>
              <w:left w:val="single" w:color="000000" w:sz="4" w:space="0"/>
            </w:tcBorders>
          </w:tcPr>
          <w:p>
            <w:pPr>
              <w:pStyle w:val="36"/>
              <w:rPr>
                <w:rFonts w:ascii="Times New Roman"/>
                <w:color w:val="auto"/>
                <w:sz w:val="24"/>
                <w:highlight w:val="none"/>
                <w:shd w:val="clear" w:color="auto" w:fill="auto"/>
              </w:rPr>
            </w:pPr>
          </w:p>
        </w:tc>
        <w:tc>
          <w:tcPr>
            <w:tcW w:w="1485" w:type="dxa"/>
            <w:tcBorders>
              <w:left w:val="single" w:color="000000" w:sz="4" w:space="0"/>
            </w:tcBorders>
          </w:tcPr>
          <w:p>
            <w:pPr>
              <w:pStyle w:val="36"/>
              <w:rPr>
                <w:rFonts w:ascii="Times New Roman"/>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915" w:type="dxa"/>
            <w:tcBorders>
              <w:right w:val="single" w:color="000000" w:sz="6" w:space="0"/>
            </w:tcBorders>
          </w:tcPr>
          <w:p>
            <w:pPr>
              <w:pStyle w:val="36"/>
              <w:ind w:left="29"/>
              <w:jc w:val="center"/>
              <w:rPr>
                <w:rFonts w:hint="eastAsia"/>
                <w:color w:val="auto"/>
                <w:sz w:val="24"/>
                <w:highlight w:val="none"/>
                <w:shd w:val="clear" w:color="auto" w:fill="auto"/>
                <w:lang w:val="en-US" w:eastAsia="zh-CN"/>
              </w:rPr>
            </w:pPr>
          </w:p>
          <w:p>
            <w:pPr>
              <w:pStyle w:val="36"/>
              <w:ind w:left="29"/>
              <w:jc w:val="center"/>
              <w:rPr>
                <w:rFonts w:hint="eastAsia"/>
                <w:color w:val="auto"/>
                <w:sz w:val="24"/>
                <w:highlight w:val="none"/>
                <w:shd w:val="clear" w:color="auto" w:fill="auto"/>
                <w:lang w:val="en-US" w:eastAsia="zh-CN"/>
              </w:rPr>
            </w:pPr>
            <w:r>
              <w:rPr>
                <w:rFonts w:hint="eastAsia"/>
                <w:color w:val="auto"/>
                <w:sz w:val="24"/>
                <w:highlight w:val="none"/>
                <w:shd w:val="clear" w:color="auto" w:fill="auto"/>
                <w:lang w:val="en-US" w:eastAsia="zh-CN"/>
              </w:rPr>
              <w:t>2</w:t>
            </w:r>
          </w:p>
        </w:tc>
        <w:tc>
          <w:tcPr>
            <w:tcW w:w="2420" w:type="dxa"/>
            <w:tcBorders>
              <w:left w:val="single" w:color="000000" w:sz="6" w:space="0"/>
              <w:right w:val="single" w:color="000000" w:sz="4" w:space="0"/>
            </w:tcBorders>
          </w:tcPr>
          <w:p>
            <w:pPr>
              <w:pStyle w:val="36"/>
              <w:rPr>
                <w:rFonts w:ascii="Times New Roman"/>
                <w:color w:val="auto"/>
                <w:sz w:val="24"/>
                <w:highlight w:val="none"/>
                <w:shd w:val="clear" w:color="auto" w:fill="auto"/>
              </w:rPr>
            </w:pPr>
          </w:p>
        </w:tc>
        <w:tc>
          <w:tcPr>
            <w:tcW w:w="1530" w:type="dxa"/>
            <w:tcBorders>
              <w:left w:val="single" w:color="000000" w:sz="4" w:space="0"/>
              <w:right w:val="single" w:color="000000" w:sz="6" w:space="0"/>
            </w:tcBorders>
          </w:tcPr>
          <w:p>
            <w:pPr>
              <w:pStyle w:val="36"/>
              <w:rPr>
                <w:rFonts w:ascii="Times New Roman"/>
                <w:color w:val="auto"/>
                <w:sz w:val="24"/>
                <w:highlight w:val="none"/>
                <w:shd w:val="clear" w:color="auto" w:fill="auto"/>
              </w:rPr>
            </w:pPr>
          </w:p>
        </w:tc>
        <w:tc>
          <w:tcPr>
            <w:tcW w:w="1095" w:type="dxa"/>
            <w:tcBorders>
              <w:left w:val="single" w:color="000000" w:sz="6" w:space="0"/>
              <w:right w:val="single" w:color="000000" w:sz="6" w:space="0"/>
            </w:tcBorders>
          </w:tcPr>
          <w:p>
            <w:pPr>
              <w:pStyle w:val="36"/>
              <w:rPr>
                <w:rFonts w:ascii="Times New Roman"/>
                <w:color w:val="auto"/>
                <w:sz w:val="24"/>
                <w:highlight w:val="none"/>
                <w:shd w:val="clear" w:color="auto" w:fill="auto"/>
              </w:rPr>
            </w:pPr>
          </w:p>
        </w:tc>
        <w:tc>
          <w:tcPr>
            <w:tcW w:w="1890" w:type="dxa"/>
            <w:tcBorders>
              <w:left w:val="single" w:color="000000" w:sz="6" w:space="0"/>
              <w:right w:val="single" w:color="000000" w:sz="4" w:space="0"/>
            </w:tcBorders>
          </w:tcPr>
          <w:p>
            <w:pPr>
              <w:pStyle w:val="36"/>
              <w:rPr>
                <w:rFonts w:ascii="Times New Roman"/>
                <w:color w:val="auto"/>
                <w:sz w:val="24"/>
                <w:highlight w:val="none"/>
                <w:shd w:val="clear" w:color="auto" w:fill="auto"/>
              </w:rPr>
            </w:pPr>
          </w:p>
        </w:tc>
        <w:tc>
          <w:tcPr>
            <w:tcW w:w="2070" w:type="dxa"/>
            <w:tcBorders>
              <w:left w:val="single" w:color="000000" w:sz="4" w:space="0"/>
            </w:tcBorders>
          </w:tcPr>
          <w:p>
            <w:pPr>
              <w:pStyle w:val="36"/>
              <w:rPr>
                <w:rFonts w:ascii="Times New Roman"/>
                <w:color w:val="auto"/>
                <w:sz w:val="24"/>
                <w:highlight w:val="none"/>
                <w:shd w:val="clear" w:color="auto" w:fill="auto"/>
              </w:rPr>
            </w:pPr>
          </w:p>
        </w:tc>
        <w:tc>
          <w:tcPr>
            <w:tcW w:w="1770" w:type="dxa"/>
            <w:tcBorders>
              <w:left w:val="single" w:color="000000" w:sz="4" w:space="0"/>
            </w:tcBorders>
          </w:tcPr>
          <w:p>
            <w:pPr>
              <w:pStyle w:val="36"/>
              <w:rPr>
                <w:rFonts w:ascii="Times New Roman"/>
                <w:color w:val="auto"/>
                <w:sz w:val="24"/>
                <w:highlight w:val="none"/>
                <w:shd w:val="clear" w:color="auto" w:fill="auto"/>
              </w:rPr>
            </w:pPr>
          </w:p>
        </w:tc>
        <w:tc>
          <w:tcPr>
            <w:tcW w:w="1485" w:type="dxa"/>
            <w:tcBorders>
              <w:left w:val="single" w:color="000000" w:sz="4" w:space="0"/>
            </w:tcBorders>
          </w:tcPr>
          <w:p>
            <w:pPr>
              <w:pStyle w:val="36"/>
              <w:rPr>
                <w:rFonts w:ascii="Times New Roman"/>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915" w:type="dxa"/>
            <w:tcBorders>
              <w:right w:val="single" w:color="000000" w:sz="6" w:space="0"/>
            </w:tcBorders>
          </w:tcPr>
          <w:p>
            <w:pPr>
              <w:pStyle w:val="36"/>
              <w:ind w:left="29"/>
              <w:jc w:val="center"/>
              <w:rPr>
                <w:rFonts w:hint="eastAsia"/>
                <w:color w:val="auto"/>
                <w:sz w:val="24"/>
                <w:highlight w:val="none"/>
                <w:shd w:val="clear" w:color="auto" w:fill="auto"/>
                <w:lang w:val="en-US" w:eastAsia="zh-CN"/>
              </w:rPr>
            </w:pPr>
          </w:p>
          <w:p>
            <w:pPr>
              <w:pStyle w:val="36"/>
              <w:ind w:left="29"/>
              <w:jc w:val="center"/>
              <w:rPr>
                <w:rFonts w:hint="default"/>
                <w:color w:val="auto"/>
                <w:sz w:val="24"/>
                <w:highlight w:val="none"/>
                <w:shd w:val="clear" w:color="auto" w:fill="auto"/>
                <w:lang w:val="en-US" w:eastAsia="zh-CN"/>
              </w:rPr>
            </w:pPr>
            <w:r>
              <w:rPr>
                <w:rFonts w:hint="eastAsia"/>
                <w:color w:val="auto"/>
                <w:sz w:val="24"/>
                <w:highlight w:val="none"/>
                <w:shd w:val="clear" w:color="auto" w:fill="auto"/>
                <w:lang w:val="en-US" w:eastAsia="zh-CN"/>
              </w:rPr>
              <w:t>3</w:t>
            </w:r>
          </w:p>
        </w:tc>
        <w:tc>
          <w:tcPr>
            <w:tcW w:w="2420" w:type="dxa"/>
            <w:tcBorders>
              <w:left w:val="single" w:color="000000" w:sz="6" w:space="0"/>
              <w:right w:val="single" w:color="000000" w:sz="4" w:space="0"/>
            </w:tcBorders>
          </w:tcPr>
          <w:p>
            <w:pPr>
              <w:pStyle w:val="36"/>
              <w:rPr>
                <w:rFonts w:ascii="Times New Roman"/>
                <w:color w:val="auto"/>
                <w:sz w:val="24"/>
                <w:highlight w:val="none"/>
                <w:shd w:val="clear" w:color="auto" w:fill="auto"/>
              </w:rPr>
            </w:pPr>
          </w:p>
        </w:tc>
        <w:tc>
          <w:tcPr>
            <w:tcW w:w="1530" w:type="dxa"/>
            <w:tcBorders>
              <w:left w:val="single" w:color="000000" w:sz="4" w:space="0"/>
              <w:right w:val="single" w:color="000000" w:sz="6" w:space="0"/>
            </w:tcBorders>
          </w:tcPr>
          <w:p>
            <w:pPr>
              <w:pStyle w:val="36"/>
              <w:rPr>
                <w:rFonts w:ascii="Times New Roman"/>
                <w:color w:val="auto"/>
                <w:sz w:val="24"/>
                <w:highlight w:val="none"/>
                <w:shd w:val="clear" w:color="auto" w:fill="auto"/>
              </w:rPr>
            </w:pPr>
          </w:p>
        </w:tc>
        <w:tc>
          <w:tcPr>
            <w:tcW w:w="1095" w:type="dxa"/>
            <w:tcBorders>
              <w:left w:val="single" w:color="000000" w:sz="6" w:space="0"/>
              <w:right w:val="single" w:color="000000" w:sz="6" w:space="0"/>
            </w:tcBorders>
          </w:tcPr>
          <w:p>
            <w:pPr>
              <w:pStyle w:val="36"/>
              <w:rPr>
                <w:rFonts w:ascii="Times New Roman"/>
                <w:color w:val="auto"/>
                <w:sz w:val="24"/>
                <w:highlight w:val="none"/>
                <w:shd w:val="clear" w:color="auto" w:fill="auto"/>
              </w:rPr>
            </w:pPr>
          </w:p>
        </w:tc>
        <w:tc>
          <w:tcPr>
            <w:tcW w:w="1890" w:type="dxa"/>
            <w:tcBorders>
              <w:left w:val="single" w:color="000000" w:sz="6" w:space="0"/>
              <w:right w:val="single" w:color="000000" w:sz="4" w:space="0"/>
            </w:tcBorders>
          </w:tcPr>
          <w:p>
            <w:pPr>
              <w:pStyle w:val="36"/>
              <w:rPr>
                <w:rFonts w:ascii="Times New Roman"/>
                <w:color w:val="auto"/>
                <w:sz w:val="24"/>
                <w:highlight w:val="none"/>
                <w:shd w:val="clear" w:color="auto" w:fill="auto"/>
              </w:rPr>
            </w:pPr>
          </w:p>
        </w:tc>
        <w:tc>
          <w:tcPr>
            <w:tcW w:w="2070" w:type="dxa"/>
            <w:tcBorders>
              <w:left w:val="single" w:color="000000" w:sz="4" w:space="0"/>
            </w:tcBorders>
          </w:tcPr>
          <w:p>
            <w:pPr>
              <w:pStyle w:val="36"/>
              <w:rPr>
                <w:rFonts w:ascii="Times New Roman"/>
                <w:color w:val="auto"/>
                <w:sz w:val="24"/>
                <w:highlight w:val="none"/>
                <w:shd w:val="clear" w:color="auto" w:fill="auto"/>
              </w:rPr>
            </w:pPr>
          </w:p>
        </w:tc>
        <w:tc>
          <w:tcPr>
            <w:tcW w:w="1770" w:type="dxa"/>
            <w:tcBorders>
              <w:left w:val="single" w:color="000000" w:sz="4" w:space="0"/>
            </w:tcBorders>
          </w:tcPr>
          <w:p>
            <w:pPr>
              <w:pStyle w:val="36"/>
              <w:rPr>
                <w:rFonts w:ascii="Times New Roman"/>
                <w:color w:val="auto"/>
                <w:sz w:val="24"/>
                <w:highlight w:val="none"/>
                <w:shd w:val="clear" w:color="auto" w:fill="auto"/>
              </w:rPr>
            </w:pPr>
          </w:p>
        </w:tc>
        <w:tc>
          <w:tcPr>
            <w:tcW w:w="1485" w:type="dxa"/>
            <w:tcBorders>
              <w:left w:val="single" w:color="000000" w:sz="4" w:space="0"/>
            </w:tcBorders>
          </w:tcPr>
          <w:p>
            <w:pPr>
              <w:pStyle w:val="36"/>
              <w:rPr>
                <w:rFonts w:ascii="Times New Roman"/>
                <w:color w:val="auto"/>
                <w:sz w:val="24"/>
                <w:highlight w:val="none"/>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9" w:hRule="atLeast"/>
        </w:trPr>
        <w:tc>
          <w:tcPr>
            <w:tcW w:w="3335" w:type="dxa"/>
            <w:gridSpan w:val="2"/>
            <w:tcBorders>
              <w:right w:val="single" w:color="auto" w:sz="4" w:space="0"/>
            </w:tcBorders>
          </w:tcPr>
          <w:p>
            <w:pPr>
              <w:pStyle w:val="36"/>
              <w:rPr>
                <w:rFonts w:hint="eastAsia" w:hAnsi="宋体"/>
                <w:b/>
                <w:color w:val="auto"/>
                <w:sz w:val="24"/>
                <w:highlight w:val="none"/>
                <w:shd w:val="clear" w:color="auto" w:fill="auto"/>
              </w:rPr>
            </w:pPr>
          </w:p>
          <w:p>
            <w:pPr>
              <w:pStyle w:val="36"/>
              <w:ind w:firstLine="964" w:firstLineChars="400"/>
              <w:rPr>
                <w:rFonts w:ascii="Times New Roman"/>
                <w:color w:val="auto"/>
                <w:sz w:val="24"/>
                <w:highlight w:val="none"/>
                <w:shd w:val="clear" w:color="auto" w:fill="auto"/>
              </w:rPr>
            </w:pPr>
            <w:r>
              <w:rPr>
                <w:rFonts w:hint="eastAsia" w:hAnsi="宋体"/>
                <w:b/>
                <w:color w:val="auto"/>
                <w:sz w:val="24"/>
                <w:highlight w:val="none"/>
                <w:shd w:val="clear" w:color="auto" w:fill="auto"/>
              </w:rPr>
              <w:t>投标总报价</w:t>
            </w:r>
          </w:p>
        </w:tc>
        <w:tc>
          <w:tcPr>
            <w:tcW w:w="4515" w:type="dxa"/>
            <w:gridSpan w:val="3"/>
            <w:tcBorders>
              <w:left w:val="single" w:color="auto" w:sz="4" w:space="0"/>
              <w:right w:val="single" w:color="000000" w:sz="4" w:space="0"/>
            </w:tcBorders>
          </w:tcPr>
          <w:p>
            <w:pPr>
              <w:pStyle w:val="36"/>
              <w:rPr>
                <w:color w:val="auto"/>
                <w:highlight w:val="none"/>
                <w:shd w:val="clear" w:color="auto" w:fill="auto"/>
              </w:rPr>
            </w:pPr>
          </w:p>
          <w:p>
            <w:pPr>
              <w:tabs>
                <w:tab w:val="left" w:pos="685"/>
              </w:tabs>
              <w:bidi w:val="0"/>
              <w:jc w:val="left"/>
              <w:rPr>
                <w:rFonts w:hint="eastAsia" w:eastAsia="宋体"/>
                <w:color w:val="auto"/>
                <w:highlight w:val="none"/>
                <w:shd w:val="clear" w:color="auto" w:fill="auto"/>
                <w:lang w:eastAsia="zh-CN"/>
              </w:rPr>
            </w:pPr>
            <w:r>
              <w:rPr>
                <w:rFonts w:hint="eastAsia" w:hAnsi="宋体"/>
                <w:color w:val="auto"/>
                <w:sz w:val="24"/>
                <w:highlight w:val="none"/>
                <w:shd w:val="clear" w:color="auto" w:fill="auto"/>
              </w:rPr>
              <w:t xml:space="preserve">（小写）：人民币       </w:t>
            </w:r>
            <w:r>
              <w:rPr>
                <w:rFonts w:hint="eastAsia" w:hAnsi="宋体"/>
                <w:color w:val="auto"/>
                <w:sz w:val="24"/>
                <w:highlight w:val="none"/>
                <w:shd w:val="clear" w:color="auto" w:fill="auto"/>
                <w:lang w:val="en-US" w:eastAsia="zh-CN"/>
              </w:rPr>
              <w:t xml:space="preserve"> </w:t>
            </w:r>
            <w:r>
              <w:rPr>
                <w:rFonts w:hint="eastAsia" w:hAnsi="宋体"/>
                <w:color w:val="auto"/>
                <w:sz w:val="24"/>
                <w:highlight w:val="none"/>
                <w:shd w:val="clear" w:color="auto" w:fill="auto"/>
              </w:rPr>
              <w:t>元</w:t>
            </w:r>
          </w:p>
        </w:tc>
        <w:tc>
          <w:tcPr>
            <w:tcW w:w="5325" w:type="dxa"/>
            <w:gridSpan w:val="3"/>
            <w:tcBorders>
              <w:left w:val="single" w:color="000000" w:sz="4" w:space="0"/>
            </w:tcBorders>
          </w:tcPr>
          <w:p>
            <w:pPr>
              <w:pStyle w:val="36"/>
              <w:rPr>
                <w:rFonts w:hint="eastAsia" w:hAnsi="宋体"/>
                <w:color w:val="auto"/>
                <w:sz w:val="24"/>
                <w:highlight w:val="none"/>
                <w:shd w:val="clear" w:color="auto" w:fill="auto"/>
              </w:rPr>
            </w:pPr>
          </w:p>
          <w:p>
            <w:pPr>
              <w:pStyle w:val="36"/>
              <w:rPr>
                <w:rFonts w:ascii="Times New Roman"/>
                <w:color w:val="auto"/>
                <w:sz w:val="24"/>
                <w:highlight w:val="none"/>
                <w:shd w:val="clear" w:color="auto" w:fill="auto"/>
              </w:rPr>
            </w:pPr>
            <w:r>
              <w:rPr>
                <w:rFonts w:hint="eastAsia" w:hAnsi="宋体"/>
                <w:color w:val="auto"/>
                <w:sz w:val="24"/>
                <w:highlight w:val="none"/>
                <w:shd w:val="clear" w:color="auto" w:fill="auto"/>
              </w:rPr>
              <w:t>（</w:t>
            </w:r>
            <w:r>
              <w:rPr>
                <w:rFonts w:hint="eastAsia" w:hAnsi="宋体"/>
                <w:color w:val="auto"/>
                <w:sz w:val="24"/>
                <w:highlight w:val="none"/>
                <w:shd w:val="clear" w:color="auto" w:fill="auto"/>
                <w:lang w:eastAsia="zh-CN"/>
              </w:rPr>
              <w:t>大</w:t>
            </w:r>
            <w:r>
              <w:rPr>
                <w:rFonts w:hint="eastAsia" w:hAnsi="宋体"/>
                <w:color w:val="auto"/>
                <w:sz w:val="24"/>
                <w:highlight w:val="none"/>
                <w:shd w:val="clear" w:color="auto" w:fill="auto"/>
              </w:rPr>
              <w:t>写）：</w:t>
            </w:r>
          </w:p>
        </w:tc>
      </w:tr>
    </w:tbl>
    <w:p>
      <w:pPr>
        <w:tabs>
          <w:tab w:val="left" w:pos="6822"/>
        </w:tabs>
        <w:spacing w:before="5"/>
        <w:ind w:right="0"/>
        <w:jc w:val="left"/>
        <w:rPr>
          <w:color w:val="auto"/>
          <w:sz w:val="24"/>
          <w:highlight w:val="none"/>
          <w:shd w:val="clear" w:color="auto" w:fill="auto"/>
        </w:rPr>
      </w:pPr>
      <w:r>
        <w:rPr>
          <w:color w:val="auto"/>
          <w:sz w:val="24"/>
          <w:highlight w:val="none"/>
          <w:shd w:val="clear" w:color="auto" w:fill="auto"/>
        </w:rPr>
        <w:tab/>
      </w:r>
      <w:r>
        <w:rPr>
          <w:color w:val="auto"/>
          <w:sz w:val="24"/>
          <w:highlight w:val="none"/>
          <w:shd w:val="clear" w:color="auto" w:fill="auto"/>
        </w:rPr>
        <w:t>货</w:t>
      </w:r>
      <w:r>
        <w:rPr>
          <w:color w:val="auto"/>
          <w:spacing w:val="-60"/>
          <w:sz w:val="24"/>
          <w:highlight w:val="none"/>
          <w:shd w:val="clear" w:color="auto" w:fill="auto"/>
        </w:rPr>
        <w:t xml:space="preserve"> </w:t>
      </w:r>
      <w:r>
        <w:rPr>
          <w:color w:val="auto"/>
          <w:sz w:val="24"/>
          <w:highlight w:val="none"/>
          <w:shd w:val="clear" w:color="auto" w:fill="auto"/>
        </w:rPr>
        <w:t>币</w:t>
      </w:r>
      <w:r>
        <w:rPr>
          <w:color w:val="auto"/>
          <w:spacing w:val="-60"/>
          <w:sz w:val="24"/>
          <w:highlight w:val="none"/>
          <w:shd w:val="clear" w:color="auto" w:fill="auto"/>
        </w:rPr>
        <w:t xml:space="preserve"> </w:t>
      </w:r>
      <w:r>
        <w:rPr>
          <w:color w:val="auto"/>
          <w:sz w:val="24"/>
          <w:highlight w:val="none"/>
          <w:shd w:val="clear" w:color="auto" w:fill="auto"/>
        </w:rPr>
        <w:t>单</w:t>
      </w:r>
      <w:r>
        <w:rPr>
          <w:color w:val="auto"/>
          <w:spacing w:val="-60"/>
          <w:sz w:val="24"/>
          <w:highlight w:val="none"/>
          <w:shd w:val="clear" w:color="auto" w:fill="auto"/>
        </w:rPr>
        <w:t xml:space="preserve"> </w:t>
      </w:r>
      <w:r>
        <w:rPr>
          <w:color w:val="auto"/>
          <w:sz w:val="24"/>
          <w:highlight w:val="none"/>
          <w:shd w:val="clear" w:color="auto" w:fill="auto"/>
        </w:rPr>
        <w:t>位</w:t>
      </w:r>
      <w:r>
        <w:rPr>
          <w:color w:val="auto"/>
          <w:spacing w:val="-60"/>
          <w:sz w:val="24"/>
          <w:highlight w:val="none"/>
          <w:shd w:val="clear" w:color="auto" w:fill="auto"/>
        </w:rPr>
        <w:t xml:space="preserve"> </w:t>
      </w:r>
      <w:r>
        <w:rPr>
          <w:color w:val="auto"/>
          <w:sz w:val="24"/>
          <w:highlight w:val="none"/>
          <w:shd w:val="clear" w:color="auto" w:fill="auto"/>
        </w:rPr>
        <w:t>：</w:t>
      </w:r>
      <w:r>
        <w:rPr>
          <w:color w:val="auto"/>
          <w:spacing w:val="-60"/>
          <w:sz w:val="24"/>
          <w:highlight w:val="none"/>
          <w:shd w:val="clear" w:color="auto" w:fill="auto"/>
        </w:rPr>
        <w:t xml:space="preserve"> </w:t>
      </w:r>
      <w:r>
        <w:rPr>
          <w:color w:val="auto"/>
          <w:sz w:val="24"/>
          <w:highlight w:val="none"/>
          <w:shd w:val="clear" w:color="auto" w:fill="auto"/>
        </w:rPr>
        <w:t>人</w:t>
      </w:r>
      <w:r>
        <w:rPr>
          <w:color w:val="auto"/>
          <w:spacing w:val="-60"/>
          <w:sz w:val="24"/>
          <w:highlight w:val="none"/>
          <w:shd w:val="clear" w:color="auto" w:fill="auto"/>
        </w:rPr>
        <w:t xml:space="preserve"> </w:t>
      </w:r>
      <w:r>
        <w:rPr>
          <w:color w:val="auto"/>
          <w:sz w:val="24"/>
          <w:highlight w:val="none"/>
          <w:shd w:val="clear" w:color="auto" w:fill="auto"/>
        </w:rPr>
        <w:t>民</w:t>
      </w:r>
      <w:r>
        <w:rPr>
          <w:color w:val="auto"/>
          <w:spacing w:val="-60"/>
          <w:sz w:val="24"/>
          <w:highlight w:val="none"/>
          <w:shd w:val="clear" w:color="auto" w:fill="auto"/>
        </w:rPr>
        <w:t xml:space="preserve"> </w:t>
      </w:r>
      <w:r>
        <w:rPr>
          <w:color w:val="auto"/>
          <w:sz w:val="24"/>
          <w:highlight w:val="none"/>
          <w:shd w:val="clear" w:color="auto" w:fill="auto"/>
        </w:rPr>
        <w:t>币</w:t>
      </w:r>
      <w:r>
        <w:rPr>
          <w:color w:val="auto"/>
          <w:spacing w:val="-60"/>
          <w:sz w:val="24"/>
          <w:highlight w:val="none"/>
          <w:shd w:val="clear" w:color="auto" w:fill="auto"/>
        </w:rPr>
        <w:t xml:space="preserve"> </w:t>
      </w:r>
      <w:r>
        <w:rPr>
          <w:color w:val="auto"/>
          <w:sz w:val="24"/>
          <w:highlight w:val="none"/>
          <w:shd w:val="clear" w:color="auto" w:fill="auto"/>
        </w:rPr>
        <w:t>元</w:t>
      </w: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spacing w:before="1"/>
        <w:rPr>
          <w:color w:val="auto"/>
          <w:sz w:val="26"/>
          <w:highlight w:val="none"/>
          <w:shd w:val="clear" w:color="auto" w:fill="auto"/>
        </w:rPr>
      </w:pPr>
    </w:p>
    <w:p>
      <w:pPr>
        <w:pStyle w:val="11"/>
        <w:ind w:left="1540"/>
        <w:rPr>
          <w:color w:val="auto"/>
          <w:highlight w:val="none"/>
          <w:shd w:val="clear" w:color="auto" w:fill="auto"/>
        </w:rPr>
      </w:pPr>
    </w:p>
    <w:p>
      <w:pPr>
        <w:pStyle w:val="11"/>
        <w:ind w:left="1540"/>
        <w:rPr>
          <w:color w:val="auto"/>
          <w:highlight w:val="none"/>
          <w:shd w:val="clear" w:color="auto" w:fill="auto"/>
        </w:rPr>
      </w:pPr>
    </w:p>
    <w:p>
      <w:pPr>
        <w:rPr>
          <w:color w:val="auto"/>
          <w:highlight w:val="none"/>
          <w:shd w:val="clear" w:color="auto" w:fill="auto"/>
        </w:rPr>
      </w:pPr>
    </w:p>
    <w:p>
      <w:pPr>
        <w:pStyle w:val="11"/>
        <w:ind w:left="1540"/>
        <w:rPr>
          <w:color w:val="auto"/>
          <w:highlight w:val="none"/>
          <w:shd w:val="clear" w:color="auto" w:fill="auto"/>
        </w:rPr>
      </w:pPr>
    </w:p>
    <w:p>
      <w:pPr>
        <w:pStyle w:val="11"/>
        <w:ind w:left="1540"/>
        <w:rPr>
          <w:color w:val="auto"/>
          <w:highlight w:val="none"/>
          <w:shd w:val="clear" w:color="auto" w:fill="auto"/>
        </w:rPr>
      </w:pPr>
    </w:p>
    <w:p>
      <w:pPr>
        <w:pStyle w:val="11"/>
        <w:ind w:left="1540"/>
        <w:rPr>
          <w:color w:val="auto"/>
          <w:highlight w:val="none"/>
          <w:shd w:val="clear" w:color="auto" w:fill="auto"/>
        </w:rPr>
      </w:pPr>
    </w:p>
    <w:p>
      <w:pPr>
        <w:pStyle w:val="11"/>
        <w:ind w:left="1540"/>
        <w:rPr>
          <w:color w:val="auto"/>
          <w:highlight w:val="none"/>
          <w:shd w:val="clear" w:color="auto" w:fill="auto"/>
        </w:rPr>
      </w:pPr>
    </w:p>
    <w:p>
      <w:pPr>
        <w:pStyle w:val="11"/>
        <w:ind w:left="1540"/>
        <w:rPr>
          <w:color w:val="auto"/>
          <w:highlight w:val="none"/>
          <w:shd w:val="clear" w:color="auto" w:fill="auto"/>
        </w:rPr>
      </w:pPr>
    </w:p>
    <w:p>
      <w:pPr>
        <w:pStyle w:val="11"/>
        <w:ind w:left="1540"/>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r>
        <w:rPr>
          <w:color w:val="auto"/>
          <w:highlight w:val="none"/>
          <w:shd w:val="clear" w:color="auto" w:fill="auto"/>
        </w:rPr>
        <w:t>投 标 人 名 称 （ 盖 章 ） ：</w:t>
      </w:r>
    </w:p>
    <w:p>
      <w:pPr>
        <w:pStyle w:val="11"/>
        <w:rPr>
          <w:color w:val="auto"/>
          <w:highlight w:val="none"/>
          <w:shd w:val="clear" w:color="auto" w:fill="auto"/>
        </w:rPr>
      </w:pPr>
    </w:p>
    <w:p>
      <w:pPr>
        <w:pStyle w:val="11"/>
        <w:rPr>
          <w:color w:val="auto"/>
          <w:highlight w:val="none"/>
          <w:shd w:val="clear" w:color="auto" w:fill="auto"/>
        </w:rPr>
      </w:pPr>
    </w:p>
    <w:p>
      <w:pPr>
        <w:pStyle w:val="11"/>
        <w:tabs>
          <w:tab w:val="left" w:pos="6673"/>
          <w:tab w:val="left" w:pos="8046"/>
          <w:tab w:val="left" w:pos="8706"/>
          <w:tab w:val="left" w:pos="9546"/>
        </w:tabs>
        <w:rPr>
          <w:color w:val="auto"/>
          <w:highlight w:val="none"/>
          <w:shd w:val="clear" w:color="auto" w:fill="auto"/>
        </w:rPr>
      </w:pPr>
      <w:r>
        <w:rPr>
          <w:rFonts w:hint="eastAsia" w:hAnsi="宋体"/>
          <w:color w:val="auto"/>
          <w:sz w:val="24"/>
          <w:highlight w:val="none"/>
          <w:shd w:val="clear" w:color="auto" w:fill="auto"/>
        </w:rPr>
        <w:t>供应商法定代表人或其授权委托人签字或盖章：</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 xml:space="preserve">  </w:t>
      </w:r>
      <w:r>
        <w:rPr>
          <w:rFonts w:hint="eastAsia" w:hAnsi="宋体"/>
          <w:color w:val="auto"/>
          <w:sz w:val="24"/>
          <w:highlight w:val="none"/>
          <w:shd w:val="clear" w:color="auto" w:fill="auto"/>
          <w:lang w:val="en-US" w:eastAsia="zh-CN"/>
        </w:rPr>
        <w:t xml:space="preserve">      </w:t>
      </w:r>
      <w:r>
        <w:rPr>
          <w:color w:val="auto"/>
          <w:spacing w:val="-4"/>
          <w:highlight w:val="none"/>
          <w:shd w:val="clear" w:color="auto" w:fill="auto"/>
        </w:rPr>
        <w:tab/>
      </w:r>
      <w:r>
        <w:rPr>
          <w:color w:val="auto"/>
          <w:highlight w:val="none"/>
          <w:shd w:val="clear" w:color="auto" w:fill="auto"/>
        </w:rPr>
        <w:t>日</w:t>
      </w:r>
      <w:r>
        <w:rPr>
          <w:color w:val="auto"/>
          <w:spacing w:val="-60"/>
          <w:highlight w:val="none"/>
          <w:shd w:val="clear" w:color="auto" w:fill="auto"/>
        </w:rPr>
        <w:t xml:space="preserve"> </w:t>
      </w:r>
      <w:r>
        <w:rPr>
          <w:color w:val="auto"/>
          <w:highlight w:val="none"/>
          <w:shd w:val="clear" w:color="auto" w:fill="auto"/>
        </w:rPr>
        <w:t>期</w:t>
      </w:r>
      <w:r>
        <w:rPr>
          <w:color w:val="auto"/>
          <w:spacing w:val="-60"/>
          <w:highlight w:val="none"/>
          <w:shd w:val="clear" w:color="auto" w:fill="auto"/>
        </w:rPr>
        <w:t xml:space="preserve"> </w:t>
      </w:r>
      <w:r>
        <w:rPr>
          <w:color w:val="auto"/>
          <w:highlight w:val="none"/>
          <w:shd w:val="clear" w:color="auto" w:fill="auto"/>
        </w:rPr>
        <w:t>：</w:t>
      </w:r>
      <w:r>
        <w:rPr>
          <w:rFonts w:hint="eastAsia"/>
          <w:color w:val="auto"/>
          <w:highlight w:val="none"/>
          <w:shd w:val="clear" w:color="auto" w:fill="auto"/>
          <w:lang w:val="en-US" w:eastAsia="zh-CN"/>
        </w:rPr>
        <w:t xml:space="preserve">   </w:t>
      </w:r>
      <w:r>
        <w:rPr>
          <w:color w:val="auto"/>
          <w:highlight w:val="none"/>
          <w:shd w:val="clear" w:color="auto" w:fill="auto"/>
        </w:rPr>
        <w:t>年</w:t>
      </w:r>
      <w:r>
        <w:rPr>
          <w:color w:val="auto"/>
          <w:highlight w:val="none"/>
          <w:shd w:val="clear" w:color="auto" w:fill="auto"/>
        </w:rPr>
        <w:tab/>
      </w:r>
      <w:r>
        <w:rPr>
          <w:rFonts w:hint="eastAsia"/>
          <w:color w:val="auto"/>
          <w:highlight w:val="none"/>
          <w:shd w:val="clear" w:color="auto" w:fill="auto"/>
          <w:lang w:val="en-US" w:eastAsia="zh-CN"/>
        </w:rPr>
        <w:t xml:space="preserve">  </w:t>
      </w:r>
      <w:r>
        <w:rPr>
          <w:color w:val="auto"/>
          <w:highlight w:val="none"/>
          <w:shd w:val="clear" w:color="auto" w:fill="auto"/>
        </w:rPr>
        <w:t>月</w:t>
      </w:r>
      <w:r>
        <w:rPr>
          <w:color w:val="auto"/>
          <w:highlight w:val="none"/>
          <w:shd w:val="clear" w:color="auto" w:fill="auto"/>
        </w:rPr>
        <w:tab/>
      </w:r>
      <w:r>
        <w:rPr>
          <w:color w:val="auto"/>
          <w:highlight w:val="none"/>
          <w:shd w:val="clear" w:color="auto" w:fill="auto"/>
        </w:rPr>
        <w:t>日</w:t>
      </w:r>
    </w:p>
    <w:p>
      <w:pPr>
        <w:spacing w:after="0"/>
        <w:rPr>
          <w:color w:val="auto"/>
          <w:highlight w:val="none"/>
          <w:shd w:val="clear" w:color="auto" w:fill="auto"/>
        </w:rPr>
      </w:pPr>
    </w:p>
    <w:p>
      <w:pPr>
        <w:spacing w:line="380" w:lineRule="exact"/>
        <w:ind w:firstLine="480" w:firstLineChars="200"/>
        <w:rPr>
          <w:rFonts w:hint="eastAsia"/>
          <w:b w:val="0"/>
          <w:bCs w:val="0"/>
          <w:color w:val="auto"/>
          <w:sz w:val="24"/>
          <w:szCs w:val="24"/>
          <w:highlight w:val="none"/>
          <w:shd w:val="clear" w:color="auto" w:fill="auto"/>
        </w:rPr>
      </w:pPr>
    </w:p>
    <w:p>
      <w:pPr>
        <w:spacing w:line="380" w:lineRule="exact"/>
        <w:ind w:firstLine="480" w:firstLineChars="200"/>
        <w:rPr>
          <w:rFonts w:hint="eastAsia"/>
          <w:b w:val="0"/>
          <w:bCs w:val="0"/>
          <w:color w:val="auto"/>
          <w:sz w:val="24"/>
          <w:szCs w:val="24"/>
          <w:highlight w:val="none"/>
          <w:shd w:val="clear" w:color="auto" w:fill="auto"/>
        </w:rPr>
      </w:pPr>
      <w:r>
        <w:rPr>
          <w:rFonts w:hint="eastAsia"/>
          <w:b w:val="0"/>
          <w:bCs w:val="0"/>
          <w:color w:val="auto"/>
          <w:sz w:val="24"/>
          <w:szCs w:val="24"/>
          <w:highlight w:val="none"/>
          <w:shd w:val="clear" w:color="auto" w:fill="auto"/>
        </w:rPr>
        <w:t>注：</w:t>
      </w:r>
      <w:r>
        <w:rPr>
          <w:rFonts w:hint="eastAsia" w:hAnsi="宋体"/>
          <w:color w:val="auto"/>
          <w:sz w:val="24"/>
          <w:szCs w:val="22"/>
          <w:highlight w:val="none"/>
          <w:shd w:val="clear" w:color="auto" w:fill="auto"/>
          <w:lang w:val="en-US" w:eastAsia="zh-CN"/>
        </w:rPr>
        <w:t>1、此表格供应商可自行扩展，格式不变。</w:t>
      </w:r>
    </w:p>
    <w:p>
      <w:pPr>
        <w:pStyle w:val="49"/>
        <w:ind w:firstLine="1285" w:firstLineChars="400"/>
        <w:jc w:val="both"/>
        <w:rPr>
          <w:color w:val="auto"/>
          <w:highlight w:val="none"/>
          <w:shd w:val="clear" w:color="auto" w:fill="auto"/>
        </w:rPr>
        <w:sectPr>
          <w:pgSz w:w="16840" w:h="11910" w:orient="landscape"/>
          <w:pgMar w:top="261" w:right="1500" w:bottom="62" w:left="1200" w:header="0" w:footer="924" w:gutter="0"/>
          <w:pgBorders>
            <w:top w:val="none" w:sz="0" w:space="0"/>
            <w:left w:val="none" w:sz="0" w:space="0"/>
            <w:bottom w:val="none" w:sz="0" w:space="0"/>
            <w:right w:val="none" w:sz="0" w:space="0"/>
          </w:pgBorders>
          <w:pgNumType w:fmt="decimal"/>
          <w:cols w:space="0" w:num="1"/>
          <w:rtlGutter w:val="0"/>
          <w:docGrid w:linePitch="0" w:charSpace="0"/>
        </w:sectPr>
      </w:pPr>
    </w:p>
    <w:p>
      <w:pPr>
        <w:rPr>
          <w:color w:val="auto"/>
          <w:highlight w:val="none"/>
          <w:shd w:val="clear" w:color="auto" w:fill="auto"/>
        </w:rPr>
      </w:pPr>
    </w:p>
    <w:p>
      <w:pPr>
        <w:jc w:val="center"/>
        <w:rPr>
          <w:b/>
          <w:color w:val="auto"/>
          <w:sz w:val="28"/>
          <w:szCs w:val="28"/>
          <w:highlight w:val="none"/>
          <w:shd w:val="clear" w:color="auto" w:fill="auto"/>
        </w:rPr>
      </w:pPr>
      <w:r>
        <w:rPr>
          <w:b/>
          <w:color w:val="auto"/>
          <w:sz w:val="28"/>
          <w:szCs w:val="28"/>
          <w:highlight w:val="none"/>
          <w:shd w:val="clear" w:color="auto" w:fill="auto"/>
        </w:rPr>
        <w:t>三</w:t>
      </w:r>
      <w:r>
        <w:rPr>
          <w:b/>
          <w:color w:val="auto"/>
          <w:sz w:val="28"/>
          <w:szCs w:val="28"/>
          <w:highlight w:val="none"/>
          <w:shd w:val="clear" w:color="auto" w:fill="auto"/>
        </w:rPr>
        <w:tab/>
      </w:r>
      <w:r>
        <w:rPr>
          <w:rFonts w:hint="eastAsia"/>
          <w:b/>
          <w:color w:val="auto"/>
          <w:sz w:val="28"/>
          <w:szCs w:val="28"/>
          <w:highlight w:val="none"/>
          <w:shd w:val="clear" w:color="auto" w:fill="auto"/>
          <w:lang w:eastAsia="zh-CN"/>
        </w:rPr>
        <w:t>、磋商</w:t>
      </w:r>
      <w:r>
        <w:rPr>
          <w:b/>
          <w:color w:val="auto"/>
          <w:sz w:val="28"/>
          <w:szCs w:val="28"/>
          <w:highlight w:val="none"/>
          <w:shd w:val="clear" w:color="auto" w:fill="auto"/>
        </w:rPr>
        <w:t>报价表（格式）</w:t>
      </w:r>
    </w:p>
    <w:p>
      <w:pPr>
        <w:rPr>
          <w:b/>
          <w:color w:val="auto"/>
          <w:sz w:val="35"/>
          <w:highlight w:val="none"/>
          <w:shd w:val="clear" w:color="auto" w:fill="auto"/>
        </w:rPr>
      </w:pPr>
    </w:p>
    <w:p>
      <w:pPr>
        <w:rPr>
          <w:rFonts w:hint="default" w:ascii="Times New Roman"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响应供应商名称：</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r>
        <w:rPr>
          <w:color w:val="auto"/>
          <w:sz w:val="24"/>
          <w:szCs w:val="24"/>
          <w:highlight w:val="none"/>
          <w:shd w:val="clear" w:color="auto" w:fill="auto"/>
        </w:rPr>
        <w:t>项目编号：</w:t>
      </w:r>
      <w:r>
        <w:rPr>
          <w:rFonts w:hint="eastAsia"/>
          <w:color w:val="auto"/>
          <w:sz w:val="24"/>
          <w:szCs w:val="24"/>
          <w:highlight w:val="none"/>
          <w:shd w:val="clear" w:color="auto" w:fill="auto"/>
          <w:lang w:val="en-US" w:eastAsia="zh-CN"/>
        </w:rPr>
        <w:t xml:space="preserve"> </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r>
        <w:rPr>
          <w:color w:val="auto"/>
          <w:spacing w:val="-1"/>
          <w:sz w:val="24"/>
          <w:szCs w:val="24"/>
          <w:highlight w:val="none"/>
          <w:shd w:val="clear" w:color="auto" w:fill="auto"/>
        </w:rPr>
        <w:t>货</w:t>
      </w:r>
      <w:r>
        <w:rPr>
          <w:color w:val="auto"/>
          <w:sz w:val="24"/>
          <w:szCs w:val="24"/>
          <w:highlight w:val="none"/>
          <w:shd w:val="clear" w:color="auto" w:fill="auto"/>
        </w:rPr>
        <w:t>币单位：</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r>
        <w:rPr>
          <w:rFonts w:hint="eastAsia" w:ascii="Times New Roman"/>
          <w:color w:val="auto"/>
          <w:sz w:val="24"/>
          <w:szCs w:val="24"/>
          <w:highlight w:val="none"/>
          <w:u w:val="single"/>
          <w:shd w:val="clear" w:color="auto" w:fill="auto"/>
          <w:lang w:val="en-US" w:eastAsia="zh-CN"/>
        </w:rPr>
        <w:t xml:space="preserve">    </w:t>
      </w:r>
    </w:p>
    <w:p>
      <w:pPr>
        <w:rPr>
          <w:color w:val="auto"/>
          <w:spacing w:val="-1"/>
          <w:sz w:val="24"/>
          <w:szCs w:val="24"/>
          <w:highlight w:val="none"/>
          <w:shd w:val="clear" w:color="auto" w:fill="auto"/>
        </w:rPr>
      </w:pPr>
    </w:p>
    <w:p>
      <w:pPr>
        <w:pStyle w:val="11"/>
        <w:rPr>
          <w:color w:val="auto"/>
          <w:highlight w:val="none"/>
          <w:shd w:val="clear" w:color="auto" w:fill="auto"/>
        </w:rPr>
      </w:pPr>
    </w:p>
    <w:p>
      <w:pPr>
        <w:rPr>
          <w:rFonts w:hint="eastAsia"/>
          <w:color w:val="auto"/>
          <w:sz w:val="24"/>
          <w:highlight w:val="none"/>
          <w:u w:val="single"/>
          <w:shd w:val="clear" w:color="auto" w:fill="auto"/>
          <w:lang w:val="en-US" w:eastAsia="zh-CN"/>
        </w:rPr>
      </w:pPr>
      <w:r>
        <w:rPr>
          <w:rFonts w:hint="eastAsia" w:hAnsi="宋体"/>
          <w:color w:val="auto"/>
          <w:sz w:val="24"/>
          <w:highlight w:val="none"/>
          <w:shd w:val="clear" w:color="auto" w:fill="auto"/>
        </w:rPr>
        <w:t>投标总价</w:t>
      </w:r>
      <w:r>
        <w:rPr>
          <w:rFonts w:hint="eastAsia"/>
          <w:color w:val="auto"/>
          <w:sz w:val="24"/>
          <w:highlight w:val="none"/>
          <w:shd w:val="clear" w:color="auto" w:fill="auto"/>
          <w:lang w:eastAsia="zh-CN"/>
        </w:rPr>
        <w:t>：</w:t>
      </w:r>
      <w:r>
        <w:rPr>
          <w:rFonts w:hint="eastAsia"/>
          <w:color w:val="auto"/>
          <w:sz w:val="24"/>
          <w:highlight w:val="none"/>
          <w:u w:val="single"/>
          <w:shd w:val="clear" w:color="auto" w:fill="auto"/>
          <w:lang w:val="en-US" w:eastAsia="zh-CN"/>
        </w:rPr>
        <w:t xml:space="preserve">                </w:t>
      </w:r>
    </w:p>
    <w:p>
      <w:pPr>
        <w:pStyle w:val="11"/>
        <w:rPr>
          <w:rFonts w:hint="default"/>
          <w:color w:val="auto"/>
          <w:highlight w:val="none"/>
          <w:shd w:val="clear" w:color="auto" w:fill="auto"/>
          <w:lang w:val="en-US" w:eastAsia="zh-CN"/>
        </w:rPr>
      </w:pPr>
    </w:p>
    <w:p>
      <w:pPr>
        <w:rPr>
          <w:color w:val="auto"/>
          <w:spacing w:val="-1"/>
          <w:sz w:val="24"/>
          <w:szCs w:val="24"/>
          <w:highlight w:val="none"/>
          <w:shd w:val="clear" w:color="auto" w:fill="auto"/>
        </w:rPr>
      </w:pPr>
    </w:p>
    <w:p>
      <w:pPr>
        <w:rPr>
          <w:rFonts w:hint="default" w:ascii="Times New Roman" w:eastAsia="宋体"/>
          <w:color w:val="auto"/>
          <w:sz w:val="24"/>
          <w:szCs w:val="24"/>
          <w:highlight w:val="none"/>
          <w:shd w:val="clear" w:color="auto" w:fill="auto"/>
          <w:lang w:val="en-US" w:eastAsia="zh-CN"/>
        </w:rPr>
      </w:pPr>
      <w:r>
        <w:rPr>
          <w:rFonts w:hint="eastAsia"/>
          <w:color w:val="auto"/>
          <w:spacing w:val="-1"/>
          <w:sz w:val="24"/>
          <w:szCs w:val="24"/>
          <w:highlight w:val="none"/>
          <w:shd w:val="clear" w:color="auto" w:fill="auto"/>
          <w:lang w:eastAsia="zh-CN"/>
        </w:rPr>
        <w:t>磋商</w:t>
      </w:r>
      <w:r>
        <w:rPr>
          <w:color w:val="auto"/>
          <w:sz w:val="24"/>
          <w:szCs w:val="24"/>
          <w:highlight w:val="none"/>
          <w:shd w:val="clear" w:color="auto" w:fill="auto"/>
        </w:rPr>
        <w:t>响应供应商代表签名：</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r>
        <w:rPr>
          <w:rFonts w:hint="eastAsia" w:ascii="Times New Roman"/>
          <w:color w:val="auto"/>
          <w:sz w:val="24"/>
          <w:szCs w:val="24"/>
          <w:highlight w:val="none"/>
          <w:u w:val="single"/>
          <w:shd w:val="clear" w:color="auto" w:fill="auto"/>
          <w:lang w:val="en-US" w:eastAsia="zh-CN"/>
        </w:rPr>
        <w:t xml:space="preserve">       </w:t>
      </w:r>
    </w:p>
    <w:p>
      <w:pPr>
        <w:rPr>
          <w:rFonts w:ascii="Times New Roman" w:eastAsia="Times New Roman"/>
          <w:color w:val="auto"/>
          <w:highlight w:val="none"/>
          <w:shd w:val="clear" w:color="auto" w:fill="auto"/>
        </w:rPr>
        <w:sectPr>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pPr>
    </w:p>
    <w:p>
      <w:pPr>
        <w:jc w:val="center"/>
        <w:rPr>
          <w:b/>
          <w:color w:val="auto"/>
          <w:sz w:val="28"/>
          <w:szCs w:val="28"/>
          <w:highlight w:val="none"/>
          <w:shd w:val="clear" w:color="auto" w:fill="auto"/>
        </w:rPr>
      </w:pPr>
      <w:r>
        <w:rPr>
          <w:b/>
          <w:color w:val="auto"/>
          <w:sz w:val="28"/>
          <w:szCs w:val="28"/>
          <w:highlight w:val="none"/>
          <w:shd w:val="clear" w:color="auto" w:fill="auto"/>
        </w:rPr>
        <w:t>四</w:t>
      </w:r>
      <w:r>
        <w:rPr>
          <w:b/>
          <w:color w:val="auto"/>
          <w:sz w:val="28"/>
          <w:szCs w:val="28"/>
          <w:highlight w:val="none"/>
          <w:shd w:val="clear" w:color="auto" w:fill="auto"/>
        </w:rPr>
        <w:tab/>
      </w:r>
      <w:r>
        <w:rPr>
          <w:rFonts w:hint="eastAsia"/>
          <w:b/>
          <w:color w:val="auto"/>
          <w:sz w:val="28"/>
          <w:szCs w:val="28"/>
          <w:highlight w:val="none"/>
          <w:shd w:val="clear" w:color="auto" w:fill="auto"/>
          <w:lang w:eastAsia="zh-CN"/>
        </w:rPr>
        <w:t>、</w:t>
      </w:r>
      <w:r>
        <w:rPr>
          <w:b/>
          <w:color w:val="auto"/>
          <w:sz w:val="28"/>
          <w:szCs w:val="28"/>
          <w:highlight w:val="none"/>
          <w:shd w:val="clear" w:color="auto" w:fill="auto"/>
        </w:rPr>
        <w:t>技术规格偏离表</w:t>
      </w:r>
    </w:p>
    <w:p>
      <w:pPr>
        <w:rPr>
          <w:color w:val="auto"/>
          <w:sz w:val="24"/>
          <w:szCs w:val="24"/>
          <w:highlight w:val="none"/>
          <w:shd w:val="clear" w:color="auto" w:fill="auto"/>
        </w:rPr>
      </w:pPr>
      <w:r>
        <w:rPr>
          <w:color w:val="auto"/>
          <w:sz w:val="24"/>
          <w:szCs w:val="24"/>
          <w:highlight w:val="none"/>
          <w:shd w:val="clear" w:color="auto" w:fill="auto"/>
        </w:rPr>
        <w:t>自行拟定</w:t>
      </w:r>
    </w:p>
    <w:p>
      <w:pPr>
        <w:rPr>
          <w:color w:val="auto"/>
          <w:sz w:val="24"/>
          <w:szCs w:val="24"/>
          <w:highlight w:val="none"/>
          <w:shd w:val="clear" w:color="auto" w:fill="auto"/>
        </w:rPr>
      </w:pPr>
    </w:p>
    <w:p>
      <w:pPr>
        <w:rPr>
          <w:color w:val="auto"/>
          <w:sz w:val="24"/>
          <w:szCs w:val="24"/>
          <w:highlight w:val="none"/>
          <w:shd w:val="clear" w:color="auto" w:fill="auto"/>
        </w:rPr>
      </w:pPr>
      <w:r>
        <w:rPr>
          <w:color w:val="auto"/>
          <w:sz w:val="24"/>
          <w:szCs w:val="24"/>
          <w:highlight w:val="none"/>
          <w:shd w:val="clear" w:color="auto" w:fill="auto"/>
        </w:rPr>
        <w:t>（由投标人据实提交，技术参数须按编写序号须逐条对应）项目编号:</w:t>
      </w:r>
    </w:p>
    <w:p>
      <w:pPr>
        <w:rPr>
          <w:color w:val="auto"/>
          <w:sz w:val="24"/>
          <w:szCs w:val="24"/>
          <w:highlight w:val="none"/>
          <w:shd w:val="clear" w:color="auto" w:fill="auto"/>
        </w:rPr>
      </w:pPr>
      <w:r>
        <w:rPr>
          <w:color w:val="auto"/>
          <w:sz w:val="24"/>
          <w:szCs w:val="24"/>
          <w:highlight w:val="none"/>
          <w:shd w:val="clear" w:color="auto" w:fill="auto"/>
        </w:rPr>
        <w:t>项目名称（盖章）：</w:t>
      </w:r>
    </w:p>
    <w:tbl>
      <w:tblPr>
        <w:tblStyle w:val="19"/>
        <w:tblW w:w="8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6"/>
        <w:gridCol w:w="1656"/>
        <w:gridCol w:w="1656"/>
        <w:gridCol w:w="220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0" w:hRule="atLeast"/>
          <w:jc w:val="center"/>
        </w:trPr>
        <w:tc>
          <w:tcPr>
            <w:tcW w:w="816" w:type="dxa"/>
          </w:tcPr>
          <w:p>
            <w:pPr>
              <w:rPr>
                <w:color w:val="auto"/>
                <w:sz w:val="24"/>
                <w:szCs w:val="24"/>
                <w:highlight w:val="none"/>
                <w:shd w:val="clear" w:color="auto" w:fill="auto"/>
              </w:rPr>
            </w:pPr>
          </w:p>
          <w:p>
            <w:pPr>
              <w:rPr>
                <w:color w:val="auto"/>
                <w:sz w:val="24"/>
                <w:szCs w:val="24"/>
                <w:highlight w:val="none"/>
                <w:shd w:val="clear" w:color="auto" w:fill="auto"/>
              </w:rPr>
            </w:pPr>
            <w:r>
              <w:rPr>
                <w:color w:val="auto"/>
                <w:sz w:val="24"/>
                <w:szCs w:val="24"/>
                <w:highlight w:val="none"/>
                <w:shd w:val="clear" w:color="auto" w:fill="auto"/>
              </w:rPr>
              <w:t>序号</w:t>
            </w:r>
          </w:p>
        </w:tc>
        <w:tc>
          <w:tcPr>
            <w:tcW w:w="1656" w:type="dxa"/>
          </w:tcPr>
          <w:p>
            <w:pPr>
              <w:rPr>
                <w:color w:val="auto"/>
                <w:sz w:val="24"/>
                <w:szCs w:val="24"/>
                <w:highlight w:val="none"/>
                <w:shd w:val="clear" w:color="auto" w:fill="auto"/>
              </w:rPr>
            </w:pPr>
          </w:p>
          <w:p>
            <w:pPr>
              <w:rPr>
                <w:color w:val="auto"/>
                <w:sz w:val="24"/>
                <w:szCs w:val="24"/>
                <w:highlight w:val="none"/>
                <w:shd w:val="clear" w:color="auto" w:fill="auto"/>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要求参数</w:t>
            </w:r>
          </w:p>
        </w:tc>
        <w:tc>
          <w:tcPr>
            <w:tcW w:w="1656" w:type="dxa"/>
          </w:tcPr>
          <w:p>
            <w:pPr>
              <w:rPr>
                <w:color w:val="auto"/>
                <w:sz w:val="24"/>
                <w:szCs w:val="24"/>
                <w:highlight w:val="none"/>
                <w:shd w:val="clear" w:color="auto" w:fill="auto"/>
              </w:rPr>
            </w:pPr>
          </w:p>
          <w:p>
            <w:pPr>
              <w:rPr>
                <w:color w:val="auto"/>
                <w:sz w:val="24"/>
                <w:szCs w:val="24"/>
                <w:highlight w:val="none"/>
                <w:shd w:val="clear" w:color="auto" w:fill="auto"/>
              </w:rPr>
            </w:pPr>
            <w:r>
              <w:rPr>
                <w:color w:val="auto"/>
                <w:sz w:val="24"/>
                <w:szCs w:val="24"/>
                <w:highlight w:val="none"/>
                <w:shd w:val="clear" w:color="auto" w:fill="auto"/>
              </w:rPr>
              <w:t>响应实际参数</w:t>
            </w:r>
          </w:p>
        </w:tc>
        <w:tc>
          <w:tcPr>
            <w:tcW w:w="2205" w:type="dxa"/>
          </w:tcPr>
          <w:p>
            <w:pPr>
              <w:rPr>
                <w:color w:val="auto"/>
                <w:sz w:val="24"/>
                <w:szCs w:val="24"/>
                <w:highlight w:val="none"/>
                <w:shd w:val="clear" w:color="auto" w:fill="auto"/>
              </w:rPr>
            </w:pPr>
          </w:p>
          <w:p>
            <w:pPr>
              <w:rPr>
                <w:color w:val="auto"/>
                <w:sz w:val="24"/>
                <w:szCs w:val="24"/>
                <w:highlight w:val="none"/>
                <w:shd w:val="clear" w:color="auto" w:fill="auto"/>
              </w:rPr>
            </w:pPr>
            <w:r>
              <w:rPr>
                <w:color w:val="auto"/>
                <w:sz w:val="24"/>
                <w:szCs w:val="24"/>
                <w:highlight w:val="none"/>
                <w:shd w:val="clear" w:color="auto" w:fill="auto"/>
              </w:rPr>
              <w:t>符合/正偏离/负偏离</w:t>
            </w:r>
          </w:p>
        </w:tc>
        <w:tc>
          <w:tcPr>
            <w:tcW w:w="1680" w:type="dxa"/>
          </w:tcPr>
          <w:p>
            <w:pPr>
              <w:rPr>
                <w:color w:val="auto"/>
                <w:sz w:val="24"/>
                <w:szCs w:val="24"/>
                <w:highlight w:val="none"/>
                <w:shd w:val="clear" w:color="auto" w:fill="auto"/>
              </w:rPr>
            </w:pPr>
          </w:p>
          <w:p>
            <w:pPr>
              <w:rPr>
                <w:color w:val="auto"/>
                <w:sz w:val="24"/>
                <w:szCs w:val="24"/>
                <w:highlight w:val="none"/>
                <w:shd w:val="clear" w:color="auto" w:fill="auto"/>
              </w:rPr>
            </w:pPr>
            <w:r>
              <w:rPr>
                <w:color w:val="auto"/>
                <w:sz w:val="24"/>
                <w:szCs w:val="24"/>
                <w:highlight w:val="none"/>
                <w:shd w:val="clear" w:color="auto" w:fill="auto"/>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81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2205" w:type="dxa"/>
          </w:tcPr>
          <w:p>
            <w:pPr>
              <w:rPr>
                <w:rFonts w:ascii="Times New Roman"/>
                <w:color w:val="auto"/>
                <w:sz w:val="24"/>
                <w:szCs w:val="24"/>
                <w:highlight w:val="none"/>
                <w:shd w:val="clear" w:color="auto" w:fill="auto"/>
              </w:rPr>
            </w:pPr>
          </w:p>
        </w:tc>
        <w:tc>
          <w:tcPr>
            <w:tcW w:w="1680" w:type="dxa"/>
          </w:tcPr>
          <w:p>
            <w:pPr>
              <w:rPr>
                <w:rFonts w:ascii="Times New Roman"/>
                <w:color w:val="auto"/>
                <w:sz w:val="24"/>
                <w:szCs w:val="24"/>
                <w:highlight w:val="none"/>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81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2205" w:type="dxa"/>
          </w:tcPr>
          <w:p>
            <w:pPr>
              <w:rPr>
                <w:rFonts w:ascii="Times New Roman"/>
                <w:color w:val="auto"/>
                <w:sz w:val="24"/>
                <w:szCs w:val="24"/>
                <w:highlight w:val="none"/>
                <w:shd w:val="clear" w:color="auto" w:fill="auto"/>
              </w:rPr>
            </w:pPr>
          </w:p>
        </w:tc>
        <w:tc>
          <w:tcPr>
            <w:tcW w:w="1680" w:type="dxa"/>
          </w:tcPr>
          <w:p>
            <w:pPr>
              <w:rPr>
                <w:rFonts w:ascii="Times New Roman"/>
                <w:color w:val="auto"/>
                <w:sz w:val="24"/>
                <w:szCs w:val="24"/>
                <w:highlight w:val="none"/>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81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2205" w:type="dxa"/>
          </w:tcPr>
          <w:p>
            <w:pPr>
              <w:rPr>
                <w:rFonts w:ascii="Times New Roman"/>
                <w:color w:val="auto"/>
                <w:sz w:val="24"/>
                <w:szCs w:val="24"/>
                <w:highlight w:val="none"/>
                <w:shd w:val="clear" w:color="auto" w:fill="auto"/>
              </w:rPr>
            </w:pPr>
          </w:p>
        </w:tc>
        <w:tc>
          <w:tcPr>
            <w:tcW w:w="1680" w:type="dxa"/>
          </w:tcPr>
          <w:p>
            <w:pPr>
              <w:rPr>
                <w:rFonts w:ascii="Times New Roman"/>
                <w:color w:val="auto"/>
                <w:sz w:val="24"/>
                <w:szCs w:val="24"/>
                <w:highlight w:val="none"/>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9" w:hRule="atLeast"/>
          <w:jc w:val="center"/>
        </w:trPr>
        <w:tc>
          <w:tcPr>
            <w:tcW w:w="81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1656" w:type="dxa"/>
          </w:tcPr>
          <w:p>
            <w:pPr>
              <w:rPr>
                <w:rFonts w:ascii="Times New Roman"/>
                <w:color w:val="auto"/>
                <w:sz w:val="24"/>
                <w:szCs w:val="24"/>
                <w:highlight w:val="none"/>
                <w:shd w:val="clear" w:color="auto" w:fill="auto"/>
              </w:rPr>
            </w:pPr>
          </w:p>
        </w:tc>
        <w:tc>
          <w:tcPr>
            <w:tcW w:w="2205" w:type="dxa"/>
          </w:tcPr>
          <w:p>
            <w:pPr>
              <w:rPr>
                <w:rFonts w:ascii="Times New Roman"/>
                <w:color w:val="auto"/>
                <w:sz w:val="24"/>
                <w:szCs w:val="24"/>
                <w:highlight w:val="none"/>
                <w:shd w:val="clear" w:color="auto" w:fill="auto"/>
              </w:rPr>
            </w:pPr>
          </w:p>
        </w:tc>
        <w:tc>
          <w:tcPr>
            <w:tcW w:w="1680" w:type="dxa"/>
          </w:tcPr>
          <w:p>
            <w:pPr>
              <w:rPr>
                <w:rFonts w:ascii="Times New Roman"/>
                <w:color w:val="auto"/>
                <w:sz w:val="24"/>
                <w:szCs w:val="24"/>
                <w:highlight w:val="none"/>
                <w:shd w:val="clear" w:color="auto" w:fill="auto"/>
              </w:rPr>
            </w:pPr>
          </w:p>
        </w:tc>
      </w:tr>
    </w:tbl>
    <w:p>
      <w:pPr>
        <w:rPr>
          <w:color w:val="auto"/>
          <w:sz w:val="24"/>
          <w:szCs w:val="24"/>
          <w:highlight w:val="none"/>
          <w:shd w:val="clear" w:color="auto" w:fill="auto"/>
        </w:rPr>
      </w:pPr>
    </w:p>
    <w:p>
      <w:pPr>
        <w:spacing w:line="360" w:lineRule="auto"/>
        <w:rPr>
          <w:color w:val="auto"/>
          <w:sz w:val="24"/>
          <w:szCs w:val="24"/>
          <w:highlight w:val="none"/>
          <w:shd w:val="clear" w:color="auto" w:fill="auto"/>
        </w:rPr>
      </w:pPr>
      <w:r>
        <w:rPr>
          <w:color w:val="auto"/>
          <w:sz w:val="24"/>
          <w:szCs w:val="24"/>
          <w:highlight w:val="none"/>
          <w:shd w:val="clear" w:color="auto" w:fill="auto"/>
        </w:rPr>
        <w:t>授权代表签字：</w:t>
      </w:r>
    </w:p>
    <w:p>
      <w:pPr>
        <w:spacing w:line="360" w:lineRule="auto"/>
        <w:rPr>
          <w:color w:val="auto"/>
          <w:sz w:val="24"/>
          <w:szCs w:val="24"/>
          <w:highlight w:val="none"/>
          <w:shd w:val="clear" w:color="auto" w:fill="auto"/>
        </w:rPr>
      </w:pPr>
      <w:r>
        <w:rPr>
          <w:color w:val="auto"/>
          <w:sz w:val="24"/>
          <w:szCs w:val="24"/>
          <w:highlight w:val="none"/>
          <w:shd w:val="clear" w:color="auto" w:fill="auto"/>
        </w:rPr>
        <w:t>日</w:t>
      </w:r>
      <w:r>
        <w:rPr>
          <w:color w:val="auto"/>
          <w:sz w:val="24"/>
          <w:szCs w:val="24"/>
          <w:highlight w:val="none"/>
          <w:shd w:val="clear" w:color="auto" w:fill="auto"/>
        </w:rPr>
        <w:tab/>
      </w:r>
      <w:r>
        <w:rPr>
          <w:color w:val="auto"/>
          <w:sz w:val="24"/>
          <w:szCs w:val="24"/>
          <w:highlight w:val="none"/>
          <w:shd w:val="clear" w:color="auto" w:fill="auto"/>
        </w:rPr>
        <w:t>期：</w:t>
      </w:r>
      <w:r>
        <w:rPr>
          <w:color w:val="auto"/>
          <w:sz w:val="24"/>
          <w:szCs w:val="24"/>
          <w:highlight w:val="none"/>
          <w:shd w:val="clear" w:color="auto" w:fill="auto"/>
        </w:rPr>
        <w:tab/>
      </w:r>
      <w:r>
        <w:rPr>
          <w:color w:val="auto"/>
          <w:sz w:val="24"/>
          <w:szCs w:val="24"/>
          <w:highlight w:val="none"/>
          <w:shd w:val="clear" w:color="auto" w:fill="auto"/>
        </w:rPr>
        <w:t>年</w:t>
      </w:r>
      <w:r>
        <w:rPr>
          <w:color w:val="auto"/>
          <w:sz w:val="24"/>
          <w:szCs w:val="24"/>
          <w:highlight w:val="none"/>
          <w:shd w:val="clear" w:color="auto" w:fill="auto"/>
        </w:rPr>
        <w:tab/>
      </w:r>
      <w:r>
        <w:rPr>
          <w:color w:val="auto"/>
          <w:sz w:val="24"/>
          <w:szCs w:val="24"/>
          <w:highlight w:val="none"/>
          <w:shd w:val="clear" w:color="auto" w:fill="auto"/>
        </w:rPr>
        <w:t>月</w:t>
      </w:r>
      <w:r>
        <w:rPr>
          <w:color w:val="auto"/>
          <w:sz w:val="24"/>
          <w:szCs w:val="24"/>
          <w:highlight w:val="none"/>
          <w:shd w:val="clear" w:color="auto" w:fill="auto"/>
        </w:rPr>
        <w:tab/>
      </w:r>
      <w:r>
        <w:rPr>
          <w:color w:val="auto"/>
          <w:sz w:val="24"/>
          <w:szCs w:val="24"/>
          <w:highlight w:val="none"/>
          <w:shd w:val="clear" w:color="auto" w:fill="auto"/>
        </w:rPr>
        <w:t>日</w:t>
      </w:r>
    </w:p>
    <w:p>
      <w:pPr>
        <w:spacing w:line="360" w:lineRule="auto"/>
        <w:rPr>
          <w:color w:val="auto"/>
          <w:sz w:val="24"/>
          <w:szCs w:val="24"/>
          <w:highlight w:val="none"/>
          <w:shd w:val="clear" w:color="auto" w:fill="auto"/>
        </w:rPr>
      </w:pPr>
    </w:p>
    <w:p>
      <w:pPr>
        <w:spacing w:line="360" w:lineRule="auto"/>
        <w:rPr>
          <w:color w:val="auto"/>
          <w:sz w:val="24"/>
          <w:szCs w:val="24"/>
          <w:highlight w:val="none"/>
          <w:shd w:val="clear" w:color="auto" w:fill="auto"/>
        </w:rPr>
      </w:pPr>
    </w:p>
    <w:p>
      <w:pPr>
        <w:spacing w:line="360" w:lineRule="auto"/>
        <w:rPr>
          <w:color w:val="auto"/>
          <w:sz w:val="24"/>
          <w:szCs w:val="24"/>
          <w:highlight w:val="none"/>
          <w:shd w:val="clear" w:color="auto" w:fill="auto"/>
        </w:rPr>
      </w:pPr>
      <w:r>
        <w:rPr>
          <w:color w:val="auto"/>
          <w:sz w:val="24"/>
          <w:szCs w:val="24"/>
          <w:highlight w:val="none"/>
          <w:shd w:val="clear" w:color="auto" w:fill="auto"/>
        </w:rPr>
        <w:t>注：</w:t>
      </w:r>
    </w:p>
    <w:p>
      <w:pPr>
        <w:spacing w:line="360" w:lineRule="auto"/>
        <w:rPr>
          <w:color w:val="auto"/>
          <w:spacing w:val="-19"/>
          <w:sz w:val="24"/>
          <w:szCs w:val="24"/>
          <w:highlight w:val="none"/>
          <w:shd w:val="clear" w:color="auto" w:fill="auto"/>
        </w:rPr>
      </w:pPr>
      <w:r>
        <w:rPr>
          <w:color w:val="auto"/>
          <w:sz w:val="24"/>
          <w:szCs w:val="24"/>
          <w:highlight w:val="none"/>
          <w:shd w:val="clear" w:color="auto" w:fill="auto"/>
        </w:rPr>
        <w:t>1.按照技术要求详细填列</w:t>
      </w:r>
      <w:r>
        <w:rPr>
          <w:color w:val="auto"/>
          <w:spacing w:val="-19"/>
          <w:sz w:val="24"/>
          <w:szCs w:val="24"/>
          <w:highlight w:val="none"/>
          <w:shd w:val="clear" w:color="auto" w:fill="auto"/>
        </w:rPr>
        <w:t>。</w:t>
      </w:r>
    </w:p>
    <w:p>
      <w:pPr>
        <w:spacing w:line="360" w:lineRule="auto"/>
        <w:rPr>
          <w:color w:val="auto"/>
          <w:sz w:val="24"/>
          <w:szCs w:val="24"/>
          <w:highlight w:val="none"/>
          <w:shd w:val="clear" w:color="auto" w:fill="auto"/>
        </w:rPr>
      </w:pPr>
      <w:r>
        <w:rPr>
          <w:rFonts w:hint="eastAsia"/>
          <w:color w:val="auto"/>
          <w:sz w:val="24"/>
          <w:szCs w:val="24"/>
          <w:highlight w:val="none"/>
          <w:shd w:val="clear" w:color="auto" w:fill="auto"/>
        </w:rPr>
        <w:t>2.</w:t>
      </w:r>
      <w:r>
        <w:rPr>
          <w:color w:val="auto"/>
          <w:sz w:val="24"/>
          <w:szCs w:val="24"/>
          <w:highlight w:val="none"/>
          <w:shd w:val="clear" w:color="auto" w:fill="auto"/>
        </w:rPr>
        <w:t>行数不够，可自行添加。</w:t>
      </w:r>
    </w:p>
    <w:p>
      <w:pPr>
        <w:spacing w:line="360" w:lineRule="auto"/>
        <w:rPr>
          <w:color w:val="auto"/>
          <w:sz w:val="24"/>
          <w:szCs w:val="24"/>
          <w:highlight w:val="none"/>
          <w:shd w:val="clear" w:color="auto" w:fill="auto"/>
        </w:rPr>
      </w:pPr>
      <w:r>
        <w:rPr>
          <w:rFonts w:hint="eastAsia"/>
          <w:color w:val="auto"/>
          <w:sz w:val="24"/>
          <w:szCs w:val="24"/>
          <w:highlight w:val="none"/>
          <w:shd w:val="clear" w:color="auto" w:fill="auto"/>
        </w:rPr>
        <w:t>3.</w:t>
      </w:r>
      <w:r>
        <w:rPr>
          <w:color w:val="auto"/>
          <w:spacing w:val="-5"/>
          <w:sz w:val="24"/>
          <w:szCs w:val="24"/>
          <w:highlight w:val="none"/>
          <w:shd w:val="clear" w:color="auto" w:fill="auto"/>
        </w:rPr>
        <w:t>投标人可根据各个需求表的内容填报技术规格响应表，但技术规格响应表</w:t>
      </w:r>
      <w:r>
        <w:rPr>
          <w:color w:val="auto"/>
          <w:spacing w:val="-6"/>
          <w:sz w:val="24"/>
          <w:szCs w:val="24"/>
          <w:highlight w:val="none"/>
          <w:shd w:val="clear" w:color="auto" w:fill="auto"/>
        </w:rPr>
        <w:t>的内容必须对其相对应的供货需求的内容全部响应，否则，该投标将被视为非响</w:t>
      </w:r>
      <w:r>
        <w:rPr>
          <w:color w:val="auto"/>
          <w:sz w:val="24"/>
          <w:szCs w:val="24"/>
          <w:highlight w:val="none"/>
          <w:shd w:val="clear" w:color="auto" w:fill="auto"/>
        </w:rPr>
        <w:t>应性投标而被拒绝。</w:t>
      </w:r>
      <w:bookmarkStart w:id="213" w:name="5.如招标文件中规定技术规格货物如因停产或其他原因造成市场上无法供货，可采用不低"/>
      <w:bookmarkEnd w:id="213"/>
    </w:p>
    <w:p>
      <w:pPr>
        <w:spacing w:line="360" w:lineRule="auto"/>
        <w:rPr>
          <w:color w:val="auto"/>
          <w:sz w:val="24"/>
          <w:szCs w:val="24"/>
          <w:highlight w:val="none"/>
          <w:shd w:val="clear" w:color="auto" w:fill="auto"/>
        </w:rPr>
      </w:pPr>
      <w:r>
        <w:rPr>
          <w:rFonts w:hint="eastAsia"/>
          <w:color w:val="auto"/>
          <w:sz w:val="24"/>
          <w:szCs w:val="24"/>
          <w:highlight w:val="none"/>
          <w:shd w:val="clear" w:color="auto" w:fill="auto"/>
        </w:rPr>
        <w:t>4.</w:t>
      </w:r>
      <w:r>
        <w:rPr>
          <w:color w:val="auto"/>
          <w:spacing w:val="-4"/>
          <w:sz w:val="24"/>
          <w:szCs w:val="24"/>
          <w:highlight w:val="none"/>
          <w:shd w:val="clear" w:color="auto" w:fill="auto"/>
        </w:rPr>
        <w:t>如招标文件中规定技术规格货物如因停产或其他原因造成市场上无法供货，可</w:t>
      </w:r>
      <w:r>
        <w:rPr>
          <w:color w:val="auto"/>
          <w:sz w:val="24"/>
          <w:szCs w:val="24"/>
          <w:highlight w:val="none"/>
          <w:shd w:val="clear" w:color="auto" w:fill="auto"/>
        </w:rPr>
        <w:t>采用不低于原有配置的货物投标。</w:t>
      </w:r>
    </w:p>
    <w:p>
      <w:pPr>
        <w:rPr>
          <w:color w:val="auto"/>
          <w:sz w:val="24"/>
          <w:highlight w:val="none"/>
          <w:shd w:val="clear" w:color="auto" w:fill="auto"/>
        </w:rPr>
        <w:sectPr>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pPr>
    </w:p>
    <w:p>
      <w:pPr>
        <w:rPr>
          <w:color w:val="auto"/>
          <w:sz w:val="20"/>
          <w:highlight w:val="none"/>
          <w:shd w:val="clear" w:color="auto" w:fill="auto"/>
        </w:rPr>
      </w:pPr>
    </w:p>
    <w:p>
      <w:pPr>
        <w:rPr>
          <w:color w:val="auto"/>
          <w:sz w:val="23"/>
          <w:highlight w:val="none"/>
          <w:shd w:val="clear" w:color="auto" w:fill="auto"/>
        </w:rPr>
      </w:pPr>
    </w:p>
    <w:p>
      <w:pPr>
        <w:jc w:val="center"/>
        <w:rPr>
          <w:b/>
          <w:color w:val="auto"/>
          <w:sz w:val="30"/>
          <w:szCs w:val="30"/>
          <w:highlight w:val="none"/>
          <w:shd w:val="clear" w:color="auto" w:fill="auto"/>
        </w:rPr>
      </w:pPr>
      <w:r>
        <w:rPr>
          <w:b/>
          <w:color w:val="auto"/>
          <w:sz w:val="30"/>
          <w:szCs w:val="30"/>
          <w:highlight w:val="none"/>
          <w:shd w:val="clear" w:color="auto" w:fill="auto"/>
        </w:rPr>
        <w:t>五</w:t>
      </w:r>
      <w:r>
        <w:rPr>
          <w:b/>
          <w:color w:val="auto"/>
          <w:sz w:val="30"/>
          <w:szCs w:val="30"/>
          <w:highlight w:val="none"/>
          <w:shd w:val="clear" w:color="auto" w:fill="auto"/>
        </w:rPr>
        <w:tab/>
      </w:r>
      <w:r>
        <w:rPr>
          <w:rFonts w:hint="eastAsia"/>
          <w:b/>
          <w:color w:val="auto"/>
          <w:sz w:val="30"/>
          <w:szCs w:val="30"/>
          <w:highlight w:val="none"/>
          <w:shd w:val="clear" w:color="auto" w:fill="auto"/>
          <w:lang w:eastAsia="zh-CN"/>
        </w:rPr>
        <w:t>、</w:t>
      </w:r>
      <w:r>
        <w:rPr>
          <w:b/>
          <w:color w:val="auto"/>
          <w:sz w:val="30"/>
          <w:szCs w:val="30"/>
          <w:highlight w:val="none"/>
          <w:shd w:val="clear" w:color="auto" w:fill="auto"/>
        </w:rPr>
        <w:t>商务条款偏离表</w:t>
      </w:r>
    </w:p>
    <w:p>
      <w:pPr>
        <w:jc w:val="center"/>
        <w:rPr>
          <w:rFonts w:hint="eastAsia" w:eastAsia="宋体"/>
          <w:color w:val="auto"/>
          <w:sz w:val="20"/>
          <w:highlight w:val="none"/>
          <w:shd w:val="clear" w:color="auto" w:fill="auto"/>
          <w:lang w:eastAsia="zh-CN"/>
        </w:rPr>
      </w:pPr>
      <w:r>
        <w:rPr>
          <w:rFonts w:hint="eastAsia"/>
          <w:color w:val="auto"/>
          <w:sz w:val="20"/>
          <w:highlight w:val="none"/>
          <w:shd w:val="clear" w:color="auto" w:fill="auto"/>
          <w:lang w:eastAsia="zh-CN"/>
        </w:rPr>
        <w:t>（</w:t>
      </w:r>
      <w:r>
        <w:rPr>
          <w:rFonts w:hint="eastAsia"/>
          <w:color w:val="auto"/>
          <w:sz w:val="20"/>
          <w:highlight w:val="none"/>
          <w:shd w:val="clear" w:color="auto" w:fill="auto"/>
          <w:lang w:val="en-US" w:eastAsia="zh-CN"/>
        </w:rPr>
        <w:t>格式自拟</w:t>
      </w:r>
      <w:r>
        <w:rPr>
          <w:rFonts w:hint="eastAsia"/>
          <w:color w:val="auto"/>
          <w:sz w:val="20"/>
          <w:highlight w:val="none"/>
          <w:shd w:val="clear" w:color="auto" w:fill="auto"/>
          <w:lang w:eastAsia="zh-CN"/>
        </w:rPr>
        <w:t>）</w:t>
      </w: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0"/>
          <w:highlight w:val="none"/>
          <w:shd w:val="clear" w:color="auto" w:fill="auto"/>
        </w:rPr>
      </w:pPr>
    </w:p>
    <w:p>
      <w:pPr>
        <w:rPr>
          <w:color w:val="auto"/>
          <w:sz w:val="28"/>
          <w:szCs w:val="28"/>
          <w:highlight w:val="none"/>
          <w:shd w:val="clear" w:color="auto" w:fill="auto"/>
        </w:rPr>
      </w:pPr>
      <w:r>
        <w:rPr>
          <w:color w:val="auto"/>
          <w:spacing w:val="28"/>
          <w:sz w:val="28"/>
          <w:szCs w:val="28"/>
          <w:highlight w:val="none"/>
          <w:shd w:val="clear" w:color="auto" w:fill="auto"/>
        </w:rPr>
        <w:t>投</w:t>
      </w:r>
      <w:r>
        <w:rPr>
          <w:color w:val="auto"/>
          <w:spacing w:val="31"/>
          <w:sz w:val="28"/>
          <w:szCs w:val="28"/>
          <w:highlight w:val="none"/>
          <w:shd w:val="clear" w:color="auto" w:fill="auto"/>
        </w:rPr>
        <w:t>标</w:t>
      </w:r>
      <w:r>
        <w:rPr>
          <w:color w:val="auto"/>
          <w:spacing w:val="28"/>
          <w:sz w:val="28"/>
          <w:szCs w:val="28"/>
          <w:highlight w:val="none"/>
          <w:shd w:val="clear" w:color="auto" w:fill="auto"/>
        </w:rPr>
        <w:t>单</w:t>
      </w:r>
      <w:r>
        <w:rPr>
          <w:color w:val="auto"/>
          <w:spacing w:val="31"/>
          <w:sz w:val="28"/>
          <w:szCs w:val="28"/>
          <w:highlight w:val="none"/>
          <w:shd w:val="clear" w:color="auto" w:fill="auto"/>
        </w:rPr>
        <w:t>位</w:t>
      </w:r>
      <w:r>
        <w:rPr>
          <w:rFonts w:hint="eastAsia"/>
          <w:color w:val="auto"/>
          <w:spacing w:val="31"/>
          <w:sz w:val="28"/>
          <w:szCs w:val="28"/>
          <w:highlight w:val="none"/>
          <w:shd w:val="clear" w:color="auto" w:fill="auto"/>
          <w:lang w:eastAsia="zh-CN"/>
        </w:rPr>
        <w:t>：</w:t>
      </w:r>
      <w:r>
        <w:rPr>
          <w:rFonts w:hint="eastAsia"/>
          <w:color w:val="auto"/>
          <w:spacing w:val="31"/>
          <w:sz w:val="28"/>
          <w:szCs w:val="28"/>
          <w:highlight w:val="none"/>
          <w:u w:val="single"/>
          <w:shd w:val="clear" w:color="auto" w:fill="auto"/>
          <w:lang w:val="en-US" w:eastAsia="zh-CN"/>
        </w:rPr>
        <w:t xml:space="preserve">         </w:t>
      </w:r>
      <w:r>
        <w:rPr>
          <w:color w:val="auto"/>
          <w:sz w:val="28"/>
          <w:szCs w:val="28"/>
          <w:highlight w:val="none"/>
          <w:shd w:val="clear" w:color="auto" w:fill="auto"/>
        </w:rPr>
        <w:t>（</w:t>
      </w:r>
      <w:r>
        <w:rPr>
          <w:color w:val="auto"/>
          <w:spacing w:val="31"/>
          <w:sz w:val="28"/>
          <w:szCs w:val="28"/>
          <w:highlight w:val="none"/>
          <w:shd w:val="clear" w:color="auto" w:fill="auto"/>
        </w:rPr>
        <w:t>盖</w:t>
      </w:r>
      <w:r>
        <w:rPr>
          <w:color w:val="auto"/>
          <w:spacing w:val="28"/>
          <w:sz w:val="28"/>
          <w:szCs w:val="28"/>
          <w:highlight w:val="none"/>
          <w:shd w:val="clear" w:color="auto" w:fill="auto"/>
        </w:rPr>
        <w:t>章</w:t>
      </w:r>
      <w:r>
        <w:rPr>
          <w:color w:val="auto"/>
          <w:sz w:val="28"/>
          <w:szCs w:val="28"/>
          <w:highlight w:val="none"/>
          <w:shd w:val="clear" w:color="auto" w:fill="auto"/>
        </w:rPr>
        <w:t>）</w:t>
      </w:r>
    </w:p>
    <w:p>
      <w:pPr>
        <w:pStyle w:val="11"/>
        <w:rPr>
          <w:color w:val="auto"/>
          <w:highlight w:val="none"/>
          <w:shd w:val="clear" w:color="auto" w:fill="auto"/>
        </w:rPr>
      </w:pPr>
    </w:p>
    <w:p>
      <w:pPr>
        <w:rPr>
          <w:color w:val="auto"/>
          <w:sz w:val="28"/>
          <w:szCs w:val="28"/>
          <w:highlight w:val="none"/>
          <w:shd w:val="clear" w:color="auto" w:fill="auto"/>
        </w:rPr>
      </w:pPr>
      <w:r>
        <w:rPr>
          <w:color w:val="auto"/>
          <w:sz w:val="28"/>
          <w:szCs w:val="28"/>
          <w:highlight w:val="none"/>
          <w:shd w:val="clear" w:color="auto" w:fill="auto"/>
        </w:rPr>
        <w:t>授权代表签字：</w:t>
      </w:r>
      <w:r>
        <w:rPr>
          <w:rFonts w:hint="eastAsia"/>
          <w:color w:val="auto"/>
          <w:sz w:val="28"/>
          <w:szCs w:val="28"/>
          <w:highlight w:val="none"/>
          <w:u w:val="single"/>
          <w:shd w:val="clear" w:color="auto" w:fill="auto"/>
          <w:lang w:val="en-US" w:eastAsia="zh-CN"/>
        </w:rPr>
        <w:t xml:space="preserve">           </w:t>
      </w:r>
      <w:r>
        <w:rPr>
          <w:color w:val="auto"/>
          <w:sz w:val="28"/>
          <w:szCs w:val="28"/>
          <w:highlight w:val="none"/>
          <w:shd w:val="clear" w:color="auto" w:fill="auto"/>
        </w:rPr>
        <w:tab/>
      </w:r>
    </w:p>
    <w:p>
      <w:pPr>
        <w:rPr>
          <w:color w:val="auto"/>
          <w:highlight w:val="none"/>
          <w:shd w:val="clear" w:color="auto" w:fill="auto"/>
        </w:rPr>
        <w:sectPr>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pPr>
    </w:p>
    <w:p>
      <w:pPr>
        <w:jc w:val="center"/>
        <w:rPr>
          <w:b/>
          <w:color w:val="auto"/>
          <w:sz w:val="30"/>
          <w:szCs w:val="30"/>
          <w:highlight w:val="none"/>
          <w:shd w:val="clear" w:color="auto" w:fill="auto"/>
        </w:rPr>
      </w:pPr>
      <w:r>
        <w:rPr>
          <w:b/>
          <w:color w:val="auto"/>
          <w:sz w:val="30"/>
          <w:szCs w:val="30"/>
          <w:highlight w:val="none"/>
          <w:shd w:val="clear" w:color="auto" w:fill="auto"/>
        </w:rPr>
        <w:t>六</w:t>
      </w:r>
      <w:r>
        <w:rPr>
          <w:rFonts w:hint="eastAsia"/>
          <w:b/>
          <w:color w:val="auto"/>
          <w:sz w:val="30"/>
          <w:szCs w:val="30"/>
          <w:highlight w:val="none"/>
          <w:shd w:val="clear" w:color="auto" w:fill="auto"/>
        </w:rPr>
        <w:t xml:space="preserve"> </w:t>
      </w:r>
      <w:r>
        <w:rPr>
          <w:rFonts w:hint="eastAsia"/>
          <w:b/>
          <w:color w:val="auto"/>
          <w:sz w:val="30"/>
          <w:szCs w:val="30"/>
          <w:highlight w:val="none"/>
          <w:shd w:val="clear" w:color="auto" w:fill="auto"/>
          <w:lang w:eastAsia="zh-CN"/>
        </w:rPr>
        <w:t>、</w:t>
      </w:r>
      <w:r>
        <w:rPr>
          <w:b/>
          <w:color w:val="auto"/>
          <w:sz w:val="30"/>
          <w:szCs w:val="30"/>
          <w:highlight w:val="none"/>
          <w:shd w:val="clear" w:color="auto" w:fill="auto"/>
        </w:rPr>
        <w:t>资格的声明函</w:t>
      </w:r>
    </w:p>
    <w:p>
      <w:pPr>
        <w:rPr>
          <w:color w:val="auto"/>
          <w:sz w:val="28"/>
          <w:szCs w:val="28"/>
          <w:highlight w:val="none"/>
          <w:shd w:val="clear" w:color="auto" w:fill="auto"/>
        </w:rPr>
      </w:pPr>
      <w:r>
        <w:rPr>
          <w:rFonts w:hint="eastAsia"/>
          <w:color w:val="auto"/>
          <w:sz w:val="28"/>
          <w:szCs w:val="28"/>
          <w:highlight w:val="none"/>
          <w:u w:val="single"/>
          <w:shd w:val="clear" w:color="auto" w:fill="auto"/>
          <w:lang w:eastAsia="zh-CN"/>
        </w:rPr>
        <w:t>贵州万和工程招标代理造价咨询有限责任公司</w:t>
      </w:r>
      <w:r>
        <w:rPr>
          <w:color w:val="auto"/>
          <w:sz w:val="28"/>
          <w:szCs w:val="28"/>
          <w:highlight w:val="none"/>
          <w:shd w:val="clear" w:color="auto" w:fill="auto"/>
        </w:rPr>
        <w:t>：</w:t>
      </w:r>
    </w:p>
    <w:p>
      <w:pPr>
        <w:spacing w:line="360" w:lineRule="auto"/>
        <w:ind w:firstLine="708" w:firstLineChars="253"/>
        <w:rPr>
          <w:color w:val="auto"/>
          <w:sz w:val="28"/>
          <w:szCs w:val="28"/>
          <w:highlight w:val="none"/>
          <w:shd w:val="clear" w:color="auto" w:fill="auto"/>
        </w:rPr>
      </w:pPr>
      <w:r>
        <w:rPr>
          <w:color w:val="auto"/>
          <w:sz w:val="28"/>
          <w:szCs w:val="28"/>
          <w:highlight w:val="none"/>
          <w:shd w:val="clear" w:color="auto" w:fill="auto"/>
        </w:rPr>
        <w:t>关于贵方</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w:t>
      </w:r>
      <w:r>
        <w:rPr>
          <w:rFonts w:hint="eastAsia"/>
          <w:color w:val="auto"/>
          <w:sz w:val="28"/>
          <w:szCs w:val="28"/>
          <w:highlight w:val="none"/>
          <w:u w:val="single"/>
          <w:shd w:val="clear" w:color="auto" w:fill="auto"/>
          <w:lang w:val="en-US" w:eastAsia="zh-CN"/>
        </w:rPr>
        <w:t xml:space="preserve">  </w:t>
      </w:r>
      <w:r>
        <w:rPr>
          <w:color w:val="auto"/>
          <w:sz w:val="28"/>
          <w:szCs w:val="28"/>
          <w:highlight w:val="none"/>
          <w:shd w:val="clear" w:color="auto" w:fill="auto"/>
        </w:rPr>
        <w:t>年</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w:t>
      </w:r>
      <w:r>
        <w:rPr>
          <w:color w:val="auto"/>
          <w:sz w:val="28"/>
          <w:szCs w:val="28"/>
          <w:highlight w:val="none"/>
          <w:shd w:val="clear" w:color="auto" w:fill="auto"/>
        </w:rPr>
        <w:t>月</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w:t>
      </w:r>
      <w:r>
        <w:rPr>
          <w:color w:val="auto"/>
          <w:sz w:val="28"/>
          <w:szCs w:val="28"/>
          <w:highlight w:val="none"/>
          <w:shd w:val="clear" w:color="auto" w:fill="auto"/>
        </w:rPr>
        <w:t>日第（</w:t>
      </w:r>
      <w:r>
        <w:rPr>
          <w:rFonts w:hint="eastAsia"/>
          <w:color w:val="auto"/>
          <w:sz w:val="28"/>
          <w:szCs w:val="28"/>
          <w:highlight w:val="none"/>
          <w:u w:val="single"/>
          <w:shd w:val="clear" w:color="auto" w:fill="auto"/>
          <w:lang w:val="en-US" w:eastAsia="zh-CN"/>
        </w:rPr>
        <w:t xml:space="preserve">     </w:t>
      </w:r>
      <w:r>
        <w:rPr>
          <w:color w:val="auto"/>
          <w:sz w:val="28"/>
          <w:szCs w:val="28"/>
          <w:highlight w:val="none"/>
          <w:shd w:val="clear" w:color="auto" w:fill="auto"/>
        </w:rPr>
        <w:t>项目编号）</w:t>
      </w:r>
      <w:r>
        <w:rPr>
          <w:rFonts w:hint="eastAsia"/>
          <w:color w:val="auto"/>
          <w:sz w:val="28"/>
          <w:szCs w:val="28"/>
          <w:highlight w:val="none"/>
          <w:shd w:val="clear" w:color="auto" w:fill="auto"/>
          <w:lang w:eastAsia="zh-CN"/>
        </w:rPr>
        <w:t>竞争性磋商</w:t>
      </w:r>
      <w:r>
        <w:rPr>
          <w:color w:val="auto"/>
          <w:sz w:val="28"/>
          <w:szCs w:val="28"/>
          <w:highlight w:val="none"/>
          <w:shd w:val="clear" w:color="auto" w:fill="auto"/>
        </w:rPr>
        <w:t>邀请，</w:t>
      </w:r>
      <w:r>
        <w:rPr>
          <w:color w:val="auto"/>
          <w:spacing w:val="-11"/>
          <w:sz w:val="28"/>
          <w:szCs w:val="28"/>
          <w:highlight w:val="none"/>
          <w:shd w:val="clear" w:color="auto" w:fill="auto"/>
        </w:rPr>
        <w:t>本</w:t>
      </w:r>
      <w:r>
        <w:rPr>
          <w:color w:val="auto"/>
          <w:sz w:val="28"/>
          <w:szCs w:val="28"/>
          <w:highlight w:val="none"/>
          <w:shd w:val="clear" w:color="auto" w:fill="auto"/>
        </w:rPr>
        <w:t>签字人愿意参加</w:t>
      </w:r>
      <w:r>
        <w:rPr>
          <w:rFonts w:hint="eastAsia"/>
          <w:color w:val="auto"/>
          <w:sz w:val="28"/>
          <w:szCs w:val="28"/>
          <w:highlight w:val="none"/>
          <w:shd w:val="clear" w:color="auto" w:fill="auto"/>
          <w:lang w:eastAsia="zh-CN"/>
        </w:rPr>
        <w:t>竞争性磋商</w:t>
      </w:r>
      <w:r>
        <w:rPr>
          <w:color w:val="auto"/>
          <w:spacing w:val="-87"/>
          <w:sz w:val="28"/>
          <w:szCs w:val="28"/>
          <w:highlight w:val="none"/>
          <w:shd w:val="clear" w:color="auto" w:fill="auto"/>
        </w:rPr>
        <w:t>，</w:t>
      </w:r>
      <w:r>
        <w:rPr>
          <w:color w:val="auto"/>
          <w:sz w:val="28"/>
          <w:szCs w:val="28"/>
          <w:highlight w:val="none"/>
          <w:shd w:val="clear" w:color="auto" w:fill="auto"/>
        </w:rPr>
        <w:t>提供</w:t>
      </w:r>
      <w:r>
        <w:rPr>
          <w:rFonts w:hint="eastAsia"/>
          <w:color w:val="auto"/>
          <w:sz w:val="28"/>
          <w:szCs w:val="28"/>
          <w:highlight w:val="none"/>
          <w:shd w:val="clear" w:color="auto" w:fill="auto"/>
          <w:lang w:eastAsia="zh-CN"/>
        </w:rPr>
        <w:t>磋商</w:t>
      </w:r>
      <w:r>
        <w:rPr>
          <w:color w:val="auto"/>
          <w:sz w:val="28"/>
          <w:szCs w:val="28"/>
          <w:highlight w:val="none"/>
          <w:shd w:val="clear" w:color="auto" w:fill="auto"/>
        </w:rPr>
        <w:t>文</w:t>
      </w:r>
      <w:r>
        <w:rPr>
          <w:color w:val="auto"/>
          <w:spacing w:val="-87"/>
          <w:sz w:val="28"/>
          <w:szCs w:val="28"/>
          <w:highlight w:val="none"/>
          <w:shd w:val="clear" w:color="auto" w:fill="auto"/>
        </w:rPr>
        <w:t>件</w:t>
      </w:r>
      <w:r>
        <w:rPr>
          <w:color w:val="auto"/>
          <w:sz w:val="28"/>
          <w:szCs w:val="28"/>
          <w:highlight w:val="none"/>
          <w:shd w:val="clear" w:color="auto" w:fill="auto"/>
        </w:rPr>
        <w:t>“采购服务及</w:t>
      </w:r>
      <w:r>
        <w:rPr>
          <w:rFonts w:hint="eastAsia"/>
          <w:color w:val="auto"/>
          <w:sz w:val="28"/>
          <w:szCs w:val="28"/>
          <w:highlight w:val="none"/>
          <w:shd w:val="clear" w:color="auto" w:fill="auto"/>
        </w:rPr>
        <w:t>技术</w:t>
      </w:r>
      <w:r>
        <w:rPr>
          <w:color w:val="auto"/>
          <w:sz w:val="28"/>
          <w:szCs w:val="28"/>
          <w:highlight w:val="none"/>
          <w:shd w:val="clear" w:color="auto" w:fill="auto"/>
        </w:rPr>
        <w:t>要求</w:t>
      </w:r>
      <w:r>
        <w:rPr>
          <w:color w:val="auto"/>
          <w:spacing w:val="-87"/>
          <w:sz w:val="28"/>
          <w:szCs w:val="28"/>
          <w:highlight w:val="none"/>
          <w:shd w:val="clear" w:color="auto" w:fill="auto"/>
        </w:rPr>
        <w:t>”</w:t>
      </w:r>
      <w:r>
        <w:rPr>
          <w:color w:val="auto"/>
          <w:sz w:val="28"/>
          <w:szCs w:val="28"/>
          <w:highlight w:val="none"/>
          <w:shd w:val="clear" w:color="auto" w:fill="auto"/>
        </w:rPr>
        <w:t>中规定的</w:t>
      </w:r>
      <w:r>
        <w:rPr>
          <w:rFonts w:hint="eastAsia"/>
          <w:color w:val="auto"/>
          <w:sz w:val="28"/>
          <w:szCs w:val="28"/>
          <w:highlight w:val="none"/>
          <w:u w:val="single"/>
          <w:shd w:val="clear" w:color="auto" w:fill="auto"/>
          <w:lang w:val="en-US" w:eastAsia="zh-CN"/>
        </w:rPr>
        <w:t xml:space="preserve">   </w:t>
      </w:r>
      <w:r>
        <w:rPr>
          <w:color w:val="auto"/>
          <w:spacing w:val="-24"/>
          <w:sz w:val="28"/>
          <w:szCs w:val="28"/>
          <w:highlight w:val="none"/>
          <w:u w:val="single"/>
          <w:shd w:val="clear" w:color="auto" w:fill="auto"/>
        </w:rPr>
        <w:tab/>
      </w:r>
      <w:r>
        <w:rPr>
          <w:color w:val="auto"/>
          <w:spacing w:val="-24"/>
          <w:sz w:val="28"/>
          <w:szCs w:val="28"/>
          <w:highlight w:val="none"/>
          <w:u w:val="single"/>
          <w:shd w:val="clear" w:color="auto" w:fill="auto"/>
        </w:rPr>
        <w:tab/>
      </w:r>
      <w:r>
        <w:rPr>
          <w:rFonts w:hint="eastAsia"/>
          <w:color w:val="auto"/>
          <w:spacing w:val="-24"/>
          <w:sz w:val="28"/>
          <w:szCs w:val="28"/>
          <w:highlight w:val="none"/>
          <w:u w:val="single"/>
          <w:shd w:val="clear" w:color="auto" w:fill="auto"/>
          <w:lang w:val="en-US" w:eastAsia="zh-CN"/>
        </w:rPr>
        <w:t xml:space="preserve">     </w:t>
      </w:r>
      <w:r>
        <w:rPr>
          <w:color w:val="auto"/>
          <w:spacing w:val="-3"/>
          <w:sz w:val="28"/>
          <w:szCs w:val="28"/>
          <w:highlight w:val="none"/>
          <w:shd w:val="clear" w:color="auto" w:fill="auto"/>
        </w:rPr>
        <w:t>（</w:t>
      </w:r>
      <w:r>
        <w:rPr>
          <w:rFonts w:hint="eastAsia"/>
          <w:color w:val="auto"/>
          <w:sz w:val="28"/>
          <w:szCs w:val="28"/>
          <w:highlight w:val="none"/>
          <w:shd w:val="clear" w:color="auto" w:fill="auto"/>
          <w:lang w:val="en-US" w:eastAsia="zh-CN"/>
        </w:rPr>
        <w:t>项目</w:t>
      </w:r>
      <w:r>
        <w:rPr>
          <w:color w:val="auto"/>
          <w:sz w:val="28"/>
          <w:szCs w:val="28"/>
          <w:highlight w:val="none"/>
          <w:shd w:val="clear" w:color="auto" w:fill="auto"/>
        </w:rPr>
        <w:t>名称</w:t>
      </w:r>
      <w:r>
        <w:rPr>
          <w:color w:val="auto"/>
          <w:spacing w:val="-24"/>
          <w:sz w:val="28"/>
          <w:szCs w:val="28"/>
          <w:highlight w:val="none"/>
          <w:shd w:val="clear" w:color="auto" w:fill="auto"/>
        </w:rPr>
        <w:t>），</w:t>
      </w:r>
      <w:r>
        <w:rPr>
          <w:color w:val="auto"/>
          <w:sz w:val="28"/>
          <w:szCs w:val="28"/>
          <w:highlight w:val="none"/>
          <w:shd w:val="clear" w:color="auto" w:fill="auto"/>
        </w:rPr>
        <w:t>并证明提交的下列文件和说明是准确</w:t>
      </w:r>
      <w:r>
        <w:rPr>
          <w:color w:val="auto"/>
          <w:spacing w:val="-16"/>
          <w:sz w:val="28"/>
          <w:szCs w:val="28"/>
          <w:highlight w:val="none"/>
          <w:shd w:val="clear" w:color="auto" w:fill="auto"/>
        </w:rPr>
        <w:t>的</w:t>
      </w:r>
      <w:r>
        <w:rPr>
          <w:color w:val="auto"/>
          <w:sz w:val="28"/>
          <w:szCs w:val="28"/>
          <w:highlight w:val="none"/>
          <w:shd w:val="clear" w:color="auto" w:fill="auto"/>
        </w:rPr>
        <w:t>和真实的。</w:t>
      </w:r>
    </w:p>
    <w:p>
      <w:pPr>
        <w:spacing w:line="360" w:lineRule="auto"/>
        <w:rPr>
          <w:color w:val="auto"/>
          <w:sz w:val="28"/>
          <w:szCs w:val="28"/>
          <w:highlight w:val="none"/>
          <w:shd w:val="clear" w:color="auto" w:fill="auto"/>
        </w:rPr>
      </w:pPr>
    </w:p>
    <w:p>
      <w:pPr>
        <w:spacing w:line="360" w:lineRule="auto"/>
        <w:ind w:firstLine="564" w:firstLineChars="203"/>
        <w:rPr>
          <w:color w:val="auto"/>
          <w:sz w:val="28"/>
          <w:szCs w:val="28"/>
          <w:highlight w:val="none"/>
          <w:shd w:val="clear" w:color="auto" w:fill="auto"/>
        </w:rPr>
      </w:pPr>
      <w:r>
        <w:rPr>
          <w:rFonts w:hint="eastAsia"/>
          <w:color w:val="auto"/>
          <w:spacing w:val="-1"/>
          <w:sz w:val="28"/>
          <w:szCs w:val="28"/>
          <w:highlight w:val="none"/>
          <w:shd w:val="clear" w:color="auto" w:fill="auto"/>
          <w:lang w:val="en-US"/>
        </w:rPr>
        <w:t>1、</w:t>
      </w:r>
      <w:r>
        <w:rPr>
          <w:color w:val="auto"/>
          <w:spacing w:val="-1"/>
          <w:sz w:val="28"/>
          <w:szCs w:val="28"/>
          <w:highlight w:val="none"/>
          <w:shd w:val="clear" w:color="auto" w:fill="auto"/>
        </w:rPr>
        <w:t>本签字人确认资格文件中的说明以及响应文件中所有提交的文件和材料</w:t>
      </w:r>
      <w:r>
        <w:rPr>
          <w:color w:val="auto"/>
          <w:sz w:val="28"/>
          <w:szCs w:val="28"/>
          <w:highlight w:val="none"/>
          <w:shd w:val="clear" w:color="auto" w:fill="auto"/>
        </w:rPr>
        <w:t>是真实的、准确的。</w:t>
      </w:r>
    </w:p>
    <w:p>
      <w:pPr>
        <w:spacing w:line="360" w:lineRule="auto"/>
        <w:ind w:firstLine="568" w:firstLineChars="203"/>
        <w:rPr>
          <w:color w:val="auto"/>
          <w:sz w:val="28"/>
          <w:szCs w:val="28"/>
          <w:highlight w:val="none"/>
          <w:shd w:val="clear" w:color="auto" w:fill="auto"/>
        </w:rPr>
      </w:pPr>
      <w:r>
        <w:rPr>
          <w:rFonts w:hint="eastAsia"/>
          <w:color w:val="auto"/>
          <w:sz w:val="28"/>
          <w:szCs w:val="28"/>
          <w:highlight w:val="none"/>
          <w:shd w:val="clear" w:color="auto" w:fill="auto"/>
          <w:lang w:val="en-US"/>
        </w:rPr>
        <w:t>2、</w:t>
      </w:r>
      <w:r>
        <w:rPr>
          <w:color w:val="auto"/>
          <w:sz w:val="28"/>
          <w:szCs w:val="28"/>
          <w:highlight w:val="none"/>
          <w:shd w:val="clear" w:color="auto" w:fill="auto"/>
        </w:rPr>
        <w:t>我方的资格声明正本一份，副本</w:t>
      </w:r>
      <w:r>
        <w:rPr>
          <w:color w:val="auto"/>
          <w:sz w:val="28"/>
          <w:szCs w:val="28"/>
          <w:highlight w:val="none"/>
          <w:u w:val="single"/>
          <w:shd w:val="clear" w:color="auto" w:fill="auto"/>
        </w:rPr>
        <w:tab/>
      </w:r>
      <w:r>
        <w:rPr>
          <w:rFonts w:hint="eastAsia"/>
          <w:color w:val="auto"/>
          <w:sz w:val="28"/>
          <w:szCs w:val="28"/>
          <w:highlight w:val="none"/>
          <w:u w:val="single"/>
          <w:shd w:val="clear" w:color="auto" w:fill="auto"/>
          <w:lang w:val="en-US" w:eastAsia="zh-CN"/>
        </w:rPr>
        <w:t xml:space="preserve">  </w:t>
      </w:r>
      <w:r>
        <w:rPr>
          <w:color w:val="auto"/>
          <w:sz w:val="28"/>
          <w:szCs w:val="28"/>
          <w:highlight w:val="none"/>
          <w:shd w:val="clear" w:color="auto" w:fill="auto"/>
        </w:rPr>
        <w:t>份，随响应文件一同递交。</w:t>
      </w:r>
    </w:p>
    <w:p>
      <w:pPr>
        <w:spacing w:line="360" w:lineRule="auto"/>
        <w:rPr>
          <w:color w:val="auto"/>
          <w:sz w:val="28"/>
          <w:szCs w:val="28"/>
          <w:highlight w:val="none"/>
          <w:shd w:val="clear" w:color="auto" w:fill="auto"/>
        </w:rPr>
      </w:pPr>
    </w:p>
    <w:p>
      <w:pPr>
        <w:spacing w:line="360" w:lineRule="auto"/>
        <w:rPr>
          <w:color w:val="auto"/>
          <w:sz w:val="28"/>
          <w:szCs w:val="28"/>
          <w:highlight w:val="none"/>
          <w:shd w:val="clear" w:color="auto" w:fill="auto"/>
        </w:rPr>
      </w:pPr>
    </w:p>
    <w:p>
      <w:pPr>
        <w:spacing w:line="360" w:lineRule="auto"/>
        <w:rPr>
          <w:color w:val="auto"/>
          <w:sz w:val="28"/>
          <w:szCs w:val="28"/>
          <w:highlight w:val="none"/>
          <w:shd w:val="clear" w:color="auto" w:fill="auto"/>
        </w:rPr>
      </w:pPr>
    </w:p>
    <w:p>
      <w:pPr>
        <w:spacing w:line="360" w:lineRule="auto"/>
        <w:rPr>
          <w:color w:val="auto"/>
          <w:sz w:val="28"/>
          <w:szCs w:val="28"/>
          <w:highlight w:val="none"/>
          <w:shd w:val="clear" w:color="auto" w:fill="auto"/>
        </w:rPr>
      </w:pPr>
    </w:p>
    <w:p>
      <w:pPr>
        <w:spacing w:line="360" w:lineRule="auto"/>
        <w:rPr>
          <w:color w:val="auto"/>
          <w:sz w:val="24"/>
          <w:szCs w:val="24"/>
          <w:highlight w:val="none"/>
          <w:shd w:val="clear" w:color="auto" w:fill="auto"/>
        </w:rPr>
      </w:pPr>
    </w:p>
    <w:p>
      <w:pPr>
        <w:spacing w:line="360" w:lineRule="auto"/>
        <w:rPr>
          <w:rFonts w:hint="default" w:ascii="Times New Roman" w:eastAsia="宋体"/>
          <w:color w:val="auto"/>
          <w:sz w:val="24"/>
          <w:szCs w:val="24"/>
          <w:highlight w:val="none"/>
          <w:u w:val="singl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响应供应商（全称并加盖公章）：</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spacing w:line="360" w:lineRule="auto"/>
        <w:rPr>
          <w:rFonts w:hint="eastAsia" w:ascii="Times New Roman" w:eastAsiaTheme="minorEastAsia"/>
          <w:color w:val="auto"/>
          <w:sz w:val="24"/>
          <w:szCs w:val="24"/>
          <w:highlight w:val="none"/>
          <w:shd w:val="clear" w:color="auto" w:fill="auto"/>
          <w:lang w:val="en-US" w:eastAsia="zh-CN"/>
        </w:rPr>
      </w:pPr>
      <w:r>
        <w:rPr>
          <w:color w:val="auto"/>
          <w:sz w:val="24"/>
          <w:szCs w:val="24"/>
          <w:highlight w:val="none"/>
          <w:shd w:val="clear" w:color="auto" w:fill="auto"/>
        </w:rPr>
        <w:t>地</w:t>
      </w:r>
      <w:r>
        <w:rPr>
          <w:color w:val="auto"/>
          <w:sz w:val="24"/>
          <w:szCs w:val="24"/>
          <w:highlight w:val="none"/>
          <w:shd w:val="clear" w:color="auto" w:fill="auto"/>
        </w:rPr>
        <w:tab/>
      </w:r>
      <w:r>
        <w:rPr>
          <w:color w:val="auto"/>
          <w:sz w:val="24"/>
          <w:szCs w:val="24"/>
          <w:highlight w:val="none"/>
          <w:shd w:val="clear" w:color="auto" w:fill="auto"/>
        </w:rPr>
        <w:t>址：</w:t>
      </w:r>
      <w:r>
        <w:rPr>
          <w:rFonts w:ascii="Times New Roman" w:eastAsia="Times New Roman"/>
          <w:color w:val="auto"/>
          <w:sz w:val="24"/>
          <w:szCs w:val="24"/>
          <w:highlight w:val="none"/>
          <w:u w:val="single"/>
          <w:shd w:val="clear" w:color="auto" w:fill="auto"/>
        </w:rPr>
        <w:tab/>
      </w:r>
      <w:r>
        <w:rPr>
          <w:rFonts w:ascii="Times New Roman" w:eastAsiaTheme="minorEastAsia"/>
          <w:color w:val="auto"/>
          <w:sz w:val="24"/>
          <w:szCs w:val="24"/>
          <w:highlight w:val="none"/>
          <w:u w:val="single"/>
          <w:shd w:val="clear" w:color="auto" w:fill="auto"/>
        </w:rPr>
        <w:t xml:space="preserve"> </w:t>
      </w:r>
      <w:r>
        <w:rPr>
          <w:rFonts w:hint="eastAsia" w:ascii="Times New Roman" w:eastAsiaTheme="minorEastAsia"/>
          <w:color w:val="auto"/>
          <w:sz w:val="24"/>
          <w:szCs w:val="24"/>
          <w:highlight w:val="none"/>
          <w:u w:val="single"/>
          <w:shd w:val="clear" w:color="auto" w:fill="auto"/>
          <w:lang w:val="en-US" w:eastAsia="zh-CN"/>
        </w:rPr>
        <w:t xml:space="preserve">    </w:t>
      </w:r>
      <w:r>
        <w:rPr>
          <w:rFonts w:hint="eastAsia" w:ascii="Times New Roman" w:eastAsiaTheme="minorEastAsia"/>
          <w:color w:val="auto"/>
          <w:sz w:val="24"/>
          <w:szCs w:val="24"/>
          <w:highlight w:val="none"/>
          <w:shd w:val="clear" w:color="auto" w:fill="auto"/>
          <w:lang w:val="en-US" w:eastAsia="zh-CN"/>
        </w:rPr>
        <w:t xml:space="preserve">    </w:t>
      </w:r>
    </w:p>
    <w:p>
      <w:pPr>
        <w:spacing w:line="360" w:lineRule="auto"/>
        <w:rPr>
          <w:rFonts w:hint="default" w:ascii="Times New Roman" w:eastAsia="宋体"/>
          <w:color w:val="auto"/>
          <w:sz w:val="24"/>
          <w:szCs w:val="24"/>
          <w:highlight w:val="none"/>
          <w:shd w:val="clear" w:color="auto" w:fill="auto"/>
          <w:lang w:val="en-US" w:eastAsia="zh-CN"/>
        </w:rPr>
      </w:pPr>
      <w:r>
        <w:rPr>
          <w:color w:val="auto"/>
          <w:sz w:val="24"/>
          <w:szCs w:val="24"/>
          <w:highlight w:val="none"/>
          <w:shd w:val="clear" w:color="auto" w:fill="auto"/>
        </w:rPr>
        <w:t>邮</w:t>
      </w:r>
      <w:r>
        <w:rPr>
          <w:color w:val="auto"/>
          <w:sz w:val="24"/>
          <w:szCs w:val="24"/>
          <w:highlight w:val="none"/>
          <w:shd w:val="clear" w:color="auto" w:fill="auto"/>
        </w:rPr>
        <w:tab/>
      </w:r>
      <w:r>
        <w:rPr>
          <w:color w:val="auto"/>
          <w:sz w:val="24"/>
          <w:szCs w:val="24"/>
          <w:highlight w:val="none"/>
          <w:shd w:val="clear" w:color="auto" w:fill="auto"/>
        </w:rPr>
        <w:t>编：</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spacing w:line="360" w:lineRule="auto"/>
        <w:rPr>
          <w:rFonts w:hint="default" w:eastAsia="宋体"/>
          <w:color w:val="auto"/>
          <w:sz w:val="24"/>
          <w:szCs w:val="24"/>
          <w:highlight w:val="none"/>
          <w:u w:val="single"/>
          <w:shd w:val="clear" w:color="auto" w:fill="auto"/>
          <w:lang w:val="en-US" w:eastAsia="zh-CN"/>
        </w:rPr>
      </w:pPr>
      <w:r>
        <w:rPr>
          <w:color w:val="auto"/>
          <w:sz w:val="24"/>
          <w:szCs w:val="24"/>
          <w:highlight w:val="none"/>
          <w:shd w:val="clear" w:color="auto" w:fill="auto"/>
        </w:rPr>
        <w:t>电话/传真：</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p>
    <w:p>
      <w:pPr>
        <w:spacing w:line="360" w:lineRule="auto"/>
        <w:rPr>
          <w:rFonts w:hint="default" w:ascii="Times New Roman" w:eastAsia="宋体"/>
          <w:color w:val="auto"/>
          <w:sz w:val="24"/>
          <w:szCs w:val="24"/>
          <w:highlight w:val="none"/>
          <w:u w:val="single"/>
          <w:shd w:val="clear" w:color="auto" w:fill="auto"/>
          <w:lang w:val="en-US" w:eastAsia="zh-CN"/>
        </w:rPr>
      </w:pPr>
      <w:r>
        <w:rPr>
          <w:color w:val="auto"/>
          <w:sz w:val="24"/>
          <w:szCs w:val="24"/>
          <w:highlight w:val="none"/>
          <w:shd w:val="clear" w:color="auto" w:fill="auto"/>
        </w:rPr>
        <w:t>电子信箱：</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r>
        <w:rPr>
          <w:rFonts w:hint="eastAsia" w:ascii="Times New Roman"/>
          <w:color w:val="auto"/>
          <w:sz w:val="24"/>
          <w:szCs w:val="24"/>
          <w:highlight w:val="none"/>
          <w:u w:val="single"/>
          <w:shd w:val="clear" w:color="auto" w:fill="auto"/>
          <w:lang w:val="en-US" w:eastAsia="zh-CN"/>
        </w:rPr>
        <w:t xml:space="preserve">    </w:t>
      </w:r>
    </w:p>
    <w:p>
      <w:pPr>
        <w:spacing w:line="360" w:lineRule="auto"/>
        <w:rPr>
          <w:rFonts w:hint="default" w:ascii="Times New Roman" w:eastAsia="宋体"/>
          <w:color w:val="auto"/>
          <w:sz w:val="24"/>
          <w:szCs w:val="24"/>
          <w:highlight w:val="none"/>
          <w:u w:val="singl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响应供应商代表签字：</w:t>
      </w:r>
      <w:r>
        <w:rPr>
          <w:rFonts w:ascii="Times New Roman" w:eastAsia="Times New Roman"/>
          <w:color w:val="auto"/>
          <w:sz w:val="24"/>
          <w:szCs w:val="24"/>
          <w:highlight w:val="none"/>
          <w:u w:val="single"/>
          <w:shd w:val="clear" w:color="auto" w:fill="auto"/>
        </w:rPr>
        <w:tab/>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rPr>
          <w:rFonts w:ascii="Times New Roman"/>
          <w:color w:val="auto"/>
          <w:sz w:val="24"/>
          <w:szCs w:val="24"/>
          <w:highlight w:val="none"/>
          <w:u w:val="single"/>
          <w:shd w:val="clear" w:color="auto" w:fill="auto"/>
          <w:lang w:val="en-US"/>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b/>
          <w:color w:val="auto"/>
          <w:sz w:val="28"/>
          <w:szCs w:val="28"/>
          <w:highlight w:val="none"/>
          <w:shd w:val="clear" w:color="auto" w:fill="auto"/>
        </w:rPr>
      </w:pPr>
      <w:r>
        <w:rPr>
          <w:b/>
          <w:color w:val="auto"/>
          <w:sz w:val="28"/>
          <w:szCs w:val="28"/>
          <w:highlight w:val="none"/>
          <w:shd w:val="clear" w:color="auto" w:fill="auto"/>
        </w:rPr>
        <w:t>七</w:t>
      </w:r>
      <w:r>
        <w:rPr>
          <w:b/>
          <w:color w:val="auto"/>
          <w:sz w:val="28"/>
          <w:szCs w:val="28"/>
          <w:highlight w:val="none"/>
          <w:shd w:val="clear" w:color="auto" w:fill="auto"/>
        </w:rPr>
        <w:tab/>
      </w:r>
      <w:r>
        <w:rPr>
          <w:rFonts w:hint="eastAsia"/>
          <w:b/>
          <w:color w:val="auto"/>
          <w:sz w:val="28"/>
          <w:szCs w:val="28"/>
          <w:highlight w:val="none"/>
          <w:shd w:val="clear" w:color="auto" w:fill="auto"/>
          <w:lang w:eastAsia="zh-CN"/>
        </w:rPr>
        <w:t>、</w:t>
      </w:r>
      <w:r>
        <w:rPr>
          <w:b/>
          <w:color w:val="auto"/>
          <w:sz w:val="28"/>
          <w:szCs w:val="28"/>
          <w:highlight w:val="none"/>
          <w:shd w:val="clear" w:color="auto" w:fill="auto"/>
        </w:rPr>
        <w:t>法定代表人授权书</w:t>
      </w:r>
    </w:p>
    <w:p>
      <w:pPr>
        <w:rPr>
          <w:b/>
          <w:color w:val="auto"/>
          <w:sz w:val="35"/>
          <w:highlight w:val="none"/>
          <w:shd w:val="clear" w:color="auto" w:fill="auto"/>
        </w:rPr>
      </w:pPr>
    </w:p>
    <w:p>
      <w:pPr>
        <w:adjustRightInd w:val="0"/>
        <w:snapToGrid w:val="0"/>
        <w:spacing w:line="360" w:lineRule="auto"/>
        <w:rPr>
          <w:color w:val="auto"/>
          <w:sz w:val="24"/>
          <w:szCs w:val="24"/>
          <w:highlight w:val="none"/>
          <w:shd w:val="clear" w:color="auto" w:fill="auto"/>
        </w:rPr>
      </w:pPr>
      <w:r>
        <w:rPr>
          <w:rFonts w:hint="eastAsia"/>
          <w:color w:val="auto"/>
          <w:sz w:val="24"/>
          <w:szCs w:val="24"/>
          <w:highlight w:val="none"/>
          <w:u w:val="single"/>
          <w:shd w:val="clear" w:color="auto" w:fill="auto"/>
          <w:lang w:eastAsia="zh-CN"/>
        </w:rPr>
        <w:t>贵州万和工程招标代理造价咨询有限责任公司</w:t>
      </w:r>
      <w:r>
        <w:rPr>
          <w:color w:val="auto"/>
          <w:sz w:val="24"/>
          <w:szCs w:val="24"/>
          <w:highlight w:val="none"/>
          <w:shd w:val="clear" w:color="auto" w:fill="auto"/>
        </w:rPr>
        <w:t>：</w:t>
      </w:r>
    </w:p>
    <w:p>
      <w:pPr>
        <w:adjustRightInd w:val="0"/>
        <w:snapToGrid w:val="0"/>
        <w:spacing w:line="360" w:lineRule="auto"/>
        <w:ind w:firstLine="480" w:firstLineChars="200"/>
        <w:rPr>
          <w:color w:val="auto"/>
          <w:sz w:val="24"/>
          <w:szCs w:val="24"/>
          <w:highlight w:val="none"/>
          <w:shd w:val="clear" w:color="auto" w:fill="auto"/>
        </w:rPr>
      </w:pPr>
      <w:r>
        <w:rPr>
          <w:color w:val="auto"/>
          <w:sz w:val="24"/>
          <w:szCs w:val="24"/>
          <w:highlight w:val="none"/>
          <w:u w:val="single"/>
          <w:shd w:val="clear" w:color="auto" w:fill="auto"/>
        </w:rPr>
        <w:t>（</w:t>
      </w:r>
      <w:r>
        <w:rPr>
          <w:rFonts w:hint="eastAsia"/>
          <w:color w:val="auto"/>
          <w:sz w:val="24"/>
          <w:szCs w:val="24"/>
          <w:highlight w:val="none"/>
          <w:u w:val="single"/>
          <w:shd w:val="clear" w:color="auto" w:fill="auto"/>
          <w:lang w:eastAsia="zh-CN"/>
        </w:rPr>
        <w:t>磋商</w:t>
      </w:r>
      <w:r>
        <w:rPr>
          <w:color w:val="auto"/>
          <w:sz w:val="24"/>
          <w:szCs w:val="24"/>
          <w:highlight w:val="none"/>
          <w:u w:val="single"/>
          <w:shd w:val="clear" w:color="auto" w:fill="auto"/>
        </w:rPr>
        <w:t>响应供应商全称）</w:t>
      </w:r>
      <w:r>
        <w:rPr>
          <w:color w:val="auto"/>
          <w:sz w:val="24"/>
          <w:szCs w:val="24"/>
          <w:highlight w:val="none"/>
          <w:shd w:val="clear" w:color="auto" w:fill="auto"/>
        </w:rPr>
        <w:t>法定代表人授权</w:t>
      </w:r>
      <w:r>
        <w:rPr>
          <w:color w:val="auto"/>
          <w:sz w:val="24"/>
          <w:szCs w:val="24"/>
          <w:highlight w:val="none"/>
          <w:u w:val="single"/>
          <w:shd w:val="clear" w:color="auto" w:fill="auto"/>
        </w:rPr>
        <w:t>（</w:t>
      </w:r>
      <w:r>
        <w:rPr>
          <w:rFonts w:hint="eastAsia"/>
          <w:color w:val="auto"/>
          <w:sz w:val="24"/>
          <w:szCs w:val="24"/>
          <w:highlight w:val="none"/>
          <w:u w:val="single"/>
          <w:shd w:val="clear" w:color="auto" w:fill="auto"/>
          <w:lang w:eastAsia="zh-CN"/>
        </w:rPr>
        <w:t>磋商</w:t>
      </w:r>
      <w:r>
        <w:rPr>
          <w:color w:val="auto"/>
          <w:sz w:val="24"/>
          <w:szCs w:val="24"/>
          <w:highlight w:val="none"/>
          <w:u w:val="single"/>
          <w:shd w:val="clear" w:color="auto" w:fill="auto"/>
        </w:rPr>
        <w:t>响应供应商</w:t>
      </w:r>
      <w:r>
        <w:rPr>
          <w:rFonts w:hint="eastAsia"/>
          <w:color w:val="auto"/>
          <w:sz w:val="24"/>
          <w:szCs w:val="24"/>
          <w:highlight w:val="none"/>
          <w:u w:val="single"/>
          <w:shd w:val="clear" w:color="auto" w:fill="auto"/>
        </w:rPr>
        <w:t>代表姓名）</w:t>
      </w:r>
      <w:r>
        <w:rPr>
          <w:color w:val="auto"/>
          <w:sz w:val="24"/>
          <w:szCs w:val="24"/>
          <w:highlight w:val="none"/>
          <w:shd w:val="clear" w:color="auto" w:fill="auto"/>
        </w:rPr>
        <w:t>为</w:t>
      </w: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响应供应商代表</w:t>
      </w:r>
      <w:r>
        <w:rPr>
          <w:color w:val="auto"/>
          <w:spacing w:val="-46"/>
          <w:sz w:val="24"/>
          <w:szCs w:val="24"/>
          <w:highlight w:val="none"/>
          <w:shd w:val="clear" w:color="auto" w:fill="auto"/>
        </w:rPr>
        <w:t>，</w:t>
      </w:r>
      <w:r>
        <w:rPr>
          <w:color w:val="auto"/>
          <w:sz w:val="24"/>
          <w:szCs w:val="24"/>
          <w:highlight w:val="none"/>
          <w:shd w:val="clear" w:color="auto" w:fill="auto"/>
        </w:rPr>
        <w:t>代表本公司参加贵司组织的项</w:t>
      </w:r>
      <w:r>
        <w:rPr>
          <w:color w:val="auto"/>
          <w:spacing w:val="-17"/>
          <w:sz w:val="24"/>
          <w:szCs w:val="24"/>
          <w:highlight w:val="none"/>
          <w:shd w:val="clear" w:color="auto" w:fill="auto"/>
        </w:rPr>
        <w:t>目</w:t>
      </w:r>
      <w:r>
        <w:rPr>
          <w:color w:val="auto"/>
          <w:sz w:val="24"/>
          <w:szCs w:val="24"/>
          <w:highlight w:val="none"/>
          <w:shd w:val="clear" w:color="auto" w:fill="auto"/>
        </w:rPr>
        <w:t>（项目编号</w:t>
      </w:r>
      <w:r>
        <w:rPr>
          <w:color w:val="auto"/>
          <w:spacing w:val="-48"/>
          <w:sz w:val="24"/>
          <w:szCs w:val="24"/>
          <w:highlight w:val="none"/>
          <w:shd w:val="clear" w:color="auto" w:fill="auto"/>
        </w:rPr>
        <w:t>）</w:t>
      </w:r>
      <w:r>
        <w:rPr>
          <w:color w:val="auto"/>
          <w:sz w:val="24"/>
          <w:szCs w:val="24"/>
          <w:highlight w:val="none"/>
          <w:shd w:val="clear" w:color="auto" w:fill="auto"/>
        </w:rPr>
        <w:t>采购活动</w:t>
      </w:r>
      <w:r>
        <w:rPr>
          <w:color w:val="auto"/>
          <w:spacing w:val="-46"/>
          <w:sz w:val="24"/>
          <w:szCs w:val="24"/>
          <w:highlight w:val="none"/>
          <w:shd w:val="clear" w:color="auto" w:fill="auto"/>
        </w:rPr>
        <w:t>，</w:t>
      </w:r>
      <w:r>
        <w:rPr>
          <w:color w:val="auto"/>
          <w:sz w:val="24"/>
          <w:szCs w:val="24"/>
          <w:highlight w:val="none"/>
          <w:shd w:val="clear" w:color="auto" w:fill="auto"/>
        </w:rPr>
        <w:t>全权代表本公司处理</w:t>
      </w: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响应过程的一切事宜</w:t>
      </w:r>
      <w:r>
        <w:rPr>
          <w:color w:val="auto"/>
          <w:spacing w:val="-15"/>
          <w:sz w:val="24"/>
          <w:szCs w:val="24"/>
          <w:highlight w:val="none"/>
          <w:shd w:val="clear" w:color="auto" w:fill="auto"/>
        </w:rPr>
        <w:t>，</w:t>
      </w:r>
      <w:r>
        <w:rPr>
          <w:color w:val="auto"/>
          <w:sz w:val="24"/>
          <w:szCs w:val="24"/>
          <w:highlight w:val="none"/>
          <w:shd w:val="clear" w:color="auto" w:fill="auto"/>
        </w:rPr>
        <w:t>包括但不限于</w:t>
      </w:r>
      <w:r>
        <w:rPr>
          <w:color w:val="auto"/>
          <w:spacing w:val="-7"/>
          <w:sz w:val="24"/>
          <w:szCs w:val="24"/>
          <w:highlight w:val="none"/>
          <w:shd w:val="clear" w:color="auto" w:fill="auto"/>
        </w:rPr>
        <w:t>：（1）</w:t>
      </w:r>
      <w:r>
        <w:rPr>
          <w:color w:val="auto"/>
          <w:sz w:val="24"/>
          <w:szCs w:val="24"/>
          <w:highlight w:val="none"/>
          <w:shd w:val="clear" w:color="auto" w:fill="auto"/>
        </w:rPr>
        <w:t>签署</w:t>
      </w:r>
      <w:r>
        <w:rPr>
          <w:color w:val="auto"/>
          <w:spacing w:val="-10"/>
          <w:sz w:val="24"/>
          <w:szCs w:val="24"/>
          <w:highlight w:val="none"/>
          <w:shd w:val="clear" w:color="auto" w:fill="auto"/>
        </w:rPr>
        <w:t>、</w:t>
      </w:r>
      <w:r>
        <w:rPr>
          <w:color w:val="auto"/>
          <w:sz w:val="24"/>
          <w:szCs w:val="24"/>
          <w:highlight w:val="none"/>
          <w:shd w:val="clear" w:color="auto" w:fill="auto"/>
        </w:rPr>
        <w:t>澄清</w:t>
      </w:r>
      <w:r>
        <w:rPr>
          <w:color w:val="auto"/>
          <w:spacing w:val="-8"/>
          <w:sz w:val="24"/>
          <w:szCs w:val="24"/>
          <w:highlight w:val="none"/>
          <w:shd w:val="clear" w:color="auto" w:fill="auto"/>
        </w:rPr>
        <w:t>、</w:t>
      </w:r>
      <w:r>
        <w:rPr>
          <w:color w:val="auto"/>
          <w:sz w:val="24"/>
          <w:szCs w:val="24"/>
          <w:highlight w:val="none"/>
          <w:shd w:val="clear" w:color="auto" w:fill="auto"/>
        </w:rPr>
        <w:t>补正</w:t>
      </w:r>
      <w:r>
        <w:rPr>
          <w:color w:val="auto"/>
          <w:spacing w:val="-10"/>
          <w:sz w:val="24"/>
          <w:szCs w:val="24"/>
          <w:highlight w:val="none"/>
          <w:shd w:val="clear" w:color="auto" w:fill="auto"/>
        </w:rPr>
        <w:t>、</w:t>
      </w:r>
      <w:r>
        <w:rPr>
          <w:color w:val="auto"/>
          <w:sz w:val="24"/>
          <w:szCs w:val="24"/>
          <w:highlight w:val="none"/>
          <w:shd w:val="clear" w:color="auto" w:fill="auto"/>
        </w:rPr>
        <w:t>修改</w:t>
      </w:r>
      <w:r>
        <w:rPr>
          <w:color w:val="auto"/>
          <w:spacing w:val="-8"/>
          <w:sz w:val="24"/>
          <w:szCs w:val="24"/>
          <w:highlight w:val="none"/>
          <w:shd w:val="clear" w:color="auto" w:fill="auto"/>
        </w:rPr>
        <w:t>、</w:t>
      </w:r>
      <w:r>
        <w:rPr>
          <w:color w:val="auto"/>
          <w:sz w:val="24"/>
          <w:szCs w:val="24"/>
          <w:highlight w:val="none"/>
          <w:shd w:val="clear" w:color="auto" w:fill="auto"/>
        </w:rPr>
        <w:t>撤回</w:t>
      </w:r>
      <w:r>
        <w:rPr>
          <w:color w:val="auto"/>
          <w:spacing w:val="-10"/>
          <w:sz w:val="24"/>
          <w:szCs w:val="24"/>
          <w:highlight w:val="none"/>
          <w:shd w:val="clear" w:color="auto" w:fill="auto"/>
        </w:rPr>
        <w:t>、</w:t>
      </w:r>
      <w:r>
        <w:rPr>
          <w:color w:val="auto"/>
          <w:sz w:val="24"/>
          <w:szCs w:val="24"/>
          <w:highlight w:val="none"/>
          <w:shd w:val="clear" w:color="auto" w:fill="auto"/>
        </w:rPr>
        <w:t>提交响应文件</w:t>
      </w:r>
      <w:r>
        <w:rPr>
          <w:color w:val="auto"/>
          <w:spacing w:val="-7"/>
          <w:sz w:val="24"/>
          <w:szCs w:val="24"/>
          <w:highlight w:val="none"/>
          <w:shd w:val="clear" w:color="auto" w:fill="auto"/>
        </w:rPr>
        <w:t>；（2）</w:t>
      </w:r>
      <w:r>
        <w:rPr>
          <w:color w:val="auto"/>
          <w:sz w:val="24"/>
          <w:szCs w:val="24"/>
          <w:highlight w:val="none"/>
          <w:shd w:val="clear" w:color="auto" w:fill="auto"/>
        </w:rPr>
        <w:t>签署并重新提交响应文件及报价</w:t>
      </w:r>
      <w:r>
        <w:rPr>
          <w:color w:val="auto"/>
          <w:spacing w:val="-27"/>
          <w:sz w:val="24"/>
          <w:szCs w:val="24"/>
          <w:highlight w:val="none"/>
          <w:shd w:val="clear" w:color="auto" w:fill="auto"/>
        </w:rPr>
        <w:t>；（3）</w:t>
      </w:r>
      <w:r>
        <w:rPr>
          <w:color w:val="auto"/>
          <w:sz w:val="24"/>
          <w:szCs w:val="24"/>
          <w:highlight w:val="none"/>
          <w:shd w:val="clear" w:color="auto" w:fill="auto"/>
        </w:rPr>
        <w:t>退出</w:t>
      </w:r>
      <w:r>
        <w:rPr>
          <w:rFonts w:hint="eastAsia"/>
          <w:color w:val="auto"/>
          <w:sz w:val="24"/>
          <w:szCs w:val="24"/>
          <w:highlight w:val="none"/>
          <w:shd w:val="clear" w:color="auto" w:fill="auto"/>
          <w:lang w:eastAsia="zh-CN"/>
        </w:rPr>
        <w:t>磋商</w:t>
      </w:r>
      <w:r>
        <w:rPr>
          <w:color w:val="auto"/>
          <w:spacing w:val="-27"/>
          <w:sz w:val="24"/>
          <w:szCs w:val="24"/>
          <w:highlight w:val="none"/>
          <w:shd w:val="clear" w:color="auto" w:fill="auto"/>
        </w:rPr>
        <w:t>；（4）</w:t>
      </w:r>
      <w:r>
        <w:rPr>
          <w:color w:val="auto"/>
          <w:sz w:val="24"/>
          <w:szCs w:val="24"/>
          <w:highlight w:val="none"/>
          <w:shd w:val="clear" w:color="auto" w:fill="auto"/>
        </w:rPr>
        <w:t>签订合同和处理有关事宜</w:t>
      </w:r>
      <w:r>
        <w:rPr>
          <w:color w:val="auto"/>
          <w:spacing w:val="-15"/>
          <w:sz w:val="24"/>
          <w:szCs w:val="24"/>
          <w:highlight w:val="none"/>
          <w:shd w:val="clear" w:color="auto" w:fill="auto"/>
        </w:rPr>
        <w:t>。</w:t>
      </w:r>
      <w:r>
        <w:rPr>
          <w:color w:val="auto"/>
          <w:sz w:val="24"/>
          <w:szCs w:val="24"/>
          <w:highlight w:val="none"/>
          <w:shd w:val="clear" w:color="auto" w:fill="auto"/>
        </w:rPr>
        <w:t>供应商代表在采购过程中所签署的一切文件和处理与之有关的一切事务</w:t>
      </w:r>
      <w:r>
        <w:rPr>
          <w:color w:val="auto"/>
          <w:spacing w:val="-94"/>
          <w:sz w:val="24"/>
          <w:szCs w:val="24"/>
          <w:highlight w:val="none"/>
          <w:shd w:val="clear" w:color="auto" w:fill="auto"/>
        </w:rPr>
        <w:t>，</w:t>
      </w:r>
      <w:r>
        <w:rPr>
          <w:color w:val="auto"/>
          <w:sz w:val="24"/>
          <w:szCs w:val="24"/>
          <w:highlight w:val="none"/>
          <w:shd w:val="clear" w:color="auto" w:fill="auto"/>
        </w:rPr>
        <w:t>本公司均予以认可并对此承担责任。供应商代表无转委托权。特此授权。</w:t>
      </w:r>
    </w:p>
    <w:p>
      <w:pPr>
        <w:adjustRightInd w:val="0"/>
        <w:snapToGrid w:val="0"/>
        <w:spacing w:line="360" w:lineRule="auto"/>
        <w:ind w:firstLine="480" w:firstLineChars="200"/>
        <w:rPr>
          <w:color w:val="auto"/>
          <w:sz w:val="24"/>
          <w:szCs w:val="24"/>
          <w:highlight w:val="none"/>
          <w:shd w:val="clear" w:color="auto" w:fill="auto"/>
        </w:rPr>
      </w:pPr>
      <w:r>
        <w:rPr>
          <w:color w:val="auto"/>
          <w:sz w:val="24"/>
          <w:szCs w:val="24"/>
          <w:highlight w:val="none"/>
          <w:shd w:val="clear" w:color="auto" w:fill="auto"/>
        </w:rPr>
        <w:t>本授权书自出具之日起生效。</w:t>
      </w:r>
    </w:p>
    <w:p>
      <w:pPr>
        <w:adjustRightInd w:val="0"/>
        <w:snapToGrid w:val="0"/>
        <w:spacing w:line="360" w:lineRule="auto"/>
        <w:ind w:firstLine="480" w:firstLineChars="200"/>
        <w:rPr>
          <w:rFonts w:hint="default" w:eastAsia="宋体"/>
          <w:color w:val="auto"/>
          <w:sz w:val="24"/>
          <w:szCs w:val="24"/>
          <w:highlight w:val="none"/>
          <w:u w:val="singl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响应供应商代表：</w:t>
      </w:r>
      <w:r>
        <w:rPr>
          <w:rFonts w:hint="eastAsia"/>
          <w:color w:val="auto"/>
          <w:sz w:val="24"/>
          <w:szCs w:val="24"/>
          <w:highlight w:val="none"/>
          <w:u w:val="single"/>
          <w:shd w:val="clear" w:color="auto" w:fill="auto"/>
          <w:lang w:val="en-US" w:eastAsia="zh-CN"/>
        </w:rPr>
        <w:t xml:space="preserve">      </w:t>
      </w:r>
      <w:r>
        <w:rPr>
          <w:rFonts w:hint="eastAsia"/>
          <w:color w:val="auto"/>
          <w:sz w:val="24"/>
          <w:szCs w:val="24"/>
          <w:highlight w:val="none"/>
          <w:u w:val="none"/>
          <w:shd w:val="clear" w:color="auto" w:fill="auto"/>
          <w:lang w:val="en-US" w:eastAsia="zh-CN"/>
        </w:rPr>
        <w:t xml:space="preserve">  </w:t>
      </w:r>
      <w:r>
        <w:rPr>
          <w:color w:val="auto"/>
          <w:sz w:val="24"/>
          <w:szCs w:val="24"/>
          <w:highlight w:val="none"/>
          <w:shd w:val="clear" w:color="auto" w:fill="auto"/>
        </w:rPr>
        <w:t>性别：</w:t>
      </w:r>
      <w:r>
        <w:rPr>
          <w:rFonts w:hint="eastAsia"/>
          <w:color w:val="auto"/>
          <w:sz w:val="24"/>
          <w:szCs w:val="24"/>
          <w:highlight w:val="none"/>
          <w:u w:val="single"/>
          <w:shd w:val="clear" w:color="auto" w:fill="auto"/>
          <w:lang w:val="en-US" w:eastAsia="zh-CN"/>
        </w:rPr>
        <w:t xml:space="preserve">      </w:t>
      </w:r>
      <w:r>
        <w:rPr>
          <w:rFonts w:hint="eastAsia"/>
          <w:color w:val="auto"/>
          <w:sz w:val="24"/>
          <w:szCs w:val="24"/>
          <w:highlight w:val="none"/>
          <w:u w:val="none"/>
          <w:shd w:val="clear" w:color="auto" w:fill="auto"/>
          <w:lang w:val="en-US" w:eastAsia="zh-CN"/>
        </w:rPr>
        <w:t xml:space="preserve"> </w:t>
      </w:r>
      <w:r>
        <w:rPr>
          <w:color w:val="auto"/>
          <w:sz w:val="24"/>
          <w:szCs w:val="24"/>
          <w:highlight w:val="none"/>
          <w:shd w:val="clear" w:color="auto" w:fill="auto"/>
        </w:rPr>
        <w:t>身份证号：</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eastAsia="宋体"/>
          <w:color w:val="auto"/>
          <w:sz w:val="24"/>
          <w:szCs w:val="24"/>
          <w:highlight w:val="none"/>
          <w:u w:val="single"/>
          <w:shd w:val="clear" w:color="auto" w:fill="auto"/>
          <w:lang w:val="en-US" w:eastAsia="zh-CN"/>
        </w:rPr>
      </w:pPr>
      <w:r>
        <w:rPr>
          <w:color w:val="auto"/>
          <w:sz w:val="24"/>
          <w:szCs w:val="24"/>
          <w:highlight w:val="none"/>
          <w:shd w:val="clear" w:color="auto" w:fill="auto"/>
        </w:rPr>
        <w:t>单位：</w:t>
      </w:r>
      <w:r>
        <w:rPr>
          <w:rFonts w:hint="eastAsia"/>
          <w:color w:val="auto"/>
          <w:sz w:val="24"/>
          <w:szCs w:val="24"/>
          <w:highlight w:val="none"/>
          <w:u w:val="single"/>
          <w:shd w:val="clear" w:color="auto" w:fill="auto"/>
          <w:lang w:val="en-US" w:eastAsia="zh-CN"/>
        </w:rPr>
        <w:t xml:space="preserve">     </w:t>
      </w:r>
      <w:r>
        <w:rPr>
          <w:rFonts w:hint="eastAsia"/>
          <w:color w:val="auto"/>
          <w:sz w:val="24"/>
          <w:szCs w:val="24"/>
          <w:highlight w:val="none"/>
          <w:u w:val="none"/>
          <w:shd w:val="clear" w:color="auto" w:fill="auto"/>
          <w:lang w:val="en-US" w:eastAsia="zh-CN"/>
        </w:rPr>
        <w:t xml:space="preserve">  </w:t>
      </w:r>
      <w:r>
        <w:rPr>
          <w:color w:val="auto"/>
          <w:sz w:val="24"/>
          <w:szCs w:val="24"/>
          <w:highlight w:val="none"/>
          <w:shd w:val="clear" w:color="auto" w:fill="auto"/>
        </w:rPr>
        <w:t>部门：</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r>
        <w:rPr>
          <w:rFonts w:hint="eastAsia"/>
          <w:color w:val="auto"/>
          <w:sz w:val="24"/>
          <w:szCs w:val="24"/>
          <w:highlight w:val="none"/>
          <w:u w:val="none"/>
          <w:shd w:val="clear" w:color="auto" w:fill="auto"/>
          <w:lang w:val="en-US" w:eastAsia="zh-CN"/>
        </w:rPr>
        <w:t xml:space="preserve"> </w:t>
      </w:r>
      <w:r>
        <w:rPr>
          <w:color w:val="auto"/>
          <w:sz w:val="24"/>
          <w:szCs w:val="24"/>
          <w:highlight w:val="none"/>
          <w:shd w:val="clear" w:color="auto" w:fill="auto"/>
        </w:rPr>
        <w:t>职务：</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eastAsia="宋体"/>
          <w:color w:val="auto"/>
          <w:sz w:val="24"/>
          <w:szCs w:val="24"/>
          <w:highlight w:val="none"/>
          <w:u w:val="single"/>
          <w:shd w:val="clear" w:color="auto" w:fill="auto"/>
          <w:lang w:val="en-US" w:eastAsia="zh-CN"/>
        </w:rPr>
      </w:pPr>
      <w:r>
        <w:rPr>
          <w:color w:val="auto"/>
          <w:sz w:val="24"/>
          <w:szCs w:val="24"/>
          <w:highlight w:val="none"/>
          <w:shd w:val="clear" w:color="auto" w:fill="auto"/>
        </w:rPr>
        <w:t>详细通讯地址：</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eastAsia="宋体"/>
          <w:color w:val="auto"/>
          <w:sz w:val="24"/>
          <w:szCs w:val="24"/>
          <w:highlight w:val="none"/>
          <w:u w:val="single"/>
          <w:shd w:val="clear" w:color="auto" w:fill="auto"/>
          <w:lang w:val="en-US" w:eastAsia="zh-CN"/>
        </w:rPr>
      </w:pPr>
      <w:r>
        <w:rPr>
          <w:color w:val="auto"/>
          <w:sz w:val="24"/>
          <w:szCs w:val="24"/>
          <w:highlight w:val="none"/>
          <w:shd w:val="clear" w:color="auto" w:fill="auto"/>
        </w:rPr>
        <w:t>邮政编码:</w:t>
      </w:r>
      <w:r>
        <w:rPr>
          <w:color w:val="auto"/>
          <w:sz w:val="24"/>
          <w:szCs w:val="24"/>
          <w:highlight w:val="none"/>
          <w:u w:val="single"/>
          <w:shd w:val="clear" w:color="auto" w:fill="auto"/>
        </w:rPr>
        <w:tab/>
      </w:r>
      <w:r>
        <w:rPr>
          <w:rFonts w:hint="eastAsia"/>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eastAsia="宋体"/>
          <w:color w:val="auto"/>
          <w:sz w:val="24"/>
          <w:szCs w:val="24"/>
          <w:highlight w:val="none"/>
          <w:shd w:val="clear" w:color="auto" w:fill="auto"/>
          <w:lang w:val="en-US" w:eastAsia="zh-CN"/>
        </w:rPr>
      </w:pPr>
      <w:r>
        <w:rPr>
          <w:color w:val="auto"/>
          <w:sz w:val="24"/>
          <w:szCs w:val="24"/>
          <w:highlight w:val="none"/>
          <w:shd w:val="clear" w:color="auto" w:fill="auto"/>
        </w:rPr>
        <w:t>电话：</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ascii="Times New Roman" w:eastAsia="Times New Roman"/>
          <w:color w:val="auto"/>
          <w:sz w:val="24"/>
          <w:szCs w:val="24"/>
          <w:highlight w:val="none"/>
          <w:shd w:val="clear" w:color="auto" w:fill="auto"/>
        </w:rPr>
      </w:pPr>
      <w:r>
        <w:rPr>
          <w:color w:val="auto"/>
          <w:sz w:val="24"/>
          <w:szCs w:val="24"/>
          <w:highlight w:val="none"/>
          <w:shd w:val="clear" w:color="auto" w:fill="auto"/>
        </w:rPr>
        <w:t>电子信箱：</w:t>
      </w:r>
      <w:r>
        <w:rPr>
          <w:rFonts w:ascii="Times New Roman" w:eastAsia="Times New Roman"/>
          <w:color w:val="auto"/>
          <w:sz w:val="24"/>
          <w:szCs w:val="24"/>
          <w:highlight w:val="none"/>
          <w:u w:val="single"/>
          <w:shd w:val="clear" w:color="auto" w:fill="auto"/>
        </w:rPr>
        <w:tab/>
      </w:r>
    </w:p>
    <w:p>
      <w:pPr>
        <w:adjustRightInd w:val="0"/>
        <w:snapToGrid w:val="0"/>
        <w:spacing w:line="360" w:lineRule="auto"/>
        <w:rPr>
          <w:rFonts w:ascii="Times New Roman"/>
          <w:color w:val="auto"/>
          <w:sz w:val="24"/>
          <w:szCs w:val="24"/>
          <w:highlight w:val="none"/>
          <w:shd w:val="clear" w:color="auto" w:fill="auto"/>
        </w:rPr>
        <w:sectPr>
          <w:footerReference r:id="rId13" w:type="default"/>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pPr>
    </w:p>
    <w:p>
      <w:pPr>
        <w:adjustRightInd w:val="0"/>
        <w:snapToGrid w:val="0"/>
        <w:spacing w:line="360" w:lineRule="auto"/>
        <w:rPr>
          <w:color w:val="auto"/>
          <w:sz w:val="24"/>
          <w:szCs w:val="24"/>
          <w:highlight w:val="none"/>
          <w:shd w:val="clear" w:color="auto" w:fill="auto"/>
        </w:rPr>
      </w:pPr>
      <w:r>
        <w:rPr>
          <w:color w:val="auto"/>
          <w:sz w:val="24"/>
          <w:szCs w:val="24"/>
          <w:highlight w:val="none"/>
          <w:shd w:val="clear" w:color="auto" w:fill="auto"/>
        </w:rPr>
        <w:t>附：授权人身份证件（正反面）被授权人身份证件（正反面）</w:t>
      </w:r>
    </w:p>
    <w:p>
      <w:pPr>
        <w:adjustRightInd w:val="0"/>
        <w:snapToGrid w:val="0"/>
        <w:spacing w:line="360" w:lineRule="auto"/>
        <w:ind w:firstLine="480" w:firstLineChars="200"/>
        <w:rPr>
          <w:color w:val="auto"/>
          <w:sz w:val="24"/>
          <w:szCs w:val="24"/>
          <w:highlight w:val="none"/>
          <w:shd w:val="clear" w:color="auto" w:fill="auto"/>
        </w:rPr>
      </w:pPr>
      <w:r>
        <w:rPr>
          <w:color w:val="auto"/>
          <w:sz w:val="24"/>
          <w:szCs w:val="24"/>
          <w:highlight w:val="none"/>
          <w:shd w:val="clear" w:color="auto" w:fill="auto"/>
        </w:rPr>
        <w:t>授权方</w:t>
      </w:r>
    </w:p>
    <w:p>
      <w:pPr>
        <w:adjustRightInd w:val="0"/>
        <w:snapToGrid w:val="0"/>
        <w:spacing w:line="360" w:lineRule="auto"/>
        <w:ind w:firstLine="480" w:firstLineChars="200"/>
        <w:rPr>
          <w:rFonts w:hint="default" w:ascii="Times New Roman" w:eastAsia="宋体"/>
          <w:color w:val="auto"/>
          <w:sz w:val="24"/>
          <w:szCs w:val="24"/>
          <w:highlight w:val="none"/>
          <w:u w:val="singl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响应供应商（全称并加盖公章）：</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ascii="Times New Roman" w:eastAsia="宋体"/>
          <w:color w:val="auto"/>
          <w:sz w:val="24"/>
          <w:szCs w:val="24"/>
          <w:highlight w:val="none"/>
          <w:u w:val="single"/>
          <w:shd w:val="clear" w:color="auto" w:fill="auto"/>
          <w:lang w:val="en-US" w:eastAsia="zh-CN"/>
        </w:rPr>
      </w:pPr>
      <w:r>
        <w:rPr>
          <w:color w:val="auto"/>
          <w:sz w:val="24"/>
          <w:szCs w:val="24"/>
          <w:highlight w:val="none"/>
          <w:shd w:val="clear" w:color="auto" w:fill="auto"/>
        </w:rPr>
        <w:t>法定代表人签字：</w:t>
      </w:r>
      <w:r>
        <w:rPr>
          <w:rFonts w:ascii="Times New Roman" w:eastAsia="Times New Roman"/>
          <w:color w:val="auto"/>
          <w:sz w:val="24"/>
          <w:szCs w:val="24"/>
          <w:highlight w:val="none"/>
          <w:u w:val="single"/>
          <w:shd w:val="clear" w:color="auto" w:fill="auto"/>
        </w:rPr>
        <w:tab/>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ascii="Times New Roman" w:eastAsia="宋体"/>
          <w:color w:val="auto"/>
          <w:sz w:val="24"/>
          <w:szCs w:val="24"/>
          <w:highlight w:val="none"/>
          <w:shd w:val="clear" w:color="auto" w:fill="auto"/>
          <w:lang w:val="en-US" w:eastAsia="zh-CN"/>
        </w:rPr>
      </w:pPr>
      <w:r>
        <w:rPr>
          <w:color w:val="auto"/>
          <w:sz w:val="24"/>
          <w:szCs w:val="24"/>
          <w:highlight w:val="none"/>
          <w:shd w:val="clear" w:color="auto" w:fill="auto"/>
        </w:rPr>
        <w:t>日</w:t>
      </w:r>
      <w:r>
        <w:rPr>
          <w:color w:val="auto"/>
          <w:sz w:val="24"/>
          <w:szCs w:val="24"/>
          <w:highlight w:val="none"/>
          <w:shd w:val="clear" w:color="auto" w:fill="auto"/>
        </w:rPr>
        <w:tab/>
      </w:r>
      <w:r>
        <w:rPr>
          <w:color w:val="auto"/>
          <w:sz w:val="24"/>
          <w:szCs w:val="24"/>
          <w:highlight w:val="none"/>
          <w:shd w:val="clear" w:color="auto" w:fill="auto"/>
        </w:rPr>
        <w:t>期：</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ascii="Times New Roman" w:eastAsia="Times New Roman"/>
          <w:color w:val="auto"/>
          <w:sz w:val="24"/>
          <w:szCs w:val="24"/>
          <w:highlight w:val="none"/>
          <w:shd w:val="clear" w:color="auto" w:fill="auto"/>
        </w:rPr>
        <w:sectPr>
          <w:type w:val="continuous"/>
          <w:pgSz w:w="11910" w:h="16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pPr>
        <w:adjustRightInd w:val="0"/>
        <w:snapToGrid w:val="0"/>
        <w:spacing w:line="360" w:lineRule="auto"/>
        <w:ind w:firstLine="480" w:firstLineChars="200"/>
        <w:rPr>
          <w:rFonts w:ascii="Times New Roman"/>
          <w:color w:val="auto"/>
          <w:sz w:val="24"/>
          <w:szCs w:val="24"/>
          <w:highlight w:val="none"/>
          <w:shd w:val="clear" w:color="auto" w:fill="auto"/>
        </w:rPr>
      </w:pPr>
    </w:p>
    <w:p>
      <w:pPr>
        <w:adjustRightInd w:val="0"/>
        <w:snapToGrid w:val="0"/>
        <w:spacing w:line="360" w:lineRule="auto"/>
        <w:ind w:firstLine="480" w:firstLineChars="200"/>
        <w:rPr>
          <w:color w:val="auto"/>
          <w:sz w:val="24"/>
          <w:szCs w:val="24"/>
          <w:highlight w:val="none"/>
          <w:shd w:val="clear" w:color="auto" w:fill="auto"/>
        </w:rPr>
      </w:pPr>
      <w:r>
        <w:rPr>
          <w:color w:val="auto"/>
          <w:sz w:val="24"/>
          <w:szCs w:val="24"/>
          <w:highlight w:val="none"/>
          <w:shd w:val="clear" w:color="auto" w:fill="auto"/>
        </w:rPr>
        <w:t>接受授权方</w:t>
      </w:r>
    </w:p>
    <w:p>
      <w:pPr>
        <w:adjustRightInd w:val="0"/>
        <w:snapToGrid w:val="0"/>
        <w:spacing w:line="360" w:lineRule="auto"/>
        <w:ind w:firstLine="480" w:firstLineChars="200"/>
        <w:rPr>
          <w:rFonts w:ascii="Times New Roman" w:eastAsiaTheme="minorEastAsia"/>
          <w:color w:val="auto"/>
          <w:sz w:val="24"/>
          <w:szCs w:val="24"/>
          <w:highlight w:val="none"/>
          <w:u w:val="single"/>
          <w:shd w:val="clear" w:color="auto" w:fill="auto"/>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响应供应商代表签字：</w:t>
      </w:r>
    </w:p>
    <w:p>
      <w:pPr>
        <w:adjustRightInd w:val="0"/>
        <w:snapToGrid w:val="0"/>
        <w:spacing w:line="360" w:lineRule="auto"/>
        <w:ind w:firstLine="480" w:firstLineChars="200"/>
        <w:rPr>
          <w:rFonts w:ascii="Times New Roman" w:eastAsiaTheme="minorEastAsia"/>
          <w:color w:val="auto"/>
          <w:sz w:val="24"/>
          <w:szCs w:val="24"/>
          <w:highlight w:val="none"/>
          <w:shd w:val="clear" w:color="auto" w:fill="auto"/>
        </w:rPr>
      </w:pPr>
      <w:r>
        <w:rPr>
          <w:color w:val="auto"/>
          <w:sz w:val="24"/>
          <w:szCs w:val="24"/>
          <w:highlight w:val="none"/>
          <w:shd w:val="clear" w:color="auto" w:fill="auto"/>
        </w:rPr>
        <w:t>日期：</w:t>
      </w:r>
    </w:p>
    <w:p>
      <w:pPr>
        <w:rPr>
          <w:rFonts w:ascii="Times New Roman" w:eastAsia="Times New Roman"/>
          <w:color w:val="auto"/>
          <w:highlight w:val="none"/>
          <w:shd w:val="clear" w:color="auto" w:fill="auto"/>
        </w:rPr>
        <w:sectPr>
          <w:type w:val="continuous"/>
          <w:pgSz w:w="11910" w:h="16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pPr>
        <w:jc w:val="center"/>
        <w:rPr>
          <w:b/>
          <w:color w:val="auto"/>
          <w:sz w:val="28"/>
          <w:szCs w:val="28"/>
          <w:highlight w:val="none"/>
          <w:shd w:val="clear" w:color="auto" w:fill="auto"/>
        </w:rPr>
      </w:pPr>
      <w:r>
        <w:rPr>
          <w:b/>
          <w:color w:val="auto"/>
          <w:sz w:val="28"/>
          <w:szCs w:val="28"/>
          <w:highlight w:val="none"/>
          <w:shd w:val="clear" w:color="auto" w:fill="auto"/>
        </w:rPr>
        <w:t>八</w:t>
      </w:r>
      <w:r>
        <w:rPr>
          <w:rFonts w:hint="eastAsia"/>
          <w:b/>
          <w:color w:val="auto"/>
          <w:sz w:val="28"/>
          <w:szCs w:val="28"/>
          <w:highlight w:val="none"/>
          <w:shd w:val="clear" w:color="auto" w:fill="auto"/>
        </w:rPr>
        <w:t xml:space="preserve"> </w:t>
      </w:r>
      <w:r>
        <w:rPr>
          <w:rFonts w:hint="eastAsia"/>
          <w:b/>
          <w:color w:val="auto"/>
          <w:sz w:val="28"/>
          <w:szCs w:val="28"/>
          <w:highlight w:val="none"/>
          <w:shd w:val="clear" w:color="auto" w:fill="auto"/>
          <w:lang w:eastAsia="zh-CN"/>
        </w:rPr>
        <w:t>、</w:t>
      </w:r>
      <w:r>
        <w:rPr>
          <w:b/>
          <w:color w:val="auto"/>
          <w:sz w:val="28"/>
          <w:szCs w:val="28"/>
          <w:highlight w:val="none"/>
          <w:shd w:val="clear" w:color="auto" w:fill="auto"/>
        </w:rPr>
        <w:t>资质声明函</w:t>
      </w:r>
    </w:p>
    <w:p>
      <w:pPr>
        <w:rPr>
          <w:b/>
          <w:color w:val="auto"/>
          <w:sz w:val="35"/>
          <w:highlight w:val="none"/>
          <w:shd w:val="clear" w:color="auto" w:fill="auto"/>
        </w:rPr>
      </w:pPr>
    </w:p>
    <w:p>
      <w:pPr>
        <w:adjustRightInd w:val="0"/>
        <w:snapToGrid w:val="0"/>
        <w:spacing w:line="360" w:lineRule="auto"/>
        <w:ind w:firstLine="452" w:firstLineChars="200"/>
        <w:rPr>
          <w:b/>
          <w:color w:val="auto"/>
          <w:sz w:val="24"/>
          <w:szCs w:val="24"/>
          <w:highlight w:val="none"/>
          <w:shd w:val="clear" w:color="auto" w:fill="auto"/>
        </w:rPr>
      </w:pPr>
      <w:r>
        <w:rPr>
          <w:color w:val="auto"/>
          <w:spacing w:val="-7"/>
          <w:sz w:val="24"/>
          <w:szCs w:val="24"/>
          <w:highlight w:val="none"/>
          <w:shd w:val="clear" w:color="auto" w:fill="auto"/>
        </w:rPr>
        <w:t>根据贵方的投标邀请，本签字人愿意参加投标，并按</w:t>
      </w:r>
      <w:r>
        <w:rPr>
          <w:rFonts w:hint="eastAsia"/>
          <w:color w:val="auto"/>
          <w:sz w:val="24"/>
          <w:szCs w:val="24"/>
          <w:highlight w:val="none"/>
          <w:shd w:val="clear" w:color="auto" w:fill="auto"/>
          <w:lang w:eastAsia="zh-CN"/>
        </w:rPr>
        <w:t>磋商</w:t>
      </w:r>
      <w:r>
        <w:rPr>
          <w:color w:val="auto"/>
          <w:sz w:val="24"/>
          <w:szCs w:val="24"/>
          <w:highlight w:val="none"/>
          <w:shd w:val="clear" w:color="auto" w:fill="auto"/>
        </w:rPr>
        <w:t>文件要求提交下</w:t>
      </w:r>
      <w:r>
        <w:rPr>
          <w:color w:val="auto"/>
          <w:spacing w:val="-8"/>
          <w:sz w:val="24"/>
          <w:szCs w:val="24"/>
          <w:highlight w:val="none"/>
          <w:shd w:val="clear" w:color="auto" w:fill="auto"/>
        </w:rPr>
        <w:t>列资质文件，同时声明，保证所提交文件是准确的、真实的。</w:t>
      </w:r>
      <w:r>
        <w:rPr>
          <w:b/>
          <w:color w:val="auto"/>
          <w:spacing w:val="-2"/>
          <w:sz w:val="24"/>
          <w:szCs w:val="24"/>
          <w:highlight w:val="none"/>
          <w:shd w:val="clear" w:color="auto" w:fill="auto"/>
        </w:rPr>
        <w:t>以下资质文件的复</w:t>
      </w:r>
      <w:r>
        <w:rPr>
          <w:b/>
          <w:color w:val="auto"/>
          <w:sz w:val="24"/>
          <w:szCs w:val="24"/>
          <w:highlight w:val="none"/>
          <w:shd w:val="clear" w:color="auto" w:fill="auto"/>
        </w:rPr>
        <w:t>印件需加盖鲜章装订在投标文件中。</w:t>
      </w:r>
    </w:p>
    <w:p>
      <w:pPr>
        <w:keepNext w:val="0"/>
        <w:keepLines w:val="0"/>
        <w:pageBreakBefore w:val="0"/>
        <w:kinsoku/>
        <w:wordWrap/>
        <w:overflowPunct/>
        <w:topLinePunct w:val="0"/>
        <w:bidi w:val="0"/>
        <w:snapToGrid/>
        <w:spacing w:line="360" w:lineRule="exact"/>
        <w:ind w:firstLine="240" w:firstLineChars="10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1.满足《中华人民共和国政府采购法》第二十二条规定，并提供下列材料；</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①具有独立承担民事责任的能力：</w:t>
      </w:r>
      <w:r>
        <w:rPr>
          <w:rFonts w:hint="eastAsia" w:cs="宋体"/>
          <w:b w:val="0"/>
          <w:color w:val="auto"/>
          <w:sz w:val="24"/>
          <w:szCs w:val="22"/>
          <w:highlight w:val="none"/>
          <w:shd w:val="clear" w:color="auto" w:fill="auto"/>
          <w:lang w:val="en-US" w:eastAsia="zh-CN" w:bidi="ar-SA"/>
        </w:rPr>
        <w:t>提供有效的营业执照</w:t>
      </w:r>
      <w:r>
        <w:rPr>
          <w:rFonts w:hint="eastAsia" w:ascii="宋体" w:hAnsi="宋体" w:eastAsia="宋体" w:cs="宋体"/>
          <w:b w:val="0"/>
          <w:color w:val="auto"/>
          <w:sz w:val="24"/>
          <w:szCs w:val="22"/>
          <w:highlight w:val="none"/>
          <w:shd w:val="clear" w:color="auto" w:fill="auto"/>
          <w:lang w:val="en-US" w:eastAsia="zh-CN" w:bidi="ar-SA"/>
        </w:rPr>
        <w:t>；</w:t>
      </w:r>
    </w:p>
    <w:p>
      <w:pPr>
        <w:keepNext w:val="0"/>
        <w:keepLines w:val="0"/>
        <w:pageBreakBefore w:val="0"/>
        <w:widowControl/>
        <w:kinsoku/>
        <w:wordWrap/>
        <w:overflowPunct/>
        <w:topLinePunct w:val="0"/>
        <w:autoSpaceDE w:val="0"/>
        <w:autoSpaceDN w:val="0"/>
        <w:bidi w:val="0"/>
        <w:adjustRightInd w:val="0"/>
        <w:snapToGrid/>
        <w:spacing w:line="320" w:lineRule="exact"/>
        <w:ind w:firstLine="240" w:firstLineChars="100"/>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②财务状况报告（经合法审计机构出具的2020年度财务审计报告，</w:t>
      </w:r>
      <w:r>
        <w:rPr>
          <w:rFonts w:hint="eastAsia" w:cs="宋体"/>
          <w:b w:val="0"/>
          <w:color w:val="auto"/>
          <w:sz w:val="24"/>
          <w:szCs w:val="22"/>
          <w:highlight w:val="none"/>
          <w:shd w:val="clear" w:color="auto" w:fill="auto"/>
          <w:lang w:val="en-US" w:eastAsia="zh-CN" w:bidi="ar-SA"/>
        </w:rPr>
        <w:t>2021年新成立的公司提供</w:t>
      </w:r>
      <w:r>
        <w:rPr>
          <w:rFonts w:hint="eastAsia" w:ascii="宋体" w:hAnsi="宋体" w:eastAsia="宋体" w:cs="宋体"/>
          <w:b w:val="0"/>
          <w:color w:val="auto"/>
          <w:sz w:val="24"/>
          <w:szCs w:val="22"/>
          <w:highlight w:val="none"/>
          <w:shd w:val="clear" w:color="auto" w:fill="auto"/>
          <w:lang w:val="en-US" w:eastAsia="zh-CN" w:bidi="ar-SA"/>
        </w:rPr>
        <w:t>银行出具的有效的资信证明）；</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③依法缴纳税收（202</w:t>
      </w:r>
      <w:r>
        <w:rPr>
          <w:rFonts w:hint="eastAsia" w:cs="宋体"/>
          <w:b w:val="0"/>
          <w:color w:val="auto"/>
          <w:sz w:val="24"/>
          <w:szCs w:val="22"/>
          <w:highlight w:val="none"/>
          <w:shd w:val="clear" w:color="auto" w:fill="auto"/>
          <w:lang w:val="en-US" w:eastAsia="zh-CN" w:bidi="ar-SA"/>
        </w:rPr>
        <w:t>1</w:t>
      </w:r>
      <w:r>
        <w:rPr>
          <w:rFonts w:hint="eastAsia" w:ascii="宋体" w:hAnsi="宋体" w:eastAsia="宋体" w:cs="宋体"/>
          <w:b w:val="0"/>
          <w:color w:val="auto"/>
          <w:sz w:val="24"/>
          <w:szCs w:val="22"/>
          <w:highlight w:val="none"/>
          <w:shd w:val="clear" w:color="auto" w:fill="auto"/>
          <w:lang w:val="en-US" w:eastAsia="zh-CN" w:bidi="ar-SA"/>
        </w:rPr>
        <w:t>年1月至今任意3个月缴纳税收的凭据或证明材料复印件（依法免税的供应商须提供相应证明文件））和社会保障资金（202</w:t>
      </w:r>
      <w:r>
        <w:rPr>
          <w:rFonts w:hint="eastAsia" w:cs="宋体"/>
          <w:b w:val="0"/>
          <w:color w:val="auto"/>
          <w:sz w:val="24"/>
          <w:szCs w:val="22"/>
          <w:highlight w:val="none"/>
          <w:shd w:val="clear" w:color="auto" w:fill="auto"/>
          <w:lang w:val="en-US" w:eastAsia="zh-CN" w:bidi="ar-SA"/>
        </w:rPr>
        <w:t>1</w:t>
      </w:r>
      <w:r>
        <w:rPr>
          <w:rFonts w:hint="eastAsia" w:ascii="宋体" w:hAnsi="宋体" w:eastAsia="宋体" w:cs="宋体"/>
          <w:b w:val="0"/>
          <w:color w:val="auto"/>
          <w:sz w:val="24"/>
          <w:szCs w:val="22"/>
          <w:highlight w:val="none"/>
          <w:shd w:val="clear" w:color="auto" w:fill="auto"/>
          <w:lang w:val="en-US" w:eastAsia="zh-CN" w:bidi="ar-SA"/>
        </w:rPr>
        <w:t>年1月至今任意3个月社会保障资金缴纳证明材料复印件)的相关材料；</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④具备履行合同所必需的设备和专业技术能力的证明材料；(提供承诺函（格式自定）或提供相关证明材料复印件)</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5 \* GB3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⑤</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参加政府采购活动前3年内在经营活动中没有重大违法记录的书面声明；（自行声明,格式自定）</w:t>
      </w:r>
    </w:p>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6 \* GB3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⑥</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法律、行政法规规定的其他条件。(自行声明,格式自定）</w:t>
      </w:r>
    </w:p>
    <w:p>
      <w:pPr>
        <w:keepLines w:val="0"/>
        <w:pageBreakBefore w:val="0"/>
        <w:widowControl/>
        <w:kinsoku/>
        <w:wordWrap/>
        <w:overflowPunct/>
        <w:topLinePunct w:val="0"/>
        <w:autoSpaceDE w:val="0"/>
        <w:autoSpaceDN w:val="0"/>
        <w:bidi w:val="0"/>
        <w:adjustRightInd w:val="0"/>
        <w:snapToGrid/>
        <w:spacing w:line="300" w:lineRule="exact"/>
        <w:ind w:firstLine="240" w:firstLineChars="100"/>
        <w:jc w:val="left"/>
        <w:textAlignment w:val="baseline"/>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fldChar w:fldCharType="begin"/>
      </w:r>
      <w:r>
        <w:rPr>
          <w:rFonts w:hint="eastAsia" w:ascii="宋体" w:hAnsi="宋体" w:eastAsia="宋体" w:cs="宋体"/>
          <w:b w:val="0"/>
          <w:color w:val="auto"/>
          <w:sz w:val="24"/>
          <w:szCs w:val="22"/>
          <w:highlight w:val="none"/>
          <w:shd w:val="clear" w:color="auto" w:fill="auto"/>
          <w:lang w:val="en-US" w:eastAsia="zh-CN" w:bidi="ar-SA"/>
        </w:rPr>
        <w:instrText xml:space="preserve"> = 7 \* GB3 \* MERGEFORMAT </w:instrText>
      </w:r>
      <w:r>
        <w:rPr>
          <w:rFonts w:hint="eastAsia" w:ascii="宋体" w:hAnsi="宋体" w:eastAsia="宋体" w:cs="宋体"/>
          <w:b w:val="0"/>
          <w:color w:val="auto"/>
          <w:sz w:val="24"/>
          <w:szCs w:val="22"/>
          <w:highlight w:val="none"/>
          <w:shd w:val="clear" w:color="auto" w:fill="auto"/>
          <w:lang w:val="en-US" w:eastAsia="zh-CN" w:bidi="ar-SA"/>
        </w:rPr>
        <w:fldChar w:fldCharType="separate"/>
      </w:r>
      <w:r>
        <w:rPr>
          <w:rFonts w:hint="eastAsia" w:ascii="宋体" w:hAnsi="宋体" w:eastAsia="宋体" w:cs="宋体"/>
          <w:b w:val="0"/>
          <w:color w:val="auto"/>
          <w:sz w:val="24"/>
          <w:szCs w:val="22"/>
          <w:highlight w:val="none"/>
          <w:shd w:val="clear" w:color="auto" w:fill="auto"/>
          <w:lang w:val="en-US" w:eastAsia="zh-CN" w:bidi="ar-SA"/>
        </w:rPr>
        <w:t>⑦</w:t>
      </w:r>
      <w:r>
        <w:rPr>
          <w:rFonts w:hint="eastAsia" w:ascii="宋体" w:hAnsi="宋体" w:eastAsia="宋体" w:cs="宋体"/>
          <w:b w:val="0"/>
          <w:color w:val="auto"/>
          <w:sz w:val="24"/>
          <w:szCs w:val="22"/>
          <w:highlight w:val="none"/>
          <w:shd w:val="clear" w:color="auto" w:fill="auto"/>
          <w:lang w:val="en-US" w:eastAsia="zh-CN" w:bidi="ar-SA"/>
        </w:rPr>
        <w:fldChar w:fldCharType="end"/>
      </w:r>
      <w:r>
        <w:rPr>
          <w:rFonts w:hint="eastAsia" w:ascii="宋体" w:hAnsi="宋体" w:eastAsia="宋体" w:cs="宋体"/>
          <w:b w:val="0"/>
          <w:color w:val="auto"/>
          <w:sz w:val="24"/>
          <w:szCs w:val="22"/>
          <w:highlight w:val="none"/>
          <w:shd w:val="clear" w:color="auto" w:fill="auto"/>
          <w:lang w:val="en-US" w:eastAsia="zh-CN" w:bidi="ar-SA"/>
        </w:rPr>
        <w:t xml:space="preserve"> </w:t>
      </w:r>
      <w:r>
        <w:rPr>
          <w:rFonts w:hint="eastAsia" w:ascii="宋体" w:hAnsi="宋体" w:eastAsia="宋体" w:cs="宋体"/>
          <w:color w:val="auto"/>
          <w:sz w:val="24"/>
          <w:szCs w:val="24"/>
          <w:highlight w:val="none"/>
          <w:shd w:val="clear" w:color="auto" w:fill="auto"/>
        </w:rPr>
        <w:t>供应商须承诺：在信用中国网站、中国政府采购网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150" w:afterAutospacing="0" w:line="360" w:lineRule="exact"/>
        <w:ind w:right="0"/>
        <w:jc w:val="left"/>
        <w:rPr>
          <w:rFonts w:hint="eastAsia" w:ascii="宋体" w:hAnsi="宋体" w:eastAsia="宋体" w:cs="宋体"/>
          <w:b w:val="0"/>
          <w:color w:val="auto"/>
          <w:sz w:val="24"/>
          <w:szCs w:val="22"/>
          <w:highlight w:val="none"/>
          <w:shd w:val="clear" w:color="auto" w:fill="auto"/>
          <w:lang w:val="en-US" w:eastAsia="zh-CN" w:bidi="ar-SA"/>
        </w:rPr>
      </w:pPr>
      <w:r>
        <w:rPr>
          <w:rFonts w:hint="eastAsia" w:ascii="宋体" w:hAnsi="宋体" w:eastAsia="宋体" w:cs="宋体"/>
          <w:b w:val="0"/>
          <w:color w:val="auto"/>
          <w:sz w:val="24"/>
          <w:szCs w:val="22"/>
          <w:highlight w:val="none"/>
          <w:shd w:val="clear" w:color="auto" w:fill="auto"/>
          <w:lang w:val="en-US" w:eastAsia="zh-CN" w:bidi="ar-SA"/>
        </w:rPr>
        <w:t>（2）特殊资格要求：</w:t>
      </w:r>
      <w:r>
        <w:rPr>
          <w:rFonts w:hint="eastAsia" w:ascii="宋体" w:hAnsi="宋体" w:eastAsia="宋体" w:cs="宋体"/>
          <w:color w:val="auto"/>
          <w:sz w:val="24"/>
          <w:szCs w:val="24"/>
          <w:highlight w:val="none"/>
          <w:shd w:val="clear" w:color="auto" w:fill="auto"/>
        </w:rPr>
        <w:t>投标人须具备</w:t>
      </w:r>
      <w:r>
        <w:rPr>
          <w:rFonts w:hint="eastAsia" w:ascii="宋体" w:hAnsi="宋体" w:eastAsia="宋体" w:cs="宋体"/>
          <w:color w:val="auto"/>
          <w:sz w:val="24"/>
          <w:szCs w:val="24"/>
          <w:highlight w:val="none"/>
          <w:shd w:val="clear" w:color="auto" w:fill="auto"/>
          <w:lang w:eastAsia="zh-CN"/>
        </w:rPr>
        <w:t>环保工程专业承包三级</w:t>
      </w:r>
      <w:r>
        <w:rPr>
          <w:rFonts w:hint="eastAsia" w:ascii="宋体" w:hAnsi="宋体" w:eastAsia="宋体" w:cs="宋体"/>
          <w:color w:val="auto"/>
          <w:sz w:val="24"/>
          <w:szCs w:val="24"/>
          <w:highlight w:val="none"/>
          <w:shd w:val="clear" w:color="auto" w:fill="auto"/>
        </w:rPr>
        <w:t>及以上资质</w:t>
      </w:r>
      <w:r>
        <w:rPr>
          <w:rFonts w:hint="eastAsia" w:cs="宋体"/>
          <w:b w:val="0"/>
          <w:color w:val="auto"/>
          <w:sz w:val="24"/>
          <w:szCs w:val="22"/>
          <w:highlight w:val="none"/>
          <w:shd w:val="clear" w:color="auto" w:fill="auto"/>
          <w:lang w:val="en-US" w:eastAsia="zh-CN" w:bidi="ar-SA"/>
        </w:rPr>
        <w:t>。</w:t>
      </w:r>
    </w:p>
    <w:p>
      <w:pPr>
        <w:adjustRightInd w:val="0"/>
        <w:snapToGrid w:val="0"/>
        <w:spacing w:line="360" w:lineRule="auto"/>
        <w:rPr>
          <w:color w:val="auto"/>
          <w:sz w:val="24"/>
          <w:szCs w:val="24"/>
          <w:highlight w:val="none"/>
          <w:shd w:val="clear" w:color="auto" w:fill="auto"/>
        </w:rPr>
      </w:pPr>
    </w:p>
    <w:p>
      <w:pPr>
        <w:pStyle w:val="11"/>
        <w:rPr>
          <w:color w:val="auto"/>
          <w:sz w:val="24"/>
          <w:szCs w:val="24"/>
          <w:highlight w:val="none"/>
          <w:shd w:val="clear" w:color="auto" w:fill="auto"/>
        </w:rPr>
      </w:pPr>
    </w:p>
    <w:p>
      <w:pPr>
        <w:rPr>
          <w:color w:val="auto"/>
          <w:sz w:val="24"/>
          <w:szCs w:val="24"/>
          <w:highlight w:val="none"/>
          <w:shd w:val="clear" w:color="auto" w:fill="auto"/>
        </w:rPr>
      </w:pPr>
    </w:p>
    <w:p>
      <w:pPr>
        <w:pStyle w:val="11"/>
        <w:rPr>
          <w:color w:val="auto"/>
          <w:highlight w:val="none"/>
          <w:shd w:val="clear" w:color="auto" w:fill="auto"/>
        </w:rPr>
      </w:pPr>
    </w:p>
    <w:p>
      <w:pPr>
        <w:adjustRightInd w:val="0"/>
        <w:snapToGrid w:val="0"/>
        <w:spacing w:line="360" w:lineRule="auto"/>
        <w:ind w:firstLine="480" w:firstLineChars="200"/>
        <w:rPr>
          <w:rFonts w:hint="default" w:ascii="Times New Roman" w:eastAsia="宋体"/>
          <w:color w:val="auto"/>
          <w:sz w:val="24"/>
          <w:szCs w:val="24"/>
          <w:highlight w:val="none"/>
          <w:u w:val="singl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响应供应商（全称并加盖公章）：</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hint="default" w:ascii="Times New Roman" w:eastAsia="宋体"/>
          <w:color w:val="auto"/>
          <w:sz w:val="24"/>
          <w:szCs w:val="24"/>
          <w:highlight w:val="none"/>
          <w:u w:val="single"/>
          <w:shd w:val="clear" w:color="auto" w:fill="auto"/>
          <w:lang w:val="en-US" w:eastAsia="zh-CN"/>
        </w:rPr>
      </w:pPr>
      <w:r>
        <w:rPr>
          <w:rFonts w:hint="eastAsia"/>
          <w:color w:val="auto"/>
          <w:sz w:val="24"/>
          <w:szCs w:val="24"/>
          <w:highlight w:val="none"/>
          <w:shd w:val="clear" w:color="auto" w:fill="auto"/>
          <w:lang w:eastAsia="zh-CN"/>
        </w:rPr>
        <w:t>磋商</w:t>
      </w:r>
      <w:r>
        <w:rPr>
          <w:color w:val="auto"/>
          <w:sz w:val="24"/>
          <w:szCs w:val="24"/>
          <w:highlight w:val="none"/>
          <w:shd w:val="clear" w:color="auto" w:fill="auto"/>
        </w:rPr>
        <w:t>响应供应商代表签字：</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adjustRightInd w:val="0"/>
        <w:snapToGrid w:val="0"/>
        <w:spacing w:line="360" w:lineRule="auto"/>
        <w:ind w:firstLine="480" w:firstLineChars="200"/>
        <w:rPr>
          <w:rFonts w:ascii="Times New Roman" w:eastAsiaTheme="minorEastAsia"/>
          <w:color w:val="auto"/>
          <w:sz w:val="24"/>
          <w:szCs w:val="24"/>
          <w:highlight w:val="none"/>
          <w:shd w:val="clear" w:color="auto" w:fill="auto"/>
        </w:rPr>
      </w:pPr>
      <w:r>
        <w:rPr>
          <w:color w:val="auto"/>
          <w:sz w:val="24"/>
          <w:szCs w:val="24"/>
          <w:highlight w:val="none"/>
          <w:shd w:val="clear" w:color="auto" w:fill="auto"/>
        </w:rPr>
        <w:t>日期：</w:t>
      </w:r>
      <w:r>
        <w:rPr>
          <w:rFonts w:ascii="Times New Roman" w:eastAsia="Times New Roman"/>
          <w:color w:val="auto"/>
          <w:sz w:val="24"/>
          <w:szCs w:val="24"/>
          <w:highlight w:val="none"/>
          <w:u w:val="single"/>
          <w:shd w:val="clear" w:color="auto" w:fill="auto"/>
        </w:rPr>
        <w:tab/>
      </w:r>
      <w:r>
        <w:rPr>
          <w:rFonts w:hint="eastAsia" w:ascii="Times New Roman" w:eastAsia="宋体"/>
          <w:color w:val="auto"/>
          <w:sz w:val="24"/>
          <w:szCs w:val="24"/>
          <w:highlight w:val="none"/>
          <w:u w:val="single"/>
          <w:shd w:val="clear" w:color="auto" w:fill="auto"/>
          <w:lang w:val="en-US" w:eastAsia="zh-CN"/>
        </w:rPr>
        <w:t xml:space="preserve">               </w:t>
      </w:r>
    </w:p>
    <w:p>
      <w:pPr>
        <w:jc w:val="center"/>
        <w:rPr>
          <w:rFonts w:hint="eastAsia"/>
          <w:b/>
          <w:color w:val="auto"/>
          <w:sz w:val="28"/>
          <w:szCs w:val="28"/>
          <w:highlight w:val="none"/>
          <w:shd w:val="clear" w:color="auto" w:fill="auto"/>
        </w:rPr>
      </w:pPr>
    </w:p>
    <w:p>
      <w:pPr>
        <w:jc w:val="center"/>
        <w:rPr>
          <w:rFonts w:hint="eastAsia"/>
          <w:b/>
          <w:color w:val="auto"/>
          <w:sz w:val="28"/>
          <w:szCs w:val="28"/>
          <w:highlight w:val="none"/>
          <w:shd w:val="clear" w:color="auto" w:fill="auto"/>
        </w:rPr>
      </w:pPr>
    </w:p>
    <w:p>
      <w:pPr>
        <w:jc w:val="center"/>
        <w:rPr>
          <w:rFonts w:hint="eastAsia"/>
          <w:b/>
          <w:color w:val="auto"/>
          <w:sz w:val="28"/>
          <w:szCs w:val="28"/>
          <w:highlight w:val="none"/>
          <w:shd w:val="clear" w:color="auto" w:fill="auto"/>
        </w:rPr>
      </w:pPr>
    </w:p>
    <w:p>
      <w:pPr>
        <w:jc w:val="center"/>
        <w:rPr>
          <w:rFonts w:hint="eastAsia"/>
          <w:b/>
          <w:color w:val="auto"/>
          <w:sz w:val="28"/>
          <w:szCs w:val="28"/>
          <w:highlight w:val="none"/>
          <w:shd w:val="clear" w:color="auto" w:fill="auto"/>
        </w:rPr>
      </w:pPr>
    </w:p>
    <w:p>
      <w:pPr>
        <w:pStyle w:val="2"/>
        <w:rPr>
          <w:rFonts w:hint="eastAsia"/>
          <w:b/>
          <w:color w:val="auto"/>
          <w:sz w:val="28"/>
          <w:szCs w:val="28"/>
          <w:highlight w:val="none"/>
          <w:shd w:val="clear" w:color="auto" w:fill="auto"/>
        </w:rPr>
      </w:pPr>
    </w:p>
    <w:p>
      <w:pPr>
        <w:pStyle w:val="3"/>
        <w:rPr>
          <w:rFonts w:hint="eastAsia"/>
        </w:rPr>
      </w:pPr>
    </w:p>
    <w:p>
      <w:pPr>
        <w:jc w:val="center"/>
        <w:rPr>
          <w:rFonts w:hint="eastAsia"/>
          <w:b/>
          <w:color w:val="auto"/>
          <w:sz w:val="28"/>
          <w:szCs w:val="28"/>
          <w:highlight w:val="none"/>
          <w:shd w:val="clear" w:color="auto" w:fill="auto"/>
        </w:rPr>
      </w:pPr>
    </w:p>
    <w:p>
      <w:pPr>
        <w:jc w:val="center"/>
        <w:rPr>
          <w:b/>
          <w:color w:val="auto"/>
          <w:sz w:val="28"/>
          <w:szCs w:val="28"/>
          <w:highlight w:val="none"/>
          <w:shd w:val="clear" w:color="auto" w:fill="auto"/>
        </w:rPr>
      </w:pPr>
      <w:r>
        <w:rPr>
          <w:rFonts w:hint="eastAsia"/>
          <w:b/>
          <w:color w:val="auto"/>
          <w:sz w:val="28"/>
          <w:szCs w:val="28"/>
          <w:highlight w:val="none"/>
          <w:shd w:val="clear" w:color="auto" w:fill="auto"/>
        </w:rPr>
        <w:t>九、售后服务承诺及方案</w:t>
      </w:r>
    </w:p>
    <w:p>
      <w:pPr>
        <w:rPr>
          <w:color w:val="auto"/>
          <w:sz w:val="28"/>
          <w:szCs w:val="28"/>
          <w:highlight w:val="none"/>
          <w:shd w:val="clear" w:color="auto" w:fill="auto"/>
        </w:rPr>
      </w:pPr>
      <w:r>
        <w:rPr>
          <w:color w:val="auto"/>
          <w:sz w:val="28"/>
          <w:szCs w:val="28"/>
          <w:highlight w:val="none"/>
          <w:shd w:val="clear" w:color="auto" w:fill="auto"/>
        </w:rPr>
        <w:t>服务承诺书</w:t>
      </w:r>
    </w:p>
    <w:p>
      <w:pPr>
        <w:rPr>
          <w:color w:val="auto"/>
          <w:sz w:val="28"/>
          <w:szCs w:val="28"/>
          <w:highlight w:val="none"/>
          <w:shd w:val="clear" w:color="auto" w:fill="auto"/>
        </w:rPr>
      </w:pPr>
      <w:r>
        <w:rPr>
          <w:color w:val="auto"/>
          <w:sz w:val="28"/>
          <w:szCs w:val="28"/>
          <w:highlight w:val="none"/>
          <w:shd w:val="clear" w:color="auto" w:fill="auto"/>
        </w:rPr>
        <w:t>按照国家验收标准执行</w:t>
      </w: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color w:val="auto"/>
          <w:sz w:val="28"/>
          <w:szCs w:val="28"/>
          <w:highlight w:val="none"/>
          <w:shd w:val="clear" w:color="auto" w:fill="auto"/>
        </w:rPr>
      </w:pPr>
    </w:p>
    <w:p>
      <w:pPr>
        <w:rPr>
          <w:rFonts w:hint="default" w:ascii="Times New Roman" w:eastAsia="宋体"/>
          <w:color w:val="auto"/>
          <w:sz w:val="28"/>
          <w:szCs w:val="28"/>
          <w:highlight w:val="none"/>
          <w:shd w:val="clear" w:color="auto" w:fill="auto"/>
          <w:lang w:val="en-US" w:eastAsia="zh-CN"/>
        </w:rPr>
      </w:pPr>
      <w:r>
        <w:rPr>
          <w:color w:val="auto"/>
          <w:sz w:val="28"/>
          <w:szCs w:val="28"/>
          <w:highlight w:val="none"/>
          <w:shd w:val="clear" w:color="auto" w:fill="auto"/>
        </w:rPr>
        <w:t>投标单位（盖章）：</w:t>
      </w:r>
      <w:r>
        <w:rPr>
          <w:rFonts w:ascii="Times New Roman" w:eastAsia="Times New Roman"/>
          <w:color w:val="auto"/>
          <w:sz w:val="28"/>
          <w:szCs w:val="28"/>
          <w:highlight w:val="none"/>
          <w:u w:val="single"/>
          <w:shd w:val="clear" w:color="auto" w:fill="auto"/>
        </w:rPr>
        <w:tab/>
      </w:r>
      <w:r>
        <w:rPr>
          <w:rFonts w:hint="eastAsia" w:ascii="Times New Roman" w:eastAsia="宋体"/>
          <w:color w:val="auto"/>
          <w:sz w:val="28"/>
          <w:szCs w:val="28"/>
          <w:highlight w:val="none"/>
          <w:u w:val="single"/>
          <w:shd w:val="clear" w:color="auto" w:fill="auto"/>
          <w:lang w:val="en-US" w:eastAsia="zh-CN"/>
        </w:rPr>
        <w:t xml:space="preserve">        </w:t>
      </w:r>
    </w:p>
    <w:p>
      <w:pPr>
        <w:rPr>
          <w:rFonts w:ascii="Times New Roman"/>
          <w:color w:val="auto"/>
          <w:sz w:val="28"/>
          <w:szCs w:val="28"/>
          <w:highlight w:val="none"/>
          <w:shd w:val="clear" w:color="auto" w:fill="auto"/>
        </w:rPr>
      </w:pPr>
    </w:p>
    <w:p>
      <w:pPr>
        <w:rPr>
          <w:rFonts w:ascii="Times New Roman"/>
          <w:color w:val="auto"/>
          <w:sz w:val="28"/>
          <w:szCs w:val="28"/>
          <w:highlight w:val="none"/>
          <w:shd w:val="clear" w:color="auto" w:fill="auto"/>
        </w:rPr>
      </w:pPr>
    </w:p>
    <w:p>
      <w:pPr>
        <w:rPr>
          <w:rFonts w:hint="default" w:ascii="Times New Roman" w:eastAsia="宋体"/>
          <w:color w:val="auto"/>
          <w:sz w:val="28"/>
          <w:szCs w:val="28"/>
          <w:highlight w:val="none"/>
          <w:shd w:val="clear" w:color="auto" w:fill="auto"/>
          <w:lang w:val="en-US" w:eastAsia="zh-CN"/>
        </w:rPr>
      </w:pPr>
      <w:r>
        <w:rPr>
          <w:color w:val="auto"/>
          <w:sz w:val="28"/>
          <w:szCs w:val="28"/>
          <w:highlight w:val="none"/>
          <w:shd w:val="clear" w:color="auto" w:fill="auto"/>
        </w:rPr>
        <w:t>法定代表（签字）：</w:t>
      </w:r>
      <w:r>
        <w:rPr>
          <w:rFonts w:ascii="Times New Roman" w:eastAsia="Times New Roman"/>
          <w:color w:val="auto"/>
          <w:sz w:val="28"/>
          <w:szCs w:val="28"/>
          <w:highlight w:val="none"/>
          <w:u w:val="single"/>
          <w:shd w:val="clear" w:color="auto" w:fill="auto"/>
        </w:rPr>
        <w:tab/>
      </w:r>
      <w:r>
        <w:rPr>
          <w:rFonts w:hint="eastAsia" w:ascii="Times New Roman" w:eastAsia="宋体"/>
          <w:color w:val="auto"/>
          <w:sz w:val="28"/>
          <w:szCs w:val="28"/>
          <w:highlight w:val="none"/>
          <w:u w:val="single"/>
          <w:shd w:val="clear" w:color="auto" w:fill="auto"/>
          <w:lang w:val="en-US" w:eastAsia="zh-CN"/>
        </w:rPr>
        <w:t xml:space="preserve">       </w:t>
      </w:r>
    </w:p>
    <w:p>
      <w:pPr>
        <w:rPr>
          <w:rFonts w:ascii="Times New Roman"/>
          <w:color w:val="auto"/>
          <w:sz w:val="28"/>
          <w:szCs w:val="28"/>
          <w:highlight w:val="none"/>
          <w:shd w:val="clear" w:color="auto" w:fill="auto"/>
        </w:rPr>
      </w:pPr>
    </w:p>
    <w:p>
      <w:pPr>
        <w:rPr>
          <w:rFonts w:ascii="Times New Roman"/>
          <w:color w:val="auto"/>
          <w:sz w:val="28"/>
          <w:szCs w:val="28"/>
          <w:highlight w:val="none"/>
          <w:shd w:val="clear" w:color="auto" w:fill="auto"/>
        </w:rPr>
      </w:pPr>
    </w:p>
    <w:p>
      <w:pPr>
        <w:rPr>
          <w:color w:val="auto"/>
          <w:sz w:val="28"/>
          <w:szCs w:val="28"/>
          <w:highlight w:val="none"/>
          <w:shd w:val="clear" w:color="auto" w:fill="auto"/>
        </w:rPr>
      </w:pPr>
      <w:r>
        <w:rPr>
          <w:color w:val="auto"/>
          <w:sz w:val="28"/>
          <w:szCs w:val="28"/>
          <w:highlight w:val="none"/>
          <w:shd w:val="clear" w:color="auto" w:fill="auto"/>
        </w:rPr>
        <w:t>日期：</w:t>
      </w:r>
      <w:r>
        <w:rPr>
          <w:color w:val="auto"/>
          <w:sz w:val="28"/>
          <w:szCs w:val="28"/>
          <w:highlight w:val="none"/>
          <w:shd w:val="clear" w:color="auto" w:fill="auto"/>
        </w:rPr>
        <w:tab/>
      </w:r>
      <w:r>
        <w:rPr>
          <w:color w:val="auto"/>
          <w:sz w:val="28"/>
          <w:szCs w:val="28"/>
          <w:highlight w:val="none"/>
          <w:shd w:val="clear" w:color="auto" w:fill="auto"/>
        </w:rPr>
        <w:t>年</w:t>
      </w:r>
      <w:r>
        <w:rPr>
          <w:rFonts w:hint="eastAsia"/>
          <w:color w:val="auto"/>
          <w:sz w:val="28"/>
          <w:szCs w:val="28"/>
          <w:highlight w:val="none"/>
          <w:shd w:val="clear" w:color="auto" w:fill="auto"/>
          <w:lang w:val="en-US" w:eastAsia="zh-CN"/>
        </w:rPr>
        <w:t xml:space="preserve">   </w:t>
      </w:r>
      <w:r>
        <w:rPr>
          <w:color w:val="auto"/>
          <w:sz w:val="28"/>
          <w:szCs w:val="28"/>
          <w:highlight w:val="none"/>
          <w:shd w:val="clear" w:color="auto" w:fill="auto"/>
        </w:rPr>
        <w:t>月</w:t>
      </w:r>
      <w:r>
        <w:rPr>
          <w:rFonts w:hint="eastAsia"/>
          <w:color w:val="auto"/>
          <w:sz w:val="28"/>
          <w:szCs w:val="28"/>
          <w:highlight w:val="none"/>
          <w:shd w:val="clear" w:color="auto" w:fill="auto"/>
          <w:lang w:val="en-US" w:eastAsia="zh-CN"/>
        </w:rPr>
        <w:t xml:space="preserve">   </w:t>
      </w:r>
      <w:r>
        <w:rPr>
          <w:color w:val="auto"/>
          <w:sz w:val="28"/>
          <w:szCs w:val="28"/>
          <w:highlight w:val="none"/>
          <w:shd w:val="clear" w:color="auto" w:fill="auto"/>
        </w:rPr>
        <w:t>日</w:t>
      </w:r>
    </w:p>
    <w:p>
      <w:pPr>
        <w:rPr>
          <w:color w:val="auto"/>
          <w:highlight w:val="none"/>
          <w:shd w:val="clear" w:color="auto" w:fill="auto"/>
        </w:rPr>
        <w:sectPr>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pPr>
    </w:p>
    <w:p>
      <w:pPr>
        <w:jc w:val="center"/>
        <w:rPr>
          <w:b/>
          <w:color w:val="auto"/>
          <w:sz w:val="28"/>
          <w:szCs w:val="28"/>
          <w:highlight w:val="none"/>
          <w:shd w:val="clear" w:color="auto" w:fill="auto"/>
        </w:rPr>
      </w:pPr>
      <w:r>
        <w:rPr>
          <w:rFonts w:hint="eastAsia"/>
          <w:b/>
          <w:color w:val="auto"/>
          <w:sz w:val="28"/>
          <w:szCs w:val="28"/>
          <w:highlight w:val="none"/>
          <w:shd w:val="clear" w:color="auto" w:fill="auto"/>
          <w:lang w:val="en-US" w:eastAsia="zh-CN"/>
        </w:rPr>
        <w:t>十</w:t>
      </w:r>
      <w:r>
        <w:rPr>
          <w:rFonts w:hint="eastAsia"/>
          <w:b/>
          <w:color w:val="auto"/>
          <w:sz w:val="28"/>
          <w:szCs w:val="28"/>
          <w:highlight w:val="none"/>
          <w:shd w:val="clear" w:color="auto" w:fill="auto"/>
        </w:rPr>
        <w:t>、其他资料</w:t>
      </w:r>
    </w:p>
    <w:p>
      <w:pPr>
        <w:jc w:val="center"/>
        <w:rPr>
          <w:b/>
          <w:color w:val="auto"/>
          <w:sz w:val="28"/>
          <w:szCs w:val="28"/>
          <w:highlight w:val="none"/>
          <w:shd w:val="clear" w:color="auto" w:fill="auto"/>
        </w:rPr>
      </w:pPr>
    </w:p>
    <w:p>
      <w:pPr>
        <w:jc w:val="center"/>
        <w:rPr>
          <w:rFonts w:hint="default" w:eastAsia="宋体"/>
          <w:b/>
          <w:color w:val="auto"/>
          <w:sz w:val="21"/>
          <w:szCs w:val="21"/>
          <w:highlight w:val="none"/>
          <w:shd w:val="clear" w:color="auto" w:fill="auto"/>
          <w:lang w:val="en-US" w:eastAsia="zh-CN"/>
        </w:rPr>
      </w:pPr>
      <w:r>
        <w:rPr>
          <w:rFonts w:hint="eastAsia"/>
          <w:b/>
          <w:color w:val="auto"/>
          <w:sz w:val="21"/>
          <w:szCs w:val="21"/>
          <w:highlight w:val="none"/>
          <w:shd w:val="clear" w:color="auto" w:fill="auto"/>
          <w:lang w:eastAsia="zh-CN"/>
        </w:rPr>
        <w:t>（</w:t>
      </w:r>
      <w:r>
        <w:rPr>
          <w:rFonts w:hint="eastAsia"/>
          <w:b/>
          <w:color w:val="auto"/>
          <w:sz w:val="21"/>
          <w:szCs w:val="21"/>
          <w:highlight w:val="none"/>
          <w:shd w:val="clear" w:color="auto" w:fill="auto"/>
          <w:lang w:val="en-US" w:eastAsia="zh-CN"/>
        </w:rPr>
        <w:t>格式自定）</w:t>
      </w:r>
    </w:p>
    <w:sectPr>
      <w:pgSz w:w="11910" w:h="16840"/>
      <w:pgMar w:top="1440" w:right="1800" w:bottom="1440" w:left="1800" w:header="0" w:footer="995"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14"/>
                            <w:jc w:val="center"/>
                          </w:pPr>
                          <w:r>
                            <w:fldChar w:fldCharType="begin"/>
                          </w:r>
                          <w:r>
                            <w:instrText xml:space="preserve"> PAGE </w:instrText>
                          </w:r>
                          <w:r>
                            <w:fldChar w:fldCharType="separate"/>
                          </w:r>
                          <w:r>
                            <w:t>- 14 -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xSODQAAAAAwEAAA8AAAAAAAAAAQAgAAAAIgAA&#10;AGRycy9kb3ducmV2LnhtbFBLAQIUABQAAAAIAIdO4kBgMkgOEAIAABIEAAAOAAAAAAAAAAEAIAAA&#10;AB8BAABkcnMvZTJvRG9jLnhtbFBLBQYAAAAABgAGAFkBAAChBQAAAAA=&#10;">
              <v:fill on="f" focussize="0,0"/>
              <v:stroke on="f"/>
              <v:imagedata o:title=""/>
              <o:lock v:ext="edit" aspectratio="f"/>
              <v:textbox inset="0mm,0mm,0mm,0mm" style="mso-fit-shape-to-text:t;">
                <w:txbxContent>
                  <w:p>
                    <w:pPr>
                      <w:pStyle w:val="14"/>
                      <w:jc w:val="center"/>
                    </w:pPr>
                    <w:r>
                      <w:fldChar w:fldCharType="begin"/>
                    </w:r>
                    <w:r>
                      <w:instrText xml:space="preserve"> PAGE </w:instrText>
                    </w:r>
                    <w:r>
                      <w:fldChar w:fldCharType="separate"/>
                    </w:r>
                    <w:r>
                      <w:t>- 14 -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7FI4NAAAAADAQAADwAAAAAAAAABACAAAAAiAAAA&#10;ZHJzL2Rvd25yZXYueG1sUEsBAhQAFAAAAAgAh07iQAhpSMcPAgAAEgQAAA4AAAAAAAAAAQAgAAAA&#10;HwEAAGRycy9lMm9Eb2MueG1sUEsFBgAAAAAGAAYAWQEAAK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14"/>
                            <w:jc w:val="center"/>
                          </w:pPr>
                          <w:r>
                            <w:fldChar w:fldCharType="begin"/>
                          </w:r>
                          <w:r>
                            <w:instrText xml:space="preserve"> PAGE </w:instrText>
                          </w:r>
                          <w:r>
                            <w:fldChar w:fldCharType="separate"/>
                          </w:r>
                          <w:r>
                            <w:t>- 14 -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exSODQAAAAAwEAAA8AAAAAAAAAAQAgAAAAIgAAAGRy&#10;cy9kb3ducmV2LnhtbFBLAQIUABQAAAAIAIdO4kDjmYCbDQIAABAEAAAOAAAAAAAAAAEAIAAAAB8B&#10;AABkcnMvZTJvRG9jLnhtbFBLBQYAAAAABgAGAFkBAACeBQAAAAA=&#10;">
              <v:fill on="f" focussize="0,0"/>
              <v:stroke on="f"/>
              <v:imagedata o:title=""/>
              <o:lock v:ext="edit" aspectratio="f"/>
              <v:textbox inset="0mm,0mm,0mm,0mm" style="mso-fit-shape-to-text:t;">
                <w:txbxContent>
                  <w:p>
                    <w:pPr>
                      <w:pStyle w:val="14"/>
                      <w:jc w:val="center"/>
                    </w:pPr>
                    <w:r>
                      <w:fldChar w:fldCharType="begin"/>
                    </w:r>
                    <w:r>
                      <w:instrText xml:space="preserve"> PAGE </w:instrText>
                    </w:r>
                    <w:r>
                      <w:fldChar w:fldCharType="separate"/>
                    </w:r>
                    <w:r>
                      <w:t>- 14 -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&#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7FI4NAAAAADAQAADwAAAAAAAAABACAAAAAiAAAA&#10;ZHJzL2Rvd25yZXYueG1sUEsBAhQAFAAAAAgAh07iQIudR3oPAgAAEAQAAA4AAAAAAAAAAQAgAAAA&#10;HwEAAGRycy9lMm9Eb2MueG1sUEsFBgAAAAAGAAYAWQEAAK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B2DAA"/>
    <w:multiLevelType w:val="singleLevel"/>
    <w:tmpl w:val="9B5B2DAA"/>
    <w:lvl w:ilvl="0" w:tentative="0">
      <w:start w:val="4"/>
      <w:numFmt w:val="chineseCounting"/>
      <w:suff w:val="space"/>
      <w:lvlText w:val="第%1章"/>
      <w:lvlJc w:val="left"/>
      <w:rPr>
        <w:rFonts w:hint="eastAsia"/>
      </w:rPr>
    </w:lvl>
  </w:abstractNum>
  <w:abstractNum w:abstractNumId="1">
    <w:nsid w:val="CF91B3B6"/>
    <w:multiLevelType w:val="singleLevel"/>
    <w:tmpl w:val="CF91B3B6"/>
    <w:lvl w:ilvl="0" w:tentative="0">
      <w:start w:val="6"/>
      <w:numFmt w:val="chineseCounting"/>
      <w:suff w:val="space"/>
      <w:lvlText w:val="第%1章"/>
      <w:lvlJc w:val="left"/>
      <w:rPr>
        <w:rFonts w:hint="eastAsia"/>
      </w:rPr>
    </w:lvl>
  </w:abstractNum>
  <w:abstractNum w:abstractNumId="2">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E216FC"/>
    <w:multiLevelType w:val="multilevel"/>
    <w:tmpl w:val="07E216F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17711E"/>
    <w:multiLevelType w:val="multilevel"/>
    <w:tmpl w:val="1017711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5F69A57"/>
    <w:multiLevelType w:val="singleLevel"/>
    <w:tmpl w:val="55F69A57"/>
    <w:lvl w:ilvl="0" w:tentative="0">
      <w:start w:val="1"/>
      <w:numFmt w:val="bullet"/>
      <w:lvlText w:val=""/>
      <w:lvlJc w:val="left"/>
      <w:pPr>
        <w:tabs>
          <w:tab w:val="left" w:pos="420"/>
        </w:tabs>
        <w:ind w:left="420" w:hanging="420"/>
      </w:pPr>
      <w:rPr>
        <w:rFonts w:hint="default" w:ascii="Wingdings" w:hAnsi="Wingdings"/>
      </w:rPr>
    </w:lvl>
  </w:abstractNum>
  <w:abstractNum w:abstractNumId="6">
    <w:nsid w:val="59BE47CA"/>
    <w:multiLevelType w:val="singleLevel"/>
    <w:tmpl w:val="59BE47CA"/>
    <w:lvl w:ilvl="0" w:tentative="0">
      <w:start w:val="1"/>
      <w:numFmt w:val="lowerLetter"/>
      <w:lvlText w:val="%1."/>
      <w:lvlJc w:val="left"/>
      <w:pPr>
        <w:tabs>
          <w:tab w:val="left" w:pos="312"/>
        </w:tabs>
        <w:ind w:left="550" w:leftChars="0" w:firstLine="0" w:firstLineChars="0"/>
      </w:pPr>
    </w:lvl>
  </w:abstractNum>
  <w:abstractNum w:abstractNumId="7">
    <w:nsid w:val="64985E99"/>
    <w:multiLevelType w:val="multilevel"/>
    <w:tmpl w:val="64985E99"/>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3B04363"/>
    <w:multiLevelType w:val="singleLevel"/>
    <w:tmpl w:val="73B04363"/>
    <w:lvl w:ilvl="0" w:tentative="0">
      <w:start w:val="2"/>
      <w:numFmt w:val="decimal"/>
      <w:lvlText w:val="%1."/>
      <w:lvlJc w:val="left"/>
      <w:pPr>
        <w:tabs>
          <w:tab w:val="left" w:pos="312"/>
        </w:tabs>
      </w:pPr>
    </w:lvl>
  </w:abstractNum>
  <w:num w:numId="1">
    <w:abstractNumId w:val="0"/>
  </w:num>
  <w:num w:numId="2">
    <w:abstractNumId w:val="2"/>
  </w:num>
  <w:num w:numId="3">
    <w:abstractNumId w:val="7"/>
  </w:num>
  <w:num w:numId="4">
    <w:abstractNumId w:val="5"/>
  </w:num>
  <w:num w:numId="5">
    <w:abstractNumId w:val="4"/>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865ED3"/>
    <w:rsid w:val="00001674"/>
    <w:rsid w:val="0001484A"/>
    <w:rsid w:val="00062100"/>
    <w:rsid w:val="00077216"/>
    <w:rsid w:val="00080DE6"/>
    <w:rsid w:val="00082B77"/>
    <w:rsid w:val="0008722B"/>
    <w:rsid w:val="00087859"/>
    <w:rsid w:val="000A0240"/>
    <w:rsid w:val="000B5393"/>
    <w:rsid w:val="000C236E"/>
    <w:rsid w:val="000C5831"/>
    <w:rsid w:val="000F2476"/>
    <w:rsid w:val="000F3ECA"/>
    <w:rsid w:val="000F62D7"/>
    <w:rsid w:val="00110E84"/>
    <w:rsid w:val="00126263"/>
    <w:rsid w:val="00136C90"/>
    <w:rsid w:val="00151339"/>
    <w:rsid w:val="00155163"/>
    <w:rsid w:val="00156C5E"/>
    <w:rsid w:val="00174218"/>
    <w:rsid w:val="0018276B"/>
    <w:rsid w:val="00187147"/>
    <w:rsid w:val="00187478"/>
    <w:rsid w:val="001A0F84"/>
    <w:rsid w:val="001B11F2"/>
    <w:rsid w:val="001B4E8F"/>
    <w:rsid w:val="001B638F"/>
    <w:rsid w:val="001C2D8F"/>
    <w:rsid w:val="001C7F9A"/>
    <w:rsid w:val="001D1776"/>
    <w:rsid w:val="001D6D23"/>
    <w:rsid w:val="001E0644"/>
    <w:rsid w:val="001E28CC"/>
    <w:rsid w:val="001E7992"/>
    <w:rsid w:val="001F1B35"/>
    <w:rsid w:val="001F4A6A"/>
    <w:rsid w:val="00203F31"/>
    <w:rsid w:val="00207385"/>
    <w:rsid w:val="00223C99"/>
    <w:rsid w:val="00231072"/>
    <w:rsid w:val="00231674"/>
    <w:rsid w:val="00251B70"/>
    <w:rsid w:val="002559B9"/>
    <w:rsid w:val="002913A0"/>
    <w:rsid w:val="00296D3E"/>
    <w:rsid w:val="002B2669"/>
    <w:rsid w:val="002C11B2"/>
    <w:rsid w:val="002C4C84"/>
    <w:rsid w:val="002D169B"/>
    <w:rsid w:val="002D7F29"/>
    <w:rsid w:val="002E37BE"/>
    <w:rsid w:val="002F0700"/>
    <w:rsid w:val="002F57F1"/>
    <w:rsid w:val="00307974"/>
    <w:rsid w:val="0031414C"/>
    <w:rsid w:val="00321B6A"/>
    <w:rsid w:val="003235C3"/>
    <w:rsid w:val="00331D08"/>
    <w:rsid w:val="003355C9"/>
    <w:rsid w:val="003447E3"/>
    <w:rsid w:val="003459CA"/>
    <w:rsid w:val="00347B09"/>
    <w:rsid w:val="003518AF"/>
    <w:rsid w:val="00352CC2"/>
    <w:rsid w:val="003714EA"/>
    <w:rsid w:val="003822A5"/>
    <w:rsid w:val="00390B45"/>
    <w:rsid w:val="003B4FB8"/>
    <w:rsid w:val="003D08DD"/>
    <w:rsid w:val="003D3B5A"/>
    <w:rsid w:val="003D7E6F"/>
    <w:rsid w:val="003E4C0E"/>
    <w:rsid w:val="003F328C"/>
    <w:rsid w:val="003F5796"/>
    <w:rsid w:val="004027E1"/>
    <w:rsid w:val="00403AE5"/>
    <w:rsid w:val="00412CA9"/>
    <w:rsid w:val="0041541D"/>
    <w:rsid w:val="0042622A"/>
    <w:rsid w:val="00426F79"/>
    <w:rsid w:val="0043426E"/>
    <w:rsid w:val="00445E54"/>
    <w:rsid w:val="004668BD"/>
    <w:rsid w:val="0047435F"/>
    <w:rsid w:val="00474D9E"/>
    <w:rsid w:val="00484541"/>
    <w:rsid w:val="00485674"/>
    <w:rsid w:val="0049136C"/>
    <w:rsid w:val="00492C56"/>
    <w:rsid w:val="00495701"/>
    <w:rsid w:val="0049748B"/>
    <w:rsid w:val="004A3E68"/>
    <w:rsid w:val="004B59F3"/>
    <w:rsid w:val="004B6713"/>
    <w:rsid w:val="004C43A1"/>
    <w:rsid w:val="004C55CD"/>
    <w:rsid w:val="004C6613"/>
    <w:rsid w:val="004D13E0"/>
    <w:rsid w:val="004D2380"/>
    <w:rsid w:val="004D2F4E"/>
    <w:rsid w:val="004E19DF"/>
    <w:rsid w:val="0050108A"/>
    <w:rsid w:val="005013DA"/>
    <w:rsid w:val="00502298"/>
    <w:rsid w:val="00503D5A"/>
    <w:rsid w:val="005052E3"/>
    <w:rsid w:val="00507160"/>
    <w:rsid w:val="005107B4"/>
    <w:rsid w:val="005230AE"/>
    <w:rsid w:val="005267AF"/>
    <w:rsid w:val="00526848"/>
    <w:rsid w:val="00534E9C"/>
    <w:rsid w:val="00567510"/>
    <w:rsid w:val="00574052"/>
    <w:rsid w:val="00593FCB"/>
    <w:rsid w:val="005A4AE4"/>
    <w:rsid w:val="005B13D5"/>
    <w:rsid w:val="005E7D48"/>
    <w:rsid w:val="00600E4E"/>
    <w:rsid w:val="00634E37"/>
    <w:rsid w:val="00664710"/>
    <w:rsid w:val="00684E29"/>
    <w:rsid w:val="00690BD1"/>
    <w:rsid w:val="006A35B1"/>
    <w:rsid w:val="006A70D7"/>
    <w:rsid w:val="006B57E4"/>
    <w:rsid w:val="006F5A68"/>
    <w:rsid w:val="00700703"/>
    <w:rsid w:val="00706282"/>
    <w:rsid w:val="007122A1"/>
    <w:rsid w:val="00714B23"/>
    <w:rsid w:val="007258C3"/>
    <w:rsid w:val="00732D12"/>
    <w:rsid w:val="00745435"/>
    <w:rsid w:val="00745AA6"/>
    <w:rsid w:val="00751C3A"/>
    <w:rsid w:val="0076221C"/>
    <w:rsid w:val="007972B6"/>
    <w:rsid w:val="00797970"/>
    <w:rsid w:val="007B0EC0"/>
    <w:rsid w:val="007C3C86"/>
    <w:rsid w:val="007C4007"/>
    <w:rsid w:val="007E5A85"/>
    <w:rsid w:val="007E7307"/>
    <w:rsid w:val="007F21C8"/>
    <w:rsid w:val="007F5F4A"/>
    <w:rsid w:val="008000B8"/>
    <w:rsid w:val="008267B5"/>
    <w:rsid w:val="00872FFB"/>
    <w:rsid w:val="00880AF7"/>
    <w:rsid w:val="008816D4"/>
    <w:rsid w:val="00894024"/>
    <w:rsid w:val="008A5983"/>
    <w:rsid w:val="008A7A04"/>
    <w:rsid w:val="008B5A95"/>
    <w:rsid w:val="008C246C"/>
    <w:rsid w:val="008D6861"/>
    <w:rsid w:val="008E255E"/>
    <w:rsid w:val="008E3035"/>
    <w:rsid w:val="008E35E5"/>
    <w:rsid w:val="008E403F"/>
    <w:rsid w:val="009259AC"/>
    <w:rsid w:val="00927DCF"/>
    <w:rsid w:val="009313AD"/>
    <w:rsid w:val="00945B4E"/>
    <w:rsid w:val="00945C82"/>
    <w:rsid w:val="00956098"/>
    <w:rsid w:val="00956E02"/>
    <w:rsid w:val="00970F84"/>
    <w:rsid w:val="00972C62"/>
    <w:rsid w:val="00974B11"/>
    <w:rsid w:val="00975FFE"/>
    <w:rsid w:val="00986663"/>
    <w:rsid w:val="00990740"/>
    <w:rsid w:val="009A17B1"/>
    <w:rsid w:val="009A2B51"/>
    <w:rsid w:val="009B51DC"/>
    <w:rsid w:val="009C7694"/>
    <w:rsid w:val="009F19FC"/>
    <w:rsid w:val="009F4AC5"/>
    <w:rsid w:val="009F52F2"/>
    <w:rsid w:val="00A317F7"/>
    <w:rsid w:val="00A34FDE"/>
    <w:rsid w:val="00A42678"/>
    <w:rsid w:val="00A47117"/>
    <w:rsid w:val="00A639E0"/>
    <w:rsid w:val="00A72140"/>
    <w:rsid w:val="00A775F5"/>
    <w:rsid w:val="00A77F2F"/>
    <w:rsid w:val="00A8284B"/>
    <w:rsid w:val="00AB2950"/>
    <w:rsid w:val="00AC3836"/>
    <w:rsid w:val="00AD415B"/>
    <w:rsid w:val="00AF2605"/>
    <w:rsid w:val="00AF32CC"/>
    <w:rsid w:val="00B06CDA"/>
    <w:rsid w:val="00B116D2"/>
    <w:rsid w:val="00B30A24"/>
    <w:rsid w:val="00B36E1B"/>
    <w:rsid w:val="00B62948"/>
    <w:rsid w:val="00B71511"/>
    <w:rsid w:val="00B731FB"/>
    <w:rsid w:val="00B9235E"/>
    <w:rsid w:val="00B94418"/>
    <w:rsid w:val="00B97552"/>
    <w:rsid w:val="00BA24F1"/>
    <w:rsid w:val="00BB042F"/>
    <w:rsid w:val="00BB17A4"/>
    <w:rsid w:val="00BB20CD"/>
    <w:rsid w:val="00BD112F"/>
    <w:rsid w:val="00BD1851"/>
    <w:rsid w:val="00BD79F6"/>
    <w:rsid w:val="00BE3568"/>
    <w:rsid w:val="00BF58E7"/>
    <w:rsid w:val="00C03FB3"/>
    <w:rsid w:val="00C1218B"/>
    <w:rsid w:val="00C2139C"/>
    <w:rsid w:val="00C22F99"/>
    <w:rsid w:val="00C332F9"/>
    <w:rsid w:val="00C40C2D"/>
    <w:rsid w:val="00C520A9"/>
    <w:rsid w:val="00C545C7"/>
    <w:rsid w:val="00C54CF7"/>
    <w:rsid w:val="00C624BD"/>
    <w:rsid w:val="00C6359D"/>
    <w:rsid w:val="00CA2B10"/>
    <w:rsid w:val="00CB345C"/>
    <w:rsid w:val="00CE5D12"/>
    <w:rsid w:val="00CF187E"/>
    <w:rsid w:val="00CF568C"/>
    <w:rsid w:val="00D11D4E"/>
    <w:rsid w:val="00D13FCD"/>
    <w:rsid w:val="00D2049C"/>
    <w:rsid w:val="00D50E2E"/>
    <w:rsid w:val="00D61B4B"/>
    <w:rsid w:val="00D762B0"/>
    <w:rsid w:val="00D81588"/>
    <w:rsid w:val="00D915CE"/>
    <w:rsid w:val="00DA210F"/>
    <w:rsid w:val="00DA3BA7"/>
    <w:rsid w:val="00DB1715"/>
    <w:rsid w:val="00DC2A77"/>
    <w:rsid w:val="00DD16F5"/>
    <w:rsid w:val="00DE54DE"/>
    <w:rsid w:val="00DE6F84"/>
    <w:rsid w:val="00DE719A"/>
    <w:rsid w:val="00DF71CB"/>
    <w:rsid w:val="00E2242C"/>
    <w:rsid w:val="00E22DC2"/>
    <w:rsid w:val="00E365E4"/>
    <w:rsid w:val="00E40230"/>
    <w:rsid w:val="00E522E4"/>
    <w:rsid w:val="00E90A48"/>
    <w:rsid w:val="00E90E2E"/>
    <w:rsid w:val="00E93B09"/>
    <w:rsid w:val="00E965A1"/>
    <w:rsid w:val="00EB33F9"/>
    <w:rsid w:val="00EB3DCF"/>
    <w:rsid w:val="00EB46E9"/>
    <w:rsid w:val="00EC329D"/>
    <w:rsid w:val="00EC569F"/>
    <w:rsid w:val="00ED2E09"/>
    <w:rsid w:val="00ED317C"/>
    <w:rsid w:val="00ED4366"/>
    <w:rsid w:val="00ED58C6"/>
    <w:rsid w:val="00ED7112"/>
    <w:rsid w:val="00EE4FD6"/>
    <w:rsid w:val="00F12125"/>
    <w:rsid w:val="00F32D94"/>
    <w:rsid w:val="00F5005B"/>
    <w:rsid w:val="00F56FC3"/>
    <w:rsid w:val="00F63471"/>
    <w:rsid w:val="00F66C61"/>
    <w:rsid w:val="00F67200"/>
    <w:rsid w:val="00F740A3"/>
    <w:rsid w:val="00F751A9"/>
    <w:rsid w:val="00F953DE"/>
    <w:rsid w:val="00F96478"/>
    <w:rsid w:val="00FA1258"/>
    <w:rsid w:val="00FB0442"/>
    <w:rsid w:val="00FB6835"/>
    <w:rsid w:val="00FB7174"/>
    <w:rsid w:val="00FB7DC1"/>
    <w:rsid w:val="00FD2CFB"/>
    <w:rsid w:val="00FD2EDB"/>
    <w:rsid w:val="00FD4A13"/>
    <w:rsid w:val="00FD4B93"/>
    <w:rsid w:val="00FD5476"/>
    <w:rsid w:val="00FE3EFF"/>
    <w:rsid w:val="00FE5227"/>
    <w:rsid w:val="00FE5873"/>
    <w:rsid w:val="00FF5AD9"/>
    <w:rsid w:val="015E5E56"/>
    <w:rsid w:val="016A5B18"/>
    <w:rsid w:val="023F543E"/>
    <w:rsid w:val="03294BA8"/>
    <w:rsid w:val="032C5DD4"/>
    <w:rsid w:val="051E4151"/>
    <w:rsid w:val="08AF6309"/>
    <w:rsid w:val="093C26D6"/>
    <w:rsid w:val="094A7C11"/>
    <w:rsid w:val="0A2231CA"/>
    <w:rsid w:val="0A84186B"/>
    <w:rsid w:val="0ACA403D"/>
    <w:rsid w:val="0BE90428"/>
    <w:rsid w:val="0BFE7D4D"/>
    <w:rsid w:val="0C005981"/>
    <w:rsid w:val="0C712F76"/>
    <w:rsid w:val="0C8260F3"/>
    <w:rsid w:val="0CC5482C"/>
    <w:rsid w:val="0D854CEF"/>
    <w:rsid w:val="0DA663A1"/>
    <w:rsid w:val="0DCA0AE8"/>
    <w:rsid w:val="0DFF275C"/>
    <w:rsid w:val="0EF0331D"/>
    <w:rsid w:val="0FCB2BBD"/>
    <w:rsid w:val="10910F55"/>
    <w:rsid w:val="112249BE"/>
    <w:rsid w:val="120E6116"/>
    <w:rsid w:val="12763CD0"/>
    <w:rsid w:val="132803CB"/>
    <w:rsid w:val="13704E75"/>
    <w:rsid w:val="13B47007"/>
    <w:rsid w:val="13BF7E52"/>
    <w:rsid w:val="14A745A1"/>
    <w:rsid w:val="152128CF"/>
    <w:rsid w:val="157E3629"/>
    <w:rsid w:val="15B55549"/>
    <w:rsid w:val="16242BDB"/>
    <w:rsid w:val="167E5B49"/>
    <w:rsid w:val="173F155C"/>
    <w:rsid w:val="178E0844"/>
    <w:rsid w:val="183928D3"/>
    <w:rsid w:val="1981407E"/>
    <w:rsid w:val="198D1FA5"/>
    <w:rsid w:val="1C2A788D"/>
    <w:rsid w:val="1C6F2210"/>
    <w:rsid w:val="1CBE49EB"/>
    <w:rsid w:val="1DA85F75"/>
    <w:rsid w:val="1E6469BD"/>
    <w:rsid w:val="1E7D3CCA"/>
    <w:rsid w:val="1F6340F4"/>
    <w:rsid w:val="20394A05"/>
    <w:rsid w:val="213F5933"/>
    <w:rsid w:val="217F49F2"/>
    <w:rsid w:val="22AA0077"/>
    <w:rsid w:val="235F0219"/>
    <w:rsid w:val="246215BF"/>
    <w:rsid w:val="24B05AD4"/>
    <w:rsid w:val="24BE0034"/>
    <w:rsid w:val="251D749B"/>
    <w:rsid w:val="252E1519"/>
    <w:rsid w:val="25371D3A"/>
    <w:rsid w:val="254727BC"/>
    <w:rsid w:val="254F42F6"/>
    <w:rsid w:val="25505EC1"/>
    <w:rsid w:val="26334689"/>
    <w:rsid w:val="267941B7"/>
    <w:rsid w:val="27420CF5"/>
    <w:rsid w:val="29063327"/>
    <w:rsid w:val="290B2D5A"/>
    <w:rsid w:val="2A90387E"/>
    <w:rsid w:val="2AA16C72"/>
    <w:rsid w:val="2AF32EF1"/>
    <w:rsid w:val="2B1A6DA5"/>
    <w:rsid w:val="2B9B2613"/>
    <w:rsid w:val="2D751C91"/>
    <w:rsid w:val="2D8172C8"/>
    <w:rsid w:val="2DA15C27"/>
    <w:rsid w:val="2DB55D99"/>
    <w:rsid w:val="2DCD7345"/>
    <w:rsid w:val="2E02277C"/>
    <w:rsid w:val="2E167C29"/>
    <w:rsid w:val="2E670BAF"/>
    <w:rsid w:val="2E894691"/>
    <w:rsid w:val="31864B94"/>
    <w:rsid w:val="32FF2F6A"/>
    <w:rsid w:val="33432F64"/>
    <w:rsid w:val="340050D0"/>
    <w:rsid w:val="347B7158"/>
    <w:rsid w:val="3493550F"/>
    <w:rsid w:val="34EA36E6"/>
    <w:rsid w:val="35314158"/>
    <w:rsid w:val="36075739"/>
    <w:rsid w:val="36617C1C"/>
    <w:rsid w:val="369B255D"/>
    <w:rsid w:val="36C323CA"/>
    <w:rsid w:val="387D6F56"/>
    <w:rsid w:val="3B29607E"/>
    <w:rsid w:val="3B355DE5"/>
    <w:rsid w:val="3B55239D"/>
    <w:rsid w:val="3CA209F0"/>
    <w:rsid w:val="3CC55ECA"/>
    <w:rsid w:val="3F781CB7"/>
    <w:rsid w:val="3FB55B7D"/>
    <w:rsid w:val="408701F3"/>
    <w:rsid w:val="4186137A"/>
    <w:rsid w:val="420B28FC"/>
    <w:rsid w:val="440242C0"/>
    <w:rsid w:val="447A39BE"/>
    <w:rsid w:val="454F752B"/>
    <w:rsid w:val="45E34EDC"/>
    <w:rsid w:val="46F51505"/>
    <w:rsid w:val="47E6586B"/>
    <w:rsid w:val="47F17506"/>
    <w:rsid w:val="4A1161A1"/>
    <w:rsid w:val="4B6C5BDA"/>
    <w:rsid w:val="4C1F7772"/>
    <w:rsid w:val="4C342B2E"/>
    <w:rsid w:val="4CDB3975"/>
    <w:rsid w:val="4DCA1F68"/>
    <w:rsid w:val="4E3D0E26"/>
    <w:rsid w:val="4E3F5CC1"/>
    <w:rsid w:val="4E865ED3"/>
    <w:rsid w:val="4EC83C39"/>
    <w:rsid w:val="503C55AF"/>
    <w:rsid w:val="5140137C"/>
    <w:rsid w:val="51F35203"/>
    <w:rsid w:val="51FE2984"/>
    <w:rsid w:val="527C785A"/>
    <w:rsid w:val="53105564"/>
    <w:rsid w:val="540D697B"/>
    <w:rsid w:val="5421091C"/>
    <w:rsid w:val="543F5FBE"/>
    <w:rsid w:val="5494002B"/>
    <w:rsid w:val="566456C0"/>
    <w:rsid w:val="567F03B9"/>
    <w:rsid w:val="56E77C52"/>
    <w:rsid w:val="571C343B"/>
    <w:rsid w:val="57C524CC"/>
    <w:rsid w:val="57C70404"/>
    <w:rsid w:val="581F46F4"/>
    <w:rsid w:val="58B034CC"/>
    <w:rsid w:val="58E937E4"/>
    <w:rsid w:val="58E9711C"/>
    <w:rsid w:val="592801F9"/>
    <w:rsid w:val="593901FB"/>
    <w:rsid w:val="59C746BA"/>
    <w:rsid w:val="59D95FF6"/>
    <w:rsid w:val="5A007E50"/>
    <w:rsid w:val="5B1C2183"/>
    <w:rsid w:val="5B27570E"/>
    <w:rsid w:val="5B9F6585"/>
    <w:rsid w:val="5C8D5DEF"/>
    <w:rsid w:val="5CBB1AA0"/>
    <w:rsid w:val="5CC07A91"/>
    <w:rsid w:val="5D314080"/>
    <w:rsid w:val="5E074DEC"/>
    <w:rsid w:val="5EA30F84"/>
    <w:rsid w:val="60705669"/>
    <w:rsid w:val="611B76E7"/>
    <w:rsid w:val="617960A6"/>
    <w:rsid w:val="61C2006E"/>
    <w:rsid w:val="627A1066"/>
    <w:rsid w:val="62B27AAF"/>
    <w:rsid w:val="630066F3"/>
    <w:rsid w:val="631F2C14"/>
    <w:rsid w:val="632F6CAA"/>
    <w:rsid w:val="640950F4"/>
    <w:rsid w:val="64462101"/>
    <w:rsid w:val="65C14D10"/>
    <w:rsid w:val="668E02B2"/>
    <w:rsid w:val="67925F7D"/>
    <w:rsid w:val="688F59F4"/>
    <w:rsid w:val="69757C9E"/>
    <w:rsid w:val="69CF11F7"/>
    <w:rsid w:val="69E92D95"/>
    <w:rsid w:val="6A0D33B9"/>
    <w:rsid w:val="6A5B1C49"/>
    <w:rsid w:val="6AB5029C"/>
    <w:rsid w:val="6B6C069F"/>
    <w:rsid w:val="6B920A9E"/>
    <w:rsid w:val="6C2C5E4E"/>
    <w:rsid w:val="6D5C40F3"/>
    <w:rsid w:val="6E096A47"/>
    <w:rsid w:val="6ED44ED9"/>
    <w:rsid w:val="6EEF01A3"/>
    <w:rsid w:val="6F044C24"/>
    <w:rsid w:val="6F265E0D"/>
    <w:rsid w:val="720937BD"/>
    <w:rsid w:val="7274615A"/>
    <w:rsid w:val="733F3BA1"/>
    <w:rsid w:val="745877AB"/>
    <w:rsid w:val="75600D89"/>
    <w:rsid w:val="75B74BC5"/>
    <w:rsid w:val="777F3AD9"/>
    <w:rsid w:val="778E13C7"/>
    <w:rsid w:val="78263BB9"/>
    <w:rsid w:val="79246700"/>
    <w:rsid w:val="795C3DEA"/>
    <w:rsid w:val="797B6E93"/>
    <w:rsid w:val="7A1879F5"/>
    <w:rsid w:val="7A6146AF"/>
    <w:rsid w:val="7A630664"/>
    <w:rsid w:val="7B1071A6"/>
    <w:rsid w:val="7D642516"/>
    <w:rsid w:val="7D8120D5"/>
    <w:rsid w:val="7DED5A81"/>
    <w:rsid w:val="7E213B8C"/>
    <w:rsid w:val="7E396211"/>
    <w:rsid w:val="7F53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49"/>
      <w:outlineLvl w:val="0"/>
    </w:pPr>
    <w:rPr>
      <w:b/>
      <w:bCs/>
      <w:sz w:val="36"/>
      <w:szCs w:val="36"/>
    </w:rPr>
  </w:style>
  <w:style w:type="paragraph" w:styleId="6">
    <w:name w:val="heading 2"/>
    <w:basedOn w:val="1"/>
    <w:next w:val="1"/>
    <w:qFormat/>
    <w:uiPriority w:val="1"/>
    <w:pPr>
      <w:outlineLvl w:val="1"/>
    </w:pPr>
    <w:rPr>
      <w:b/>
      <w:bCs/>
      <w:sz w:val="32"/>
      <w:szCs w:val="32"/>
    </w:rPr>
  </w:style>
  <w:style w:type="paragraph" w:styleId="7">
    <w:name w:val="heading 3"/>
    <w:basedOn w:val="1"/>
    <w:next w:val="1"/>
    <w:qFormat/>
    <w:uiPriority w:val="1"/>
    <w:pPr>
      <w:ind w:left="1337"/>
      <w:outlineLvl w:val="2"/>
    </w:pPr>
    <w:rPr>
      <w:b/>
      <w:bCs/>
      <w:sz w:val="28"/>
      <w:szCs w:val="28"/>
    </w:rPr>
  </w:style>
  <w:style w:type="paragraph" w:styleId="8">
    <w:name w:val="heading 4"/>
    <w:basedOn w:val="1"/>
    <w:next w:val="1"/>
    <w:qFormat/>
    <w:uiPriority w:val="1"/>
    <w:pPr>
      <w:ind w:left="1700"/>
      <w:outlineLvl w:val="3"/>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Normal (Web)"/>
    <w:basedOn w:val="1"/>
    <w:next w:val="4"/>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
    <w:name w:val="Balloon Text"/>
    <w:basedOn w:val="1"/>
    <w:next w:val="1"/>
    <w:link w:val="39"/>
    <w:qFormat/>
    <w:uiPriority w:val="0"/>
    <w:rPr>
      <w:sz w:val="18"/>
      <w:szCs w:val="18"/>
    </w:rPr>
  </w:style>
  <w:style w:type="paragraph" w:styleId="9">
    <w:name w:val="caption"/>
    <w:basedOn w:val="1"/>
    <w:next w:val="1"/>
    <w:qFormat/>
    <w:uiPriority w:val="0"/>
    <w:pPr>
      <w:spacing w:before="152" w:beforeLines="0" w:after="160" w:afterLines="0"/>
    </w:pPr>
    <w:rPr>
      <w:rFonts w:ascii="Arial" w:hAnsi="Arial" w:eastAsia="黑体"/>
    </w:rPr>
  </w:style>
  <w:style w:type="paragraph" w:styleId="10">
    <w:name w:val="annotation text"/>
    <w:basedOn w:val="1"/>
    <w:link w:val="45"/>
    <w:qFormat/>
    <w:uiPriority w:val="0"/>
    <w:pPr>
      <w:autoSpaceDE/>
      <w:autoSpaceDN/>
    </w:pPr>
    <w:rPr>
      <w:rFonts w:ascii="Calibri" w:hAnsi="Calibri" w:cs="Times New Roman"/>
      <w:kern w:val="2"/>
      <w:sz w:val="21"/>
      <w:szCs w:val="20"/>
      <w:lang w:val="en-US" w:bidi="ar-SA"/>
    </w:rPr>
  </w:style>
  <w:style w:type="paragraph" w:styleId="11">
    <w:name w:val="Body Text"/>
    <w:basedOn w:val="1"/>
    <w:next w:val="1"/>
    <w:qFormat/>
    <w:uiPriority w:val="1"/>
    <w:rPr>
      <w:sz w:val="24"/>
      <w:szCs w:val="24"/>
    </w:rPr>
  </w:style>
  <w:style w:type="paragraph" w:styleId="12">
    <w:name w:val="Body Text Indent"/>
    <w:basedOn w:val="1"/>
    <w:link w:val="43"/>
    <w:qFormat/>
    <w:uiPriority w:val="0"/>
    <w:pPr>
      <w:spacing w:after="120"/>
      <w:ind w:left="420" w:leftChars="200"/>
    </w:pPr>
  </w:style>
  <w:style w:type="paragraph" w:styleId="13">
    <w:name w:val="Plain Text"/>
    <w:basedOn w:val="1"/>
    <w:link w:val="38"/>
    <w:qFormat/>
    <w:uiPriority w:val="0"/>
    <w:pPr>
      <w:autoSpaceDE/>
      <w:autoSpaceDN/>
      <w:spacing w:line="360" w:lineRule="auto"/>
      <w:jc w:val="both"/>
    </w:pPr>
    <w:rPr>
      <w:rFonts w:hAnsi="Courier New" w:eastAsia="仿宋_GB2312" w:cs="Times New Roman"/>
      <w:kern w:val="2"/>
      <w:sz w:val="24"/>
      <w:szCs w:val="21"/>
      <w:lang w:val="en-US" w:bidi="ar-SA"/>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style>
  <w:style w:type="paragraph" w:styleId="17">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8">
    <w:name w:val="Body Text First Indent"/>
    <w:basedOn w:val="11"/>
    <w:unhideWhenUsed/>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semiHidden/>
    <w:unhideWhenUsed/>
    <w:qFormat/>
    <w:uiPriority w:val="0"/>
    <w:rPr>
      <w:color w:val="800080"/>
      <w:u w:val="none"/>
    </w:rPr>
  </w:style>
  <w:style w:type="character" w:styleId="25">
    <w:name w:val="Emphasis"/>
    <w:basedOn w:val="21"/>
    <w:qFormat/>
    <w:uiPriority w:val="0"/>
  </w:style>
  <w:style w:type="character" w:styleId="26">
    <w:name w:val="HTML Definition"/>
    <w:basedOn w:val="21"/>
    <w:semiHidden/>
    <w:unhideWhenUsed/>
    <w:qFormat/>
    <w:uiPriority w:val="0"/>
  </w:style>
  <w:style w:type="character" w:styleId="27">
    <w:name w:val="HTML Typewriter"/>
    <w:basedOn w:val="21"/>
    <w:semiHidden/>
    <w:unhideWhenUsed/>
    <w:qFormat/>
    <w:uiPriority w:val="0"/>
    <w:rPr>
      <w:rFonts w:hint="default" w:ascii="monospace" w:hAnsi="monospace" w:eastAsia="monospace" w:cs="monospace"/>
      <w:sz w:val="20"/>
    </w:rPr>
  </w:style>
  <w:style w:type="character" w:styleId="28">
    <w:name w:val="HTML Acronym"/>
    <w:basedOn w:val="21"/>
    <w:semiHidden/>
    <w:unhideWhenUsed/>
    <w:qFormat/>
    <w:uiPriority w:val="0"/>
  </w:style>
  <w:style w:type="character" w:styleId="29">
    <w:name w:val="HTML Variable"/>
    <w:basedOn w:val="21"/>
    <w:semiHidden/>
    <w:unhideWhenUsed/>
    <w:qFormat/>
    <w:uiPriority w:val="0"/>
  </w:style>
  <w:style w:type="character" w:styleId="30">
    <w:name w:val="Hyperlink"/>
    <w:basedOn w:val="21"/>
    <w:unhideWhenUsed/>
    <w:qFormat/>
    <w:uiPriority w:val="99"/>
    <w:rPr>
      <w:color w:val="0563C1" w:themeColor="hyperlink"/>
      <w:u w:val="single"/>
      <w14:textFill>
        <w14:solidFill>
          <w14:schemeClr w14:val="hlink"/>
        </w14:solidFill>
      </w14:textFill>
    </w:rPr>
  </w:style>
  <w:style w:type="character" w:styleId="31">
    <w:name w:val="HTML Code"/>
    <w:basedOn w:val="21"/>
    <w:semiHidden/>
    <w:unhideWhenUsed/>
    <w:qFormat/>
    <w:uiPriority w:val="0"/>
    <w:rPr>
      <w:rFonts w:hint="default" w:ascii="monospace" w:hAnsi="monospace" w:eastAsia="monospace" w:cs="monospace"/>
      <w:sz w:val="20"/>
    </w:rPr>
  </w:style>
  <w:style w:type="character" w:styleId="32">
    <w:name w:val="HTML Cite"/>
    <w:basedOn w:val="21"/>
    <w:semiHidden/>
    <w:unhideWhenUsed/>
    <w:qFormat/>
    <w:uiPriority w:val="0"/>
  </w:style>
  <w:style w:type="character" w:styleId="33">
    <w:name w:val="HTML Keyboard"/>
    <w:basedOn w:val="21"/>
    <w:semiHidden/>
    <w:unhideWhenUsed/>
    <w:qFormat/>
    <w:uiPriority w:val="0"/>
    <w:rPr>
      <w:rFonts w:ascii="monospace" w:hAnsi="monospace" w:eastAsia="monospace" w:cs="monospace"/>
      <w:sz w:val="20"/>
    </w:rPr>
  </w:style>
  <w:style w:type="character" w:styleId="34">
    <w:name w:val="HTML Sample"/>
    <w:basedOn w:val="21"/>
    <w:semiHidden/>
    <w:unhideWhenUsed/>
    <w:qFormat/>
    <w:uiPriority w:val="0"/>
    <w:rPr>
      <w:rFonts w:hint="default" w:ascii="monospace" w:hAnsi="monospace" w:eastAsia="monospace" w:cs="monospace"/>
    </w:rPr>
  </w:style>
  <w:style w:type="paragraph" w:customStyle="1" w:styleId="35">
    <w:name w:val="列出段落1"/>
    <w:basedOn w:val="1"/>
    <w:qFormat/>
    <w:uiPriority w:val="1"/>
    <w:pPr>
      <w:ind w:left="1337" w:firstLine="480"/>
    </w:pPr>
  </w:style>
  <w:style w:type="paragraph" w:customStyle="1" w:styleId="36">
    <w:name w:val="Table Paragraph"/>
    <w:basedOn w:val="1"/>
    <w:qFormat/>
    <w:uiPriority w:val="0"/>
  </w:style>
  <w:style w:type="paragraph" w:customStyle="1" w:styleId="37">
    <w:name w:val="无间隔1"/>
    <w:basedOn w:val="1"/>
    <w:qFormat/>
    <w:uiPriority w:val="1"/>
    <w:pPr>
      <w:autoSpaceDE/>
      <w:autoSpaceDN/>
      <w:spacing w:line="400" w:lineRule="exact"/>
      <w:jc w:val="both"/>
    </w:pPr>
    <w:rPr>
      <w:rFonts w:ascii="Times New Roman" w:hAnsi="Times New Roman" w:cs="Times New Roman"/>
      <w:kern w:val="2"/>
      <w:sz w:val="24"/>
      <w:szCs w:val="24"/>
      <w:lang w:val="en-US" w:bidi="ar-SA"/>
    </w:rPr>
  </w:style>
  <w:style w:type="character" w:customStyle="1" w:styleId="38">
    <w:name w:val="纯文本 字符"/>
    <w:basedOn w:val="21"/>
    <w:link w:val="13"/>
    <w:qFormat/>
    <w:uiPriority w:val="0"/>
    <w:rPr>
      <w:rFonts w:ascii="宋体" w:hAnsi="Courier New" w:eastAsia="仿宋_GB2312"/>
      <w:kern w:val="2"/>
      <w:sz w:val="24"/>
      <w:szCs w:val="21"/>
    </w:rPr>
  </w:style>
  <w:style w:type="character" w:customStyle="1" w:styleId="39">
    <w:name w:val="批注框文本 字符"/>
    <w:basedOn w:val="21"/>
    <w:link w:val="4"/>
    <w:qFormat/>
    <w:uiPriority w:val="0"/>
    <w:rPr>
      <w:rFonts w:ascii="宋体" w:hAnsi="宋体" w:cs="宋体"/>
      <w:sz w:val="18"/>
      <w:szCs w:val="18"/>
      <w:lang w:val="zh-CN" w:bidi="zh-CN"/>
    </w:rPr>
  </w:style>
  <w:style w:type="paragraph" w:customStyle="1" w:styleId="40">
    <w:name w:val="TOC 标题1"/>
    <w:basedOn w:val="5"/>
    <w:next w:val="1"/>
    <w:unhideWhenUsed/>
    <w:qFormat/>
    <w:uiPriority w:val="39"/>
    <w:pPr>
      <w:keepNext/>
      <w:keepLines/>
      <w:widowControl/>
      <w:autoSpaceDE/>
      <w:autoSpaceDN/>
      <w:spacing w:before="480" w:line="276" w:lineRule="auto"/>
      <w:outlineLvl w:val="9"/>
    </w:pPr>
    <w:rPr>
      <w:rFonts w:asciiTheme="majorHAnsi" w:hAnsiTheme="majorHAnsi" w:eastAsiaTheme="majorEastAsia" w:cstheme="majorBidi"/>
      <w:color w:val="2E75B6" w:themeColor="accent1" w:themeShade="BF"/>
      <w:sz w:val="28"/>
      <w:szCs w:val="28"/>
      <w:lang w:val="en-US" w:bidi="ar-SA"/>
    </w:rPr>
  </w:style>
  <w:style w:type="paragraph" w:styleId="41">
    <w:name w:val="List Paragraph"/>
    <w:basedOn w:val="1"/>
    <w:unhideWhenUsed/>
    <w:qFormat/>
    <w:uiPriority w:val="34"/>
    <w:pPr>
      <w:ind w:firstLine="420" w:firstLineChars="200"/>
    </w:pPr>
  </w:style>
  <w:style w:type="paragraph" w:customStyle="1" w:styleId="42">
    <w:name w:val="TOC 标题2"/>
    <w:basedOn w:val="5"/>
    <w:next w:val="1"/>
    <w:unhideWhenUsed/>
    <w:qFormat/>
    <w:uiPriority w:val="39"/>
    <w:pPr>
      <w:keepNext/>
      <w:keepLines/>
      <w:widowControl/>
      <w:autoSpaceDE/>
      <w:autoSpaceDN/>
      <w:spacing w:before="480" w:line="276" w:lineRule="auto"/>
      <w:outlineLvl w:val="9"/>
    </w:pPr>
    <w:rPr>
      <w:rFonts w:asciiTheme="majorHAnsi" w:hAnsiTheme="majorHAnsi" w:eastAsiaTheme="majorEastAsia" w:cstheme="majorBidi"/>
      <w:color w:val="2E75B6" w:themeColor="accent1" w:themeShade="BF"/>
      <w:sz w:val="28"/>
      <w:szCs w:val="28"/>
      <w:lang w:val="en-US" w:bidi="ar-SA"/>
    </w:rPr>
  </w:style>
  <w:style w:type="character" w:customStyle="1" w:styleId="43">
    <w:name w:val="正文文本缩进 字符"/>
    <w:basedOn w:val="21"/>
    <w:link w:val="12"/>
    <w:qFormat/>
    <w:uiPriority w:val="0"/>
    <w:rPr>
      <w:rFonts w:ascii="宋体" w:hAnsi="宋体" w:cs="宋体"/>
      <w:sz w:val="22"/>
      <w:szCs w:val="22"/>
      <w:lang w:val="zh-CN" w:bidi="zh-CN"/>
    </w:rPr>
  </w:style>
  <w:style w:type="character" w:customStyle="1" w:styleId="44">
    <w:name w:val="font31"/>
    <w:basedOn w:val="21"/>
    <w:qFormat/>
    <w:uiPriority w:val="0"/>
    <w:rPr>
      <w:rFonts w:hint="eastAsia" w:ascii="宋体" w:hAnsi="宋体" w:eastAsia="宋体" w:cs="宋体"/>
      <w:color w:val="000000"/>
      <w:sz w:val="24"/>
      <w:szCs w:val="24"/>
      <w:u w:val="none"/>
    </w:rPr>
  </w:style>
  <w:style w:type="character" w:customStyle="1" w:styleId="45">
    <w:name w:val="批注文字 字符"/>
    <w:basedOn w:val="21"/>
    <w:link w:val="10"/>
    <w:qFormat/>
    <w:uiPriority w:val="0"/>
    <w:rPr>
      <w:rFonts w:ascii="Calibri" w:hAnsi="Calibri"/>
      <w:kern w:val="2"/>
      <w:sz w:val="21"/>
    </w:rPr>
  </w:style>
  <w:style w:type="character" w:customStyle="1" w:styleId="46">
    <w:name w:val="未处理的提及1"/>
    <w:basedOn w:val="21"/>
    <w:unhideWhenUsed/>
    <w:qFormat/>
    <w:uiPriority w:val="99"/>
    <w:rPr>
      <w:color w:val="605E5C"/>
      <w:shd w:val="clear" w:color="auto" w:fill="E1DFDD"/>
    </w:rPr>
  </w:style>
  <w:style w:type="paragraph" w:customStyle="1" w:styleId="47">
    <w:name w:val="Body Text First Indent 21"/>
    <w:basedOn w:val="48"/>
    <w:qFormat/>
    <w:uiPriority w:val="0"/>
    <w:pPr>
      <w:ind w:left="0" w:firstLine="420"/>
    </w:pPr>
    <w:rPr>
      <w:rFonts w:ascii="仿宋_GB2312" w:eastAsia="仿宋_GB2312" w:cs="仿宋_GB2312"/>
      <w:sz w:val="32"/>
      <w:szCs w:val="32"/>
    </w:rPr>
  </w:style>
  <w:style w:type="paragraph" w:customStyle="1" w:styleId="48">
    <w:name w:val="Body Text Indent1"/>
    <w:basedOn w:val="1"/>
    <w:qFormat/>
    <w:uiPriority w:val="0"/>
    <w:pPr>
      <w:spacing w:after="120"/>
      <w:ind w:left="420"/>
    </w:pPr>
    <w:rPr>
      <w:rFonts w:ascii="Calibri" w:hAnsi="Calibri"/>
    </w:rPr>
  </w:style>
  <w:style w:type="paragraph" w:customStyle="1" w:styleId="49">
    <w:name w:val="标题 Char Char"/>
    <w:basedOn w:val="1"/>
    <w:next w:val="17"/>
    <w:qFormat/>
    <w:uiPriority w:val="0"/>
    <w:pPr>
      <w:spacing w:before="240" w:after="60"/>
      <w:jc w:val="center"/>
      <w:outlineLvl w:val="0"/>
    </w:pPr>
    <w:rPr>
      <w:rFonts w:ascii="Arial" w:hAnsi="Arial"/>
      <w:b/>
      <w:sz w:val="32"/>
    </w:rPr>
  </w:style>
  <w:style w:type="paragraph" w:customStyle="1" w:styleId="50">
    <w:name w:val="中等深浅网格 21"/>
    <w:qFormat/>
    <w:uiPriority w:val="1"/>
    <w:pPr>
      <w:widowControl w:val="0"/>
      <w:jc w:val="center"/>
    </w:pPr>
    <w:rPr>
      <w:rFonts w:ascii="Calibri" w:hAnsi="Calibri" w:eastAsia="宋体" w:cs="Times New Roman"/>
      <w:kern w:val="2"/>
      <w:sz w:val="21"/>
      <w:szCs w:val="22"/>
      <w:lang w:val="en-US" w:eastAsia="zh-CN" w:bidi="ar-SA"/>
    </w:rPr>
  </w:style>
  <w:style w:type="paragraph" w:customStyle="1" w:styleId="51">
    <w:name w:val="彩色列表 - 强调文字颜色 11"/>
    <w:basedOn w:val="1"/>
    <w:qFormat/>
    <w:uiPriority w:val="0"/>
    <w:pPr>
      <w:ind w:firstLine="420" w:firstLineChars="200"/>
    </w:pPr>
  </w:style>
  <w:style w:type="paragraph" w:customStyle="1" w:styleId="52">
    <w:name w:val="样式4"/>
    <w:basedOn w:val="1"/>
    <w:qFormat/>
    <w:uiPriority w:val="0"/>
    <w:pPr>
      <w:spacing w:line="240" w:lineRule="atLeast"/>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GIF"/><Relationship Id="rId17" Type="http://schemas.openxmlformats.org/officeDocument/2006/relationships/image" Target="media/image3.wmf"/><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90F5E-F890-4919-A232-F20981E75C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5027</Words>
  <Characters>28654</Characters>
  <Lines>238</Lines>
  <Paragraphs>67</Paragraphs>
  <TotalTime>8</TotalTime>
  <ScaleCrop>false</ScaleCrop>
  <LinksUpToDate>false</LinksUpToDate>
  <CharactersWithSpaces>33614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2021-03-24T07:27:00Z</dcterms:created>
  <dc:creator>Y。</dc:creator>
  <cp:lastModifiedBy>杨玉华19117634539</cp:lastModifiedBy>
  <cp:lastPrinted>2021-11-22T09:06:00Z</cp:lastPrinted>
  <dcterms:modified xsi:type="dcterms:W3CDTF">2021-12-08T02:37:46Z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_DocHome">
    <vt:i4>-217123999</vt:i4>
  </property>
  <property fmtid="{D5CDD505-2E9C-101B-9397-08002B2CF9AE}" pid="4" name="ICV">
    <vt:lpwstr>D139958304F24A7AA4849F9CC03F8666</vt:lpwstr>
  </property>
</Properties>
</file>