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0"/>
        </w:numPr>
        <w:shd w:val="clear" w:color="auto" w:fill="FFFFFF"/>
        <w:spacing w:before="0" w:beforeAutospacing="0" w:after="0" w:afterAutospacing="0" w:line="375" w:lineRule="atLeast"/>
        <w:jc w:val="center"/>
        <w:rPr>
          <w:rFonts w:hint="eastAsia" w:ascii="宋体" w:hAnsi="宋体" w:eastAsia="宋体" w:cs="宋体"/>
          <w:color w:val="000000"/>
          <w:sz w:val="28"/>
          <w:szCs w:val="28"/>
          <w:lang w:val="en-US" w:eastAsia="zh-CN"/>
        </w:rPr>
      </w:pPr>
      <w:r>
        <w:rPr>
          <w:rFonts w:hint="eastAsia" w:eastAsia="宋体" w:cs="宋体"/>
          <w:color w:val="000000"/>
          <w:sz w:val="28"/>
          <w:szCs w:val="28"/>
          <w:lang w:val="en-US" w:eastAsia="zh-CN"/>
        </w:rPr>
        <w:t xml:space="preserve"> 铜仁市碧江区2021年山洪灾害危险区雨量站建设项目</w:t>
      </w:r>
    </w:p>
    <w:p>
      <w:pPr>
        <w:pStyle w:val="8"/>
        <w:numPr>
          <w:ilvl w:val="0"/>
          <w:numId w:val="0"/>
        </w:numPr>
        <w:shd w:val="clear" w:color="auto" w:fill="FFFFFF"/>
        <w:spacing w:before="0" w:beforeAutospacing="0" w:after="0" w:afterAutospacing="0" w:line="375" w:lineRule="atLeast"/>
        <w:jc w:val="center"/>
        <w:rPr>
          <w:rFonts w:hint="eastAsia" w:ascii="宋体" w:hAnsi="宋体" w:eastAsia="宋体" w:cs="宋体"/>
          <w:color w:val="000000"/>
          <w:sz w:val="28"/>
          <w:szCs w:val="28"/>
        </w:rPr>
      </w:pPr>
      <w:r>
        <w:rPr>
          <w:rFonts w:hint="eastAsia" w:ascii="宋体" w:hAnsi="宋体" w:eastAsia="宋体" w:cs="宋体"/>
          <w:color w:val="000000"/>
          <w:sz w:val="28"/>
          <w:szCs w:val="28"/>
        </w:rPr>
        <w:t>采购需求公示</w:t>
      </w:r>
    </w:p>
    <w:p>
      <w:pPr>
        <w:rPr>
          <w:color w:val="000000"/>
          <w:sz w:val="24"/>
          <w:szCs w:val="32"/>
        </w:rPr>
      </w:pPr>
    </w:p>
    <w:p>
      <w:pPr>
        <w:spacing w:line="480" w:lineRule="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项目名称：</w:t>
      </w:r>
      <w:r>
        <w:rPr>
          <w:rFonts w:hint="eastAsia" w:ascii="宋体" w:hAnsi="宋体" w:eastAsia="宋体" w:cs="宋体"/>
          <w:color w:val="000000"/>
          <w:sz w:val="28"/>
          <w:szCs w:val="28"/>
          <w:lang w:val="en-US" w:eastAsia="zh-CN"/>
        </w:rPr>
        <w:t>铜仁市碧江区2021年山洪灾害危险区雨量站建设项目</w:t>
      </w:r>
    </w:p>
    <w:p>
      <w:pPr>
        <w:spacing w:line="480" w:lineRule="auto"/>
        <w:rPr>
          <w:rFonts w:hint="default"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2、项目编号</w:t>
      </w:r>
      <w:r>
        <w:rPr>
          <w:rFonts w:hint="eastAsia" w:ascii="宋体" w:hAnsi="宋体" w:eastAsia="宋体" w:cs="宋体"/>
          <w:color w:val="000000"/>
          <w:kern w:val="2"/>
          <w:sz w:val="28"/>
          <w:szCs w:val="28"/>
          <w:lang w:val="en-US" w:eastAsia="zh-CN" w:bidi="ar-SA"/>
        </w:rPr>
        <w:t>：SCRS2021-029CG</w:t>
      </w:r>
    </w:p>
    <w:p>
      <w:pPr>
        <w:spacing w:line="480" w:lineRule="auto"/>
        <w:ind w:right="-781" w:rightChars="-244"/>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3、公示期限：2021年</w:t>
      </w:r>
      <w:r>
        <w:rPr>
          <w:rFonts w:hint="eastAsia" w:ascii="宋体" w:hAnsi="宋体" w:eastAsia="宋体" w:cs="宋体"/>
          <w:color w:val="000000"/>
          <w:kern w:val="2"/>
          <w:sz w:val="28"/>
          <w:szCs w:val="28"/>
          <w:u w:val="single"/>
          <w:lang w:val="en-US" w:eastAsia="zh-CN" w:bidi="ar-SA"/>
        </w:rPr>
        <w:t xml:space="preserve"> 11 </w:t>
      </w:r>
      <w:r>
        <w:rPr>
          <w:rFonts w:hint="eastAsia" w:ascii="宋体" w:hAnsi="宋体" w:eastAsia="宋体" w:cs="宋体"/>
          <w:color w:val="000000"/>
          <w:kern w:val="2"/>
          <w:sz w:val="28"/>
          <w:szCs w:val="28"/>
          <w:lang w:val="en-US" w:eastAsia="zh-CN" w:bidi="ar-SA"/>
        </w:rPr>
        <w:t>月</w:t>
      </w:r>
      <w:r>
        <w:rPr>
          <w:rFonts w:hint="eastAsia" w:ascii="宋体" w:hAnsi="宋体" w:eastAsia="宋体" w:cs="宋体"/>
          <w:color w:val="000000"/>
          <w:kern w:val="2"/>
          <w:sz w:val="28"/>
          <w:szCs w:val="28"/>
          <w:u w:val="single"/>
          <w:lang w:val="en-US" w:eastAsia="zh-CN" w:bidi="ar-SA"/>
        </w:rPr>
        <w:t xml:space="preserve"> 4 </w:t>
      </w:r>
      <w:r>
        <w:rPr>
          <w:rFonts w:hint="eastAsia" w:ascii="宋体" w:hAnsi="宋体" w:eastAsia="宋体" w:cs="宋体"/>
          <w:color w:val="000000"/>
          <w:kern w:val="2"/>
          <w:sz w:val="28"/>
          <w:szCs w:val="28"/>
          <w:lang w:val="en-US" w:eastAsia="zh-CN" w:bidi="ar-SA"/>
        </w:rPr>
        <w:t>日至2021年</w:t>
      </w:r>
      <w:r>
        <w:rPr>
          <w:rFonts w:hint="eastAsia" w:ascii="宋体" w:hAnsi="宋体" w:eastAsia="宋体" w:cs="宋体"/>
          <w:color w:val="000000"/>
          <w:kern w:val="2"/>
          <w:sz w:val="28"/>
          <w:szCs w:val="28"/>
          <w:u w:val="single"/>
          <w:lang w:val="en-US" w:eastAsia="zh-CN" w:bidi="ar-SA"/>
        </w:rPr>
        <w:t xml:space="preserve"> 11 </w:t>
      </w:r>
      <w:r>
        <w:rPr>
          <w:rFonts w:hint="eastAsia" w:ascii="宋体" w:hAnsi="宋体" w:eastAsia="宋体" w:cs="宋体"/>
          <w:color w:val="000000"/>
          <w:kern w:val="2"/>
          <w:sz w:val="28"/>
          <w:szCs w:val="28"/>
          <w:lang w:val="en-US" w:eastAsia="zh-CN" w:bidi="ar-SA"/>
        </w:rPr>
        <w:t>月</w:t>
      </w:r>
      <w:r>
        <w:rPr>
          <w:rFonts w:hint="eastAsia" w:ascii="宋体" w:hAnsi="宋体" w:eastAsia="宋体" w:cs="宋体"/>
          <w:color w:val="000000"/>
          <w:kern w:val="2"/>
          <w:sz w:val="28"/>
          <w:szCs w:val="28"/>
          <w:u w:val="single"/>
          <w:lang w:val="en-US" w:eastAsia="zh-CN" w:bidi="ar-SA"/>
        </w:rPr>
        <w:t xml:space="preserve"> 5 </w:t>
      </w:r>
      <w:r>
        <w:rPr>
          <w:rFonts w:hint="eastAsia" w:ascii="宋体" w:hAnsi="宋体" w:eastAsia="宋体" w:cs="宋体"/>
          <w:color w:val="000000"/>
          <w:kern w:val="2"/>
          <w:sz w:val="28"/>
          <w:szCs w:val="28"/>
          <w:lang w:val="en-US" w:eastAsia="zh-CN" w:bidi="ar-SA"/>
        </w:rPr>
        <w:t>日</w:t>
      </w:r>
    </w:p>
    <w:p>
      <w:pPr>
        <w:spacing w:line="480" w:lineRule="auto"/>
        <w:ind w:right="-781" w:rightChars="-244"/>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4、采购预算：1000000.00元</w:t>
      </w:r>
    </w:p>
    <w:p>
      <w:pPr>
        <w:keepNext w:val="0"/>
        <w:keepLines w:val="0"/>
        <w:widowControl/>
        <w:suppressLineNumbers w:val="0"/>
        <w:spacing w:before="0" w:beforeAutospacing="0" w:after="0" w:afterAutospacing="0" w:line="480" w:lineRule="auto"/>
        <w:ind w:right="0"/>
        <w:jc w:val="left"/>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5、最高限价：934159.28元</w:t>
      </w:r>
    </w:p>
    <w:p>
      <w:pPr>
        <w:spacing w:line="480" w:lineRule="auto"/>
        <w:rPr>
          <w:rFonts w:hint="eastAsia" w:ascii="宋体" w:hAnsi="宋体" w:eastAsia="宋体" w:cs="宋体"/>
          <w:color w:val="000000"/>
          <w:sz w:val="28"/>
          <w:szCs w:val="28"/>
        </w:rPr>
      </w:pPr>
      <w:r>
        <w:rPr>
          <w:rFonts w:hint="eastAsia" w:ascii="宋体" w:hAnsi="宋体" w:eastAsia="宋体" w:cs="宋体"/>
          <w:color w:val="000000"/>
          <w:kern w:val="2"/>
          <w:sz w:val="28"/>
          <w:szCs w:val="28"/>
          <w:lang w:val="en-US" w:eastAsia="zh-CN" w:bidi="ar-SA"/>
        </w:rPr>
        <w:t>6、采购预算确定依据：碧江区政府采购</w:t>
      </w:r>
      <w:r>
        <w:rPr>
          <w:rFonts w:hint="eastAsia" w:ascii="宋体" w:hAnsi="宋体" w:eastAsia="宋体" w:cs="宋体"/>
          <w:color w:val="000000"/>
          <w:sz w:val="28"/>
          <w:szCs w:val="28"/>
        </w:rPr>
        <w:t>（集中采购）申报表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7、采购单位名称：</w:t>
      </w:r>
      <w:r>
        <w:rPr>
          <w:rFonts w:hint="eastAsia" w:ascii="宋体" w:hAnsi="宋体" w:eastAsia="宋体" w:cs="宋体"/>
          <w:color w:val="000000"/>
          <w:sz w:val="28"/>
          <w:szCs w:val="28"/>
          <w:lang w:val="en-US" w:eastAsia="zh-CN"/>
        </w:rPr>
        <w:t>铜仁市碧江区抗旱排涝服务队</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default"/>
          <w:lang w:val="en-US"/>
        </w:rPr>
      </w:pPr>
      <w:r>
        <w:rPr>
          <w:rFonts w:hint="eastAsia" w:ascii="宋体" w:hAnsi="宋体" w:eastAsia="宋体" w:cs="宋体"/>
          <w:color w:val="000000"/>
          <w:sz w:val="28"/>
          <w:szCs w:val="28"/>
          <w:lang w:val="en-US" w:eastAsia="zh-CN"/>
        </w:rPr>
        <w:t xml:space="preserve">   联系地址：铜仁市碧江区为民服务中心5楼</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项目联系人：</w:t>
      </w:r>
      <w:r>
        <w:rPr>
          <w:rFonts w:hint="eastAsia" w:ascii="宋体" w:hAnsi="宋体" w:eastAsia="宋体" w:cs="宋体"/>
          <w:sz w:val="28"/>
          <w:szCs w:val="28"/>
          <w:lang w:val="en-US" w:eastAsia="zh-CN"/>
        </w:rPr>
        <w:t>余开友</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联系电话：0856-5220541 </w:t>
      </w:r>
    </w:p>
    <w:p>
      <w:pPr>
        <w:keepNext w:val="0"/>
        <w:keepLines w:val="0"/>
        <w:pageBreakBefore w:val="0"/>
        <w:widowControl w:val="0"/>
        <w:numPr>
          <w:ilvl w:val="0"/>
          <w:numId w:val="1"/>
        </w:numPr>
        <w:kinsoku/>
        <w:wordWrap/>
        <w:overflowPunct/>
        <w:topLinePunct w:val="0"/>
        <w:autoSpaceDE/>
        <w:autoSpaceDN/>
        <w:bidi w:val="0"/>
        <w:adjustRightInd/>
        <w:spacing w:line="360" w:lineRule="auto"/>
        <w:textAlignment w:val="auto"/>
        <w:rPr>
          <w:rFonts w:hint="eastAsia" w:ascii="宋体" w:hAnsi="宋体" w:eastAsia="宋体" w:cs="宋体"/>
          <w:b w:val="0"/>
          <w:bCs/>
          <w:sz w:val="28"/>
          <w:szCs w:val="28"/>
          <w:u w:val="none"/>
          <w:lang w:eastAsia="zh-CN"/>
        </w:rPr>
      </w:pPr>
      <w:r>
        <w:rPr>
          <w:rFonts w:hint="eastAsia" w:ascii="宋体" w:hAnsi="宋体" w:eastAsia="宋体" w:cs="宋体"/>
          <w:sz w:val="28"/>
          <w:szCs w:val="28"/>
        </w:rPr>
        <w:t xml:space="preserve">采购代理机构全称: </w:t>
      </w:r>
      <w:r>
        <w:rPr>
          <w:rFonts w:hint="eastAsia" w:ascii="宋体" w:hAnsi="宋体" w:eastAsia="宋体" w:cs="宋体"/>
          <w:sz w:val="28"/>
          <w:szCs w:val="28"/>
          <w:lang w:val="en-US" w:eastAsia="zh-CN"/>
        </w:rPr>
        <w:t>四川瑞升工程建设管理有限公司</w:t>
      </w:r>
    </w:p>
    <w:p>
      <w:pPr>
        <w:keepNext w:val="0"/>
        <w:keepLines w:val="0"/>
        <w:pageBreakBefore w:val="0"/>
        <w:widowControl w:val="0"/>
        <w:numPr>
          <w:ilvl w:val="0"/>
          <w:numId w:val="1"/>
        </w:numPr>
        <w:kinsoku/>
        <w:wordWrap/>
        <w:overflowPunct/>
        <w:topLinePunct w:val="0"/>
        <w:autoSpaceDE/>
        <w:autoSpaceDN/>
        <w:bidi w:val="0"/>
        <w:adjustRightInd/>
        <w:spacing w:line="360" w:lineRule="auto"/>
        <w:textAlignment w:val="auto"/>
        <w:rPr>
          <w:rFonts w:hint="eastAsia" w:ascii="宋体" w:hAnsi="宋体" w:eastAsia="宋体" w:cs="宋体"/>
          <w:b w:val="0"/>
          <w:bCs/>
          <w:sz w:val="28"/>
          <w:szCs w:val="28"/>
          <w:u w:val="none"/>
          <w:lang w:eastAsia="zh-CN"/>
        </w:rPr>
      </w:pPr>
      <w:r>
        <w:rPr>
          <w:rFonts w:hint="eastAsia" w:ascii="宋体" w:hAnsi="宋体" w:eastAsia="宋体" w:cs="宋体"/>
          <w:sz w:val="28"/>
          <w:szCs w:val="28"/>
        </w:rPr>
        <w:t xml:space="preserve">联系地址: </w:t>
      </w:r>
      <w:r>
        <w:rPr>
          <w:rFonts w:hint="eastAsia" w:ascii="宋体" w:hAnsi="宋体" w:eastAsia="宋体" w:cs="宋体"/>
          <w:sz w:val="28"/>
          <w:szCs w:val="28"/>
          <w:lang w:eastAsia="zh-CN"/>
        </w:rPr>
        <w:t>桐达山韵</w:t>
      </w:r>
      <w:r>
        <w:rPr>
          <w:rFonts w:hint="eastAsia" w:ascii="宋体" w:hAnsi="宋体" w:eastAsia="宋体" w:cs="宋体"/>
          <w:sz w:val="28"/>
          <w:szCs w:val="28"/>
          <w:lang w:val="en-US" w:eastAsia="zh-CN"/>
        </w:rPr>
        <w:t>11栋2单元1904室</w:t>
      </w:r>
    </w:p>
    <w:p>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项目联系人: </w:t>
      </w:r>
      <w:r>
        <w:rPr>
          <w:rFonts w:hint="eastAsia" w:ascii="宋体" w:hAnsi="宋体" w:eastAsia="宋体" w:cs="宋体"/>
          <w:sz w:val="28"/>
          <w:szCs w:val="28"/>
          <w:lang w:val="en-US" w:eastAsia="zh-CN"/>
        </w:rPr>
        <w:t>朱洪</w:t>
      </w:r>
    </w:p>
    <w:p>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联系电话: </w:t>
      </w:r>
      <w:r>
        <w:rPr>
          <w:rFonts w:hint="eastAsia" w:ascii="宋体" w:hAnsi="宋体" w:eastAsia="宋体" w:cs="宋体"/>
          <w:sz w:val="28"/>
          <w:szCs w:val="28"/>
          <w:lang w:val="en-US" w:eastAsia="zh-CN"/>
        </w:rPr>
        <w:t>17785318347</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、任何单位和个人对本项目文件采购需求公示有异议的，可在公示期限内，反馈意见给代理机构。</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附件（上传采购文件主要包括：资格条件、技术参数、商务要求、评分办法）：</w:t>
      </w:r>
    </w:p>
    <w:p>
      <w:pPr>
        <w:bidi w:val="0"/>
        <w:rPr>
          <w:rFonts w:ascii="Times New Roman" w:hAnsi="Times New Roman" w:eastAsia="仿宋_GB2312" w:cs="Times New Roman"/>
          <w:kern w:val="2"/>
          <w:sz w:val="32"/>
          <w:szCs w:val="24"/>
          <w:lang w:val="en-US" w:eastAsia="zh-CN" w:bidi="ar-SA"/>
        </w:rPr>
      </w:pPr>
    </w:p>
    <w:p>
      <w:pPr>
        <w:tabs>
          <w:tab w:val="left" w:pos="3319"/>
        </w:tabs>
        <w:bidi w:val="0"/>
        <w:jc w:val="left"/>
        <w:rPr>
          <w:rFonts w:hint="eastAsia"/>
          <w:lang w:val="en-US" w:eastAsia="zh-CN"/>
        </w:rPr>
        <w:sectPr>
          <w:pgSz w:w="11906" w:h="16838"/>
          <w:pgMar w:top="1247" w:right="1247" w:bottom="1247" w:left="1247" w:header="851" w:footer="992" w:gutter="0"/>
          <w:cols w:space="425" w:num="1"/>
          <w:docGrid w:type="lines" w:linePitch="312" w:charSpace="0"/>
        </w:sectPr>
      </w:pPr>
      <w:r>
        <w:rPr>
          <w:rFonts w:hint="eastAsia"/>
          <w:lang w:val="en-US" w:eastAsia="zh-CN"/>
        </w:rPr>
        <w:tab/>
      </w:r>
    </w:p>
    <w:p>
      <w:pPr>
        <w:pStyle w:val="2"/>
        <w:rPr>
          <w:rFonts w:hint="eastAsia"/>
        </w:rPr>
      </w:pPr>
    </w:p>
    <w:p>
      <w:pPr>
        <w:pStyle w:val="3"/>
        <w:spacing w:before="62"/>
        <w:ind w:right="0"/>
        <w:jc w:val="left"/>
        <w:rPr>
          <w:rFonts w:hint="eastAsia" w:ascii="宋体" w:hAnsi="宋体" w:eastAsia="宋体" w:cs="宋体"/>
          <w:sz w:val="32"/>
          <w:szCs w:val="36"/>
        </w:rPr>
      </w:pPr>
      <w:r>
        <w:rPr>
          <w:rFonts w:hint="eastAsia" w:ascii="宋体" w:hAnsi="宋体" w:eastAsia="宋体" w:cs="宋体"/>
          <w:b/>
          <w:bCs/>
          <w:sz w:val="28"/>
          <w:szCs w:val="32"/>
          <w:lang w:eastAsia="zh-CN"/>
        </w:rPr>
        <w:t>一、</w:t>
      </w:r>
      <w:r>
        <w:rPr>
          <w:rFonts w:hint="eastAsia" w:ascii="宋体" w:hAnsi="宋体" w:eastAsia="宋体" w:cs="宋体"/>
          <w:b/>
          <w:bCs/>
          <w:sz w:val="28"/>
          <w:szCs w:val="32"/>
        </w:rPr>
        <w:t>评标标准和办法</w:t>
      </w:r>
      <w:r>
        <w:rPr>
          <w:rFonts w:hint="eastAsia" w:ascii="宋体" w:hAnsi="宋体" w:eastAsia="宋体" w:cs="宋体"/>
          <w:w w:val="100"/>
          <w:sz w:val="32"/>
          <w:szCs w:val="36"/>
        </w:rPr>
        <w:t xml:space="preserve"> </w:t>
      </w:r>
    </w:p>
    <w:p>
      <w:pPr>
        <w:pStyle w:val="5"/>
        <w:spacing w:before="1"/>
        <w:ind w:left="967"/>
        <w:rPr>
          <w:rFonts w:hint="eastAsia" w:ascii="宋体" w:hAnsi="宋体" w:eastAsia="宋体" w:cs="宋体"/>
          <w:b w:val="0"/>
        </w:rPr>
      </w:pPr>
      <w:r>
        <w:rPr>
          <w:rFonts w:hint="eastAsia" w:ascii="宋体" w:hAnsi="宋体" w:eastAsia="宋体" w:cs="宋体"/>
        </w:rPr>
        <w:t>一、投标供应商资格性评审</w:t>
      </w:r>
      <w:r>
        <w:rPr>
          <w:rFonts w:hint="eastAsia" w:ascii="宋体" w:hAnsi="宋体" w:eastAsia="宋体" w:cs="宋体"/>
          <w:b w:val="0"/>
        </w:rPr>
        <w:t xml:space="preserve"> </w:t>
      </w:r>
    </w:p>
    <w:p>
      <w:pPr>
        <w:pStyle w:val="6"/>
        <w:keepNext w:val="0"/>
        <w:keepLines w:val="0"/>
        <w:pageBreakBefore w:val="0"/>
        <w:widowControl w:val="0"/>
        <w:kinsoku/>
        <w:wordWrap/>
        <w:overflowPunct/>
        <w:topLinePunct w:val="0"/>
        <w:autoSpaceDE/>
        <w:autoSpaceDN/>
        <w:bidi w:val="0"/>
        <w:adjustRightInd/>
        <w:snapToGrid/>
        <w:spacing w:line="353" w:lineRule="auto"/>
        <w:ind w:left="471" w:right="0" w:firstLine="493"/>
        <w:textAlignment w:val="auto"/>
        <w:rPr>
          <w:rFonts w:hint="eastAsia" w:ascii="宋体" w:hAnsi="宋体" w:eastAsia="宋体" w:cs="宋体"/>
        </w:rPr>
      </w:pPr>
      <w:r>
        <w:rPr>
          <w:rFonts w:hint="eastAsia" w:ascii="宋体" w:hAnsi="宋体" w:eastAsia="宋体" w:cs="宋体"/>
          <w:sz w:val="24"/>
          <w:szCs w:val="22"/>
        </w:rPr>
        <mc:AlternateContent>
          <mc:Choice Requires="wps">
            <w:drawing>
              <wp:anchor distT="0" distB="0" distL="114300" distR="114300" simplePos="0" relativeHeight="251659264" behindDoc="1" locked="0" layoutInCell="1" allowOverlap="1">
                <wp:simplePos x="0" y="0"/>
                <wp:positionH relativeFrom="page">
                  <wp:posOffset>1482725</wp:posOffset>
                </wp:positionH>
                <wp:positionV relativeFrom="paragraph">
                  <wp:posOffset>581025</wp:posOffset>
                </wp:positionV>
                <wp:extent cx="2593340" cy="553085"/>
                <wp:effectExtent l="1270" t="4445" r="15240" b="13970"/>
                <wp:wrapNone/>
                <wp:docPr id="3" name="直接连接符 3"/>
                <wp:cNvGraphicFramePr/>
                <a:graphic xmlns:a="http://schemas.openxmlformats.org/drawingml/2006/main">
                  <a:graphicData uri="http://schemas.microsoft.com/office/word/2010/wordprocessingShape">
                    <wps:wsp>
                      <wps:cNvCnPr/>
                      <wps:spPr>
                        <a:xfrm>
                          <a:off x="0" y="0"/>
                          <a:ext cx="2593340" cy="5530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75pt;margin-top:45.75pt;height:43.55pt;width:204.2pt;mso-position-horizontal-relative:page;z-index:-251657216;mso-width-relative:page;mso-height-relative:page;" filled="f" stroked="t" coordsize="21600,21600" o:gfxdata="UEsDBAoAAAAAAIdO4kAAAAAAAAAAAAAAAAAEAAAAZHJzL1BLAwQUAAAACACHTuJAwfuJI9kAAAAK&#10;AQAADwAAAGRycy9kb3ducmV2LnhtbE2PTU/DMAyG70j8h8hIXCaWtIWylaY7AL1xYYC4Zo1pKxqn&#10;a7IP+PXzTnCyLD96/bzl6ugGsccp9J40JHMFAqnxtqdWw/tbfbMAEaIhawZPqOEHA6yqy4vSFNYf&#10;6BX369gKDqFQGA1djGMhZWg6dCbM/YjEty8/ORN5nVppJ3PgcDfIVKlcOtMTf+jMiI8dNt/rndMQ&#10;6g/c1r+zZqY+s9Zjun16eTZaX18l6gFExGP8g+Gsz+pQsdPG78gGMWhIs+yOUQ3LhCcD+W2yBLFh&#10;8n6Rg6xK+b9CdQJQSwMEFAAAAAgAh07iQFjV/r75AQAA6QMAAA4AAABkcnMvZTJvRG9jLnhtbK1T&#10;S44TMRDdI3EHy3vS+dBoppXOLCYMGwQjAQeouN3dlvyTy0knl+ACSOxgxZI9t5nhGJTdIQPDJgt6&#10;4S67np/rPZeXV3uj2U4GVM7WfDaZciatcI2yXc0/vL95dsEZRrANaGdlzQ8S+dXq6ZPl4Cs5d73T&#10;jQyMSCxWg695H6OvigJFLw3gxHlpKdm6YCDSNHRFE2AgdqOL+XT6ohhcaHxwQiLS6npM8iNjOIfQ&#10;ta0Scu3E1kgbR9YgNUSShL3yyFe52raVIr5tW5SR6ZqT0phHOoTiTRqL1RKqLoDvlTiWAOeU8EiT&#10;AWXp0BPVGiKwbVD/UBklgkPXxolwphiFZEdIxWz6yJt3PXiZtZDV6E+m4/+jFW92t4GppuYLziwY&#10;uvD7T9/vPn75+eMzjfffvrJFMmnwWBH22t6G4wz9bUiK920w6U9a2D4bezgZK/eRCVqcl5eLxXPy&#10;XFCuLBfTizKRFg+7fcD4SjrDUlBzrWwSDhXsXmMcob8haVlbNtT8spyXxAnUhS3dPoXGkxK0Xd6L&#10;TqvmRmmddmDoNtc6sB2kTsjfsYS/YOmQNWA/4nIqwaDqJTQvbcPiwZNHlp4GTyUY2XCmJb2kFGVk&#10;BKXPQZJ6bcmEZO1oZoo2rjnQjWx9UF1PTsxylSlDHZAtO3ZrarE/55np4YW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4kj2QAAAAoBAAAPAAAAAAAAAAEAIAAAACIAAABkcnMvZG93bnJldi54&#10;bWxQSwECFAAUAAAACACHTuJAWNX+vvkBAADpAwAADgAAAAAAAAABACAAAAAoAQAAZHJzL2Uyb0Rv&#10;Yy54bWxQSwUGAAAAAAYABgBZAQAAkwUAAAAA&#10;">
                <v:fill on="f" focussize="0,0"/>
                <v:stroke color="#000000" joinstyle="round"/>
                <v:imagedata o:title=""/>
                <o:lock v:ext="edit" aspectratio="f"/>
              </v:line>
            </w:pict>
          </mc:Fallback>
        </mc:AlternateContent>
      </w:r>
      <w:r>
        <w:rPr>
          <w:rFonts w:hint="eastAsia" w:ascii="宋体" w:hAnsi="宋体" w:eastAsia="宋体" w:cs="宋体"/>
          <w:sz w:val="24"/>
          <w:szCs w:val="22"/>
        </w:rPr>
        <mc:AlternateContent>
          <mc:Choice Requires="wps">
            <w:drawing>
              <wp:anchor distT="0" distB="0" distL="114300" distR="114300" simplePos="0" relativeHeight="251660288" behindDoc="0" locked="0" layoutInCell="1" allowOverlap="1">
                <wp:simplePos x="0" y="0"/>
                <wp:positionH relativeFrom="page">
                  <wp:posOffset>1010285</wp:posOffset>
                </wp:positionH>
                <wp:positionV relativeFrom="paragraph">
                  <wp:posOffset>566420</wp:posOffset>
                </wp:positionV>
                <wp:extent cx="5880100" cy="74174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80100" cy="7417435"/>
                        </a:xfrm>
                        <a:prstGeom prst="rect">
                          <a:avLst/>
                        </a:prstGeom>
                        <a:noFill/>
                        <a:ln>
                          <a:noFill/>
                        </a:ln>
                      </wps:spPr>
                      <wps:txbx>
                        <w:txbxContent>
                          <w:tbl>
                            <w:tblPr>
                              <w:tblStyle w:val="9"/>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3991"/>
                              <w:gridCol w:w="1093"/>
                              <w:gridCol w:w="1107"/>
                              <w:gridCol w:w="1107"/>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0" w:hRule="atLeast"/>
                              </w:trPr>
                              <w:tc>
                                <w:tcPr>
                                  <w:tcW w:w="699" w:type="dxa"/>
                                  <w:noWrap w:val="0"/>
                                  <w:vAlign w:val="top"/>
                                </w:tcPr>
                                <w:p>
                                  <w:pPr>
                                    <w:pStyle w:val="17"/>
                                    <w:spacing w:before="10"/>
                                    <w:rPr>
                                      <w:sz w:val="22"/>
                                      <w:szCs w:val="20"/>
                                    </w:rPr>
                                  </w:pPr>
                                </w:p>
                                <w:p>
                                  <w:pPr>
                                    <w:pStyle w:val="17"/>
                                    <w:ind w:left="171" w:right="15"/>
                                    <w:jc w:val="center"/>
                                    <w:rPr>
                                      <w:sz w:val="21"/>
                                      <w:szCs w:val="20"/>
                                    </w:rPr>
                                  </w:pPr>
                                  <w:r>
                                    <w:rPr>
                                      <w:sz w:val="21"/>
                                      <w:szCs w:val="20"/>
                                    </w:rPr>
                                    <w:t xml:space="preserve">序号 </w:t>
                                  </w:r>
                                </w:p>
                              </w:tc>
                              <w:tc>
                                <w:tcPr>
                                  <w:tcW w:w="3991" w:type="dxa"/>
                                  <w:noWrap w:val="0"/>
                                  <w:vAlign w:val="top"/>
                                </w:tcPr>
                                <w:p>
                                  <w:pPr>
                                    <w:pStyle w:val="17"/>
                                    <w:spacing w:before="11" w:line="436" w:lineRule="exact"/>
                                    <w:ind w:left="112" w:right="741"/>
                                    <w:rPr>
                                      <w:sz w:val="21"/>
                                      <w:szCs w:val="20"/>
                                    </w:rPr>
                                  </w:pPr>
                                  <w:r>
                                    <w:rPr>
                                      <w:sz w:val="21"/>
                                      <w:szCs w:val="20"/>
                                    </w:rPr>
                                    <w:t xml:space="preserve">                供应商名称资格审查内容 </w:t>
                                  </w:r>
                                </w:p>
                              </w:tc>
                              <w:tc>
                                <w:tcPr>
                                  <w:tcW w:w="1093" w:type="dxa"/>
                                  <w:noWrap w:val="0"/>
                                  <w:vAlign w:val="top"/>
                                </w:tcPr>
                                <w:p>
                                  <w:pPr>
                                    <w:pStyle w:val="17"/>
                                    <w:spacing w:before="10"/>
                                    <w:rPr>
                                      <w:sz w:val="22"/>
                                      <w:szCs w:val="20"/>
                                    </w:rPr>
                                  </w:pPr>
                                </w:p>
                                <w:p>
                                  <w:pPr>
                                    <w:pStyle w:val="17"/>
                                    <w:ind w:left="382"/>
                                    <w:rPr>
                                      <w:sz w:val="21"/>
                                      <w:szCs w:val="20"/>
                                    </w:rPr>
                                  </w:pPr>
                                  <w:r>
                                    <w:rPr>
                                      <w:sz w:val="21"/>
                                      <w:szCs w:val="20"/>
                                    </w:rPr>
                                    <w:t xml:space="preserve">A-1 </w:t>
                                  </w:r>
                                </w:p>
                              </w:tc>
                              <w:tc>
                                <w:tcPr>
                                  <w:tcW w:w="1107" w:type="dxa"/>
                                  <w:noWrap w:val="0"/>
                                  <w:vAlign w:val="top"/>
                                </w:tcPr>
                                <w:p>
                                  <w:pPr>
                                    <w:pStyle w:val="17"/>
                                    <w:spacing w:before="10"/>
                                    <w:rPr>
                                      <w:sz w:val="22"/>
                                      <w:szCs w:val="20"/>
                                    </w:rPr>
                                  </w:pPr>
                                </w:p>
                                <w:p>
                                  <w:pPr>
                                    <w:pStyle w:val="17"/>
                                    <w:ind w:left="397"/>
                                    <w:rPr>
                                      <w:sz w:val="21"/>
                                      <w:szCs w:val="20"/>
                                    </w:rPr>
                                  </w:pPr>
                                  <w:r>
                                    <w:rPr>
                                      <w:sz w:val="21"/>
                                      <w:szCs w:val="20"/>
                                    </w:rPr>
                                    <w:t xml:space="preserve">A-2 </w:t>
                                  </w:r>
                                </w:p>
                              </w:tc>
                              <w:tc>
                                <w:tcPr>
                                  <w:tcW w:w="1107" w:type="dxa"/>
                                  <w:noWrap w:val="0"/>
                                  <w:vAlign w:val="top"/>
                                </w:tcPr>
                                <w:p>
                                  <w:pPr>
                                    <w:pStyle w:val="17"/>
                                    <w:spacing w:before="10"/>
                                    <w:rPr>
                                      <w:sz w:val="22"/>
                                      <w:szCs w:val="20"/>
                                    </w:rPr>
                                  </w:pPr>
                                </w:p>
                                <w:p>
                                  <w:pPr>
                                    <w:pStyle w:val="17"/>
                                    <w:ind w:left="382"/>
                                    <w:rPr>
                                      <w:sz w:val="21"/>
                                      <w:szCs w:val="20"/>
                                    </w:rPr>
                                  </w:pPr>
                                  <w:r>
                                    <w:rPr>
                                      <w:sz w:val="21"/>
                                      <w:szCs w:val="20"/>
                                    </w:rPr>
                                    <w:t xml:space="preserve">A-3 </w:t>
                                  </w:r>
                                </w:p>
                              </w:tc>
                              <w:tc>
                                <w:tcPr>
                                  <w:tcW w:w="961" w:type="dxa"/>
                                  <w:tcBorders>
                                    <w:right w:val="single" w:color="000000" w:sz="8" w:space="0"/>
                                  </w:tcBorders>
                                  <w:noWrap w:val="0"/>
                                  <w:vAlign w:val="top"/>
                                </w:tcPr>
                                <w:p>
                                  <w:pPr>
                                    <w:pStyle w:val="17"/>
                                    <w:spacing w:before="10"/>
                                    <w:rPr>
                                      <w:sz w:val="22"/>
                                      <w:szCs w:val="20"/>
                                    </w:rPr>
                                  </w:pPr>
                                </w:p>
                                <w:p>
                                  <w:pPr>
                                    <w:pStyle w:val="17"/>
                                    <w:ind w:left="26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 w:hRule="atLeast"/>
                              </w:trPr>
                              <w:tc>
                                <w:tcPr>
                                  <w:tcW w:w="699" w:type="dxa"/>
                                  <w:noWrap w:val="0"/>
                                  <w:vAlign w:val="top"/>
                                </w:tcPr>
                                <w:p>
                                  <w:pPr>
                                    <w:pStyle w:val="17"/>
                                    <w:rPr>
                                      <w:sz w:val="21"/>
                                      <w:szCs w:val="20"/>
                                    </w:rPr>
                                  </w:pPr>
                                </w:p>
                                <w:p>
                                  <w:pPr>
                                    <w:pStyle w:val="17"/>
                                    <w:rPr>
                                      <w:sz w:val="21"/>
                                      <w:szCs w:val="20"/>
                                    </w:rPr>
                                  </w:pPr>
                                </w:p>
                                <w:p>
                                  <w:pPr>
                                    <w:pStyle w:val="17"/>
                                    <w:rPr>
                                      <w:sz w:val="21"/>
                                      <w:szCs w:val="20"/>
                                    </w:rPr>
                                  </w:pPr>
                                </w:p>
                                <w:p>
                                  <w:pPr>
                                    <w:pStyle w:val="17"/>
                                    <w:spacing w:before="161"/>
                                    <w:ind w:left="164" w:right="15"/>
                                    <w:jc w:val="center"/>
                                    <w:rPr>
                                      <w:sz w:val="21"/>
                                      <w:szCs w:val="20"/>
                                    </w:rPr>
                                  </w:pPr>
                                  <w:r>
                                    <w:rPr>
                                      <w:sz w:val="21"/>
                                      <w:szCs w:val="20"/>
                                    </w:rPr>
                                    <w:t xml:space="preserve">1 </w:t>
                                  </w:r>
                                </w:p>
                              </w:tc>
                              <w:tc>
                                <w:tcPr>
                                  <w:tcW w:w="3991" w:type="dxa"/>
                                  <w:noWrap w:val="0"/>
                                  <w:vAlign w:val="top"/>
                                </w:tcPr>
                                <w:p>
                                  <w:pPr>
                                    <w:pStyle w:val="17"/>
                                    <w:spacing w:before="63" w:line="316" w:lineRule="auto"/>
                                    <w:ind w:left="112" w:right="137"/>
                                    <w:rPr>
                                      <w:sz w:val="21"/>
                                      <w:szCs w:val="20"/>
                                    </w:rPr>
                                  </w:pPr>
                                  <w:r>
                                    <w:rPr>
                                      <w:sz w:val="21"/>
                                      <w:szCs w:val="20"/>
                                    </w:rPr>
                                    <w:t xml:space="preserve">具有独立承担民事责任的能力：法人或者其他组织的营业执照证明文件(工商营业执照副本、组织机构代码证副本和税务登记证副本等，或多证合一的营业执照)，或自然人的身份 </w:t>
                                  </w:r>
                                  <w:r>
                                    <w:rPr>
                                      <w:spacing w:val="-1"/>
                                      <w:sz w:val="21"/>
                                      <w:szCs w:val="20"/>
                                    </w:rPr>
                                    <w:t>证明</w:t>
                                  </w:r>
                                  <w:r>
                                    <w:rPr>
                                      <w:sz w:val="21"/>
                                      <w:szCs w:val="20"/>
                                    </w:rPr>
                                    <w:t xml:space="preserve">；（复印件加盖投标单位公章） </w:t>
                                  </w:r>
                                </w:p>
                              </w:tc>
                              <w:tc>
                                <w:tcPr>
                                  <w:tcW w:w="1093" w:type="dxa"/>
                                  <w:noWrap w:val="0"/>
                                  <w:vAlign w:val="top"/>
                                </w:tcPr>
                                <w:p>
                                  <w:pPr>
                                    <w:pStyle w:val="17"/>
                                    <w:spacing w:before="108"/>
                                    <w:ind w:left="112"/>
                                    <w:rPr>
                                      <w:sz w:val="21"/>
                                      <w:szCs w:val="20"/>
                                    </w:rPr>
                                  </w:pPr>
                                  <w:r>
                                    <w:rPr>
                                      <w:sz w:val="21"/>
                                      <w:szCs w:val="20"/>
                                    </w:rPr>
                                    <w:t xml:space="preserve"> </w:t>
                                  </w:r>
                                </w:p>
                              </w:tc>
                              <w:tc>
                                <w:tcPr>
                                  <w:tcW w:w="1107" w:type="dxa"/>
                                  <w:noWrap w:val="0"/>
                                  <w:vAlign w:val="top"/>
                                </w:tcPr>
                                <w:p>
                                  <w:pPr>
                                    <w:pStyle w:val="17"/>
                                    <w:spacing w:before="108"/>
                                    <w:ind w:left="127"/>
                                    <w:rPr>
                                      <w:sz w:val="21"/>
                                      <w:szCs w:val="20"/>
                                    </w:rPr>
                                  </w:pPr>
                                  <w:r>
                                    <w:rPr>
                                      <w:sz w:val="21"/>
                                      <w:szCs w:val="20"/>
                                    </w:rPr>
                                    <w:t xml:space="preserve"> </w:t>
                                  </w:r>
                                </w:p>
                              </w:tc>
                              <w:tc>
                                <w:tcPr>
                                  <w:tcW w:w="1107" w:type="dxa"/>
                                  <w:noWrap w:val="0"/>
                                  <w:vAlign w:val="top"/>
                                </w:tcPr>
                                <w:p>
                                  <w:pPr>
                                    <w:pStyle w:val="17"/>
                                    <w:spacing w:before="108"/>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08"/>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atLeast"/>
                              </w:trPr>
                              <w:tc>
                                <w:tcPr>
                                  <w:tcW w:w="699" w:type="dxa"/>
                                  <w:noWrap w:val="0"/>
                                  <w:vAlign w:val="top"/>
                                </w:tcPr>
                                <w:p>
                                  <w:pPr>
                                    <w:pStyle w:val="17"/>
                                    <w:rPr>
                                      <w:sz w:val="21"/>
                                      <w:szCs w:val="20"/>
                                    </w:rPr>
                                  </w:pPr>
                                </w:p>
                                <w:p>
                                  <w:pPr>
                                    <w:pStyle w:val="17"/>
                                    <w:spacing w:before="11"/>
                                    <w:rPr>
                                      <w:sz w:val="24"/>
                                      <w:szCs w:val="20"/>
                                    </w:rPr>
                                  </w:pPr>
                                </w:p>
                                <w:p>
                                  <w:pPr>
                                    <w:pStyle w:val="17"/>
                                    <w:spacing w:before="1"/>
                                    <w:ind w:left="164" w:right="15"/>
                                    <w:jc w:val="center"/>
                                    <w:rPr>
                                      <w:sz w:val="21"/>
                                      <w:szCs w:val="20"/>
                                    </w:rPr>
                                  </w:pPr>
                                  <w:r>
                                    <w:rPr>
                                      <w:sz w:val="21"/>
                                      <w:szCs w:val="20"/>
                                    </w:rPr>
                                    <w:t xml:space="preserve">2 </w:t>
                                  </w:r>
                                </w:p>
                              </w:tc>
                              <w:tc>
                                <w:tcPr>
                                  <w:tcW w:w="3991" w:type="dxa"/>
                                  <w:noWrap w:val="0"/>
                                  <w:vAlign w:val="top"/>
                                </w:tcPr>
                                <w:p>
                                  <w:pPr>
                                    <w:pStyle w:val="17"/>
                                    <w:keepNext w:val="0"/>
                                    <w:keepLines w:val="0"/>
                                    <w:pageBreakBefore w:val="0"/>
                                    <w:widowControl w:val="0"/>
                                    <w:kinsoku/>
                                    <w:wordWrap/>
                                    <w:overflowPunct/>
                                    <w:topLinePunct w:val="0"/>
                                    <w:autoSpaceDE/>
                                    <w:autoSpaceDN/>
                                    <w:bidi w:val="0"/>
                                    <w:adjustRightInd/>
                                    <w:snapToGrid/>
                                    <w:spacing w:line="310" w:lineRule="auto"/>
                                    <w:ind w:left="113" w:right="0"/>
                                    <w:textAlignment w:val="auto"/>
                                    <w:rPr>
                                      <w:sz w:val="21"/>
                                      <w:szCs w:val="20"/>
                                    </w:rPr>
                                  </w:pPr>
                                  <w:r>
                                    <w:rPr>
                                      <w:sz w:val="21"/>
                                      <w:szCs w:val="20"/>
                                    </w:rPr>
                                    <w:t xml:space="preserve">财务状况报告（经合法审计机构出具的2019年度或2020年度财务审计报告，或银行出具的有效的资信证明）； </w:t>
                                  </w:r>
                                </w:p>
                              </w:tc>
                              <w:tc>
                                <w:tcPr>
                                  <w:tcW w:w="1093" w:type="dxa"/>
                                  <w:noWrap w:val="0"/>
                                  <w:vAlign w:val="top"/>
                                </w:tcPr>
                                <w:p>
                                  <w:pPr>
                                    <w:pStyle w:val="17"/>
                                    <w:spacing w:before="120"/>
                                    <w:ind w:left="112"/>
                                    <w:rPr>
                                      <w:sz w:val="21"/>
                                      <w:szCs w:val="20"/>
                                    </w:rPr>
                                  </w:pPr>
                                  <w:r>
                                    <w:rPr>
                                      <w:sz w:val="21"/>
                                      <w:szCs w:val="20"/>
                                    </w:rPr>
                                    <w:t xml:space="preserve"> </w:t>
                                  </w:r>
                                </w:p>
                              </w:tc>
                              <w:tc>
                                <w:tcPr>
                                  <w:tcW w:w="1107" w:type="dxa"/>
                                  <w:noWrap w:val="0"/>
                                  <w:vAlign w:val="top"/>
                                </w:tcPr>
                                <w:p>
                                  <w:pPr>
                                    <w:pStyle w:val="17"/>
                                    <w:spacing w:before="120"/>
                                    <w:ind w:left="127"/>
                                    <w:rPr>
                                      <w:sz w:val="21"/>
                                      <w:szCs w:val="20"/>
                                    </w:rPr>
                                  </w:pPr>
                                  <w:r>
                                    <w:rPr>
                                      <w:sz w:val="21"/>
                                      <w:szCs w:val="20"/>
                                    </w:rPr>
                                    <w:t xml:space="preserve"> </w:t>
                                  </w:r>
                                </w:p>
                              </w:tc>
                              <w:tc>
                                <w:tcPr>
                                  <w:tcW w:w="1107" w:type="dxa"/>
                                  <w:noWrap w:val="0"/>
                                  <w:vAlign w:val="top"/>
                                </w:tcPr>
                                <w:p>
                                  <w:pPr>
                                    <w:pStyle w:val="17"/>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2" w:hRule="atLeast"/>
                              </w:trPr>
                              <w:tc>
                                <w:tcPr>
                                  <w:tcW w:w="699" w:type="dxa"/>
                                  <w:noWrap w:val="0"/>
                                  <w:vAlign w:val="top"/>
                                </w:tcPr>
                                <w:p>
                                  <w:pPr>
                                    <w:pStyle w:val="17"/>
                                    <w:rPr>
                                      <w:sz w:val="21"/>
                                      <w:szCs w:val="20"/>
                                    </w:rPr>
                                  </w:pPr>
                                </w:p>
                                <w:p>
                                  <w:pPr>
                                    <w:pStyle w:val="17"/>
                                    <w:rPr>
                                      <w:sz w:val="21"/>
                                      <w:szCs w:val="20"/>
                                    </w:rPr>
                                  </w:pPr>
                                </w:p>
                                <w:p>
                                  <w:pPr>
                                    <w:pStyle w:val="17"/>
                                    <w:spacing w:before="181"/>
                                    <w:ind w:left="164" w:right="15"/>
                                    <w:jc w:val="center"/>
                                    <w:rPr>
                                      <w:sz w:val="21"/>
                                      <w:szCs w:val="20"/>
                                    </w:rPr>
                                  </w:pPr>
                                  <w:r>
                                    <w:rPr>
                                      <w:sz w:val="21"/>
                                      <w:szCs w:val="20"/>
                                    </w:rPr>
                                    <w:t xml:space="preserve">3 </w:t>
                                  </w:r>
                                </w:p>
                              </w:tc>
                              <w:tc>
                                <w:tcPr>
                                  <w:tcW w:w="3991" w:type="dxa"/>
                                  <w:noWrap w:val="0"/>
                                  <w:vAlign w:val="top"/>
                                </w:tcPr>
                                <w:p>
                                  <w:pPr>
                                    <w:pStyle w:val="17"/>
                                    <w:spacing w:before="4" w:line="235" w:lineRule="auto"/>
                                    <w:ind w:left="112" w:right="137"/>
                                    <w:jc w:val="both"/>
                                    <w:rPr>
                                      <w:sz w:val="21"/>
                                      <w:szCs w:val="20"/>
                                    </w:rPr>
                                  </w:pPr>
                                  <w:r>
                                    <w:rPr>
                                      <w:sz w:val="21"/>
                                      <w:szCs w:val="20"/>
                                    </w:rPr>
                                    <w:t xml:space="preserve">依法缴纳税收（2021年1月至今任意3 个月缴纳税收的凭据或证明材料复印件（依法免税的供应商须提供相应证明文件））和社会保障资金（2021年1月至今任意3个月社会保障资金缴纳证明材料复印件)的相关材料； </w:t>
                                  </w:r>
                                </w:p>
                              </w:tc>
                              <w:tc>
                                <w:tcPr>
                                  <w:tcW w:w="1093" w:type="dxa"/>
                                  <w:noWrap w:val="0"/>
                                  <w:vAlign w:val="top"/>
                                </w:tcPr>
                                <w:p>
                                  <w:pPr>
                                    <w:pStyle w:val="17"/>
                                    <w:spacing w:before="120"/>
                                    <w:ind w:left="112"/>
                                    <w:rPr>
                                      <w:sz w:val="21"/>
                                      <w:szCs w:val="20"/>
                                    </w:rPr>
                                  </w:pPr>
                                  <w:r>
                                    <w:rPr>
                                      <w:sz w:val="21"/>
                                      <w:szCs w:val="20"/>
                                    </w:rPr>
                                    <w:t xml:space="preserve"> </w:t>
                                  </w:r>
                                </w:p>
                              </w:tc>
                              <w:tc>
                                <w:tcPr>
                                  <w:tcW w:w="1107" w:type="dxa"/>
                                  <w:noWrap w:val="0"/>
                                  <w:vAlign w:val="top"/>
                                </w:tcPr>
                                <w:p>
                                  <w:pPr>
                                    <w:pStyle w:val="17"/>
                                    <w:spacing w:before="120"/>
                                    <w:ind w:left="127"/>
                                    <w:rPr>
                                      <w:sz w:val="21"/>
                                      <w:szCs w:val="20"/>
                                    </w:rPr>
                                  </w:pPr>
                                  <w:r>
                                    <w:rPr>
                                      <w:sz w:val="21"/>
                                      <w:szCs w:val="20"/>
                                    </w:rPr>
                                    <w:t xml:space="preserve"> </w:t>
                                  </w:r>
                                </w:p>
                              </w:tc>
                              <w:tc>
                                <w:tcPr>
                                  <w:tcW w:w="1107" w:type="dxa"/>
                                  <w:noWrap w:val="0"/>
                                  <w:vAlign w:val="top"/>
                                </w:tcPr>
                                <w:p>
                                  <w:pPr>
                                    <w:pStyle w:val="17"/>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699" w:type="dxa"/>
                                  <w:noWrap w:val="0"/>
                                  <w:vAlign w:val="top"/>
                                </w:tcPr>
                                <w:p>
                                  <w:pPr>
                                    <w:pStyle w:val="17"/>
                                    <w:rPr>
                                      <w:sz w:val="21"/>
                                      <w:szCs w:val="20"/>
                                    </w:rPr>
                                  </w:pPr>
                                </w:p>
                                <w:p>
                                  <w:pPr>
                                    <w:pStyle w:val="17"/>
                                    <w:spacing w:before="188"/>
                                    <w:ind w:left="164" w:right="15"/>
                                    <w:jc w:val="center"/>
                                    <w:rPr>
                                      <w:sz w:val="21"/>
                                      <w:szCs w:val="20"/>
                                    </w:rPr>
                                  </w:pPr>
                                  <w:r>
                                    <w:rPr>
                                      <w:sz w:val="21"/>
                                      <w:szCs w:val="20"/>
                                    </w:rPr>
                                    <w:t xml:space="preserve">4 </w:t>
                                  </w:r>
                                </w:p>
                              </w:tc>
                              <w:tc>
                                <w:tcPr>
                                  <w:tcW w:w="3991" w:type="dxa"/>
                                  <w:noWrap w:val="0"/>
                                  <w:vAlign w:val="top"/>
                                </w:tcPr>
                                <w:p>
                                  <w:pPr>
                                    <w:pStyle w:val="17"/>
                                    <w:spacing w:before="5" w:line="235" w:lineRule="auto"/>
                                    <w:ind w:left="112" w:right="137"/>
                                    <w:rPr>
                                      <w:sz w:val="21"/>
                                      <w:szCs w:val="20"/>
                                    </w:rPr>
                                  </w:pPr>
                                  <w:r>
                                    <w:rPr>
                                      <w:sz w:val="21"/>
                                      <w:szCs w:val="20"/>
                                    </w:rPr>
                                    <w:t xml:space="preserve">具备履行合同所必需的设备和专业技术能力的证明材料；(提供承诺函（格式自定）或提供相关证明材料复印件) </w:t>
                                  </w:r>
                                </w:p>
                              </w:tc>
                              <w:tc>
                                <w:tcPr>
                                  <w:tcW w:w="1093" w:type="dxa"/>
                                  <w:noWrap w:val="0"/>
                                  <w:vAlign w:val="top"/>
                                </w:tcPr>
                                <w:p>
                                  <w:pPr>
                                    <w:pStyle w:val="17"/>
                                    <w:spacing w:before="120"/>
                                    <w:ind w:left="112"/>
                                    <w:rPr>
                                      <w:sz w:val="21"/>
                                      <w:szCs w:val="20"/>
                                    </w:rPr>
                                  </w:pPr>
                                  <w:r>
                                    <w:rPr>
                                      <w:sz w:val="21"/>
                                      <w:szCs w:val="20"/>
                                    </w:rPr>
                                    <w:t xml:space="preserve"> </w:t>
                                  </w:r>
                                </w:p>
                              </w:tc>
                              <w:tc>
                                <w:tcPr>
                                  <w:tcW w:w="1107" w:type="dxa"/>
                                  <w:noWrap w:val="0"/>
                                  <w:vAlign w:val="top"/>
                                </w:tcPr>
                                <w:p>
                                  <w:pPr>
                                    <w:pStyle w:val="17"/>
                                    <w:spacing w:before="120"/>
                                    <w:ind w:left="127"/>
                                    <w:rPr>
                                      <w:sz w:val="21"/>
                                      <w:szCs w:val="20"/>
                                    </w:rPr>
                                  </w:pPr>
                                  <w:r>
                                    <w:rPr>
                                      <w:sz w:val="21"/>
                                      <w:szCs w:val="20"/>
                                    </w:rPr>
                                    <w:t xml:space="preserve"> </w:t>
                                  </w:r>
                                </w:p>
                              </w:tc>
                              <w:tc>
                                <w:tcPr>
                                  <w:tcW w:w="1107" w:type="dxa"/>
                                  <w:noWrap w:val="0"/>
                                  <w:vAlign w:val="top"/>
                                </w:tcPr>
                                <w:p>
                                  <w:pPr>
                                    <w:pStyle w:val="17"/>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trPr>
                              <w:tc>
                                <w:tcPr>
                                  <w:tcW w:w="699" w:type="dxa"/>
                                  <w:noWrap w:val="0"/>
                                  <w:vAlign w:val="top"/>
                                </w:tcPr>
                                <w:p>
                                  <w:pPr>
                                    <w:pStyle w:val="17"/>
                                    <w:rPr>
                                      <w:sz w:val="21"/>
                                      <w:szCs w:val="20"/>
                                    </w:rPr>
                                  </w:pPr>
                                </w:p>
                                <w:p>
                                  <w:pPr>
                                    <w:pStyle w:val="17"/>
                                    <w:spacing w:before="188"/>
                                    <w:ind w:left="164" w:right="15"/>
                                    <w:jc w:val="center"/>
                                    <w:rPr>
                                      <w:sz w:val="21"/>
                                      <w:szCs w:val="20"/>
                                    </w:rPr>
                                  </w:pPr>
                                  <w:r>
                                    <w:rPr>
                                      <w:sz w:val="21"/>
                                      <w:szCs w:val="20"/>
                                    </w:rPr>
                                    <w:t xml:space="preserve">5 </w:t>
                                  </w:r>
                                </w:p>
                              </w:tc>
                              <w:tc>
                                <w:tcPr>
                                  <w:tcW w:w="3991" w:type="dxa"/>
                                  <w:noWrap w:val="0"/>
                                  <w:vAlign w:val="top"/>
                                </w:tcPr>
                                <w:p>
                                  <w:pPr>
                                    <w:pStyle w:val="17"/>
                                    <w:spacing w:before="60" w:line="316" w:lineRule="auto"/>
                                    <w:ind w:left="112" w:right="137"/>
                                    <w:rPr>
                                      <w:sz w:val="21"/>
                                      <w:szCs w:val="20"/>
                                    </w:rPr>
                                  </w:pPr>
                                  <w:r>
                                    <w:rPr>
                                      <w:sz w:val="21"/>
                                      <w:szCs w:val="20"/>
                                    </w:rPr>
                                    <w:t>参加政府采购活动前3年内在经营活动中没有重大违法记录的书面声明；</w:t>
                                  </w:r>
                                </w:p>
                                <w:p>
                                  <w:pPr>
                                    <w:pStyle w:val="17"/>
                                    <w:spacing w:line="294" w:lineRule="exact"/>
                                    <w:ind w:left="112"/>
                                    <w:rPr>
                                      <w:sz w:val="21"/>
                                      <w:szCs w:val="20"/>
                                    </w:rPr>
                                  </w:pPr>
                                  <w:r>
                                    <w:rPr>
                                      <w:sz w:val="21"/>
                                      <w:szCs w:val="20"/>
                                    </w:rPr>
                                    <w:t xml:space="preserve">（自行声明,格式自定） </w:t>
                                  </w:r>
                                </w:p>
                              </w:tc>
                              <w:tc>
                                <w:tcPr>
                                  <w:tcW w:w="1093" w:type="dxa"/>
                                  <w:noWrap w:val="0"/>
                                  <w:vAlign w:val="top"/>
                                </w:tcPr>
                                <w:p>
                                  <w:pPr>
                                    <w:pStyle w:val="17"/>
                                    <w:spacing w:before="105"/>
                                    <w:ind w:left="112"/>
                                    <w:rPr>
                                      <w:sz w:val="21"/>
                                      <w:szCs w:val="20"/>
                                    </w:rPr>
                                  </w:pPr>
                                  <w:r>
                                    <w:rPr>
                                      <w:sz w:val="21"/>
                                      <w:szCs w:val="20"/>
                                    </w:rPr>
                                    <w:t xml:space="preserve"> </w:t>
                                  </w:r>
                                </w:p>
                              </w:tc>
                              <w:tc>
                                <w:tcPr>
                                  <w:tcW w:w="1107" w:type="dxa"/>
                                  <w:noWrap w:val="0"/>
                                  <w:vAlign w:val="top"/>
                                </w:tcPr>
                                <w:p>
                                  <w:pPr>
                                    <w:pStyle w:val="17"/>
                                    <w:spacing w:before="105"/>
                                    <w:ind w:left="127"/>
                                    <w:rPr>
                                      <w:sz w:val="21"/>
                                      <w:szCs w:val="20"/>
                                    </w:rPr>
                                  </w:pPr>
                                  <w:r>
                                    <w:rPr>
                                      <w:sz w:val="21"/>
                                      <w:szCs w:val="20"/>
                                    </w:rPr>
                                    <w:t xml:space="preserve"> </w:t>
                                  </w:r>
                                </w:p>
                              </w:tc>
                              <w:tc>
                                <w:tcPr>
                                  <w:tcW w:w="1107" w:type="dxa"/>
                                  <w:noWrap w:val="0"/>
                                  <w:vAlign w:val="top"/>
                                </w:tcPr>
                                <w:p>
                                  <w:pPr>
                                    <w:pStyle w:val="17"/>
                                    <w:spacing w:before="105"/>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05"/>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699" w:type="dxa"/>
                                  <w:noWrap w:val="0"/>
                                  <w:vAlign w:val="top"/>
                                </w:tcPr>
                                <w:p>
                                  <w:pPr>
                                    <w:pStyle w:val="17"/>
                                    <w:spacing w:before="5"/>
                                    <w:rPr>
                                      <w:sz w:val="21"/>
                                      <w:szCs w:val="20"/>
                                    </w:rPr>
                                  </w:pPr>
                                </w:p>
                                <w:p>
                                  <w:pPr>
                                    <w:pStyle w:val="17"/>
                                    <w:spacing w:before="1"/>
                                    <w:ind w:left="164" w:right="15"/>
                                    <w:jc w:val="center"/>
                                    <w:rPr>
                                      <w:sz w:val="21"/>
                                      <w:szCs w:val="20"/>
                                    </w:rPr>
                                  </w:pPr>
                                  <w:r>
                                    <w:rPr>
                                      <w:sz w:val="21"/>
                                      <w:szCs w:val="20"/>
                                    </w:rPr>
                                    <w:t xml:space="preserve">6 </w:t>
                                  </w:r>
                                </w:p>
                              </w:tc>
                              <w:tc>
                                <w:tcPr>
                                  <w:tcW w:w="3991" w:type="dxa"/>
                                  <w:noWrap w:val="0"/>
                                  <w:vAlign w:val="top"/>
                                </w:tcPr>
                                <w:p>
                                  <w:pPr>
                                    <w:pStyle w:val="17"/>
                                    <w:spacing w:before="75"/>
                                    <w:ind w:left="112"/>
                                    <w:rPr>
                                      <w:sz w:val="21"/>
                                      <w:szCs w:val="20"/>
                                    </w:rPr>
                                  </w:pPr>
                                  <w:r>
                                    <w:rPr>
                                      <w:sz w:val="21"/>
                                      <w:szCs w:val="20"/>
                                    </w:rPr>
                                    <w:t>法律、行政法规规定的其他条件。</w:t>
                                  </w:r>
                                </w:p>
                                <w:p>
                                  <w:pPr>
                                    <w:pStyle w:val="17"/>
                                    <w:spacing w:before="98" w:line="295" w:lineRule="exact"/>
                                    <w:ind w:left="112"/>
                                    <w:rPr>
                                      <w:sz w:val="21"/>
                                      <w:szCs w:val="20"/>
                                    </w:rPr>
                                  </w:pPr>
                                  <w:r>
                                    <w:rPr>
                                      <w:sz w:val="21"/>
                                      <w:szCs w:val="20"/>
                                    </w:rPr>
                                    <w:t xml:space="preserve">(自行声明,格式自定）  </w:t>
                                  </w:r>
                                </w:p>
                              </w:tc>
                              <w:tc>
                                <w:tcPr>
                                  <w:tcW w:w="1093" w:type="dxa"/>
                                  <w:noWrap w:val="0"/>
                                  <w:vAlign w:val="top"/>
                                </w:tcPr>
                                <w:p>
                                  <w:pPr>
                                    <w:pStyle w:val="17"/>
                                    <w:spacing w:before="120"/>
                                    <w:ind w:left="112"/>
                                    <w:rPr>
                                      <w:sz w:val="21"/>
                                      <w:szCs w:val="20"/>
                                    </w:rPr>
                                  </w:pPr>
                                  <w:r>
                                    <w:rPr>
                                      <w:sz w:val="21"/>
                                      <w:szCs w:val="20"/>
                                    </w:rPr>
                                    <w:t xml:space="preserve"> </w:t>
                                  </w:r>
                                </w:p>
                              </w:tc>
                              <w:tc>
                                <w:tcPr>
                                  <w:tcW w:w="1107" w:type="dxa"/>
                                  <w:noWrap w:val="0"/>
                                  <w:vAlign w:val="top"/>
                                </w:tcPr>
                                <w:p>
                                  <w:pPr>
                                    <w:pStyle w:val="17"/>
                                    <w:spacing w:before="120"/>
                                    <w:ind w:left="127"/>
                                    <w:rPr>
                                      <w:sz w:val="21"/>
                                      <w:szCs w:val="20"/>
                                    </w:rPr>
                                  </w:pPr>
                                  <w:r>
                                    <w:rPr>
                                      <w:sz w:val="21"/>
                                      <w:szCs w:val="20"/>
                                    </w:rPr>
                                    <w:t xml:space="preserve"> </w:t>
                                  </w:r>
                                </w:p>
                              </w:tc>
                              <w:tc>
                                <w:tcPr>
                                  <w:tcW w:w="1107" w:type="dxa"/>
                                  <w:noWrap w:val="0"/>
                                  <w:vAlign w:val="top"/>
                                </w:tcPr>
                                <w:p>
                                  <w:pPr>
                                    <w:pStyle w:val="17"/>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1" w:hRule="atLeast"/>
                              </w:trPr>
                              <w:tc>
                                <w:tcPr>
                                  <w:tcW w:w="699" w:type="dxa"/>
                                  <w:noWrap w:val="0"/>
                                  <w:vAlign w:val="top"/>
                                </w:tcPr>
                                <w:p>
                                  <w:pPr>
                                    <w:pStyle w:val="17"/>
                                    <w:rPr>
                                      <w:sz w:val="21"/>
                                      <w:szCs w:val="20"/>
                                    </w:rPr>
                                  </w:pPr>
                                </w:p>
                                <w:p>
                                  <w:pPr>
                                    <w:pStyle w:val="17"/>
                                    <w:spacing w:before="7"/>
                                    <w:rPr>
                                      <w:sz w:val="28"/>
                                      <w:szCs w:val="20"/>
                                    </w:rPr>
                                  </w:pPr>
                                </w:p>
                                <w:p>
                                  <w:pPr>
                                    <w:pStyle w:val="17"/>
                                    <w:spacing w:before="1"/>
                                    <w:ind w:left="164" w:right="15"/>
                                    <w:jc w:val="center"/>
                                    <w:rPr>
                                      <w:sz w:val="21"/>
                                      <w:szCs w:val="20"/>
                                    </w:rPr>
                                  </w:pPr>
                                  <w:r>
                                    <w:rPr>
                                      <w:sz w:val="21"/>
                                      <w:szCs w:val="20"/>
                                    </w:rPr>
                                    <w:t xml:space="preserve">7 </w:t>
                                  </w:r>
                                </w:p>
                              </w:tc>
                              <w:tc>
                                <w:tcPr>
                                  <w:tcW w:w="3991" w:type="dxa"/>
                                  <w:noWrap w:val="0"/>
                                  <w:vAlign w:val="top"/>
                                </w:tcPr>
                                <w:p>
                                  <w:pPr>
                                    <w:pStyle w:val="17"/>
                                    <w:spacing w:before="30" w:line="266" w:lineRule="auto"/>
                                    <w:ind w:left="112" w:right="137"/>
                                    <w:jc w:val="both"/>
                                    <w:rPr>
                                      <w:sz w:val="21"/>
                                      <w:szCs w:val="20"/>
                                    </w:rPr>
                                  </w:pPr>
                                  <w:r>
                                    <w:rPr>
                                      <w:sz w:val="21"/>
                                      <w:szCs w:val="20"/>
                                    </w:rPr>
                                    <w:t>供应商须承诺：在信用中国网站、中国政府采购网等渠道查询中未被列入失信被执行人名单、重大税收违法案件当事人名单、政府采购严重违法失</w:t>
                                  </w:r>
                                </w:p>
                                <w:p>
                                  <w:pPr>
                                    <w:pStyle w:val="17"/>
                                    <w:spacing w:before="1" w:line="280" w:lineRule="exact"/>
                                    <w:ind w:left="112"/>
                                    <w:rPr>
                                      <w:sz w:val="21"/>
                                      <w:szCs w:val="20"/>
                                    </w:rPr>
                                  </w:pPr>
                                  <w:r>
                                    <w:rPr>
                                      <w:sz w:val="21"/>
                                      <w:szCs w:val="20"/>
                                    </w:rPr>
                                    <w:t>信行为记录名单中，如被列入失信被</w:t>
                                  </w:r>
                                </w:p>
                              </w:tc>
                              <w:tc>
                                <w:tcPr>
                                  <w:tcW w:w="1093" w:type="dxa"/>
                                  <w:noWrap w:val="0"/>
                                  <w:vAlign w:val="top"/>
                                </w:tcPr>
                                <w:p>
                                  <w:pPr>
                                    <w:pStyle w:val="17"/>
                                    <w:spacing w:before="120"/>
                                    <w:ind w:left="112"/>
                                    <w:rPr>
                                      <w:sz w:val="21"/>
                                      <w:szCs w:val="20"/>
                                    </w:rPr>
                                  </w:pPr>
                                  <w:r>
                                    <w:rPr>
                                      <w:sz w:val="21"/>
                                      <w:szCs w:val="20"/>
                                    </w:rPr>
                                    <w:t xml:space="preserve"> </w:t>
                                  </w:r>
                                </w:p>
                              </w:tc>
                              <w:tc>
                                <w:tcPr>
                                  <w:tcW w:w="1107" w:type="dxa"/>
                                  <w:noWrap w:val="0"/>
                                  <w:vAlign w:val="top"/>
                                </w:tcPr>
                                <w:p>
                                  <w:pPr>
                                    <w:pStyle w:val="17"/>
                                    <w:spacing w:before="120"/>
                                    <w:ind w:left="127"/>
                                    <w:rPr>
                                      <w:sz w:val="21"/>
                                      <w:szCs w:val="20"/>
                                    </w:rPr>
                                  </w:pPr>
                                  <w:r>
                                    <w:rPr>
                                      <w:sz w:val="21"/>
                                      <w:szCs w:val="20"/>
                                    </w:rPr>
                                    <w:t xml:space="preserve"> </w:t>
                                  </w:r>
                                </w:p>
                              </w:tc>
                              <w:tc>
                                <w:tcPr>
                                  <w:tcW w:w="1107" w:type="dxa"/>
                                  <w:noWrap w:val="0"/>
                                  <w:vAlign w:val="top"/>
                                </w:tcPr>
                                <w:p>
                                  <w:pPr>
                                    <w:pStyle w:val="17"/>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20"/>
                                    <w:ind w:left="111"/>
                                    <w:rPr>
                                      <w:sz w:val="21"/>
                                      <w:szCs w:val="20"/>
                                    </w:rPr>
                                  </w:pPr>
                                  <w:r>
                                    <w:rPr>
                                      <w:sz w:val="21"/>
                                      <w:szCs w:val="20"/>
                                    </w:rPr>
                                    <w:t xml:space="preserve"> </w:t>
                                  </w:r>
                                </w:p>
                              </w:tc>
                            </w:tr>
                          </w:tbl>
                          <w:p>
                            <w:pPr>
                              <w:pStyle w:val="6"/>
                            </w:pPr>
                          </w:p>
                        </w:txbxContent>
                      </wps:txbx>
                      <wps:bodyPr lIns="0" tIns="0" rIns="0" bIns="0" upright="1"/>
                    </wps:wsp>
                  </a:graphicData>
                </a:graphic>
              </wp:anchor>
            </w:drawing>
          </mc:Choice>
          <mc:Fallback>
            <w:pict>
              <v:shape id="_x0000_s1026" o:spid="_x0000_s1026" o:spt="202" type="#_x0000_t202" style="position:absolute;left:0pt;margin-left:79.55pt;margin-top:44.6pt;height:584.05pt;width:463pt;mso-position-horizontal-relative:page;z-index:251660288;mso-width-relative:page;mso-height-relative:page;" filled="f" stroked="f" coordsize="21600,21600" o:gfxdata="UEsDBAoAAAAAAIdO4kAAAAAAAAAAAAAAAAAEAAAAZHJzL1BLAwQUAAAACACHTuJA3dClhNkAAAAM&#10;AQAADwAAAGRycy9kb3ducmV2LnhtbE2PT0+EMBDF7yZ+h2ZMvLktGFZAysYYPZkYWTx4LLQLzdIp&#10;0u4fv72zJ73Nm3l583vV5uwmdjRLsB4lJCsBzGDvtcVBwmf7epcDC1GhVpNHI+HHBNjU11eVKrU/&#10;YWOO2zgwCsFQKgljjHPJeehH41RY+dkg3XZ+cSqSXAauF3WicDfxVIg1d8oifRjVbJ5H0++3Byfh&#10;6QubF/v93n00u8a2bSHwbb2X8vYmEY/AojnHPzNc8AkdamLq/AF1YBPprEjIKiEvUmAXg8gz2nQ0&#10;pdnDPfC64v9L1L9QSwMEFAAAAAgAh07iQK0Cn1i7AQAAcwMAAA4AAABkcnMvZTJvRG9jLnhtbK1T&#10;QW7bMBC8F+gfCN5r2m7SGILlAIWRokDRFkjyAJoiLQIklyBpS/5A8oOeeum97/I7uqQsJ00vOfRC&#10;rXZXszOz1PK6t4bsZYgaXE1nkykl0glotNvW9P7u5t2Ckpi4a7gBJ2t6kJFer96+WXa+knNowTQy&#10;EARxsep8TduUfMVYFK20PE7AS4dFBcHyhK9hy5rAO0S3hs2n0w+sg9D4AELGiNn1UKQnxPAaQFBK&#10;C7kGsbPSpQE1SMMTSoqt9pGuClulpEjflIoyEVNTVJrKiUMw3uSTrZa82gbuWy1OFPhrKLzQZLl2&#10;OPQMteaJk13Q/0BZLQJEUGkiwLJBSHEEVcymL7y5bbmXRQtaHf3Z9Pj/YMXX/fdAdFPTOSWOW1z4&#10;8cfj8efv468HMs/2dD5W2HXrsS/1H6HHSzPmIyaz6l4Fm5+oh2AdzT2czZV9IgKTl4sFKsSSwNrV&#10;xezq4v1lxmFPn/sQ0ycJluSgpgG3V0zl+y8xDa1jS57m4EYbUzZo3F8JxMwZlrkPHHOU+k1/ErSB&#10;5oB6zGeHXuZ7MQZhDDZjsPNBb1ukU1QXSNxF4X26N3nZz9/L4Kd/Zf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dClhNkAAAAMAQAADwAAAAAAAAABACAAAAAiAAAAZHJzL2Rvd25yZXYueG1sUEsB&#10;AhQAFAAAAAgAh07iQK0Cn1i7AQAAcwMAAA4AAAAAAAAAAQAgAAAAKAEAAGRycy9lMm9Eb2MueG1s&#10;UEsFBgAAAAAGAAYAWQEAAFUFAAAAAA==&#10;">
                <v:fill on="f" focussize="0,0"/>
                <v:stroke on="f"/>
                <v:imagedata o:title=""/>
                <o:lock v:ext="edit" aspectratio="f"/>
                <v:textbox inset="0mm,0mm,0mm,0mm">
                  <w:txbxContent>
                    <w:tbl>
                      <w:tblPr>
                        <w:tblStyle w:val="9"/>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3991"/>
                        <w:gridCol w:w="1093"/>
                        <w:gridCol w:w="1107"/>
                        <w:gridCol w:w="1107"/>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0" w:hRule="atLeast"/>
                        </w:trPr>
                        <w:tc>
                          <w:tcPr>
                            <w:tcW w:w="699" w:type="dxa"/>
                            <w:noWrap w:val="0"/>
                            <w:vAlign w:val="top"/>
                          </w:tcPr>
                          <w:p>
                            <w:pPr>
                              <w:pStyle w:val="17"/>
                              <w:spacing w:before="10"/>
                              <w:rPr>
                                <w:sz w:val="22"/>
                                <w:szCs w:val="20"/>
                              </w:rPr>
                            </w:pPr>
                          </w:p>
                          <w:p>
                            <w:pPr>
                              <w:pStyle w:val="17"/>
                              <w:ind w:left="171" w:right="15"/>
                              <w:jc w:val="center"/>
                              <w:rPr>
                                <w:sz w:val="21"/>
                                <w:szCs w:val="20"/>
                              </w:rPr>
                            </w:pPr>
                            <w:r>
                              <w:rPr>
                                <w:sz w:val="21"/>
                                <w:szCs w:val="20"/>
                              </w:rPr>
                              <w:t xml:space="preserve">序号 </w:t>
                            </w:r>
                          </w:p>
                        </w:tc>
                        <w:tc>
                          <w:tcPr>
                            <w:tcW w:w="3991" w:type="dxa"/>
                            <w:noWrap w:val="0"/>
                            <w:vAlign w:val="top"/>
                          </w:tcPr>
                          <w:p>
                            <w:pPr>
                              <w:pStyle w:val="17"/>
                              <w:spacing w:before="11" w:line="436" w:lineRule="exact"/>
                              <w:ind w:left="112" w:right="741"/>
                              <w:rPr>
                                <w:sz w:val="21"/>
                                <w:szCs w:val="20"/>
                              </w:rPr>
                            </w:pPr>
                            <w:r>
                              <w:rPr>
                                <w:sz w:val="21"/>
                                <w:szCs w:val="20"/>
                              </w:rPr>
                              <w:t xml:space="preserve">                供应商名称资格审查内容 </w:t>
                            </w:r>
                          </w:p>
                        </w:tc>
                        <w:tc>
                          <w:tcPr>
                            <w:tcW w:w="1093" w:type="dxa"/>
                            <w:noWrap w:val="0"/>
                            <w:vAlign w:val="top"/>
                          </w:tcPr>
                          <w:p>
                            <w:pPr>
                              <w:pStyle w:val="17"/>
                              <w:spacing w:before="10"/>
                              <w:rPr>
                                <w:sz w:val="22"/>
                                <w:szCs w:val="20"/>
                              </w:rPr>
                            </w:pPr>
                          </w:p>
                          <w:p>
                            <w:pPr>
                              <w:pStyle w:val="17"/>
                              <w:ind w:left="382"/>
                              <w:rPr>
                                <w:sz w:val="21"/>
                                <w:szCs w:val="20"/>
                              </w:rPr>
                            </w:pPr>
                            <w:r>
                              <w:rPr>
                                <w:sz w:val="21"/>
                                <w:szCs w:val="20"/>
                              </w:rPr>
                              <w:t xml:space="preserve">A-1 </w:t>
                            </w:r>
                          </w:p>
                        </w:tc>
                        <w:tc>
                          <w:tcPr>
                            <w:tcW w:w="1107" w:type="dxa"/>
                            <w:noWrap w:val="0"/>
                            <w:vAlign w:val="top"/>
                          </w:tcPr>
                          <w:p>
                            <w:pPr>
                              <w:pStyle w:val="17"/>
                              <w:spacing w:before="10"/>
                              <w:rPr>
                                <w:sz w:val="22"/>
                                <w:szCs w:val="20"/>
                              </w:rPr>
                            </w:pPr>
                          </w:p>
                          <w:p>
                            <w:pPr>
                              <w:pStyle w:val="17"/>
                              <w:ind w:left="397"/>
                              <w:rPr>
                                <w:sz w:val="21"/>
                                <w:szCs w:val="20"/>
                              </w:rPr>
                            </w:pPr>
                            <w:r>
                              <w:rPr>
                                <w:sz w:val="21"/>
                                <w:szCs w:val="20"/>
                              </w:rPr>
                              <w:t xml:space="preserve">A-2 </w:t>
                            </w:r>
                          </w:p>
                        </w:tc>
                        <w:tc>
                          <w:tcPr>
                            <w:tcW w:w="1107" w:type="dxa"/>
                            <w:noWrap w:val="0"/>
                            <w:vAlign w:val="top"/>
                          </w:tcPr>
                          <w:p>
                            <w:pPr>
                              <w:pStyle w:val="17"/>
                              <w:spacing w:before="10"/>
                              <w:rPr>
                                <w:sz w:val="22"/>
                                <w:szCs w:val="20"/>
                              </w:rPr>
                            </w:pPr>
                          </w:p>
                          <w:p>
                            <w:pPr>
                              <w:pStyle w:val="17"/>
                              <w:ind w:left="382"/>
                              <w:rPr>
                                <w:sz w:val="21"/>
                                <w:szCs w:val="20"/>
                              </w:rPr>
                            </w:pPr>
                            <w:r>
                              <w:rPr>
                                <w:sz w:val="21"/>
                                <w:szCs w:val="20"/>
                              </w:rPr>
                              <w:t xml:space="preserve">A-3 </w:t>
                            </w:r>
                          </w:p>
                        </w:tc>
                        <w:tc>
                          <w:tcPr>
                            <w:tcW w:w="961" w:type="dxa"/>
                            <w:tcBorders>
                              <w:right w:val="single" w:color="000000" w:sz="8" w:space="0"/>
                            </w:tcBorders>
                            <w:noWrap w:val="0"/>
                            <w:vAlign w:val="top"/>
                          </w:tcPr>
                          <w:p>
                            <w:pPr>
                              <w:pStyle w:val="17"/>
                              <w:spacing w:before="10"/>
                              <w:rPr>
                                <w:sz w:val="22"/>
                                <w:szCs w:val="20"/>
                              </w:rPr>
                            </w:pPr>
                          </w:p>
                          <w:p>
                            <w:pPr>
                              <w:pStyle w:val="17"/>
                              <w:ind w:left="26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 w:hRule="atLeast"/>
                        </w:trPr>
                        <w:tc>
                          <w:tcPr>
                            <w:tcW w:w="699" w:type="dxa"/>
                            <w:noWrap w:val="0"/>
                            <w:vAlign w:val="top"/>
                          </w:tcPr>
                          <w:p>
                            <w:pPr>
                              <w:pStyle w:val="17"/>
                              <w:rPr>
                                <w:sz w:val="21"/>
                                <w:szCs w:val="20"/>
                              </w:rPr>
                            </w:pPr>
                          </w:p>
                          <w:p>
                            <w:pPr>
                              <w:pStyle w:val="17"/>
                              <w:rPr>
                                <w:sz w:val="21"/>
                                <w:szCs w:val="20"/>
                              </w:rPr>
                            </w:pPr>
                          </w:p>
                          <w:p>
                            <w:pPr>
                              <w:pStyle w:val="17"/>
                              <w:rPr>
                                <w:sz w:val="21"/>
                                <w:szCs w:val="20"/>
                              </w:rPr>
                            </w:pPr>
                          </w:p>
                          <w:p>
                            <w:pPr>
                              <w:pStyle w:val="17"/>
                              <w:spacing w:before="161"/>
                              <w:ind w:left="164" w:right="15"/>
                              <w:jc w:val="center"/>
                              <w:rPr>
                                <w:sz w:val="21"/>
                                <w:szCs w:val="20"/>
                              </w:rPr>
                            </w:pPr>
                            <w:r>
                              <w:rPr>
                                <w:sz w:val="21"/>
                                <w:szCs w:val="20"/>
                              </w:rPr>
                              <w:t xml:space="preserve">1 </w:t>
                            </w:r>
                          </w:p>
                        </w:tc>
                        <w:tc>
                          <w:tcPr>
                            <w:tcW w:w="3991" w:type="dxa"/>
                            <w:noWrap w:val="0"/>
                            <w:vAlign w:val="top"/>
                          </w:tcPr>
                          <w:p>
                            <w:pPr>
                              <w:pStyle w:val="17"/>
                              <w:spacing w:before="63" w:line="316" w:lineRule="auto"/>
                              <w:ind w:left="112" w:right="137"/>
                              <w:rPr>
                                <w:sz w:val="21"/>
                                <w:szCs w:val="20"/>
                              </w:rPr>
                            </w:pPr>
                            <w:r>
                              <w:rPr>
                                <w:sz w:val="21"/>
                                <w:szCs w:val="20"/>
                              </w:rPr>
                              <w:t xml:space="preserve">具有独立承担民事责任的能力：法人或者其他组织的营业执照证明文件(工商营业执照副本、组织机构代码证副本和税务登记证副本等，或多证合一的营业执照)，或自然人的身份 </w:t>
                            </w:r>
                            <w:r>
                              <w:rPr>
                                <w:spacing w:val="-1"/>
                                <w:sz w:val="21"/>
                                <w:szCs w:val="20"/>
                              </w:rPr>
                              <w:t>证明</w:t>
                            </w:r>
                            <w:r>
                              <w:rPr>
                                <w:sz w:val="21"/>
                                <w:szCs w:val="20"/>
                              </w:rPr>
                              <w:t xml:space="preserve">；（复印件加盖投标单位公章） </w:t>
                            </w:r>
                          </w:p>
                        </w:tc>
                        <w:tc>
                          <w:tcPr>
                            <w:tcW w:w="1093" w:type="dxa"/>
                            <w:noWrap w:val="0"/>
                            <w:vAlign w:val="top"/>
                          </w:tcPr>
                          <w:p>
                            <w:pPr>
                              <w:pStyle w:val="17"/>
                              <w:spacing w:before="108"/>
                              <w:ind w:left="112"/>
                              <w:rPr>
                                <w:sz w:val="21"/>
                                <w:szCs w:val="20"/>
                              </w:rPr>
                            </w:pPr>
                            <w:r>
                              <w:rPr>
                                <w:sz w:val="21"/>
                                <w:szCs w:val="20"/>
                              </w:rPr>
                              <w:t xml:space="preserve"> </w:t>
                            </w:r>
                          </w:p>
                        </w:tc>
                        <w:tc>
                          <w:tcPr>
                            <w:tcW w:w="1107" w:type="dxa"/>
                            <w:noWrap w:val="0"/>
                            <w:vAlign w:val="top"/>
                          </w:tcPr>
                          <w:p>
                            <w:pPr>
                              <w:pStyle w:val="17"/>
                              <w:spacing w:before="108"/>
                              <w:ind w:left="127"/>
                              <w:rPr>
                                <w:sz w:val="21"/>
                                <w:szCs w:val="20"/>
                              </w:rPr>
                            </w:pPr>
                            <w:r>
                              <w:rPr>
                                <w:sz w:val="21"/>
                                <w:szCs w:val="20"/>
                              </w:rPr>
                              <w:t xml:space="preserve"> </w:t>
                            </w:r>
                          </w:p>
                        </w:tc>
                        <w:tc>
                          <w:tcPr>
                            <w:tcW w:w="1107" w:type="dxa"/>
                            <w:noWrap w:val="0"/>
                            <w:vAlign w:val="top"/>
                          </w:tcPr>
                          <w:p>
                            <w:pPr>
                              <w:pStyle w:val="17"/>
                              <w:spacing w:before="108"/>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08"/>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atLeast"/>
                        </w:trPr>
                        <w:tc>
                          <w:tcPr>
                            <w:tcW w:w="699" w:type="dxa"/>
                            <w:noWrap w:val="0"/>
                            <w:vAlign w:val="top"/>
                          </w:tcPr>
                          <w:p>
                            <w:pPr>
                              <w:pStyle w:val="17"/>
                              <w:rPr>
                                <w:sz w:val="21"/>
                                <w:szCs w:val="20"/>
                              </w:rPr>
                            </w:pPr>
                          </w:p>
                          <w:p>
                            <w:pPr>
                              <w:pStyle w:val="17"/>
                              <w:spacing w:before="11"/>
                              <w:rPr>
                                <w:sz w:val="24"/>
                                <w:szCs w:val="20"/>
                              </w:rPr>
                            </w:pPr>
                          </w:p>
                          <w:p>
                            <w:pPr>
                              <w:pStyle w:val="17"/>
                              <w:spacing w:before="1"/>
                              <w:ind w:left="164" w:right="15"/>
                              <w:jc w:val="center"/>
                              <w:rPr>
                                <w:sz w:val="21"/>
                                <w:szCs w:val="20"/>
                              </w:rPr>
                            </w:pPr>
                            <w:r>
                              <w:rPr>
                                <w:sz w:val="21"/>
                                <w:szCs w:val="20"/>
                              </w:rPr>
                              <w:t xml:space="preserve">2 </w:t>
                            </w:r>
                          </w:p>
                        </w:tc>
                        <w:tc>
                          <w:tcPr>
                            <w:tcW w:w="3991" w:type="dxa"/>
                            <w:noWrap w:val="0"/>
                            <w:vAlign w:val="top"/>
                          </w:tcPr>
                          <w:p>
                            <w:pPr>
                              <w:pStyle w:val="17"/>
                              <w:keepNext w:val="0"/>
                              <w:keepLines w:val="0"/>
                              <w:pageBreakBefore w:val="0"/>
                              <w:widowControl w:val="0"/>
                              <w:kinsoku/>
                              <w:wordWrap/>
                              <w:overflowPunct/>
                              <w:topLinePunct w:val="0"/>
                              <w:autoSpaceDE/>
                              <w:autoSpaceDN/>
                              <w:bidi w:val="0"/>
                              <w:adjustRightInd/>
                              <w:snapToGrid/>
                              <w:spacing w:line="310" w:lineRule="auto"/>
                              <w:ind w:left="113" w:right="0"/>
                              <w:textAlignment w:val="auto"/>
                              <w:rPr>
                                <w:sz w:val="21"/>
                                <w:szCs w:val="20"/>
                              </w:rPr>
                            </w:pPr>
                            <w:r>
                              <w:rPr>
                                <w:sz w:val="21"/>
                                <w:szCs w:val="20"/>
                              </w:rPr>
                              <w:t xml:space="preserve">财务状况报告（经合法审计机构出具的2019年度或2020年度财务审计报告，或银行出具的有效的资信证明）； </w:t>
                            </w:r>
                          </w:p>
                        </w:tc>
                        <w:tc>
                          <w:tcPr>
                            <w:tcW w:w="1093" w:type="dxa"/>
                            <w:noWrap w:val="0"/>
                            <w:vAlign w:val="top"/>
                          </w:tcPr>
                          <w:p>
                            <w:pPr>
                              <w:pStyle w:val="17"/>
                              <w:spacing w:before="120"/>
                              <w:ind w:left="112"/>
                              <w:rPr>
                                <w:sz w:val="21"/>
                                <w:szCs w:val="20"/>
                              </w:rPr>
                            </w:pPr>
                            <w:r>
                              <w:rPr>
                                <w:sz w:val="21"/>
                                <w:szCs w:val="20"/>
                              </w:rPr>
                              <w:t xml:space="preserve"> </w:t>
                            </w:r>
                          </w:p>
                        </w:tc>
                        <w:tc>
                          <w:tcPr>
                            <w:tcW w:w="1107" w:type="dxa"/>
                            <w:noWrap w:val="0"/>
                            <w:vAlign w:val="top"/>
                          </w:tcPr>
                          <w:p>
                            <w:pPr>
                              <w:pStyle w:val="17"/>
                              <w:spacing w:before="120"/>
                              <w:ind w:left="127"/>
                              <w:rPr>
                                <w:sz w:val="21"/>
                                <w:szCs w:val="20"/>
                              </w:rPr>
                            </w:pPr>
                            <w:r>
                              <w:rPr>
                                <w:sz w:val="21"/>
                                <w:szCs w:val="20"/>
                              </w:rPr>
                              <w:t xml:space="preserve"> </w:t>
                            </w:r>
                          </w:p>
                        </w:tc>
                        <w:tc>
                          <w:tcPr>
                            <w:tcW w:w="1107" w:type="dxa"/>
                            <w:noWrap w:val="0"/>
                            <w:vAlign w:val="top"/>
                          </w:tcPr>
                          <w:p>
                            <w:pPr>
                              <w:pStyle w:val="17"/>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2" w:hRule="atLeast"/>
                        </w:trPr>
                        <w:tc>
                          <w:tcPr>
                            <w:tcW w:w="699" w:type="dxa"/>
                            <w:noWrap w:val="0"/>
                            <w:vAlign w:val="top"/>
                          </w:tcPr>
                          <w:p>
                            <w:pPr>
                              <w:pStyle w:val="17"/>
                              <w:rPr>
                                <w:sz w:val="21"/>
                                <w:szCs w:val="20"/>
                              </w:rPr>
                            </w:pPr>
                          </w:p>
                          <w:p>
                            <w:pPr>
                              <w:pStyle w:val="17"/>
                              <w:rPr>
                                <w:sz w:val="21"/>
                                <w:szCs w:val="20"/>
                              </w:rPr>
                            </w:pPr>
                          </w:p>
                          <w:p>
                            <w:pPr>
                              <w:pStyle w:val="17"/>
                              <w:spacing w:before="181"/>
                              <w:ind w:left="164" w:right="15"/>
                              <w:jc w:val="center"/>
                              <w:rPr>
                                <w:sz w:val="21"/>
                                <w:szCs w:val="20"/>
                              </w:rPr>
                            </w:pPr>
                            <w:r>
                              <w:rPr>
                                <w:sz w:val="21"/>
                                <w:szCs w:val="20"/>
                              </w:rPr>
                              <w:t xml:space="preserve">3 </w:t>
                            </w:r>
                          </w:p>
                        </w:tc>
                        <w:tc>
                          <w:tcPr>
                            <w:tcW w:w="3991" w:type="dxa"/>
                            <w:noWrap w:val="0"/>
                            <w:vAlign w:val="top"/>
                          </w:tcPr>
                          <w:p>
                            <w:pPr>
                              <w:pStyle w:val="17"/>
                              <w:spacing w:before="4" w:line="235" w:lineRule="auto"/>
                              <w:ind w:left="112" w:right="137"/>
                              <w:jc w:val="both"/>
                              <w:rPr>
                                <w:sz w:val="21"/>
                                <w:szCs w:val="20"/>
                              </w:rPr>
                            </w:pPr>
                            <w:r>
                              <w:rPr>
                                <w:sz w:val="21"/>
                                <w:szCs w:val="20"/>
                              </w:rPr>
                              <w:t xml:space="preserve">依法缴纳税收（2021年1月至今任意3 个月缴纳税收的凭据或证明材料复印件（依法免税的供应商须提供相应证明文件））和社会保障资金（2021年1月至今任意3个月社会保障资金缴纳证明材料复印件)的相关材料； </w:t>
                            </w:r>
                          </w:p>
                        </w:tc>
                        <w:tc>
                          <w:tcPr>
                            <w:tcW w:w="1093" w:type="dxa"/>
                            <w:noWrap w:val="0"/>
                            <w:vAlign w:val="top"/>
                          </w:tcPr>
                          <w:p>
                            <w:pPr>
                              <w:pStyle w:val="17"/>
                              <w:spacing w:before="120"/>
                              <w:ind w:left="112"/>
                              <w:rPr>
                                <w:sz w:val="21"/>
                                <w:szCs w:val="20"/>
                              </w:rPr>
                            </w:pPr>
                            <w:r>
                              <w:rPr>
                                <w:sz w:val="21"/>
                                <w:szCs w:val="20"/>
                              </w:rPr>
                              <w:t xml:space="preserve"> </w:t>
                            </w:r>
                          </w:p>
                        </w:tc>
                        <w:tc>
                          <w:tcPr>
                            <w:tcW w:w="1107" w:type="dxa"/>
                            <w:noWrap w:val="0"/>
                            <w:vAlign w:val="top"/>
                          </w:tcPr>
                          <w:p>
                            <w:pPr>
                              <w:pStyle w:val="17"/>
                              <w:spacing w:before="120"/>
                              <w:ind w:left="127"/>
                              <w:rPr>
                                <w:sz w:val="21"/>
                                <w:szCs w:val="20"/>
                              </w:rPr>
                            </w:pPr>
                            <w:r>
                              <w:rPr>
                                <w:sz w:val="21"/>
                                <w:szCs w:val="20"/>
                              </w:rPr>
                              <w:t xml:space="preserve"> </w:t>
                            </w:r>
                          </w:p>
                        </w:tc>
                        <w:tc>
                          <w:tcPr>
                            <w:tcW w:w="1107" w:type="dxa"/>
                            <w:noWrap w:val="0"/>
                            <w:vAlign w:val="top"/>
                          </w:tcPr>
                          <w:p>
                            <w:pPr>
                              <w:pStyle w:val="17"/>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699" w:type="dxa"/>
                            <w:noWrap w:val="0"/>
                            <w:vAlign w:val="top"/>
                          </w:tcPr>
                          <w:p>
                            <w:pPr>
                              <w:pStyle w:val="17"/>
                              <w:rPr>
                                <w:sz w:val="21"/>
                                <w:szCs w:val="20"/>
                              </w:rPr>
                            </w:pPr>
                          </w:p>
                          <w:p>
                            <w:pPr>
                              <w:pStyle w:val="17"/>
                              <w:spacing w:before="188"/>
                              <w:ind w:left="164" w:right="15"/>
                              <w:jc w:val="center"/>
                              <w:rPr>
                                <w:sz w:val="21"/>
                                <w:szCs w:val="20"/>
                              </w:rPr>
                            </w:pPr>
                            <w:r>
                              <w:rPr>
                                <w:sz w:val="21"/>
                                <w:szCs w:val="20"/>
                              </w:rPr>
                              <w:t xml:space="preserve">4 </w:t>
                            </w:r>
                          </w:p>
                        </w:tc>
                        <w:tc>
                          <w:tcPr>
                            <w:tcW w:w="3991" w:type="dxa"/>
                            <w:noWrap w:val="0"/>
                            <w:vAlign w:val="top"/>
                          </w:tcPr>
                          <w:p>
                            <w:pPr>
                              <w:pStyle w:val="17"/>
                              <w:spacing w:before="5" w:line="235" w:lineRule="auto"/>
                              <w:ind w:left="112" w:right="137"/>
                              <w:rPr>
                                <w:sz w:val="21"/>
                                <w:szCs w:val="20"/>
                              </w:rPr>
                            </w:pPr>
                            <w:r>
                              <w:rPr>
                                <w:sz w:val="21"/>
                                <w:szCs w:val="20"/>
                              </w:rPr>
                              <w:t xml:space="preserve">具备履行合同所必需的设备和专业技术能力的证明材料；(提供承诺函（格式自定）或提供相关证明材料复印件) </w:t>
                            </w:r>
                          </w:p>
                        </w:tc>
                        <w:tc>
                          <w:tcPr>
                            <w:tcW w:w="1093" w:type="dxa"/>
                            <w:noWrap w:val="0"/>
                            <w:vAlign w:val="top"/>
                          </w:tcPr>
                          <w:p>
                            <w:pPr>
                              <w:pStyle w:val="17"/>
                              <w:spacing w:before="120"/>
                              <w:ind w:left="112"/>
                              <w:rPr>
                                <w:sz w:val="21"/>
                                <w:szCs w:val="20"/>
                              </w:rPr>
                            </w:pPr>
                            <w:r>
                              <w:rPr>
                                <w:sz w:val="21"/>
                                <w:szCs w:val="20"/>
                              </w:rPr>
                              <w:t xml:space="preserve"> </w:t>
                            </w:r>
                          </w:p>
                        </w:tc>
                        <w:tc>
                          <w:tcPr>
                            <w:tcW w:w="1107" w:type="dxa"/>
                            <w:noWrap w:val="0"/>
                            <w:vAlign w:val="top"/>
                          </w:tcPr>
                          <w:p>
                            <w:pPr>
                              <w:pStyle w:val="17"/>
                              <w:spacing w:before="120"/>
                              <w:ind w:left="127"/>
                              <w:rPr>
                                <w:sz w:val="21"/>
                                <w:szCs w:val="20"/>
                              </w:rPr>
                            </w:pPr>
                            <w:r>
                              <w:rPr>
                                <w:sz w:val="21"/>
                                <w:szCs w:val="20"/>
                              </w:rPr>
                              <w:t xml:space="preserve"> </w:t>
                            </w:r>
                          </w:p>
                        </w:tc>
                        <w:tc>
                          <w:tcPr>
                            <w:tcW w:w="1107" w:type="dxa"/>
                            <w:noWrap w:val="0"/>
                            <w:vAlign w:val="top"/>
                          </w:tcPr>
                          <w:p>
                            <w:pPr>
                              <w:pStyle w:val="17"/>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trPr>
                        <w:tc>
                          <w:tcPr>
                            <w:tcW w:w="699" w:type="dxa"/>
                            <w:noWrap w:val="0"/>
                            <w:vAlign w:val="top"/>
                          </w:tcPr>
                          <w:p>
                            <w:pPr>
                              <w:pStyle w:val="17"/>
                              <w:rPr>
                                <w:sz w:val="21"/>
                                <w:szCs w:val="20"/>
                              </w:rPr>
                            </w:pPr>
                          </w:p>
                          <w:p>
                            <w:pPr>
                              <w:pStyle w:val="17"/>
                              <w:spacing w:before="188"/>
                              <w:ind w:left="164" w:right="15"/>
                              <w:jc w:val="center"/>
                              <w:rPr>
                                <w:sz w:val="21"/>
                                <w:szCs w:val="20"/>
                              </w:rPr>
                            </w:pPr>
                            <w:r>
                              <w:rPr>
                                <w:sz w:val="21"/>
                                <w:szCs w:val="20"/>
                              </w:rPr>
                              <w:t xml:space="preserve">5 </w:t>
                            </w:r>
                          </w:p>
                        </w:tc>
                        <w:tc>
                          <w:tcPr>
                            <w:tcW w:w="3991" w:type="dxa"/>
                            <w:noWrap w:val="0"/>
                            <w:vAlign w:val="top"/>
                          </w:tcPr>
                          <w:p>
                            <w:pPr>
                              <w:pStyle w:val="17"/>
                              <w:spacing w:before="60" w:line="316" w:lineRule="auto"/>
                              <w:ind w:left="112" w:right="137"/>
                              <w:rPr>
                                <w:sz w:val="21"/>
                                <w:szCs w:val="20"/>
                              </w:rPr>
                            </w:pPr>
                            <w:r>
                              <w:rPr>
                                <w:sz w:val="21"/>
                                <w:szCs w:val="20"/>
                              </w:rPr>
                              <w:t>参加政府采购活动前3年内在经营活动中没有重大违法记录的书面声明；</w:t>
                            </w:r>
                          </w:p>
                          <w:p>
                            <w:pPr>
                              <w:pStyle w:val="17"/>
                              <w:spacing w:line="294" w:lineRule="exact"/>
                              <w:ind w:left="112"/>
                              <w:rPr>
                                <w:sz w:val="21"/>
                                <w:szCs w:val="20"/>
                              </w:rPr>
                            </w:pPr>
                            <w:r>
                              <w:rPr>
                                <w:sz w:val="21"/>
                                <w:szCs w:val="20"/>
                              </w:rPr>
                              <w:t xml:space="preserve">（自行声明,格式自定） </w:t>
                            </w:r>
                          </w:p>
                        </w:tc>
                        <w:tc>
                          <w:tcPr>
                            <w:tcW w:w="1093" w:type="dxa"/>
                            <w:noWrap w:val="0"/>
                            <w:vAlign w:val="top"/>
                          </w:tcPr>
                          <w:p>
                            <w:pPr>
                              <w:pStyle w:val="17"/>
                              <w:spacing w:before="105"/>
                              <w:ind w:left="112"/>
                              <w:rPr>
                                <w:sz w:val="21"/>
                                <w:szCs w:val="20"/>
                              </w:rPr>
                            </w:pPr>
                            <w:r>
                              <w:rPr>
                                <w:sz w:val="21"/>
                                <w:szCs w:val="20"/>
                              </w:rPr>
                              <w:t xml:space="preserve"> </w:t>
                            </w:r>
                          </w:p>
                        </w:tc>
                        <w:tc>
                          <w:tcPr>
                            <w:tcW w:w="1107" w:type="dxa"/>
                            <w:noWrap w:val="0"/>
                            <w:vAlign w:val="top"/>
                          </w:tcPr>
                          <w:p>
                            <w:pPr>
                              <w:pStyle w:val="17"/>
                              <w:spacing w:before="105"/>
                              <w:ind w:left="127"/>
                              <w:rPr>
                                <w:sz w:val="21"/>
                                <w:szCs w:val="20"/>
                              </w:rPr>
                            </w:pPr>
                            <w:r>
                              <w:rPr>
                                <w:sz w:val="21"/>
                                <w:szCs w:val="20"/>
                              </w:rPr>
                              <w:t xml:space="preserve"> </w:t>
                            </w:r>
                          </w:p>
                        </w:tc>
                        <w:tc>
                          <w:tcPr>
                            <w:tcW w:w="1107" w:type="dxa"/>
                            <w:noWrap w:val="0"/>
                            <w:vAlign w:val="top"/>
                          </w:tcPr>
                          <w:p>
                            <w:pPr>
                              <w:pStyle w:val="17"/>
                              <w:spacing w:before="105"/>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05"/>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699" w:type="dxa"/>
                            <w:noWrap w:val="0"/>
                            <w:vAlign w:val="top"/>
                          </w:tcPr>
                          <w:p>
                            <w:pPr>
                              <w:pStyle w:val="17"/>
                              <w:spacing w:before="5"/>
                              <w:rPr>
                                <w:sz w:val="21"/>
                                <w:szCs w:val="20"/>
                              </w:rPr>
                            </w:pPr>
                          </w:p>
                          <w:p>
                            <w:pPr>
                              <w:pStyle w:val="17"/>
                              <w:spacing w:before="1"/>
                              <w:ind w:left="164" w:right="15"/>
                              <w:jc w:val="center"/>
                              <w:rPr>
                                <w:sz w:val="21"/>
                                <w:szCs w:val="20"/>
                              </w:rPr>
                            </w:pPr>
                            <w:r>
                              <w:rPr>
                                <w:sz w:val="21"/>
                                <w:szCs w:val="20"/>
                              </w:rPr>
                              <w:t xml:space="preserve">6 </w:t>
                            </w:r>
                          </w:p>
                        </w:tc>
                        <w:tc>
                          <w:tcPr>
                            <w:tcW w:w="3991" w:type="dxa"/>
                            <w:noWrap w:val="0"/>
                            <w:vAlign w:val="top"/>
                          </w:tcPr>
                          <w:p>
                            <w:pPr>
                              <w:pStyle w:val="17"/>
                              <w:spacing w:before="75"/>
                              <w:ind w:left="112"/>
                              <w:rPr>
                                <w:sz w:val="21"/>
                                <w:szCs w:val="20"/>
                              </w:rPr>
                            </w:pPr>
                            <w:r>
                              <w:rPr>
                                <w:sz w:val="21"/>
                                <w:szCs w:val="20"/>
                              </w:rPr>
                              <w:t>法律、行政法规规定的其他条件。</w:t>
                            </w:r>
                          </w:p>
                          <w:p>
                            <w:pPr>
                              <w:pStyle w:val="17"/>
                              <w:spacing w:before="98" w:line="295" w:lineRule="exact"/>
                              <w:ind w:left="112"/>
                              <w:rPr>
                                <w:sz w:val="21"/>
                                <w:szCs w:val="20"/>
                              </w:rPr>
                            </w:pPr>
                            <w:r>
                              <w:rPr>
                                <w:sz w:val="21"/>
                                <w:szCs w:val="20"/>
                              </w:rPr>
                              <w:t xml:space="preserve">(自行声明,格式自定）  </w:t>
                            </w:r>
                          </w:p>
                        </w:tc>
                        <w:tc>
                          <w:tcPr>
                            <w:tcW w:w="1093" w:type="dxa"/>
                            <w:noWrap w:val="0"/>
                            <w:vAlign w:val="top"/>
                          </w:tcPr>
                          <w:p>
                            <w:pPr>
                              <w:pStyle w:val="17"/>
                              <w:spacing w:before="120"/>
                              <w:ind w:left="112"/>
                              <w:rPr>
                                <w:sz w:val="21"/>
                                <w:szCs w:val="20"/>
                              </w:rPr>
                            </w:pPr>
                            <w:r>
                              <w:rPr>
                                <w:sz w:val="21"/>
                                <w:szCs w:val="20"/>
                              </w:rPr>
                              <w:t xml:space="preserve"> </w:t>
                            </w:r>
                          </w:p>
                        </w:tc>
                        <w:tc>
                          <w:tcPr>
                            <w:tcW w:w="1107" w:type="dxa"/>
                            <w:noWrap w:val="0"/>
                            <w:vAlign w:val="top"/>
                          </w:tcPr>
                          <w:p>
                            <w:pPr>
                              <w:pStyle w:val="17"/>
                              <w:spacing w:before="120"/>
                              <w:ind w:left="127"/>
                              <w:rPr>
                                <w:sz w:val="21"/>
                                <w:szCs w:val="20"/>
                              </w:rPr>
                            </w:pPr>
                            <w:r>
                              <w:rPr>
                                <w:sz w:val="21"/>
                                <w:szCs w:val="20"/>
                              </w:rPr>
                              <w:t xml:space="preserve"> </w:t>
                            </w:r>
                          </w:p>
                        </w:tc>
                        <w:tc>
                          <w:tcPr>
                            <w:tcW w:w="1107" w:type="dxa"/>
                            <w:noWrap w:val="0"/>
                            <w:vAlign w:val="top"/>
                          </w:tcPr>
                          <w:p>
                            <w:pPr>
                              <w:pStyle w:val="17"/>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20"/>
                              <w:ind w:left="111"/>
                              <w:rPr>
                                <w:sz w:val="21"/>
                                <w:szCs w:val="20"/>
                              </w:rPr>
                            </w:pPr>
                            <w:r>
                              <w:rPr>
                                <w:sz w:val="21"/>
                                <w:szCs w:val="2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1" w:hRule="atLeast"/>
                        </w:trPr>
                        <w:tc>
                          <w:tcPr>
                            <w:tcW w:w="699" w:type="dxa"/>
                            <w:noWrap w:val="0"/>
                            <w:vAlign w:val="top"/>
                          </w:tcPr>
                          <w:p>
                            <w:pPr>
                              <w:pStyle w:val="17"/>
                              <w:rPr>
                                <w:sz w:val="21"/>
                                <w:szCs w:val="20"/>
                              </w:rPr>
                            </w:pPr>
                          </w:p>
                          <w:p>
                            <w:pPr>
                              <w:pStyle w:val="17"/>
                              <w:spacing w:before="7"/>
                              <w:rPr>
                                <w:sz w:val="28"/>
                                <w:szCs w:val="20"/>
                              </w:rPr>
                            </w:pPr>
                          </w:p>
                          <w:p>
                            <w:pPr>
                              <w:pStyle w:val="17"/>
                              <w:spacing w:before="1"/>
                              <w:ind w:left="164" w:right="15"/>
                              <w:jc w:val="center"/>
                              <w:rPr>
                                <w:sz w:val="21"/>
                                <w:szCs w:val="20"/>
                              </w:rPr>
                            </w:pPr>
                            <w:r>
                              <w:rPr>
                                <w:sz w:val="21"/>
                                <w:szCs w:val="20"/>
                              </w:rPr>
                              <w:t xml:space="preserve">7 </w:t>
                            </w:r>
                          </w:p>
                        </w:tc>
                        <w:tc>
                          <w:tcPr>
                            <w:tcW w:w="3991" w:type="dxa"/>
                            <w:noWrap w:val="0"/>
                            <w:vAlign w:val="top"/>
                          </w:tcPr>
                          <w:p>
                            <w:pPr>
                              <w:pStyle w:val="17"/>
                              <w:spacing w:before="30" w:line="266" w:lineRule="auto"/>
                              <w:ind w:left="112" w:right="137"/>
                              <w:jc w:val="both"/>
                              <w:rPr>
                                <w:sz w:val="21"/>
                                <w:szCs w:val="20"/>
                              </w:rPr>
                            </w:pPr>
                            <w:r>
                              <w:rPr>
                                <w:sz w:val="21"/>
                                <w:szCs w:val="20"/>
                              </w:rPr>
                              <w:t>供应商须承诺：在信用中国网站、中国政府采购网等渠道查询中未被列入失信被执行人名单、重大税收违法案件当事人名单、政府采购严重违法失</w:t>
                            </w:r>
                          </w:p>
                          <w:p>
                            <w:pPr>
                              <w:pStyle w:val="17"/>
                              <w:spacing w:before="1" w:line="280" w:lineRule="exact"/>
                              <w:ind w:left="112"/>
                              <w:rPr>
                                <w:sz w:val="21"/>
                                <w:szCs w:val="20"/>
                              </w:rPr>
                            </w:pPr>
                            <w:r>
                              <w:rPr>
                                <w:sz w:val="21"/>
                                <w:szCs w:val="20"/>
                              </w:rPr>
                              <w:t>信行为记录名单中，如被列入失信被</w:t>
                            </w:r>
                          </w:p>
                        </w:tc>
                        <w:tc>
                          <w:tcPr>
                            <w:tcW w:w="1093" w:type="dxa"/>
                            <w:noWrap w:val="0"/>
                            <w:vAlign w:val="top"/>
                          </w:tcPr>
                          <w:p>
                            <w:pPr>
                              <w:pStyle w:val="17"/>
                              <w:spacing w:before="120"/>
                              <w:ind w:left="112"/>
                              <w:rPr>
                                <w:sz w:val="21"/>
                                <w:szCs w:val="20"/>
                              </w:rPr>
                            </w:pPr>
                            <w:r>
                              <w:rPr>
                                <w:sz w:val="21"/>
                                <w:szCs w:val="20"/>
                              </w:rPr>
                              <w:t xml:space="preserve"> </w:t>
                            </w:r>
                          </w:p>
                        </w:tc>
                        <w:tc>
                          <w:tcPr>
                            <w:tcW w:w="1107" w:type="dxa"/>
                            <w:noWrap w:val="0"/>
                            <w:vAlign w:val="top"/>
                          </w:tcPr>
                          <w:p>
                            <w:pPr>
                              <w:pStyle w:val="17"/>
                              <w:spacing w:before="120"/>
                              <w:ind w:left="127"/>
                              <w:rPr>
                                <w:sz w:val="21"/>
                                <w:szCs w:val="20"/>
                              </w:rPr>
                            </w:pPr>
                            <w:r>
                              <w:rPr>
                                <w:sz w:val="21"/>
                                <w:szCs w:val="20"/>
                              </w:rPr>
                              <w:t xml:space="preserve"> </w:t>
                            </w:r>
                          </w:p>
                        </w:tc>
                        <w:tc>
                          <w:tcPr>
                            <w:tcW w:w="1107" w:type="dxa"/>
                            <w:noWrap w:val="0"/>
                            <w:vAlign w:val="top"/>
                          </w:tcPr>
                          <w:p>
                            <w:pPr>
                              <w:pStyle w:val="17"/>
                              <w:spacing w:before="120"/>
                              <w:ind w:left="111"/>
                              <w:rPr>
                                <w:sz w:val="21"/>
                                <w:szCs w:val="20"/>
                              </w:rPr>
                            </w:pPr>
                            <w:r>
                              <w:rPr>
                                <w:sz w:val="21"/>
                                <w:szCs w:val="20"/>
                              </w:rPr>
                              <w:t xml:space="preserve"> </w:t>
                            </w:r>
                          </w:p>
                        </w:tc>
                        <w:tc>
                          <w:tcPr>
                            <w:tcW w:w="961" w:type="dxa"/>
                            <w:tcBorders>
                              <w:right w:val="single" w:color="000000" w:sz="8" w:space="0"/>
                            </w:tcBorders>
                            <w:noWrap w:val="0"/>
                            <w:vAlign w:val="top"/>
                          </w:tcPr>
                          <w:p>
                            <w:pPr>
                              <w:pStyle w:val="17"/>
                              <w:spacing w:before="120"/>
                              <w:ind w:left="111"/>
                              <w:rPr>
                                <w:sz w:val="21"/>
                                <w:szCs w:val="20"/>
                              </w:rPr>
                            </w:pPr>
                            <w:r>
                              <w:rPr>
                                <w:sz w:val="21"/>
                                <w:szCs w:val="20"/>
                              </w:rPr>
                              <w:t xml:space="preserve"> </w:t>
                            </w:r>
                          </w:p>
                        </w:tc>
                      </w:tr>
                    </w:tbl>
                    <w:p>
                      <w:pPr>
                        <w:pStyle w:val="6"/>
                      </w:pPr>
                    </w:p>
                  </w:txbxContent>
                </v:textbox>
              </v:shape>
            </w:pict>
          </mc:Fallback>
        </mc:AlternateContent>
      </w:r>
      <w:r>
        <w:rPr>
          <w:rFonts w:hint="eastAsia" w:ascii="宋体" w:hAnsi="宋体" w:eastAsia="宋体" w:cs="宋体"/>
          <w:sz w:val="24"/>
          <w:szCs w:val="22"/>
        </w:rPr>
        <w:t>根据《政府采购货物和服务招标投标管理办法》（财政部令第87号）规定，公开招标采购项目开标结束后，合格供应商不足3家的，不得评标。</w:t>
      </w:r>
      <w:r>
        <w:rPr>
          <w:rFonts w:hint="eastAsia" w:ascii="宋体" w:hAnsi="宋体" w:eastAsia="宋体" w:cs="宋体"/>
        </w:rPr>
        <w:t xml:space="preserve"> </w:t>
      </w:r>
    </w:p>
    <w:p>
      <w:pPr>
        <w:spacing w:after="0" w:line="352" w:lineRule="auto"/>
        <w:rPr>
          <w:rFonts w:hint="eastAsia" w:ascii="宋体" w:hAnsi="宋体" w:eastAsia="宋体" w:cs="宋体"/>
        </w:rPr>
        <w:sectPr>
          <w:footerReference r:id="rId3" w:type="default"/>
          <w:pgSz w:w="11910" w:h="16850"/>
          <w:pgMar w:top="1134" w:right="1134" w:bottom="1134" w:left="1134" w:header="0" w:footer="1006" w:gutter="0"/>
          <w:pgNumType w:start="1"/>
          <w:cols w:space="720" w:num="1"/>
        </w:sectPr>
      </w:pPr>
    </w:p>
    <w:tbl>
      <w:tblPr>
        <w:tblStyle w:val="9"/>
        <w:tblW w:w="0" w:type="auto"/>
        <w:tblInd w:w="6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3991"/>
        <w:gridCol w:w="1093"/>
        <w:gridCol w:w="1107"/>
        <w:gridCol w:w="1107"/>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699" w:type="dxa"/>
            <w:noWrap w:val="0"/>
            <w:vAlign w:val="top"/>
          </w:tcPr>
          <w:p>
            <w:pPr>
              <w:pStyle w:val="17"/>
              <w:rPr>
                <w:rFonts w:hint="eastAsia" w:ascii="宋体" w:hAnsi="宋体" w:eastAsia="宋体" w:cs="宋体"/>
                <w:sz w:val="22"/>
              </w:rPr>
            </w:pPr>
          </w:p>
        </w:tc>
        <w:tc>
          <w:tcPr>
            <w:tcW w:w="3991" w:type="dxa"/>
            <w:noWrap w:val="0"/>
            <w:vAlign w:val="top"/>
          </w:tcPr>
          <w:p>
            <w:pPr>
              <w:pStyle w:val="17"/>
              <w:spacing w:before="30" w:line="266" w:lineRule="auto"/>
              <w:ind w:left="112" w:right="137"/>
              <w:jc w:val="both"/>
              <w:rPr>
                <w:rFonts w:hint="eastAsia" w:ascii="宋体" w:hAnsi="宋体" w:eastAsia="宋体" w:cs="宋体"/>
                <w:sz w:val="24"/>
              </w:rPr>
            </w:pPr>
            <w:r>
              <w:rPr>
                <w:rFonts w:hint="eastAsia" w:ascii="宋体" w:hAnsi="宋体" w:eastAsia="宋体" w:cs="宋体"/>
                <w:sz w:val="24"/>
              </w:rPr>
              <w:t>执行人、重大税收违法案件当事人名单、政府采购严重违法失信行为记录名单中的供应商取消其投标资格，并承担由此造成的一切法律责任及后</w:t>
            </w:r>
          </w:p>
          <w:p>
            <w:pPr>
              <w:pStyle w:val="17"/>
              <w:spacing w:before="1" w:line="280" w:lineRule="exact"/>
              <w:ind w:left="112"/>
              <w:rPr>
                <w:rFonts w:hint="eastAsia" w:ascii="宋体" w:hAnsi="宋体" w:eastAsia="宋体" w:cs="宋体"/>
                <w:sz w:val="24"/>
              </w:rPr>
            </w:pPr>
            <w:r>
              <w:rPr>
                <w:rFonts w:hint="eastAsia" w:ascii="宋体" w:hAnsi="宋体" w:eastAsia="宋体" w:cs="宋体"/>
                <w:sz w:val="24"/>
              </w:rPr>
              <w:t xml:space="preserve">果。 </w:t>
            </w:r>
          </w:p>
        </w:tc>
        <w:tc>
          <w:tcPr>
            <w:tcW w:w="1093" w:type="dxa"/>
            <w:noWrap w:val="0"/>
            <w:vAlign w:val="top"/>
          </w:tcPr>
          <w:p>
            <w:pPr>
              <w:pStyle w:val="17"/>
              <w:rPr>
                <w:rFonts w:hint="eastAsia" w:ascii="宋体" w:hAnsi="宋体" w:eastAsia="宋体" w:cs="宋体"/>
                <w:sz w:val="22"/>
              </w:rPr>
            </w:pPr>
          </w:p>
        </w:tc>
        <w:tc>
          <w:tcPr>
            <w:tcW w:w="1107" w:type="dxa"/>
            <w:noWrap w:val="0"/>
            <w:vAlign w:val="top"/>
          </w:tcPr>
          <w:p>
            <w:pPr>
              <w:pStyle w:val="17"/>
              <w:rPr>
                <w:rFonts w:hint="eastAsia" w:ascii="宋体" w:hAnsi="宋体" w:eastAsia="宋体" w:cs="宋体"/>
                <w:sz w:val="22"/>
              </w:rPr>
            </w:pPr>
          </w:p>
        </w:tc>
        <w:tc>
          <w:tcPr>
            <w:tcW w:w="1107" w:type="dxa"/>
            <w:noWrap w:val="0"/>
            <w:vAlign w:val="top"/>
          </w:tcPr>
          <w:p>
            <w:pPr>
              <w:pStyle w:val="17"/>
              <w:rPr>
                <w:rFonts w:hint="eastAsia" w:ascii="宋体" w:hAnsi="宋体" w:eastAsia="宋体" w:cs="宋体"/>
                <w:sz w:val="22"/>
              </w:rPr>
            </w:pPr>
          </w:p>
        </w:tc>
        <w:tc>
          <w:tcPr>
            <w:tcW w:w="961" w:type="dxa"/>
            <w:tcBorders>
              <w:right w:val="single" w:color="000000" w:sz="8" w:space="0"/>
            </w:tcBorders>
            <w:noWrap w:val="0"/>
            <w:vAlign w:val="top"/>
          </w:tcPr>
          <w:p>
            <w:pPr>
              <w:pStyle w:val="17"/>
              <w:rPr>
                <w:rFonts w:hint="eastAsia" w:ascii="宋体" w:hAnsi="宋体" w:eastAsia="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9" w:type="dxa"/>
            <w:noWrap w:val="0"/>
            <w:vAlign w:val="top"/>
          </w:tcPr>
          <w:p>
            <w:pPr>
              <w:pStyle w:val="17"/>
              <w:spacing w:before="120" w:line="295" w:lineRule="exact"/>
              <w:ind w:left="308"/>
              <w:rPr>
                <w:rFonts w:hint="eastAsia" w:ascii="宋体" w:hAnsi="宋体" w:eastAsia="宋体" w:cs="宋体"/>
                <w:sz w:val="24"/>
              </w:rPr>
            </w:pPr>
            <w:r>
              <w:rPr>
                <w:rFonts w:hint="eastAsia" w:ascii="宋体" w:hAnsi="宋体" w:eastAsia="宋体" w:cs="宋体"/>
                <w:sz w:val="24"/>
              </w:rPr>
              <w:t xml:space="preserve">8 </w:t>
            </w:r>
          </w:p>
        </w:tc>
        <w:tc>
          <w:tcPr>
            <w:tcW w:w="3991" w:type="dxa"/>
            <w:noWrap w:val="0"/>
            <w:vAlign w:val="top"/>
          </w:tcPr>
          <w:p>
            <w:pPr>
              <w:pStyle w:val="17"/>
              <w:spacing w:before="75"/>
              <w:ind w:left="112"/>
              <w:rPr>
                <w:rFonts w:hint="eastAsia" w:ascii="宋体" w:hAnsi="宋体" w:eastAsia="宋体" w:cs="宋体"/>
                <w:sz w:val="24"/>
              </w:rPr>
            </w:pPr>
            <w:r>
              <w:rPr>
                <w:rFonts w:hint="eastAsia" w:ascii="宋体" w:hAnsi="宋体" w:eastAsia="宋体" w:cs="宋体"/>
                <w:sz w:val="24"/>
              </w:rPr>
              <w:t xml:space="preserve">特殊资格要求：无。 </w:t>
            </w:r>
          </w:p>
        </w:tc>
        <w:tc>
          <w:tcPr>
            <w:tcW w:w="1093" w:type="dxa"/>
            <w:noWrap w:val="0"/>
            <w:vAlign w:val="top"/>
          </w:tcPr>
          <w:p>
            <w:pPr>
              <w:pStyle w:val="17"/>
              <w:spacing w:before="120" w:line="295" w:lineRule="exact"/>
              <w:ind w:left="112"/>
              <w:rPr>
                <w:rFonts w:hint="eastAsia" w:ascii="宋体" w:hAnsi="宋体" w:eastAsia="宋体" w:cs="宋体"/>
                <w:sz w:val="24"/>
              </w:rPr>
            </w:pPr>
            <w:r>
              <w:rPr>
                <w:rFonts w:hint="eastAsia" w:ascii="宋体" w:hAnsi="宋体" w:eastAsia="宋体" w:cs="宋体"/>
                <w:sz w:val="24"/>
              </w:rPr>
              <w:t xml:space="preserve"> </w:t>
            </w:r>
          </w:p>
        </w:tc>
        <w:tc>
          <w:tcPr>
            <w:tcW w:w="1107" w:type="dxa"/>
            <w:noWrap w:val="0"/>
            <w:vAlign w:val="top"/>
          </w:tcPr>
          <w:p>
            <w:pPr>
              <w:pStyle w:val="17"/>
              <w:spacing w:before="120" w:line="295" w:lineRule="exact"/>
              <w:ind w:left="127"/>
              <w:rPr>
                <w:rFonts w:hint="eastAsia" w:ascii="宋体" w:hAnsi="宋体" w:eastAsia="宋体" w:cs="宋体"/>
                <w:sz w:val="24"/>
              </w:rPr>
            </w:pPr>
            <w:r>
              <w:rPr>
                <w:rFonts w:hint="eastAsia" w:ascii="宋体" w:hAnsi="宋体" w:eastAsia="宋体" w:cs="宋体"/>
                <w:sz w:val="24"/>
              </w:rPr>
              <w:t xml:space="preserve"> </w:t>
            </w:r>
          </w:p>
        </w:tc>
        <w:tc>
          <w:tcPr>
            <w:tcW w:w="1107" w:type="dxa"/>
            <w:noWrap w:val="0"/>
            <w:vAlign w:val="top"/>
          </w:tcPr>
          <w:p>
            <w:pPr>
              <w:pStyle w:val="17"/>
              <w:spacing w:before="120" w:line="295" w:lineRule="exact"/>
              <w:ind w:left="111"/>
              <w:rPr>
                <w:rFonts w:hint="eastAsia" w:ascii="宋体" w:hAnsi="宋体" w:eastAsia="宋体" w:cs="宋体"/>
                <w:sz w:val="24"/>
              </w:rPr>
            </w:pPr>
            <w:r>
              <w:rPr>
                <w:rFonts w:hint="eastAsia" w:ascii="宋体" w:hAnsi="宋体" w:eastAsia="宋体" w:cs="宋体"/>
                <w:sz w:val="24"/>
              </w:rPr>
              <w:t xml:space="preserve"> </w:t>
            </w:r>
          </w:p>
        </w:tc>
        <w:tc>
          <w:tcPr>
            <w:tcW w:w="961" w:type="dxa"/>
            <w:tcBorders>
              <w:right w:val="single" w:color="000000" w:sz="8" w:space="0"/>
            </w:tcBorders>
            <w:noWrap w:val="0"/>
            <w:vAlign w:val="top"/>
          </w:tcPr>
          <w:p>
            <w:pPr>
              <w:pStyle w:val="17"/>
              <w:spacing w:before="120" w:line="295" w:lineRule="exact"/>
              <w:ind w:left="111"/>
              <w:rPr>
                <w:rFonts w:hint="eastAsia" w:ascii="宋体" w:hAnsi="宋体" w:eastAsia="宋体" w:cs="宋体"/>
                <w:sz w:val="24"/>
              </w:rPr>
            </w:pPr>
            <w:r>
              <w:rPr>
                <w:rFonts w:hint="eastAsia" w:ascii="宋体" w:hAnsi="宋体" w:eastAsia="宋体" w:cs="宋体"/>
                <w:sz w:val="24"/>
              </w:rPr>
              <w:t xml:space="preserve"> </w:t>
            </w:r>
          </w:p>
        </w:tc>
      </w:tr>
    </w:tbl>
    <w:p>
      <w:pPr>
        <w:pStyle w:val="6"/>
        <w:rPr>
          <w:rFonts w:hint="eastAsia" w:ascii="宋体" w:hAnsi="宋体" w:eastAsia="宋体" w:cs="宋体"/>
          <w:sz w:val="20"/>
        </w:rPr>
      </w:pPr>
    </w:p>
    <w:p>
      <w:pPr>
        <w:pStyle w:val="5"/>
        <w:spacing w:before="1"/>
        <w:ind w:left="711"/>
        <w:rPr>
          <w:rFonts w:hint="eastAsia" w:ascii="宋体" w:hAnsi="宋体" w:eastAsia="宋体" w:cs="宋体"/>
        </w:rPr>
      </w:pPr>
      <w:r>
        <w:rPr>
          <w:rFonts w:hint="eastAsia" w:ascii="宋体" w:hAnsi="宋体" w:eastAsia="宋体" w:cs="宋体"/>
        </w:rPr>
        <w:t>二、评标和定标原则</w:t>
      </w:r>
      <w:r>
        <w:rPr>
          <w:rFonts w:hint="eastAsia" w:ascii="宋体" w:hAnsi="宋体" w:eastAsia="宋体" w:cs="宋体"/>
          <w:w w:val="99"/>
        </w:rPr>
        <w:t xml:space="preserve"> </w:t>
      </w:r>
    </w:p>
    <w:p>
      <w:pPr>
        <w:pStyle w:val="18"/>
        <w:numPr>
          <w:ilvl w:val="0"/>
          <w:numId w:val="0"/>
        </w:numPr>
        <w:tabs>
          <w:tab w:val="left" w:pos="1554"/>
        </w:tabs>
        <w:spacing w:before="158" w:after="0" w:line="369" w:lineRule="auto"/>
        <w:ind w:leftChars="200" w:right="1419" w:rightChars="0"/>
        <w:jc w:val="left"/>
        <w:rPr>
          <w:rFonts w:hint="eastAsia" w:ascii="宋体" w:hAnsi="宋体" w:eastAsia="宋体" w:cs="宋体"/>
          <w:sz w:val="24"/>
          <w:lang w:val="en-US" w:eastAsia="zh-CN" w:bidi="ar-SA"/>
        </w:rPr>
      </w:pPr>
      <w:r>
        <w:rPr>
          <w:rFonts w:hint="eastAsia" w:ascii="宋体" w:hAnsi="宋体" w:eastAsia="宋体" w:cs="宋体"/>
          <w:sz w:val="24"/>
          <w:lang w:val="en-US" w:eastAsia="zh-CN" w:bidi="ar-SA"/>
        </w:rPr>
        <w:t xml:space="preserve">1、评标原则 </w:t>
      </w:r>
    </w:p>
    <w:p>
      <w:pPr>
        <w:pStyle w:val="18"/>
        <w:keepNext w:val="0"/>
        <w:keepLines w:val="0"/>
        <w:pageBreakBefore w:val="0"/>
        <w:widowControl w:val="0"/>
        <w:numPr>
          <w:ilvl w:val="0"/>
          <w:numId w:val="2"/>
        </w:numPr>
        <w:tabs>
          <w:tab w:val="left" w:pos="1554"/>
        </w:tabs>
        <w:kinsoku/>
        <w:wordWrap/>
        <w:overflowPunct/>
        <w:topLinePunct w:val="0"/>
        <w:autoSpaceDE/>
        <w:autoSpaceDN/>
        <w:bidi w:val="0"/>
        <w:adjustRightInd/>
        <w:snapToGrid/>
        <w:spacing w:after="0" w:line="370" w:lineRule="auto"/>
        <w:ind w:left="471" w:right="0" w:firstLine="480"/>
        <w:jc w:val="left"/>
        <w:textAlignment w:val="auto"/>
        <w:rPr>
          <w:rFonts w:hint="eastAsia" w:ascii="宋体" w:hAnsi="宋体" w:eastAsia="宋体" w:cs="宋体"/>
        </w:rPr>
      </w:pPr>
      <w:r>
        <w:rPr>
          <w:rFonts w:hint="eastAsia" w:ascii="宋体" w:hAnsi="宋体" w:eastAsia="宋体" w:cs="宋体"/>
          <w:sz w:val="24"/>
          <w:lang w:val="en-US" w:eastAsia="zh-CN" w:bidi="ar-SA"/>
        </w:rPr>
        <w:t>评标原则：按平等竞争、择优选择的原则，对供应商投标书完整性、响应性、技术满足程度、报价合理性、交货期、售后服务并结合企业的业绩等进行综合评分。评标委员会以评分方式按得分高低排序后，按顺序向项目法人推荐中标人和2名候补中标人，并写出评标报告。项目法人据此按《中华人民共和国招标投标法》之定标原则，确定报招投标管理机构核准的中标人。</w:t>
      </w:r>
      <w:r>
        <w:rPr>
          <w:rFonts w:hint="eastAsia" w:ascii="宋体" w:hAnsi="宋体" w:eastAsia="宋体" w:cs="宋体"/>
        </w:rPr>
        <w:t xml:space="preserve"> </w:t>
      </w:r>
    </w:p>
    <w:p>
      <w:pPr>
        <w:pStyle w:val="6"/>
        <w:spacing w:before="6"/>
        <w:ind w:left="471"/>
        <w:rPr>
          <w:rFonts w:hint="eastAsia" w:ascii="宋体" w:hAnsi="宋体" w:eastAsia="宋体" w:cs="宋体"/>
        </w:rPr>
      </w:pPr>
      <w:r>
        <w:rPr>
          <w:rFonts w:hint="eastAsia" w:ascii="宋体" w:hAnsi="宋体" w:eastAsia="宋体" w:cs="宋体"/>
        </w:rPr>
        <w:t xml:space="preserve">2、定标原则 </w:t>
      </w:r>
    </w:p>
    <w:p>
      <w:pPr>
        <w:pStyle w:val="18"/>
        <w:keepNext w:val="0"/>
        <w:keepLines w:val="0"/>
        <w:pageBreakBefore w:val="0"/>
        <w:widowControl w:val="0"/>
        <w:numPr>
          <w:ilvl w:val="0"/>
          <w:numId w:val="2"/>
        </w:numPr>
        <w:tabs>
          <w:tab w:val="left" w:pos="1554"/>
        </w:tabs>
        <w:kinsoku/>
        <w:wordWrap/>
        <w:overflowPunct/>
        <w:topLinePunct w:val="0"/>
        <w:autoSpaceDE/>
        <w:autoSpaceDN/>
        <w:bidi w:val="0"/>
        <w:adjustRightInd/>
        <w:snapToGrid/>
        <w:spacing w:after="0" w:line="370" w:lineRule="auto"/>
        <w:ind w:left="471" w:right="0" w:firstLine="480"/>
        <w:jc w:val="left"/>
        <w:textAlignment w:val="auto"/>
        <w:rPr>
          <w:rFonts w:hint="eastAsia" w:ascii="宋体" w:hAnsi="宋体" w:eastAsia="宋体" w:cs="宋体"/>
          <w:sz w:val="24"/>
        </w:rPr>
      </w:pPr>
      <w:r>
        <w:rPr>
          <w:rFonts w:hint="eastAsia" w:ascii="宋体" w:hAnsi="宋体" w:eastAsia="宋体" w:cs="宋体"/>
          <w:sz w:val="24"/>
        </w:rPr>
        <w:t xml:space="preserve">评标委员会采用综合评分法，用量化指标评价各供应商综合水平，以各项评标因素评价得分的累积值高低，排出优劣。以得分最高者为推荐中标人，得分次高者为候补中标人。 </w:t>
      </w:r>
    </w:p>
    <w:p>
      <w:pPr>
        <w:pStyle w:val="18"/>
        <w:keepNext w:val="0"/>
        <w:keepLines w:val="0"/>
        <w:pageBreakBefore w:val="0"/>
        <w:widowControl w:val="0"/>
        <w:numPr>
          <w:ilvl w:val="0"/>
          <w:numId w:val="2"/>
        </w:numPr>
        <w:tabs>
          <w:tab w:val="left" w:pos="1554"/>
        </w:tabs>
        <w:kinsoku/>
        <w:wordWrap/>
        <w:overflowPunct/>
        <w:topLinePunct w:val="0"/>
        <w:autoSpaceDE/>
        <w:autoSpaceDN/>
        <w:bidi w:val="0"/>
        <w:adjustRightInd/>
        <w:snapToGrid/>
        <w:spacing w:before="0" w:after="0" w:line="363" w:lineRule="auto"/>
        <w:ind w:left="471" w:right="0" w:firstLine="480"/>
        <w:jc w:val="left"/>
        <w:textAlignment w:val="auto"/>
        <w:rPr>
          <w:rFonts w:hint="eastAsia" w:ascii="宋体" w:hAnsi="宋体" w:eastAsia="宋体" w:cs="宋体"/>
          <w:sz w:val="24"/>
        </w:rPr>
      </w:pPr>
      <w:r>
        <w:rPr>
          <w:rFonts w:hint="eastAsia" w:ascii="宋体" w:hAnsi="宋体" w:eastAsia="宋体" w:cs="宋体"/>
          <w:sz w:val="24"/>
          <w:lang w:val="en-US" w:eastAsia="zh-CN" w:bidi="ar-SA"/>
        </w:rPr>
        <w:t>在评标过程中，评标委员会要求某一供应商在规定的时间内提供补充资料、澄清或解释某些问题时，供应商不得拒绝，否则视为放弃对本项目投标的进一步竞争权。供应商所提供的补充资料、澄清或解释不能造成对原投标文件内容作实质性的更改。</w:t>
      </w:r>
      <w:r>
        <w:rPr>
          <w:rFonts w:hint="eastAsia" w:ascii="宋体" w:hAnsi="宋体" w:eastAsia="宋体" w:cs="宋体"/>
          <w:spacing w:val="-1"/>
          <w:sz w:val="24"/>
        </w:rPr>
        <w:t xml:space="preserve"> </w:t>
      </w:r>
    </w:p>
    <w:p>
      <w:pPr>
        <w:pStyle w:val="18"/>
        <w:keepNext w:val="0"/>
        <w:keepLines w:val="0"/>
        <w:pageBreakBefore w:val="0"/>
        <w:widowControl w:val="0"/>
        <w:numPr>
          <w:ilvl w:val="0"/>
          <w:numId w:val="2"/>
        </w:numPr>
        <w:tabs>
          <w:tab w:val="left" w:pos="1554"/>
        </w:tabs>
        <w:kinsoku/>
        <w:wordWrap/>
        <w:overflowPunct/>
        <w:topLinePunct w:val="0"/>
        <w:autoSpaceDE/>
        <w:autoSpaceDN/>
        <w:bidi w:val="0"/>
        <w:adjustRightInd/>
        <w:snapToGrid/>
        <w:spacing w:before="0" w:after="0" w:line="363" w:lineRule="auto"/>
        <w:ind w:left="471" w:right="0" w:firstLine="480"/>
        <w:jc w:val="both"/>
        <w:textAlignment w:val="auto"/>
        <w:rPr>
          <w:rFonts w:hint="eastAsia" w:ascii="宋体" w:hAnsi="宋体" w:eastAsia="宋体" w:cs="宋体"/>
          <w:sz w:val="24"/>
        </w:rPr>
      </w:pPr>
      <w:r>
        <w:rPr>
          <w:rFonts w:hint="eastAsia" w:ascii="宋体" w:hAnsi="宋体" w:eastAsia="宋体" w:cs="宋体"/>
          <w:sz w:val="24"/>
        </w:rPr>
        <w:t>按照《中华人民共和国招标投标法》和国家有关规定，依法组建评标委员</w:t>
      </w:r>
      <w:r>
        <w:rPr>
          <w:rFonts w:hint="eastAsia" w:ascii="宋体" w:hAnsi="宋体" w:eastAsia="宋体" w:cs="宋体"/>
          <w:spacing w:val="-1"/>
          <w:sz w:val="24"/>
        </w:rPr>
        <w:t>会，评标委员会由采购单位代表</w:t>
      </w:r>
      <w:r>
        <w:rPr>
          <w:rFonts w:hint="eastAsia" w:ascii="宋体" w:hAnsi="宋体" w:cs="宋体"/>
          <w:sz w:val="24"/>
          <w:lang w:val="en-US" w:eastAsia="zh-CN"/>
        </w:rPr>
        <w:t>1</w:t>
      </w:r>
      <w:bookmarkStart w:id="0" w:name="_GoBack"/>
      <w:bookmarkEnd w:id="0"/>
      <w:r>
        <w:rPr>
          <w:rFonts w:hint="eastAsia" w:ascii="宋体" w:hAnsi="宋体" w:eastAsia="宋体" w:cs="宋体"/>
          <w:spacing w:val="-1"/>
          <w:sz w:val="24"/>
        </w:rPr>
        <w:t>人，和有关技术、经济等方面的专家</w:t>
      </w:r>
      <w:r>
        <w:rPr>
          <w:rFonts w:hint="eastAsia" w:ascii="宋体" w:hAnsi="宋体" w:cs="宋体"/>
          <w:spacing w:val="-1"/>
          <w:sz w:val="24"/>
          <w:lang w:val="en-US" w:eastAsia="zh-CN"/>
        </w:rPr>
        <w:t>4</w:t>
      </w:r>
      <w:r>
        <w:rPr>
          <w:rFonts w:hint="eastAsia" w:ascii="宋体" w:hAnsi="宋体" w:eastAsia="宋体" w:cs="宋体"/>
          <w:sz w:val="24"/>
        </w:rPr>
        <w:t>人，共</w:t>
      </w:r>
      <w:r>
        <w:rPr>
          <w:rFonts w:hint="eastAsia" w:ascii="宋体" w:hAnsi="宋体" w:cs="宋体"/>
          <w:sz w:val="24"/>
          <w:lang w:val="en-US" w:eastAsia="zh-CN"/>
        </w:rPr>
        <w:t>5</w:t>
      </w:r>
      <w:r>
        <w:rPr>
          <w:rFonts w:hint="eastAsia" w:ascii="宋体" w:hAnsi="宋体" w:eastAsia="宋体" w:cs="宋体"/>
          <w:sz w:val="24"/>
        </w:rPr>
        <w:t>人组</w:t>
      </w:r>
      <w:r>
        <w:rPr>
          <w:rFonts w:hint="eastAsia" w:ascii="宋体" w:hAnsi="宋体" w:eastAsia="宋体" w:cs="宋体"/>
          <w:spacing w:val="-1"/>
          <w:sz w:val="24"/>
        </w:rPr>
        <w:t>成，其中技术、经济等方面的专家不少于成员总数的三分之二。</w:t>
      </w:r>
      <w:r>
        <w:rPr>
          <w:rFonts w:hint="eastAsia" w:ascii="宋体" w:hAnsi="宋体" w:eastAsia="宋体" w:cs="宋体"/>
          <w:sz w:val="24"/>
        </w:rPr>
        <w:t xml:space="preserve"> </w:t>
      </w:r>
    </w:p>
    <w:p>
      <w:pPr>
        <w:pStyle w:val="5"/>
        <w:spacing w:before="13"/>
        <w:ind w:left="952"/>
        <w:rPr>
          <w:rFonts w:hint="eastAsia" w:ascii="宋体" w:hAnsi="宋体" w:eastAsia="宋体" w:cs="宋体"/>
        </w:rPr>
      </w:pPr>
      <w:r>
        <w:rPr>
          <w:rFonts w:hint="eastAsia" w:ascii="宋体" w:hAnsi="宋体" w:eastAsia="宋体" w:cs="宋体"/>
        </w:rPr>
        <w:t>三、评委评分</w:t>
      </w:r>
      <w:r>
        <w:rPr>
          <w:rFonts w:hint="eastAsia" w:ascii="宋体" w:hAnsi="宋体" w:eastAsia="宋体" w:cs="宋体"/>
          <w:w w:val="99"/>
        </w:rPr>
        <w:t xml:space="preserve"> </w:t>
      </w:r>
    </w:p>
    <w:p>
      <w:pPr>
        <w:spacing w:before="158"/>
        <w:ind w:left="952" w:right="0" w:firstLine="0"/>
        <w:jc w:val="left"/>
        <w:rPr>
          <w:rFonts w:hint="eastAsia" w:ascii="宋体" w:hAnsi="宋体" w:eastAsia="宋体" w:cs="宋体"/>
          <w:sz w:val="28"/>
          <w:szCs w:val="24"/>
        </w:rPr>
      </w:pPr>
      <w:r>
        <w:rPr>
          <w:rFonts w:hint="eastAsia" w:ascii="宋体" w:hAnsi="宋体" w:eastAsia="宋体" w:cs="宋体"/>
          <w:sz w:val="28"/>
          <w:szCs w:val="24"/>
        </w:rPr>
        <w:t>本次评标采用</w:t>
      </w:r>
      <w:r>
        <w:rPr>
          <w:rFonts w:hint="eastAsia" w:ascii="宋体" w:hAnsi="宋体" w:eastAsia="宋体" w:cs="宋体"/>
          <w:b/>
          <w:sz w:val="28"/>
          <w:szCs w:val="24"/>
        </w:rPr>
        <w:t>综合评分法。</w:t>
      </w:r>
      <w:r>
        <w:rPr>
          <w:rFonts w:hint="eastAsia" w:ascii="宋体" w:hAnsi="宋体" w:eastAsia="宋体" w:cs="宋体"/>
          <w:sz w:val="28"/>
          <w:szCs w:val="24"/>
        </w:rPr>
        <w:t xml:space="preserve"> </w:t>
      </w:r>
    </w:p>
    <w:p>
      <w:pPr>
        <w:pStyle w:val="6"/>
        <w:keepNext w:val="0"/>
        <w:keepLines w:val="0"/>
        <w:pageBreakBefore w:val="0"/>
        <w:widowControl w:val="0"/>
        <w:kinsoku/>
        <w:wordWrap/>
        <w:overflowPunct/>
        <w:topLinePunct w:val="0"/>
        <w:autoSpaceDE/>
        <w:autoSpaceDN/>
        <w:bidi w:val="0"/>
        <w:adjustRightInd/>
        <w:snapToGrid/>
        <w:spacing w:after="0" w:line="363" w:lineRule="auto"/>
        <w:ind w:left="471" w:right="0" w:firstLine="482"/>
        <w:textAlignment w:val="auto"/>
        <w:rPr>
          <w:rFonts w:hint="eastAsia" w:ascii="宋体" w:hAnsi="宋体" w:eastAsia="宋体" w:cs="宋体"/>
          <w:lang w:val="en-US" w:eastAsia="zh-CN"/>
        </w:rPr>
      </w:pPr>
      <w:r>
        <w:rPr>
          <w:rFonts w:hint="eastAsia" w:ascii="宋体" w:hAnsi="宋体" w:eastAsia="宋体" w:cs="宋体"/>
          <w:sz w:val="24"/>
          <w:szCs w:val="22"/>
        </w:rPr>
        <w:t>将评标因素量化，对各投标文件进行评分的满分为100分，将对商务、技术、价格3个方面的评价指标分别进行打分，各供应商3个评价指标得分之和就是该供应商的综合得分。供应商综合得分的高低，即表示该供应商综合实力的强弱，得分越高，中标的可能性越大。</w:t>
      </w:r>
      <w:r>
        <w:rPr>
          <w:rFonts w:hint="eastAsia" w:ascii="宋体" w:hAnsi="宋体" w:eastAsia="宋体" w:cs="宋体"/>
        </w:rPr>
        <w:t xml:space="preserve"> </w:t>
      </w:r>
    </w:p>
    <w:p>
      <w:pPr>
        <w:tabs>
          <w:tab w:val="left" w:pos="983"/>
        </w:tabs>
        <w:bidi w:val="0"/>
        <w:jc w:val="left"/>
        <w:rPr>
          <w:rFonts w:hint="eastAsia" w:ascii="宋体" w:hAnsi="宋体" w:eastAsia="宋体" w:cs="宋体"/>
          <w:kern w:val="2"/>
          <w:sz w:val="24"/>
          <w:szCs w:val="22"/>
          <w:lang w:val="en-US" w:eastAsia="zh-CN" w:bidi="ar-SA"/>
        </w:rPr>
        <w:sectPr>
          <w:pgSz w:w="11910" w:h="16850"/>
          <w:pgMar w:top="1134" w:right="1134" w:bottom="1134" w:left="1134" w:header="0" w:footer="1006" w:gutter="0"/>
          <w:cols w:space="720" w:num="1"/>
        </w:sectPr>
      </w:pPr>
      <w:r>
        <w:rPr>
          <w:rFonts w:hint="eastAsia" w:ascii="宋体" w:hAnsi="宋体" w:eastAsia="宋体" w:cs="宋体"/>
          <w:lang w:val="en-US" w:eastAsia="zh-CN"/>
        </w:rPr>
        <w:tab/>
      </w:r>
      <w:r>
        <w:rPr>
          <w:rFonts w:hint="eastAsia" w:ascii="宋体" w:hAnsi="宋体" w:eastAsia="宋体" w:cs="宋体"/>
          <w:kern w:val="2"/>
          <w:sz w:val="24"/>
          <w:szCs w:val="22"/>
          <w:lang w:val="en-US" w:eastAsia="zh-CN" w:bidi="ar-SA"/>
        </w:rPr>
        <w:t>本项目评标因素包括：投标报价及合理性、产品质量、服务方案、交货期、交货地点、付款方式和售后服务承诺等。</w:t>
      </w:r>
    </w:p>
    <w:p>
      <w:pPr>
        <w:pStyle w:val="5"/>
        <w:spacing w:before="1"/>
        <w:rPr>
          <w:rFonts w:hint="eastAsia" w:ascii="宋体" w:hAnsi="宋体" w:eastAsia="宋体" w:cs="宋体"/>
          <w:b/>
          <w:sz w:val="21"/>
        </w:rPr>
      </w:pPr>
      <w:r>
        <w:rPr>
          <w:rFonts w:hint="eastAsia" w:ascii="宋体" w:hAnsi="宋体" w:eastAsia="宋体" w:cs="宋体"/>
        </w:rPr>
        <w:t>四、评标标准</w:t>
      </w:r>
      <w:r>
        <w:rPr>
          <w:rFonts w:hint="eastAsia" w:ascii="宋体" w:hAnsi="宋体" w:eastAsia="宋体" w:cs="宋体"/>
          <w:w w:val="99"/>
        </w:rPr>
        <w:t xml:space="preserve"> </w:t>
      </w:r>
    </w:p>
    <w:p>
      <w:pPr>
        <w:spacing w:before="1"/>
        <w:ind w:left="982" w:right="0" w:firstLine="0"/>
        <w:jc w:val="left"/>
        <w:rPr>
          <w:rFonts w:hint="eastAsia" w:ascii="宋体" w:hAnsi="宋体" w:eastAsia="宋体" w:cs="宋体"/>
          <w:b/>
          <w:sz w:val="21"/>
        </w:rPr>
      </w:pPr>
      <w:r>
        <w:rPr>
          <w:rFonts w:hint="eastAsia" w:ascii="宋体" w:hAnsi="宋体" w:eastAsia="宋体" w:cs="宋体"/>
          <w:b/>
          <w:sz w:val="24"/>
        </w:rPr>
        <w:t>（一）评价指标（评分因素）的名称见下表：</w:t>
      </w:r>
      <w:r>
        <w:rPr>
          <w:rFonts w:hint="eastAsia" w:ascii="宋体" w:hAnsi="宋体" w:eastAsia="宋体" w:cs="宋体"/>
          <w:b/>
          <w:w w:val="99"/>
          <w:sz w:val="24"/>
        </w:rPr>
        <w:t xml:space="preserve"> </w:t>
      </w:r>
    </w:p>
    <w:tbl>
      <w:tblPr>
        <w:tblStyle w:val="9"/>
        <w:tblW w:w="0" w:type="auto"/>
        <w:tblInd w:w="99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764"/>
        <w:gridCol w:w="3560"/>
        <w:gridCol w:w="1998"/>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70" w:hRule="atLeast"/>
        </w:trPr>
        <w:tc>
          <w:tcPr>
            <w:tcW w:w="2764" w:type="dxa"/>
            <w:noWrap w:val="0"/>
            <w:vAlign w:val="top"/>
          </w:tcPr>
          <w:p>
            <w:pPr>
              <w:pStyle w:val="17"/>
              <w:spacing w:before="180"/>
              <w:ind w:left="804" w:right="655"/>
              <w:jc w:val="center"/>
              <w:rPr>
                <w:rFonts w:hint="eastAsia" w:ascii="宋体" w:hAnsi="宋体" w:eastAsia="宋体" w:cs="宋体"/>
                <w:b/>
                <w:sz w:val="24"/>
              </w:rPr>
            </w:pPr>
            <w:r>
              <w:rPr>
                <w:rFonts w:hint="eastAsia" w:ascii="宋体" w:hAnsi="宋体" w:eastAsia="宋体" w:cs="宋体"/>
                <w:b/>
                <w:sz w:val="24"/>
              </w:rPr>
              <w:t>评分细则</w:t>
            </w:r>
            <w:r>
              <w:rPr>
                <w:rFonts w:hint="eastAsia" w:ascii="宋体" w:hAnsi="宋体" w:eastAsia="宋体" w:cs="宋体"/>
                <w:b/>
                <w:w w:val="99"/>
                <w:sz w:val="24"/>
              </w:rPr>
              <w:t xml:space="preserve"> </w:t>
            </w:r>
          </w:p>
        </w:tc>
        <w:tc>
          <w:tcPr>
            <w:tcW w:w="3560" w:type="dxa"/>
            <w:noWrap w:val="0"/>
            <w:vAlign w:val="top"/>
          </w:tcPr>
          <w:p>
            <w:pPr>
              <w:pStyle w:val="17"/>
              <w:spacing w:before="180"/>
              <w:ind w:left="1337" w:right="1174"/>
              <w:jc w:val="center"/>
              <w:rPr>
                <w:rFonts w:hint="eastAsia" w:ascii="宋体" w:hAnsi="宋体" w:eastAsia="宋体" w:cs="宋体"/>
                <w:b/>
                <w:sz w:val="24"/>
              </w:rPr>
            </w:pPr>
            <w:r>
              <w:rPr>
                <w:rFonts w:hint="eastAsia" w:ascii="宋体" w:hAnsi="宋体" w:eastAsia="宋体" w:cs="宋体"/>
                <w:b/>
                <w:sz w:val="24"/>
              </w:rPr>
              <w:t>实得分值</w:t>
            </w:r>
            <w:r>
              <w:rPr>
                <w:rFonts w:hint="eastAsia" w:ascii="宋体" w:hAnsi="宋体" w:eastAsia="宋体" w:cs="宋体"/>
                <w:b/>
                <w:w w:val="99"/>
                <w:sz w:val="24"/>
              </w:rPr>
              <w:t xml:space="preserve"> </w:t>
            </w:r>
          </w:p>
        </w:tc>
        <w:tc>
          <w:tcPr>
            <w:tcW w:w="1998" w:type="dxa"/>
            <w:noWrap w:val="0"/>
            <w:vAlign w:val="top"/>
          </w:tcPr>
          <w:p>
            <w:pPr>
              <w:pStyle w:val="17"/>
              <w:spacing w:before="180"/>
              <w:ind w:left="742"/>
              <w:rPr>
                <w:rFonts w:hint="eastAsia" w:ascii="宋体" w:hAnsi="宋体" w:eastAsia="宋体" w:cs="宋体"/>
                <w:b/>
                <w:sz w:val="24"/>
              </w:rPr>
            </w:pPr>
            <w:r>
              <w:rPr>
                <w:rFonts w:hint="eastAsia" w:ascii="宋体" w:hAnsi="宋体" w:eastAsia="宋体" w:cs="宋体"/>
                <w:b/>
                <w:sz w:val="24"/>
              </w:rPr>
              <w:t>总分</w:t>
            </w:r>
            <w:r>
              <w:rPr>
                <w:rFonts w:hint="eastAsia" w:ascii="宋体" w:hAnsi="宋体" w:eastAsia="宋体" w:cs="宋体"/>
                <w:b/>
                <w:w w:val="99"/>
                <w:sz w:val="24"/>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5" w:hRule="atLeast"/>
        </w:trPr>
        <w:tc>
          <w:tcPr>
            <w:tcW w:w="2764" w:type="dxa"/>
            <w:noWrap w:val="0"/>
            <w:vAlign w:val="top"/>
          </w:tcPr>
          <w:p>
            <w:pPr>
              <w:pStyle w:val="17"/>
              <w:spacing w:before="165"/>
              <w:ind w:left="804" w:right="655"/>
              <w:jc w:val="center"/>
              <w:rPr>
                <w:rFonts w:hint="eastAsia" w:ascii="宋体" w:hAnsi="宋体" w:eastAsia="宋体" w:cs="宋体"/>
                <w:b/>
                <w:sz w:val="24"/>
              </w:rPr>
            </w:pPr>
            <w:r>
              <w:rPr>
                <w:rFonts w:hint="eastAsia" w:ascii="宋体" w:hAnsi="宋体" w:eastAsia="宋体" w:cs="宋体"/>
                <w:b/>
                <w:sz w:val="24"/>
              </w:rPr>
              <w:t>价格评审</w:t>
            </w:r>
            <w:r>
              <w:rPr>
                <w:rFonts w:hint="eastAsia" w:ascii="宋体" w:hAnsi="宋体" w:eastAsia="宋体" w:cs="宋体"/>
                <w:b/>
                <w:w w:val="99"/>
                <w:sz w:val="24"/>
              </w:rPr>
              <w:t xml:space="preserve"> </w:t>
            </w:r>
          </w:p>
        </w:tc>
        <w:tc>
          <w:tcPr>
            <w:tcW w:w="3560" w:type="dxa"/>
            <w:noWrap w:val="0"/>
            <w:vAlign w:val="top"/>
          </w:tcPr>
          <w:p>
            <w:pPr>
              <w:pStyle w:val="17"/>
              <w:spacing w:before="165"/>
              <w:ind w:left="1337" w:right="1159"/>
              <w:jc w:val="center"/>
              <w:rPr>
                <w:rFonts w:hint="eastAsia" w:ascii="宋体" w:hAnsi="宋体" w:eastAsia="宋体" w:cs="宋体"/>
                <w:b/>
                <w:sz w:val="24"/>
              </w:rPr>
            </w:pPr>
            <w:r>
              <w:rPr>
                <w:rFonts w:hint="eastAsia" w:ascii="宋体" w:hAnsi="宋体" w:eastAsia="宋体" w:cs="宋体"/>
                <w:b/>
                <w:sz w:val="24"/>
              </w:rPr>
              <w:t>30分</w:t>
            </w:r>
            <w:r>
              <w:rPr>
                <w:rFonts w:hint="eastAsia" w:ascii="宋体" w:hAnsi="宋体" w:eastAsia="宋体" w:cs="宋体"/>
                <w:b/>
                <w:w w:val="99"/>
                <w:sz w:val="24"/>
              </w:rPr>
              <w:t xml:space="preserve"> </w:t>
            </w:r>
          </w:p>
        </w:tc>
        <w:tc>
          <w:tcPr>
            <w:tcW w:w="1998" w:type="dxa"/>
            <w:vMerge w:val="restart"/>
            <w:noWrap w:val="0"/>
            <w:vAlign w:val="top"/>
          </w:tcPr>
          <w:p>
            <w:pPr>
              <w:pStyle w:val="17"/>
              <w:rPr>
                <w:rFonts w:hint="eastAsia" w:ascii="宋体" w:hAnsi="宋体" w:eastAsia="宋体" w:cs="宋体"/>
                <w:b/>
                <w:sz w:val="24"/>
              </w:rPr>
            </w:pPr>
          </w:p>
          <w:p>
            <w:pPr>
              <w:pStyle w:val="17"/>
              <w:spacing w:before="6"/>
              <w:rPr>
                <w:rFonts w:hint="eastAsia" w:ascii="宋体" w:hAnsi="宋体" w:eastAsia="宋体" w:cs="宋体"/>
                <w:b/>
                <w:sz w:val="27"/>
              </w:rPr>
            </w:pPr>
          </w:p>
          <w:p>
            <w:pPr>
              <w:pStyle w:val="17"/>
              <w:spacing w:before="1"/>
              <w:ind w:left="667"/>
              <w:rPr>
                <w:rFonts w:hint="eastAsia" w:ascii="宋体" w:hAnsi="宋体" w:eastAsia="宋体" w:cs="宋体"/>
                <w:b/>
                <w:sz w:val="24"/>
              </w:rPr>
            </w:pPr>
            <w:r>
              <w:rPr>
                <w:rFonts w:hint="eastAsia" w:ascii="宋体" w:hAnsi="宋体" w:eastAsia="宋体" w:cs="宋体"/>
                <w:b/>
                <w:sz w:val="24"/>
              </w:rPr>
              <w:t>100分</w:t>
            </w:r>
            <w:r>
              <w:rPr>
                <w:rFonts w:hint="eastAsia" w:ascii="宋体" w:hAnsi="宋体" w:eastAsia="宋体" w:cs="宋体"/>
                <w:b/>
                <w:w w:val="99"/>
                <w:sz w:val="24"/>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80" w:hRule="atLeast"/>
        </w:trPr>
        <w:tc>
          <w:tcPr>
            <w:tcW w:w="2764" w:type="dxa"/>
            <w:noWrap w:val="0"/>
            <w:vAlign w:val="top"/>
          </w:tcPr>
          <w:p>
            <w:pPr>
              <w:pStyle w:val="17"/>
              <w:spacing w:before="135"/>
              <w:ind w:left="804" w:right="655"/>
              <w:jc w:val="center"/>
              <w:rPr>
                <w:rFonts w:hint="eastAsia" w:ascii="宋体" w:hAnsi="宋体" w:eastAsia="宋体" w:cs="宋体"/>
                <w:b/>
                <w:sz w:val="24"/>
              </w:rPr>
            </w:pPr>
            <w:r>
              <w:rPr>
                <w:rFonts w:hint="eastAsia" w:ascii="宋体" w:hAnsi="宋体" w:eastAsia="宋体" w:cs="宋体"/>
                <w:b/>
                <w:sz w:val="24"/>
              </w:rPr>
              <w:t>商务评审</w:t>
            </w:r>
            <w:r>
              <w:rPr>
                <w:rFonts w:hint="eastAsia" w:ascii="宋体" w:hAnsi="宋体" w:eastAsia="宋体" w:cs="宋体"/>
                <w:b/>
                <w:w w:val="99"/>
                <w:sz w:val="24"/>
              </w:rPr>
              <w:t xml:space="preserve"> </w:t>
            </w:r>
          </w:p>
        </w:tc>
        <w:tc>
          <w:tcPr>
            <w:tcW w:w="3560" w:type="dxa"/>
            <w:noWrap w:val="0"/>
            <w:vAlign w:val="top"/>
          </w:tcPr>
          <w:p>
            <w:pPr>
              <w:pStyle w:val="17"/>
              <w:spacing w:before="135"/>
              <w:ind w:left="1337" w:right="1159"/>
              <w:jc w:val="center"/>
              <w:rPr>
                <w:rFonts w:hint="eastAsia" w:ascii="宋体" w:hAnsi="宋体" w:eastAsia="宋体" w:cs="宋体"/>
                <w:b/>
                <w:sz w:val="24"/>
              </w:rPr>
            </w:pPr>
            <w:r>
              <w:rPr>
                <w:rFonts w:hint="eastAsia" w:ascii="宋体" w:hAnsi="宋体" w:eastAsia="宋体" w:cs="宋体"/>
                <w:b/>
                <w:sz w:val="24"/>
                <w:lang w:val="en-US" w:eastAsia="zh-CN"/>
              </w:rPr>
              <w:t>45</w:t>
            </w:r>
            <w:r>
              <w:rPr>
                <w:rFonts w:hint="eastAsia" w:ascii="宋体" w:hAnsi="宋体" w:eastAsia="宋体" w:cs="宋体"/>
                <w:b/>
                <w:sz w:val="24"/>
              </w:rPr>
              <w:t>分</w:t>
            </w:r>
            <w:r>
              <w:rPr>
                <w:rFonts w:hint="eastAsia" w:ascii="宋体" w:hAnsi="宋体" w:eastAsia="宋体" w:cs="宋体"/>
                <w:b/>
                <w:w w:val="99"/>
                <w:sz w:val="24"/>
              </w:rPr>
              <w:t xml:space="preserve"> </w:t>
            </w:r>
          </w:p>
        </w:tc>
        <w:tc>
          <w:tcPr>
            <w:tcW w:w="1998" w:type="dxa"/>
            <w:vMerge w:val="continue"/>
            <w:tcBorders>
              <w:top w:val="nil"/>
            </w:tcBorders>
            <w:noWrap w:val="0"/>
            <w:vAlign w:val="top"/>
          </w:tcPr>
          <w:p>
            <w:pPr>
              <w:rPr>
                <w:rFonts w:hint="eastAsia" w:ascii="宋体" w:hAnsi="宋体" w:eastAsia="宋体" w:cs="宋体"/>
                <w:sz w:val="2"/>
                <w:szCs w:val="2"/>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20" w:hRule="atLeast"/>
        </w:trPr>
        <w:tc>
          <w:tcPr>
            <w:tcW w:w="2764" w:type="dxa"/>
            <w:noWrap w:val="0"/>
            <w:vAlign w:val="top"/>
          </w:tcPr>
          <w:p>
            <w:pPr>
              <w:pStyle w:val="17"/>
              <w:spacing w:before="105" w:line="295" w:lineRule="exact"/>
              <w:ind w:left="804" w:right="655"/>
              <w:jc w:val="center"/>
              <w:rPr>
                <w:rFonts w:hint="eastAsia" w:ascii="宋体" w:hAnsi="宋体" w:eastAsia="宋体" w:cs="宋体"/>
                <w:b/>
                <w:sz w:val="24"/>
              </w:rPr>
            </w:pPr>
            <w:r>
              <w:rPr>
                <w:rFonts w:hint="eastAsia" w:ascii="宋体" w:hAnsi="宋体" w:eastAsia="宋体" w:cs="宋体"/>
                <w:b/>
                <w:sz w:val="24"/>
              </w:rPr>
              <w:t>技术评审</w:t>
            </w:r>
            <w:r>
              <w:rPr>
                <w:rFonts w:hint="eastAsia" w:ascii="宋体" w:hAnsi="宋体" w:eastAsia="宋体" w:cs="宋体"/>
                <w:b/>
                <w:w w:val="99"/>
                <w:sz w:val="24"/>
              </w:rPr>
              <w:t xml:space="preserve"> </w:t>
            </w:r>
          </w:p>
        </w:tc>
        <w:tc>
          <w:tcPr>
            <w:tcW w:w="3560" w:type="dxa"/>
            <w:noWrap w:val="0"/>
            <w:vAlign w:val="top"/>
          </w:tcPr>
          <w:p>
            <w:pPr>
              <w:pStyle w:val="17"/>
              <w:spacing w:before="105" w:line="295" w:lineRule="exact"/>
              <w:ind w:left="1337" w:right="1159"/>
              <w:jc w:val="center"/>
              <w:rPr>
                <w:rFonts w:hint="eastAsia" w:ascii="宋体" w:hAnsi="宋体" w:eastAsia="宋体" w:cs="宋体"/>
                <w:b/>
                <w:sz w:val="24"/>
              </w:rPr>
            </w:pPr>
            <w:r>
              <w:rPr>
                <w:rFonts w:hint="eastAsia" w:ascii="宋体" w:hAnsi="宋体" w:eastAsia="宋体" w:cs="宋体"/>
                <w:b/>
                <w:sz w:val="24"/>
                <w:lang w:val="en-US" w:eastAsia="zh-CN"/>
              </w:rPr>
              <w:t>25</w:t>
            </w:r>
            <w:r>
              <w:rPr>
                <w:rFonts w:hint="eastAsia" w:ascii="宋体" w:hAnsi="宋体" w:eastAsia="宋体" w:cs="宋体"/>
                <w:b/>
                <w:sz w:val="24"/>
              </w:rPr>
              <w:t>分</w:t>
            </w:r>
            <w:r>
              <w:rPr>
                <w:rFonts w:hint="eastAsia" w:ascii="宋体" w:hAnsi="宋体" w:eastAsia="宋体" w:cs="宋体"/>
                <w:b/>
                <w:w w:val="99"/>
                <w:sz w:val="24"/>
              </w:rPr>
              <w:t xml:space="preserve"> </w:t>
            </w:r>
          </w:p>
        </w:tc>
        <w:tc>
          <w:tcPr>
            <w:tcW w:w="1998" w:type="dxa"/>
            <w:vMerge w:val="continue"/>
            <w:tcBorders>
              <w:top w:val="nil"/>
            </w:tcBorders>
            <w:noWrap w:val="0"/>
            <w:vAlign w:val="top"/>
          </w:tcPr>
          <w:p>
            <w:pPr>
              <w:rPr>
                <w:rFonts w:hint="eastAsia" w:ascii="宋体" w:hAnsi="宋体" w:eastAsia="宋体" w:cs="宋体"/>
                <w:sz w:val="2"/>
                <w:szCs w:val="2"/>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65" w:hRule="atLeast"/>
        </w:trPr>
        <w:tc>
          <w:tcPr>
            <w:tcW w:w="2764" w:type="dxa"/>
            <w:noWrap w:val="0"/>
            <w:vAlign w:val="top"/>
          </w:tcPr>
          <w:p>
            <w:pPr>
              <w:pStyle w:val="17"/>
              <w:spacing w:before="120"/>
              <w:ind w:left="804" w:right="655"/>
              <w:jc w:val="center"/>
              <w:rPr>
                <w:rFonts w:hint="eastAsia" w:ascii="宋体" w:hAnsi="宋体" w:eastAsia="宋体" w:cs="宋体"/>
                <w:b/>
                <w:sz w:val="24"/>
              </w:rPr>
            </w:pPr>
            <w:r>
              <w:rPr>
                <w:rFonts w:hint="eastAsia" w:ascii="宋体" w:hAnsi="宋体" w:eastAsia="宋体" w:cs="宋体"/>
                <w:b/>
                <w:sz w:val="24"/>
              </w:rPr>
              <w:t>得分合计</w:t>
            </w:r>
            <w:r>
              <w:rPr>
                <w:rFonts w:hint="eastAsia" w:ascii="宋体" w:hAnsi="宋体" w:eastAsia="宋体" w:cs="宋体"/>
                <w:b/>
                <w:w w:val="99"/>
                <w:sz w:val="24"/>
              </w:rPr>
              <w:t xml:space="preserve"> </w:t>
            </w:r>
          </w:p>
        </w:tc>
        <w:tc>
          <w:tcPr>
            <w:tcW w:w="5558" w:type="dxa"/>
            <w:gridSpan w:val="2"/>
            <w:noWrap w:val="0"/>
            <w:vAlign w:val="top"/>
          </w:tcPr>
          <w:p>
            <w:pPr>
              <w:pStyle w:val="17"/>
              <w:spacing w:before="120"/>
              <w:ind w:left="2508" w:right="2360"/>
              <w:jc w:val="center"/>
              <w:rPr>
                <w:rFonts w:hint="eastAsia" w:ascii="宋体" w:hAnsi="宋体" w:eastAsia="宋体" w:cs="宋体"/>
                <w:b/>
                <w:sz w:val="24"/>
              </w:rPr>
            </w:pPr>
            <w:r>
              <w:rPr>
                <w:rFonts w:hint="eastAsia" w:ascii="宋体" w:hAnsi="宋体" w:eastAsia="宋体" w:cs="宋体"/>
                <w:b/>
                <w:sz w:val="24"/>
              </w:rPr>
              <w:t>100分</w:t>
            </w:r>
            <w:r>
              <w:rPr>
                <w:rFonts w:hint="eastAsia" w:ascii="宋体" w:hAnsi="宋体" w:eastAsia="宋体" w:cs="宋体"/>
                <w:b/>
                <w:w w:val="99"/>
                <w:sz w:val="24"/>
              </w:rPr>
              <w:t xml:space="preserve">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50" w:hRule="atLeast"/>
        </w:trPr>
        <w:tc>
          <w:tcPr>
            <w:tcW w:w="2764" w:type="dxa"/>
            <w:noWrap w:val="0"/>
            <w:vAlign w:val="top"/>
          </w:tcPr>
          <w:p>
            <w:pPr>
              <w:pStyle w:val="17"/>
              <w:spacing w:before="120"/>
              <w:ind w:left="804" w:right="670"/>
              <w:jc w:val="center"/>
              <w:rPr>
                <w:rFonts w:hint="eastAsia" w:ascii="宋体" w:hAnsi="宋体" w:eastAsia="宋体" w:cs="宋体"/>
                <w:b/>
                <w:sz w:val="24"/>
              </w:rPr>
            </w:pPr>
            <w:r>
              <w:rPr>
                <w:rFonts w:hint="eastAsia" w:ascii="宋体" w:hAnsi="宋体" w:eastAsia="宋体" w:cs="宋体"/>
                <w:b/>
                <w:sz w:val="24"/>
              </w:rPr>
              <w:t>政策性加分</w:t>
            </w:r>
            <w:r>
              <w:rPr>
                <w:rFonts w:hint="eastAsia" w:ascii="宋体" w:hAnsi="宋体" w:eastAsia="宋体" w:cs="宋体"/>
                <w:b/>
                <w:w w:val="99"/>
                <w:sz w:val="24"/>
              </w:rPr>
              <w:t xml:space="preserve"> </w:t>
            </w:r>
          </w:p>
        </w:tc>
        <w:tc>
          <w:tcPr>
            <w:tcW w:w="5558" w:type="dxa"/>
            <w:gridSpan w:val="2"/>
            <w:noWrap w:val="0"/>
            <w:vAlign w:val="top"/>
          </w:tcPr>
          <w:p>
            <w:pPr>
              <w:pStyle w:val="17"/>
              <w:spacing w:before="120"/>
              <w:ind w:left="2508" w:right="2360"/>
              <w:jc w:val="center"/>
              <w:rPr>
                <w:rFonts w:hint="eastAsia" w:ascii="宋体" w:hAnsi="宋体" w:eastAsia="宋体" w:cs="宋体"/>
                <w:b/>
                <w:sz w:val="24"/>
              </w:rPr>
            </w:pPr>
            <w:r>
              <w:rPr>
                <w:rFonts w:hint="eastAsia" w:ascii="宋体" w:hAnsi="宋体" w:eastAsia="宋体" w:cs="宋体"/>
                <w:b/>
                <w:sz w:val="24"/>
              </w:rPr>
              <w:t>5分</w:t>
            </w:r>
            <w:r>
              <w:rPr>
                <w:rFonts w:hint="eastAsia" w:ascii="宋体" w:hAnsi="宋体" w:eastAsia="宋体" w:cs="宋体"/>
                <w:b/>
                <w:w w:val="99"/>
                <w:sz w:val="24"/>
              </w:rPr>
              <w:t xml:space="preserve"> </w:t>
            </w:r>
          </w:p>
        </w:tc>
      </w:tr>
    </w:tbl>
    <w:p>
      <w:pPr>
        <w:pStyle w:val="6"/>
        <w:spacing w:before="5"/>
        <w:rPr>
          <w:rFonts w:hint="eastAsia" w:ascii="宋体" w:hAnsi="宋体" w:eastAsia="宋体" w:cs="宋体"/>
          <w:b/>
          <w:sz w:val="33"/>
          <w:lang w:val="en-US" w:eastAsia="zh-CN"/>
        </w:rPr>
      </w:pPr>
    </w:p>
    <w:p>
      <w:pPr>
        <w:numPr>
          <w:ilvl w:val="0"/>
          <w:numId w:val="3"/>
        </w:numPr>
        <w:spacing w:before="0"/>
        <w:ind w:left="832" w:right="0" w:firstLine="0"/>
        <w:jc w:val="left"/>
        <w:rPr>
          <w:rFonts w:hint="eastAsia" w:ascii="宋体" w:hAnsi="宋体" w:eastAsia="宋体" w:cs="宋体"/>
          <w:b/>
          <w:w w:val="99"/>
          <w:sz w:val="24"/>
        </w:rPr>
      </w:pPr>
      <w:r>
        <w:rPr>
          <w:rFonts w:hint="eastAsia" w:ascii="宋体" w:hAnsi="宋体" w:eastAsia="宋体" w:cs="宋体"/>
          <w:b/>
          <w:sz w:val="24"/>
        </w:rPr>
        <w:t>评标标准</w:t>
      </w:r>
      <w:r>
        <w:rPr>
          <w:rFonts w:hint="eastAsia" w:ascii="宋体" w:hAnsi="宋体" w:eastAsia="宋体" w:cs="宋体"/>
          <w:b/>
          <w:w w:val="99"/>
          <w:sz w:val="24"/>
        </w:rPr>
        <w:t xml:space="preserve"> </w:t>
      </w:r>
    </w:p>
    <w:p>
      <w:pPr>
        <w:pStyle w:val="4"/>
        <w:numPr>
          <w:ilvl w:val="0"/>
          <w:numId w:val="0"/>
        </w:numPr>
        <w:rPr>
          <w:rFonts w:hint="eastAsia" w:ascii="宋体" w:hAnsi="宋体" w:eastAsia="宋体" w:cs="宋体"/>
        </w:rPr>
      </w:pPr>
    </w:p>
    <w:p>
      <w:pPr>
        <w:spacing w:before="0"/>
        <w:ind w:left="982" w:right="0" w:firstLine="0"/>
        <w:jc w:val="left"/>
        <w:rPr>
          <w:rFonts w:hint="eastAsia" w:ascii="宋体" w:hAnsi="宋体" w:eastAsia="宋体" w:cs="宋体"/>
          <w:b/>
          <w:sz w:val="24"/>
        </w:rPr>
      </w:pPr>
      <w:r>
        <w:rPr>
          <w:rFonts w:hint="eastAsia" w:ascii="宋体" w:hAnsi="宋体" w:eastAsia="宋体" w:cs="宋体"/>
          <w:b/>
          <w:sz w:val="24"/>
        </w:rPr>
        <w:t>评标形式（采用以下具体步骤）</w:t>
      </w:r>
      <w:r>
        <w:rPr>
          <w:rFonts w:hint="eastAsia" w:ascii="宋体" w:hAnsi="宋体" w:eastAsia="宋体" w:cs="宋体"/>
          <w:b/>
          <w:w w:val="99"/>
          <w:sz w:val="24"/>
        </w:rPr>
        <w:t xml:space="preserve"> </w:t>
      </w:r>
    </w:p>
    <w:p>
      <w:pPr>
        <w:pStyle w:val="6"/>
        <w:spacing w:before="9"/>
        <w:rPr>
          <w:rFonts w:hint="eastAsia" w:ascii="宋体" w:hAnsi="宋体" w:eastAsia="宋体" w:cs="宋体"/>
          <w:b/>
          <w:sz w:val="21"/>
        </w:rPr>
      </w:pPr>
    </w:p>
    <w:p>
      <w:pPr>
        <w:pStyle w:val="6"/>
        <w:keepNext w:val="0"/>
        <w:keepLines w:val="0"/>
        <w:pageBreakBefore w:val="0"/>
        <w:widowControl w:val="0"/>
        <w:kinsoku/>
        <w:wordWrap/>
        <w:overflowPunct/>
        <w:topLinePunct w:val="0"/>
        <w:autoSpaceDE/>
        <w:autoSpaceDN/>
        <w:bidi w:val="0"/>
        <w:adjustRightInd/>
        <w:snapToGrid/>
        <w:spacing w:line="360" w:lineRule="auto"/>
        <w:ind w:left="952"/>
        <w:textAlignment w:val="auto"/>
        <w:rPr>
          <w:rFonts w:hint="eastAsia" w:ascii="宋体" w:hAnsi="宋体" w:eastAsia="宋体" w:cs="宋体"/>
          <w:sz w:val="24"/>
          <w:szCs w:val="22"/>
        </w:rPr>
      </w:pPr>
      <w:r>
        <w:rPr>
          <w:rFonts w:hint="eastAsia" w:ascii="宋体" w:hAnsi="宋体" w:eastAsia="宋体" w:cs="宋体"/>
          <w:sz w:val="24"/>
          <w:szCs w:val="22"/>
        </w:rPr>
        <w:t xml:space="preserve">第一步：资格审查，初步选定入围投标商 </w:t>
      </w:r>
    </w:p>
    <w:p>
      <w:pPr>
        <w:pStyle w:val="6"/>
        <w:keepNext w:val="0"/>
        <w:keepLines w:val="0"/>
        <w:pageBreakBefore w:val="0"/>
        <w:widowControl w:val="0"/>
        <w:kinsoku/>
        <w:wordWrap/>
        <w:overflowPunct/>
        <w:topLinePunct w:val="0"/>
        <w:autoSpaceDE/>
        <w:autoSpaceDN/>
        <w:bidi w:val="0"/>
        <w:adjustRightInd/>
        <w:snapToGrid/>
        <w:spacing w:after="0" w:line="360" w:lineRule="auto"/>
        <w:ind w:left="471" w:right="0" w:firstLine="482"/>
        <w:textAlignment w:val="auto"/>
        <w:rPr>
          <w:rFonts w:hint="eastAsia" w:ascii="宋体" w:hAnsi="宋体" w:eastAsia="宋体" w:cs="宋体"/>
          <w:sz w:val="24"/>
          <w:szCs w:val="22"/>
        </w:rPr>
      </w:pPr>
      <w:r>
        <w:rPr>
          <w:rFonts w:hint="eastAsia" w:ascii="宋体" w:hAnsi="宋体" w:eastAsia="宋体" w:cs="宋体"/>
          <w:sz w:val="24"/>
          <w:szCs w:val="22"/>
        </w:rPr>
        <w:t xml:space="preserve">由本项目评标委员会综合审查供应商资质情况,是否符合招标文件的基本资格要求，符合者将作为有效标，并进入第二步评议。不符合，其投标作为无效标，不能进入第二步评议。 </w:t>
      </w:r>
    </w:p>
    <w:p>
      <w:pPr>
        <w:pStyle w:val="6"/>
        <w:keepNext w:val="0"/>
        <w:keepLines w:val="0"/>
        <w:pageBreakBefore w:val="0"/>
        <w:widowControl w:val="0"/>
        <w:kinsoku/>
        <w:wordWrap/>
        <w:overflowPunct/>
        <w:topLinePunct w:val="0"/>
        <w:autoSpaceDE/>
        <w:autoSpaceDN/>
        <w:bidi w:val="0"/>
        <w:adjustRightInd/>
        <w:snapToGrid/>
        <w:spacing w:after="0" w:line="360" w:lineRule="auto"/>
        <w:ind w:left="471" w:right="0" w:firstLine="482"/>
        <w:textAlignment w:val="auto"/>
        <w:rPr>
          <w:rFonts w:hint="eastAsia" w:ascii="宋体" w:hAnsi="宋体" w:eastAsia="宋体" w:cs="宋体"/>
          <w:sz w:val="24"/>
          <w:szCs w:val="22"/>
        </w:rPr>
      </w:pPr>
      <w:r>
        <w:rPr>
          <w:rFonts w:hint="eastAsia" w:ascii="宋体" w:hAnsi="宋体" w:eastAsia="宋体" w:cs="宋体"/>
          <w:sz w:val="24"/>
          <w:szCs w:val="22"/>
        </w:rPr>
        <w:t xml:space="preserve">第二步：确定中标人（按评分细则对入围供应商给相应的评分，并计算其总得分，按各项评标因素计算各有效供应商的最终得分，得分第一的为中标侯选人） </w:t>
      </w:r>
    </w:p>
    <w:p>
      <w:pPr>
        <w:pStyle w:val="5"/>
        <w:ind w:left="952"/>
        <w:rPr>
          <w:rFonts w:hint="eastAsia" w:ascii="宋体" w:hAnsi="宋体" w:eastAsia="宋体" w:cs="宋体"/>
        </w:rPr>
      </w:pPr>
      <w:r>
        <w:rPr>
          <w:rFonts w:hint="eastAsia" w:ascii="宋体" w:hAnsi="宋体" w:eastAsia="宋体" w:cs="宋体"/>
          <w:sz w:val="28"/>
          <w:szCs w:val="24"/>
        </w:rPr>
        <w:t>符合性审查</w:t>
      </w:r>
      <w:r>
        <w:rPr>
          <w:rFonts w:hint="eastAsia" w:ascii="宋体" w:hAnsi="宋体" w:eastAsia="宋体" w:cs="宋体"/>
          <w:b w:val="0"/>
        </w:rPr>
        <w:t xml:space="preserve"> </w:t>
      </w:r>
    </w:p>
    <w:p>
      <w:pPr>
        <w:tabs>
          <w:tab w:val="left" w:pos="1593"/>
        </w:tabs>
        <w:bidi w:val="0"/>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ab/>
      </w:r>
    </w:p>
    <w:tbl>
      <w:tblPr>
        <w:tblStyle w:val="9"/>
        <w:tblW w:w="0" w:type="auto"/>
        <w:tblInd w:w="6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27"/>
        <w:gridCol w:w="2929"/>
        <w:gridCol w:w="4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127" w:type="dxa"/>
            <w:vMerge w:val="restart"/>
            <w:noWrap w:val="0"/>
            <w:vAlign w:val="top"/>
          </w:tcPr>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rPr>
                <w:rFonts w:hint="eastAsia" w:ascii="宋体" w:hAnsi="宋体" w:eastAsia="宋体" w:cs="宋体"/>
                <w:sz w:val="24"/>
              </w:rPr>
            </w:pPr>
          </w:p>
          <w:p>
            <w:pPr>
              <w:pStyle w:val="17"/>
              <w:spacing w:before="2"/>
              <w:rPr>
                <w:rFonts w:hint="eastAsia" w:ascii="宋体" w:hAnsi="宋体" w:eastAsia="宋体" w:cs="宋体"/>
                <w:sz w:val="21"/>
              </w:rPr>
            </w:pPr>
          </w:p>
          <w:p>
            <w:pPr>
              <w:pStyle w:val="17"/>
              <w:spacing w:line="350" w:lineRule="auto"/>
              <w:ind w:left="113" w:right="275"/>
              <w:rPr>
                <w:rFonts w:hint="eastAsia" w:ascii="宋体" w:hAnsi="宋体" w:eastAsia="宋体" w:cs="宋体"/>
                <w:sz w:val="24"/>
              </w:rPr>
            </w:pPr>
            <w:r>
              <w:rPr>
                <w:rFonts w:hint="eastAsia" w:ascii="宋体" w:hAnsi="宋体" w:eastAsia="宋体" w:cs="宋体"/>
                <w:sz w:val="24"/>
              </w:rPr>
              <w:t xml:space="preserve">符合性检查 </w:t>
            </w:r>
          </w:p>
          <w:p>
            <w:pPr>
              <w:pStyle w:val="17"/>
              <w:spacing w:line="295" w:lineRule="exact"/>
              <w:ind w:left="113"/>
              <w:rPr>
                <w:rFonts w:hint="eastAsia" w:ascii="宋体" w:hAnsi="宋体" w:eastAsia="宋体" w:cs="宋体"/>
                <w:sz w:val="24"/>
              </w:rPr>
            </w:pPr>
            <w:r>
              <w:rPr>
                <w:rFonts w:hint="eastAsia" w:ascii="宋体" w:hAnsi="宋体" w:eastAsia="宋体" w:cs="宋体"/>
                <w:sz w:val="24"/>
              </w:rPr>
              <w:t xml:space="preserve"> </w:t>
            </w:r>
          </w:p>
        </w:tc>
        <w:tc>
          <w:tcPr>
            <w:tcW w:w="2929" w:type="dxa"/>
            <w:noWrap w:val="0"/>
            <w:vAlign w:val="top"/>
          </w:tcPr>
          <w:p>
            <w:pPr>
              <w:pStyle w:val="17"/>
              <w:spacing w:before="7"/>
              <w:rPr>
                <w:rFonts w:hint="eastAsia" w:ascii="宋体" w:hAnsi="宋体" w:eastAsia="宋体" w:cs="宋体"/>
                <w:sz w:val="17"/>
              </w:rPr>
            </w:pPr>
          </w:p>
          <w:p>
            <w:pPr>
              <w:pStyle w:val="17"/>
              <w:ind w:left="97"/>
              <w:rPr>
                <w:rFonts w:hint="eastAsia" w:ascii="宋体" w:hAnsi="宋体" w:eastAsia="宋体" w:cs="宋体"/>
                <w:sz w:val="24"/>
              </w:rPr>
            </w:pPr>
            <w:r>
              <w:rPr>
                <w:rFonts w:hint="eastAsia" w:ascii="宋体" w:hAnsi="宋体" w:eastAsia="宋体" w:cs="宋体"/>
                <w:sz w:val="24"/>
              </w:rPr>
              <w:t xml:space="preserve">报价函签字盖章 </w:t>
            </w:r>
          </w:p>
        </w:tc>
        <w:tc>
          <w:tcPr>
            <w:tcW w:w="4956" w:type="dxa"/>
            <w:noWrap w:val="0"/>
            <w:vAlign w:val="top"/>
          </w:tcPr>
          <w:p>
            <w:pPr>
              <w:pStyle w:val="17"/>
              <w:spacing w:before="7"/>
              <w:rPr>
                <w:rFonts w:hint="eastAsia" w:ascii="宋体" w:hAnsi="宋体" w:eastAsia="宋体" w:cs="宋体"/>
                <w:sz w:val="17"/>
              </w:rPr>
            </w:pPr>
          </w:p>
          <w:p>
            <w:pPr>
              <w:pStyle w:val="17"/>
              <w:ind w:left="112"/>
              <w:rPr>
                <w:rFonts w:hint="eastAsia" w:ascii="宋体" w:hAnsi="宋体" w:eastAsia="宋体" w:cs="宋体"/>
                <w:sz w:val="24"/>
              </w:rPr>
            </w:pPr>
            <w:r>
              <w:rPr>
                <w:rFonts w:hint="eastAsia" w:ascii="宋体" w:hAnsi="宋体" w:eastAsia="宋体" w:cs="宋体"/>
                <w:sz w:val="24"/>
              </w:rPr>
              <w:t xml:space="preserve">符合招标文件要求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127" w:type="dxa"/>
            <w:vMerge w:val="continue"/>
            <w:tcBorders>
              <w:top w:val="nil"/>
            </w:tcBorders>
            <w:noWrap w:val="0"/>
            <w:vAlign w:val="top"/>
          </w:tcPr>
          <w:p>
            <w:pPr>
              <w:rPr>
                <w:rFonts w:hint="eastAsia" w:ascii="宋体" w:hAnsi="宋体" w:eastAsia="宋体" w:cs="宋体"/>
                <w:sz w:val="2"/>
                <w:szCs w:val="2"/>
              </w:rPr>
            </w:pPr>
          </w:p>
        </w:tc>
        <w:tc>
          <w:tcPr>
            <w:tcW w:w="2929" w:type="dxa"/>
            <w:noWrap w:val="0"/>
            <w:vAlign w:val="top"/>
          </w:tcPr>
          <w:p>
            <w:pPr>
              <w:pStyle w:val="17"/>
              <w:spacing w:before="9"/>
              <w:rPr>
                <w:rFonts w:hint="eastAsia" w:ascii="宋体" w:hAnsi="宋体" w:eastAsia="宋体" w:cs="宋体"/>
                <w:sz w:val="18"/>
              </w:rPr>
            </w:pPr>
          </w:p>
          <w:p>
            <w:pPr>
              <w:pStyle w:val="17"/>
              <w:ind w:left="97"/>
              <w:rPr>
                <w:rFonts w:hint="eastAsia" w:ascii="宋体" w:hAnsi="宋体" w:eastAsia="宋体" w:cs="宋体"/>
                <w:sz w:val="24"/>
              </w:rPr>
            </w:pPr>
            <w:r>
              <w:rPr>
                <w:rFonts w:hint="eastAsia" w:ascii="宋体" w:hAnsi="宋体" w:eastAsia="宋体" w:cs="宋体"/>
                <w:sz w:val="24"/>
              </w:rPr>
              <w:t xml:space="preserve">投标文件格式、签署 </w:t>
            </w:r>
          </w:p>
        </w:tc>
        <w:tc>
          <w:tcPr>
            <w:tcW w:w="4956" w:type="dxa"/>
            <w:noWrap w:val="0"/>
            <w:vAlign w:val="top"/>
          </w:tcPr>
          <w:p>
            <w:pPr>
              <w:pStyle w:val="17"/>
              <w:spacing w:before="9"/>
              <w:rPr>
                <w:rFonts w:hint="eastAsia" w:ascii="宋体" w:hAnsi="宋体" w:eastAsia="宋体" w:cs="宋体"/>
                <w:sz w:val="18"/>
              </w:rPr>
            </w:pPr>
          </w:p>
          <w:p>
            <w:pPr>
              <w:pStyle w:val="17"/>
              <w:ind w:left="112"/>
              <w:rPr>
                <w:rFonts w:hint="eastAsia" w:ascii="宋体" w:hAnsi="宋体" w:eastAsia="宋体" w:cs="宋体"/>
                <w:sz w:val="24"/>
              </w:rPr>
            </w:pPr>
            <w:r>
              <w:rPr>
                <w:rFonts w:hint="eastAsia" w:ascii="宋体" w:hAnsi="宋体" w:eastAsia="宋体" w:cs="宋体"/>
                <w:sz w:val="24"/>
              </w:rPr>
              <w:t xml:space="preserve">符合招标文件要求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1" w:hRule="atLeast"/>
        </w:trPr>
        <w:tc>
          <w:tcPr>
            <w:tcW w:w="1127" w:type="dxa"/>
            <w:vMerge w:val="continue"/>
            <w:tcBorders>
              <w:top w:val="nil"/>
            </w:tcBorders>
            <w:noWrap w:val="0"/>
            <w:vAlign w:val="top"/>
          </w:tcPr>
          <w:p>
            <w:pPr>
              <w:rPr>
                <w:rFonts w:hint="eastAsia" w:ascii="宋体" w:hAnsi="宋体" w:eastAsia="宋体" w:cs="宋体"/>
                <w:sz w:val="2"/>
                <w:szCs w:val="2"/>
              </w:rPr>
            </w:pPr>
          </w:p>
        </w:tc>
        <w:tc>
          <w:tcPr>
            <w:tcW w:w="2929" w:type="dxa"/>
            <w:noWrap w:val="0"/>
            <w:vAlign w:val="top"/>
          </w:tcPr>
          <w:p>
            <w:pPr>
              <w:pStyle w:val="17"/>
              <w:rPr>
                <w:rFonts w:hint="eastAsia" w:ascii="宋体" w:hAnsi="宋体" w:eastAsia="宋体" w:cs="宋体"/>
                <w:sz w:val="24"/>
              </w:rPr>
            </w:pPr>
          </w:p>
          <w:p>
            <w:pPr>
              <w:pStyle w:val="17"/>
              <w:spacing w:before="5"/>
              <w:rPr>
                <w:rFonts w:hint="eastAsia" w:ascii="宋体" w:hAnsi="宋体" w:eastAsia="宋体" w:cs="宋体"/>
                <w:sz w:val="19"/>
              </w:rPr>
            </w:pPr>
          </w:p>
          <w:p>
            <w:pPr>
              <w:pStyle w:val="17"/>
              <w:ind w:left="97"/>
              <w:rPr>
                <w:rFonts w:hint="eastAsia" w:ascii="宋体" w:hAnsi="宋体" w:eastAsia="宋体" w:cs="宋体"/>
                <w:sz w:val="24"/>
              </w:rPr>
            </w:pPr>
            <w:r>
              <w:rPr>
                <w:rFonts w:hint="eastAsia" w:ascii="宋体" w:hAnsi="宋体" w:eastAsia="宋体" w:cs="宋体"/>
                <w:sz w:val="24"/>
              </w:rPr>
              <w:t xml:space="preserve">投标报价有效性 </w:t>
            </w:r>
          </w:p>
        </w:tc>
        <w:tc>
          <w:tcPr>
            <w:tcW w:w="4956" w:type="dxa"/>
            <w:noWrap w:val="0"/>
            <w:vAlign w:val="top"/>
          </w:tcPr>
          <w:p>
            <w:pPr>
              <w:pStyle w:val="17"/>
              <w:rPr>
                <w:rFonts w:hint="eastAsia" w:ascii="宋体" w:hAnsi="宋体" w:eastAsia="宋体" w:cs="宋体"/>
                <w:sz w:val="24"/>
              </w:rPr>
            </w:pPr>
          </w:p>
          <w:p>
            <w:pPr>
              <w:pStyle w:val="17"/>
              <w:spacing w:before="5"/>
              <w:rPr>
                <w:rFonts w:hint="eastAsia" w:ascii="宋体" w:hAnsi="宋体" w:eastAsia="宋体" w:cs="宋体"/>
                <w:sz w:val="19"/>
              </w:rPr>
            </w:pPr>
          </w:p>
          <w:p>
            <w:pPr>
              <w:pStyle w:val="17"/>
              <w:ind w:left="112"/>
              <w:rPr>
                <w:rFonts w:hint="eastAsia" w:ascii="宋体" w:hAnsi="宋体" w:eastAsia="宋体" w:cs="宋体"/>
                <w:sz w:val="24"/>
              </w:rPr>
            </w:pPr>
            <w:r>
              <w:rPr>
                <w:rFonts w:hint="eastAsia" w:ascii="宋体" w:hAnsi="宋体" w:eastAsia="宋体" w:cs="宋体"/>
                <w:sz w:val="24"/>
              </w:rPr>
              <w:t xml:space="preserve">只能有一个投标报价，且未超过采购预算价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127" w:type="dxa"/>
            <w:vMerge w:val="continue"/>
            <w:tcBorders>
              <w:top w:val="nil"/>
            </w:tcBorders>
            <w:noWrap w:val="0"/>
            <w:vAlign w:val="top"/>
          </w:tcPr>
          <w:p>
            <w:pPr>
              <w:rPr>
                <w:rFonts w:hint="eastAsia" w:ascii="宋体" w:hAnsi="宋体" w:eastAsia="宋体" w:cs="宋体"/>
                <w:sz w:val="2"/>
                <w:szCs w:val="2"/>
              </w:rPr>
            </w:pPr>
          </w:p>
        </w:tc>
        <w:tc>
          <w:tcPr>
            <w:tcW w:w="2929" w:type="dxa"/>
            <w:noWrap w:val="0"/>
            <w:vAlign w:val="top"/>
          </w:tcPr>
          <w:p>
            <w:pPr>
              <w:pStyle w:val="17"/>
              <w:spacing w:before="9"/>
              <w:rPr>
                <w:rFonts w:hint="eastAsia" w:ascii="宋体" w:hAnsi="宋体" w:eastAsia="宋体" w:cs="宋体"/>
                <w:sz w:val="18"/>
              </w:rPr>
            </w:pPr>
          </w:p>
          <w:p>
            <w:pPr>
              <w:pStyle w:val="17"/>
              <w:ind w:left="97"/>
              <w:rPr>
                <w:rFonts w:hint="eastAsia" w:ascii="宋体" w:hAnsi="宋体" w:eastAsia="宋体" w:cs="宋体"/>
                <w:sz w:val="24"/>
              </w:rPr>
            </w:pPr>
            <w:r>
              <w:rPr>
                <w:rFonts w:hint="eastAsia" w:ascii="宋体" w:hAnsi="宋体" w:eastAsia="宋体" w:cs="宋体"/>
                <w:sz w:val="24"/>
              </w:rPr>
              <w:t xml:space="preserve">交货时间或服务时间 </w:t>
            </w:r>
          </w:p>
        </w:tc>
        <w:tc>
          <w:tcPr>
            <w:tcW w:w="4956" w:type="dxa"/>
            <w:noWrap w:val="0"/>
            <w:vAlign w:val="top"/>
          </w:tcPr>
          <w:p>
            <w:pPr>
              <w:pStyle w:val="17"/>
              <w:spacing w:before="9"/>
              <w:rPr>
                <w:rFonts w:hint="eastAsia" w:ascii="宋体" w:hAnsi="宋体" w:eastAsia="宋体" w:cs="宋体"/>
                <w:sz w:val="18"/>
              </w:rPr>
            </w:pPr>
          </w:p>
          <w:p>
            <w:pPr>
              <w:pStyle w:val="17"/>
              <w:ind w:left="112"/>
              <w:rPr>
                <w:rFonts w:hint="eastAsia" w:ascii="宋体" w:hAnsi="宋体" w:eastAsia="宋体" w:cs="宋体"/>
                <w:sz w:val="24"/>
              </w:rPr>
            </w:pPr>
            <w:r>
              <w:rPr>
                <w:rFonts w:hint="eastAsia" w:ascii="宋体" w:hAnsi="宋体" w:eastAsia="宋体" w:cs="宋体"/>
                <w:sz w:val="24"/>
              </w:rPr>
              <w:t xml:space="preserve">符合招标文件规定的交货时间或服务时间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127" w:type="dxa"/>
            <w:vMerge w:val="continue"/>
            <w:tcBorders>
              <w:top w:val="nil"/>
            </w:tcBorders>
            <w:noWrap w:val="0"/>
            <w:vAlign w:val="top"/>
          </w:tcPr>
          <w:p>
            <w:pPr>
              <w:rPr>
                <w:rFonts w:hint="eastAsia" w:ascii="宋体" w:hAnsi="宋体" w:eastAsia="宋体" w:cs="宋体"/>
                <w:sz w:val="2"/>
                <w:szCs w:val="2"/>
              </w:rPr>
            </w:pPr>
          </w:p>
        </w:tc>
        <w:tc>
          <w:tcPr>
            <w:tcW w:w="2929" w:type="dxa"/>
            <w:noWrap w:val="0"/>
            <w:vAlign w:val="top"/>
          </w:tcPr>
          <w:p>
            <w:pPr>
              <w:pStyle w:val="17"/>
              <w:spacing w:before="12"/>
              <w:rPr>
                <w:rFonts w:hint="eastAsia" w:ascii="宋体" w:hAnsi="宋体" w:eastAsia="宋体" w:cs="宋体"/>
                <w:sz w:val="19"/>
              </w:rPr>
            </w:pPr>
          </w:p>
          <w:p>
            <w:pPr>
              <w:pStyle w:val="17"/>
              <w:ind w:left="97"/>
              <w:rPr>
                <w:rFonts w:hint="eastAsia" w:ascii="宋体" w:hAnsi="宋体" w:eastAsia="宋体" w:cs="宋体"/>
                <w:sz w:val="24"/>
              </w:rPr>
            </w:pPr>
            <w:r>
              <w:rPr>
                <w:rFonts w:hint="eastAsia" w:ascii="宋体" w:hAnsi="宋体" w:eastAsia="宋体" w:cs="宋体"/>
                <w:sz w:val="24"/>
              </w:rPr>
              <w:t xml:space="preserve">投标有效期 </w:t>
            </w:r>
          </w:p>
        </w:tc>
        <w:tc>
          <w:tcPr>
            <w:tcW w:w="4956" w:type="dxa"/>
            <w:noWrap w:val="0"/>
            <w:vAlign w:val="top"/>
          </w:tcPr>
          <w:p>
            <w:pPr>
              <w:pStyle w:val="17"/>
              <w:spacing w:before="12"/>
              <w:rPr>
                <w:rFonts w:hint="eastAsia" w:ascii="宋体" w:hAnsi="宋体" w:eastAsia="宋体" w:cs="宋体"/>
                <w:sz w:val="19"/>
              </w:rPr>
            </w:pPr>
          </w:p>
          <w:p>
            <w:pPr>
              <w:pStyle w:val="17"/>
              <w:ind w:left="112"/>
              <w:rPr>
                <w:rFonts w:hint="eastAsia" w:ascii="宋体" w:hAnsi="宋体" w:eastAsia="宋体" w:cs="宋体"/>
                <w:sz w:val="24"/>
              </w:rPr>
            </w:pPr>
            <w:r>
              <w:rPr>
                <w:rFonts w:hint="eastAsia" w:ascii="宋体" w:hAnsi="宋体" w:eastAsia="宋体" w:cs="宋体"/>
                <w:sz w:val="24"/>
              </w:rPr>
              <w:t xml:space="preserve">符合招标文件要求 </w:t>
            </w:r>
          </w:p>
        </w:tc>
      </w:tr>
    </w:tbl>
    <w:p>
      <w:pPr>
        <w:tabs>
          <w:tab w:val="left" w:pos="1593"/>
        </w:tabs>
        <w:bidi w:val="0"/>
        <w:jc w:val="left"/>
        <w:rPr>
          <w:rFonts w:hint="eastAsia" w:ascii="宋体" w:hAnsi="宋体" w:eastAsia="宋体" w:cs="宋体"/>
          <w:kern w:val="2"/>
          <w:sz w:val="21"/>
          <w:szCs w:val="22"/>
          <w:lang w:val="en-US" w:eastAsia="zh-CN" w:bidi="ar-SA"/>
        </w:rPr>
        <w:sectPr>
          <w:pgSz w:w="11910" w:h="16850"/>
          <w:pgMar w:top="1134" w:right="1134" w:bottom="1134" w:left="1134" w:header="0" w:footer="1006" w:gutter="0"/>
          <w:cols w:space="720" w:num="1"/>
        </w:sectPr>
      </w:pPr>
    </w:p>
    <w:p>
      <w:pPr>
        <w:spacing w:before="66"/>
        <w:ind w:right="0"/>
        <w:jc w:val="left"/>
        <w:rPr>
          <w:rFonts w:hint="eastAsia" w:ascii="宋体" w:hAnsi="宋体" w:eastAsia="宋体" w:cs="宋体"/>
          <w:b/>
          <w:sz w:val="24"/>
        </w:rPr>
      </w:pPr>
      <w:r>
        <w:rPr>
          <w:rFonts w:hint="eastAsia" w:ascii="宋体" w:hAnsi="宋体" w:eastAsia="宋体" w:cs="宋体"/>
          <w:b/>
          <w:sz w:val="24"/>
        </w:rPr>
        <w:t>（三）评分细则及各项评标因素如下</w:t>
      </w:r>
      <w:r>
        <w:rPr>
          <w:rFonts w:hint="eastAsia" w:ascii="宋体" w:hAnsi="宋体" w:eastAsia="宋体" w:cs="宋体"/>
          <w:b/>
          <w:w w:val="99"/>
          <w:sz w:val="24"/>
        </w:rPr>
        <w:t xml:space="preserve"> </w:t>
      </w:r>
    </w:p>
    <w:p>
      <w:pPr>
        <w:pStyle w:val="6"/>
        <w:spacing w:before="8"/>
        <w:rPr>
          <w:rFonts w:hint="eastAsia" w:ascii="宋体" w:hAnsi="宋体" w:eastAsia="宋体" w:cs="宋体"/>
          <w:b/>
          <w:sz w:val="14"/>
        </w:rPr>
      </w:pPr>
      <w:r>
        <w:rPr>
          <w:rFonts w:hint="eastAsia" w:ascii="宋体" w:hAnsi="宋体" w:eastAsia="宋体" w:cs="宋体"/>
        </w:rPr>
        <mc:AlternateContent>
          <mc:Choice Requires="wps">
            <w:drawing>
              <wp:anchor distT="0" distB="0" distL="114300" distR="114300" simplePos="0" relativeHeight="251661312" behindDoc="1" locked="0" layoutInCell="1" allowOverlap="1">
                <wp:simplePos x="0" y="0"/>
                <wp:positionH relativeFrom="page">
                  <wp:posOffset>862330</wp:posOffset>
                </wp:positionH>
                <wp:positionV relativeFrom="paragraph">
                  <wp:posOffset>180975</wp:posOffset>
                </wp:positionV>
                <wp:extent cx="6047105" cy="1952625"/>
                <wp:effectExtent l="4445" t="5080" r="6350" b="4445"/>
                <wp:wrapTopAndBottom/>
                <wp:docPr id="1" name="文本框 1"/>
                <wp:cNvGraphicFramePr/>
                <a:graphic xmlns:a="http://schemas.openxmlformats.org/drawingml/2006/main">
                  <a:graphicData uri="http://schemas.microsoft.com/office/word/2010/wordprocessingShape">
                    <wps:wsp>
                      <wps:cNvSpPr txBox="1"/>
                      <wps:spPr>
                        <a:xfrm>
                          <a:off x="0" y="0"/>
                          <a:ext cx="6047105" cy="1952625"/>
                        </a:xfrm>
                        <a:prstGeom prst="rect">
                          <a:avLst/>
                        </a:prstGeom>
                        <a:noFill/>
                        <a:ln w="9525" cap="flat" cmpd="sng">
                          <a:solidFill>
                            <a:srgbClr val="000000"/>
                          </a:solidFill>
                          <a:prstDash val="solid"/>
                          <a:miter/>
                          <a:headEnd type="none" w="med" len="med"/>
                          <a:tailEnd type="none" w="med" len="med"/>
                        </a:ln>
                      </wps:spPr>
                      <wps:txbx>
                        <w:txbxContent>
                          <w:p>
                            <w:pPr>
                              <w:spacing w:before="0"/>
                              <w:ind w:left="615" w:right="0" w:firstLine="0"/>
                              <w:jc w:val="left"/>
                              <w:rPr>
                                <w:sz w:val="24"/>
                              </w:rPr>
                            </w:pPr>
                            <w:r>
                              <w:rPr>
                                <w:b/>
                                <w:sz w:val="24"/>
                              </w:rPr>
                              <w:t>1、价格评审：</w:t>
                            </w:r>
                            <w:r>
                              <w:rPr>
                                <w:sz w:val="24"/>
                              </w:rPr>
                              <w:t xml:space="preserve">（满分：30分） </w:t>
                            </w:r>
                          </w:p>
                          <w:p>
                            <w:pPr>
                              <w:pStyle w:val="6"/>
                              <w:spacing w:before="9"/>
                              <w:rPr>
                                <w:b/>
                                <w:sz w:val="21"/>
                              </w:rPr>
                            </w:pPr>
                          </w:p>
                          <w:p>
                            <w:pPr>
                              <w:pStyle w:val="6"/>
                              <w:ind w:left="1066"/>
                              <w:rPr>
                                <w:sz w:val="24"/>
                                <w:szCs w:val="22"/>
                              </w:rPr>
                            </w:pPr>
                            <w:r>
                              <w:rPr>
                                <w:sz w:val="24"/>
                                <w:szCs w:val="22"/>
                              </w:rPr>
                              <w:t xml:space="preserve">投标报价得分=(评标基准价／投标报价)×30 </w:t>
                            </w:r>
                          </w:p>
                          <w:p>
                            <w:pPr>
                              <w:pStyle w:val="6"/>
                              <w:spacing w:before="158" w:line="374" w:lineRule="auto"/>
                              <w:ind w:left="105" w:right="261" w:firstLine="480"/>
                              <w:rPr>
                                <w:sz w:val="24"/>
                                <w:szCs w:val="22"/>
                              </w:rPr>
                            </w:pPr>
                            <w:r>
                              <w:rPr>
                                <w:sz w:val="24"/>
                                <w:szCs w:val="22"/>
                              </w:rPr>
                              <w:t xml:space="preserve">注：①评标基准价指满足招标文件要求且投标价格（或扣除后价格）最低的投标报价，投标报价指满足招标文件要求的各投标供应商的投标报价。 </w:t>
                            </w:r>
                          </w:p>
                          <w:p>
                            <w:pPr>
                              <w:pStyle w:val="6"/>
                              <w:spacing w:before="91" w:line="340" w:lineRule="auto"/>
                              <w:ind w:left="105" w:right="148" w:firstLine="600"/>
                              <w:rPr>
                                <w:sz w:val="34"/>
                              </w:rPr>
                            </w:pPr>
                            <w:r>
                              <w:rPr>
                                <w:sz w:val="24"/>
                                <w:szCs w:val="22"/>
                              </w:rPr>
                              <w:t>②、对小型和微型企业（含监狱企业、残疾人福利性单位）产品的价格给予</w:t>
                            </w:r>
                            <w:r>
                              <w:rPr>
                                <w:sz w:val="24"/>
                                <w:szCs w:val="22"/>
                                <w:u w:val="single"/>
                              </w:rPr>
                              <w:t xml:space="preserve"> </w:t>
                            </w:r>
                            <w:r>
                              <w:rPr>
                                <w:rFonts w:hint="eastAsia"/>
                                <w:sz w:val="24"/>
                                <w:szCs w:val="22"/>
                                <w:u w:val="single"/>
                                <w:lang w:val="en-US" w:eastAsia="zh-CN"/>
                              </w:rPr>
                              <w:t>4</w:t>
                            </w:r>
                            <w:r>
                              <w:rPr>
                                <w:sz w:val="24"/>
                                <w:szCs w:val="22"/>
                                <w:u w:val="single"/>
                              </w:rPr>
                              <w:t>%</w:t>
                            </w:r>
                            <w:r>
                              <w:rPr>
                                <w:sz w:val="24"/>
                                <w:szCs w:val="22"/>
                              </w:rPr>
                              <w:t xml:space="preserve"> 的扣除，用扣除后的价格参与评审。</w:t>
                            </w:r>
                            <w:r>
                              <w:rPr>
                                <w:w w:val="101"/>
                                <w:sz w:val="34"/>
                              </w:rPr>
                              <w:t xml:space="preserve"> </w:t>
                            </w:r>
                          </w:p>
                        </w:txbxContent>
                      </wps:txbx>
                      <wps:bodyPr lIns="0" tIns="0" rIns="0" bIns="0" upright="1"/>
                    </wps:wsp>
                  </a:graphicData>
                </a:graphic>
              </wp:anchor>
            </w:drawing>
          </mc:Choice>
          <mc:Fallback>
            <w:pict>
              <v:shape id="_x0000_s1026" o:spid="_x0000_s1026" o:spt="202" type="#_x0000_t202" style="position:absolute;left:0pt;margin-left:67.9pt;margin-top:14.25pt;height:153.75pt;width:476.15pt;mso-position-horizontal-relative:page;mso-wrap-distance-bottom:0pt;mso-wrap-distance-top:0pt;z-index:-251655168;mso-width-relative:page;mso-height-relative:page;" filled="f" stroked="t" coordsize="21600,21600" o:gfxdata="UEsDBAoAAAAAAIdO4kAAAAAAAAAAAAAAAAAEAAAAZHJzL1BLAwQUAAAACACHTuJA5eQ0FNkAAAAL&#10;AQAADwAAAGRycy9kb3ducmV2LnhtbE2PMU/DMBSEdyT+g/WQWBC106iVlcbpUMGGEC2gdnTjRxwl&#10;fo5it2n/Pe4E4+lOd9+V64vr2RnH0HpSkM0EMKTam5YaBV+fr88SWIiajO49oYIrBlhX93elLoyf&#10;aIvnXWxYKqFQaAU2xqHgPNQWnQ4zPyAl78ePTsckx4abUU+p3PV8LsSSO91SWrB6wI3FutudnILu&#10;3X5s92+bQ/3EsWumb7GX1xelHh8ysQIW8RL/wnDDT+hQJaajP5EJrE86XyT0qGAuF8BuASFlBuyo&#10;IM+XAnhV8v8fql9QSwMEFAAAAAgAh07iQB8lP2ESAgAAMgQAAA4AAABkcnMvZTJvRG9jLnhtbK1T&#10;Ta7TMBDeI3EHy3uatKIFoqZPgvIQEgKkBweY2E5iyX+y3Sa9ANyAFRv2nKvneGOn7YPHpguySL6M&#10;P38z83m8vhm1Invhg7SmpvNZSYkwzHJpupp+/XL77CUlIYLhoKwRNT2IQG82T5+sB1eJhe2t4sIT&#10;FDGhGlxN+xhdVRSB9UJDmFknDC621muI+Ou7gnsYUF2rYlGWq2KwnjtvmQgBo9tpkZ4U/TWCtm0l&#10;E1vLdlqYOKl6oSBiS6GXLtBNrrZtBYuf2jaISFRNsdOY35gEcZPexWYNVefB9ZKdSoBrSnjUkwZp&#10;MOlFagsRyM7Lf6S0ZN4G28YZs7qYGsmOYBfz8pE3dz04kXtBq4O7mB7+nyz7uP/sieQ4CZQY0Hjg&#10;xx/fjz9/H399I/Nkz+BChaw7h7w4vrZjop7iAYOp67H1On2xH4LraO7hYq4YI2EYXJXPX8zLJSUM&#10;1+avlovVYpl0ioftzof4TlhNEqipx9PLpsL+Q4gT9UxJ2Yy9lUphHCplyFBTFE36gFPZ4jQg1A47&#10;C6bLMsEqydOWtCP4rnmjPNlDmoz8nKr5i5bybSH0Ey8vJRpUWkbhM+oF8LeGk3hw6J7BS0NTMVpw&#10;SpTAO5ZQZkaQ6homWqIMOpOsnyxOKI7NiDIJNpYf8DjUe4OjkMb6DPwZNGewc152PbqZDy1L4ihl&#10;209jn2b1z/+c+OGqb+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eQ0FNkAAAALAQAADwAAAAAA&#10;AAABACAAAAAiAAAAZHJzL2Rvd25yZXYueG1sUEsBAhQAFAAAAAgAh07iQB8lP2ESAgAAMgQAAA4A&#10;AAAAAAAAAQAgAAAAKAEAAGRycy9lMm9Eb2MueG1sUEsFBgAAAAAGAAYAWQEAAKwFAAAAAA==&#10;">
                <v:fill on="f" focussize="0,0"/>
                <v:stroke color="#000000" joinstyle="miter"/>
                <v:imagedata o:title=""/>
                <o:lock v:ext="edit" aspectratio="f"/>
                <v:textbox inset="0mm,0mm,0mm,0mm">
                  <w:txbxContent>
                    <w:p>
                      <w:pPr>
                        <w:spacing w:before="0"/>
                        <w:ind w:left="615" w:right="0" w:firstLine="0"/>
                        <w:jc w:val="left"/>
                        <w:rPr>
                          <w:sz w:val="24"/>
                        </w:rPr>
                      </w:pPr>
                      <w:r>
                        <w:rPr>
                          <w:b/>
                          <w:sz w:val="24"/>
                        </w:rPr>
                        <w:t>1、价格评审：</w:t>
                      </w:r>
                      <w:r>
                        <w:rPr>
                          <w:sz w:val="24"/>
                        </w:rPr>
                        <w:t xml:space="preserve">（满分：30分） </w:t>
                      </w:r>
                    </w:p>
                    <w:p>
                      <w:pPr>
                        <w:pStyle w:val="6"/>
                        <w:spacing w:before="9"/>
                        <w:rPr>
                          <w:b/>
                          <w:sz w:val="21"/>
                        </w:rPr>
                      </w:pPr>
                    </w:p>
                    <w:p>
                      <w:pPr>
                        <w:pStyle w:val="6"/>
                        <w:ind w:left="1066"/>
                        <w:rPr>
                          <w:sz w:val="24"/>
                          <w:szCs w:val="22"/>
                        </w:rPr>
                      </w:pPr>
                      <w:r>
                        <w:rPr>
                          <w:sz w:val="24"/>
                          <w:szCs w:val="22"/>
                        </w:rPr>
                        <w:t xml:space="preserve">投标报价得分=(评标基准价／投标报价)×30 </w:t>
                      </w:r>
                    </w:p>
                    <w:p>
                      <w:pPr>
                        <w:pStyle w:val="6"/>
                        <w:spacing w:before="158" w:line="374" w:lineRule="auto"/>
                        <w:ind w:left="105" w:right="261" w:firstLine="480"/>
                        <w:rPr>
                          <w:sz w:val="24"/>
                          <w:szCs w:val="22"/>
                        </w:rPr>
                      </w:pPr>
                      <w:r>
                        <w:rPr>
                          <w:sz w:val="24"/>
                          <w:szCs w:val="22"/>
                        </w:rPr>
                        <w:t xml:space="preserve">注：①评标基准价指满足招标文件要求且投标价格（或扣除后价格）最低的投标报价，投标报价指满足招标文件要求的各投标供应商的投标报价。 </w:t>
                      </w:r>
                    </w:p>
                    <w:p>
                      <w:pPr>
                        <w:pStyle w:val="6"/>
                        <w:spacing w:before="91" w:line="340" w:lineRule="auto"/>
                        <w:ind w:left="105" w:right="148" w:firstLine="600"/>
                        <w:rPr>
                          <w:sz w:val="34"/>
                        </w:rPr>
                      </w:pPr>
                      <w:r>
                        <w:rPr>
                          <w:sz w:val="24"/>
                          <w:szCs w:val="22"/>
                        </w:rPr>
                        <w:t>②、对小型和微型企业（含监狱企业、残疾人福利性单位）产品的价格给予</w:t>
                      </w:r>
                      <w:r>
                        <w:rPr>
                          <w:sz w:val="24"/>
                          <w:szCs w:val="22"/>
                          <w:u w:val="single"/>
                        </w:rPr>
                        <w:t xml:space="preserve"> </w:t>
                      </w:r>
                      <w:r>
                        <w:rPr>
                          <w:rFonts w:hint="eastAsia"/>
                          <w:sz w:val="24"/>
                          <w:szCs w:val="22"/>
                          <w:u w:val="single"/>
                          <w:lang w:val="en-US" w:eastAsia="zh-CN"/>
                        </w:rPr>
                        <w:t>4</w:t>
                      </w:r>
                      <w:r>
                        <w:rPr>
                          <w:sz w:val="24"/>
                          <w:szCs w:val="22"/>
                          <w:u w:val="single"/>
                        </w:rPr>
                        <w:t>%</w:t>
                      </w:r>
                      <w:r>
                        <w:rPr>
                          <w:sz w:val="24"/>
                          <w:szCs w:val="22"/>
                        </w:rPr>
                        <w:t xml:space="preserve"> 的扣除，用扣除后的价格参与评审。</w:t>
                      </w:r>
                      <w:r>
                        <w:rPr>
                          <w:w w:val="101"/>
                          <w:sz w:val="34"/>
                        </w:rPr>
                        <w:t xml:space="preserve"> </w:t>
                      </w:r>
                    </w:p>
                  </w:txbxContent>
                </v:textbox>
                <w10:wrap type="topAndBottom"/>
              </v:shape>
            </w:pict>
          </mc:Fallback>
        </mc:AlternateContent>
      </w:r>
    </w:p>
    <w:p>
      <w:pPr>
        <w:spacing w:before="66"/>
        <w:ind w:left="471" w:right="0" w:firstLine="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商务评审：</w:t>
      </w:r>
      <w:r>
        <w:rPr>
          <w:rFonts w:hint="eastAsia" w:ascii="宋体" w:hAnsi="宋体" w:eastAsia="宋体" w:cs="宋体"/>
          <w:sz w:val="24"/>
        </w:rPr>
        <w:t>（满分：</w:t>
      </w:r>
      <w:r>
        <w:rPr>
          <w:rFonts w:hint="eastAsia" w:ascii="宋体" w:hAnsi="宋体" w:eastAsia="宋体" w:cs="宋体"/>
          <w:sz w:val="24"/>
          <w:lang w:val="en-US" w:eastAsia="zh-CN"/>
        </w:rPr>
        <w:t>45</w:t>
      </w:r>
      <w:r>
        <w:rPr>
          <w:rFonts w:hint="eastAsia" w:ascii="宋体" w:hAnsi="宋体" w:eastAsia="宋体" w:cs="宋体"/>
          <w:sz w:val="24"/>
        </w:rPr>
        <w:t xml:space="preserve">分） </w:t>
      </w:r>
    </w:p>
    <w:p>
      <w:pPr>
        <w:spacing w:after="0"/>
        <w:jc w:val="left"/>
        <w:rPr>
          <w:rFonts w:hint="eastAsia" w:ascii="宋体" w:hAnsi="宋体" w:eastAsia="宋体" w:cs="宋体"/>
          <w:sz w:val="24"/>
        </w:rPr>
      </w:pPr>
    </w:p>
    <w:p>
      <w:pPr>
        <w:tabs>
          <w:tab w:val="left" w:pos="833"/>
        </w:tabs>
        <w:bidi w:val="0"/>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ab/>
      </w:r>
    </w:p>
    <w:tbl>
      <w:tblPr>
        <w:tblStyle w:val="9"/>
        <w:tblW w:w="9327" w:type="dxa"/>
        <w:tblInd w:w="4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7"/>
        <w:gridCol w:w="856"/>
        <w:gridCol w:w="7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1397" w:type="dxa"/>
            <w:tcBorders>
              <w:bottom w:val="single" w:color="000000" w:sz="8" w:space="0"/>
            </w:tcBorders>
            <w:noWrap w:val="0"/>
            <w:vAlign w:val="top"/>
          </w:tcPr>
          <w:p>
            <w:pPr>
              <w:pStyle w:val="17"/>
              <w:spacing w:before="135"/>
              <w:ind w:left="187"/>
              <w:rPr>
                <w:rFonts w:hint="eastAsia" w:ascii="宋体" w:hAnsi="宋体" w:eastAsia="宋体" w:cs="宋体"/>
                <w:b/>
                <w:sz w:val="24"/>
              </w:rPr>
            </w:pPr>
            <w:r>
              <w:rPr>
                <w:rFonts w:hint="eastAsia" w:ascii="宋体" w:hAnsi="宋体" w:eastAsia="宋体" w:cs="宋体"/>
                <w:b/>
                <w:sz w:val="24"/>
              </w:rPr>
              <w:t>评分因素</w:t>
            </w:r>
            <w:r>
              <w:rPr>
                <w:rFonts w:hint="eastAsia" w:ascii="宋体" w:hAnsi="宋体" w:eastAsia="宋体" w:cs="宋体"/>
                <w:b/>
                <w:w w:val="99"/>
                <w:sz w:val="24"/>
              </w:rPr>
              <w:t xml:space="preserve"> </w:t>
            </w:r>
          </w:p>
        </w:tc>
        <w:tc>
          <w:tcPr>
            <w:tcW w:w="856" w:type="dxa"/>
            <w:tcBorders>
              <w:bottom w:val="single" w:color="000000" w:sz="8" w:space="0"/>
            </w:tcBorders>
            <w:noWrap w:val="0"/>
            <w:vAlign w:val="top"/>
          </w:tcPr>
          <w:p>
            <w:pPr>
              <w:pStyle w:val="17"/>
              <w:spacing w:before="135"/>
              <w:ind w:left="172"/>
              <w:rPr>
                <w:rFonts w:hint="eastAsia" w:ascii="宋体" w:hAnsi="宋体" w:eastAsia="宋体" w:cs="宋体"/>
                <w:b/>
                <w:sz w:val="24"/>
              </w:rPr>
            </w:pPr>
            <w:r>
              <w:rPr>
                <w:rFonts w:hint="eastAsia" w:ascii="宋体" w:hAnsi="宋体" w:eastAsia="宋体" w:cs="宋体"/>
                <w:b/>
                <w:sz w:val="24"/>
              </w:rPr>
              <w:t>分值</w:t>
            </w:r>
            <w:r>
              <w:rPr>
                <w:rFonts w:hint="eastAsia" w:ascii="宋体" w:hAnsi="宋体" w:eastAsia="宋体" w:cs="宋体"/>
                <w:b/>
                <w:w w:val="99"/>
                <w:sz w:val="24"/>
              </w:rPr>
              <w:t xml:space="preserve"> </w:t>
            </w:r>
          </w:p>
        </w:tc>
        <w:tc>
          <w:tcPr>
            <w:tcW w:w="7074" w:type="dxa"/>
            <w:tcBorders>
              <w:bottom w:val="single" w:color="000000" w:sz="8" w:space="0"/>
            </w:tcBorders>
            <w:noWrap w:val="0"/>
            <w:vAlign w:val="top"/>
          </w:tcPr>
          <w:p>
            <w:pPr>
              <w:pStyle w:val="17"/>
              <w:spacing w:before="135"/>
              <w:ind w:left="3094" w:right="2960"/>
              <w:jc w:val="center"/>
              <w:rPr>
                <w:rFonts w:hint="eastAsia" w:ascii="宋体" w:hAnsi="宋体" w:eastAsia="宋体" w:cs="宋体"/>
                <w:b/>
                <w:sz w:val="24"/>
              </w:rPr>
            </w:pPr>
            <w:r>
              <w:rPr>
                <w:rFonts w:hint="eastAsia" w:ascii="宋体" w:hAnsi="宋体" w:eastAsia="宋体" w:cs="宋体"/>
                <w:b/>
                <w:sz w:val="24"/>
              </w:rPr>
              <w:t>评分标准</w:t>
            </w:r>
            <w:r>
              <w:rPr>
                <w:rFonts w:hint="eastAsia" w:ascii="宋体" w:hAnsi="宋体" w:eastAsia="宋体" w:cs="宋体"/>
                <w:b/>
                <w:w w:val="99"/>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trPr>
        <w:tc>
          <w:tcPr>
            <w:tcW w:w="1397" w:type="dxa"/>
            <w:tcBorders>
              <w:top w:val="single" w:color="000000" w:sz="8" w:space="0"/>
            </w:tcBorders>
            <w:noWrap w:val="0"/>
            <w:vAlign w:val="center"/>
          </w:tcPr>
          <w:p>
            <w:pPr>
              <w:pStyle w:val="17"/>
              <w:jc w:val="center"/>
              <w:rPr>
                <w:rFonts w:hint="eastAsia" w:ascii="宋体" w:hAnsi="宋体" w:eastAsia="宋体" w:cs="宋体"/>
                <w:sz w:val="24"/>
              </w:rPr>
            </w:pPr>
          </w:p>
          <w:p>
            <w:pPr>
              <w:pStyle w:val="17"/>
              <w:spacing w:line="242" w:lineRule="auto"/>
              <w:ind w:right="200"/>
              <w:jc w:val="center"/>
              <w:rPr>
                <w:rFonts w:hint="eastAsia" w:ascii="宋体" w:hAnsi="宋体" w:eastAsia="宋体" w:cs="宋体"/>
                <w:sz w:val="24"/>
                <w:lang w:val="en-US" w:eastAsia="zh-CN"/>
              </w:rPr>
            </w:pPr>
            <w:r>
              <w:rPr>
                <w:rFonts w:hint="eastAsia" w:ascii="宋体" w:hAnsi="宋体" w:eastAsia="宋体" w:cs="宋体"/>
                <w:sz w:val="24"/>
                <w:lang w:val="en-US" w:eastAsia="zh-CN"/>
              </w:rPr>
              <w:t>类似业绩</w:t>
            </w:r>
          </w:p>
          <w:p>
            <w:pPr>
              <w:pStyle w:val="17"/>
              <w:spacing w:line="242" w:lineRule="auto"/>
              <w:ind w:left="217" w:right="200"/>
              <w:jc w:val="center"/>
              <w:rPr>
                <w:rFonts w:hint="eastAsia" w:ascii="宋体" w:hAnsi="宋体" w:eastAsia="宋体" w:cs="宋体"/>
                <w:sz w:val="24"/>
              </w:rPr>
            </w:pPr>
          </w:p>
        </w:tc>
        <w:tc>
          <w:tcPr>
            <w:tcW w:w="856" w:type="dxa"/>
            <w:tcBorders>
              <w:top w:val="single" w:color="000000" w:sz="8" w:space="0"/>
            </w:tcBorders>
            <w:noWrap w:val="0"/>
            <w:vAlign w:val="center"/>
          </w:tcPr>
          <w:p>
            <w:pPr>
              <w:pStyle w:val="17"/>
              <w:jc w:val="center"/>
              <w:rPr>
                <w:rFonts w:hint="eastAsia" w:ascii="宋体" w:hAnsi="宋体" w:eastAsia="宋体" w:cs="宋体"/>
                <w:sz w:val="24"/>
              </w:rPr>
            </w:pPr>
          </w:p>
          <w:p>
            <w:pPr>
              <w:pStyle w:val="17"/>
              <w:jc w:val="center"/>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7074" w:type="dxa"/>
            <w:tcBorders>
              <w:top w:val="single" w:color="000000" w:sz="8" w:space="0"/>
            </w:tcBorders>
            <w:noWrap w:val="0"/>
            <w:vAlign w:val="top"/>
          </w:tcPr>
          <w:p>
            <w:pPr>
              <w:pStyle w:val="17"/>
              <w:spacing w:line="291" w:lineRule="exact"/>
              <w:ind w:left="112"/>
              <w:rPr>
                <w:rFonts w:hint="eastAsia" w:ascii="宋体" w:hAnsi="宋体" w:eastAsia="宋体" w:cs="宋体"/>
                <w:sz w:val="24"/>
              </w:rPr>
            </w:pPr>
            <w:r>
              <w:rPr>
                <w:rFonts w:hint="eastAsia" w:ascii="宋体" w:hAnsi="宋体" w:eastAsia="宋体" w:cs="宋体"/>
                <w:sz w:val="24"/>
                <w:lang w:val="en-US" w:eastAsia="zh-CN"/>
              </w:rPr>
              <w:t>投标供应商（或生产厂商）提供近三年以来类似销售业绩，每提供一个业绩得2.5分，本项最多得5分。提供有效的合同复印件（加盖公章）</w:t>
            </w:r>
            <w:r>
              <w:rPr>
                <w:rFonts w:hint="eastAsia" w:ascii="宋体" w:hAnsi="宋体" w:eastAsia="宋体" w:cs="宋体"/>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1397" w:type="dxa"/>
            <w:noWrap w:val="0"/>
            <w:vAlign w:val="center"/>
          </w:tcPr>
          <w:p>
            <w:pPr>
              <w:pStyle w:val="17"/>
              <w:spacing w:before="171" w:line="235" w:lineRule="auto"/>
              <w:ind w:right="200"/>
              <w:jc w:val="center"/>
              <w:rPr>
                <w:rFonts w:hint="eastAsia" w:ascii="宋体" w:hAnsi="宋体" w:eastAsia="宋体" w:cs="宋体"/>
                <w:sz w:val="24"/>
              </w:rPr>
            </w:pPr>
            <w:r>
              <w:rPr>
                <w:rFonts w:hint="eastAsia" w:ascii="宋体" w:hAnsi="宋体" w:eastAsia="宋体" w:cs="宋体"/>
                <w:sz w:val="24"/>
                <w:lang w:val="en-US" w:eastAsia="zh-CN"/>
              </w:rPr>
              <w:t>供货、安装及应急方案</w:t>
            </w:r>
          </w:p>
        </w:tc>
        <w:tc>
          <w:tcPr>
            <w:tcW w:w="856" w:type="dxa"/>
            <w:noWrap w:val="0"/>
            <w:vAlign w:val="center"/>
          </w:tcPr>
          <w:p>
            <w:pPr>
              <w:pStyle w:val="17"/>
              <w:jc w:val="center"/>
              <w:rPr>
                <w:rFonts w:hint="eastAsia" w:ascii="宋体" w:hAnsi="宋体" w:eastAsia="宋体" w:cs="宋体"/>
                <w:sz w:val="24"/>
              </w:rPr>
            </w:pPr>
          </w:p>
          <w:p>
            <w:pPr>
              <w:pStyle w:val="17"/>
              <w:spacing w:before="1"/>
              <w:jc w:val="center"/>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分</w:t>
            </w:r>
          </w:p>
        </w:tc>
        <w:tc>
          <w:tcPr>
            <w:tcW w:w="7074" w:type="dxa"/>
            <w:noWrap w:val="0"/>
            <w:vAlign w:val="top"/>
          </w:tcPr>
          <w:p>
            <w:pPr>
              <w:pStyle w:val="17"/>
              <w:spacing w:before="3" w:line="300" w:lineRule="exact"/>
              <w:ind w:left="112" w:right="213"/>
              <w:rPr>
                <w:rFonts w:hint="eastAsia" w:ascii="宋体" w:hAnsi="宋体" w:eastAsia="宋体" w:cs="宋体"/>
                <w:sz w:val="24"/>
              </w:rPr>
            </w:pPr>
            <w:r>
              <w:rPr>
                <w:rFonts w:hint="eastAsia" w:ascii="宋体" w:hAnsi="宋体" w:eastAsia="宋体" w:cs="宋体"/>
                <w:sz w:val="24"/>
              </w:rPr>
              <w:t>对投标供应商提供项目详细的</w:t>
            </w:r>
            <w:r>
              <w:rPr>
                <w:rFonts w:hint="eastAsia" w:ascii="宋体" w:hAnsi="宋体" w:eastAsia="宋体" w:cs="宋体"/>
                <w:sz w:val="24"/>
                <w:lang w:eastAsia="zh-CN"/>
              </w:rPr>
              <w:t>（供货方案、安装施工方案、安全保障方案）</w:t>
            </w:r>
            <w:r>
              <w:rPr>
                <w:rFonts w:hint="eastAsia" w:ascii="宋体" w:hAnsi="宋体" w:eastAsia="宋体" w:cs="宋体"/>
                <w:sz w:val="24"/>
              </w:rPr>
              <w:t>物资应急准备、物资应急响应、物资应急保障措施、装卸和运送管理制度、应急工作人员岗位配置</w:t>
            </w:r>
            <w:r>
              <w:rPr>
                <w:rFonts w:hint="eastAsia" w:ascii="宋体" w:hAnsi="宋体" w:eastAsia="宋体" w:cs="宋体"/>
                <w:sz w:val="24"/>
                <w:lang w:eastAsia="zh-CN"/>
              </w:rPr>
              <w:t>（等方面）</w:t>
            </w:r>
            <w:r>
              <w:rPr>
                <w:rFonts w:hint="eastAsia" w:ascii="宋体" w:hAnsi="宋体" w:eastAsia="宋体" w:cs="宋体"/>
                <w:sz w:val="24"/>
              </w:rPr>
              <w:t>进行比较打分，得0-</w:t>
            </w:r>
            <w:r>
              <w:rPr>
                <w:rFonts w:hint="eastAsia" w:ascii="宋体" w:hAnsi="宋体" w:eastAsia="宋体" w:cs="宋体"/>
                <w:sz w:val="24"/>
                <w:lang w:val="en-US" w:eastAsia="zh-CN"/>
              </w:rPr>
              <w:t>28</w:t>
            </w:r>
            <w:r>
              <w:rPr>
                <w:rFonts w:hint="eastAsia" w:ascii="宋体" w:hAnsi="宋体" w:eastAsia="宋体" w:cs="宋体"/>
                <w:sz w:val="24"/>
              </w:rPr>
              <w:t xml:space="preserve">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0" w:hRule="atLeast"/>
        </w:trPr>
        <w:tc>
          <w:tcPr>
            <w:tcW w:w="1397" w:type="dxa"/>
            <w:noWrap w:val="0"/>
            <w:vAlign w:val="center"/>
          </w:tcPr>
          <w:p>
            <w:pPr>
              <w:pStyle w:val="17"/>
              <w:spacing w:before="1"/>
              <w:jc w:val="center"/>
              <w:rPr>
                <w:rFonts w:hint="eastAsia" w:ascii="宋体" w:hAnsi="宋体" w:eastAsia="宋体" w:cs="宋体"/>
                <w:sz w:val="28"/>
              </w:rPr>
            </w:pPr>
          </w:p>
          <w:p>
            <w:pPr>
              <w:pStyle w:val="17"/>
              <w:spacing w:line="244" w:lineRule="auto"/>
              <w:ind w:left="577" w:right="200" w:hanging="361"/>
              <w:jc w:val="both"/>
              <w:rPr>
                <w:rFonts w:hint="eastAsia" w:ascii="宋体" w:hAnsi="宋体" w:eastAsia="宋体" w:cs="宋体"/>
                <w:sz w:val="24"/>
              </w:rPr>
            </w:pPr>
            <w:r>
              <w:rPr>
                <w:rFonts w:hint="eastAsia" w:ascii="宋体" w:hAnsi="宋体" w:eastAsia="宋体" w:cs="宋体"/>
                <w:sz w:val="24"/>
                <w:lang w:val="en-US" w:eastAsia="zh-CN"/>
              </w:rPr>
              <w:t>售后服务方案</w:t>
            </w:r>
          </w:p>
        </w:tc>
        <w:tc>
          <w:tcPr>
            <w:tcW w:w="856" w:type="dxa"/>
            <w:noWrap w:val="0"/>
            <w:vAlign w:val="center"/>
          </w:tcPr>
          <w:p>
            <w:pPr>
              <w:pStyle w:val="17"/>
              <w:jc w:val="center"/>
              <w:rPr>
                <w:rFonts w:hint="eastAsia" w:ascii="宋体" w:hAnsi="宋体" w:eastAsia="宋体" w:cs="宋体"/>
                <w:sz w:val="24"/>
              </w:rPr>
            </w:pPr>
          </w:p>
          <w:p>
            <w:pPr>
              <w:pStyle w:val="17"/>
              <w:spacing w:before="8"/>
              <w:jc w:val="center"/>
              <w:rPr>
                <w:rFonts w:hint="eastAsia" w:ascii="宋体" w:hAnsi="宋体" w:eastAsia="宋体" w:cs="宋体"/>
                <w:sz w:val="21"/>
              </w:rPr>
            </w:pPr>
          </w:p>
          <w:p>
            <w:pPr>
              <w:pStyle w:val="17"/>
              <w:spacing w:before="1"/>
              <w:ind w:left="247"/>
              <w:jc w:val="both"/>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分</w:t>
            </w:r>
          </w:p>
        </w:tc>
        <w:tc>
          <w:tcPr>
            <w:tcW w:w="7074" w:type="dxa"/>
            <w:noWrap w:val="0"/>
            <w:vAlign w:val="top"/>
          </w:tcPr>
          <w:p>
            <w:pPr>
              <w:pStyle w:val="17"/>
              <w:spacing w:before="1"/>
              <w:rPr>
                <w:rFonts w:hint="eastAsia" w:ascii="宋体" w:hAnsi="宋体" w:eastAsia="宋体" w:cs="宋体"/>
                <w:sz w:val="28"/>
              </w:rPr>
            </w:pPr>
          </w:p>
          <w:p>
            <w:pPr>
              <w:pStyle w:val="17"/>
              <w:spacing w:line="244" w:lineRule="auto"/>
              <w:ind w:left="112" w:right="210"/>
              <w:rPr>
                <w:rFonts w:hint="eastAsia" w:ascii="宋体" w:hAnsi="宋体" w:eastAsia="宋体" w:cs="宋体"/>
                <w:sz w:val="24"/>
                <w:lang w:val="en-US" w:eastAsia="zh-CN"/>
              </w:rPr>
            </w:pPr>
            <w:r>
              <w:rPr>
                <w:rFonts w:hint="eastAsia" w:ascii="宋体" w:hAnsi="宋体" w:eastAsia="宋体" w:cs="宋体"/>
                <w:sz w:val="24"/>
                <w:lang w:val="en-US" w:eastAsia="zh-CN"/>
              </w:rPr>
              <w:t>投标人提供详细的售后服务方案：包含专业技术人员配备情况、售后服务质保期、售后服务点。</w:t>
            </w:r>
          </w:p>
          <w:p>
            <w:pPr>
              <w:pStyle w:val="17"/>
              <w:spacing w:line="244" w:lineRule="auto"/>
              <w:ind w:left="112" w:right="210"/>
              <w:rPr>
                <w:rFonts w:hint="eastAsia" w:ascii="宋体" w:hAnsi="宋体" w:eastAsia="宋体" w:cs="宋体"/>
                <w:sz w:val="24"/>
                <w:lang w:val="en-US" w:eastAsia="zh-CN"/>
              </w:rPr>
            </w:pPr>
            <w:r>
              <w:rPr>
                <w:rFonts w:hint="eastAsia" w:ascii="宋体" w:hAnsi="宋体" w:eastAsia="宋体" w:cs="宋体"/>
                <w:sz w:val="24"/>
                <w:lang w:val="en-US" w:eastAsia="zh-CN"/>
              </w:rPr>
              <w:t>1、售后服务质保期：投标供应商除了满足招标文件要求的质保期外，承诺质保期延长1年得2分，质保期延长3年得5分。（提供质保期承诺函并加盖公章）</w:t>
            </w:r>
          </w:p>
          <w:p>
            <w:pPr>
              <w:pStyle w:val="17"/>
              <w:spacing w:line="244" w:lineRule="auto"/>
              <w:ind w:left="112" w:right="210"/>
              <w:rPr>
                <w:rFonts w:hint="eastAsia" w:ascii="宋体" w:hAnsi="宋体" w:eastAsia="宋体" w:cs="宋体"/>
                <w:sz w:val="24"/>
              </w:rPr>
            </w:pPr>
            <w:r>
              <w:rPr>
                <w:rFonts w:hint="eastAsia" w:ascii="宋体" w:hAnsi="宋体" w:eastAsia="宋体" w:cs="宋体"/>
                <w:sz w:val="24"/>
                <w:lang w:val="en-US" w:eastAsia="zh-CN"/>
              </w:rPr>
              <w:t>2、售后服务点：在贵州省内有售后服务办公室场地（提供房屋租赁合同或购房合同等作为证明材料）或承诺在中标后在贵州省内设立售后服务办公场地，得5分</w:t>
            </w:r>
            <w:r>
              <w:rPr>
                <w:rFonts w:hint="eastAsia" w:ascii="宋体" w:hAnsi="宋体" w:eastAsia="宋体" w:cs="宋体"/>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1" w:hRule="atLeast"/>
        </w:trPr>
        <w:tc>
          <w:tcPr>
            <w:tcW w:w="1397" w:type="dxa"/>
            <w:noWrap w:val="0"/>
            <w:vAlign w:val="center"/>
          </w:tcPr>
          <w:p>
            <w:pPr>
              <w:pStyle w:val="17"/>
              <w:spacing w:before="8"/>
              <w:jc w:val="center"/>
              <w:rPr>
                <w:rFonts w:hint="eastAsia" w:ascii="宋体" w:hAnsi="宋体" w:eastAsia="宋体" w:cs="宋体"/>
                <w:sz w:val="29"/>
              </w:rPr>
            </w:pPr>
          </w:p>
          <w:p>
            <w:pPr>
              <w:pStyle w:val="17"/>
              <w:spacing w:before="1" w:line="235" w:lineRule="auto"/>
              <w:ind w:left="458" w:right="200" w:hanging="241"/>
              <w:jc w:val="center"/>
              <w:rPr>
                <w:rFonts w:hint="eastAsia" w:ascii="宋体" w:hAnsi="宋体" w:eastAsia="宋体" w:cs="宋体"/>
                <w:sz w:val="24"/>
              </w:rPr>
            </w:pPr>
            <w:r>
              <w:rPr>
                <w:rFonts w:hint="eastAsia" w:ascii="宋体" w:hAnsi="宋体" w:eastAsia="宋体" w:cs="宋体"/>
                <w:sz w:val="24"/>
                <w:lang w:val="en-US" w:eastAsia="zh-CN"/>
              </w:rPr>
              <w:t>体系认证证书</w:t>
            </w:r>
          </w:p>
        </w:tc>
        <w:tc>
          <w:tcPr>
            <w:tcW w:w="856" w:type="dxa"/>
            <w:noWrap w:val="0"/>
            <w:vAlign w:val="center"/>
          </w:tcPr>
          <w:p>
            <w:pPr>
              <w:pStyle w:val="17"/>
              <w:jc w:val="center"/>
              <w:rPr>
                <w:rFonts w:hint="eastAsia" w:ascii="宋体" w:hAnsi="宋体" w:eastAsia="宋体" w:cs="宋体"/>
                <w:sz w:val="24"/>
              </w:rPr>
            </w:pPr>
          </w:p>
          <w:p>
            <w:pPr>
              <w:pStyle w:val="17"/>
              <w:spacing w:before="11"/>
              <w:jc w:val="center"/>
              <w:rPr>
                <w:rFonts w:hint="eastAsia" w:ascii="宋体" w:hAnsi="宋体" w:eastAsia="宋体" w:cs="宋体"/>
                <w:sz w:val="22"/>
              </w:rPr>
            </w:pPr>
          </w:p>
          <w:p>
            <w:pPr>
              <w:pStyle w:val="17"/>
              <w:ind w:left="247"/>
              <w:jc w:val="both"/>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分</w:t>
            </w:r>
          </w:p>
        </w:tc>
        <w:tc>
          <w:tcPr>
            <w:tcW w:w="7074" w:type="dxa"/>
            <w:noWrap w:val="0"/>
            <w:vAlign w:val="top"/>
          </w:tcPr>
          <w:p>
            <w:pPr>
              <w:pStyle w:val="17"/>
              <w:spacing w:before="8"/>
              <w:rPr>
                <w:rFonts w:hint="eastAsia" w:ascii="宋体" w:hAnsi="宋体" w:eastAsia="宋体" w:cs="宋体"/>
                <w:sz w:val="29"/>
              </w:rPr>
            </w:pPr>
          </w:p>
          <w:p>
            <w:pPr>
              <w:pStyle w:val="17"/>
              <w:spacing w:before="1" w:line="235" w:lineRule="auto"/>
              <w:ind w:left="112" w:right="210"/>
              <w:rPr>
                <w:rFonts w:hint="eastAsia" w:ascii="宋体" w:hAnsi="宋体" w:eastAsia="宋体" w:cs="宋体"/>
                <w:sz w:val="24"/>
              </w:rPr>
            </w:pPr>
            <w:r>
              <w:rPr>
                <w:rFonts w:hint="eastAsia" w:ascii="宋体" w:hAnsi="宋体" w:eastAsia="宋体" w:cs="宋体"/>
                <w:sz w:val="24"/>
                <w:lang w:val="en-US" w:eastAsia="zh-CN"/>
              </w:rPr>
              <w:t>投标供应商提供生产厂家有效的ISO9001质量管理体系、ISO14001环境管理体系，每提供1个得1分，满分2分。注：证书复印件加盖公章放投标文件里面，不提供货不按要求提供均不得分。</w:t>
            </w:r>
            <w:r>
              <w:rPr>
                <w:rFonts w:hint="eastAsia" w:ascii="宋体" w:hAnsi="宋体" w:eastAsia="宋体" w:cs="宋体"/>
                <w:sz w:val="24"/>
              </w:rPr>
              <w:t xml:space="preserve"> </w:t>
            </w:r>
          </w:p>
        </w:tc>
      </w:tr>
    </w:tbl>
    <w:p>
      <w:pPr>
        <w:tabs>
          <w:tab w:val="left" w:pos="833"/>
        </w:tabs>
        <w:bidi w:val="0"/>
        <w:jc w:val="left"/>
        <w:rPr>
          <w:rFonts w:hint="eastAsia" w:ascii="宋体" w:hAnsi="宋体" w:eastAsia="宋体" w:cs="宋体"/>
          <w:kern w:val="2"/>
          <w:sz w:val="21"/>
          <w:szCs w:val="22"/>
          <w:lang w:val="en-US" w:eastAsia="zh-CN" w:bidi="ar-SA"/>
        </w:rPr>
        <w:sectPr>
          <w:pgSz w:w="11910" w:h="16850"/>
          <w:pgMar w:top="1134" w:right="1134" w:bottom="1134" w:left="1134" w:header="0" w:footer="1006" w:gutter="0"/>
          <w:cols w:space="720" w:num="1"/>
        </w:sectPr>
      </w:pPr>
    </w:p>
    <w:p>
      <w:pPr>
        <w:spacing w:before="66"/>
        <w:ind w:left="471" w:right="0" w:firstLine="0"/>
        <w:jc w:val="left"/>
        <w:rPr>
          <w:rFonts w:hint="eastAsia" w:ascii="宋体" w:hAnsi="宋体" w:eastAsia="宋体" w:cs="宋体"/>
          <w:sz w:val="24"/>
        </w:rPr>
      </w:pPr>
      <w:r>
        <w:rPr>
          <w:rFonts w:hint="eastAsia" w:ascii="宋体" w:hAnsi="宋体" w:eastAsia="宋体" w:cs="宋体"/>
          <w:b/>
          <w:sz w:val="24"/>
        </w:rPr>
        <w:t>3、技术评审：</w:t>
      </w:r>
      <w:r>
        <w:rPr>
          <w:rFonts w:hint="eastAsia" w:ascii="宋体" w:hAnsi="宋体" w:eastAsia="宋体" w:cs="宋体"/>
          <w:sz w:val="24"/>
        </w:rPr>
        <w:t>（满分：</w:t>
      </w:r>
      <w:r>
        <w:rPr>
          <w:rFonts w:hint="eastAsia" w:ascii="宋体" w:hAnsi="宋体" w:eastAsia="宋体" w:cs="宋体"/>
          <w:sz w:val="24"/>
          <w:lang w:val="en-US" w:eastAsia="zh-CN"/>
        </w:rPr>
        <w:t>25</w:t>
      </w:r>
      <w:r>
        <w:rPr>
          <w:rFonts w:hint="eastAsia" w:ascii="宋体" w:hAnsi="宋体" w:eastAsia="宋体" w:cs="宋体"/>
          <w:sz w:val="24"/>
        </w:rPr>
        <w:t xml:space="preserve">分） </w:t>
      </w:r>
    </w:p>
    <w:p>
      <w:pPr>
        <w:pStyle w:val="6"/>
        <w:spacing w:before="2"/>
        <w:rPr>
          <w:rFonts w:hint="eastAsia" w:ascii="宋体" w:hAnsi="宋体" w:eastAsia="宋体" w:cs="宋体"/>
          <w:sz w:val="11"/>
        </w:rPr>
      </w:pPr>
    </w:p>
    <w:tbl>
      <w:tblPr>
        <w:tblStyle w:val="9"/>
        <w:tblW w:w="0" w:type="auto"/>
        <w:tblInd w:w="5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7"/>
        <w:gridCol w:w="6820"/>
        <w:gridCol w:w="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96" w:hRule="atLeast"/>
        </w:trPr>
        <w:tc>
          <w:tcPr>
            <w:tcW w:w="1277" w:type="dxa"/>
            <w:noWrap w:val="0"/>
            <w:vAlign w:val="center"/>
          </w:tcPr>
          <w:p>
            <w:pPr>
              <w:pStyle w:val="17"/>
              <w:spacing w:line="277" w:lineRule="exact"/>
              <w:ind w:left="127"/>
              <w:jc w:val="center"/>
              <w:rPr>
                <w:rFonts w:hint="eastAsia" w:ascii="宋体" w:hAnsi="宋体" w:eastAsia="宋体" w:cs="宋体"/>
                <w:sz w:val="22"/>
                <w:szCs w:val="21"/>
              </w:rPr>
            </w:pPr>
            <w:r>
              <w:rPr>
                <w:rFonts w:hint="eastAsia" w:ascii="宋体" w:hAnsi="宋体" w:eastAsia="宋体" w:cs="宋体"/>
                <w:sz w:val="22"/>
                <w:szCs w:val="21"/>
              </w:rPr>
              <w:t>技术部分</w:t>
            </w:r>
          </w:p>
          <w:p>
            <w:pPr>
              <w:pStyle w:val="17"/>
              <w:spacing w:before="4" w:line="244" w:lineRule="auto"/>
              <w:ind w:left="127" w:right="170"/>
              <w:jc w:val="center"/>
              <w:rPr>
                <w:rFonts w:hint="eastAsia" w:ascii="宋体" w:hAnsi="宋体" w:eastAsia="宋体" w:cs="宋体"/>
                <w:sz w:val="22"/>
                <w:szCs w:val="21"/>
              </w:rPr>
            </w:pPr>
            <w:r>
              <w:rPr>
                <w:rFonts w:hint="eastAsia" w:ascii="宋体" w:hAnsi="宋体" w:eastAsia="宋体" w:cs="宋体"/>
                <w:sz w:val="22"/>
                <w:szCs w:val="21"/>
              </w:rPr>
              <w:t>评分标准(</w:t>
            </w:r>
            <w:r>
              <w:rPr>
                <w:rFonts w:hint="eastAsia" w:ascii="宋体" w:hAnsi="宋体" w:eastAsia="宋体" w:cs="宋体"/>
                <w:sz w:val="22"/>
                <w:szCs w:val="21"/>
                <w:lang w:val="en-US" w:eastAsia="zh-CN"/>
              </w:rPr>
              <w:t>25</w:t>
            </w:r>
            <w:r>
              <w:rPr>
                <w:rFonts w:hint="eastAsia" w:ascii="宋体" w:hAnsi="宋体" w:eastAsia="宋体" w:cs="宋体"/>
                <w:sz w:val="22"/>
                <w:szCs w:val="21"/>
              </w:rPr>
              <w:t>分)</w:t>
            </w:r>
          </w:p>
          <w:p>
            <w:pPr>
              <w:pStyle w:val="17"/>
              <w:spacing w:before="3" w:line="284" w:lineRule="exact"/>
              <w:ind w:left="127"/>
              <w:jc w:val="center"/>
              <w:rPr>
                <w:rFonts w:hint="eastAsia" w:ascii="宋体" w:hAnsi="宋体" w:eastAsia="宋体" w:cs="宋体"/>
                <w:sz w:val="22"/>
                <w:szCs w:val="21"/>
              </w:rPr>
            </w:pPr>
          </w:p>
        </w:tc>
        <w:tc>
          <w:tcPr>
            <w:tcW w:w="682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z w:val="22"/>
                <w:szCs w:val="22"/>
              </w:rPr>
            </w:pPr>
            <w:r>
              <w:rPr>
                <w:rFonts w:hint="eastAsia" w:ascii="宋体" w:hAnsi="宋体" w:eastAsia="宋体" w:cs="宋体"/>
                <w:color w:val="auto"/>
                <w:sz w:val="22"/>
                <w:szCs w:val="22"/>
                <w:lang w:val="en-US" w:eastAsia="zh-CN"/>
              </w:rPr>
              <w:t>技术参数</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投标产品技术参数完全满足采购文件要求的得25分， 每负偏离一项扣5分，负偏离达三项及以上，作为无效标处理。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2"/>
                <w:szCs w:val="22"/>
              </w:rPr>
            </w:pP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25分</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p>
        </w:tc>
      </w:tr>
    </w:tbl>
    <w:p>
      <w:pPr>
        <w:bidi w:val="0"/>
        <w:rPr>
          <w:rFonts w:hint="eastAsia" w:ascii="宋体" w:hAnsi="宋体" w:eastAsia="宋体" w:cs="宋体"/>
          <w:kern w:val="2"/>
          <w:sz w:val="20"/>
          <w:szCs w:val="21"/>
          <w:lang w:val="en-US" w:eastAsia="zh-CN" w:bidi="ar-SA"/>
        </w:rPr>
      </w:pPr>
    </w:p>
    <w:p>
      <w:pPr>
        <w:spacing w:before="208"/>
        <w:ind w:left="471" w:right="0" w:firstLine="0"/>
        <w:jc w:val="left"/>
        <w:rPr>
          <w:rFonts w:hint="eastAsia" w:ascii="宋体" w:hAnsi="宋体" w:eastAsia="宋体" w:cs="宋体"/>
          <w:b/>
          <w:sz w:val="22"/>
          <w:szCs w:val="21"/>
        </w:rPr>
      </w:pPr>
      <w:r>
        <w:rPr>
          <w:rFonts w:hint="eastAsia" w:ascii="宋体" w:hAnsi="宋体" w:eastAsia="宋体" w:cs="宋体"/>
          <w:sz w:val="20"/>
          <w:szCs w:val="21"/>
          <w:lang w:val="en-US" w:eastAsia="zh-CN"/>
        </w:rPr>
        <w:tab/>
      </w:r>
      <w:r>
        <w:rPr>
          <w:rFonts w:hint="eastAsia" w:ascii="宋体" w:hAnsi="宋体" w:eastAsia="宋体" w:cs="宋体"/>
          <w:b/>
          <w:sz w:val="22"/>
          <w:szCs w:val="21"/>
        </w:rPr>
        <w:t>4、政策性加分：</w:t>
      </w:r>
      <w:r>
        <w:rPr>
          <w:rFonts w:hint="eastAsia" w:ascii="宋体" w:hAnsi="宋体" w:eastAsia="宋体" w:cs="宋体"/>
          <w:sz w:val="22"/>
          <w:szCs w:val="21"/>
        </w:rPr>
        <w:t>(满分5分)</w:t>
      </w:r>
      <w:r>
        <w:rPr>
          <w:rFonts w:hint="eastAsia" w:ascii="宋体" w:hAnsi="宋体" w:eastAsia="宋体" w:cs="宋体"/>
          <w:b/>
          <w:w w:val="99"/>
          <w:sz w:val="22"/>
          <w:szCs w:val="21"/>
        </w:rPr>
        <w:t xml:space="preserve"> </w:t>
      </w:r>
    </w:p>
    <w:p>
      <w:pPr>
        <w:pStyle w:val="6"/>
        <w:spacing w:before="2"/>
        <w:rPr>
          <w:rFonts w:hint="eastAsia" w:ascii="宋体" w:hAnsi="宋体" w:eastAsia="宋体" w:cs="宋体"/>
          <w:b/>
          <w:sz w:val="10"/>
          <w:szCs w:val="18"/>
        </w:rPr>
      </w:pPr>
    </w:p>
    <w:tbl>
      <w:tblPr>
        <w:tblStyle w:val="9"/>
        <w:tblW w:w="0" w:type="auto"/>
        <w:tblInd w:w="3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2"/>
        <w:gridCol w:w="6832"/>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7" w:hRule="atLeast"/>
        </w:trPr>
        <w:tc>
          <w:tcPr>
            <w:tcW w:w="1412" w:type="dxa"/>
            <w:noWrap w:val="0"/>
            <w:vAlign w:val="top"/>
          </w:tcPr>
          <w:p>
            <w:pPr>
              <w:pStyle w:val="17"/>
              <w:spacing w:before="120"/>
              <w:ind w:left="112"/>
              <w:jc w:val="center"/>
              <w:rPr>
                <w:rFonts w:hint="eastAsia" w:ascii="宋体" w:hAnsi="宋体" w:eastAsia="宋体" w:cs="宋体"/>
                <w:sz w:val="22"/>
                <w:szCs w:val="21"/>
              </w:rPr>
            </w:pPr>
          </w:p>
          <w:p>
            <w:pPr>
              <w:pStyle w:val="17"/>
              <w:spacing w:before="128"/>
              <w:ind w:left="112"/>
              <w:jc w:val="center"/>
              <w:rPr>
                <w:rFonts w:hint="eastAsia" w:ascii="宋体" w:hAnsi="宋体" w:eastAsia="宋体" w:cs="宋体"/>
                <w:sz w:val="22"/>
                <w:szCs w:val="21"/>
              </w:rPr>
            </w:pPr>
          </w:p>
          <w:p>
            <w:pPr>
              <w:pStyle w:val="17"/>
              <w:spacing w:before="128"/>
              <w:ind w:left="112"/>
              <w:jc w:val="center"/>
              <w:rPr>
                <w:rFonts w:hint="eastAsia" w:ascii="宋体" w:hAnsi="宋体" w:eastAsia="宋体" w:cs="宋体"/>
                <w:sz w:val="22"/>
                <w:szCs w:val="21"/>
              </w:rPr>
            </w:pPr>
          </w:p>
          <w:p>
            <w:pPr>
              <w:pStyle w:val="17"/>
              <w:spacing w:before="143" w:line="340" w:lineRule="auto"/>
              <w:ind w:left="112" w:right="-44"/>
              <w:jc w:val="center"/>
              <w:rPr>
                <w:rFonts w:hint="eastAsia" w:ascii="宋体" w:hAnsi="宋体" w:eastAsia="宋体" w:cs="宋体"/>
                <w:sz w:val="22"/>
                <w:szCs w:val="21"/>
              </w:rPr>
            </w:pPr>
          </w:p>
          <w:p>
            <w:pPr>
              <w:pStyle w:val="17"/>
              <w:spacing w:before="143" w:line="340" w:lineRule="auto"/>
              <w:ind w:left="112" w:right="-44"/>
              <w:jc w:val="center"/>
              <w:rPr>
                <w:rFonts w:hint="eastAsia" w:ascii="宋体" w:hAnsi="宋体" w:eastAsia="宋体" w:cs="宋体"/>
                <w:sz w:val="22"/>
                <w:szCs w:val="21"/>
              </w:rPr>
            </w:pPr>
          </w:p>
          <w:p>
            <w:pPr>
              <w:pStyle w:val="17"/>
              <w:spacing w:before="143" w:line="340" w:lineRule="auto"/>
              <w:ind w:left="112" w:right="-44"/>
              <w:jc w:val="center"/>
              <w:rPr>
                <w:rFonts w:hint="eastAsia" w:ascii="宋体" w:hAnsi="宋体" w:eastAsia="宋体" w:cs="宋体"/>
                <w:sz w:val="22"/>
                <w:szCs w:val="21"/>
              </w:rPr>
            </w:pPr>
          </w:p>
          <w:p>
            <w:pPr>
              <w:pStyle w:val="17"/>
              <w:spacing w:before="143" w:line="340" w:lineRule="auto"/>
              <w:ind w:left="112" w:right="-44"/>
              <w:jc w:val="center"/>
              <w:rPr>
                <w:rFonts w:hint="eastAsia" w:ascii="宋体" w:hAnsi="宋体" w:eastAsia="宋体" w:cs="宋体"/>
                <w:sz w:val="22"/>
                <w:szCs w:val="21"/>
              </w:rPr>
            </w:pPr>
            <w:r>
              <w:rPr>
                <w:rFonts w:hint="eastAsia" w:ascii="宋体" w:hAnsi="宋体" w:eastAsia="宋体" w:cs="宋体"/>
                <w:sz w:val="22"/>
                <w:szCs w:val="21"/>
              </w:rPr>
              <w:t>政策性加分(5分)</w:t>
            </w:r>
          </w:p>
          <w:p>
            <w:pPr>
              <w:pStyle w:val="17"/>
              <w:spacing w:line="305" w:lineRule="exact"/>
              <w:ind w:left="112"/>
              <w:jc w:val="center"/>
              <w:rPr>
                <w:rFonts w:hint="eastAsia" w:ascii="宋体" w:hAnsi="宋体" w:eastAsia="宋体" w:cs="宋体"/>
                <w:sz w:val="22"/>
                <w:szCs w:val="21"/>
              </w:rPr>
            </w:pPr>
          </w:p>
        </w:tc>
        <w:tc>
          <w:tcPr>
            <w:tcW w:w="6832" w:type="dxa"/>
            <w:noWrap w:val="0"/>
            <w:vAlign w:val="top"/>
          </w:tcPr>
          <w:p>
            <w:pPr>
              <w:pStyle w:val="17"/>
              <w:spacing w:before="120" w:line="343" w:lineRule="auto"/>
              <w:ind w:left="127" w:right="63"/>
              <w:jc w:val="center"/>
              <w:rPr>
                <w:rFonts w:hint="eastAsia" w:ascii="宋体" w:hAnsi="宋体" w:eastAsia="宋体" w:cs="宋体"/>
                <w:sz w:val="22"/>
                <w:szCs w:val="21"/>
              </w:rPr>
            </w:pPr>
            <w:r>
              <w:rPr>
                <w:rFonts w:hint="eastAsia" w:ascii="宋体" w:hAnsi="宋体" w:eastAsia="宋体" w:cs="宋体"/>
                <w:sz w:val="22"/>
                <w:szCs w:val="21"/>
              </w:rPr>
              <w:t>1、投标产品属于节能产品、环境标志产品的</w:t>
            </w:r>
            <w:r>
              <w:rPr>
                <w:rFonts w:hint="eastAsia" w:ascii="宋体" w:hAnsi="宋体" w:eastAsia="宋体" w:cs="宋体"/>
                <w:spacing w:val="15"/>
                <w:sz w:val="22"/>
                <w:szCs w:val="21"/>
              </w:rPr>
              <w:t>（</w:t>
            </w:r>
            <w:r>
              <w:rPr>
                <w:rFonts w:hint="eastAsia" w:ascii="宋体" w:hAnsi="宋体" w:eastAsia="宋体" w:cs="宋体"/>
                <w:spacing w:val="2"/>
                <w:sz w:val="22"/>
                <w:szCs w:val="21"/>
              </w:rPr>
              <w:t>强制采购产品除外），</w:t>
            </w:r>
            <w:r>
              <w:rPr>
                <w:rFonts w:hint="eastAsia" w:ascii="宋体" w:hAnsi="宋体" w:eastAsia="宋体" w:cs="宋体"/>
                <w:sz w:val="22"/>
                <w:szCs w:val="21"/>
              </w:rPr>
              <w:t>在评审过程中，给予适当加分，即在总得分基础</w:t>
            </w:r>
            <w:r>
              <w:rPr>
                <w:rFonts w:hint="eastAsia" w:ascii="宋体" w:hAnsi="宋体" w:eastAsia="宋体" w:cs="宋体"/>
                <w:spacing w:val="9"/>
                <w:sz w:val="22"/>
                <w:szCs w:val="21"/>
              </w:rPr>
              <w:t>上，每一项加</w:t>
            </w:r>
            <w:r>
              <w:rPr>
                <w:rFonts w:hint="eastAsia" w:ascii="宋体" w:hAnsi="宋体" w:eastAsia="宋体" w:cs="宋体"/>
                <w:sz w:val="22"/>
                <w:szCs w:val="21"/>
              </w:rPr>
              <w:t>0.3</w:t>
            </w:r>
            <w:r>
              <w:rPr>
                <w:rFonts w:hint="eastAsia" w:ascii="宋体" w:hAnsi="宋体" w:eastAsia="宋体" w:cs="宋体"/>
                <w:spacing w:val="1"/>
                <w:sz w:val="22"/>
                <w:szCs w:val="21"/>
              </w:rPr>
              <w:t>分；如投标产品同时属于节能产品和环境</w:t>
            </w:r>
            <w:r>
              <w:rPr>
                <w:rFonts w:hint="eastAsia" w:ascii="宋体" w:hAnsi="宋体" w:eastAsia="宋体" w:cs="宋体"/>
                <w:sz w:val="22"/>
                <w:szCs w:val="21"/>
              </w:rPr>
              <w:t>标志产品的，每一项加0.5分，最高不得超过</w:t>
            </w:r>
            <w:r>
              <w:rPr>
                <w:rFonts w:hint="eastAsia" w:ascii="宋体" w:hAnsi="宋体" w:eastAsia="宋体" w:cs="宋体"/>
                <w:spacing w:val="15"/>
                <w:sz w:val="22"/>
                <w:szCs w:val="21"/>
              </w:rPr>
              <w:t>2</w:t>
            </w:r>
            <w:r>
              <w:rPr>
                <w:rFonts w:hint="eastAsia" w:ascii="宋体" w:hAnsi="宋体" w:eastAsia="宋体" w:cs="宋体"/>
                <w:sz w:val="22"/>
                <w:szCs w:val="21"/>
              </w:rPr>
              <w:t>分。须提供投标产品在财政部、发展改革委、生态环境部等部门出具的品目清单所在页和国家市场监管总局确定的认证机构出具的、处于有效期之内的节能产品、环境标志产品认证证书。（复印件加盖投标单位公章）</w:t>
            </w:r>
          </w:p>
          <w:p>
            <w:pPr>
              <w:pStyle w:val="17"/>
              <w:spacing w:before="128" w:line="345" w:lineRule="auto"/>
              <w:ind w:left="127" w:right="64"/>
              <w:jc w:val="left"/>
              <w:rPr>
                <w:rFonts w:hint="eastAsia" w:ascii="宋体" w:hAnsi="宋体" w:eastAsia="宋体" w:cs="宋体"/>
                <w:sz w:val="22"/>
                <w:szCs w:val="21"/>
              </w:rPr>
            </w:pPr>
            <w:r>
              <w:rPr>
                <w:rFonts w:hint="eastAsia" w:ascii="宋体" w:hAnsi="宋体" w:eastAsia="宋体" w:cs="宋体"/>
                <w:sz w:val="22"/>
                <w:szCs w:val="21"/>
              </w:rPr>
              <w:t>2、对原产地在少数民族自治区和享受少数民族自治待遇的省份的投标主产品(不含附带产品)，享受政策性加分和价格扣除，在总得分基础上加3分。投标主产品按照不得低于本采购项目预算金额50%进行确定。① 少数民族自治区：内蒙古自治区、新疆维吾尔自治区、宁夏 回族自治区、广西壮族自治区、西藏自治区； ② 享受少数民族自治待遇的省份：青海省、云南省、贵州省。</w:t>
            </w:r>
          </w:p>
        </w:tc>
        <w:tc>
          <w:tcPr>
            <w:tcW w:w="992" w:type="dxa"/>
            <w:noWrap w:val="0"/>
            <w:vAlign w:val="top"/>
          </w:tcPr>
          <w:p>
            <w:pPr>
              <w:pStyle w:val="17"/>
              <w:spacing w:before="9"/>
              <w:jc w:val="center"/>
              <w:rPr>
                <w:rFonts w:hint="eastAsia" w:ascii="宋体" w:hAnsi="宋体" w:eastAsia="宋体" w:cs="宋体"/>
                <w:b/>
                <w:sz w:val="16"/>
                <w:szCs w:val="21"/>
              </w:rPr>
            </w:pPr>
          </w:p>
          <w:p>
            <w:pPr>
              <w:pStyle w:val="17"/>
              <w:ind w:left="113"/>
              <w:jc w:val="center"/>
              <w:rPr>
                <w:rFonts w:hint="eastAsia" w:ascii="宋体" w:hAnsi="宋体" w:eastAsia="宋体" w:cs="宋体"/>
                <w:sz w:val="22"/>
                <w:szCs w:val="21"/>
              </w:rPr>
            </w:pPr>
          </w:p>
          <w:p>
            <w:pPr>
              <w:pStyle w:val="17"/>
              <w:spacing w:before="3"/>
              <w:jc w:val="center"/>
              <w:rPr>
                <w:rFonts w:hint="eastAsia" w:ascii="宋体" w:hAnsi="宋体" w:eastAsia="宋体" w:cs="宋体"/>
                <w:b/>
                <w:sz w:val="16"/>
                <w:szCs w:val="21"/>
              </w:rPr>
            </w:pPr>
          </w:p>
          <w:p>
            <w:pPr>
              <w:pStyle w:val="17"/>
              <w:ind w:left="113"/>
              <w:jc w:val="center"/>
              <w:rPr>
                <w:rFonts w:hint="eastAsia" w:ascii="宋体" w:hAnsi="宋体" w:eastAsia="宋体" w:cs="宋体"/>
                <w:sz w:val="22"/>
                <w:szCs w:val="21"/>
              </w:rPr>
            </w:pPr>
          </w:p>
          <w:p>
            <w:pPr>
              <w:pStyle w:val="17"/>
              <w:spacing w:before="4"/>
              <w:jc w:val="center"/>
              <w:rPr>
                <w:rFonts w:hint="eastAsia" w:ascii="宋体" w:hAnsi="宋体" w:eastAsia="宋体" w:cs="宋体"/>
                <w:b/>
                <w:sz w:val="18"/>
                <w:szCs w:val="21"/>
              </w:rPr>
            </w:pPr>
          </w:p>
          <w:p>
            <w:pPr>
              <w:pStyle w:val="17"/>
              <w:ind w:left="113"/>
              <w:jc w:val="center"/>
              <w:rPr>
                <w:rFonts w:hint="eastAsia" w:ascii="宋体" w:hAnsi="宋体" w:eastAsia="宋体" w:cs="宋体"/>
                <w:sz w:val="22"/>
                <w:szCs w:val="21"/>
              </w:rPr>
            </w:pPr>
          </w:p>
          <w:p>
            <w:pPr>
              <w:pStyle w:val="17"/>
              <w:spacing w:before="5"/>
              <w:jc w:val="center"/>
              <w:rPr>
                <w:rFonts w:hint="eastAsia" w:ascii="宋体" w:hAnsi="宋体" w:eastAsia="宋体" w:cs="宋体"/>
                <w:b/>
                <w:sz w:val="18"/>
                <w:szCs w:val="21"/>
              </w:rPr>
            </w:pPr>
          </w:p>
          <w:p>
            <w:pPr>
              <w:pStyle w:val="17"/>
              <w:ind w:left="113"/>
              <w:jc w:val="center"/>
              <w:rPr>
                <w:rFonts w:hint="eastAsia" w:ascii="宋体" w:hAnsi="宋体" w:eastAsia="宋体" w:cs="宋体"/>
                <w:sz w:val="22"/>
                <w:szCs w:val="21"/>
              </w:rPr>
            </w:pPr>
          </w:p>
          <w:p>
            <w:pPr>
              <w:pStyle w:val="17"/>
              <w:ind w:left="113"/>
              <w:jc w:val="center"/>
              <w:rPr>
                <w:rFonts w:hint="eastAsia" w:ascii="宋体" w:hAnsi="宋体" w:eastAsia="宋体" w:cs="宋体"/>
                <w:sz w:val="22"/>
                <w:szCs w:val="21"/>
              </w:rPr>
            </w:pPr>
          </w:p>
          <w:p>
            <w:pPr>
              <w:pStyle w:val="17"/>
              <w:ind w:left="113"/>
              <w:jc w:val="center"/>
              <w:rPr>
                <w:rFonts w:hint="eastAsia" w:ascii="宋体" w:hAnsi="宋体" w:eastAsia="宋体" w:cs="宋体"/>
                <w:sz w:val="22"/>
                <w:szCs w:val="21"/>
              </w:rPr>
            </w:pPr>
          </w:p>
          <w:p>
            <w:pPr>
              <w:pStyle w:val="17"/>
              <w:ind w:left="113"/>
              <w:jc w:val="center"/>
              <w:rPr>
                <w:rFonts w:hint="eastAsia" w:ascii="宋体" w:hAnsi="宋体" w:eastAsia="宋体" w:cs="宋体"/>
                <w:sz w:val="22"/>
                <w:szCs w:val="21"/>
              </w:rPr>
            </w:pPr>
          </w:p>
          <w:p>
            <w:pPr>
              <w:pStyle w:val="17"/>
              <w:ind w:left="113"/>
              <w:jc w:val="center"/>
              <w:rPr>
                <w:rFonts w:hint="eastAsia" w:ascii="宋体" w:hAnsi="宋体" w:eastAsia="宋体" w:cs="宋体"/>
                <w:sz w:val="22"/>
                <w:szCs w:val="21"/>
              </w:rPr>
            </w:pPr>
            <w:r>
              <w:rPr>
                <w:rFonts w:hint="eastAsia" w:ascii="宋体" w:hAnsi="宋体" w:eastAsia="宋体" w:cs="宋体"/>
                <w:sz w:val="22"/>
                <w:szCs w:val="21"/>
              </w:rPr>
              <w:t>5分</w:t>
            </w:r>
          </w:p>
        </w:tc>
      </w:tr>
    </w:tbl>
    <w:p>
      <w:pPr>
        <w:tabs>
          <w:tab w:val="left" w:pos="793"/>
        </w:tabs>
        <w:bidi w:val="0"/>
        <w:jc w:val="left"/>
        <w:rPr>
          <w:rFonts w:hint="eastAsia" w:ascii="宋体" w:hAnsi="宋体" w:eastAsia="宋体" w:cs="宋体"/>
          <w:lang w:val="en-US" w:eastAsia="zh-CN"/>
        </w:rPr>
      </w:pPr>
    </w:p>
    <w:p>
      <w:pPr>
        <w:pStyle w:val="6"/>
        <w:rPr>
          <w:rFonts w:hint="eastAsia" w:ascii="宋体" w:hAnsi="宋体" w:eastAsia="宋体" w:cs="宋体"/>
          <w:sz w:val="24"/>
          <w:szCs w:val="24"/>
        </w:rPr>
      </w:pPr>
      <w:r>
        <w:rPr>
          <w:rFonts w:hint="eastAsia" w:ascii="宋体" w:hAnsi="宋体" w:eastAsia="宋体" w:cs="宋体"/>
          <w:sz w:val="24"/>
          <w:szCs w:val="24"/>
        </w:rPr>
        <w:t xml:space="preserve">（四）、价格分的计算： </w:t>
      </w:r>
    </w:p>
    <w:p>
      <w:pPr>
        <w:pStyle w:val="6"/>
        <w:keepNext w:val="0"/>
        <w:keepLines w:val="0"/>
        <w:pageBreakBefore w:val="0"/>
        <w:widowControl w:val="0"/>
        <w:kinsoku/>
        <w:wordWrap/>
        <w:overflowPunct/>
        <w:topLinePunct w:val="0"/>
        <w:autoSpaceDE/>
        <w:autoSpaceDN/>
        <w:bidi w:val="0"/>
        <w:adjustRightInd/>
        <w:snapToGrid/>
        <w:spacing w:after="0" w:line="363" w:lineRule="auto"/>
        <w:ind w:left="952" w:right="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1、价格分采用低价优先法计算，即满足采购文件要求的前提下，最低有效投标 报价作为评标基准价，其价格分为满分。其余供应商价格分统一按照下列公式计算：投标报价得分＝（评标基准价／投标报价）×报价分</w:t>
      </w:r>
      <w:r>
        <w:rPr>
          <w:rFonts w:hint="eastAsia" w:ascii="宋体" w:hAnsi="宋体" w:eastAsia="宋体" w:cs="宋体"/>
          <w:sz w:val="24"/>
          <w:szCs w:val="24"/>
          <w:lang w:eastAsia="zh-CN"/>
        </w:rPr>
        <w:t>。</w:t>
      </w:r>
    </w:p>
    <w:p>
      <w:pPr>
        <w:pStyle w:val="6"/>
        <w:spacing w:before="3"/>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2、评标过程中，不得去掉报价中的最高报价和最低报价。 </w:t>
      </w:r>
    </w:p>
    <w:p>
      <w:pPr>
        <w:tabs>
          <w:tab w:val="left" w:pos="1710"/>
        </w:tabs>
        <w:bidi w:val="0"/>
        <w:ind w:firstLine="1200" w:firstLineChars="500"/>
        <w:jc w:val="left"/>
        <w:rPr>
          <w:lang w:val="en-US" w:eastAsia="zh-CN"/>
        </w:rPr>
        <w:sectPr>
          <w:pgSz w:w="11910" w:h="16850"/>
          <w:pgMar w:top="1134" w:right="1134" w:bottom="1134" w:left="1134" w:header="0" w:footer="1006" w:gutter="0"/>
          <w:cols w:space="720" w:num="1"/>
        </w:sectPr>
      </w:pPr>
      <w:r>
        <w:rPr>
          <w:rFonts w:hint="eastAsia" w:ascii="宋体" w:hAnsi="宋体" w:eastAsia="宋体" w:cs="宋体"/>
          <w:sz w:val="24"/>
          <w:szCs w:val="24"/>
        </w:rPr>
        <w:t>3、因落实政府采购政策进行价格调整的，以调整后的价格计算评标基准价和投标报价。</w:t>
      </w:r>
    </w:p>
    <w:tbl>
      <w:tblPr>
        <w:tblStyle w:val="9"/>
        <w:tblW w:w="96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附件                    配置及参数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翻斗式雨量计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（1）分辨率：0.5mm；双翻斗；（2）承雨器内径： 200+0.6mm；（3）测量精度：自排水量≤25mm, 误差为±1mm；自排水量&gt;25mm, 误差为±2%；（4）雨强范围：0.01～4 mm/min（允许通过最大雨强8mm/min）；（5）平均无故障工作时间：MTBF≥8000小时；（6）供电和防雷：无功耗传感器，传感器及输出信号传输具有防雷措施；（7）防堵塞：传感器具有防堵、防虫、防尘措施；（8）传输方式：支持有线传输；（9）工作温度：-10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遥测终端（RTU）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9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1.工作模式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RTU采用兼容式工作模式：同时具有自报功能和查询-应答功能的工作模式。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2.工作环境条件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终端机适应下列工作环境条件：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1）温度：-10～55℃；2）相对湿度：≤95%（40℃时）；3）大气压：86-106 kPa。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3.结构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1）终端机应采用密封式结构，应能防潮、防盐雾、防尘及防虫等，满足IP54等级以上要求的防护结构；2）机箱插头、插座的安装部位应采取密封措施；3）信号或电源结构应符合GB/T19705、GB/T27994的有关规定。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终端机与其他水文仪器的接口应符合GB/T19705、SL/T61、SL651-2014的有关规定。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5.基本功能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按照设定的时间表和要求，进行水文参数的采集、存储和发送；2）随时接收远程或本地指令，改变或报告遥测站工作状态；3）依照中心站指令，采样并发回最新水文参数；4）通信控制。包括传输编码、信道选择和重发等；5）具备低功耗LCD（彩色触摸屏）字符显示输出部件；6）具有图像采集功能，可实时采集现场图片；7）具有远程软件升级和参数设置功能；8）★具有采集雨量数据功能，且采集、发送数据应满足其相应的规范要求， 并能发送至当前已有平台且能正常接收。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6.硬件指标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具备8路无源数字量输入接口，具有脉冲、频率和电平信号的采集功能，可同时接入8路单簧管雨量计或者4路双簧管雨量计，可支持0.1毫米、0.2毫米、0.5毫米和1毫米的雨量计，同时该接口也可以对接采集脉冲式流量计（水表）以及输出频率信号的传感器；2）具备7路模拟量采集输入接口，能够采集4-20mA、0-5V等标准模拟量信号，提供12-bit精度，采集速度为1kps，可以采集压力是水位计、墒情传感器、风速传感器、风向传感器；3）具有2路RS-232接口，波特率范围为300bps-115200bps，其中一路为低功耗接口，可以在休眠时接受外接设备主动发送的数据。可以外接电台、卫星、北斗等通信设备，也可以外接GPS、串口摄像头等设备，还可以外接各种带有RS-232接口的传感器设备；4）具有2路RS-485接口，波特率范围为300bps-19200bps，每路最多个外接256个RS-485接口设备，同时兼容多种协议，可以同时采集串口摄像头、水位计、流量计、流速传感器、水质传感器等带有RS-485接口的外接设备；5）具有1路SDI-12接口，内置SDI-12协议，可以采集带有SDI-12接口的水位计、流速传感器、水质传感器等外接设备；6）内置4G全网通模块，可以同时进行短信和网络数据的收发；能够同时与4个服务器进行数据通信；具有低功耗待机功能，可以通过短信和电话唤醒；能够对短信和电话的号码进行识别，支持白名单功能；7）支持通过串口外接电台、卫星、以及北斗等设备进行通信；支持主备通信功能，主备通信方式可任意设定；8）能在温度－40℃～60℃，湿度99％环境下正常工作。9）内置最大64M串行FLASH存储模块，最多可存储5年的历史数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7.软件功能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遥测站测量、存储和传输的数据分为水文数据和工况数据两大类。水文数据包括雨量，水位、蒸发和流量。工况数据至少包括以下内容：1） 水文数据定时发送间隔（1 小时，可编程）；2） 平安信号定时发送间隔（12 小时，可编程）；3） 电池电压和 GSM 场强统一采样间隔（0.5小时，可编程）；4） 当前雨量累计值。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trPr>
        <w:tc>
          <w:tcPr>
            <w:tcW w:w="9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太阳能板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9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1）峰值工作电压19.2V；2）峰值工作电流3.12A；3）开路电压23.1V；4）短路电流3.43A；5）功率：60W；6）工作温度：-40~85；7）支架：厚度1.2mm以上拉丝不锈钢或合金材质；8）接线盒防护等级IP65。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9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主要工作参数：1）工作电压：12V；2）电池容量：65AH；2、主要性能要求：1）蓄电池正常使用下无电解液漏出，无电池膨胀及破裂；2）蓄电池放电电压平稳，放电平台平缓；3）蓄电池完全充电状态下电池完全固定，以4mm的振幅，16.7HZ的频率震动1小时，无漏液及电池膨胀及破裂，开路电压正常；4）蓄电池完全充电状态下电池从20CM高处自然落至1CM厚的硬木板上3次无漏液与电池膨胀及破裂，开路电压正常；5）蓄电池在25℃，完全充电状态下电池进行定电阻放电3星期（电阻只相当于该电池1CA放电要求的电阻），恢复容量在75%以上；6）蓄电池在25℃，完全充电状态下电池0.1CA充电48小时不会产生漏液及电池膨胀及破裂现象，开路电压正常，容量维持率在上95%以；7）蓄电池完全充电状态的电池2CA放电5分钟或10CA放电5秒钟，无导电部分熔断与外观变形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充电保护器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1）额定电压：12V； 2）强充电压：14.5V； 3）最大太阳能板电流：4A；4）最大电线规格：16mm2；5）自消耗电流：＜4mA；6）防护等级：IP22；7）工作温度：-40℃~+50℃。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智慧水利（山洪灾害）管理及运维平台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9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1）数据实时采集：通过数据采集网关，实时接收设备上报的数据；2）设备检测:实时监测设备的在线状况，以及设备的信号、电压、数据采集等工况，对故障即时发出报警;3）GIS精准定位:基于百度 GIS 地图，提供设备的位置定位、设备的状态显示、数据详情的快捷查看等;4）水文报警:可根据设置的阀值进行水位、雨量、流量等的报警。报警信息可生成工单分配给指定的运维人员，同时提供短信报警通知功能;5）视频及图像检测:平台支持海康、大华等球机的视频实时监 测，以及摄像头采集图像的查看;6）巡检运维:提供巡检记录、工单分派、结果查看、统计 分析等;7）气象信息:对接中央气象台天气信息，包括：天气、空 气质量、气象预警、天气雷达、气象卫星等 数据 ;8）通知管理:提供通知信息的管理;9）智慧大屏:通过大屏，多维度、可视化地展示客户关注 的信息、图表、数据 ;10）水雨情检测:水情、雨情的实时/历史数据查看,走势分析以及报警设置;11）管理系统:系统管理包括人员、组织结构、角色权限、 参数设置等模块。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9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1、★厂商资质：国产知名品牌，非OEM产品；2、外形：≥2U，标配原厂导轨；3、★CPU：Intel Xeon SP 系列CPU，实配≥2颗Intel Xeon 4210(2.2GHz/10核/13.75MB/85W) 处理器或更高；4、内存：本地提供≥24个内存槽位，具备Advanced ECC先进内存保护技术及联机备用模式,本次配置32G DDR4 2666内存；5、硬盘：≥8个2.5寸硬盘槽位，本次配置3块2.5寸600G SAS 10K热插拔硬盘；6、阵列控制器：≥1个12Gbps SAS磁盘阵列控制器（不占用PCIE扩展槽），支持Raid0/1/10/5/50/6/60 。≥2GB缓存，支持缓存数据保护，且后备保护不受时间限制；7、★I/O扩展：最高可扩展至≥10个PCI-e 3.0插槽，可配置≥3块双宽企业级GPU（提供官网截图并加盖厂商公章或项目授权专用章）；8、网卡：标配1个网卡专用插槽（不占用PCIE扩展槽），可选配千兆或万兆网卡。本次配置≥4个1G-BaseT 多功能以太网接口；9、★启动盘可选项：支持双MicroSD和双M.2 SSD配置Raid1，作为虚拟化或者操作系统部署盘位；10、电源：≥2个550W铂金版热插拔冗余电源；支持96%能效比的钛金版电源选件。</w:t>
            </w:r>
          </w:p>
        </w:tc>
      </w:tr>
    </w:tbl>
    <w:p>
      <w:pPr>
        <w:pStyle w:val="7"/>
        <w:rPr>
          <w:lang w:val="en-US" w:eastAsia="zh-CN"/>
        </w:rPr>
      </w:pP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FFD05"/>
    <w:multiLevelType w:val="singleLevel"/>
    <w:tmpl w:val="09FFFD05"/>
    <w:lvl w:ilvl="0" w:tentative="0">
      <w:start w:val="2"/>
      <w:numFmt w:val="chineseCounting"/>
      <w:suff w:val="nothing"/>
      <w:lvlText w:val="（%1）"/>
      <w:lvlJc w:val="left"/>
      <w:rPr>
        <w:rFonts w:hint="eastAsia"/>
      </w:rPr>
    </w:lvl>
  </w:abstractNum>
  <w:abstractNum w:abstractNumId="1">
    <w:nsid w:val="0EFA8D20"/>
    <w:multiLevelType w:val="singleLevel"/>
    <w:tmpl w:val="0EFA8D20"/>
    <w:lvl w:ilvl="0" w:tentative="0">
      <w:start w:val="8"/>
      <w:numFmt w:val="decimal"/>
      <w:suff w:val="nothing"/>
      <w:lvlText w:val="%1、"/>
      <w:lvlJc w:val="left"/>
    </w:lvl>
  </w:abstractNum>
  <w:abstractNum w:abstractNumId="2">
    <w:nsid w:val="243FCF68"/>
    <w:multiLevelType w:val="multilevel"/>
    <w:tmpl w:val="243FCF68"/>
    <w:lvl w:ilvl="0" w:tentative="0">
      <w:start w:val="1"/>
      <w:numFmt w:val="decimal"/>
      <w:lvlText w:val="（%1）"/>
      <w:lvlJc w:val="left"/>
      <w:pPr>
        <w:ind w:left="472" w:hanging="602"/>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523" w:hanging="602"/>
      </w:pPr>
      <w:rPr>
        <w:rFonts w:hint="default"/>
        <w:lang w:val="zh-CN" w:eastAsia="zh-CN" w:bidi="zh-CN"/>
      </w:rPr>
    </w:lvl>
    <w:lvl w:ilvl="2" w:tentative="0">
      <w:start w:val="0"/>
      <w:numFmt w:val="bullet"/>
      <w:lvlText w:val="•"/>
      <w:lvlJc w:val="left"/>
      <w:pPr>
        <w:ind w:left="2566" w:hanging="602"/>
      </w:pPr>
      <w:rPr>
        <w:rFonts w:hint="default"/>
        <w:lang w:val="zh-CN" w:eastAsia="zh-CN" w:bidi="zh-CN"/>
      </w:rPr>
    </w:lvl>
    <w:lvl w:ilvl="3" w:tentative="0">
      <w:start w:val="0"/>
      <w:numFmt w:val="bullet"/>
      <w:lvlText w:val="•"/>
      <w:lvlJc w:val="left"/>
      <w:pPr>
        <w:ind w:left="3609" w:hanging="602"/>
      </w:pPr>
      <w:rPr>
        <w:rFonts w:hint="default"/>
        <w:lang w:val="zh-CN" w:eastAsia="zh-CN" w:bidi="zh-CN"/>
      </w:rPr>
    </w:lvl>
    <w:lvl w:ilvl="4" w:tentative="0">
      <w:start w:val="0"/>
      <w:numFmt w:val="bullet"/>
      <w:lvlText w:val="•"/>
      <w:lvlJc w:val="left"/>
      <w:pPr>
        <w:ind w:left="4652" w:hanging="602"/>
      </w:pPr>
      <w:rPr>
        <w:rFonts w:hint="default"/>
        <w:lang w:val="zh-CN" w:eastAsia="zh-CN" w:bidi="zh-CN"/>
      </w:rPr>
    </w:lvl>
    <w:lvl w:ilvl="5" w:tentative="0">
      <w:start w:val="0"/>
      <w:numFmt w:val="bullet"/>
      <w:lvlText w:val="•"/>
      <w:lvlJc w:val="left"/>
      <w:pPr>
        <w:ind w:left="5695" w:hanging="602"/>
      </w:pPr>
      <w:rPr>
        <w:rFonts w:hint="default"/>
        <w:lang w:val="zh-CN" w:eastAsia="zh-CN" w:bidi="zh-CN"/>
      </w:rPr>
    </w:lvl>
    <w:lvl w:ilvl="6" w:tentative="0">
      <w:start w:val="0"/>
      <w:numFmt w:val="bullet"/>
      <w:lvlText w:val="•"/>
      <w:lvlJc w:val="left"/>
      <w:pPr>
        <w:ind w:left="6738" w:hanging="602"/>
      </w:pPr>
      <w:rPr>
        <w:rFonts w:hint="default"/>
        <w:lang w:val="zh-CN" w:eastAsia="zh-CN" w:bidi="zh-CN"/>
      </w:rPr>
    </w:lvl>
    <w:lvl w:ilvl="7" w:tentative="0">
      <w:start w:val="0"/>
      <w:numFmt w:val="bullet"/>
      <w:lvlText w:val="•"/>
      <w:lvlJc w:val="left"/>
      <w:pPr>
        <w:ind w:left="7781" w:hanging="602"/>
      </w:pPr>
      <w:rPr>
        <w:rFonts w:hint="default"/>
        <w:lang w:val="zh-CN" w:eastAsia="zh-CN" w:bidi="zh-CN"/>
      </w:rPr>
    </w:lvl>
    <w:lvl w:ilvl="8" w:tentative="0">
      <w:start w:val="0"/>
      <w:numFmt w:val="bullet"/>
      <w:lvlText w:val="•"/>
      <w:lvlJc w:val="left"/>
      <w:pPr>
        <w:ind w:left="8824" w:hanging="602"/>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3665A"/>
    <w:rsid w:val="01893E18"/>
    <w:rsid w:val="0E875ECD"/>
    <w:rsid w:val="113B437D"/>
    <w:rsid w:val="2EE01B22"/>
    <w:rsid w:val="491843B1"/>
    <w:rsid w:val="5361790C"/>
    <w:rsid w:val="547A2B63"/>
    <w:rsid w:val="5D512A59"/>
    <w:rsid w:val="6333665A"/>
    <w:rsid w:val="668C1B96"/>
    <w:rsid w:val="6D58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4">
    <w:name w:val="heading 4"/>
    <w:basedOn w:val="1"/>
    <w:next w:val="1"/>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5">
    <w:name w:val="heading 6"/>
    <w:basedOn w:val="1"/>
    <w:next w:val="1"/>
    <w:qFormat/>
    <w:uiPriority w:val="0"/>
    <w:pPr>
      <w:keepNext/>
      <w:widowControl w:val="0"/>
      <w:autoSpaceDE w:val="0"/>
      <w:autoSpaceDN w:val="0"/>
      <w:adjustRightInd w:val="0"/>
      <w:snapToGrid w:val="0"/>
      <w:spacing w:before="240" w:beforeLines="0" w:after="64" w:afterLines="0" w:line="319" w:lineRule="auto"/>
      <w:jc w:val="both"/>
      <w:outlineLvl w:val="5"/>
    </w:pPr>
    <w:rPr>
      <w:rFonts w:ascii="Arial" w:hAnsi="Arial" w:eastAsia="黑体"/>
      <w:b/>
      <w:color w:val="00000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6">
    <w:name w:val="Body Text"/>
    <w:basedOn w:val="1"/>
    <w:qFormat/>
    <w:uiPriority w:val="0"/>
    <w:pPr>
      <w:spacing w:after="120" w:afterLines="0"/>
    </w:pPr>
    <w:rPr>
      <w:rFonts w:ascii="Tahoma" w:hAnsi="Tahoma"/>
      <w:szCs w:val="20"/>
    </w:rPr>
  </w:style>
  <w:style w:type="paragraph" w:styleId="7">
    <w:name w:val="Plain Text"/>
    <w:basedOn w:val="1"/>
    <w:qFormat/>
    <w:uiPriority w:val="0"/>
    <w:rPr>
      <w:rFonts w:ascii="宋体" w:hAnsi="Courier New"/>
      <w:kern w:val="0"/>
      <w:sz w:val="20"/>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
    <w:name w:val="样式 首行缩进:  2 字符"/>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00" w:lineRule="exact"/>
      <w:ind w:left="0" w:right="0" w:firstLine="200"/>
      <w:jc w:val="both"/>
      <w:outlineLvl w:val="9"/>
    </w:pPr>
    <w:rPr>
      <w:rFonts w:ascii="Arial Unicode MS" w:hAnsi="Arial Unicode MS" w:eastAsia="Arial Unicode MS" w:cs="Arial Unicode MS"/>
      <w:color w:val="000000"/>
      <w:spacing w:val="0"/>
      <w:w w:val="100"/>
      <w:kern w:val="2"/>
      <w:position w:val="0"/>
      <w:sz w:val="24"/>
      <w:szCs w:val="24"/>
      <w:u w:val="none" w:color="000000"/>
      <w:vertAlign w:val="baseline"/>
      <w:lang w:val="en-US"/>
    </w:rPr>
  </w:style>
  <w:style w:type="paragraph" w:customStyle="1" w:styleId="12">
    <w:name w:val="正文 A A"/>
    <w:next w:val="13"/>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Arial Unicode MS" w:hAnsi="Arial Unicode MS" w:eastAsia="Arial Unicode MS" w:cs="Arial Unicode MS"/>
      <w:color w:val="000000"/>
      <w:spacing w:val="0"/>
      <w:w w:val="100"/>
      <w:kern w:val="0"/>
      <w:position w:val="0"/>
      <w:sz w:val="22"/>
      <w:szCs w:val="22"/>
      <w:u w:val="none" w:color="000000"/>
      <w:vertAlign w:val="baseline"/>
      <w:lang w:val="zh-TW" w:eastAsia="zh-TW"/>
    </w:rPr>
  </w:style>
  <w:style w:type="paragraph" w:customStyle="1" w:styleId="13">
    <w:name w:val="正文-公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360" w:lineRule="auto"/>
      <w:ind w:left="0" w:right="0" w:firstLine="200"/>
      <w:jc w:val="both"/>
      <w:outlineLvl w:val="9"/>
    </w:pPr>
    <w:rPr>
      <w:rFonts w:ascii="Times New Roman" w:hAnsi="Times New Roman" w:eastAsia="Arial Unicode MS" w:cs="Arial Unicode MS"/>
      <w:color w:val="000000"/>
      <w:spacing w:val="0"/>
      <w:w w:val="100"/>
      <w:kern w:val="2"/>
      <w:position w:val="0"/>
      <w:sz w:val="21"/>
      <w:szCs w:val="21"/>
      <w:u w:val="none" w:color="000000"/>
      <w:vertAlign w:val="baseline"/>
      <w:lang w:val="en-US"/>
    </w:rPr>
  </w:style>
  <w:style w:type="paragraph" w:customStyle="1" w:styleId="14">
    <w:name w:val="正文 A"/>
    <w:next w:val="13"/>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36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vertAlign w:val="baseline"/>
      <w:lang w:val="en-US"/>
    </w:rPr>
  </w:style>
  <w:style w:type="paragraph" w:customStyle="1" w:styleId="15">
    <w:name w:val="标题 31"/>
    <w:next w:val="14"/>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360" w:lineRule="auto"/>
      <w:ind w:left="0" w:right="0" w:firstLine="0"/>
      <w:jc w:val="center"/>
      <w:outlineLvl w:val="3"/>
    </w:pPr>
    <w:rPr>
      <w:rFonts w:ascii="Times New Roman" w:hAnsi="Times New Roman" w:eastAsia="Times New Roman" w:cs="Times New Roman"/>
      <w:color w:val="000000"/>
      <w:spacing w:val="0"/>
      <w:w w:val="100"/>
      <w:kern w:val="0"/>
      <w:position w:val="0"/>
      <w:sz w:val="24"/>
      <w:szCs w:val="24"/>
      <w:u w:val="none" w:color="000000"/>
      <w:vertAlign w:val="baseline"/>
      <w:lang w:val="en-US"/>
    </w:rPr>
  </w:style>
  <w:style w:type="paragraph" w:customStyle="1" w:styleId="16">
    <w:name w:val="标题 21"/>
    <w:next w:val="14"/>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360" w:lineRule="auto"/>
      <w:ind w:left="0" w:right="0" w:firstLine="0"/>
      <w:jc w:val="center"/>
      <w:outlineLvl w:val="2"/>
    </w:pPr>
    <w:rPr>
      <w:rFonts w:ascii="Cambria" w:hAnsi="Cambria" w:eastAsia="Cambria" w:cs="Cambria"/>
      <w:color w:val="000000"/>
      <w:spacing w:val="0"/>
      <w:w w:val="100"/>
      <w:kern w:val="0"/>
      <w:position w:val="0"/>
      <w:sz w:val="28"/>
      <w:szCs w:val="28"/>
      <w:u w:val="none" w:color="000000"/>
      <w:vertAlign w:val="baseline"/>
      <w:lang w:val="en-US"/>
    </w:rPr>
  </w:style>
  <w:style w:type="paragraph" w:customStyle="1" w:styleId="17">
    <w:name w:val="Table Paragraph"/>
    <w:basedOn w:val="1"/>
    <w:qFormat/>
    <w:uiPriority w:val="0"/>
    <w:pPr>
      <w:jc w:val="left"/>
    </w:pPr>
    <w:rPr>
      <w:rFonts w:ascii="Calibri" w:hAnsi="Calibri"/>
      <w:kern w:val="0"/>
      <w:sz w:val="22"/>
      <w:lang w:eastAsia="en-US"/>
    </w:rPr>
  </w:style>
  <w:style w:type="paragraph" w:styleId="18">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5364</Words>
  <Characters>5951</Characters>
  <Lines>0</Lines>
  <Paragraphs>0</Paragraphs>
  <TotalTime>18</TotalTime>
  <ScaleCrop>false</ScaleCrop>
  <LinksUpToDate>false</LinksUpToDate>
  <CharactersWithSpaces>6127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2020-10-29T16:33:00Z</dcterms:created>
  <dc:creator>三年</dc:creator>
  <cp:lastModifiedBy>NTKO</cp:lastModifiedBy>
  <cp:lastPrinted>2021-11-03T03:37:00Z</cp:lastPrinted>
  <dcterms:modified xsi:type="dcterms:W3CDTF">2021-11-03T08:32:25Z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25954281D0B6409E8262745B547DB58C</vt:lpwstr>
  </property>
</Properties>
</file>