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b/>
          <w:color w:val="000000"/>
          <w:spacing w:val="-4"/>
          <w:sz w:val="36"/>
          <w:szCs w:val="36"/>
          <w:lang w:eastAsia="zh-CN"/>
        </w:rPr>
      </w:pPr>
      <w:r>
        <w:rPr>
          <w:rFonts w:hint="eastAsia" w:ascii="黑体" w:hAnsi="宋体" w:eastAsia="黑体"/>
          <w:b/>
          <w:color w:val="000000"/>
          <w:spacing w:val="-4"/>
          <w:sz w:val="36"/>
          <w:szCs w:val="36"/>
          <w:lang w:eastAsia="zh-CN"/>
        </w:rPr>
        <w:drawing>
          <wp:inline distT="0" distB="0" distL="114300" distR="114300">
            <wp:extent cx="5739765" cy="7969250"/>
            <wp:effectExtent l="0" t="0" r="13335" b="12700"/>
            <wp:docPr id="1" name="图片 1" descr="a374155e8f086954a688cb3bf26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74155e8f086954a688cb3bf269218"/>
                    <pic:cNvPicPr>
                      <a:picLocks noChangeAspect="1"/>
                    </pic:cNvPicPr>
                  </pic:nvPicPr>
                  <pic:blipFill>
                    <a:blip r:embed="rId11"/>
                    <a:stretch>
                      <a:fillRect/>
                    </a:stretch>
                  </pic:blipFill>
                  <pic:spPr>
                    <a:xfrm>
                      <a:off x="0" y="0"/>
                      <a:ext cx="5739765" cy="7969250"/>
                    </a:xfrm>
                    <a:prstGeom prst="rect">
                      <a:avLst/>
                    </a:prstGeom>
                  </pic:spPr>
                </pic:pic>
              </a:graphicData>
            </a:graphic>
          </wp:inline>
        </w:drawing>
      </w:r>
      <w:r>
        <w:rPr>
          <w:rFonts w:hint="eastAsia" w:ascii="黑体" w:hAnsi="宋体" w:eastAsia="黑体"/>
          <w:b/>
          <w:color w:val="000000"/>
          <w:spacing w:val="-4"/>
          <w:sz w:val="36"/>
          <w:szCs w:val="36"/>
          <w:lang w:eastAsia="zh-CN"/>
        </w:rPr>
        <w:br w:type="page"/>
      </w:r>
    </w:p>
    <w:p>
      <w:pPr>
        <w:pStyle w:val="25"/>
        <w:spacing w:line="700" w:lineRule="exact"/>
        <w:jc w:val="center"/>
        <w:rPr>
          <w:rFonts w:hint="eastAsia" w:ascii="黑体" w:hAnsi="宋体" w:eastAsia="黑体"/>
          <w:b/>
          <w:color w:val="000000"/>
          <w:spacing w:val="-4"/>
          <w:sz w:val="36"/>
          <w:szCs w:val="36"/>
          <w:lang w:eastAsia="zh-CN"/>
        </w:rPr>
      </w:pPr>
      <w:r>
        <w:rPr>
          <w:rFonts w:hint="eastAsia" w:ascii="黑体" w:hAnsi="宋体" w:eastAsia="黑体"/>
          <w:b/>
          <w:color w:val="000000"/>
          <w:spacing w:val="-4"/>
          <w:sz w:val="36"/>
          <w:szCs w:val="36"/>
          <w:lang w:eastAsia="zh-CN"/>
        </w:rPr>
        <w:t>江苏万源工程咨询有限公司</w:t>
      </w:r>
    </w:p>
    <w:p>
      <w:pPr>
        <w:pStyle w:val="25"/>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5"/>
        <w:spacing w:line="700" w:lineRule="exact"/>
        <w:jc w:val="center"/>
        <w:rPr>
          <w:rFonts w:ascii="黑体" w:hAnsi="宋体" w:eastAsia="黑体"/>
          <w:b/>
          <w:color w:val="000000"/>
          <w:spacing w:val="-4"/>
          <w:sz w:val="44"/>
          <w:szCs w:val="44"/>
        </w:rPr>
      </w:pPr>
    </w:p>
    <w:p>
      <w:pPr>
        <w:pStyle w:val="25"/>
        <w:spacing w:line="700" w:lineRule="exact"/>
        <w:jc w:val="center"/>
        <w:rPr>
          <w:rFonts w:ascii="黑体" w:hAnsi="宋体" w:eastAsia="黑体"/>
          <w:b/>
          <w:color w:val="000000"/>
          <w:spacing w:val="-4"/>
          <w:sz w:val="44"/>
          <w:szCs w:val="44"/>
        </w:rPr>
      </w:pPr>
    </w:p>
    <w:p>
      <w:pPr>
        <w:pStyle w:val="25"/>
        <w:spacing w:line="700" w:lineRule="exact"/>
        <w:jc w:val="center"/>
        <w:rPr>
          <w:rFonts w:ascii="黑体" w:hAnsi="宋体" w:eastAsia="黑体"/>
          <w:b/>
          <w:color w:val="000000"/>
          <w:spacing w:val="-4"/>
          <w:sz w:val="44"/>
          <w:szCs w:val="44"/>
        </w:rPr>
      </w:pPr>
    </w:p>
    <w:p>
      <w:pPr>
        <w:pStyle w:val="25"/>
        <w:spacing w:line="360" w:lineRule="auto"/>
        <w:jc w:val="center"/>
        <w:rPr>
          <w:rFonts w:hint="eastAsia" w:cs="宋体"/>
          <w:b/>
          <w:bCs/>
          <w:sz w:val="36"/>
          <w:szCs w:val="36"/>
          <w:lang w:val="en-US" w:eastAsia="zh-CN"/>
        </w:rPr>
      </w:pPr>
      <w:r>
        <w:rPr>
          <w:rFonts w:hint="eastAsia" w:cs="宋体"/>
          <w:b/>
          <w:bCs/>
          <w:sz w:val="36"/>
          <w:szCs w:val="36"/>
          <w:lang w:val="en-US" w:eastAsia="zh-CN"/>
        </w:rPr>
        <w:t>磋</w:t>
      </w:r>
    </w:p>
    <w:p>
      <w:pPr>
        <w:pStyle w:val="25"/>
        <w:spacing w:line="360" w:lineRule="auto"/>
        <w:jc w:val="center"/>
        <w:rPr>
          <w:rFonts w:hint="eastAsia" w:eastAsia="宋体" w:cs="宋体"/>
          <w:b/>
          <w:bCs/>
          <w:sz w:val="36"/>
          <w:szCs w:val="36"/>
          <w:lang w:val="en-US" w:eastAsia="zh-CN"/>
        </w:rPr>
      </w:pPr>
      <w:r>
        <w:rPr>
          <w:rFonts w:hint="eastAsia" w:cs="宋体"/>
          <w:b/>
          <w:bCs/>
          <w:sz w:val="36"/>
          <w:szCs w:val="36"/>
          <w:lang w:val="en-US" w:eastAsia="zh-CN"/>
        </w:rPr>
        <w:t>商</w:t>
      </w:r>
    </w:p>
    <w:p>
      <w:pPr>
        <w:pStyle w:val="25"/>
        <w:spacing w:line="360" w:lineRule="auto"/>
        <w:jc w:val="center"/>
        <w:rPr>
          <w:rFonts w:hAnsi="宋体" w:cs="宋体"/>
          <w:b/>
          <w:bCs/>
          <w:sz w:val="36"/>
          <w:szCs w:val="36"/>
        </w:rPr>
      </w:pPr>
      <w:r>
        <w:rPr>
          <w:rFonts w:hint="eastAsia" w:cs="宋体"/>
          <w:b/>
          <w:bCs/>
          <w:sz w:val="36"/>
          <w:szCs w:val="36"/>
          <w:lang w:val="en-US" w:eastAsia="zh-CN"/>
        </w:rPr>
        <w:t>判</w:t>
      </w:r>
    </w:p>
    <w:p>
      <w:pPr>
        <w:pStyle w:val="25"/>
        <w:spacing w:line="360" w:lineRule="auto"/>
        <w:jc w:val="center"/>
        <w:rPr>
          <w:rFonts w:cs="宋体"/>
          <w:b/>
          <w:bCs/>
          <w:sz w:val="36"/>
          <w:szCs w:val="36"/>
        </w:rPr>
      </w:pPr>
      <w:r>
        <w:rPr>
          <w:rFonts w:hint="eastAsia" w:hAnsi="宋体" w:cs="宋体"/>
          <w:b/>
          <w:bCs/>
          <w:sz w:val="36"/>
          <w:szCs w:val="36"/>
        </w:rPr>
        <w:t>文</w:t>
      </w:r>
    </w:p>
    <w:p>
      <w:pPr>
        <w:pStyle w:val="25"/>
        <w:spacing w:line="360" w:lineRule="auto"/>
        <w:jc w:val="center"/>
        <w:rPr>
          <w:rFonts w:cs="宋体"/>
          <w:b/>
          <w:bCs/>
          <w:sz w:val="36"/>
          <w:szCs w:val="36"/>
        </w:rPr>
      </w:pPr>
      <w:r>
        <w:rPr>
          <w:rFonts w:hint="eastAsia" w:hAnsi="宋体" w:cs="宋体"/>
          <w:b/>
          <w:bCs/>
          <w:sz w:val="36"/>
          <w:szCs w:val="36"/>
        </w:rPr>
        <w:t>件</w:t>
      </w:r>
    </w:p>
    <w:p>
      <w:pPr>
        <w:pStyle w:val="25"/>
        <w:spacing w:line="360" w:lineRule="auto"/>
        <w:ind w:firstLine="1265" w:firstLineChars="450"/>
        <w:rPr>
          <w:rFonts w:cs="宋体"/>
          <w:b/>
          <w:color w:val="000000"/>
          <w:sz w:val="28"/>
          <w:szCs w:val="28"/>
        </w:rPr>
      </w:pPr>
    </w:p>
    <w:p>
      <w:pPr>
        <w:pStyle w:val="25"/>
        <w:spacing w:line="360" w:lineRule="auto"/>
        <w:ind w:firstLine="1265" w:firstLineChars="450"/>
        <w:rPr>
          <w:rFonts w:cs="宋体"/>
          <w:b/>
          <w:color w:val="000000"/>
          <w:sz w:val="28"/>
          <w:szCs w:val="28"/>
        </w:rPr>
      </w:pPr>
    </w:p>
    <w:p>
      <w:pPr>
        <w:pStyle w:val="25"/>
        <w:spacing w:line="360" w:lineRule="auto"/>
        <w:rPr>
          <w:rFonts w:hAnsi="宋体" w:cs="宋体"/>
          <w:b/>
          <w:color w:val="000000"/>
          <w:sz w:val="28"/>
          <w:szCs w:val="28"/>
        </w:rPr>
      </w:pPr>
    </w:p>
    <w:p>
      <w:pPr>
        <w:pStyle w:val="25"/>
        <w:spacing w:line="360" w:lineRule="auto"/>
        <w:rPr>
          <w:rFonts w:hAnsi="宋体" w:cs="宋体"/>
          <w:b/>
          <w:color w:val="000000"/>
          <w:sz w:val="28"/>
          <w:szCs w:val="28"/>
        </w:rPr>
      </w:pPr>
      <w:r>
        <w:rPr>
          <w:rFonts w:hAnsi="宋体" w:cs="宋体"/>
          <w:b/>
          <w:color w:val="000000"/>
          <w:sz w:val="28"/>
          <w:szCs w:val="28"/>
        </w:rPr>
        <w:br w:type="textWrapping"/>
      </w:r>
    </w:p>
    <w:p>
      <w:pPr>
        <w:pStyle w:val="25"/>
        <w:spacing w:line="360" w:lineRule="auto"/>
        <w:rPr>
          <w:rFonts w:hAnsi="宋体" w:cs="宋体"/>
          <w:b/>
          <w:color w:val="000000"/>
          <w:sz w:val="28"/>
          <w:szCs w:val="28"/>
        </w:rPr>
      </w:pPr>
    </w:p>
    <w:p>
      <w:pPr>
        <w:pStyle w:val="25"/>
        <w:spacing w:line="560" w:lineRule="exact"/>
        <w:ind w:firstLine="562" w:firstLineChars="200"/>
        <w:rPr>
          <w:rFonts w:hint="eastAsia" w:eastAsia="宋体" w:cs="宋体"/>
          <w:b/>
          <w:bCs/>
          <w:color w:val="000000"/>
          <w:sz w:val="28"/>
          <w:szCs w:val="28"/>
          <w:lang w:eastAsia="zh-CN"/>
        </w:rPr>
      </w:pPr>
      <w:r>
        <w:rPr>
          <w:rFonts w:hint="eastAsia" w:hAnsi="宋体" w:cs="宋体"/>
          <w:b/>
          <w:color w:val="000000"/>
          <w:sz w:val="28"/>
          <w:szCs w:val="28"/>
        </w:rPr>
        <w:t>招标项目：</w:t>
      </w:r>
      <w:r>
        <w:rPr>
          <w:rFonts w:hint="eastAsia" w:hAnsi="宋体" w:cs="宋体"/>
          <w:b/>
          <w:color w:val="000000"/>
          <w:sz w:val="28"/>
          <w:szCs w:val="28"/>
          <w:lang w:eastAsia="zh-CN"/>
        </w:rPr>
        <w:t>鹦鹉溪镇2021年5G智慧茶园建设项目</w:t>
      </w:r>
    </w:p>
    <w:p>
      <w:pPr>
        <w:pStyle w:val="25"/>
        <w:spacing w:line="560" w:lineRule="exact"/>
        <w:rPr>
          <w:rFonts w:hAnsi="宋体" w:cs="宋体"/>
          <w:b/>
          <w:color w:val="000000"/>
          <w:sz w:val="28"/>
          <w:szCs w:val="28"/>
        </w:rPr>
      </w:pPr>
      <w:r>
        <w:rPr>
          <w:rFonts w:hint="eastAsia" w:hAnsi="宋体" w:cs="宋体"/>
          <w:b/>
          <w:color w:val="000000"/>
          <w:sz w:val="28"/>
          <w:szCs w:val="28"/>
        </w:rPr>
        <w:t xml:space="preserve">    招标编号：</w:t>
      </w:r>
      <w:r>
        <w:rPr>
          <w:rFonts w:hint="eastAsia" w:hAnsi="宋体" w:cs="宋体"/>
          <w:b/>
          <w:color w:val="0000FF"/>
          <w:sz w:val="28"/>
          <w:szCs w:val="28"/>
        </w:rPr>
        <w:t xml:space="preserve"> </w:t>
      </w:r>
      <w:r>
        <w:rPr>
          <w:rFonts w:hint="eastAsia" w:hAnsi="宋体" w:cs="宋体"/>
          <w:b/>
          <w:color w:val="auto"/>
          <w:sz w:val="28"/>
          <w:szCs w:val="28"/>
          <w:lang w:eastAsia="zh-CN"/>
        </w:rPr>
        <w:t>JSWYGZZB2021-045CG</w:t>
      </w:r>
      <w:r>
        <w:rPr>
          <w:rFonts w:hint="eastAsia" w:hAnsi="宋体" w:cs="宋体"/>
          <w:b/>
          <w:color w:val="0000FF"/>
          <w:sz w:val="28"/>
          <w:szCs w:val="28"/>
        </w:rPr>
        <w:t xml:space="preserve"> </w:t>
      </w:r>
      <w:r>
        <w:rPr>
          <w:rFonts w:hint="eastAsia" w:hAnsi="宋体" w:cs="宋体"/>
          <w:b/>
          <w:color w:val="000000"/>
          <w:sz w:val="28"/>
          <w:szCs w:val="28"/>
        </w:rPr>
        <w:t xml:space="preserve">   </w:t>
      </w:r>
    </w:p>
    <w:p>
      <w:pPr>
        <w:pStyle w:val="25"/>
        <w:spacing w:line="560" w:lineRule="exact"/>
        <w:ind w:firstLine="562" w:firstLineChars="200"/>
        <w:rPr>
          <w:rFonts w:hint="eastAsia" w:eastAsia="宋体" w:cs="宋体"/>
          <w:b/>
          <w:color w:val="000000"/>
          <w:sz w:val="28"/>
          <w:szCs w:val="28"/>
          <w:lang w:eastAsia="zh-CN"/>
        </w:rPr>
      </w:pPr>
      <w:r>
        <w:rPr>
          <w:rFonts w:hint="eastAsia" w:hAnsi="宋体" w:cs="宋体"/>
          <w:b/>
          <w:color w:val="000000"/>
          <w:sz w:val="28"/>
          <w:szCs w:val="28"/>
        </w:rPr>
        <w:t>招标方式：</w:t>
      </w:r>
      <w:r>
        <w:rPr>
          <w:rFonts w:hint="eastAsia" w:hAnsi="宋体" w:cs="宋体"/>
          <w:b/>
          <w:color w:val="000000"/>
          <w:sz w:val="28"/>
          <w:szCs w:val="28"/>
          <w:lang w:eastAsia="zh-CN"/>
        </w:rPr>
        <w:t>竞争性磋商</w:t>
      </w:r>
    </w:p>
    <w:p>
      <w:pPr>
        <w:pStyle w:val="25"/>
        <w:spacing w:line="560" w:lineRule="exact"/>
        <w:rPr>
          <w:rFonts w:cs="宋体"/>
          <w:b/>
          <w:color w:val="000000"/>
          <w:sz w:val="28"/>
          <w:szCs w:val="28"/>
        </w:rPr>
      </w:pPr>
      <w:r>
        <w:rPr>
          <w:rFonts w:hint="eastAsia" w:hAnsi="宋体" w:cs="宋体"/>
          <w:b/>
          <w:color w:val="000000"/>
          <w:sz w:val="28"/>
          <w:szCs w:val="28"/>
        </w:rPr>
        <w:t xml:space="preserve">    项目类别：</w:t>
      </w:r>
      <w:r>
        <w:rPr>
          <w:rFonts w:hint="eastAsia" w:hAnsi="宋体" w:cs="宋体"/>
          <w:b/>
          <w:color w:val="000000"/>
          <w:sz w:val="28"/>
          <w:szCs w:val="28"/>
          <w:lang w:eastAsia="zh-CN"/>
        </w:rPr>
        <w:t>货物</w:t>
      </w:r>
      <w:r>
        <w:rPr>
          <w:rFonts w:hint="eastAsia" w:hAnsi="宋体" w:cs="宋体"/>
          <w:b/>
          <w:color w:val="000000"/>
          <w:sz w:val="28"/>
          <w:szCs w:val="28"/>
        </w:rPr>
        <w:t>类</w:t>
      </w:r>
    </w:p>
    <w:p>
      <w:pPr>
        <w:pStyle w:val="74"/>
        <w:rPr>
          <w:rFonts w:hint="eastAsia" w:ascii="宋体" w:hAnsi="宋体"/>
          <w:b/>
          <w:bCs/>
          <w:spacing w:val="26"/>
          <w:sz w:val="48"/>
          <w:szCs w:val="48"/>
          <w:lang w:val="en-US" w:eastAsia="zh-CN"/>
        </w:rPr>
      </w:pPr>
      <w:r>
        <w:rPr>
          <w:rFonts w:hint="eastAsia" w:ascii="宋体" w:hAnsi="宋体"/>
          <w:b/>
          <w:bCs/>
          <w:sz w:val="44"/>
          <w:szCs w:val="44"/>
        </w:rPr>
        <w:t xml:space="preserve">  </w:t>
      </w:r>
    </w:p>
    <w:p>
      <w:pPr>
        <w:spacing w:line="360" w:lineRule="auto"/>
        <w:jc w:val="center"/>
        <w:rPr>
          <w:rFonts w:hint="default" w:ascii="宋体" w:hAnsi="宋体" w:eastAsia="宋体"/>
          <w:b/>
          <w:bCs/>
          <w:spacing w:val="26"/>
          <w:sz w:val="48"/>
          <w:szCs w:val="48"/>
          <w:lang w:val="en-US" w:eastAsia="zh-CN"/>
        </w:rPr>
      </w:pPr>
    </w:p>
    <w:p>
      <w:pPr>
        <w:pStyle w:val="172"/>
        <w:spacing w:after="100" w:afterAutospacing="1"/>
        <w:jc w:val="both"/>
        <w:rPr>
          <w:rFonts w:ascii="宋体" w:hAnsi="宋体"/>
          <w:color w:val="auto"/>
          <w:sz w:val="32"/>
          <w:szCs w:val="32"/>
        </w:rPr>
      </w:pPr>
      <w:r>
        <w:rPr>
          <w:rFonts w:ascii="宋体" w:hAnsi="宋体"/>
          <w:color w:val="auto"/>
          <w:sz w:val="32"/>
          <w:szCs w:val="32"/>
          <w:lang w:val="zh-CN"/>
        </w:rPr>
        <w:t>目</w:t>
      </w:r>
      <w:r>
        <w:rPr>
          <w:rFonts w:hint="eastAsia" w:ascii="宋体" w:hAnsi="宋体"/>
          <w:color w:val="auto"/>
          <w:sz w:val="32"/>
          <w:szCs w:val="32"/>
          <w:lang w:val="zh-CN"/>
        </w:rPr>
        <w:t xml:space="preserve">  </w:t>
      </w:r>
      <w:r>
        <w:rPr>
          <w:rFonts w:ascii="宋体" w:hAnsi="宋体"/>
          <w:color w:val="auto"/>
          <w:sz w:val="32"/>
          <w:szCs w:val="32"/>
          <w:lang w:val="zh-CN"/>
        </w:rPr>
        <w:t>录</w:t>
      </w:r>
    </w:p>
    <w:p>
      <w:pPr>
        <w:pStyle w:val="33"/>
        <w:tabs>
          <w:tab w:val="right" w:leader="dot" w:pos="9062"/>
        </w:tabs>
        <w:spacing w:line="360" w:lineRule="auto"/>
        <w:rPr>
          <w:sz w:val="24"/>
          <w:szCs w:val="24"/>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"_Toc397969217" </w:instrText>
      </w:r>
      <w:r>
        <w:fldChar w:fldCharType="separate"/>
      </w:r>
      <w:r>
        <w:rPr>
          <w:rStyle w:val="62"/>
          <w:rFonts w:hint="eastAsia"/>
          <w:b/>
          <w:color w:val="auto"/>
          <w:sz w:val="24"/>
          <w:szCs w:val="24"/>
        </w:rPr>
        <w:t>第一章</w:t>
      </w:r>
      <w:r>
        <w:rPr>
          <w:rStyle w:val="62"/>
          <w:b/>
          <w:color w:val="auto"/>
          <w:sz w:val="24"/>
          <w:szCs w:val="24"/>
        </w:rPr>
        <w:t xml:space="preserve"> </w:t>
      </w:r>
      <w:r>
        <w:rPr>
          <w:rStyle w:val="62"/>
          <w:rFonts w:hint="eastAsia"/>
          <w:b/>
          <w:color w:val="auto"/>
          <w:sz w:val="24"/>
          <w:szCs w:val="24"/>
        </w:rPr>
        <w:t>竞争性磋商公告</w:t>
      </w:r>
      <w:r>
        <w:rPr>
          <w:sz w:val="24"/>
          <w:szCs w:val="24"/>
        </w:rPr>
        <w:tab/>
      </w:r>
      <w:r>
        <w:rPr>
          <w:sz w:val="24"/>
          <w:szCs w:val="24"/>
        </w:rPr>
        <w:fldChar w:fldCharType="end"/>
      </w:r>
      <w:r>
        <w:rPr>
          <w:rFonts w:hint="eastAsia"/>
          <w:sz w:val="24"/>
          <w:szCs w:val="24"/>
        </w:rPr>
        <w:t>2</w:t>
      </w:r>
    </w:p>
    <w:p>
      <w:pPr>
        <w:pStyle w:val="33"/>
        <w:tabs>
          <w:tab w:val="right" w:leader="dot" w:pos="9062"/>
        </w:tabs>
        <w:spacing w:line="360" w:lineRule="auto"/>
        <w:rPr>
          <w:sz w:val="24"/>
          <w:szCs w:val="24"/>
        </w:rPr>
      </w:pPr>
      <w:r>
        <w:fldChar w:fldCharType="begin"/>
      </w:r>
      <w:r>
        <w:instrText xml:space="preserve"> HYPERLINK \l "_Toc397969218" </w:instrText>
      </w:r>
      <w:r>
        <w:fldChar w:fldCharType="separate"/>
      </w:r>
      <w:r>
        <w:rPr>
          <w:rStyle w:val="62"/>
          <w:rFonts w:hint="eastAsia"/>
          <w:b/>
          <w:color w:val="auto"/>
          <w:sz w:val="24"/>
          <w:szCs w:val="24"/>
        </w:rPr>
        <w:t>第二章</w:t>
      </w:r>
      <w:r>
        <w:rPr>
          <w:rStyle w:val="62"/>
          <w:b/>
          <w:color w:val="auto"/>
          <w:sz w:val="24"/>
          <w:szCs w:val="24"/>
        </w:rPr>
        <w:t xml:space="preserve"> </w:t>
      </w:r>
      <w:r>
        <w:rPr>
          <w:rStyle w:val="62"/>
          <w:rFonts w:hint="eastAsia"/>
          <w:b/>
          <w:color w:val="auto"/>
          <w:sz w:val="24"/>
          <w:szCs w:val="24"/>
        </w:rPr>
        <w:t>供应商须知</w:t>
      </w:r>
      <w:r>
        <w:rPr>
          <w:sz w:val="24"/>
          <w:szCs w:val="24"/>
        </w:rPr>
        <w:tab/>
      </w:r>
      <w:r>
        <w:rPr>
          <w:rFonts w:hint="eastAsia"/>
          <w:sz w:val="24"/>
          <w:szCs w:val="24"/>
        </w:rPr>
        <w:t>4</w:t>
      </w:r>
      <w:r>
        <w:rPr>
          <w:rFonts w:hint="eastAsia"/>
          <w:sz w:val="24"/>
          <w:szCs w:val="24"/>
        </w:rPr>
        <w:fldChar w:fldCharType="end"/>
      </w:r>
    </w:p>
    <w:p>
      <w:pPr>
        <w:pStyle w:val="33"/>
        <w:tabs>
          <w:tab w:val="right" w:leader="dot" w:pos="9062"/>
        </w:tabs>
        <w:spacing w:line="360" w:lineRule="auto"/>
        <w:rPr>
          <w:sz w:val="24"/>
          <w:szCs w:val="24"/>
        </w:rPr>
      </w:pPr>
      <w:r>
        <w:fldChar w:fldCharType="begin"/>
      </w:r>
      <w:r>
        <w:instrText xml:space="preserve"> HYPERLINK \l "_Toc397969219" </w:instrText>
      </w:r>
      <w:r>
        <w:fldChar w:fldCharType="separate"/>
      </w:r>
      <w:r>
        <w:rPr>
          <w:rStyle w:val="62"/>
          <w:rFonts w:hint="eastAsia" w:ascii="宋体" w:hAnsi="宋体"/>
          <w:b/>
          <w:bCs/>
          <w:color w:val="auto"/>
          <w:sz w:val="24"/>
          <w:szCs w:val="24"/>
        </w:rPr>
        <w:t>第三章</w:t>
      </w:r>
      <w:r>
        <w:rPr>
          <w:rStyle w:val="62"/>
          <w:rFonts w:ascii="宋体" w:hAnsi="宋体"/>
          <w:b/>
          <w:bCs/>
          <w:color w:val="auto"/>
          <w:sz w:val="24"/>
          <w:szCs w:val="24"/>
        </w:rPr>
        <w:t xml:space="preserve"> </w:t>
      </w:r>
      <w:r>
        <w:rPr>
          <w:rStyle w:val="62"/>
          <w:rFonts w:hint="eastAsia" w:ascii="宋体" w:hAnsi="宋体"/>
          <w:b/>
          <w:bCs/>
          <w:color w:val="auto"/>
          <w:sz w:val="24"/>
          <w:szCs w:val="24"/>
        </w:rPr>
        <w:t>评标办法和定标原则</w:t>
      </w:r>
      <w:r>
        <w:rPr>
          <w:sz w:val="24"/>
          <w:szCs w:val="24"/>
        </w:rPr>
        <w:tab/>
      </w:r>
      <w:r>
        <w:rPr>
          <w:sz w:val="24"/>
          <w:szCs w:val="24"/>
        </w:rPr>
        <w:fldChar w:fldCharType="begin"/>
      </w:r>
      <w:r>
        <w:rPr>
          <w:sz w:val="24"/>
          <w:szCs w:val="24"/>
        </w:rPr>
        <w:instrText xml:space="preserve"> PAGEREF _Toc397969219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33"/>
        <w:tabs>
          <w:tab w:val="right" w:leader="dot" w:pos="9062"/>
        </w:tabs>
        <w:spacing w:line="360" w:lineRule="auto"/>
        <w:rPr>
          <w:sz w:val="24"/>
          <w:szCs w:val="24"/>
        </w:rPr>
      </w:pPr>
      <w:r>
        <w:fldChar w:fldCharType="begin"/>
      </w:r>
      <w:r>
        <w:instrText xml:space="preserve"> HYPERLINK \l "_Toc397969220" </w:instrText>
      </w:r>
      <w:r>
        <w:fldChar w:fldCharType="separate"/>
      </w:r>
      <w:r>
        <w:rPr>
          <w:rStyle w:val="62"/>
          <w:rFonts w:hint="eastAsia" w:ascii="宋体" w:hAnsi="宋体" w:cs="Arial"/>
          <w:b/>
          <w:color w:val="auto"/>
          <w:sz w:val="24"/>
          <w:szCs w:val="24"/>
        </w:rPr>
        <w:t>第四章</w:t>
      </w:r>
      <w:r>
        <w:rPr>
          <w:rStyle w:val="62"/>
          <w:rFonts w:ascii="宋体" w:hAnsi="宋体" w:cs="Arial"/>
          <w:b/>
          <w:color w:val="auto"/>
          <w:sz w:val="24"/>
          <w:szCs w:val="24"/>
        </w:rPr>
        <w:t xml:space="preserve"> </w:t>
      </w:r>
      <w:r>
        <w:rPr>
          <w:rStyle w:val="62"/>
          <w:rFonts w:hint="eastAsia" w:ascii="宋体" w:hAnsi="宋体" w:cs="Arial"/>
          <w:b/>
          <w:color w:val="auto"/>
          <w:sz w:val="24"/>
          <w:szCs w:val="24"/>
        </w:rPr>
        <w:t>货物技术规格及要求</w:t>
      </w:r>
      <w:r>
        <w:rPr>
          <w:sz w:val="24"/>
          <w:szCs w:val="24"/>
        </w:rPr>
        <w:tab/>
      </w:r>
      <w:r>
        <w:rPr>
          <w:sz w:val="24"/>
          <w:szCs w:val="24"/>
        </w:rPr>
        <w:fldChar w:fldCharType="begin"/>
      </w:r>
      <w:r>
        <w:rPr>
          <w:sz w:val="24"/>
          <w:szCs w:val="24"/>
        </w:rPr>
        <w:instrText xml:space="preserve"> PAGEREF _Toc397969220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33"/>
        <w:tabs>
          <w:tab w:val="right" w:leader="dot" w:pos="9062"/>
        </w:tabs>
        <w:spacing w:line="360" w:lineRule="auto"/>
        <w:rPr>
          <w:sz w:val="24"/>
          <w:szCs w:val="24"/>
        </w:rPr>
      </w:pPr>
      <w:r>
        <w:fldChar w:fldCharType="begin"/>
      </w:r>
      <w:r>
        <w:instrText xml:space="preserve"> HYPERLINK \l "_Toc397969221" </w:instrText>
      </w:r>
      <w:r>
        <w:fldChar w:fldCharType="separate"/>
      </w:r>
      <w:r>
        <w:rPr>
          <w:rStyle w:val="62"/>
          <w:rFonts w:hint="eastAsia"/>
          <w:b/>
          <w:color w:val="auto"/>
          <w:sz w:val="24"/>
          <w:szCs w:val="24"/>
        </w:rPr>
        <w:t>第五章</w:t>
      </w:r>
      <w:r>
        <w:rPr>
          <w:rStyle w:val="62"/>
          <w:b/>
          <w:color w:val="auto"/>
          <w:sz w:val="24"/>
          <w:szCs w:val="24"/>
        </w:rPr>
        <w:t xml:space="preserve"> </w:t>
      </w:r>
      <w:r>
        <w:rPr>
          <w:rStyle w:val="62"/>
          <w:rFonts w:hint="eastAsia"/>
          <w:b/>
          <w:color w:val="auto"/>
          <w:sz w:val="24"/>
          <w:szCs w:val="24"/>
        </w:rPr>
        <w:t>合同资料及格式</w:t>
      </w:r>
      <w:r>
        <w:rPr>
          <w:sz w:val="24"/>
          <w:szCs w:val="24"/>
        </w:rPr>
        <w:tab/>
      </w:r>
      <w:r>
        <w:rPr>
          <w:rFonts w:hint="eastAsia"/>
          <w:sz w:val="24"/>
          <w:szCs w:val="24"/>
        </w:rPr>
        <w:t>43</w:t>
      </w:r>
      <w:r>
        <w:rPr>
          <w:rFonts w:hint="eastAsia"/>
          <w:sz w:val="24"/>
          <w:szCs w:val="24"/>
        </w:rPr>
        <w:fldChar w:fldCharType="end"/>
      </w:r>
    </w:p>
    <w:p>
      <w:pPr>
        <w:pStyle w:val="33"/>
        <w:tabs>
          <w:tab w:val="right" w:leader="dot" w:pos="9062"/>
        </w:tabs>
        <w:spacing w:line="360" w:lineRule="auto"/>
        <w:rPr>
          <w:sz w:val="24"/>
          <w:szCs w:val="24"/>
        </w:rPr>
      </w:pPr>
      <w:r>
        <w:fldChar w:fldCharType="begin"/>
      </w:r>
      <w:r>
        <w:instrText xml:space="preserve"> HYPERLINK \l "_Toc397969222" </w:instrText>
      </w:r>
      <w:r>
        <w:fldChar w:fldCharType="separate"/>
      </w:r>
      <w:r>
        <w:rPr>
          <w:rStyle w:val="62"/>
          <w:rFonts w:hint="eastAsia" w:ascii="宋体" w:hAnsi="宋体"/>
          <w:b/>
          <w:bCs/>
          <w:color w:val="auto"/>
          <w:sz w:val="24"/>
          <w:szCs w:val="24"/>
        </w:rPr>
        <w:t>第六章</w:t>
      </w:r>
      <w:r>
        <w:rPr>
          <w:rStyle w:val="62"/>
          <w:rFonts w:ascii="宋体" w:hAnsi="宋体"/>
          <w:b/>
          <w:bCs/>
          <w:color w:val="auto"/>
          <w:sz w:val="24"/>
          <w:szCs w:val="24"/>
        </w:rPr>
        <w:t xml:space="preserve"> </w:t>
      </w:r>
      <w:r>
        <w:rPr>
          <w:rStyle w:val="62"/>
          <w:rFonts w:hint="eastAsia" w:ascii="宋体" w:hAnsi="宋体"/>
          <w:b/>
          <w:bCs/>
          <w:color w:val="auto"/>
          <w:sz w:val="24"/>
          <w:szCs w:val="24"/>
        </w:rPr>
        <w:t>竞争性磋商响应文件格式</w:t>
      </w:r>
      <w:r>
        <w:rPr>
          <w:sz w:val="24"/>
          <w:szCs w:val="24"/>
        </w:rPr>
        <w:tab/>
      </w:r>
      <w:r>
        <w:rPr>
          <w:sz w:val="24"/>
          <w:szCs w:val="24"/>
        </w:rPr>
        <w:fldChar w:fldCharType="begin"/>
      </w:r>
      <w:r>
        <w:rPr>
          <w:sz w:val="24"/>
          <w:szCs w:val="24"/>
        </w:rPr>
        <w:instrText xml:space="preserve"> PAGEREF _Toc397969222 \h </w:instrText>
      </w:r>
      <w:r>
        <w:rPr>
          <w:sz w:val="24"/>
          <w:szCs w:val="24"/>
        </w:rPr>
        <w:fldChar w:fldCharType="separate"/>
      </w:r>
      <w:r>
        <w:rPr>
          <w:sz w:val="24"/>
          <w:szCs w:val="24"/>
        </w:rPr>
        <w:t>45</w:t>
      </w:r>
      <w:r>
        <w:rPr>
          <w:sz w:val="24"/>
          <w:szCs w:val="24"/>
        </w:rPr>
        <w:fldChar w:fldCharType="end"/>
      </w:r>
      <w:r>
        <w:rPr>
          <w:sz w:val="24"/>
          <w:szCs w:val="24"/>
        </w:rPr>
        <w:fldChar w:fldCharType="end"/>
      </w:r>
    </w:p>
    <w:p>
      <w:pPr>
        <w:spacing w:line="360" w:lineRule="auto"/>
        <w:rPr>
          <w:rFonts w:ascii="宋体" w:hAnsi="宋体"/>
          <w:sz w:val="24"/>
          <w:szCs w:val="24"/>
        </w:rPr>
      </w:pPr>
      <w:r>
        <w:rPr>
          <w:rFonts w:ascii="宋体" w:hAnsi="宋体"/>
          <w:sz w:val="24"/>
          <w:szCs w:val="24"/>
        </w:rPr>
        <w:fldChar w:fldCharType="end"/>
      </w:r>
    </w:p>
    <w:p>
      <w:pPr>
        <w:spacing w:line="440" w:lineRule="exact"/>
        <w:jc w:val="center"/>
        <w:rPr>
          <w:rFonts w:ascii="宋体" w:hAnsi="宋体"/>
          <w:sz w:val="32"/>
        </w:rPr>
      </w:pPr>
    </w:p>
    <w:p>
      <w:pPr>
        <w:pStyle w:val="33"/>
        <w:tabs>
          <w:tab w:val="right" w:leader="dot" w:pos="9072"/>
        </w:tabs>
        <w:rPr>
          <w:rFonts w:ascii="宋体" w:hAnsi="宋体"/>
          <w:b/>
          <w:sz w:val="44"/>
          <w:szCs w:val="44"/>
        </w:rPr>
      </w:pPr>
    </w:p>
    <w:p>
      <w:pPr>
        <w:spacing w:line="440" w:lineRule="exact"/>
        <w:rPr>
          <w:rFonts w:ascii="宋体" w:hAnsi="宋体"/>
          <w:sz w:val="24"/>
          <w:szCs w:val="24"/>
        </w:rPr>
        <w:sectPr>
          <w:footerReference r:id="rId5" w:type="first"/>
          <w:headerReference r:id="rId3" w:type="default"/>
          <w:footerReference r:id="rId4" w:type="default"/>
          <w:pgSz w:w="11907" w:h="16840"/>
          <w:pgMar w:top="1134" w:right="1361" w:bottom="1134" w:left="1474" w:header="851" w:footer="992" w:gutter="0"/>
          <w:pgNumType w:start="0"/>
          <w:cols w:space="0" w:num="1"/>
          <w:titlePg/>
          <w:docGrid w:linePitch="312" w:charSpace="0"/>
        </w:sectPr>
      </w:pPr>
    </w:p>
    <w:p>
      <w:pPr>
        <w:pStyle w:val="3"/>
        <w:rPr>
          <w:b/>
          <w:szCs w:val="36"/>
          <w:lang w:eastAsia="zh-CN"/>
        </w:rPr>
      </w:pPr>
      <w:r>
        <w:rPr>
          <w:rFonts w:hint="eastAsia"/>
          <w:szCs w:val="36"/>
          <w:lang w:eastAsia="zh-CN"/>
        </w:rPr>
        <w:t xml:space="preserve"> </w:t>
      </w:r>
      <w:r>
        <w:rPr>
          <w:rFonts w:hint="eastAsia"/>
          <w:b/>
          <w:szCs w:val="36"/>
          <w:lang w:eastAsia="zh-CN"/>
        </w:rPr>
        <w:t xml:space="preserve"> </w:t>
      </w:r>
      <w:bookmarkStart w:id="0" w:name="_Toc3361"/>
    </w:p>
    <w:bookmarkEnd w:id="0"/>
    <w:p>
      <w:pPr>
        <w:pStyle w:val="3"/>
        <w:numPr>
          <w:ilvl w:val="0"/>
          <w:numId w:val="0"/>
        </w:numPr>
        <w:ind w:firstLine="3213" w:firstLineChars="1000"/>
        <w:jc w:val="both"/>
        <w:rPr>
          <w:rFonts w:hint="eastAsia" w:ascii="Times New Roman" w:hAnsi="Times New Roman" w:eastAsia="宋体" w:cs="Times New Roman"/>
          <w:b/>
          <w:bCs/>
          <w:kern w:val="2"/>
          <w:sz w:val="32"/>
          <w:szCs w:val="36"/>
          <w:lang w:val="en-US" w:eastAsia="zh-CN" w:bidi="ar-SA"/>
        </w:rPr>
      </w:pPr>
      <w:bookmarkStart w:id="1" w:name="_Toc30901"/>
      <w:r>
        <w:rPr>
          <w:rFonts w:hint="eastAsia" w:ascii="Times New Roman" w:hAnsi="Times New Roman" w:cs="Times New Roman"/>
          <w:b/>
          <w:bCs/>
          <w:kern w:val="2"/>
          <w:sz w:val="32"/>
          <w:szCs w:val="36"/>
          <w:lang w:val="en-US" w:eastAsia="zh-CN" w:bidi="ar-SA"/>
        </w:rPr>
        <w:t xml:space="preserve">第一章 </w:t>
      </w:r>
      <w:r>
        <w:rPr>
          <w:rFonts w:hint="eastAsia" w:ascii="Times New Roman" w:hAnsi="Times New Roman" w:eastAsia="宋体" w:cs="Times New Roman"/>
          <w:b/>
          <w:bCs/>
          <w:kern w:val="2"/>
          <w:sz w:val="32"/>
          <w:szCs w:val="36"/>
          <w:lang w:val="en-US" w:eastAsia="zh-CN" w:bidi="ar-SA"/>
        </w:rPr>
        <w:t>竞争性磋商公告</w:t>
      </w:r>
    </w:p>
    <w:p/>
    <w:p>
      <w:pPr>
        <w:widowControl/>
        <w:jc w:val="center"/>
        <w:rPr>
          <w:rFonts w:ascii="宋体" w:hAnsi="宋体" w:cs="宋体"/>
          <w:kern w:val="0"/>
          <w:sz w:val="28"/>
          <w:szCs w:val="28"/>
        </w:rPr>
      </w:pPr>
      <w:bookmarkStart w:id="2" w:name="_Toc397969218"/>
      <w:r>
        <w:rPr>
          <w:rFonts w:hint="eastAsia"/>
          <w:b/>
          <w:bCs/>
          <w:sz w:val="32"/>
          <w:szCs w:val="36"/>
          <w:lang w:eastAsia="zh-CN"/>
        </w:rPr>
        <w:t>鹦鹉溪镇2021年5G智慧茶园建设项目</w:t>
      </w:r>
      <w:r>
        <w:rPr>
          <w:rFonts w:hint="eastAsia"/>
          <w:b/>
          <w:bCs/>
          <w:sz w:val="32"/>
          <w:szCs w:val="36"/>
        </w:rPr>
        <w:t>竞争性磋商公告</w:t>
      </w:r>
    </w:p>
    <w:p>
      <w:pPr>
        <w:spacing w:beforeLines="50"/>
        <w:rPr>
          <w:rFonts w:hint="eastAsia" w:ascii="宋体" w:hAnsi="宋体" w:eastAsia="宋体" w:cs="宋体"/>
          <w:szCs w:val="21"/>
          <w:lang w:eastAsia="zh-CN"/>
        </w:rPr>
      </w:pPr>
      <w:r>
        <w:rPr>
          <w:rFonts w:hint="eastAsia" w:ascii="宋体" w:hAnsi="宋体" w:cs="宋体"/>
          <w:szCs w:val="21"/>
        </w:rPr>
        <w:t>1、项目名称:</w:t>
      </w:r>
      <w:r>
        <w:rPr>
          <w:rFonts w:hint="eastAsia" w:ascii="宋体" w:hAnsi="宋体" w:cs="宋体"/>
          <w:szCs w:val="21"/>
          <w:lang w:eastAsia="zh-CN"/>
        </w:rPr>
        <w:t>鹦鹉溪镇2021年5G智慧茶园建设项目</w:t>
      </w:r>
    </w:p>
    <w:p>
      <w:pPr>
        <w:spacing w:beforeLines="50"/>
        <w:rPr>
          <w:rFonts w:hint="eastAsia" w:ascii="宋体" w:hAnsi="宋体" w:eastAsia="宋体" w:cs="宋体"/>
          <w:szCs w:val="21"/>
          <w:lang w:eastAsia="zh-CN"/>
        </w:rPr>
      </w:pPr>
      <w:r>
        <w:rPr>
          <w:rFonts w:hint="eastAsia" w:ascii="宋体" w:hAnsi="宋体" w:cs="宋体"/>
          <w:szCs w:val="21"/>
        </w:rPr>
        <w:t>2、</w:t>
      </w:r>
      <w:r>
        <w:rPr>
          <w:rFonts w:ascii="宋体" w:hAnsi="宋体" w:cs="宋体"/>
          <w:szCs w:val="21"/>
        </w:rPr>
        <w:t>项目编号:</w:t>
      </w:r>
      <w:r>
        <w:rPr>
          <w:rFonts w:hint="eastAsia" w:ascii="宋体" w:hAnsi="宋体" w:cs="宋体"/>
          <w:szCs w:val="21"/>
          <w:lang w:eastAsia="zh-CN"/>
        </w:rPr>
        <w:t>JSWYGZZB2021-045CG</w:t>
      </w:r>
    </w:p>
    <w:p>
      <w:pPr>
        <w:spacing w:beforeLines="50"/>
        <w:rPr>
          <w:rFonts w:hint="eastAsia" w:ascii="宋体" w:hAnsi="宋体" w:eastAsia="宋体" w:cs="宋体"/>
          <w:szCs w:val="21"/>
          <w:lang w:eastAsia="zh-CN"/>
        </w:rPr>
      </w:pPr>
      <w:r>
        <w:rPr>
          <w:rFonts w:hint="eastAsia" w:ascii="宋体" w:hAnsi="宋体" w:cs="宋体"/>
          <w:szCs w:val="21"/>
        </w:rPr>
        <w:t>3、项目序列号:</w:t>
      </w:r>
      <w:r>
        <w:rPr>
          <w:rFonts w:hint="eastAsia" w:ascii="宋体" w:hAnsi="宋体" w:cs="宋体"/>
          <w:szCs w:val="21"/>
          <w:lang w:eastAsia="zh-CN"/>
        </w:rPr>
        <w:t>JSWYGZZB2021-045CG</w:t>
      </w:r>
    </w:p>
    <w:p>
      <w:pPr>
        <w:spacing w:beforeLines="50"/>
        <w:rPr>
          <w:rFonts w:hint="eastAsia" w:ascii="宋体" w:hAnsi="宋体" w:eastAsia="宋体" w:cs="宋体"/>
          <w:szCs w:val="21"/>
          <w:lang w:eastAsia="zh-CN"/>
        </w:rPr>
      </w:pPr>
      <w:r>
        <w:rPr>
          <w:rFonts w:hint="eastAsia" w:ascii="宋体" w:hAnsi="宋体" w:cs="宋体"/>
          <w:szCs w:val="21"/>
        </w:rPr>
        <w:t>4</w:t>
      </w:r>
      <w:r>
        <w:rPr>
          <w:rFonts w:ascii="宋体" w:hAnsi="宋体" w:cs="宋体"/>
          <w:szCs w:val="21"/>
        </w:rPr>
        <w:t>、项目联系人:</w:t>
      </w:r>
      <w:r>
        <w:rPr>
          <w:rFonts w:hint="eastAsia" w:ascii="宋体" w:hAnsi="宋体" w:cs="宋体"/>
          <w:szCs w:val="21"/>
          <w:lang w:eastAsia="zh-CN"/>
        </w:rPr>
        <w:t>王龙</w:t>
      </w:r>
    </w:p>
    <w:p>
      <w:pPr>
        <w:spacing w:beforeLines="50"/>
        <w:rPr>
          <w:rFonts w:hint="eastAsia" w:ascii="宋体" w:hAnsi="宋体" w:eastAsia="宋体" w:cs="宋体"/>
          <w:szCs w:val="21"/>
          <w:lang w:eastAsia="zh-CN"/>
        </w:rPr>
      </w:pPr>
      <w:r>
        <w:rPr>
          <w:rFonts w:hint="eastAsia" w:ascii="宋体" w:hAnsi="宋体" w:cs="宋体"/>
          <w:szCs w:val="21"/>
        </w:rPr>
        <w:t>5</w:t>
      </w:r>
      <w:r>
        <w:rPr>
          <w:rFonts w:ascii="宋体" w:hAnsi="宋体" w:cs="宋体"/>
          <w:szCs w:val="21"/>
        </w:rPr>
        <w:t>、项目联系电话:</w:t>
      </w:r>
      <w:r>
        <w:rPr>
          <w:rFonts w:hint="eastAsia" w:ascii="宋体" w:hAnsi="宋体" w:cs="宋体"/>
          <w:color w:val="auto"/>
          <w:szCs w:val="21"/>
          <w:lang w:eastAsia="zh-CN"/>
        </w:rPr>
        <w:t>13037832003</w:t>
      </w:r>
    </w:p>
    <w:p>
      <w:pPr>
        <w:spacing w:beforeLines="50"/>
        <w:rPr>
          <w:rFonts w:ascii="宋体" w:hAnsi="宋体" w:cs="宋体"/>
          <w:szCs w:val="21"/>
        </w:rPr>
      </w:pPr>
      <w:r>
        <w:rPr>
          <w:rFonts w:hint="eastAsia" w:ascii="宋体" w:hAnsi="宋体" w:cs="宋体"/>
          <w:szCs w:val="21"/>
        </w:rPr>
        <w:t>6</w:t>
      </w:r>
      <w:r>
        <w:rPr>
          <w:rFonts w:ascii="宋体" w:hAnsi="宋体" w:cs="宋体"/>
          <w:szCs w:val="21"/>
        </w:rPr>
        <w:t>、采购方式:</w:t>
      </w:r>
      <w:r>
        <w:rPr>
          <w:rFonts w:hint="eastAsia" w:ascii="宋体" w:hAnsi="宋体" w:cs="宋体"/>
          <w:szCs w:val="21"/>
        </w:rPr>
        <w:t>竞争性磋商</w:t>
      </w:r>
    </w:p>
    <w:p>
      <w:pPr>
        <w:spacing w:beforeLines="50"/>
        <w:rPr>
          <w:rFonts w:ascii="宋体" w:hAnsi="宋体" w:cs="宋体"/>
          <w:szCs w:val="21"/>
        </w:rPr>
      </w:pPr>
      <w:r>
        <w:rPr>
          <w:rFonts w:hint="eastAsia" w:ascii="宋体" w:hAnsi="宋体" w:cs="宋体"/>
          <w:szCs w:val="21"/>
        </w:rPr>
        <w:t>7</w:t>
      </w:r>
      <w:r>
        <w:rPr>
          <w:rFonts w:ascii="宋体" w:hAnsi="宋体" w:cs="宋体"/>
          <w:szCs w:val="21"/>
        </w:rPr>
        <w:t>、采购货物或服务情况:（具体要求详见附表）</w:t>
      </w:r>
    </w:p>
    <w:p>
      <w:pPr>
        <w:spacing w:beforeLines="50"/>
        <w:rPr>
          <w:rFonts w:ascii="宋体" w:hAnsi="宋体" w:cs="宋体"/>
          <w:szCs w:val="21"/>
        </w:rPr>
      </w:pPr>
      <w:r>
        <w:rPr>
          <w:rFonts w:ascii="宋体" w:hAnsi="宋体" w:cs="宋体"/>
          <w:szCs w:val="21"/>
        </w:rPr>
        <w:t>（1）采购主要内容</w:t>
      </w:r>
      <w:r>
        <w:rPr>
          <w:rFonts w:hint="eastAsia" w:ascii="宋体" w:hAnsi="宋体" w:cs="宋体"/>
          <w:szCs w:val="21"/>
        </w:rPr>
        <w:t>：</w:t>
      </w:r>
      <w:r>
        <w:rPr>
          <w:rFonts w:hint="eastAsia" w:ascii="宋体" w:hAnsi="宋体" w:cs="宋体"/>
          <w:szCs w:val="21"/>
          <w:lang w:val="en-US" w:eastAsia="zh-CN"/>
        </w:rPr>
        <w:t>硬件设备、软件开发、系统集成服务、云服务器、互联网网络通信建设服务。</w:t>
      </w:r>
      <w:r>
        <w:rPr>
          <w:rFonts w:hint="eastAsia" w:ascii="宋体" w:hAnsi="宋体" w:cs="宋体"/>
          <w:szCs w:val="21"/>
        </w:rPr>
        <w:t xml:space="preserve"> </w:t>
      </w:r>
    </w:p>
    <w:p>
      <w:pPr>
        <w:spacing w:beforeLines="50"/>
        <w:rPr>
          <w:rFonts w:ascii="宋体" w:hAnsi="宋体" w:cs="宋体"/>
          <w:szCs w:val="21"/>
        </w:rPr>
      </w:pPr>
      <w:r>
        <w:rPr>
          <w:rFonts w:ascii="宋体" w:hAnsi="宋体" w:cs="宋体"/>
          <w:szCs w:val="21"/>
        </w:rPr>
        <w:t>（2）采购数量:</w:t>
      </w:r>
      <w:r>
        <w:rPr>
          <w:rFonts w:hint="eastAsia" w:ascii="宋体" w:hAnsi="宋体" w:cs="宋体"/>
          <w:szCs w:val="21"/>
        </w:rPr>
        <w:t>一批</w:t>
      </w:r>
    </w:p>
    <w:p>
      <w:pPr>
        <w:spacing w:beforeLines="50"/>
        <w:rPr>
          <w:rFonts w:ascii="宋体" w:hAnsi="宋体" w:cs="宋体"/>
          <w:szCs w:val="21"/>
        </w:rPr>
      </w:pPr>
      <w:r>
        <w:rPr>
          <w:rFonts w:ascii="宋体" w:hAnsi="宋体" w:cs="宋体"/>
          <w:szCs w:val="21"/>
        </w:rPr>
        <w:t>（3）采购预算:</w:t>
      </w:r>
      <w:r>
        <w:rPr>
          <w:rFonts w:hint="eastAsia" w:ascii="宋体" w:hAnsi="宋体" w:cs="宋体"/>
          <w:szCs w:val="21"/>
        </w:rPr>
        <w:t xml:space="preserve"> </w:t>
      </w:r>
      <w:r>
        <w:rPr>
          <w:rFonts w:hint="eastAsia" w:ascii="宋体" w:hAnsi="宋体" w:cs="宋体"/>
          <w:szCs w:val="21"/>
          <w:lang w:val="en-US" w:eastAsia="zh-CN"/>
        </w:rPr>
        <w:t>1800000.00</w:t>
      </w:r>
      <w:r>
        <w:rPr>
          <w:rFonts w:hint="eastAsia" w:ascii="宋体" w:hAnsi="宋体" w:cs="宋体"/>
          <w:szCs w:val="21"/>
        </w:rPr>
        <w:t>元</w:t>
      </w:r>
    </w:p>
    <w:p>
      <w:pPr>
        <w:spacing w:beforeLines="50"/>
        <w:jc w:val="left"/>
        <w:rPr>
          <w:rFonts w:hint="default" w:ascii="宋体" w:hAnsi="宋体" w:eastAsia="宋体" w:cs="宋体"/>
          <w:szCs w:val="21"/>
          <w:lang w:val="en-US" w:eastAsia="zh-CN"/>
        </w:rPr>
      </w:pPr>
      <w:r>
        <w:rPr>
          <w:rFonts w:ascii="宋体" w:hAnsi="宋体" w:cs="宋体"/>
          <w:szCs w:val="21"/>
        </w:rPr>
        <w:t>（4）</w:t>
      </w:r>
      <w:r>
        <w:rPr>
          <w:rFonts w:hint="eastAsia" w:ascii="宋体" w:hAnsi="宋体" w:cs="宋体"/>
          <w:szCs w:val="21"/>
        </w:rPr>
        <w:t xml:space="preserve">最高限价： </w:t>
      </w:r>
      <w:r>
        <w:rPr>
          <w:rFonts w:hint="eastAsia" w:ascii="宋体" w:hAnsi="宋体" w:cs="宋体"/>
          <w:szCs w:val="21"/>
          <w:lang w:val="en-US" w:eastAsia="zh-CN"/>
        </w:rPr>
        <w:t>1800000.00元</w:t>
      </w:r>
    </w:p>
    <w:p>
      <w:pPr>
        <w:spacing w:beforeLines="50"/>
        <w:jc w:val="left"/>
        <w:rPr>
          <w:rFonts w:ascii="宋体" w:hAnsi="宋体" w:cs="宋体"/>
          <w:szCs w:val="21"/>
        </w:rPr>
      </w:pPr>
      <w:r>
        <w:rPr>
          <w:rFonts w:ascii="宋体" w:hAnsi="宋体" w:cs="宋体"/>
          <w:szCs w:val="21"/>
        </w:rPr>
        <w:t>（5）简要技术要求、服务和安全要求:</w:t>
      </w:r>
      <w:r>
        <w:rPr>
          <w:rFonts w:hint="eastAsia" w:ascii="宋体" w:hAnsi="宋体" w:cs="宋体"/>
          <w:szCs w:val="21"/>
        </w:rPr>
        <w:t xml:space="preserve">  详见采购文件。</w:t>
      </w:r>
    </w:p>
    <w:p>
      <w:pPr>
        <w:spacing w:beforeLines="50"/>
        <w:rPr>
          <w:rFonts w:ascii="宋体" w:hAnsi="宋体" w:cs="宋体"/>
          <w:szCs w:val="21"/>
        </w:rPr>
      </w:pPr>
      <w:r>
        <w:rPr>
          <w:rFonts w:ascii="宋体" w:hAnsi="宋体" w:cs="宋体"/>
          <w:szCs w:val="21"/>
        </w:rPr>
        <w:t>（6）交货时间或服务时间:</w:t>
      </w:r>
      <w:r>
        <w:rPr>
          <w:rFonts w:hint="eastAsia" w:ascii="宋体" w:hAnsi="宋体"/>
          <w:szCs w:val="21"/>
        </w:rPr>
        <w:t>合同签订后</w:t>
      </w:r>
      <w:r>
        <w:rPr>
          <w:rFonts w:hint="eastAsia" w:ascii="宋体" w:hAnsi="宋体"/>
          <w:szCs w:val="21"/>
          <w:lang w:val="en-US" w:eastAsia="zh-CN"/>
        </w:rPr>
        <w:t>90日历天</w:t>
      </w:r>
      <w:r>
        <w:rPr>
          <w:rFonts w:hint="eastAsia" w:ascii="宋体" w:hAnsi="宋体"/>
          <w:szCs w:val="21"/>
        </w:rPr>
        <w:t>内完成供货。</w:t>
      </w:r>
      <w:r>
        <w:rPr>
          <w:rFonts w:hint="eastAsia" w:ascii="宋体" w:hAnsi="宋体" w:cs="宋体"/>
          <w:szCs w:val="21"/>
        </w:rPr>
        <w:t xml:space="preserve">   </w:t>
      </w:r>
    </w:p>
    <w:p>
      <w:pPr>
        <w:spacing w:beforeLines="50"/>
        <w:rPr>
          <w:rFonts w:ascii="宋体" w:hAnsi="宋体" w:cs="宋体"/>
          <w:szCs w:val="21"/>
        </w:rPr>
      </w:pPr>
      <w:r>
        <w:rPr>
          <w:rFonts w:ascii="宋体" w:hAnsi="宋体" w:cs="宋体"/>
          <w:szCs w:val="21"/>
        </w:rPr>
        <w:t>（7）交货地点或服务地点:</w:t>
      </w:r>
      <w:r>
        <w:rPr>
          <w:rFonts w:hint="eastAsia" w:ascii="宋体" w:hAnsi="宋体" w:cs="宋体"/>
          <w:szCs w:val="21"/>
        </w:rPr>
        <w:t>用户</w:t>
      </w:r>
      <w:r>
        <w:rPr>
          <w:rFonts w:ascii="宋体" w:hAnsi="宋体" w:cs="宋体"/>
          <w:szCs w:val="21"/>
        </w:rPr>
        <w:t>指定地点</w:t>
      </w:r>
      <w:r>
        <w:rPr>
          <w:rFonts w:hint="eastAsia" w:ascii="宋体" w:hAnsi="宋体" w:cs="宋体"/>
          <w:szCs w:val="21"/>
        </w:rPr>
        <w:t>。</w:t>
      </w:r>
    </w:p>
    <w:p>
      <w:pPr>
        <w:spacing w:beforeLines="50"/>
        <w:rPr>
          <w:rFonts w:hint="eastAsia" w:ascii="宋体" w:hAnsi="宋体" w:eastAsia="宋体" w:cs="宋体"/>
          <w:szCs w:val="21"/>
          <w:lang w:val="en-US" w:eastAsia="zh-CN"/>
        </w:rPr>
      </w:pPr>
      <w:r>
        <w:rPr>
          <w:rFonts w:hint="eastAsia" w:ascii="宋体" w:hAnsi="宋体" w:cs="宋体"/>
          <w:szCs w:val="21"/>
        </w:rPr>
        <w:t>（8）</w:t>
      </w:r>
      <w:r>
        <w:rPr>
          <w:rFonts w:ascii="宋体" w:hAnsi="宋体" w:cs="宋体"/>
          <w:szCs w:val="21"/>
        </w:rPr>
        <w:t>其他事项（如样品提交、现在踏勘等）:</w:t>
      </w:r>
      <w:r>
        <w:rPr>
          <w:rFonts w:hint="eastAsia" w:ascii="宋体" w:hAnsi="宋体" w:cs="宋体"/>
          <w:szCs w:val="21"/>
          <w:lang w:eastAsia="zh-CN"/>
        </w:rPr>
        <w:t>详见磋商文件。</w:t>
      </w:r>
    </w:p>
    <w:p>
      <w:pPr>
        <w:spacing w:beforeLines="50"/>
        <w:rPr>
          <w:rFonts w:ascii="宋体" w:hAnsi="宋体" w:cs="宋体"/>
          <w:szCs w:val="21"/>
        </w:rPr>
      </w:pPr>
      <w:r>
        <w:rPr>
          <w:rFonts w:hint="eastAsia" w:ascii="宋体" w:hAnsi="宋体" w:cs="宋体"/>
          <w:szCs w:val="21"/>
        </w:rPr>
        <w:t>8</w:t>
      </w:r>
      <w:r>
        <w:rPr>
          <w:rFonts w:ascii="宋体" w:hAnsi="宋体" w:cs="宋体"/>
          <w:szCs w:val="21"/>
        </w:rPr>
        <w:t>、供应商资格要求</w:t>
      </w:r>
    </w:p>
    <w:p>
      <w:pPr>
        <w:spacing w:beforeLines="50"/>
        <w:rPr>
          <w:rFonts w:ascii="宋体" w:hAnsi="宋体" w:cs="宋体"/>
          <w:szCs w:val="21"/>
        </w:rPr>
      </w:pPr>
      <w:r>
        <w:rPr>
          <w:rFonts w:hint="eastAsia" w:ascii="宋体" w:hAnsi="宋体" w:cs="宋体"/>
          <w:szCs w:val="21"/>
        </w:rPr>
        <w:t>（1）一般资格要求</w:t>
      </w:r>
    </w:p>
    <w:p>
      <w:pPr>
        <w:spacing w:beforeLines="50"/>
        <w:ind w:firstLine="420" w:firstLineChars="200"/>
        <w:rPr>
          <w:rFonts w:ascii="宋体" w:hAnsi="宋体" w:cs="宋体"/>
          <w:szCs w:val="21"/>
        </w:rPr>
      </w:pPr>
      <w:r>
        <w:rPr>
          <w:rFonts w:hint="eastAsia" w:ascii="宋体" w:hAnsi="宋体" w:cs="宋体"/>
          <w:szCs w:val="21"/>
        </w:rPr>
        <w:t>中华人民共和国境内能够独立承担民事责任的法人或其他组织，符合中华人民共和国政府采购法第二十二条之规定：</w:t>
      </w:r>
    </w:p>
    <w:p>
      <w:pPr>
        <w:numPr>
          <w:ilvl w:val="0"/>
          <w:numId w:val="2"/>
        </w:numPr>
        <w:spacing w:beforeLines="50"/>
        <w:ind w:firstLine="420" w:firstLineChars="200"/>
        <w:rPr>
          <w:rFonts w:ascii="宋体" w:hAnsi="宋体" w:cs="宋体"/>
          <w:szCs w:val="21"/>
        </w:rPr>
      </w:pPr>
      <w:r>
        <w:rPr>
          <w:rFonts w:hint="eastAsia" w:ascii="宋体" w:hAnsi="宋体" w:cs="宋体"/>
          <w:szCs w:val="21"/>
        </w:rPr>
        <w:t>具有独立承担民事责任的能力：</w:t>
      </w:r>
      <w:r>
        <w:rPr>
          <w:rFonts w:hint="eastAsia" w:ascii="宋体" w:hAnsi="宋体" w:cs="宋体"/>
          <w:szCs w:val="21"/>
          <w:lang w:eastAsia="zh-CN"/>
        </w:rPr>
        <w:t>具有独立承担民事责任的能力（本项目允许分公司投标，分公司投标的需提供总公司对分公司的专项授权原件及总公司和分公司营业执照复印件加盖公章）</w:t>
      </w:r>
      <w:r>
        <w:rPr>
          <w:rFonts w:hint="eastAsia" w:ascii="宋体" w:hAnsi="宋体" w:cs="宋体"/>
          <w:szCs w:val="21"/>
        </w:rPr>
        <w:t>；</w:t>
      </w:r>
    </w:p>
    <w:p>
      <w:pPr>
        <w:numPr>
          <w:ilvl w:val="0"/>
          <w:numId w:val="2"/>
        </w:numPr>
        <w:spacing w:beforeLines="50"/>
        <w:ind w:firstLine="420" w:firstLineChars="200"/>
        <w:rPr>
          <w:rFonts w:ascii="宋体" w:hAnsi="宋体" w:cs="宋体"/>
          <w:szCs w:val="21"/>
        </w:rPr>
      </w:pPr>
      <w:r>
        <w:rPr>
          <w:rFonts w:hint="eastAsia" w:ascii="宋体" w:hAnsi="宋体" w:cs="宋体"/>
          <w:szCs w:val="21"/>
        </w:rPr>
        <w:t xml:space="preserve">具有良好的商业信誉和健全的财务会计制度： </w:t>
      </w:r>
      <w:r>
        <w:rPr>
          <w:rFonts w:hint="eastAsia" w:ascii="宋体" w:hAnsi="宋体" w:cs="宋体"/>
          <w:szCs w:val="21"/>
          <w:lang w:eastAsia="zh-CN"/>
        </w:rPr>
        <w:t>具有良好的商业信誉和健全的财务会计制度：提供2019或2020年度经审计的财务状况报告材料或或基本开户银行出具的资信证明（新成立企业可根据自身情况酌情递交相关材料）</w:t>
      </w:r>
      <w:r>
        <w:rPr>
          <w:rFonts w:hint="eastAsia" w:ascii="宋体" w:hAnsi="宋体" w:cs="宋体"/>
          <w:szCs w:val="21"/>
        </w:rPr>
        <w:t>。</w:t>
      </w:r>
    </w:p>
    <w:p>
      <w:pPr>
        <w:numPr>
          <w:ilvl w:val="0"/>
          <w:numId w:val="2"/>
        </w:numPr>
        <w:spacing w:beforeLines="50"/>
        <w:ind w:firstLine="420" w:firstLineChars="200"/>
        <w:rPr>
          <w:rFonts w:ascii="宋体" w:hAnsi="宋体" w:cs="宋体"/>
          <w:szCs w:val="21"/>
        </w:rPr>
      </w:pPr>
      <w:r>
        <w:rPr>
          <w:rFonts w:hint="eastAsia" w:ascii="宋体" w:hAnsi="宋体" w:cs="宋体"/>
          <w:szCs w:val="21"/>
        </w:rPr>
        <w:t>具有履行合同所必需的设备和专业技术能力： 具体要求：提供具备履行合同所必需的设备和专业能力的资料或承诺函。</w:t>
      </w:r>
    </w:p>
    <w:p>
      <w:pPr>
        <w:numPr>
          <w:ilvl w:val="0"/>
          <w:numId w:val="2"/>
        </w:numPr>
        <w:spacing w:beforeLines="50"/>
        <w:ind w:firstLine="420" w:firstLineChars="200"/>
        <w:rPr>
          <w:rFonts w:ascii="宋体" w:hAnsi="宋体" w:cs="宋体"/>
          <w:szCs w:val="21"/>
        </w:rPr>
      </w:pPr>
      <w:r>
        <w:rPr>
          <w:rFonts w:hint="eastAsia" w:ascii="宋体" w:hAnsi="宋体" w:cs="宋体"/>
          <w:szCs w:val="21"/>
        </w:rPr>
        <w:t xml:space="preserve">具有依法缴纳税收和社会保障资金的良好记录：具体要求：提供2020年1月至今任意3个月的依法缴纳税收和社会保障资金或的有效证明材料(不需要缴纳税收或社保资金的供应商须提供相应证明文件)； </w:t>
      </w:r>
    </w:p>
    <w:p>
      <w:pPr>
        <w:numPr>
          <w:ilvl w:val="0"/>
          <w:numId w:val="2"/>
        </w:numPr>
        <w:spacing w:beforeLines="50"/>
        <w:ind w:firstLine="420" w:firstLineChars="200"/>
        <w:rPr>
          <w:rFonts w:ascii="宋体" w:hAnsi="宋体" w:cs="宋体"/>
          <w:szCs w:val="21"/>
        </w:rPr>
      </w:pPr>
      <w:r>
        <w:rPr>
          <w:rFonts w:hint="eastAsia" w:ascii="宋体" w:hAnsi="宋体" w:cs="宋体"/>
          <w:szCs w:val="21"/>
        </w:rPr>
        <w:t>参加政府采购活动前三年内，在经营活动中没有重大违法记录： 提供参加政府采购活动前3年内在经营活动中没有重大违法记录的书面声明；</w:t>
      </w:r>
    </w:p>
    <w:p>
      <w:pPr>
        <w:numPr>
          <w:ilvl w:val="0"/>
          <w:numId w:val="2"/>
        </w:numPr>
        <w:spacing w:line="340" w:lineRule="exact"/>
        <w:ind w:firstLine="420" w:firstLineChars="200"/>
        <w:rPr>
          <w:rFonts w:ascii="宋体" w:hAnsi="宋体" w:cs="宋体"/>
          <w:szCs w:val="21"/>
        </w:rPr>
      </w:pPr>
      <w:r>
        <w:rPr>
          <w:rFonts w:hint="eastAsia" w:ascii="宋体" w:hAnsi="宋体" w:cs="宋体"/>
          <w:szCs w:val="21"/>
        </w:rPr>
        <w:t>供应商信用信息：供应商需自行承诺“未在“信用中国”（www.creditchina.gov.cn）、网站上及中国政府采购网上被列入失信被执行人、重大税收违法案件当事人名单、政府采购严重违法失信行为记录名单，</w:t>
      </w:r>
      <w:r>
        <w:rPr>
          <w:rFonts w:hint="eastAsia" w:ascii="宋体" w:hAnsi="宋体" w:cs="宋体"/>
          <w:szCs w:val="21"/>
          <w:lang w:eastAsia="zh-CN"/>
        </w:rPr>
        <w:t>供应商需提供以上查询结果截图，</w:t>
      </w:r>
      <w:r>
        <w:rPr>
          <w:rFonts w:hint="eastAsia" w:ascii="宋体" w:hAnsi="宋体" w:cs="宋体"/>
          <w:szCs w:val="21"/>
        </w:rPr>
        <w:t>如有被列入的情况，将视为无效投标；</w:t>
      </w:r>
    </w:p>
    <w:p>
      <w:pPr>
        <w:spacing w:beforeLines="50"/>
        <w:ind w:left="420" w:leftChars="200"/>
        <w:rPr>
          <w:rFonts w:ascii="宋体" w:hAnsi="宋体" w:cs="宋体"/>
          <w:szCs w:val="21"/>
        </w:rPr>
      </w:pPr>
      <w:r>
        <w:rPr>
          <w:rFonts w:hint="eastAsia" w:ascii="宋体" w:hAnsi="宋体" w:cs="宋体"/>
          <w:szCs w:val="21"/>
        </w:rPr>
        <w:t>7）不接受联合体</w:t>
      </w:r>
    </w:p>
    <w:p>
      <w:pPr>
        <w:spacing w:beforeLines="50"/>
        <w:ind w:firstLine="420" w:firstLineChars="200"/>
        <w:rPr>
          <w:rFonts w:ascii="宋体" w:hAnsi="宋体" w:cs="宋体"/>
          <w:szCs w:val="21"/>
        </w:rPr>
      </w:pPr>
      <w:r>
        <w:rPr>
          <w:rFonts w:hint="eastAsia" w:ascii="宋体" w:hAnsi="宋体" w:cs="宋体"/>
          <w:szCs w:val="21"/>
        </w:rPr>
        <w:t>8）投标法律、行政法规规定的其他条件：竞争性磋商保证金已缴纳证明。</w:t>
      </w:r>
    </w:p>
    <w:p>
      <w:pPr>
        <w:numPr>
          <w:ilvl w:val="0"/>
          <w:numId w:val="3"/>
        </w:numPr>
        <w:spacing w:beforeLines="50"/>
        <w:rPr>
          <w:rFonts w:ascii="宋体" w:hAnsi="宋体" w:cs="宋体"/>
          <w:szCs w:val="21"/>
        </w:rPr>
      </w:pPr>
      <w:r>
        <w:rPr>
          <w:rFonts w:ascii="宋体" w:hAnsi="宋体" w:cs="宋体"/>
          <w:szCs w:val="21"/>
        </w:rPr>
        <w:t>特殊资格要求</w:t>
      </w:r>
      <w:r>
        <w:rPr>
          <w:rFonts w:hint="eastAsia" w:ascii="宋体" w:hAnsi="宋体" w:cs="宋体"/>
          <w:szCs w:val="21"/>
        </w:rPr>
        <w:t>：无</w:t>
      </w:r>
    </w:p>
    <w:p>
      <w:pPr>
        <w:numPr>
          <w:ilvl w:val="0"/>
          <w:numId w:val="0"/>
        </w:numPr>
        <w:spacing w:beforeLines="50"/>
        <w:rPr>
          <w:rFonts w:ascii="宋体" w:hAnsi="宋体" w:cs="宋体"/>
          <w:szCs w:val="21"/>
        </w:rPr>
      </w:pPr>
      <w:r>
        <w:rPr>
          <w:rFonts w:hint="eastAsia" w:ascii="宋体" w:hAnsi="宋体" w:cs="宋体"/>
          <w:szCs w:val="21"/>
        </w:rPr>
        <w:t>9</w:t>
      </w:r>
      <w:r>
        <w:rPr>
          <w:rFonts w:ascii="宋体" w:hAnsi="宋体" w:cs="宋体"/>
          <w:szCs w:val="21"/>
        </w:rPr>
        <w:t>、获取</w:t>
      </w:r>
      <w:r>
        <w:rPr>
          <w:rFonts w:hint="eastAsia" w:ascii="宋体" w:hAnsi="宋体" w:cs="宋体"/>
          <w:szCs w:val="21"/>
        </w:rPr>
        <w:t>竞争性磋商</w:t>
      </w:r>
      <w:r>
        <w:rPr>
          <w:rFonts w:ascii="宋体" w:hAnsi="宋体" w:cs="宋体"/>
          <w:szCs w:val="21"/>
        </w:rPr>
        <w:t>文件信息:</w:t>
      </w:r>
    </w:p>
    <w:p>
      <w:pPr>
        <w:spacing w:beforeLines="50"/>
        <w:rPr>
          <w:rFonts w:ascii="宋体" w:hAnsi="宋体" w:cs="宋体"/>
          <w:szCs w:val="21"/>
        </w:rPr>
      </w:pPr>
      <w:r>
        <w:rPr>
          <w:rFonts w:ascii="宋体" w:hAnsi="宋体" w:cs="宋体"/>
          <w:szCs w:val="21"/>
        </w:rPr>
        <w:t>（1）购买</w:t>
      </w:r>
      <w:r>
        <w:rPr>
          <w:rFonts w:hint="eastAsia" w:ascii="宋体" w:hAnsi="宋体" w:cs="宋体"/>
          <w:szCs w:val="21"/>
        </w:rPr>
        <w:t>竞争性磋商</w:t>
      </w:r>
      <w:r>
        <w:rPr>
          <w:rFonts w:ascii="宋体" w:hAnsi="宋体" w:cs="宋体"/>
          <w:szCs w:val="21"/>
        </w:rPr>
        <w:t>文件时间</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 xml:space="preserve"> 9 </w:t>
      </w:r>
      <w:r>
        <w:rPr>
          <w:rFonts w:hint="eastAsia" w:ascii="宋体" w:hAnsi="宋体" w:cs="宋体"/>
          <w:szCs w:val="21"/>
        </w:rPr>
        <w:t>月</w:t>
      </w:r>
      <w:r>
        <w:rPr>
          <w:rFonts w:hint="eastAsia" w:ascii="宋体" w:hAnsi="宋体" w:cs="宋体"/>
          <w:szCs w:val="21"/>
          <w:lang w:val="en-US" w:eastAsia="zh-CN"/>
        </w:rPr>
        <w:t xml:space="preserve"> 10 </w:t>
      </w:r>
      <w:r>
        <w:rPr>
          <w:rFonts w:hint="eastAsia" w:ascii="宋体" w:hAnsi="宋体" w:cs="宋体"/>
          <w:szCs w:val="21"/>
        </w:rPr>
        <w:t>日 09时00分至202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 xml:space="preserve"> 9 </w:t>
      </w:r>
      <w:r>
        <w:rPr>
          <w:rFonts w:hint="eastAsia" w:ascii="宋体" w:hAnsi="宋体" w:cs="宋体"/>
          <w:szCs w:val="21"/>
        </w:rPr>
        <w:t>月</w:t>
      </w:r>
      <w:r>
        <w:rPr>
          <w:rFonts w:hint="eastAsia" w:ascii="宋体" w:hAnsi="宋体" w:cs="宋体"/>
          <w:szCs w:val="21"/>
          <w:lang w:val="en-US" w:eastAsia="zh-CN"/>
        </w:rPr>
        <w:t xml:space="preserve"> 16 </w:t>
      </w:r>
      <w:r>
        <w:rPr>
          <w:rFonts w:hint="eastAsia" w:ascii="宋体" w:hAnsi="宋体" w:cs="宋体"/>
          <w:szCs w:val="21"/>
        </w:rPr>
        <w:t>日17时00分</w:t>
      </w:r>
    </w:p>
    <w:p>
      <w:pPr>
        <w:spacing w:beforeLines="50"/>
        <w:rPr>
          <w:rFonts w:ascii="宋体" w:hAnsi="宋体" w:cs="宋体"/>
          <w:szCs w:val="21"/>
        </w:rPr>
      </w:pPr>
      <w:r>
        <w:rPr>
          <w:rFonts w:hint="eastAsia" w:ascii="宋体" w:hAnsi="宋体" w:cs="宋体"/>
          <w:szCs w:val="21"/>
        </w:rPr>
        <w:t>（2）购买竞争性磋商文件地点:铜仁市公共资源交易中心网上报名，报名成功后在网站上购买下载（http://www.trjyzx.cn）</w:t>
      </w:r>
    </w:p>
    <w:p>
      <w:pPr>
        <w:spacing w:beforeLines="50"/>
        <w:rPr>
          <w:rFonts w:ascii="宋体" w:hAnsi="宋体" w:cs="宋体"/>
          <w:szCs w:val="21"/>
        </w:rPr>
      </w:pPr>
      <w:r>
        <w:rPr>
          <w:rFonts w:hint="eastAsia" w:ascii="宋体" w:hAnsi="宋体" w:cs="宋体"/>
          <w:szCs w:val="21"/>
        </w:rPr>
        <w:t>（3）竞争性磋商文件获取方式:铜仁市公共资源交易中心网上报名，报名成功后在网站上购买下载（http://www.trjyzx.cn）</w:t>
      </w:r>
    </w:p>
    <w:p>
      <w:pPr>
        <w:spacing w:beforeLines="50"/>
        <w:rPr>
          <w:rFonts w:ascii="宋体" w:hAnsi="宋体" w:cs="宋体"/>
          <w:szCs w:val="21"/>
        </w:rPr>
      </w:pPr>
      <w:r>
        <w:rPr>
          <w:rFonts w:hint="eastAsia" w:ascii="宋体" w:hAnsi="宋体" w:cs="宋体"/>
          <w:szCs w:val="21"/>
        </w:rPr>
        <w:t>（4）竞争性磋商文件售价:300 元人民币（含电子文档）</w:t>
      </w:r>
    </w:p>
    <w:p>
      <w:pPr>
        <w:spacing w:beforeLines="50"/>
        <w:rPr>
          <w:rFonts w:ascii="宋体" w:hAnsi="宋体" w:cs="宋体"/>
          <w:szCs w:val="21"/>
        </w:rPr>
      </w:pPr>
      <w:r>
        <w:rPr>
          <w:rFonts w:hint="eastAsia" w:ascii="宋体" w:hAnsi="宋体" w:cs="宋体"/>
          <w:szCs w:val="21"/>
        </w:rPr>
        <w:t>10、竞争性磋商文件递交截止时间（北京时间）: 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 xml:space="preserve"> 9 </w:t>
      </w:r>
      <w:r>
        <w:rPr>
          <w:rFonts w:hint="eastAsia" w:ascii="宋体" w:hAnsi="宋体" w:cs="宋体"/>
          <w:szCs w:val="21"/>
        </w:rPr>
        <w:t>月</w:t>
      </w:r>
      <w:r>
        <w:rPr>
          <w:rFonts w:hint="eastAsia" w:ascii="宋体" w:hAnsi="宋体" w:cs="宋体"/>
          <w:szCs w:val="21"/>
          <w:lang w:val="en-US" w:eastAsia="zh-CN"/>
        </w:rPr>
        <w:t xml:space="preserve"> 24 </w:t>
      </w:r>
      <w:r>
        <w:rPr>
          <w:rFonts w:hint="eastAsia" w:ascii="宋体" w:hAnsi="宋体" w:cs="宋体"/>
          <w:szCs w:val="21"/>
        </w:rPr>
        <w:t xml:space="preserve">日  09:30 :00 （逾期递交的竞争性磋商响应文件恕不接受） </w:t>
      </w:r>
    </w:p>
    <w:p>
      <w:pPr>
        <w:spacing w:beforeLines="50"/>
        <w:rPr>
          <w:rFonts w:ascii="宋体" w:hAnsi="宋体" w:cs="宋体"/>
          <w:szCs w:val="21"/>
        </w:rPr>
      </w:pPr>
      <w:r>
        <w:rPr>
          <w:rFonts w:hint="eastAsia" w:ascii="宋体" w:hAnsi="宋体" w:cs="宋体"/>
          <w:szCs w:val="21"/>
        </w:rPr>
        <w:t>11、磋商时间（北京时间）:202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 09:30:00</w:t>
      </w:r>
    </w:p>
    <w:p>
      <w:pPr>
        <w:spacing w:beforeLines="50"/>
        <w:rPr>
          <w:rFonts w:ascii="宋体" w:hAnsi="宋体" w:cs="宋体"/>
          <w:szCs w:val="21"/>
        </w:rPr>
      </w:pPr>
      <w:r>
        <w:rPr>
          <w:rFonts w:hint="eastAsia" w:ascii="宋体" w:hAnsi="宋体" w:cs="宋体"/>
          <w:szCs w:val="21"/>
        </w:rPr>
        <w:t>12、磋商地点:</w:t>
      </w:r>
      <w:r>
        <w:rPr>
          <w:rFonts w:hint="eastAsia" w:ascii="宋体" w:hAnsi="宋体" w:cs="宋体"/>
          <w:szCs w:val="21"/>
          <w:lang w:eastAsia="zh-CN"/>
        </w:rPr>
        <w:t>铜仁市公共资源交易中心思南分中心</w:t>
      </w:r>
      <w:r>
        <w:rPr>
          <w:rFonts w:hint="eastAsia" w:ascii="宋体" w:hAnsi="宋体" w:cs="宋体"/>
          <w:szCs w:val="21"/>
        </w:rPr>
        <w:t xml:space="preserve"> </w:t>
      </w:r>
    </w:p>
    <w:p>
      <w:pPr>
        <w:spacing w:beforeLines="50"/>
        <w:rPr>
          <w:rFonts w:ascii="宋体" w:hAnsi="宋体" w:cs="宋体"/>
          <w:szCs w:val="21"/>
        </w:rPr>
      </w:pPr>
      <w:r>
        <w:rPr>
          <w:rFonts w:hint="eastAsia" w:ascii="宋体" w:hAnsi="宋体" w:cs="宋体"/>
          <w:szCs w:val="21"/>
        </w:rPr>
        <w:t>13、竞争性磋商保证金情况</w:t>
      </w:r>
    </w:p>
    <w:p>
      <w:pPr>
        <w:spacing w:beforeLines="50"/>
        <w:rPr>
          <w:rFonts w:hint="eastAsia" w:ascii="宋体" w:hAnsi="宋体" w:eastAsia="宋体" w:cs="宋体"/>
          <w:szCs w:val="21"/>
          <w:lang w:val="en-US" w:eastAsia="zh-CN"/>
        </w:rPr>
      </w:pPr>
      <w:r>
        <w:rPr>
          <w:rFonts w:hint="eastAsia" w:ascii="宋体" w:hAnsi="宋体" w:cs="宋体"/>
          <w:szCs w:val="21"/>
        </w:rPr>
        <w:t>（1）竞争性磋商保证金额（元）:</w:t>
      </w:r>
      <w:r>
        <w:rPr>
          <w:rFonts w:hint="eastAsia" w:ascii="宋体" w:hAnsi="宋体" w:cs="宋体"/>
          <w:szCs w:val="21"/>
          <w:lang w:val="en-US" w:eastAsia="zh-CN"/>
        </w:rPr>
        <w:t>1万元</w:t>
      </w:r>
    </w:p>
    <w:p>
      <w:pPr>
        <w:spacing w:beforeLines="50"/>
        <w:rPr>
          <w:rFonts w:hint="eastAsia" w:ascii="宋体" w:hAnsi="宋体" w:eastAsia="宋体" w:cs="宋体"/>
          <w:szCs w:val="21"/>
          <w:lang w:eastAsia="zh-CN"/>
        </w:rPr>
      </w:pPr>
      <w:r>
        <w:rPr>
          <w:rFonts w:hint="eastAsia" w:ascii="宋体" w:hAnsi="宋体" w:cs="宋体"/>
          <w:szCs w:val="21"/>
        </w:rPr>
        <w:t>（2）竞争性磋商保证金交纳时间:</w:t>
      </w:r>
      <w:r>
        <w:rPr>
          <w:rFonts w:hint="eastAsia"/>
          <w:color w:val="333333"/>
          <w:shd w:val="clear" w:color="auto" w:fill="FFFFFF"/>
        </w:rPr>
        <w:t>投标截止时间前</w:t>
      </w:r>
      <w:r>
        <w:rPr>
          <w:rFonts w:hint="eastAsia"/>
          <w:color w:val="333333"/>
          <w:shd w:val="clear" w:color="auto" w:fill="FFFFFF"/>
          <w:lang w:eastAsia="zh-CN"/>
        </w:rPr>
        <w:t>。</w:t>
      </w:r>
    </w:p>
    <w:p>
      <w:pPr>
        <w:spacing w:beforeLines="50"/>
        <w:rPr>
          <w:rFonts w:hint="eastAsia" w:ascii="宋体" w:hAnsi="宋体" w:cs="宋体"/>
          <w:szCs w:val="21"/>
        </w:rPr>
      </w:pPr>
      <w:r>
        <w:rPr>
          <w:rFonts w:hint="eastAsia" w:ascii="宋体" w:hAnsi="宋体" w:cs="宋体"/>
          <w:szCs w:val="21"/>
        </w:rPr>
        <w:t>（3）竞争性磋商保证金交纳方式:具体缴退流程见全国公共资源交易平台（贵州省·铜仁市）官方网址（http://jyzx.trs.gov.cn/index.shtml），点击首页--办事指南--保证金缴退，按步骤自行缴纳保证金。</w:t>
      </w:r>
    </w:p>
    <w:p>
      <w:pPr>
        <w:spacing w:beforeLines="50"/>
        <w:rPr>
          <w:rFonts w:ascii="宋体" w:hAnsi="宋体" w:cs="宋体"/>
          <w:szCs w:val="21"/>
        </w:rPr>
      </w:pPr>
      <w:r>
        <w:rPr>
          <w:rFonts w:hint="eastAsia" w:ascii="宋体" w:hAnsi="宋体" w:cs="宋体"/>
          <w:szCs w:val="21"/>
        </w:rPr>
        <w:t>（4）开户银行及帐号</w:t>
      </w:r>
    </w:p>
    <w:p>
      <w:pPr>
        <w:spacing w:beforeLines="50"/>
        <w:rPr>
          <w:rFonts w:hint="eastAsia" w:ascii="宋体" w:hAnsi="宋体" w:cs="宋体"/>
          <w:szCs w:val="21"/>
        </w:rPr>
      </w:pPr>
      <w:r>
        <w:rPr>
          <w:rFonts w:hint="eastAsia" w:ascii="宋体" w:hAnsi="宋体" w:cs="宋体"/>
          <w:szCs w:val="21"/>
        </w:rPr>
        <w:t>收款单位：</w:t>
      </w:r>
      <w:r>
        <w:rPr>
          <w:rFonts w:hint="eastAsia"/>
          <w:color w:val="333333"/>
          <w:shd w:val="clear" w:color="auto" w:fill="FFFFFF"/>
        </w:rPr>
        <w:t>铜仁市公共资源交易中心思南分中心</w:t>
      </w:r>
    </w:p>
    <w:p>
      <w:pPr>
        <w:spacing w:beforeLines="50"/>
        <w:rPr>
          <w:rFonts w:ascii="宋体" w:hAnsi="宋体" w:cs="宋体"/>
          <w:szCs w:val="21"/>
        </w:rPr>
      </w:pPr>
      <w:r>
        <w:rPr>
          <w:rFonts w:hint="eastAsia" w:ascii="宋体" w:hAnsi="宋体" w:cs="宋体"/>
          <w:szCs w:val="21"/>
        </w:rPr>
        <w:t>开 户 行：</w:t>
      </w:r>
      <w:r>
        <w:rPr>
          <w:rFonts w:hint="eastAsia"/>
          <w:color w:val="333333"/>
          <w:shd w:val="clear" w:color="auto" w:fill="FFFFFF"/>
        </w:rPr>
        <w:t>贵州银行股份有限公司思南支行</w:t>
      </w:r>
    </w:p>
    <w:p>
      <w:pPr>
        <w:spacing w:beforeLines="50"/>
        <w:rPr>
          <w:rFonts w:hint="default" w:ascii="宋体" w:hAnsi="宋体" w:cs="宋体"/>
          <w:szCs w:val="21"/>
        </w:rPr>
      </w:pPr>
      <w:r>
        <w:rPr>
          <w:rFonts w:hint="eastAsia" w:ascii="宋体" w:hAnsi="宋体" w:cs="宋体"/>
          <w:szCs w:val="21"/>
        </w:rPr>
        <w:t>帐    号：0611001200000065</w:t>
      </w:r>
    </w:p>
    <w:p>
      <w:pPr>
        <w:spacing w:beforeLines="50"/>
        <w:rPr>
          <w:rFonts w:ascii="宋体" w:hAnsi="宋体" w:cs="宋体"/>
          <w:szCs w:val="21"/>
        </w:rPr>
      </w:pPr>
      <w:r>
        <w:rPr>
          <w:rFonts w:hint="eastAsia" w:ascii="宋体" w:hAnsi="宋体" w:cs="宋体"/>
          <w:szCs w:val="21"/>
        </w:rPr>
        <w:t>保证金热线：0856-7993904</w:t>
      </w:r>
    </w:p>
    <w:p>
      <w:pPr>
        <w:spacing w:beforeLines="50"/>
        <w:rPr>
          <w:rFonts w:ascii="宋体" w:hAnsi="宋体" w:cs="宋体"/>
          <w:szCs w:val="21"/>
        </w:rPr>
      </w:pPr>
      <w:r>
        <w:rPr>
          <w:rFonts w:hint="eastAsia" w:ascii="宋体" w:hAnsi="宋体" w:cs="宋体"/>
          <w:szCs w:val="21"/>
        </w:rPr>
        <w:t>13</w:t>
      </w:r>
      <w:r>
        <w:rPr>
          <w:rFonts w:ascii="宋体" w:hAnsi="宋体" w:cs="宋体"/>
          <w:szCs w:val="21"/>
        </w:rPr>
        <w:t>、PPP项目:否</w:t>
      </w:r>
    </w:p>
    <w:p>
      <w:pPr>
        <w:spacing w:beforeLines="50"/>
        <w:rPr>
          <w:rFonts w:hint="eastAsia" w:ascii="宋体" w:hAnsi="宋体" w:eastAsia="宋体" w:cs="宋体"/>
          <w:szCs w:val="21"/>
          <w:lang w:eastAsia="zh-CN"/>
        </w:rPr>
      </w:pPr>
      <w:r>
        <w:rPr>
          <w:rFonts w:hint="eastAsia" w:ascii="宋体" w:hAnsi="宋体" w:cs="宋体"/>
          <w:szCs w:val="21"/>
        </w:rPr>
        <w:t>14</w:t>
      </w:r>
      <w:r>
        <w:rPr>
          <w:rFonts w:ascii="宋体" w:hAnsi="宋体" w:cs="宋体"/>
          <w:szCs w:val="21"/>
        </w:rPr>
        <w:t>、采购人名称:</w:t>
      </w:r>
      <w:r>
        <w:rPr>
          <w:rFonts w:hint="eastAsia" w:ascii="宋体" w:hAnsi="宋体" w:cs="宋体"/>
          <w:szCs w:val="21"/>
          <w:lang w:eastAsia="zh-CN"/>
        </w:rPr>
        <w:t>思南县鹦鹉溪镇人民政府</w:t>
      </w:r>
    </w:p>
    <w:p>
      <w:pPr>
        <w:spacing w:beforeLines="50"/>
        <w:rPr>
          <w:rFonts w:ascii="宋体" w:hAnsi="宋体" w:cs="宋体"/>
          <w:szCs w:val="21"/>
        </w:rPr>
      </w:pPr>
      <w:r>
        <w:rPr>
          <w:rFonts w:ascii="宋体" w:hAnsi="宋体" w:cs="宋体"/>
          <w:szCs w:val="21"/>
        </w:rPr>
        <w:t>联系地址:</w:t>
      </w:r>
      <w:r>
        <w:rPr>
          <w:rFonts w:hint="eastAsia" w:ascii="宋体" w:hAnsi="宋体" w:cs="宋体"/>
          <w:szCs w:val="21"/>
          <w:lang w:eastAsia="zh-CN"/>
        </w:rPr>
        <w:t>思南县</w:t>
      </w:r>
      <w:r>
        <w:rPr>
          <w:rFonts w:ascii="宋体" w:hAnsi="宋体" w:cs="宋体"/>
          <w:szCs w:val="21"/>
        </w:rPr>
        <w:t> </w:t>
      </w:r>
    </w:p>
    <w:p>
      <w:pPr>
        <w:spacing w:beforeLines="50"/>
        <w:rPr>
          <w:rFonts w:ascii="宋体" w:hAnsi="宋体" w:cs="宋体"/>
          <w:szCs w:val="21"/>
        </w:rPr>
      </w:pPr>
      <w:r>
        <w:rPr>
          <w:rFonts w:hint="eastAsia" w:ascii="宋体" w:hAnsi="宋体" w:cs="宋体"/>
          <w:szCs w:val="21"/>
        </w:rPr>
        <w:t>项目联系人:</w:t>
      </w:r>
      <w:r>
        <w:rPr>
          <w:rFonts w:hint="eastAsia" w:ascii="宋体" w:hAnsi="宋体" w:cs="宋体"/>
          <w:szCs w:val="21"/>
          <w:lang w:eastAsia="zh-CN"/>
        </w:rPr>
        <w:t>王龙</w:t>
      </w:r>
      <w:r>
        <w:rPr>
          <w:rFonts w:hint="eastAsia" w:ascii="宋体" w:hAnsi="宋体" w:cs="宋体"/>
          <w:szCs w:val="21"/>
        </w:rPr>
        <w:t xml:space="preserve"> </w:t>
      </w:r>
    </w:p>
    <w:p>
      <w:pPr>
        <w:spacing w:beforeLines="50"/>
        <w:rPr>
          <w:rFonts w:ascii="宋体" w:hAnsi="宋体" w:cs="宋体"/>
          <w:szCs w:val="21"/>
        </w:rPr>
      </w:pPr>
      <w:r>
        <w:rPr>
          <w:rFonts w:hint="eastAsia" w:ascii="宋体" w:hAnsi="宋体" w:cs="宋体"/>
          <w:szCs w:val="21"/>
        </w:rPr>
        <w:t>联系电话:15186008776</w:t>
      </w:r>
    </w:p>
    <w:p>
      <w:pPr>
        <w:spacing w:beforeLines="50"/>
        <w:rPr>
          <w:rFonts w:ascii="宋体" w:hAnsi="宋体" w:cs="宋体"/>
          <w:szCs w:val="21"/>
        </w:rPr>
      </w:pPr>
      <w:r>
        <w:rPr>
          <w:rFonts w:hint="eastAsia" w:ascii="宋体" w:hAnsi="宋体" w:cs="宋体"/>
          <w:szCs w:val="21"/>
        </w:rPr>
        <w:t>15</w:t>
      </w:r>
      <w:r>
        <w:rPr>
          <w:rFonts w:ascii="宋体" w:hAnsi="宋体" w:cs="宋体"/>
          <w:szCs w:val="21"/>
        </w:rPr>
        <w:t>、采购项目需要落实的政府采购政策:</w:t>
      </w:r>
      <w:r>
        <w:rPr>
          <w:rFonts w:hint="eastAsia" w:ascii="宋体" w:hAnsi="宋体" w:cs="宋体"/>
          <w:szCs w:val="21"/>
        </w:rPr>
        <w:t>已落实</w:t>
      </w:r>
    </w:p>
    <w:p>
      <w:pPr>
        <w:spacing w:beforeLines="50"/>
        <w:rPr>
          <w:rFonts w:hint="eastAsia" w:ascii="宋体" w:hAnsi="宋体" w:eastAsia="宋体" w:cs="宋体"/>
          <w:szCs w:val="21"/>
          <w:lang w:eastAsia="zh-CN"/>
        </w:rPr>
      </w:pPr>
      <w:r>
        <w:rPr>
          <w:rFonts w:hint="eastAsia" w:ascii="宋体" w:hAnsi="宋体" w:cs="宋体"/>
          <w:szCs w:val="21"/>
        </w:rPr>
        <w:t>16</w:t>
      </w:r>
      <w:r>
        <w:rPr>
          <w:rFonts w:ascii="宋体" w:hAnsi="宋体" w:cs="宋体"/>
          <w:szCs w:val="21"/>
        </w:rPr>
        <w:t>、采购代理机构全称:</w:t>
      </w:r>
      <w:r>
        <w:rPr>
          <w:rFonts w:hint="eastAsia" w:cs="宋体"/>
          <w:szCs w:val="21"/>
          <w:lang w:eastAsia="zh-CN"/>
        </w:rPr>
        <w:t>江苏万源工程咨询有限公司</w:t>
      </w:r>
    </w:p>
    <w:p>
      <w:pPr>
        <w:spacing w:beforeLines="50"/>
        <w:rPr>
          <w:rFonts w:hint="eastAsia" w:ascii="宋体" w:hAnsi="宋体" w:eastAsia="宋体"/>
          <w:lang w:eastAsia="zh-CN"/>
        </w:rPr>
      </w:pPr>
      <w:r>
        <w:rPr>
          <w:rFonts w:ascii="宋体" w:hAnsi="宋体" w:cs="宋体"/>
          <w:szCs w:val="21"/>
        </w:rPr>
        <w:t>  联系地址:</w:t>
      </w:r>
      <w:r>
        <w:rPr>
          <w:rFonts w:hint="eastAsia" w:cs="宋体"/>
          <w:szCs w:val="21"/>
          <w:lang w:eastAsia="zh-CN"/>
        </w:rPr>
        <w:t>贵阳市观山湖区长岭北路贵阳国际会议展览中心D区F座12层1号</w:t>
      </w:r>
    </w:p>
    <w:p>
      <w:pPr>
        <w:spacing w:beforeLines="50"/>
        <w:rPr>
          <w:rFonts w:ascii="宋体" w:hAnsi="宋体" w:cs="宋体"/>
          <w:szCs w:val="21"/>
        </w:rPr>
      </w:pPr>
      <w:r>
        <w:rPr>
          <w:rFonts w:ascii="宋体" w:hAnsi="宋体" w:cs="宋体"/>
          <w:szCs w:val="21"/>
        </w:rPr>
        <w:t>  项目联系人:</w:t>
      </w:r>
      <w:r>
        <w:rPr>
          <w:rFonts w:hint="eastAsia" w:cs="宋体"/>
          <w:szCs w:val="21"/>
          <w:lang w:eastAsia="zh-CN"/>
        </w:rPr>
        <w:t>吴贤兵</w:t>
      </w:r>
      <w:r>
        <w:rPr>
          <w:rFonts w:hint="eastAsia" w:cs="宋体"/>
          <w:szCs w:val="21"/>
        </w:rPr>
        <w:t xml:space="preserve"> </w:t>
      </w:r>
      <w:r>
        <w:rPr>
          <w:rFonts w:hint="eastAsia" w:ascii="宋体" w:hAnsi="宋体" w:cs="宋体"/>
          <w:szCs w:val="21"/>
        </w:rPr>
        <w:t xml:space="preserve"> </w:t>
      </w:r>
    </w:p>
    <w:p>
      <w:pPr>
        <w:spacing w:beforeLines="50"/>
        <w:rPr>
          <w:rFonts w:hint="eastAsia" w:ascii="宋体" w:hAnsi="宋体" w:eastAsia="宋体" w:cs="宋体"/>
          <w:szCs w:val="21"/>
          <w:lang w:eastAsia="zh-CN"/>
        </w:rPr>
      </w:pPr>
      <w:r>
        <w:rPr>
          <w:rFonts w:ascii="宋体" w:hAnsi="宋体" w:cs="宋体"/>
          <w:szCs w:val="21"/>
        </w:rPr>
        <w:t>  联系电话:</w:t>
      </w:r>
      <w:r>
        <w:rPr>
          <w:rFonts w:hint="eastAsia" w:cs="宋体"/>
          <w:szCs w:val="21"/>
          <w:lang w:eastAsia="zh-CN"/>
        </w:rPr>
        <w:t>15285425242</w:t>
      </w:r>
    </w:p>
    <w:p>
      <w:pPr>
        <w:spacing w:beforeLines="50"/>
        <w:rPr>
          <w:rFonts w:ascii="宋体" w:hAnsi="宋体" w:cs="宋体"/>
          <w:szCs w:val="21"/>
        </w:rPr>
      </w:pPr>
      <w:r>
        <w:rPr>
          <w:rFonts w:ascii="宋体" w:hAnsi="宋体" w:cs="宋体"/>
          <w:szCs w:val="21"/>
        </w:rPr>
        <w:t> </w:t>
      </w:r>
      <w:r>
        <w:rPr>
          <w:rFonts w:hint="eastAsia" w:ascii="宋体" w:hAnsi="宋体" w:cs="宋体"/>
          <w:szCs w:val="21"/>
        </w:rPr>
        <w:t xml:space="preserve">   </w:t>
      </w:r>
    </w:p>
    <w:p>
      <w:pPr>
        <w:pStyle w:val="3"/>
        <w:rPr>
          <w:b/>
          <w:sz w:val="32"/>
          <w:szCs w:val="32"/>
          <w:lang w:eastAsia="zh-CN"/>
        </w:rPr>
        <w:sectPr>
          <w:footerReference r:id="rId6" w:type="default"/>
          <w:pgSz w:w="11907" w:h="16840"/>
          <w:pgMar w:top="1134" w:right="1361" w:bottom="1134" w:left="1361" w:header="851" w:footer="992" w:gutter="0"/>
          <w:pgNumType w:fmt="decimal"/>
          <w:cols w:space="720" w:num="1"/>
          <w:docGrid w:linePitch="312" w:charSpace="0"/>
        </w:sectPr>
      </w:pPr>
    </w:p>
    <w:p>
      <w:pPr>
        <w:rPr>
          <w:lang w:eastAsia="zh-CN"/>
        </w:rPr>
      </w:pPr>
    </w:p>
    <w:p>
      <w:pPr>
        <w:pStyle w:val="3"/>
        <w:rPr>
          <w:b/>
          <w:sz w:val="32"/>
          <w:szCs w:val="32"/>
          <w:lang w:eastAsia="zh-CN"/>
        </w:rPr>
      </w:pPr>
      <w:r>
        <w:rPr>
          <w:rFonts w:hint="eastAsia"/>
          <w:b/>
          <w:sz w:val="32"/>
          <w:szCs w:val="32"/>
          <w:lang w:eastAsia="zh-CN"/>
        </w:rPr>
        <w:t>第二章 供应商须知</w:t>
      </w:r>
      <w:bookmarkEnd w:id="1"/>
      <w:bookmarkEnd w:id="2"/>
    </w:p>
    <w:p>
      <w:pPr>
        <w:tabs>
          <w:tab w:val="left" w:pos="3060"/>
        </w:tabs>
        <w:spacing w:line="360" w:lineRule="auto"/>
        <w:ind w:firstLine="480"/>
        <w:jc w:val="center"/>
        <w:rPr>
          <w:rFonts w:ascii="宋体" w:hAnsi="宋体"/>
          <w:b/>
          <w:szCs w:val="24"/>
        </w:rPr>
      </w:pPr>
    </w:p>
    <w:p>
      <w:pPr>
        <w:spacing w:afterLines="50"/>
        <w:jc w:val="center"/>
        <w:rPr>
          <w:b/>
          <w:sz w:val="24"/>
          <w:szCs w:val="24"/>
        </w:rPr>
      </w:pPr>
      <w:r>
        <w:rPr>
          <w:rFonts w:hint="eastAsia"/>
          <w:b/>
          <w:sz w:val="24"/>
          <w:szCs w:val="24"/>
        </w:rPr>
        <w:t>供应商须知前附表</w:t>
      </w:r>
    </w:p>
    <w:p>
      <w:pPr>
        <w:tabs>
          <w:tab w:val="left" w:pos="3060"/>
        </w:tabs>
        <w:spacing w:line="320" w:lineRule="exact"/>
        <w:ind w:firstLine="420" w:firstLineChars="200"/>
        <w:rPr>
          <w:rFonts w:ascii="宋体" w:hAnsi="宋体"/>
          <w:szCs w:val="21"/>
        </w:rPr>
      </w:pPr>
      <w:r>
        <w:rPr>
          <w:rFonts w:ascii="宋体" w:hAnsi="宋体"/>
          <w:szCs w:val="21"/>
        </w:rPr>
        <w:t>本表关于</w:t>
      </w:r>
      <w:r>
        <w:rPr>
          <w:rFonts w:hint="eastAsia" w:ascii="宋体" w:hAnsi="宋体"/>
          <w:szCs w:val="21"/>
        </w:rPr>
        <w:t>所</w:t>
      </w:r>
      <w:r>
        <w:rPr>
          <w:rFonts w:ascii="宋体" w:hAnsi="宋体"/>
          <w:szCs w:val="21"/>
        </w:rPr>
        <w:t>要采购货物的具体资料是对</w:t>
      </w:r>
      <w:r>
        <w:rPr>
          <w:rFonts w:hint="eastAsia" w:ascii="宋体" w:hAnsi="宋体"/>
          <w:szCs w:val="21"/>
        </w:rPr>
        <w:t>“供应商</w:t>
      </w:r>
      <w:r>
        <w:rPr>
          <w:rFonts w:ascii="宋体" w:hAnsi="宋体"/>
          <w:szCs w:val="21"/>
        </w:rPr>
        <w:t>须知</w:t>
      </w:r>
      <w:r>
        <w:rPr>
          <w:rFonts w:hint="eastAsia" w:ascii="宋体" w:hAnsi="宋体"/>
          <w:szCs w:val="21"/>
        </w:rPr>
        <w:t>”</w:t>
      </w:r>
      <w:r>
        <w:rPr>
          <w:rFonts w:ascii="宋体" w:hAnsi="宋体"/>
          <w:szCs w:val="21"/>
        </w:rPr>
        <w:t>的补充或修改，两者如有矛盾，应以本</w:t>
      </w:r>
      <w:r>
        <w:rPr>
          <w:rFonts w:hint="eastAsia" w:ascii="宋体" w:hAnsi="宋体"/>
          <w:szCs w:val="21"/>
        </w:rPr>
        <w:t>供应商须知前附</w:t>
      </w:r>
      <w:r>
        <w:rPr>
          <w:rFonts w:ascii="宋体" w:hAnsi="宋体"/>
          <w:szCs w:val="21"/>
        </w:rPr>
        <w:t>表为准。</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207" w:type="dxa"/>
          </w:tcPr>
          <w:p>
            <w:pPr>
              <w:tabs>
                <w:tab w:val="left" w:pos="3060"/>
              </w:tabs>
              <w:spacing w:line="320" w:lineRule="exact"/>
              <w:jc w:val="center"/>
              <w:rPr>
                <w:rFonts w:ascii="宋体" w:hAnsi="宋体"/>
                <w:b/>
                <w:szCs w:val="21"/>
              </w:rPr>
            </w:pPr>
            <w:r>
              <w:rPr>
                <w:rFonts w:hint="eastAsia" w:ascii="宋体" w:hAnsi="宋体"/>
                <w:b/>
                <w:szCs w:val="21"/>
              </w:rPr>
              <w:t>条款号</w:t>
            </w:r>
          </w:p>
        </w:tc>
        <w:tc>
          <w:tcPr>
            <w:tcW w:w="8081" w:type="dxa"/>
          </w:tcPr>
          <w:p>
            <w:pPr>
              <w:tabs>
                <w:tab w:val="left" w:pos="3060"/>
              </w:tabs>
              <w:spacing w:line="320" w:lineRule="exact"/>
              <w:ind w:firstLine="2673" w:firstLineChars="1268"/>
              <w:rPr>
                <w:rFonts w:ascii="宋体" w:hAnsi="宋体"/>
                <w:b/>
                <w:szCs w:val="21"/>
              </w:rPr>
            </w:pPr>
            <w:r>
              <w:rPr>
                <w:rFonts w:ascii="宋体" w:hAnsi="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1.1</w:t>
            </w:r>
          </w:p>
        </w:tc>
        <w:tc>
          <w:tcPr>
            <w:tcW w:w="8081" w:type="dxa"/>
          </w:tcPr>
          <w:p>
            <w:pPr>
              <w:spacing w:beforeLines="50"/>
              <w:rPr>
                <w:rFonts w:hint="eastAsia" w:ascii="宋体" w:hAnsi="宋体" w:eastAsia="宋体" w:cs="宋体"/>
                <w:szCs w:val="21"/>
                <w:lang w:eastAsia="zh-CN"/>
              </w:rPr>
            </w:pPr>
            <w:r>
              <w:rPr>
                <w:rFonts w:ascii="宋体" w:hAnsi="宋体" w:cs="宋体"/>
                <w:szCs w:val="21"/>
              </w:rPr>
              <w:t>采购人名称:</w:t>
            </w:r>
            <w:r>
              <w:rPr>
                <w:rFonts w:hint="eastAsia" w:ascii="宋体" w:hAnsi="宋体" w:cs="宋体"/>
                <w:szCs w:val="21"/>
                <w:lang w:eastAsia="zh-CN"/>
              </w:rPr>
              <w:t>思南县鹦鹉溪镇人民政府</w:t>
            </w:r>
          </w:p>
          <w:p>
            <w:pPr>
              <w:spacing w:beforeLines="50"/>
              <w:rPr>
                <w:rFonts w:hint="eastAsia" w:ascii="宋体" w:hAnsi="宋体" w:eastAsia="宋体" w:cs="宋体"/>
                <w:szCs w:val="21"/>
                <w:lang w:eastAsia="zh-CN"/>
              </w:rPr>
            </w:pPr>
            <w:r>
              <w:rPr>
                <w:rFonts w:ascii="宋体" w:hAnsi="宋体" w:cs="宋体"/>
                <w:szCs w:val="21"/>
              </w:rPr>
              <w:t>联系地址:</w:t>
            </w:r>
            <w:r>
              <w:rPr>
                <w:rFonts w:hint="eastAsia" w:ascii="宋体" w:hAnsi="宋体" w:cs="宋体"/>
                <w:szCs w:val="21"/>
                <w:lang w:eastAsia="zh-CN"/>
              </w:rPr>
              <w:t>思南县</w:t>
            </w:r>
          </w:p>
          <w:p>
            <w:pPr>
              <w:spacing w:beforeLines="50"/>
              <w:rPr>
                <w:rFonts w:ascii="宋体" w:hAnsi="宋体" w:cs="宋体"/>
                <w:szCs w:val="21"/>
              </w:rPr>
            </w:pPr>
            <w:r>
              <w:rPr>
                <w:rFonts w:hint="eastAsia" w:ascii="宋体" w:hAnsi="宋体" w:cs="宋体"/>
                <w:szCs w:val="21"/>
              </w:rPr>
              <w:t>项目联系人:</w:t>
            </w:r>
            <w:r>
              <w:rPr>
                <w:rFonts w:hint="eastAsia" w:ascii="宋体" w:hAnsi="宋体" w:cs="宋体"/>
                <w:szCs w:val="21"/>
                <w:lang w:eastAsia="zh-CN"/>
              </w:rPr>
              <w:t>王龙</w:t>
            </w:r>
            <w:r>
              <w:rPr>
                <w:rFonts w:hint="eastAsia" w:ascii="宋体" w:hAnsi="宋体" w:cs="宋体"/>
                <w:szCs w:val="21"/>
              </w:rPr>
              <w:t xml:space="preserve"> </w:t>
            </w:r>
          </w:p>
          <w:p>
            <w:pPr>
              <w:spacing w:beforeLines="50"/>
              <w:rPr>
                <w:rFonts w:hint="eastAsia" w:ascii="宋体" w:hAnsi="宋体" w:eastAsia="宋体"/>
                <w:lang w:eastAsia="zh-CN"/>
              </w:rPr>
            </w:pPr>
            <w:r>
              <w:rPr>
                <w:rFonts w:hint="eastAsia" w:ascii="宋体" w:hAnsi="宋体" w:cs="宋体"/>
                <w:szCs w:val="21"/>
              </w:rPr>
              <w:t>联系电话:</w:t>
            </w:r>
            <w:r>
              <w:rPr>
                <w:rFonts w:hint="eastAsia" w:ascii="宋体" w:hAnsi="宋体" w:cs="宋体"/>
                <w:color w:val="auto"/>
                <w:szCs w:val="21"/>
                <w:lang w:eastAsia="zh-CN"/>
              </w:rPr>
              <w:t>13037832003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1.2</w:t>
            </w:r>
          </w:p>
        </w:tc>
        <w:tc>
          <w:tcPr>
            <w:tcW w:w="8081" w:type="dxa"/>
          </w:tcPr>
          <w:p>
            <w:pPr>
              <w:spacing w:beforeLines="50"/>
              <w:rPr>
                <w:rFonts w:hint="eastAsia" w:ascii="宋体" w:hAnsi="宋体" w:eastAsia="宋体" w:cs="宋体"/>
                <w:szCs w:val="21"/>
                <w:lang w:eastAsia="zh-CN"/>
              </w:rPr>
            </w:pPr>
            <w:r>
              <w:rPr>
                <w:rFonts w:ascii="宋体" w:hAnsi="宋体" w:cs="宋体"/>
                <w:szCs w:val="21"/>
              </w:rPr>
              <w:t>采购代理机构全称:</w:t>
            </w:r>
            <w:r>
              <w:rPr>
                <w:rFonts w:hint="eastAsia" w:cs="宋体"/>
                <w:szCs w:val="21"/>
                <w:lang w:eastAsia="zh-CN"/>
              </w:rPr>
              <w:t>江苏万源工程咨询有限公司</w:t>
            </w:r>
          </w:p>
          <w:p>
            <w:pPr>
              <w:spacing w:beforeLines="50"/>
              <w:rPr>
                <w:rFonts w:hint="eastAsia" w:ascii="宋体" w:hAnsi="宋体" w:eastAsia="宋体"/>
                <w:lang w:eastAsia="zh-CN"/>
              </w:rPr>
            </w:pPr>
            <w:r>
              <w:rPr>
                <w:rFonts w:ascii="宋体" w:hAnsi="宋体" w:cs="宋体"/>
                <w:szCs w:val="21"/>
              </w:rPr>
              <w:t>联系地址:</w:t>
            </w:r>
            <w:r>
              <w:rPr>
                <w:rFonts w:hint="eastAsia" w:cs="宋体"/>
                <w:szCs w:val="21"/>
                <w:lang w:eastAsia="zh-CN"/>
              </w:rPr>
              <w:t>贵阳市观山湖区长岭北路贵阳国际会议展览中心D区F座12层1号</w:t>
            </w:r>
          </w:p>
          <w:p>
            <w:pPr>
              <w:spacing w:beforeLines="50"/>
              <w:rPr>
                <w:rFonts w:ascii="宋体" w:hAnsi="宋体" w:cs="宋体"/>
                <w:szCs w:val="21"/>
              </w:rPr>
            </w:pPr>
            <w:r>
              <w:rPr>
                <w:rFonts w:ascii="宋体" w:hAnsi="宋体" w:cs="宋体"/>
                <w:szCs w:val="21"/>
              </w:rPr>
              <w:t>项目联系人:</w:t>
            </w:r>
            <w:r>
              <w:rPr>
                <w:rFonts w:hint="eastAsia" w:cs="宋体"/>
                <w:szCs w:val="21"/>
                <w:lang w:eastAsia="zh-CN"/>
              </w:rPr>
              <w:t>吴贤兵</w:t>
            </w:r>
            <w:r>
              <w:rPr>
                <w:rFonts w:hint="eastAsia" w:cs="宋体"/>
                <w:szCs w:val="21"/>
              </w:rPr>
              <w:t xml:space="preserve"> </w:t>
            </w:r>
            <w:r>
              <w:rPr>
                <w:rFonts w:hint="eastAsia" w:ascii="宋体" w:hAnsi="宋体" w:cs="宋体"/>
                <w:szCs w:val="21"/>
              </w:rPr>
              <w:t xml:space="preserve"> </w:t>
            </w:r>
          </w:p>
          <w:p>
            <w:pPr>
              <w:spacing w:beforeLines="50"/>
              <w:rPr>
                <w:rFonts w:ascii="宋体" w:hAnsi="宋体"/>
              </w:rPr>
            </w:pPr>
            <w:r>
              <w:rPr>
                <w:rFonts w:ascii="宋体" w:hAnsi="宋体" w:cs="宋体"/>
                <w:szCs w:val="21"/>
              </w:rPr>
              <w:t>联系电话:</w:t>
            </w:r>
            <w:r>
              <w:rPr>
                <w:rFonts w:hint="eastAsia" w:cs="宋体"/>
                <w:szCs w:val="21"/>
                <w:lang w:eastAsia="zh-CN"/>
              </w:rPr>
              <w:t>15285425242</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1.3</w:t>
            </w:r>
          </w:p>
        </w:tc>
        <w:tc>
          <w:tcPr>
            <w:tcW w:w="8081" w:type="dxa"/>
          </w:tcPr>
          <w:p>
            <w:pPr>
              <w:spacing w:line="340" w:lineRule="exact"/>
              <w:rPr>
                <w:rFonts w:ascii="宋体" w:hAnsi="宋体"/>
              </w:rPr>
            </w:pPr>
            <w:r>
              <w:rPr>
                <w:rFonts w:hint="eastAsia" w:ascii="宋体" w:hAnsi="宋体"/>
              </w:rPr>
              <w:t>资金来源: 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2"/>
            <w:vAlign w:val="center"/>
          </w:tcPr>
          <w:p>
            <w:pPr>
              <w:spacing w:line="340" w:lineRule="exact"/>
              <w:jc w:val="center"/>
              <w:rPr>
                <w:rFonts w:ascii="宋体" w:hAnsi="宋体"/>
              </w:rPr>
            </w:pPr>
            <w:r>
              <w:rPr>
                <w:rFonts w:hint="eastAsia" w:ascii="宋体" w:hAnsi="宋体"/>
                <w:b/>
                <w:szCs w:val="21"/>
              </w:rPr>
              <w:t>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7.1</w:t>
            </w:r>
          </w:p>
        </w:tc>
        <w:tc>
          <w:tcPr>
            <w:tcW w:w="8081" w:type="dxa"/>
          </w:tcPr>
          <w:p>
            <w:pPr>
              <w:spacing w:line="340" w:lineRule="exact"/>
              <w:rPr>
                <w:rFonts w:ascii="宋体" w:hAnsi="宋体"/>
              </w:rPr>
            </w:pPr>
            <w:r>
              <w:rPr>
                <w:rFonts w:hint="eastAsia" w:ascii="宋体" w:hAnsi="宋体"/>
              </w:rPr>
              <w:t>供应商要求澄清竞争性磋商文件(对竞争性磋商文件提出异议)的时间:</w:t>
            </w:r>
            <w:r>
              <w:rPr>
                <w:rFonts w:hint="eastAsia" w:ascii="宋体" w:hAnsi="宋体"/>
                <w:szCs w:val="21"/>
              </w:rPr>
              <w:t>可以在获取《竞争性磋商文件》之日或报名截止之日起 7 个工作日内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b/>
                <w:szCs w:val="21"/>
              </w:rPr>
            </w:pPr>
            <w:r>
              <w:rPr>
                <w:rFonts w:hint="eastAsia" w:ascii="宋体" w:hAnsi="宋体"/>
                <w:b/>
                <w:szCs w:val="21"/>
              </w:rPr>
              <w:t>竞争性磋商响应文件</w:t>
            </w:r>
            <w:r>
              <w:rPr>
                <w:rFonts w:ascii="宋体" w:hAnsi="宋体"/>
                <w:b/>
                <w:szCs w:val="21"/>
              </w:rPr>
              <w:t>的编制</w:t>
            </w:r>
            <w:r>
              <w:rPr>
                <w:rFonts w:hint="eastAsia" w:ascii="宋体" w:hAnsi="宋体"/>
                <w:b/>
                <w:szCs w:val="21"/>
              </w:rPr>
              <w:t>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10.3</w:t>
            </w:r>
          </w:p>
        </w:tc>
        <w:tc>
          <w:tcPr>
            <w:tcW w:w="8081" w:type="dxa"/>
            <w:vAlign w:val="center"/>
          </w:tcPr>
          <w:p>
            <w:pPr>
              <w:tabs>
                <w:tab w:val="left" w:pos="3060"/>
              </w:tabs>
              <w:spacing w:line="320" w:lineRule="exact"/>
              <w:rPr>
                <w:rFonts w:ascii="宋体" w:hAnsi="宋体"/>
                <w:szCs w:val="21"/>
              </w:rPr>
            </w:pPr>
            <w:r>
              <w:rPr>
                <w:rFonts w:hint="eastAsia" w:hAnsi="宋体"/>
                <w:szCs w:val="21"/>
              </w:rPr>
              <w:t>备选方案: 允许</w:t>
            </w:r>
            <w:r>
              <w:rPr>
                <w:rFonts w:hint="eastAsia" w:ascii="宋体" w:hAnsi="宋体"/>
                <w:szCs w:val="21"/>
              </w:rPr>
              <w:t>□</w:t>
            </w:r>
            <w:r>
              <w:rPr>
                <w:rFonts w:hint="eastAsia" w:hAnsi="宋体"/>
                <w:szCs w:val="21"/>
              </w:rPr>
              <w:t xml:space="preserve">      不允许</w:t>
            </w:r>
            <w:r>
              <w:rPr>
                <w:rFonts w:hint="eastAsia" w:ascii="宋体" w:hAnsi="宋体"/>
                <w:szCs w:val="21"/>
                <w:u w:val="single"/>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11.2</w:t>
            </w:r>
          </w:p>
        </w:tc>
        <w:tc>
          <w:tcPr>
            <w:tcW w:w="8081" w:type="dxa"/>
          </w:tcPr>
          <w:p>
            <w:pPr>
              <w:tabs>
                <w:tab w:val="left" w:pos="3060"/>
              </w:tabs>
              <w:spacing w:line="320" w:lineRule="exact"/>
              <w:rPr>
                <w:rFonts w:ascii="宋体" w:hAnsi="宋体"/>
                <w:szCs w:val="21"/>
              </w:rPr>
            </w:pPr>
            <w:r>
              <w:rPr>
                <w:rFonts w:hint="eastAsia" w:ascii="宋体" w:hAnsi="宋体"/>
                <w:szCs w:val="21"/>
              </w:rPr>
              <w:t>投标报价范围与要求:</w:t>
            </w:r>
            <w:r>
              <w:rPr>
                <w:rFonts w:hint="eastAsia" w:ascii="宋体" w:hAnsi="宋体"/>
                <w:bCs/>
                <w:szCs w:val="21"/>
              </w:rPr>
              <w:t>人民币，总价包干。</w:t>
            </w:r>
          </w:p>
          <w:p>
            <w:pPr>
              <w:tabs>
                <w:tab w:val="left" w:pos="3060"/>
              </w:tabs>
              <w:spacing w:line="320" w:lineRule="exact"/>
              <w:rPr>
                <w:rFonts w:ascii="宋体" w:hAnsi="宋体"/>
                <w:szCs w:val="21"/>
              </w:rPr>
            </w:pPr>
            <w:r>
              <w:rPr>
                <w:rFonts w:hint="eastAsia" w:ascii="宋体" w:hAnsi="宋体"/>
                <w:bCs/>
                <w:szCs w:val="21"/>
              </w:rPr>
              <w:t>报价应为包括货物价格、安装以及其他费用在内的价格，即投标报价包括：货物出厂价、运杂费、加工服务、增值服务各种税费等直至货物安装调试完毕达到使用要求所发生的一切费用。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11.5</w:t>
            </w:r>
          </w:p>
        </w:tc>
        <w:tc>
          <w:tcPr>
            <w:tcW w:w="8081" w:type="dxa"/>
            <w:vAlign w:val="center"/>
          </w:tcPr>
          <w:p>
            <w:pPr>
              <w:tabs>
                <w:tab w:val="left" w:pos="3060"/>
              </w:tabs>
              <w:spacing w:line="320" w:lineRule="exact"/>
              <w:rPr>
                <w:rFonts w:hint="default" w:ascii="宋体" w:hAnsi="宋体" w:eastAsia="宋体"/>
                <w:szCs w:val="21"/>
                <w:lang w:val="en-US" w:eastAsia="zh-CN"/>
              </w:rPr>
            </w:pPr>
            <w:r>
              <w:rPr>
                <w:rFonts w:hint="eastAsia" w:ascii="宋体" w:hAnsi="宋体"/>
                <w:szCs w:val="21"/>
              </w:rPr>
              <w:t>最高限价：</w:t>
            </w:r>
            <w:r>
              <w:rPr>
                <w:rFonts w:hint="eastAsia" w:ascii="宋体" w:hAnsi="宋体"/>
                <w:szCs w:val="21"/>
                <w:lang w:val="en-US" w:eastAsia="zh-CN"/>
              </w:rPr>
              <w:t>180万元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13.2 3)</w:t>
            </w:r>
          </w:p>
        </w:tc>
        <w:tc>
          <w:tcPr>
            <w:tcW w:w="8081" w:type="dxa"/>
            <w:vAlign w:val="center"/>
          </w:tcPr>
          <w:p>
            <w:pPr>
              <w:spacing w:line="300" w:lineRule="exact"/>
              <w:jc w:val="left"/>
              <w:rPr>
                <w:rFonts w:ascii="宋体" w:hAnsi="宋体"/>
                <w:szCs w:val="21"/>
              </w:rPr>
            </w:pPr>
            <w:r>
              <w:rPr>
                <w:rFonts w:hint="eastAsia" w:ascii="宋体" w:hAnsi="宋体"/>
                <w:szCs w:val="21"/>
              </w:rPr>
              <w:t>供应商应提供的</w:t>
            </w:r>
            <w:r>
              <w:rPr>
                <w:rFonts w:ascii="宋体" w:hAnsi="宋体"/>
                <w:szCs w:val="21"/>
              </w:rPr>
              <w:t>资格证明文件：</w:t>
            </w:r>
          </w:p>
          <w:p>
            <w:pPr>
              <w:spacing w:beforeLines="50"/>
              <w:rPr>
                <w:rFonts w:ascii="宋体" w:hAnsi="宋体"/>
                <w:szCs w:val="21"/>
              </w:rPr>
            </w:pPr>
            <w:r>
              <w:rPr>
                <w:rFonts w:hint="eastAsia" w:ascii="宋体" w:hAnsi="宋体" w:cs="宋体"/>
                <w:szCs w:val="21"/>
              </w:rPr>
              <w:t>（1）一般资格要求</w:t>
            </w:r>
          </w:p>
          <w:p>
            <w:pPr>
              <w:spacing w:beforeLines="50"/>
              <w:ind w:firstLine="420" w:firstLineChars="200"/>
              <w:rPr>
                <w:rFonts w:ascii="宋体" w:hAnsi="宋体" w:cs="宋体"/>
                <w:szCs w:val="21"/>
              </w:rPr>
            </w:pPr>
            <w:r>
              <w:rPr>
                <w:rFonts w:hint="eastAsia" w:ascii="宋体" w:hAnsi="宋体" w:cs="宋体"/>
                <w:szCs w:val="21"/>
              </w:rPr>
              <w:t>1)具有独立承担民事责任的能力：</w:t>
            </w:r>
            <w:r>
              <w:rPr>
                <w:rFonts w:hint="eastAsia" w:ascii="宋体" w:hAnsi="宋体" w:cs="宋体"/>
                <w:szCs w:val="21"/>
                <w:lang w:eastAsia="zh-CN"/>
              </w:rPr>
              <w:t>具有独立承担民事责任的能力（本项目允许分公司投标，分公司投标的需提供总公司对分公司的专项授权原件及总公司和分公司营业执照复印件加盖公章）</w:t>
            </w:r>
            <w:r>
              <w:rPr>
                <w:rFonts w:hint="eastAsia" w:ascii="宋体" w:hAnsi="宋体" w:cs="宋体"/>
                <w:szCs w:val="21"/>
              </w:rPr>
              <w:t>；</w:t>
            </w:r>
          </w:p>
          <w:p>
            <w:pPr>
              <w:spacing w:beforeLines="50"/>
              <w:ind w:firstLine="420" w:firstLineChars="200"/>
              <w:rPr>
                <w:rFonts w:ascii="宋体" w:hAnsi="宋体" w:cs="宋体"/>
                <w:szCs w:val="21"/>
              </w:rPr>
            </w:pPr>
            <w:r>
              <w:rPr>
                <w:rFonts w:hint="eastAsia" w:ascii="宋体" w:hAnsi="宋体" w:cs="宋体"/>
                <w:szCs w:val="21"/>
              </w:rPr>
              <w:t>2)具有良好的商业信誉和健全的财务会计制度：</w:t>
            </w:r>
            <w:r>
              <w:rPr>
                <w:rFonts w:hint="eastAsia" w:ascii="宋体" w:hAnsi="宋体" w:cs="宋体"/>
                <w:szCs w:val="21"/>
                <w:lang w:eastAsia="zh-CN"/>
              </w:rPr>
              <w:t>具有良好的商业信誉和健全的财务会计制度：提供2019或2020年度经审计的财务状况报告材料或或基本开户银行出具的资信证明（新成立企业可根据自身情况酌情递交相关材料）</w:t>
            </w:r>
            <w:r>
              <w:rPr>
                <w:rFonts w:hint="eastAsia" w:ascii="宋体" w:hAnsi="宋体" w:cs="宋体"/>
                <w:szCs w:val="21"/>
              </w:rPr>
              <w:t>。</w:t>
            </w:r>
          </w:p>
          <w:p>
            <w:pPr>
              <w:spacing w:beforeLines="50"/>
              <w:ind w:firstLine="420" w:firstLineChars="200"/>
              <w:rPr>
                <w:rFonts w:ascii="宋体" w:hAnsi="宋体" w:cs="宋体"/>
                <w:szCs w:val="21"/>
              </w:rPr>
            </w:pPr>
            <w:r>
              <w:rPr>
                <w:rFonts w:hint="eastAsia" w:ascii="宋体" w:hAnsi="宋体" w:cs="宋体"/>
                <w:szCs w:val="21"/>
              </w:rPr>
              <w:t>3)具有履行合同所必需的设备和专业技术能力： 具体要求：提供具备履行合同所必需的设备和专业能力的资料或承诺函。</w:t>
            </w:r>
          </w:p>
          <w:p>
            <w:pPr>
              <w:spacing w:beforeLines="50"/>
              <w:ind w:firstLine="420" w:firstLineChars="200"/>
              <w:rPr>
                <w:rFonts w:ascii="宋体" w:hAnsi="宋体" w:cs="宋体"/>
                <w:szCs w:val="21"/>
              </w:rPr>
            </w:pPr>
            <w:r>
              <w:rPr>
                <w:rFonts w:hint="eastAsia" w:ascii="宋体" w:hAnsi="宋体" w:cs="宋体"/>
                <w:szCs w:val="21"/>
              </w:rPr>
              <w:t xml:space="preserve">4)具有依法缴纳税收和社会保障资金的良好记录：具体要求：提供2020年1月至今任意3个月的依法缴纳税收和社会保障资金或的有效证明材料(不需要缴纳税收或社保资金的供应商须提供相应证明文件)； </w:t>
            </w:r>
          </w:p>
          <w:p>
            <w:pPr>
              <w:spacing w:beforeLines="50"/>
              <w:ind w:firstLine="420" w:firstLineChars="200"/>
              <w:rPr>
                <w:rFonts w:ascii="宋体" w:hAnsi="宋体" w:cs="宋体"/>
                <w:szCs w:val="21"/>
              </w:rPr>
            </w:pPr>
            <w:r>
              <w:rPr>
                <w:rFonts w:hint="eastAsia" w:ascii="宋体" w:hAnsi="宋体" w:cs="宋体"/>
                <w:szCs w:val="21"/>
              </w:rPr>
              <w:t>5)参加政府采购活动前三年内，在经营活动中没有重大违法记录： 提供参加政府采购活动前3年内在经营活动中没有重大违法记录的书面声明；</w:t>
            </w:r>
          </w:p>
          <w:p>
            <w:pPr>
              <w:numPr>
                <w:ilvl w:val="0"/>
                <w:numId w:val="0"/>
              </w:numPr>
              <w:spacing w:line="340" w:lineRule="exact"/>
              <w:ind w:firstLine="420" w:firstLineChars="200"/>
              <w:rPr>
                <w:rFonts w:ascii="宋体" w:hAnsi="宋体" w:cs="宋体"/>
                <w:szCs w:val="21"/>
              </w:rPr>
            </w:pPr>
            <w:r>
              <w:rPr>
                <w:rFonts w:hint="eastAsia" w:ascii="宋体" w:hAnsi="宋体" w:cs="宋体"/>
                <w:szCs w:val="21"/>
              </w:rPr>
              <w:t>6)供应商信用信息：供应商需自行承诺“未在“信用中国”（www.creditchina.gov.cn）、网站上及中国政府采购网上被列入失信被执行人、重大税收违法案件当事人名单、政府采购严重违法失信行为记录名单，</w:t>
            </w:r>
            <w:r>
              <w:rPr>
                <w:rFonts w:hint="eastAsia" w:ascii="宋体" w:hAnsi="宋体" w:cs="宋体"/>
                <w:szCs w:val="21"/>
                <w:lang w:eastAsia="zh-CN"/>
              </w:rPr>
              <w:t>供应商需提供以上查询结果截图，</w:t>
            </w:r>
            <w:r>
              <w:rPr>
                <w:rFonts w:hint="eastAsia" w:ascii="宋体" w:hAnsi="宋体" w:cs="宋体"/>
                <w:szCs w:val="21"/>
              </w:rPr>
              <w:t>如有被列入的情况，将视为无效投标；</w:t>
            </w:r>
          </w:p>
          <w:p>
            <w:pPr>
              <w:spacing w:beforeLines="50"/>
              <w:ind w:firstLine="420" w:firstLineChars="200"/>
              <w:rPr>
                <w:rFonts w:ascii="宋体" w:hAnsi="宋体" w:cs="宋体"/>
                <w:szCs w:val="21"/>
              </w:rPr>
            </w:pPr>
            <w:r>
              <w:rPr>
                <w:rFonts w:hint="eastAsia" w:ascii="宋体" w:hAnsi="宋体" w:cs="宋体"/>
                <w:szCs w:val="21"/>
              </w:rPr>
              <w:t>7)不接受联合体</w:t>
            </w:r>
          </w:p>
          <w:p>
            <w:pPr>
              <w:spacing w:beforeLines="50"/>
              <w:ind w:firstLine="420" w:firstLineChars="200"/>
              <w:rPr>
                <w:rFonts w:ascii="宋体" w:hAnsi="宋体" w:cs="宋体"/>
                <w:szCs w:val="21"/>
              </w:rPr>
            </w:pPr>
            <w:r>
              <w:rPr>
                <w:rFonts w:hint="eastAsia" w:ascii="宋体" w:hAnsi="宋体" w:cs="宋体"/>
                <w:szCs w:val="21"/>
              </w:rPr>
              <w:t>8）投标法律、行政法规规定的其他条件:竞争性磋商保证金已缴纳证明</w:t>
            </w:r>
          </w:p>
          <w:p>
            <w:pPr>
              <w:spacing w:beforeLines="50"/>
              <w:rPr>
                <w:rFonts w:ascii="宋体" w:hAnsi="宋体"/>
                <w:szCs w:val="21"/>
              </w:rPr>
            </w:pPr>
            <w:r>
              <w:rPr>
                <w:rFonts w:hint="eastAsia" w:ascii="宋体" w:hAnsi="宋体" w:cs="宋体"/>
                <w:szCs w:val="21"/>
              </w:rPr>
              <w:t>（2）</w:t>
            </w:r>
            <w:r>
              <w:rPr>
                <w:rFonts w:ascii="宋体" w:hAnsi="宋体" w:cs="宋体"/>
                <w:szCs w:val="21"/>
              </w:rPr>
              <w:t>特殊资格要求</w:t>
            </w: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15.1</w:t>
            </w:r>
          </w:p>
        </w:tc>
        <w:tc>
          <w:tcPr>
            <w:tcW w:w="8081" w:type="dxa"/>
            <w:vAlign w:val="center"/>
          </w:tcPr>
          <w:p>
            <w:pPr>
              <w:spacing w:line="320" w:lineRule="exact"/>
              <w:rPr>
                <w:rFonts w:hint="default" w:ascii="宋体" w:hAnsi="宋体" w:eastAsia="宋体" w:cs="仿宋"/>
                <w:szCs w:val="21"/>
                <w:lang w:val="en-US" w:eastAsia="zh-CN"/>
              </w:rPr>
            </w:pPr>
            <w:r>
              <w:rPr>
                <w:rFonts w:hint="eastAsia" w:ascii="宋体" w:hAnsi="宋体"/>
                <w:szCs w:val="21"/>
              </w:rPr>
              <w:t>竞争性磋商</w:t>
            </w:r>
            <w:r>
              <w:rPr>
                <w:rFonts w:ascii="宋体" w:hAnsi="宋体"/>
                <w:szCs w:val="21"/>
              </w:rPr>
              <w:t>保证金的金额</w:t>
            </w:r>
            <w:r>
              <w:rPr>
                <w:rFonts w:hint="eastAsia" w:ascii="宋体" w:hAnsi="宋体"/>
                <w:szCs w:val="21"/>
              </w:rPr>
              <w:t>人民币</w:t>
            </w:r>
            <w:r>
              <w:rPr>
                <w:rFonts w:ascii="宋体" w:hAnsi="宋体"/>
                <w:szCs w:val="21"/>
              </w:rPr>
              <w:t>：</w:t>
            </w:r>
            <w:r>
              <w:rPr>
                <w:rFonts w:hint="eastAsia" w:ascii="宋体" w:hAnsi="宋体"/>
                <w:szCs w:val="21"/>
                <w:lang w:val="en-US" w:eastAsia="zh-CN"/>
              </w:rPr>
              <w:t>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15.3</w:t>
            </w:r>
          </w:p>
        </w:tc>
        <w:tc>
          <w:tcPr>
            <w:tcW w:w="8081" w:type="dxa"/>
          </w:tcPr>
          <w:p>
            <w:pPr>
              <w:rPr>
                <w:rFonts w:ascii="宋体" w:hAnsi="宋体"/>
                <w:sz w:val="22"/>
                <w:szCs w:val="22"/>
              </w:rPr>
            </w:pPr>
            <w:r>
              <w:rPr>
                <w:rFonts w:hint="eastAsia" w:ascii="宋体" w:hAnsi="宋体"/>
                <w:sz w:val="22"/>
                <w:szCs w:val="22"/>
              </w:rPr>
              <w:t>竞争性磋商</w:t>
            </w:r>
            <w:r>
              <w:rPr>
                <w:rFonts w:hint="eastAsia" w:ascii="宋体" w:hAnsi="宋体" w:cs="仿宋"/>
                <w:b/>
                <w:bCs/>
                <w:sz w:val="22"/>
                <w:szCs w:val="22"/>
              </w:rPr>
              <w:t>保证金缴纳的方式及要求：</w:t>
            </w:r>
          </w:p>
          <w:p>
            <w:pPr>
              <w:spacing w:line="320" w:lineRule="exact"/>
              <w:rPr>
                <w:rFonts w:ascii="宋体" w:hAnsi="宋体"/>
                <w:sz w:val="22"/>
                <w:szCs w:val="22"/>
              </w:rPr>
            </w:pPr>
            <w:r>
              <w:rPr>
                <w:rFonts w:hint="eastAsia" w:ascii="宋体" w:hAnsi="宋体"/>
                <w:sz w:val="22"/>
                <w:szCs w:val="22"/>
              </w:rPr>
              <w:t>竞争性磋商</w:t>
            </w:r>
            <w:r>
              <w:rPr>
                <w:rFonts w:ascii="宋体" w:hAnsi="宋体"/>
                <w:sz w:val="22"/>
                <w:szCs w:val="22"/>
              </w:rPr>
              <w:t>保证金</w:t>
            </w:r>
            <w:r>
              <w:rPr>
                <w:rFonts w:hint="eastAsia" w:ascii="宋体" w:hAnsi="宋体" w:cs="仿宋"/>
                <w:sz w:val="22"/>
                <w:szCs w:val="22"/>
              </w:rPr>
              <w:t>到帐截止时间：同投标截止时间。</w:t>
            </w:r>
          </w:p>
          <w:p>
            <w:pPr>
              <w:rPr>
                <w:rFonts w:ascii="宋体" w:hAnsi="宋体" w:cs="仿宋"/>
                <w:b/>
                <w:bCs/>
                <w:sz w:val="22"/>
                <w:szCs w:val="22"/>
              </w:rPr>
            </w:pPr>
            <w:r>
              <w:rPr>
                <w:rFonts w:hint="eastAsia" w:ascii="宋体" w:hAnsi="宋体" w:cs="仿宋"/>
                <w:b/>
                <w:bCs/>
                <w:sz w:val="22"/>
                <w:szCs w:val="22"/>
              </w:rPr>
              <w:t>竞争性磋商保证金缴纳要求：</w:t>
            </w:r>
          </w:p>
          <w:p>
            <w:pPr>
              <w:rPr>
                <w:rFonts w:ascii="宋体" w:hAnsi="宋体" w:cs="宋体"/>
                <w:kern w:val="0"/>
                <w:sz w:val="22"/>
                <w:szCs w:val="22"/>
              </w:rPr>
            </w:pPr>
            <w:r>
              <w:rPr>
                <w:rFonts w:hint="eastAsia" w:ascii="宋体" w:hAnsi="宋体" w:cs="宋体"/>
                <w:kern w:val="0"/>
                <w:sz w:val="22"/>
                <w:szCs w:val="22"/>
              </w:rPr>
              <w:t>1.投标保证金的交纳</w:t>
            </w:r>
          </w:p>
          <w:p>
            <w:pPr>
              <w:ind w:left="420" w:leftChars="200"/>
              <w:rPr>
                <w:rFonts w:ascii="宋体" w:hAnsi="宋体" w:cs="宋体"/>
                <w:kern w:val="0"/>
                <w:sz w:val="22"/>
                <w:szCs w:val="22"/>
              </w:rPr>
            </w:pPr>
            <w:r>
              <w:rPr>
                <w:rFonts w:hint="eastAsia" w:ascii="宋体" w:hAnsi="宋体" w:cs="宋体"/>
                <w:kern w:val="0"/>
                <w:sz w:val="22"/>
                <w:szCs w:val="22"/>
              </w:rPr>
              <w:t>投标保证金的形式：投标保证金应是电汇或其他符合相关 规定的有效方式。投标保证金以现金方式提交的，须从投标人基本账户转出。</w:t>
            </w:r>
          </w:p>
          <w:p>
            <w:pPr>
              <w:ind w:firstLine="440" w:firstLineChars="200"/>
              <w:rPr>
                <w:rFonts w:hint="eastAsia" w:ascii="宋体" w:hAnsi="宋体" w:eastAsia="宋体" w:cs="宋体"/>
                <w:kern w:val="0"/>
                <w:sz w:val="22"/>
                <w:szCs w:val="22"/>
                <w:lang w:val="en-US" w:eastAsia="zh-CN"/>
              </w:rPr>
            </w:pPr>
            <w:r>
              <w:rPr>
                <w:rFonts w:hint="eastAsia" w:ascii="宋体" w:hAnsi="宋体" w:cs="宋体"/>
                <w:kern w:val="0"/>
                <w:sz w:val="22"/>
                <w:szCs w:val="22"/>
              </w:rPr>
              <w:t>投标保证金的金额：</w:t>
            </w:r>
            <w:r>
              <w:rPr>
                <w:rFonts w:hint="eastAsia" w:ascii="宋体" w:hAnsi="宋体" w:cs="宋体"/>
                <w:kern w:val="0"/>
                <w:sz w:val="22"/>
                <w:szCs w:val="22"/>
                <w:lang w:val="en-US" w:eastAsia="zh-CN"/>
              </w:rPr>
              <w:t>1万元</w:t>
            </w:r>
          </w:p>
          <w:p>
            <w:pPr>
              <w:ind w:firstLine="440" w:firstLineChars="200"/>
              <w:rPr>
                <w:rFonts w:ascii="宋体" w:hAnsi="宋体" w:cs="宋体"/>
                <w:kern w:val="0"/>
                <w:sz w:val="22"/>
                <w:szCs w:val="22"/>
              </w:rPr>
            </w:pPr>
            <w:r>
              <w:rPr>
                <w:rFonts w:hint="eastAsia" w:ascii="宋体" w:hAnsi="宋体" w:cs="宋体"/>
                <w:kern w:val="0"/>
                <w:sz w:val="22"/>
                <w:szCs w:val="22"/>
              </w:rPr>
              <w:t>递交截止时间：同投标截止时间。</w:t>
            </w:r>
          </w:p>
          <w:p>
            <w:pPr>
              <w:pStyle w:val="45"/>
              <w:keepNext w:val="0"/>
              <w:keepLines w:val="0"/>
              <w:widowControl/>
              <w:suppressLineNumbers w:val="0"/>
              <w:spacing w:before="0" w:beforeAutospacing="0" w:after="0" w:afterAutospacing="0" w:line="240" w:lineRule="auto"/>
              <w:ind w:right="0" w:firstLine="440" w:firstLineChars="20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收款单位：</w:t>
            </w:r>
            <w:r>
              <w:rPr>
                <w:rFonts w:hint="eastAsia" w:cs="宋体"/>
                <w:kern w:val="0"/>
                <w:sz w:val="22"/>
                <w:szCs w:val="22"/>
                <w:lang w:val="en-US" w:eastAsia="zh-CN" w:bidi="ar-SA"/>
              </w:rPr>
              <w:t>思南县</w:t>
            </w:r>
            <w:r>
              <w:rPr>
                <w:rFonts w:hint="eastAsia" w:ascii="宋体" w:hAnsi="宋体" w:eastAsia="宋体" w:cs="宋体"/>
                <w:kern w:val="0"/>
                <w:sz w:val="22"/>
                <w:szCs w:val="22"/>
                <w:lang w:val="en-US" w:eastAsia="zh-CN" w:bidi="ar-SA"/>
              </w:rPr>
              <w:t>产权交易中心线上保证金专户</w:t>
            </w:r>
          </w:p>
          <w:p>
            <w:pPr>
              <w:pStyle w:val="45"/>
              <w:keepNext w:val="0"/>
              <w:keepLines w:val="0"/>
              <w:widowControl/>
              <w:suppressLineNumbers w:val="0"/>
              <w:spacing w:before="0" w:beforeAutospacing="0" w:after="0" w:afterAutospacing="0" w:line="240" w:lineRule="auto"/>
              <w:ind w:right="0" w:firstLine="440" w:firstLineChars="200"/>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开 户 行：贵州银行股份有限公司石阡支行</w:t>
            </w:r>
          </w:p>
          <w:p>
            <w:pPr>
              <w:pStyle w:val="45"/>
              <w:keepNext w:val="0"/>
              <w:keepLines w:val="0"/>
              <w:widowControl/>
              <w:suppressLineNumbers w:val="0"/>
              <w:spacing w:before="0" w:beforeAutospacing="0" w:after="0" w:afterAutospacing="0" w:line="240" w:lineRule="auto"/>
              <w:ind w:right="0" w:firstLine="440" w:firstLineChars="200"/>
              <w:jc w:val="both"/>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帐 </w:t>
            </w:r>
            <w:r>
              <w:rPr>
                <w:rFonts w:hint="eastAsia" w:cs="宋体"/>
                <w:kern w:val="0"/>
                <w:sz w:val="22"/>
                <w:szCs w:val="22"/>
                <w:lang w:val="en-US" w:eastAsia="zh-CN" w:bidi="ar-SA"/>
              </w:rPr>
              <w:t xml:space="preserve"> </w:t>
            </w:r>
            <w:r>
              <w:rPr>
                <w:rFonts w:hint="eastAsia" w:ascii="宋体" w:hAnsi="宋体" w:eastAsia="宋体" w:cs="宋体"/>
                <w:kern w:val="0"/>
                <w:sz w:val="22"/>
                <w:szCs w:val="22"/>
                <w:lang w:val="en-US" w:eastAsia="zh-CN" w:bidi="ar-SA"/>
              </w:rPr>
              <w:t xml:space="preserve"> 号：0615001700000457</w:t>
            </w:r>
          </w:p>
          <w:p>
            <w:pPr>
              <w:ind w:firstLine="440" w:firstLineChars="200"/>
              <w:rPr>
                <w:rFonts w:ascii="宋体" w:hAnsi="宋体" w:cs="宋体"/>
                <w:kern w:val="0"/>
                <w:sz w:val="22"/>
                <w:szCs w:val="22"/>
              </w:rPr>
            </w:pPr>
            <w:r>
              <w:rPr>
                <w:rFonts w:hint="eastAsia" w:ascii="宋体" w:hAnsi="宋体" w:cs="宋体"/>
                <w:kern w:val="0"/>
                <w:sz w:val="22"/>
                <w:szCs w:val="22"/>
              </w:rPr>
              <w:t>联系电话：投标保证金的交纳流程：该项目为系统递交保证金方式,保证金到帐情况以交易中心电子招投标系统导出为准，保证金未缴纳到指定帐户、未从基本户转出或到帐截止时间后到帐的作无效标处理。</w:t>
            </w:r>
          </w:p>
          <w:p>
            <w:pPr>
              <w:ind w:firstLine="440" w:firstLineChars="200"/>
              <w:rPr>
                <w:rFonts w:ascii="宋体" w:hAnsi="宋体" w:cs="宋体"/>
                <w:kern w:val="0"/>
                <w:sz w:val="22"/>
                <w:szCs w:val="22"/>
              </w:rPr>
            </w:pPr>
            <w:r>
              <w:rPr>
                <w:rFonts w:hint="eastAsia" w:ascii="宋体" w:hAnsi="宋体" w:cs="宋体"/>
                <w:kern w:val="0"/>
                <w:sz w:val="22"/>
                <w:szCs w:val="22"/>
              </w:rPr>
              <w:t>注：凡需入场进行交易的招投标主体需保证打款账户信息与系统中备案的基本账户信息一致，因信息填写错误而导致不能参与投标业务的责任负责。</w:t>
            </w:r>
          </w:p>
          <w:p>
            <w:pPr>
              <w:rPr>
                <w:rFonts w:ascii="宋体" w:hAnsi="宋体" w:cs="宋体"/>
                <w:kern w:val="0"/>
                <w:sz w:val="22"/>
                <w:szCs w:val="22"/>
              </w:rPr>
            </w:pPr>
            <w:r>
              <w:rPr>
                <w:rFonts w:hint="eastAsia" w:ascii="宋体" w:hAnsi="宋体" w:cs="宋体"/>
                <w:kern w:val="0"/>
                <w:sz w:val="22"/>
                <w:szCs w:val="22"/>
              </w:rPr>
              <w:t>2、投标保证金的退还</w:t>
            </w:r>
          </w:p>
          <w:p>
            <w:pPr>
              <w:ind w:firstLine="440" w:firstLineChars="200"/>
              <w:rPr>
                <w:rFonts w:ascii="宋体" w:hAnsi="宋体" w:cs="宋体"/>
                <w:kern w:val="0"/>
                <w:sz w:val="22"/>
                <w:szCs w:val="22"/>
              </w:rPr>
            </w:pPr>
            <w:r>
              <w:rPr>
                <w:rFonts w:hint="eastAsia" w:ascii="宋体" w:hAnsi="宋体" w:cs="宋体"/>
                <w:kern w:val="0"/>
                <w:sz w:val="22"/>
                <w:szCs w:val="22"/>
              </w:rPr>
              <w:t>缴退保证金，具体缴退流程见铜仁市公共资源交易中心网站或电话咨询。</w:t>
            </w:r>
          </w:p>
          <w:p>
            <w:pPr>
              <w:ind w:firstLine="440" w:firstLineChars="200"/>
              <w:rPr>
                <w:rFonts w:ascii="宋体" w:hAnsi="宋体" w:cs="宋体"/>
                <w:kern w:val="0"/>
                <w:sz w:val="22"/>
                <w:szCs w:val="22"/>
              </w:rPr>
            </w:pPr>
            <w:r>
              <w:rPr>
                <w:rFonts w:hint="eastAsia" w:ascii="宋体" w:hAnsi="宋体" w:cs="宋体"/>
                <w:kern w:val="0"/>
                <w:sz w:val="22"/>
                <w:szCs w:val="22"/>
              </w:rPr>
              <w:t>公示期结束后,招标人应在10日内书面通知公共资源交易中心退还未中标人的投标保证金 (如有异议或投诉情形的除外)。</w:t>
            </w:r>
          </w:p>
          <w:p>
            <w:pPr>
              <w:ind w:firstLine="440" w:firstLineChars="200"/>
              <w:rPr>
                <w:rFonts w:ascii="宋体" w:hAnsi="宋体" w:cs="宋体"/>
                <w:kern w:val="0"/>
                <w:szCs w:val="21"/>
              </w:rPr>
            </w:pPr>
            <w:r>
              <w:rPr>
                <w:rFonts w:hint="eastAsia" w:ascii="宋体" w:hAnsi="宋体" w:cs="宋体"/>
                <w:kern w:val="0"/>
                <w:sz w:val="22"/>
                <w:szCs w:val="22"/>
              </w:rPr>
              <w:t>招标人应当在法定时间内和中标人签订</w:t>
            </w:r>
            <w:r>
              <w:rPr>
                <w:rFonts w:hint="eastAsia" w:ascii="宋体" w:hAnsi="宋体" w:cs="宋体"/>
                <w:kern w:val="0"/>
                <w:sz w:val="22"/>
                <w:szCs w:val="22"/>
                <w:lang w:eastAsia="zh-CN"/>
              </w:rPr>
              <w:t>采购</w:t>
            </w:r>
            <w:r>
              <w:rPr>
                <w:rFonts w:hint="eastAsia" w:ascii="宋体" w:hAnsi="宋体" w:cs="宋体"/>
                <w:kern w:val="0"/>
                <w:sz w:val="22"/>
                <w:szCs w:val="22"/>
              </w:rPr>
              <w:t>合同，并书面通知公共资源交易中心，公共资源交易中心应于 5 日内向中标人退还投标保证金。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15.6</w:t>
            </w:r>
          </w:p>
        </w:tc>
        <w:tc>
          <w:tcPr>
            <w:tcW w:w="8081" w:type="dxa"/>
          </w:tcPr>
          <w:p>
            <w:pPr>
              <w:rPr>
                <w:rFonts w:ascii="宋体" w:hAnsi="宋体" w:cs="仿宋"/>
                <w:b/>
                <w:bCs/>
                <w:szCs w:val="21"/>
              </w:rPr>
            </w:pPr>
            <w:r>
              <w:rPr>
                <w:rFonts w:hint="eastAsia" w:ascii="宋体" w:hAnsi="宋体" w:cs="仿宋"/>
                <w:b/>
                <w:bCs/>
                <w:szCs w:val="21"/>
              </w:rPr>
              <w:t>竞争性磋商保证金的退还:</w:t>
            </w:r>
          </w:p>
          <w:p>
            <w:pPr>
              <w:ind w:firstLine="420" w:firstLineChars="200"/>
              <w:rPr>
                <w:rFonts w:ascii="宋体" w:hAnsi="宋体" w:cs="仿宋"/>
                <w:b/>
                <w:bCs/>
                <w:szCs w:val="21"/>
              </w:rPr>
            </w:pPr>
            <w:r>
              <w:rPr>
                <w:rFonts w:hint="eastAsia"/>
              </w:rPr>
              <w:t>根据财政部87号令和74号令的规定，未中标（未成交）供应商的保证金应当在中标通知书（成交通知书）发出后5个工作日内退还，中标供应商（成交供应商）的保证金应当在采购合同签订后5个工作日内退还。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tcPr>
          <w:p>
            <w:pPr>
              <w:tabs>
                <w:tab w:val="left" w:pos="3060"/>
              </w:tabs>
              <w:spacing w:line="320" w:lineRule="exact"/>
              <w:jc w:val="center"/>
              <w:rPr>
                <w:rFonts w:ascii="宋体" w:hAnsi="宋体"/>
                <w:szCs w:val="21"/>
              </w:rPr>
            </w:pPr>
            <w:r>
              <w:rPr>
                <w:rFonts w:hint="eastAsia" w:ascii="宋体" w:hAnsi="宋体"/>
                <w:szCs w:val="21"/>
              </w:rPr>
              <w:t>16.1</w:t>
            </w:r>
          </w:p>
        </w:tc>
        <w:tc>
          <w:tcPr>
            <w:tcW w:w="8081" w:type="dxa"/>
          </w:tcPr>
          <w:p>
            <w:pPr>
              <w:tabs>
                <w:tab w:val="left" w:pos="3060"/>
              </w:tabs>
              <w:spacing w:line="320" w:lineRule="exact"/>
              <w:rPr>
                <w:rFonts w:ascii="宋体" w:hAnsi="宋体"/>
                <w:szCs w:val="21"/>
              </w:rPr>
            </w:pPr>
            <w:r>
              <w:rPr>
                <w:rFonts w:ascii="宋体" w:hAnsi="宋体"/>
                <w:szCs w:val="21"/>
              </w:rPr>
              <w:t>投标有效期：开标之日起</w:t>
            </w:r>
            <w:r>
              <w:rPr>
                <w:rFonts w:hint="eastAsia" w:ascii="宋体" w:hAnsi="宋体"/>
                <w:szCs w:val="21"/>
              </w:rPr>
              <w:t>90</w:t>
            </w:r>
            <w:r>
              <w:rPr>
                <w:rFonts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17.1</w:t>
            </w:r>
          </w:p>
        </w:tc>
        <w:tc>
          <w:tcPr>
            <w:tcW w:w="8081" w:type="dxa"/>
          </w:tcPr>
          <w:p>
            <w:pPr>
              <w:tabs>
                <w:tab w:val="left" w:pos="3060"/>
              </w:tabs>
              <w:spacing w:line="320" w:lineRule="exact"/>
              <w:rPr>
                <w:rFonts w:ascii="宋体" w:hAnsi="宋体"/>
                <w:szCs w:val="21"/>
              </w:rPr>
            </w:pPr>
            <w:r>
              <w:rPr>
                <w:rFonts w:hint="eastAsia" w:ascii="宋体" w:hAnsi="宋体"/>
                <w:szCs w:val="21"/>
              </w:rPr>
              <w:t>竞争性磋商响应文件的份数:</w:t>
            </w:r>
          </w:p>
          <w:p>
            <w:pPr>
              <w:tabs>
                <w:tab w:val="left" w:pos="3060"/>
              </w:tabs>
              <w:spacing w:line="320" w:lineRule="exact"/>
              <w:rPr>
                <w:rFonts w:ascii="宋体" w:hAnsi="宋体"/>
                <w:szCs w:val="21"/>
              </w:rPr>
            </w:pPr>
            <w:r>
              <w:rPr>
                <w:rFonts w:hint="eastAsia" w:ascii="宋体" w:hAnsi="宋体"/>
                <w:szCs w:val="21"/>
              </w:rPr>
              <w:t>竞争性磋商响应文件</w:t>
            </w:r>
            <w:r>
              <w:rPr>
                <w:rFonts w:ascii="宋体" w:hAnsi="宋体"/>
                <w:szCs w:val="21"/>
              </w:rPr>
              <w:t>正本一份</w:t>
            </w:r>
            <w:r>
              <w:rPr>
                <w:rFonts w:hint="eastAsia" w:ascii="宋体" w:hAnsi="宋体"/>
                <w:szCs w:val="21"/>
              </w:rPr>
              <w:t>，</w:t>
            </w:r>
            <w:r>
              <w:rPr>
                <w:rFonts w:ascii="宋体" w:hAnsi="宋体"/>
                <w:szCs w:val="21"/>
              </w:rPr>
              <w:t>副本</w:t>
            </w:r>
            <w:r>
              <w:rPr>
                <w:rFonts w:hint="eastAsia" w:ascii="宋体" w:hAnsi="宋体"/>
                <w:szCs w:val="21"/>
              </w:rPr>
              <w:t>三</w:t>
            </w:r>
            <w:r>
              <w:rPr>
                <w:rFonts w:ascii="宋体" w:hAnsi="宋体"/>
                <w:szCs w:val="21"/>
              </w:rPr>
              <w:t>份</w:t>
            </w:r>
            <w:r>
              <w:rPr>
                <w:rFonts w:hint="eastAsia" w:ascii="宋体" w:hAnsi="宋体"/>
                <w:szCs w:val="21"/>
              </w:rPr>
              <w:t>, 电子文档(U盘一个)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17.3</w:t>
            </w:r>
          </w:p>
        </w:tc>
        <w:tc>
          <w:tcPr>
            <w:tcW w:w="8081" w:type="dxa"/>
          </w:tcPr>
          <w:p>
            <w:pPr>
              <w:tabs>
                <w:tab w:val="left" w:pos="3060"/>
              </w:tabs>
              <w:spacing w:line="320" w:lineRule="exact"/>
              <w:rPr>
                <w:rFonts w:ascii="宋体" w:hAnsi="宋体"/>
                <w:szCs w:val="21"/>
              </w:rPr>
            </w:pPr>
            <w:r>
              <w:rPr>
                <w:rFonts w:hint="eastAsia" w:ascii="宋体" w:hAnsi="宋体"/>
                <w:szCs w:val="21"/>
              </w:rPr>
              <w:t xml:space="preserve">竞争性磋商响应文件的签署: </w:t>
            </w:r>
            <w:r>
              <w:rPr>
                <w:rFonts w:hint="eastAsia" w:ascii="宋体" w:hAnsi="宋体"/>
                <w:b/>
                <w:szCs w:val="21"/>
              </w:rPr>
              <w:t>竞争性磋商文件明确要求盖章的地方，供应商必须加盖公章；竞争性磋商文件明确要求签字的地方必须由供应商法定代表人或其授权代表签字。竞争性磋商响应文件的副本可采用正本的复印件。</w:t>
            </w:r>
            <w:r>
              <w:rPr>
                <w:rFonts w:hint="eastAsia" w:ascii="宋体" w:hAnsi="宋体"/>
                <w:szCs w:val="21"/>
              </w:rPr>
              <w:t>供应商所加盖的公章，不得用“合同专用章”、“财务专用章”、“公司部门章”或“分支机构章”、“授权（投标）专用章”等代替。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18.2</w:t>
            </w:r>
          </w:p>
        </w:tc>
        <w:tc>
          <w:tcPr>
            <w:tcW w:w="8081" w:type="dxa"/>
          </w:tcPr>
          <w:p>
            <w:pPr>
              <w:spacing w:line="320" w:lineRule="exact"/>
              <w:rPr>
                <w:rFonts w:ascii="宋体" w:hAnsi="宋体"/>
                <w:szCs w:val="21"/>
              </w:rPr>
            </w:pPr>
            <w:r>
              <w:rPr>
                <w:rFonts w:hint="eastAsia" w:hAnsi="宋体"/>
                <w:szCs w:val="21"/>
              </w:rPr>
              <w:t>包封套和信封标记：</w:t>
            </w:r>
          </w:p>
          <w:p>
            <w:pPr>
              <w:tabs>
                <w:tab w:val="left" w:pos="3060"/>
              </w:tabs>
              <w:spacing w:line="320" w:lineRule="exact"/>
              <w:rPr>
                <w:rFonts w:hint="eastAsia" w:ascii="宋体" w:hAnsi="宋体"/>
                <w:szCs w:val="21"/>
              </w:rPr>
            </w:pPr>
            <w:r>
              <w:rPr>
                <w:rFonts w:hint="eastAsia" w:ascii="宋体" w:hAnsi="宋体"/>
                <w:szCs w:val="21"/>
              </w:rPr>
              <w:t xml:space="preserve">采购项目名称: </w:t>
            </w:r>
            <w:r>
              <w:rPr>
                <w:rFonts w:hint="eastAsia" w:ascii="宋体" w:hAnsi="宋体"/>
                <w:szCs w:val="21"/>
                <w:u w:val="single"/>
              </w:rPr>
              <w:t xml:space="preserve">              </w:t>
            </w:r>
            <w:r>
              <w:rPr>
                <w:rFonts w:hint="eastAsia" w:ascii="宋体" w:hAnsi="宋体"/>
                <w:szCs w:val="21"/>
              </w:rPr>
              <w:t xml:space="preserve">                           </w:t>
            </w:r>
          </w:p>
          <w:p>
            <w:pPr>
              <w:tabs>
                <w:tab w:val="left" w:pos="3060"/>
              </w:tabs>
              <w:spacing w:line="320" w:lineRule="exact"/>
              <w:rPr>
                <w:rFonts w:hint="eastAsia" w:ascii="宋体" w:hAnsi="宋体"/>
                <w:szCs w:val="21"/>
              </w:rPr>
            </w:pPr>
            <w:r>
              <w:rPr>
                <w:rFonts w:hint="eastAsia" w:ascii="宋体" w:hAnsi="宋体"/>
                <w:szCs w:val="21"/>
              </w:rPr>
              <w:t xml:space="preserve">采购项目编号: </w:t>
            </w:r>
            <w:r>
              <w:rPr>
                <w:rFonts w:hint="eastAsia" w:ascii="宋体" w:hAnsi="宋体"/>
                <w:szCs w:val="21"/>
                <w:u w:val="single"/>
              </w:rPr>
              <w:t xml:space="preserve">              </w:t>
            </w:r>
            <w:r>
              <w:rPr>
                <w:rFonts w:hint="eastAsia" w:ascii="宋体" w:hAnsi="宋体"/>
                <w:szCs w:val="21"/>
              </w:rPr>
              <w:t xml:space="preserve">                           </w:t>
            </w:r>
          </w:p>
          <w:p>
            <w:pPr>
              <w:tabs>
                <w:tab w:val="left" w:pos="3060"/>
              </w:tabs>
              <w:spacing w:line="320" w:lineRule="exact"/>
              <w:rPr>
                <w:rFonts w:hint="eastAsia" w:ascii="宋体" w:hAnsi="宋体"/>
                <w:szCs w:val="21"/>
              </w:rPr>
            </w:pPr>
            <w:r>
              <w:rPr>
                <w:rFonts w:hint="eastAsia" w:ascii="宋体" w:hAnsi="宋体"/>
                <w:szCs w:val="21"/>
              </w:rPr>
              <w:t>投标单位名称:</w:t>
            </w:r>
            <w:r>
              <w:rPr>
                <w:rFonts w:hint="eastAsia" w:ascii="宋体" w:hAnsi="宋体"/>
                <w:szCs w:val="21"/>
                <w:u w:val="single"/>
              </w:rPr>
              <w:t xml:space="preserve">               </w:t>
            </w:r>
            <w:r>
              <w:rPr>
                <w:rFonts w:hint="eastAsia" w:ascii="宋体" w:hAnsi="宋体"/>
                <w:szCs w:val="21"/>
              </w:rPr>
              <w:t xml:space="preserve">                            </w:t>
            </w:r>
          </w:p>
          <w:p>
            <w:pPr>
              <w:tabs>
                <w:tab w:val="left" w:pos="3060"/>
              </w:tabs>
              <w:spacing w:line="320" w:lineRule="exact"/>
              <w:rPr>
                <w:rFonts w:hint="eastAsia" w:ascii="宋体" w:hAnsi="宋体"/>
                <w:szCs w:val="21"/>
              </w:rPr>
            </w:pPr>
            <w:r>
              <w:rPr>
                <w:rFonts w:hint="eastAsia" w:ascii="宋体" w:hAnsi="宋体"/>
                <w:szCs w:val="21"/>
              </w:rPr>
              <w:t xml:space="preserve">地        址: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 xml:space="preserve">      </w:t>
            </w:r>
          </w:p>
          <w:p>
            <w:pPr>
              <w:tabs>
                <w:tab w:val="left" w:pos="3060"/>
              </w:tabs>
              <w:spacing w:line="320" w:lineRule="exact"/>
              <w:rPr>
                <w:rFonts w:hint="eastAsia" w:ascii="宋体" w:hAnsi="宋体"/>
                <w:szCs w:val="21"/>
              </w:rPr>
            </w:pPr>
            <w:r>
              <w:rPr>
                <w:rFonts w:hint="eastAsia" w:ascii="宋体" w:hAnsi="宋体"/>
                <w:szCs w:val="21"/>
              </w:rPr>
              <w:t xml:space="preserve">联   系   人: </w:t>
            </w:r>
            <w:r>
              <w:rPr>
                <w:rFonts w:hint="eastAsia" w:ascii="宋体" w:hAnsi="宋体"/>
                <w:szCs w:val="21"/>
                <w:u w:val="single"/>
              </w:rPr>
              <w:t xml:space="preserve">               </w:t>
            </w:r>
            <w:r>
              <w:rPr>
                <w:rFonts w:hint="eastAsia" w:ascii="宋体" w:hAnsi="宋体"/>
                <w:szCs w:val="21"/>
              </w:rPr>
              <w:t xml:space="preserve">                          </w:t>
            </w:r>
          </w:p>
          <w:p>
            <w:pPr>
              <w:tabs>
                <w:tab w:val="left" w:pos="3060"/>
              </w:tabs>
              <w:spacing w:line="320" w:lineRule="exact"/>
              <w:rPr>
                <w:rFonts w:hint="eastAsia" w:ascii="宋体" w:hAnsi="宋体"/>
                <w:szCs w:val="21"/>
              </w:rPr>
            </w:pPr>
            <w:r>
              <w:rPr>
                <w:rFonts w:hint="eastAsia" w:ascii="宋体" w:hAnsi="宋体"/>
                <w:szCs w:val="21"/>
              </w:rPr>
              <w:t>联  系 电 话:</w:t>
            </w:r>
            <w:r>
              <w:rPr>
                <w:rFonts w:hint="eastAsia" w:ascii="宋体" w:hAnsi="宋体"/>
                <w:szCs w:val="21"/>
                <w:u w:val="single"/>
              </w:rPr>
              <w:t xml:space="preserve">                </w:t>
            </w:r>
            <w:r>
              <w:rPr>
                <w:rFonts w:hint="eastAsia" w:ascii="宋体" w:hAnsi="宋体"/>
                <w:szCs w:val="21"/>
              </w:rPr>
              <w:t xml:space="preserve">                    </w:t>
            </w:r>
          </w:p>
          <w:p>
            <w:pPr>
              <w:tabs>
                <w:tab w:val="left" w:pos="3060"/>
              </w:tabs>
              <w:spacing w:line="320" w:lineRule="exact"/>
              <w:rPr>
                <w:rFonts w:ascii="宋体" w:hAnsi="宋体"/>
                <w:szCs w:val="21"/>
                <w:u w:val="single"/>
              </w:rPr>
            </w:pPr>
            <w:r>
              <w:rPr>
                <w:rFonts w:hint="eastAsia" w:ascii="宋体" w:hAnsi="宋体"/>
                <w:szCs w:val="21"/>
              </w:rPr>
              <w:t>于</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时（投标截止时间前）不得启封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19.1</w:t>
            </w:r>
          </w:p>
        </w:tc>
        <w:tc>
          <w:tcPr>
            <w:tcW w:w="8081" w:type="dxa"/>
          </w:tcPr>
          <w:p>
            <w:pPr>
              <w:spacing w:line="320" w:lineRule="exact"/>
              <w:rPr>
                <w:rFonts w:ascii="宋体" w:hAnsi="宋体"/>
                <w:szCs w:val="21"/>
              </w:rPr>
            </w:pPr>
            <w:r>
              <w:rPr>
                <w:rFonts w:hint="eastAsia" w:ascii="宋体" w:hAnsi="宋体"/>
                <w:szCs w:val="21"/>
              </w:rPr>
              <w:t xml:space="preserve">竞争性磋商响应文件递交地址: </w:t>
            </w:r>
            <w:r>
              <w:rPr>
                <w:rFonts w:hint="eastAsia" w:ascii="宋体" w:hAnsi="宋体"/>
                <w:szCs w:val="21"/>
                <w:lang w:eastAsia="zh-CN"/>
              </w:rPr>
              <w:t>铜仁市公共资源交易中心思南分中心</w:t>
            </w:r>
            <w:r>
              <w:rPr>
                <w:rFonts w:ascii="宋体" w:hAnsi="宋体" w:cs="Arial"/>
                <w:kern w:val="0"/>
                <w:szCs w:val="21"/>
              </w:rPr>
              <w:t>（具体开标室于当日在</w:t>
            </w:r>
            <w:r>
              <w:rPr>
                <w:rFonts w:hint="eastAsia" w:ascii="宋体" w:hAnsi="宋体" w:cs="Arial"/>
                <w:kern w:val="0"/>
                <w:szCs w:val="21"/>
                <w:lang w:eastAsia="zh-CN"/>
              </w:rPr>
              <w:t>铜仁市公共资源交易中心思南分中心</w:t>
            </w:r>
            <w:r>
              <w:rPr>
                <w:rFonts w:ascii="宋体" w:hAnsi="宋体" w:cs="Arial"/>
                <w:kern w:val="0"/>
                <w:szCs w:val="21"/>
              </w:rPr>
              <w:t>开标区获取）</w:t>
            </w:r>
            <w:r>
              <w:rPr>
                <w:rFonts w:hint="eastAsia" w:ascii="宋体" w:hAnsi="宋体" w:cs="Arial"/>
                <w:kern w:val="0"/>
                <w:szCs w:val="21"/>
              </w:rPr>
              <w:t>。</w:t>
            </w:r>
          </w:p>
          <w:p>
            <w:pPr>
              <w:tabs>
                <w:tab w:val="left" w:pos="3060"/>
              </w:tabs>
              <w:spacing w:line="320" w:lineRule="exact"/>
              <w:rPr>
                <w:rFonts w:ascii="宋体" w:hAnsi="宋体"/>
                <w:szCs w:val="21"/>
              </w:rPr>
            </w:pPr>
            <w:r>
              <w:rPr>
                <w:rFonts w:hint="eastAsia" w:ascii="宋体" w:hAnsi="宋体"/>
                <w:szCs w:val="21"/>
              </w:rPr>
              <w:t>文件递交</w:t>
            </w:r>
            <w:r>
              <w:rPr>
                <w:rFonts w:ascii="宋体" w:hAnsi="宋体"/>
                <w:szCs w:val="21"/>
              </w:rPr>
              <w:t>截止</w:t>
            </w:r>
            <w:r>
              <w:rPr>
                <w:rFonts w:hint="eastAsia" w:ascii="宋体" w:hAnsi="宋体"/>
                <w:szCs w:val="21"/>
              </w:rPr>
              <w:t>时间</w:t>
            </w:r>
            <w:r>
              <w:rPr>
                <w:rFonts w:ascii="宋体" w:hAnsi="宋体"/>
                <w:szCs w:val="21"/>
              </w:rPr>
              <w:t>：</w:t>
            </w:r>
            <w:r>
              <w:rPr>
                <w:rFonts w:ascii="宋体" w:hAnsi="宋体" w:cs="Arial"/>
                <w:kern w:val="0"/>
                <w:szCs w:val="21"/>
                <w:u w:val="single"/>
              </w:rPr>
              <w:t>20</w:t>
            </w:r>
            <w:r>
              <w:rPr>
                <w:rFonts w:hint="eastAsia" w:ascii="宋体" w:hAnsi="宋体" w:cs="Arial"/>
                <w:kern w:val="0"/>
                <w:szCs w:val="21"/>
                <w:u w:val="single"/>
              </w:rPr>
              <w:t>2</w:t>
            </w:r>
            <w:r>
              <w:rPr>
                <w:rFonts w:hint="eastAsia" w:ascii="宋体" w:hAnsi="宋体" w:cs="Arial"/>
                <w:kern w:val="0"/>
                <w:szCs w:val="21"/>
                <w:u w:val="single"/>
                <w:lang w:val="en-US" w:eastAsia="zh-CN"/>
              </w:rPr>
              <w:t>1</w:t>
            </w:r>
            <w:r>
              <w:rPr>
                <w:rFonts w:ascii="宋体" w:hAnsi="宋体" w:cs="Arial"/>
                <w:kern w:val="0"/>
                <w:szCs w:val="21"/>
                <w:u w:val="single"/>
              </w:rPr>
              <w:t>年</w:t>
            </w:r>
            <w:r>
              <w:rPr>
                <w:rFonts w:hint="eastAsia" w:ascii="宋体" w:hAnsi="宋体" w:cs="Arial"/>
                <w:kern w:val="0"/>
                <w:szCs w:val="21"/>
                <w:u w:val="single"/>
                <w:lang w:val="en-US" w:eastAsia="zh-CN"/>
              </w:rPr>
              <w:t xml:space="preserve"> 9 </w:t>
            </w:r>
            <w:r>
              <w:rPr>
                <w:rFonts w:ascii="宋体" w:hAnsi="宋体" w:cs="Arial"/>
                <w:kern w:val="0"/>
                <w:szCs w:val="21"/>
                <w:u w:val="single"/>
              </w:rPr>
              <w:t>月</w:t>
            </w:r>
            <w:r>
              <w:rPr>
                <w:rFonts w:hint="eastAsia" w:ascii="宋体" w:hAnsi="宋体" w:cs="Arial"/>
                <w:kern w:val="0"/>
                <w:szCs w:val="21"/>
                <w:u w:val="single"/>
                <w:lang w:val="en-US" w:eastAsia="zh-CN"/>
              </w:rPr>
              <w:t xml:space="preserve"> 24 </w:t>
            </w:r>
            <w:r>
              <w:rPr>
                <w:rFonts w:ascii="宋体" w:hAnsi="宋体" w:cs="Arial"/>
                <w:kern w:val="0"/>
                <w:szCs w:val="21"/>
                <w:u w:val="single"/>
              </w:rPr>
              <w:t>日</w:t>
            </w:r>
            <w:r>
              <w:rPr>
                <w:rFonts w:hint="eastAsia" w:ascii="宋体" w:hAnsi="宋体" w:cs="Arial"/>
                <w:kern w:val="0"/>
                <w:szCs w:val="21"/>
                <w:u w:val="single"/>
              </w:rPr>
              <w:t>09</w:t>
            </w:r>
            <w:r>
              <w:rPr>
                <w:rFonts w:ascii="宋体" w:hAnsi="宋体" w:cs="Arial"/>
                <w:kern w:val="0"/>
                <w:szCs w:val="21"/>
                <w:u w:val="single"/>
              </w:rPr>
              <w:t>时</w:t>
            </w:r>
            <w:r>
              <w:rPr>
                <w:rFonts w:hint="eastAsia" w:ascii="宋体" w:hAnsi="宋体" w:cs="Arial"/>
                <w:kern w:val="0"/>
                <w:szCs w:val="21"/>
                <w:u w:val="single"/>
              </w:rPr>
              <w:t xml:space="preserve">30 </w:t>
            </w:r>
            <w:r>
              <w:rPr>
                <w:rFonts w:ascii="宋体" w:hAnsi="宋体" w:cs="Arial"/>
                <w:kern w:val="0"/>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szCs w:val="21"/>
              </w:rPr>
            </w:pPr>
            <w:r>
              <w:rPr>
                <w:rFonts w:ascii="宋体" w:hAnsi="宋体"/>
                <w:b/>
                <w:szCs w:val="21"/>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22.1</w:t>
            </w:r>
          </w:p>
        </w:tc>
        <w:tc>
          <w:tcPr>
            <w:tcW w:w="8081" w:type="dxa"/>
          </w:tcPr>
          <w:p>
            <w:pPr>
              <w:tabs>
                <w:tab w:val="left" w:pos="3060"/>
              </w:tabs>
              <w:spacing w:line="260" w:lineRule="exact"/>
              <w:rPr>
                <w:rFonts w:ascii="宋体" w:hAnsi="宋体" w:cs="Arial"/>
                <w:kern w:val="0"/>
                <w:szCs w:val="21"/>
                <w:u w:val="single"/>
              </w:rPr>
            </w:pPr>
            <w:r>
              <w:rPr>
                <w:rFonts w:hint="eastAsia" w:ascii="宋体" w:hAnsi="宋体"/>
                <w:szCs w:val="21"/>
              </w:rPr>
              <w:t>磋商时间</w:t>
            </w:r>
            <w:r>
              <w:rPr>
                <w:rFonts w:ascii="宋体" w:hAnsi="宋体"/>
                <w:szCs w:val="21"/>
              </w:rPr>
              <w:t>：</w:t>
            </w:r>
            <w:r>
              <w:rPr>
                <w:rFonts w:ascii="宋体" w:hAnsi="宋体" w:cs="Arial"/>
                <w:kern w:val="0"/>
                <w:szCs w:val="21"/>
                <w:u w:val="single"/>
              </w:rPr>
              <w:t>20</w:t>
            </w:r>
            <w:r>
              <w:rPr>
                <w:rFonts w:hint="eastAsia" w:ascii="宋体" w:hAnsi="宋体" w:cs="Arial"/>
                <w:kern w:val="0"/>
                <w:szCs w:val="21"/>
                <w:u w:val="single"/>
              </w:rPr>
              <w:t>20</w:t>
            </w:r>
            <w:r>
              <w:rPr>
                <w:rFonts w:ascii="宋体" w:hAnsi="宋体" w:cs="Arial"/>
                <w:kern w:val="0"/>
                <w:szCs w:val="21"/>
                <w:u w:val="single"/>
              </w:rPr>
              <w:t>年</w:t>
            </w:r>
            <w:r>
              <w:rPr>
                <w:rFonts w:hint="eastAsia" w:ascii="宋体" w:hAnsi="宋体" w:cs="Arial"/>
                <w:kern w:val="0"/>
                <w:szCs w:val="21"/>
                <w:u w:val="single"/>
                <w:lang w:val="en-US" w:eastAsia="zh-CN"/>
              </w:rPr>
              <w:t xml:space="preserve"> 9 </w:t>
            </w:r>
            <w:r>
              <w:rPr>
                <w:rFonts w:ascii="宋体" w:hAnsi="宋体" w:cs="Arial"/>
                <w:kern w:val="0"/>
                <w:szCs w:val="21"/>
                <w:u w:val="single"/>
              </w:rPr>
              <w:t>月</w:t>
            </w:r>
            <w:r>
              <w:rPr>
                <w:rFonts w:hint="eastAsia" w:ascii="宋体" w:hAnsi="宋体" w:cs="Arial"/>
                <w:kern w:val="0"/>
                <w:szCs w:val="21"/>
                <w:u w:val="single"/>
                <w:lang w:val="en-US" w:eastAsia="zh-CN"/>
              </w:rPr>
              <w:t xml:space="preserve"> 24</w:t>
            </w:r>
            <w:bookmarkStart w:id="15" w:name="_GoBack"/>
            <w:bookmarkEnd w:id="15"/>
            <w:r>
              <w:rPr>
                <w:rFonts w:hint="eastAsia" w:ascii="宋体" w:hAnsi="宋体" w:cs="Arial"/>
                <w:kern w:val="0"/>
                <w:szCs w:val="21"/>
                <w:u w:val="single"/>
                <w:lang w:val="en-US" w:eastAsia="zh-CN"/>
              </w:rPr>
              <w:t xml:space="preserve"> </w:t>
            </w:r>
            <w:r>
              <w:rPr>
                <w:rFonts w:ascii="宋体" w:hAnsi="宋体" w:cs="Arial"/>
                <w:kern w:val="0"/>
                <w:szCs w:val="21"/>
                <w:u w:val="single"/>
              </w:rPr>
              <w:t>日</w:t>
            </w:r>
            <w:r>
              <w:rPr>
                <w:rFonts w:hint="eastAsia" w:ascii="宋体" w:hAnsi="宋体" w:cs="Arial"/>
                <w:kern w:val="0"/>
                <w:szCs w:val="21"/>
                <w:u w:val="single"/>
              </w:rPr>
              <w:t>09</w:t>
            </w:r>
            <w:r>
              <w:rPr>
                <w:rFonts w:ascii="宋体" w:hAnsi="宋体" w:cs="Arial"/>
                <w:kern w:val="0"/>
                <w:szCs w:val="21"/>
                <w:u w:val="single"/>
              </w:rPr>
              <w:t>时</w:t>
            </w:r>
            <w:r>
              <w:rPr>
                <w:rFonts w:hint="eastAsia" w:ascii="宋体" w:hAnsi="宋体" w:cs="Arial"/>
                <w:kern w:val="0"/>
                <w:szCs w:val="21"/>
                <w:u w:val="single"/>
              </w:rPr>
              <w:t>30</w:t>
            </w:r>
            <w:r>
              <w:rPr>
                <w:rFonts w:ascii="宋体" w:hAnsi="宋体" w:cs="Arial"/>
                <w:kern w:val="0"/>
                <w:szCs w:val="21"/>
                <w:u w:val="single"/>
              </w:rPr>
              <w:t>分</w:t>
            </w:r>
          </w:p>
          <w:p>
            <w:pPr>
              <w:tabs>
                <w:tab w:val="left" w:pos="3060"/>
              </w:tabs>
              <w:spacing w:line="260" w:lineRule="exact"/>
              <w:rPr>
                <w:rFonts w:hint="eastAsia" w:ascii="宋体" w:hAnsi="宋体" w:eastAsia="宋体"/>
                <w:szCs w:val="21"/>
                <w:lang w:eastAsia="zh-CN"/>
              </w:rPr>
            </w:pPr>
            <w:r>
              <w:rPr>
                <w:rFonts w:hint="eastAsia" w:ascii="宋体" w:hAnsi="宋体"/>
                <w:szCs w:val="21"/>
              </w:rPr>
              <w:t>磋商</w:t>
            </w:r>
            <w:r>
              <w:rPr>
                <w:rFonts w:ascii="宋体" w:hAnsi="宋体"/>
                <w:szCs w:val="21"/>
              </w:rPr>
              <w:t>地点：</w:t>
            </w:r>
            <w:r>
              <w:rPr>
                <w:rFonts w:hint="eastAsia" w:ascii="宋体" w:hAnsi="宋体"/>
                <w:szCs w:val="21"/>
                <w:lang w:eastAsia="zh-CN"/>
              </w:rPr>
              <w:t>铜仁市公共资源交易中心思南分中心</w:t>
            </w:r>
          </w:p>
          <w:p>
            <w:pPr>
              <w:tabs>
                <w:tab w:val="left" w:pos="3060"/>
              </w:tabs>
              <w:spacing w:line="260" w:lineRule="exact"/>
              <w:rPr>
                <w:rFonts w:ascii="宋体" w:hAnsi="宋体"/>
                <w:szCs w:val="21"/>
              </w:rPr>
            </w:pPr>
            <w:r>
              <w:rPr>
                <w:rFonts w:hint="eastAsia" w:ascii="宋体" w:hAnsi="宋体"/>
                <w:szCs w:val="21"/>
              </w:rPr>
              <w:t>地    址：（具体开标室于当日在</w:t>
            </w:r>
            <w:r>
              <w:rPr>
                <w:rFonts w:hint="eastAsia" w:ascii="宋体" w:hAnsi="宋体"/>
                <w:szCs w:val="21"/>
                <w:lang w:eastAsia="zh-CN"/>
              </w:rPr>
              <w:t>铜仁市公共资源交易中心思南分中心</w:t>
            </w:r>
            <w:r>
              <w:rPr>
                <w:rFonts w:hint="eastAsia" w:ascii="宋体" w:hAnsi="宋体"/>
                <w:szCs w:val="21"/>
              </w:rPr>
              <w:t>开标区获取）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22.2</w:t>
            </w:r>
          </w:p>
        </w:tc>
        <w:tc>
          <w:tcPr>
            <w:tcW w:w="8081" w:type="dxa"/>
          </w:tcPr>
          <w:p>
            <w:pPr>
              <w:spacing w:line="300" w:lineRule="exact"/>
              <w:jc w:val="left"/>
              <w:rPr>
                <w:rFonts w:ascii="宋体" w:hAnsi="宋体"/>
                <w:b/>
                <w:bCs/>
                <w:szCs w:val="21"/>
              </w:rPr>
            </w:pPr>
            <w:r>
              <w:rPr>
                <w:rFonts w:hint="eastAsia" w:ascii="宋体" w:hAnsi="宋体"/>
                <w:b/>
                <w:bCs/>
                <w:szCs w:val="21"/>
              </w:rPr>
              <w:t>磋商时，有关监督部门将查验供应商的以下资质材料原件：</w:t>
            </w:r>
          </w:p>
          <w:p>
            <w:pPr>
              <w:spacing w:line="300" w:lineRule="exact"/>
              <w:jc w:val="left"/>
              <w:rPr>
                <w:rFonts w:ascii="宋体" w:hAnsi="宋体" w:cs="宋体"/>
                <w:szCs w:val="21"/>
              </w:rPr>
            </w:pPr>
            <w:r>
              <w:rPr>
                <w:rFonts w:hint="eastAsia" w:ascii="宋体" w:hAnsi="宋体"/>
                <w:szCs w:val="21"/>
              </w:rPr>
              <w:t>1</w:t>
            </w:r>
            <w:r>
              <w:rPr>
                <w:rFonts w:hint="eastAsia" w:ascii="宋体" w:hAnsi="宋体" w:cs="宋体"/>
                <w:szCs w:val="21"/>
              </w:rPr>
              <w:t>﹑法定代表人身份证明及其身份证（原件）或法定代表人授权委托书及被授权人身份证（原件）；</w:t>
            </w:r>
          </w:p>
          <w:p>
            <w:pPr>
              <w:spacing w:line="300" w:lineRule="exact"/>
              <w:jc w:val="left"/>
              <w:rPr>
                <w:rFonts w:ascii="宋体" w:hAnsi="宋体" w:cs="宋体"/>
                <w:szCs w:val="21"/>
              </w:rPr>
            </w:pPr>
            <w:r>
              <w:rPr>
                <w:rFonts w:hint="eastAsia" w:ascii="宋体" w:hAnsi="宋体" w:cs="宋体"/>
                <w:szCs w:val="21"/>
              </w:rPr>
              <w:t>2﹑营业执照副本（复印件加盖单位公章）；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23.2</w:t>
            </w:r>
          </w:p>
        </w:tc>
        <w:tc>
          <w:tcPr>
            <w:tcW w:w="8081" w:type="dxa"/>
          </w:tcPr>
          <w:p>
            <w:pPr>
              <w:spacing w:line="300" w:lineRule="exact"/>
              <w:jc w:val="left"/>
              <w:rPr>
                <w:rFonts w:ascii="宋体" w:hAnsi="宋体"/>
                <w:bCs/>
                <w:szCs w:val="21"/>
              </w:rPr>
            </w:pPr>
            <w:r>
              <w:rPr>
                <w:rFonts w:hint="eastAsia" w:ascii="宋体" w:hAnsi="宋体"/>
                <w:bCs/>
                <w:szCs w:val="21"/>
              </w:rPr>
              <w:t>磋商小组的组建:</w:t>
            </w:r>
          </w:p>
          <w:p>
            <w:pPr>
              <w:spacing w:line="300" w:lineRule="exact"/>
              <w:jc w:val="left"/>
              <w:rPr>
                <w:rFonts w:ascii="宋体" w:hAnsi="宋体"/>
                <w:szCs w:val="21"/>
              </w:rPr>
            </w:pPr>
            <w:r>
              <w:rPr>
                <w:rFonts w:hint="eastAsia"/>
                <w:szCs w:val="21"/>
              </w:rPr>
              <w:t xml:space="preserve">构成 </w:t>
            </w:r>
            <w:r>
              <w:rPr>
                <w:rFonts w:hint="eastAsia"/>
                <w:szCs w:val="21"/>
                <w:u w:val="single"/>
              </w:rPr>
              <w:t xml:space="preserve"> </w:t>
            </w:r>
            <w:r>
              <w:rPr>
                <w:rFonts w:hint="eastAsia"/>
                <w:szCs w:val="21"/>
                <w:u w:val="single"/>
                <w:lang w:val="en-US" w:eastAsia="zh-CN"/>
              </w:rPr>
              <w:t>3</w:t>
            </w:r>
            <w:r>
              <w:rPr>
                <w:rFonts w:hint="eastAsia"/>
                <w:szCs w:val="21"/>
              </w:rPr>
              <w:t xml:space="preserve">人, </w:t>
            </w:r>
            <w:r>
              <w:rPr>
                <w:rFonts w:hint="eastAsia"/>
                <w:color w:val="000000" w:themeColor="text1"/>
                <w:szCs w:val="21"/>
              </w:rPr>
              <w:t>其中采购人代表</w:t>
            </w:r>
            <w:r>
              <w:rPr>
                <w:rFonts w:hint="eastAsia"/>
                <w:color w:val="000000" w:themeColor="text1"/>
                <w:szCs w:val="21"/>
                <w:u w:val="single"/>
              </w:rPr>
              <w:t>1</w:t>
            </w:r>
            <w:r>
              <w:rPr>
                <w:rFonts w:hint="eastAsia"/>
                <w:color w:val="000000" w:themeColor="text1"/>
                <w:szCs w:val="21"/>
              </w:rPr>
              <w:t>人,</w:t>
            </w:r>
            <w:r>
              <w:rPr>
                <w:rFonts w:hint="eastAsia" w:ascii="宋体" w:hAnsi="宋体"/>
                <w:color w:val="000000" w:themeColor="text1"/>
                <w:szCs w:val="21"/>
              </w:rPr>
              <w:t>有</w:t>
            </w:r>
            <w:r>
              <w:rPr>
                <w:rFonts w:hint="eastAsia" w:ascii="宋体" w:hAnsi="宋体"/>
                <w:szCs w:val="21"/>
              </w:rPr>
              <w:t>关技术、经济技术等方面的专家</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人 。</w:t>
            </w:r>
          </w:p>
          <w:p>
            <w:pPr>
              <w:spacing w:line="300" w:lineRule="exact"/>
              <w:jc w:val="left"/>
              <w:rPr>
                <w:rFonts w:ascii="宋体" w:hAnsi="宋体"/>
                <w:b/>
                <w:bCs/>
                <w:szCs w:val="21"/>
              </w:rPr>
            </w:pPr>
            <w:r>
              <w:rPr>
                <w:rFonts w:hint="eastAsia" w:ascii="宋体" w:hAnsi="宋体"/>
                <w:szCs w:val="21"/>
              </w:rPr>
              <w:t>评标专家的确定方式:</w:t>
            </w:r>
            <w:r>
              <w:rPr>
                <w:rFonts w:hint="eastAsia" w:ascii="宋体" w:hAnsi="宋体"/>
                <w:szCs w:val="21"/>
                <w:u w:val="single"/>
              </w:rPr>
              <w:t xml:space="preserve"> 省专家库随机抽取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23.3</w:t>
            </w:r>
          </w:p>
        </w:tc>
        <w:tc>
          <w:tcPr>
            <w:tcW w:w="8081" w:type="dxa"/>
          </w:tcPr>
          <w:p>
            <w:pPr>
              <w:tabs>
                <w:tab w:val="left" w:pos="3060"/>
              </w:tabs>
              <w:spacing w:line="320" w:lineRule="exact"/>
              <w:rPr>
                <w:rFonts w:ascii="宋体" w:hAnsi="宋体"/>
                <w:szCs w:val="21"/>
              </w:rPr>
            </w:pPr>
            <w:r>
              <w:rPr>
                <w:rFonts w:hint="eastAsia" w:ascii="宋体" w:hAnsi="宋体"/>
                <w:szCs w:val="21"/>
              </w:rPr>
              <w:t>评标方法：</w:t>
            </w:r>
            <w:r>
              <w:rPr>
                <w:rFonts w:hint="eastAsia" w:ascii="宋体" w:hAnsi="宋体"/>
                <w:b/>
                <w:szCs w:val="21"/>
              </w:rPr>
              <w:t>综合评分法</w:t>
            </w:r>
            <w:r>
              <w:rPr>
                <w:rFonts w:hint="eastAsia" w:ascii="宋体" w:hAnsi="宋体"/>
                <w:szCs w:val="21"/>
              </w:rPr>
              <w:t>（详见第三章）</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2"/>
          </w:tcPr>
          <w:p>
            <w:pPr>
              <w:tabs>
                <w:tab w:val="left" w:pos="3060"/>
              </w:tabs>
              <w:spacing w:line="320" w:lineRule="exact"/>
              <w:jc w:val="center"/>
              <w:rPr>
                <w:rFonts w:ascii="宋体" w:hAnsi="宋体"/>
                <w:szCs w:val="21"/>
              </w:rPr>
            </w:pPr>
            <w:r>
              <w:rPr>
                <w:rFonts w:ascii="宋体" w:hAnsi="宋体"/>
                <w:b/>
                <w:szCs w:val="21"/>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29.1</w:t>
            </w:r>
          </w:p>
        </w:tc>
        <w:tc>
          <w:tcPr>
            <w:tcW w:w="8081" w:type="dxa"/>
          </w:tcPr>
          <w:p>
            <w:pPr>
              <w:tabs>
                <w:tab w:val="left" w:pos="3060"/>
              </w:tabs>
              <w:spacing w:line="320" w:lineRule="exact"/>
              <w:rPr>
                <w:rFonts w:ascii="宋体" w:hAnsi="宋体"/>
                <w:szCs w:val="21"/>
              </w:rPr>
            </w:pPr>
            <w:r>
              <w:rPr>
                <w:rFonts w:hint="eastAsia" w:ascii="宋体" w:hAnsi="宋体"/>
                <w:szCs w:val="21"/>
              </w:rPr>
              <w:t>中</w:t>
            </w:r>
            <w:r>
              <w:rPr>
                <w:rFonts w:ascii="宋体" w:hAnsi="宋体"/>
                <w:szCs w:val="21"/>
              </w:rPr>
              <w:t>标结果</w:t>
            </w:r>
            <w:r>
              <w:rPr>
                <w:rFonts w:hint="eastAsia" w:ascii="宋体" w:hAnsi="宋体"/>
                <w:szCs w:val="21"/>
              </w:rPr>
              <w:t>公告媒介：</w:t>
            </w:r>
          </w:p>
          <w:p>
            <w:pPr>
              <w:tabs>
                <w:tab w:val="left" w:pos="3060"/>
              </w:tabs>
              <w:spacing w:line="320" w:lineRule="exact"/>
              <w:rPr>
                <w:rFonts w:ascii="宋体" w:hAnsi="宋体"/>
                <w:szCs w:val="21"/>
              </w:rPr>
            </w:pPr>
            <w:r>
              <w:rPr>
                <w:rFonts w:hint="eastAsia" w:ascii="宋体" w:hAnsi="宋体"/>
                <w:szCs w:val="21"/>
              </w:rPr>
              <w:t>贵州省政府采购网、铜仁市公共资源交易中心网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31.1</w:t>
            </w:r>
          </w:p>
        </w:tc>
        <w:tc>
          <w:tcPr>
            <w:tcW w:w="8081" w:type="dxa"/>
          </w:tcPr>
          <w:p>
            <w:pPr>
              <w:tabs>
                <w:tab w:val="left" w:pos="3060"/>
              </w:tabs>
              <w:spacing w:line="320" w:lineRule="exact"/>
              <w:rPr>
                <w:rFonts w:ascii="宋体" w:hAnsi="宋体"/>
                <w:szCs w:val="21"/>
              </w:rPr>
            </w:pPr>
            <w:r>
              <w:rPr>
                <w:rFonts w:hint="eastAsia" w:ascii="宋体" w:hAnsi="宋体"/>
                <w:szCs w:val="21"/>
              </w:rPr>
              <w:t>履约保证金（根据需方要求）：中标供应商在签订合同前，须以银行汇票、电汇凭据、银行进帐单等形式向需</w:t>
            </w:r>
            <w:r>
              <w:rPr>
                <w:rFonts w:hint="eastAsia" w:ascii="宋体" w:hAnsi="宋体"/>
                <w:szCs w:val="21"/>
                <w:lang w:eastAsia="zh-CN"/>
              </w:rPr>
              <w:t>采购人</w:t>
            </w:r>
            <w:r>
              <w:rPr>
                <w:rFonts w:hint="eastAsia" w:ascii="宋体" w:hAnsi="宋体"/>
                <w:szCs w:val="21"/>
              </w:rPr>
              <w:t>交纳中标金额</w:t>
            </w:r>
            <w:r>
              <w:rPr>
                <w:rFonts w:hint="eastAsia" w:ascii="宋体" w:hAnsi="宋体"/>
                <w:szCs w:val="21"/>
                <w:lang w:val="en-US" w:eastAsia="zh-CN"/>
              </w:rPr>
              <w:t>10</w:t>
            </w:r>
            <w:r>
              <w:rPr>
                <w:rFonts w:hint="eastAsia" w:ascii="宋体" w:hAnsi="宋体"/>
                <w:szCs w:val="21"/>
              </w:rPr>
              <w:t>%的履约保证金；签订合同后，若中标供应商不按双方签订合同规定履约，则无权要求退回履约保证金。履约保证金不足以赔偿损失的，按实际损失赔偿；合同履约保证金在项目实施验收合格后自动转为质保金，质保金在所供货物按合同要求安装、调试、培训、验收合格正常使用1年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288" w:type="dxa"/>
            <w:gridSpan w:val="2"/>
            <w:vAlign w:val="center"/>
          </w:tcPr>
          <w:p>
            <w:pPr>
              <w:tabs>
                <w:tab w:val="left" w:pos="3060"/>
              </w:tabs>
              <w:spacing w:line="320" w:lineRule="exact"/>
              <w:jc w:val="center"/>
              <w:rPr>
                <w:rFonts w:ascii="宋体" w:hAnsi="宋体"/>
                <w:b/>
                <w:szCs w:val="21"/>
              </w:rPr>
            </w:pPr>
            <w:r>
              <w:rPr>
                <w:rFonts w:hint="eastAsia" w:ascii="宋体" w:hAnsi="宋体"/>
                <w:b/>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32.1</w:t>
            </w:r>
          </w:p>
        </w:tc>
        <w:tc>
          <w:tcPr>
            <w:tcW w:w="8081" w:type="dxa"/>
          </w:tcPr>
          <w:p>
            <w:pPr>
              <w:pStyle w:val="25"/>
              <w:rPr>
                <w:rFonts w:hAnsi="宋体"/>
                <w:szCs w:val="21"/>
              </w:rPr>
            </w:pPr>
            <w:r>
              <w:rPr>
                <w:rFonts w:hint="eastAsia" w:hAnsi="宋体" w:cs="宋体"/>
                <w:szCs w:val="21"/>
              </w:rPr>
              <w:t>付款方式：</w:t>
            </w:r>
            <w:r>
              <w:rPr>
                <w:rFonts w:hAnsi="宋体" w:cs="宋体"/>
                <w:szCs w:val="21"/>
              </w:rPr>
              <w:t>标的物到货、安装调试完毕，需</w:t>
            </w:r>
            <w:r>
              <w:rPr>
                <w:rFonts w:hint="eastAsia" w:hAnsi="宋体" w:cs="宋体"/>
                <w:szCs w:val="21"/>
              </w:rPr>
              <w:t>采购</w:t>
            </w:r>
            <w:r>
              <w:rPr>
                <w:rFonts w:hAnsi="宋体" w:cs="宋体"/>
                <w:szCs w:val="21"/>
              </w:rPr>
              <w:t>方验收合格后，15个工作日内付给供方合同总金额的</w:t>
            </w:r>
            <w:r>
              <w:rPr>
                <w:rFonts w:hint="eastAsia" w:hAnsi="宋体" w:cs="宋体"/>
                <w:szCs w:val="21"/>
              </w:rPr>
              <w:t>9</w:t>
            </w:r>
            <w:r>
              <w:rPr>
                <w:rFonts w:hint="eastAsia" w:hAnsi="宋体" w:cs="宋体"/>
                <w:szCs w:val="21"/>
                <w:lang w:val="en-US" w:eastAsia="zh-CN"/>
              </w:rPr>
              <w:t>0</w:t>
            </w:r>
            <w:r>
              <w:rPr>
                <w:rFonts w:hAnsi="宋体" w:cs="宋体"/>
                <w:szCs w:val="21"/>
              </w:rPr>
              <w:t>％</w:t>
            </w:r>
            <w:r>
              <w:rPr>
                <w:rFonts w:hint="eastAsia" w:hAnsi="宋体" w:cs="宋体"/>
                <w:szCs w:val="21"/>
              </w:rPr>
              <w:t>，剩余</w:t>
            </w:r>
            <w:r>
              <w:rPr>
                <w:rFonts w:hint="eastAsia" w:hAnsi="宋体" w:cs="宋体"/>
                <w:szCs w:val="21"/>
                <w:lang w:val="en-US" w:eastAsia="zh-CN"/>
              </w:rPr>
              <w:t>10</w:t>
            </w:r>
            <w:r>
              <w:rPr>
                <w:rFonts w:hint="eastAsia" w:hAnsi="宋体" w:cs="宋体"/>
                <w:szCs w:val="21"/>
              </w:rPr>
              <w:t>%作为质量保证金，一年后无任何质量问题后一次性无息支付。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33.1</w:t>
            </w:r>
          </w:p>
        </w:tc>
        <w:tc>
          <w:tcPr>
            <w:tcW w:w="8081" w:type="dxa"/>
          </w:tcPr>
          <w:p>
            <w:pPr>
              <w:pStyle w:val="25"/>
              <w:rPr>
                <w:rFonts w:hAnsi="宋体"/>
                <w:szCs w:val="21"/>
              </w:rPr>
            </w:pPr>
            <w:r>
              <w:rPr>
                <w:rFonts w:hint="eastAsia" w:hAnsi="宋体"/>
                <w:szCs w:val="21"/>
              </w:rPr>
              <w:t>竞争性磋商服务费：</w:t>
            </w:r>
          </w:p>
          <w:p>
            <w:pPr>
              <w:pStyle w:val="25"/>
              <w:rPr>
                <w:rFonts w:hAnsi="宋体"/>
                <w:szCs w:val="21"/>
              </w:rPr>
            </w:pPr>
            <w:r>
              <w:rPr>
                <w:rFonts w:hint="eastAsia" w:hAnsi="宋体"/>
                <w:szCs w:val="21"/>
              </w:rPr>
              <w:t>中标人须向代理机构按如下标准和规定缴纳代理服务费：</w:t>
            </w:r>
          </w:p>
          <w:p>
            <w:pPr>
              <w:pStyle w:val="25"/>
              <w:rPr>
                <w:rFonts w:hAnsi="宋体"/>
                <w:szCs w:val="21"/>
              </w:rPr>
            </w:pPr>
            <w:r>
              <w:rPr>
                <w:rFonts w:hint="eastAsia" w:hAnsi="宋体"/>
                <w:szCs w:val="21"/>
              </w:rPr>
              <w:t>(1) 按照中标价为基数，参照国家计委计价格</w:t>
            </w:r>
            <w:r>
              <w:rPr>
                <w:rFonts w:hint="eastAsia" w:hAnsi="宋体"/>
              </w:rPr>
              <w:t>[200]</w:t>
            </w:r>
            <w:r>
              <w:rPr>
                <w:rFonts w:hint="eastAsia" w:hAnsi="宋体"/>
                <w:lang w:val="en-US" w:eastAsia="zh-CN"/>
              </w:rPr>
              <w:t>198</w:t>
            </w:r>
            <w:r>
              <w:rPr>
                <w:rFonts w:hint="eastAsia" w:hAnsi="宋体"/>
              </w:rPr>
              <w:t>号文件规定的</w:t>
            </w:r>
            <w:r>
              <w:rPr>
                <w:rFonts w:hint="eastAsia" w:hAnsi="宋体"/>
                <w:lang w:eastAsia="zh-CN"/>
              </w:rPr>
              <w:t>收费</w:t>
            </w:r>
            <w:r>
              <w:rPr>
                <w:rFonts w:hint="eastAsia" w:hAnsi="宋体"/>
              </w:rPr>
              <w:t>标准向中标人收取代理服务费</w:t>
            </w:r>
            <w:r>
              <w:rPr>
                <w:rFonts w:hint="eastAsia" w:hAnsi="宋体"/>
                <w:em w:val="dot"/>
              </w:rPr>
              <w:t>；</w:t>
            </w:r>
          </w:p>
          <w:p>
            <w:pPr>
              <w:widowControl/>
              <w:spacing w:afterLines="50"/>
              <w:jc w:val="left"/>
              <w:rPr>
                <w:rFonts w:hAnsi="宋体"/>
                <w:szCs w:val="21"/>
              </w:rPr>
            </w:pPr>
            <w:r>
              <w:rPr>
                <w:rFonts w:hint="eastAsia" w:hAnsi="宋体"/>
                <w:szCs w:val="21"/>
              </w:rPr>
              <w:t>(2) 服务费的缴纳：中标人在收到中标通知书的同时向代理机构缴纳竞争性磋商服务费。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7" w:type="dxa"/>
            <w:vAlign w:val="center"/>
          </w:tcPr>
          <w:p>
            <w:pPr>
              <w:tabs>
                <w:tab w:val="left" w:pos="3060"/>
              </w:tabs>
              <w:spacing w:line="320" w:lineRule="exact"/>
              <w:jc w:val="center"/>
              <w:rPr>
                <w:rFonts w:ascii="宋体" w:hAnsi="宋体"/>
                <w:szCs w:val="21"/>
              </w:rPr>
            </w:pPr>
            <w:r>
              <w:rPr>
                <w:rFonts w:hint="eastAsia" w:ascii="宋体" w:hAnsi="宋体"/>
                <w:szCs w:val="21"/>
              </w:rPr>
              <w:t>34.1</w:t>
            </w:r>
          </w:p>
        </w:tc>
        <w:tc>
          <w:tcPr>
            <w:tcW w:w="8081" w:type="dxa"/>
          </w:tcPr>
          <w:p>
            <w:pPr>
              <w:pStyle w:val="25"/>
              <w:rPr>
                <w:rFonts w:hAnsi="宋体"/>
                <w:szCs w:val="21"/>
              </w:rPr>
            </w:pPr>
            <w:r>
              <w:rPr>
                <w:rFonts w:hint="eastAsia" w:hAnsi="宋体"/>
                <w:szCs w:val="21"/>
              </w:rPr>
              <w:t>质保期：质保1年.</w:t>
            </w:r>
          </w:p>
        </w:tc>
      </w:tr>
    </w:tbl>
    <w:p>
      <w:pPr>
        <w:tabs>
          <w:tab w:val="left" w:pos="3060"/>
        </w:tabs>
        <w:spacing w:line="360" w:lineRule="auto"/>
        <w:rPr>
          <w:rFonts w:ascii="宋体" w:hAnsi="宋体"/>
          <w:b/>
          <w:szCs w:val="24"/>
        </w:rPr>
      </w:pPr>
      <w:r>
        <w:rPr>
          <w:rFonts w:hint="eastAsia" w:ascii="宋体" w:hAnsi="宋体"/>
          <w:b/>
          <w:szCs w:val="24"/>
        </w:rPr>
        <w:br w:type="page"/>
      </w:r>
    </w:p>
    <w:p>
      <w:pPr>
        <w:tabs>
          <w:tab w:val="left" w:pos="3060"/>
        </w:tabs>
        <w:spacing w:line="360" w:lineRule="auto"/>
        <w:ind w:firstLine="480"/>
        <w:jc w:val="center"/>
        <w:rPr>
          <w:b/>
          <w:sz w:val="24"/>
          <w:szCs w:val="24"/>
        </w:rPr>
      </w:pPr>
    </w:p>
    <w:p>
      <w:pPr>
        <w:tabs>
          <w:tab w:val="left" w:pos="3060"/>
        </w:tabs>
        <w:spacing w:line="360" w:lineRule="auto"/>
        <w:ind w:firstLine="480"/>
        <w:jc w:val="center"/>
        <w:rPr>
          <w:rFonts w:ascii="宋体" w:hAnsi="宋体"/>
          <w:b/>
          <w:szCs w:val="24"/>
        </w:rPr>
      </w:pPr>
      <w:r>
        <w:rPr>
          <w:rFonts w:hint="eastAsia"/>
          <w:b/>
          <w:sz w:val="24"/>
          <w:szCs w:val="24"/>
        </w:rPr>
        <w:t>供应商须知</w:t>
      </w:r>
    </w:p>
    <w:p>
      <w:pPr>
        <w:tabs>
          <w:tab w:val="left" w:pos="3060"/>
        </w:tabs>
        <w:spacing w:line="360" w:lineRule="auto"/>
        <w:ind w:firstLine="480"/>
        <w:jc w:val="center"/>
        <w:rPr>
          <w:rFonts w:ascii="宋体" w:hAnsi="宋体"/>
          <w:b/>
          <w:szCs w:val="24"/>
        </w:rPr>
      </w:pPr>
      <w:r>
        <w:rPr>
          <w:rFonts w:ascii="宋体" w:hAnsi="宋体"/>
          <w:b/>
          <w:szCs w:val="24"/>
        </w:rPr>
        <w:t>一</w:t>
      </w:r>
      <w:r>
        <w:rPr>
          <w:rFonts w:hint="eastAsia" w:ascii="宋体" w:hAnsi="宋体"/>
          <w:b/>
          <w:szCs w:val="24"/>
        </w:rPr>
        <w:t>、</w:t>
      </w:r>
      <w:r>
        <w:rPr>
          <w:rFonts w:ascii="宋体" w:hAnsi="宋体"/>
          <w:b/>
          <w:szCs w:val="24"/>
        </w:rPr>
        <w:t>说</w:t>
      </w:r>
      <w:r>
        <w:rPr>
          <w:rFonts w:hint="eastAsia" w:ascii="宋体" w:hAnsi="宋体"/>
          <w:b/>
          <w:szCs w:val="24"/>
        </w:rPr>
        <w:t xml:space="preserve">   </w:t>
      </w:r>
      <w:r>
        <w:rPr>
          <w:rFonts w:ascii="宋体" w:hAnsi="宋体"/>
          <w:b/>
          <w:szCs w:val="24"/>
        </w:rPr>
        <w:t>明</w:t>
      </w:r>
    </w:p>
    <w:p>
      <w:pPr>
        <w:pStyle w:val="25"/>
        <w:tabs>
          <w:tab w:val="left" w:pos="567"/>
        </w:tabs>
        <w:snapToGrid w:val="0"/>
        <w:spacing w:line="360" w:lineRule="auto"/>
        <w:rPr>
          <w:rFonts w:hAnsi="宋体"/>
          <w:b/>
          <w:szCs w:val="21"/>
        </w:rPr>
      </w:pPr>
      <w:r>
        <w:rPr>
          <w:rFonts w:hint="eastAsia" w:hAnsi="宋体"/>
          <w:b/>
          <w:szCs w:val="21"/>
        </w:rPr>
        <w:t>1.   竞争性磋商项目与竞争性磋商当事人</w:t>
      </w:r>
    </w:p>
    <w:p>
      <w:pPr>
        <w:pStyle w:val="25"/>
        <w:spacing w:line="360" w:lineRule="auto"/>
        <w:ind w:left="6" w:firstLine="413" w:firstLineChars="197"/>
        <w:rPr>
          <w:rFonts w:hAnsi="宋体"/>
          <w:szCs w:val="21"/>
        </w:rPr>
      </w:pPr>
      <w:r>
        <w:rPr>
          <w:rFonts w:hint="eastAsia" w:hAnsi="宋体"/>
          <w:szCs w:val="21"/>
        </w:rPr>
        <w:t>1.1  本竞争性磋商文件</w:t>
      </w:r>
      <w:r>
        <w:rPr>
          <w:rFonts w:hint="eastAsia" w:hAnsi="宋体"/>
          <w:b/>
          <w:szCs w:val="21"/>
        </w:rPr>
        <w:t>“供应商须知前附表”</w:t>
      </w:r>
      <w:r>
        <w:rPr>
          <w:rFonts w:hint="eastAsia" w:hAnsi="宋体"/>
          <w:szCs w:val="21"/>
        </w:rPr>
        <w:t>中所述的采购人已拥有一笔资金/贷款。竞争性磋商人计划将一部分资金/贷款用于支付本次竞争性磋商后所签订合同项下的款项。</w:t>
      </w:r>
    </w:p>
    <w:p>
      <w:pPr>
        <w:pStyle w:val="25"/>
        <w:spacing w:line="360" w:lineRule="auto"/>
        <w:ind w:left="6" w:firstLine="413" w:firstLineChars="197"/>
        <w:rPr>
          <w:rFonts w:hAnsi="宋体"/>
          <w:szCs w:val="21"/>
        </w:rPr>
      </w:pPr>
      <w:r>
        <w:rPr>
          <w:rFonts w:hint="eastAsia" w:hAnsi="宋体"/>
          <w:szCs w:val="21"/>
        </w:rPr>
        <w:t>1.2  本次竞争性磋商的采购人和采购代理机构（以下简称竞争性磋商机构）的名称、地址、联系人、电话、传真和电子邮箱见</w:t>
      </w:r>
      <w:r>
        <w:rPr>
          <w:rFonts w:hint="eastAsia" w:hAnsi="宋体"/>
          <w:b/>
          <w:szCs w:val="21"/>
        </w:rPr>
        <w:t>“供应商须知前附表”</w:t>
      </w:r>
      <w:r>
        <w:rPr>
          <w:rFonts w:hint="eastAsia" w:hAnsi="宋体"/>
          <w:szCs w:val="21"/>
        </w:rPr>
        <w:t>。</w:t>
      </w:r>
    </w:p>
    <w:p>
      <w:pPr>
        <w:spacing w:line="360" w:lineRule="auto"/>
        <w:ind w:firstLine="420" w:firstLineChars="200"/>
        <w:rPr>
          <w:rFonts w:ascii="宋体" w:hAnsi="宋体"/>
          <w:bCs/>
          <w:szCs w:val="21"/>
        </w:rPr>
      </w:pPr>
      <w:r>
        <w:rPr>
          <w:rFonts w:hint="eastAsia" w:ascii="宋体" w:hAnsi="宋体"/>
          <w:szCs w:val="21"/>
        </w:rPr>
        <w:t>1.3  本竞争性磋商项目概况及资金性质见</w:t>
      </w:r>
      <w:r>
        <w:rPr>
          <w:rFonts w:hint="eastAsia" w:hAnsi="宋体"/>
          <w:b/>
          <w:szCs w:val="21"/>
        </w:rPr>
        <w:t>“供应商须知前附表”</w:t>
      </w:r>
      <w:r>
        <w:rPr>
          <w:rFonts w:hint="eastAsia" w:ascii="宋体" w:hAnsi="宋体"/>
          <w:szCs w:val="21"/>
        </w:rPr>
        <w:t>。</w:t>
      </w:r>
    </w:p>
    <w:p>
      <w:pPr>
        <w:spacing w:line="360" w:lineRule="auto"/>
        <w:rPr>
          <w:rFonts w:ascii="宋体" w:hAnsi="宋体"/>
          <w:b/>
          <w:bCs/>
          <w:szCs w:val="21"/>
        </w:rPr>
      </w:pPr>
      <w:r>
        <w:rPr>
          <w:rFonts w:hint="eastAsia" w:ascii="宋体" w:hAnsi="宋体"/>
          <w:b/>
          <w:bCs/>
          <w:szCs w:val="21"/>
        </w:rPr>
        <w:t>2．</w:t>
      </w:r>
      <w:r>
        <w:rPr>
          <w:rFonts w:ascii="宋体" w:hAnsi="宋体"/>
          <w:b/>
          <w:bCs/>
          <w:szCs w:val="21"/>
        </w:rPr>
        <w:t>合格的</w:t>
      </w:r>
      <w:r>
        <w:rPr>
          <w:rFonts w:hint="eastAsia" w:ascii="宋体" w:hAnsi="宋体"/>
          <w:b/>
          <w:bCs/>
          <w:szCs w:val="21"/>
        </w:rPr>
        <w:t>供应商</w:t>
      </w:r>
    </w:p>
    <w:p>
      <w:pPr>
        <w:spacing w:line="360" w:lineRule="auto"/>
        <w:ind w:firstLine="420" w:firstLineChars="200"/>
        <w:rPr>
          <w:rFonts w:ascii="宋体" w:hAnsi="宋体"/>
          <w:bCs/>
          <w:szCs w:val="21"/>
        </w:rPr>
      </w:pPr>
      <w:r>
        <w:rPr>
          <w:rFonts w:hint="eastAsia" w:ascii="宋体" w:hAnsi="宋体"/>
          <w:bCs/>
          <w:szCs w:val="21"/>
        </w:rPr>
        <w:t>2.1 供应商应当具备以下条件：</w:t>
      </w:r>
    </w:p>
    <w:p>
      <w:pPr>
        <w:spacing w:line="360" w:lineRule="auto"/>
        <w:ind w:firstLine="420" w:firstLineChars="200"/>
        <w:rPr>
          <w:rFonts w:ascii="宋体" w:hAnsi="宋体"/>
          <w:bCs/>
          <w:szCs w:val="21"/>
        </w:rPr>
      </w:pPr>
      <w:r>
        <w:rPr>
          <w:rFonts w:hint="eastAsia" w:ascii="宋体" w:hAnsi="宋体"/>
          <w:bCs/>
          <w:szCs w:val="21"/>
        </w:rPr>
        <w:t>(1)具有独立承担民事责任的能力</w:t>
      </w:r>
      <w:r>
        <w:rPr>
          <w:rFonts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(2)具有良好的商业信誉和健全的财务会计制度；</w:t>
      </w:r>
    </w:p>
    <w:p>
      <w:pPr>
        <w:spacing w:line="360" w:lineRule="auto"/>
        <w:ind w:firstLine="420" w:firstLineChars="200"/>
        <w:rPr>
          <w:rFonts w:ascii="宋体" w:hAnsi="宋体"/>
          <w:bCs/>
          <w:szCs w:val="21"/>
        </w:rPr>
      </w:pPr>
      <w:r>
        <w:rPr>
          <w:rFonts w:hint="eastAsia" w:ascii="宋体" w:hAnsi="宋体"/>
          <w:bCs/>
          <w:szCs w:val="21"/>
        </w:rPr>
        <w:t>(3)具有履行合同所必需的设备和专业技术能力；</w:t>
      </w:r>
    </w:p>
    <w:p>
      <w:pPr>
        <w:spacing w:line="360" w:lineRule="auto"/>
        <w:ind w:firstLine="420" w:firstLineChars="200"/>
        <w:rPr>
          <w:rFonts w:ascii="宋体" w:hAnsi="宋体"/>
          <w:bCs/>
          <w:szCs w:val="21"/>
        </w:rPr>
      </w:pPr>
      <w:r>
        <w:rPr>
          <w:rFonts w:hint="eastAsia" w:ascii="宋体" w:hAnsi="宋体"/>
          <w:bCs/>
          <w:szCs w:val="21"/>
        </w:rPr>
        <w:t>(4)有依法缴纳税收和社会保障资金的良好记录；</w:t>
      </w:r>
    </w:p>
    <w:p>
      <w:pPr>
        <w:spacing w:line="360" w:lineRule="auto"/>
        <w:ind w:firstLine="420" w:firstLineChars="200"/>
        <w:rPr>
          <w:rFonts w:ascii="宋体" w:hAnsi="宋体"/>
          <w:bCs/>
          <w:szCs w:val="21"/>
        </w:rPr>
      </w:pPr>
      <w:r>
        <w:rPr>
          <w:rFonts w:hint="eastAsia" w:ascii="宋体" w:hAnsi="宋体"/>
          <w:bCs/>
          <w:szCs w:val="21"/>
        </w:rPr>
        <w:t>(5)参加政府采购活动前三年内，在经营活动中没有重大违法记录；</w:t>
      </w:r>
    </w:p>
    <w:p>
      <w:pPr>
        <w:spacing w:line="360" w:lineRule="auto"/>
        <w:ind w:firstLine="420" w:firstLineChars="200"/>
        <w:rPr>
          <w:rFonts w:ascii="宋体" w:hAnsi="宋体"/>
          <w:bCs/>
          <w:szCs w:val="21"/>
        </w:rPr>
      </w:pPr>
      <w:r>
        <w:rPr>
          <w:rFonts w:hint="eastAsia" w:ascii="宋体" w:hAnsi="宋体"/>
          <w:bCs/>
          <w:szCs w:val="21"/>
        </w:rPr>
        <w:t>(6)法律法规和本次竞争性磋商文件规定的其他条件。</w:t>
      </w:r>
    </w:p>
    <w:p>
      <w:pPr>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2</w:t>
      </w:r>
      <w:r>
        <w:rPr>
          <w:rFonts w:ascii="宋体" w:hAnsi="宋体"/>
          <w:b/>
          <w:bCs/>
          <w:szCs w:val="21"/>
        </w:rPr>
        <w:t xml:space="preserve"> </w:t>
      </w:r>
      <w:r>
        <w:rPr>
          <w:rFonts w:hint="eastAsia" w:ascii="宋体" w:hAnsi="宋体"/>
          <w:bCs/>
          <w:szCs w:val="21"/>
        </w:rPr>
        <w:t>供应商须根据竞争性磋商文件要求提交能够证明其投标货物合法来源的证明文件。</w:t>
      </w:r>
    </w:p>
    <w:p>
      <w:pPr>
        <w:spacing w:line="360" w:lineRule="auto"/>
        <w:ind w:firstLine="420" w:firstLineChars="200"/>
        <w:rPr>
          <w:rFonts w:ascii="宋体" w:hAnsi="宋体"/>
          <w:bCs/>
          <w:szCs w:val="21"/>
        </w:rPr>
      </w:pPr>
      <w:r>
        <w:rPr>
          <w:rFonts w:hint="eastAsia" w:ascii="宋体" w:hAnsi="宋体"/>
          <w:bCs/>
          <w:szCs w:val="21"/>
        </w:rPr>
        <w:t xml:space="preserve">2.3 供应商应按照竞争性磋商文件的要求编制竞争性磋商响应文件。竞争性磋商响应文件应当对竞争性磋商文件提出的要求和条件作出实质性响应。 </w:t>
      </w:r>
    </w:p>
    <w:p>
      <w:pPr>
        <w:spacing w:line="360" w:lineRule="auto"/>
        <w:ind w:firstLine="420" w:firstLineChars="200"/>
        <w:rPr>
          <w:rFonts w:ascii="宋体" w:hAnsi="宋体"/>
          <w:bCs/>
          <w:szCs w:val="21"/>
        </w:rPr>
      </w:pPr>
      <w:r>
        <w:rPr>
          <w:rFonts w:hint="eastAsia" w:ascii="宋体" w:hAnsi="宋体"/>
          <w:bCs/>
          <w:szCs w:val="21"/>
        </w:rPr>
        <w:t>2.4 供应商不得与本采购活动采购代理机构存在利益关系。</w:t>
      </w:r>
    </w:p>
    <w:p>
      <w:pPr>
        <w:spacing w:line="360" w:lineRule="auto"/>
        <w:ind w:firstLine="420" w:firstLineChars="200"/>
        <w:rPr>
          <w:rFonts w:ascii="宋体" w:hAnsi="宋体"/>
          <w:bCs/>
          <w:szCs w:val="21"/>
        </w:rPr>
      </w:pPr>
      <w:r>
        <w:rPr>
          <w:rFonts w:hint="eastAsia" w:ascii="宋体" w:hAnsi="宋体"/>
          <w:szCs w:val="21"/>
        </w:rPr>
        <w:t>2.5不接受任何供应商的选择性投标方案。同时也不接受任何供应商针对同一品牌同一型号的选择性报价。即同一个供应商只允许投报同一品牌中一个型号的产品，不允许投报同一品牌两个以上（含两个）型号的产品，且对同一型号产品，不允许报两种以上（含两种）的价格，否则，该投标将视为无效投标。</w:t>
      </w:r>
    </w:p>
    <w:p>
      <w:pPr>
        <w:tabs>
          <w:tab w:val="left" w:pos="3060"/>
        </w:tabs>
        <w:spacing w:line="360" w:lineRule="auto"/>
        <w:ind w:firstLine="420"/>
        <w:rPr>
          <w:rFonts w:ascii="宋体" w:hAnsi="宋体"/>
          <w:b/>
          <w:szCs w:val="21"/>
        </w:rPr>
      </w:pPr>
      <w:r>
        <w:rPr>
          <w:rFonts w:hint="eastAsia" w:ascii="宋体" w:hAnsi="宋体"/>
          <w:b/>
          <w:szCs w:val="21"/>
        </w:rPr>
        <w:t>3</w:t>
      </w:r>
      <w:r>
        <w:rPr>
          <w:rFonts w:ascii="宋体" w:hAnsi="宋体"/>
          <w:b/>
          <w:szCs w:val="21"/>
        </w:rPr>
        <w:t>．合格的货物和服务</w:t>
      </w:r>
    </w:p>
    <w:p>
      <w:pPr>
        <w:tabs>
          <w:tab w:val="left" w:pos="3060"/>
        </w:tabs>
        <w:spacing w:line="360" w:lineRule="auto"/>
        <w:ind w:firstLine="42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 xml:space="preserve"> 供应商所提供的必须是其合法生产或代理的货物，并能够按照购销合同规定的品牌、产地、质量、价格、有效期及时供货。</w:t>
      </w:r>
    </w:p>
    <w:p>
      <w:pPr>
        <w:tabs>
          <w:tab w:val="left" w:pos="3060"/>
        </w:tabs>
        <w:spacing w:line="360" w:lineRule="auto"/>
        <w:ind w:firstLine="420"/>
        <w:rPr>
          <w:rFonts w:ascii="宋体" w:hAnsi="宋体"/>
          <w:b/>
          <w:szCs w:val="21"/>
        </w:rPr>
      </w:pPr>
      <w:r>
        <w:rPr>
          <w:rFonts w:hint="eastAsia" w:ascii="宋体" w:hAnsi="宋体"/>
          <w:b/>
          <w:szCs w:val="21"/>
        </w:rPr>
        <w:t>4</w:t>
      </w:r>
      <w:r>
        <w:rPr>
          <w:rFonts w:ascii="宋体" w:hAnsi="宋体"/>
          <w:b/>
          <w:szCs w:val="21"/>
        </w:rPr>
        <w:t>．投标费用</w:t>
      </w:r>
    </w:p>
    <w:p>
      <w:pPr>
        <w:tabs>
          <w:tab w:val="left" w:pos="3060"/>
        </w:tabs>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1 </w:t>
      </w:r>
      <w:r>
        <w:rPr>
          <w:rFonts w:hint="eastAsia" w:ascii="宋体" w:hAnsi="宋体"/>
          <w:szCs w:val="21"/>
        </w:rPr>
        <w:t>供应商</w:t>
      </w:r>
      <w:r>
        <w:rPr>
          <w:rFonts w:ascii="宋体" w:hAnsi="宋体"/>
          <w:szCs w:val="21"/>
        </w:rPr>
        <w:t>应承担所有与准备和参加投标有关的费用，不论投标的结果如何，</w:t>
      </w:r>
      <w:r>
        <w:rPr>
          <w:rFonts w:hint="eastAsia" w:ascii="宋体" w:hAnsi="宋体"/>
          <w:szCs w:val="21"/>
        </w:rPr>
        <w:t>采购人和采购</w:t>
      </w:r>
      <w:r>
        <w:rPr>
          <w:rFonts w:ascii="宋体" w:hAnsi="宋体"/>
          <w:szCs w:val="21"/>
        </w:rPr>
        <w:t>代理机构均无义务和责任承担这些费用。</w:t>
      </w:r>
    </w:p>
    <w:p>
      <w:pPr>
        <w:snapToGrid w:val="0"/>
        <w:spacing w:line="360" w:lineRule="auto"/>
        <w:ind w:firstLine="422" w:firstLineChars="200"/>
        <w:rPr>
          <w:rFonts w:ascii="宋体" w:hAnsi="宋体"/>
          <w:b/>
          <w:szCs w:val="21"/>
        </w:rPr>
      </w:pPr>
      <w:r>
        <w:rPr>
          <w:rFonts w:hint="eastAsia" w:ascii="宋体" w:hAnsi="宋体"/>
          <w:b/>
          <w:szCs w:val="21"/>
        </w:rPr>
        <w:t>5．本次招标的方式</w:t>
      </w:r>
    </w:p>
    <w:p>
      <w:pPr>
        <w:tabs>
          <w:tab w:val="left" w:pos="3060"/>
        </w:tabs>
        <w:spacing w:line="360" w:lineRule="auto"/>
        <w:ind w:firstLine="420" w:firstLineChars="200"/>
        <w:rPr>
          <w:rFonts w:ascii="宋体" w:hAnsi="宋体"/>
          <w:szCs w:val="21"/>
        </w:rPr>
      </w:pPr>
      <w:r>
        <w:rPr>
          <w:rFonts w:hint="eastAsia" w:ascii="宋体" w:hAnsi="宋体"/>
          <w:szCs w:val="21"/>
        </w:rPr>
        <w:t>5.1 本次招标采购用竞争性磋商方式。</w:t>
      </w:r>
    </w:p>
    <w:p>
      <w:pPr>
        <w:tabs>
          <w:tab w:val="left" w:pos="3060"/>
        </w:tabs>
        <w:spacing w:line="360" w:lineRule="auto"/>
        <w:jc w:val="center"/>
        <w:rPr>
          <w:rFonts w:ascii="宋体" w:hAnsi="宋体"/>
          <w:b/>
          <w:sz w:val="24"/>
          <w:szCs w:val="24"/>
        </w:rPr>
      </w:pPr>
    </w:p>
    <w:p>
      <w:pPr>
        <w:tabs>
          <w:tab w:val="left" w:pos="3060"/>
        </w:tabs>
        <w:spacing w:line="360" w:lineRule="auto"/>
        <w:jc w:val="center"/>
        <w:rPr>
          <w:rFonts w:ascii="宋体" w:hAnsi="宋体"/>
          <w:b/>
          <w:sz w:val="24"/>
          <w:szCs w:val="24"/>
        </w:rPr>
      </w:pPr>
    </w:p>
    <w:p>
      <w:pPr>
        <w:tabs>
          <w:tab w:val="left" w:pos="3060"/>
        </w:tabs>
        <w:spacing w:line="360" w:lineRule="auto"/>
        <w:jc w:val="center"/>
        <w:rPr>
          <w:rFonts w:ascii="宋体" w:hAnsi="宋体"/>
          <w:b/>
          <w:sz w:val="24"/>
          <w:szCs w:val="24"/>
        </w:rPr>
      </w:pPr>
      <w:r>
        <w:rPr>
          <w:rFonts w:hint="eastAsia" w:ascii="宋体" w:hAnsi="宋体"/>
          <w:b/>
          <w:sz w:val="24"/>
          <w:szCs w:val="24"/>
        </w:rPr>
        <w:t>二 、竞争性磋商</w:t>
      </w:r>
      <w:r>
        <w:rPr>
          <w:rFonts w:ascii="宋体" w:hAnsi="宋体"/>
          <w:b/>
          <w:sz w:val="24"/>
          <w:szCs w:val="24"/>
        </w:rPr>
        <w:t>文件</w:t>
      </w:r>
    </w:p>
    <w:p>
      <w:pPr>
        <w:tabs>
          <w:tab w:val="left" w:pos="3060"/>
        </w:tabs>
        <w:spacing w:line="360" w:lineRule="auto"/>
        <w:rPr>
          <w:rFonts w:ascii="宋体" w:hAnsi="宋体"/>
          <w:b/>
          <w:szCs w:val="21"/>
        </w:rPr>
      </w:pPr>
      <w:r>
        <w:rPr>
          <w:rFonts w:ascii="宋体" w:hAnsi="宋体"/>
          <w:b/>
          <w:sz w:val="24"/>
          <w:szCs w:val="24"/>
        </w:rPr>
        <w:t>　　</w:t>
      </w:r>
      <w:r>
        <w:rPr>
          <w:rFonts w:hint="eastAsia" w:ascii="宋体" w:hAnsi="宋体"/>
          <w:b/>
          <w:szCs w:val="21"/>
        </w:rPr>
        <w:t>6</w:t>
      </w:r>
      <w:r>
        <w:rPr>
          <w:rFonts w:ascii="宋体" w:hAnsi="宋体"/>
          <w:b/>
          <w:szCs w:val="21"/>
        </w:rPr>
        <w:t>．</w:t>
      </w:r>
      <w:r>
        <w:rPr>
          <w:rFonts w:hint="eastAsia" w:ascii="宋体" w:hAnsi="宋体"/>
          <w:b/>
          <w:szCs w:val="21"/>
        </w:rPr>
        <w:t>竞争性磋商</w:t>
      </w:r>
      <w:r>
        <w:rPr>
          <w:rFonts w:ascii="宋体" w:hAnsi="宋体"/>
          <w:b/>
          <w:szCs w:val="21"/>
        </w:rPr>
        <w:t>文件构成</w:t>
      </w:r>
    </w:p>
    <w:p>
      <w:pPr>
        <w:tabs>
          <w:tab w:val="left" w:pos="3060"/>
        </w:tabs>
        <w:spacing w:line="360" w:lineRule="auto"/>
        <w:ind w:firstLine="525" w:firstLineChars="250"/>
        <w:rPr>
          <w:rFonts w:ascii="宋体" w:hAnsi="宋体"/>
          <w:szCs w:val="21"/>
        </w:rPr>
      </w:pPr>
      <w:r>
        <w:rPr>
          <w:rFonts w:hint="eastAsia" w:ascii="宋体" w:hAnsi="宋体"/>
          <w:szCs w:val="21"/>
        </w:rPr>
        <w:t>6.</w:t>
      </w:r>
      <w:r>
        <w:rPr>
          <w:rFonts w:ascii="宋体" w:hAnsi="宋体"/>
          <w:szCs w:val="21"/>
        </w:rPr>
        <w:t>1 要求提供的货物、</w:t>
      </w:r>
      <w:r>
        <w:rPr>
          <w:rFonts w:hint="eastAsia" w:ascii="宋体" w:hAnsi="宋体"/>
          <w:szCs w:val="21"/>
        </w:rPr>
        <w:t>竞争性磋商</w:t>
      </w:r>
      <w:r>
        <w:rPr>
          <w:rFonts w:ascii="宋体" w:hAnsi="宋体"/>
          <w:szCs w:val="21"/>
        </w:rPr>
        <w:t>过程和合同条件在</w:t>
      </w:r>
      <w:r>
        <w:rPr>
          <w:rFonts w:hint="eastAsia" w:ascii="宋体" w:hAnsi="宋体"/>
          <w:szCs w:val="21"/>
        </w:rPr>
        <w:t>竞争性磋商</w:t>
      </w:r>
      <w:r>
        <w:rPr>
          <w:rFonts w:ascii="宋体" w:hAnsi="宋体"/>
          <w:szCs w:val="21"/>
        </w:rPr>
        <w:t>文件中均有说明。</w:t>
      </w:r>
    </w:p>
    <w:p>
      <w:pPr>
        <w:tabs>
          <w:tab w:val="left" w:pos="3060"/>
        </w:tabs>
        <w:spacing w:line="360" w:lineRule="auto"/>
        <w:ind w:firstLine="735" w:firstLineChars="350"/>
        <w:rPr>
          <w:rFonts w:ascii="宋体" w:hAnsi="宋体"/>
          <w:szCs w:val="21"/>
        </w:rPr>
      </w:pPr>
      <w:r>
        <w:rPr>
          <w:rFonts w:ascii="宋体" w:hAnsi="宋体"/>
          <w:szCs w:val="21"/>
        </w:rPr>
        <w:t>(1)</w:t>
      </w:r>
      <w:r>
        <w:rPr>
          <w:rFonts w:hint="eastAsia" w:ascii="宋体" w:hAnsi="宋体"/>
          <w:szCs w:val="21"/>
        </w:rPr>
        <w:t>竞争性磋商公告</w:t>
      </w:r>
    </w:p>
    <w:p>
      <w:pPr>
        <w:tabs>
          <w:tab w:val="left" w:pos="3060"/>
        </w:tabs>
        <w:spacing w:line="360" w:lineRule="auto"/>
        <w:ind w:firstLine="735" w:firstLineChars="350"/>
        <w:rPr>
          <w:rFonts w:ascii="宋体" w:hAnsi="宋体"/>
          <w:szCs w:val="21"/>
        </w:rPr>
      </w:pPr>
      <w:r>
        <w:rPr>
          <w:rFonts w:ascii="宋体" w:hAnsi="宋体"/>
          <w:szCs w:val="21"/>
        </w:rPr>
        <w:t>(2)</w:t>
      </w:r>
      <w:r>
        <w:rPr>
          <w:rFonts w:hint="eastAsia" w:ascii="宋体" w:hAnsi="宋体"/>
          <w:szCs w:val="21"/>
        </w:rPr>
        <w:t>供应商须知</w:t>
      </w:r>
    </w:p>
    <w:p>
      <w:pPr>
        <w:tabs>
          <w:tab w:val="left" w:pos="3060"/>
        </w:tabs>
        <w:spacing w:line="360" w:lineRule="auto"/>
        <w:ind w:firstLine="735" w:firstLineChars="350"/>
        <w:rPr>
          <w:rFonts w:ascii="宋体" w:hAnsi="宋体"/>
          <w:szCs w:val="21"/>
        </w:rPr>
      </w:pPr>
      <w:r>
        <w:rPr>
          <w:rFonts w:ascii="宋体" w:hAnsi="宋体"/>
          <w:szCs w:val="21"/>
        </w:rPr>
        <w:t>(3)</w:t>
      </w:r>
      <w:r>
        <w:rPr>
          <w:rFonts w:hint="eastAsia" w:ascii="宋体" w:hAnsi="宋体"/>
          <w:szCs w:val="21"/>
        </w:rPr>
        <w:t>评标办法和定标原则</w:t>
      </w:r>
    </w:p>
    <w:p>
      <w:pPr>
        <w:tabs>
          <w:tab w:val="left" w:pos="3060"/>
        </w:tabs>
        <w:spacing w:line="360" w:lineRule="auto"/>
        <w:ind w:firstLine="735" w:firstLineChars="350"/>
        <w:rPr>
          <w:rFonts w:ascii="宋体" w:hAns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竞争性磋商货物清单及技术规格</w:t>
      </w:r>
    </w:p>
    <w:p>
      <w:pPr>
        <w:tabs>
          <w:tab w:val="left" w:pos="3060"/>
        </w:tabs>
        <w:spacing w:line="360" w:lineRule="auto"/>
        <w:ind w:firstLine="735" w:firstLineChars="350"/>
        <w:rPr>
          <w:rFonts w:ascii="宋体" w:hAnsi="宋体"/>
          <w:szCs w:val="21"/>
        </w:rPr>
      </w:pP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合同资料及格式</w:t>
      </w:r>
    </w:p>
    <w:p>
      <w:pPr>
        <w:tabs>
          <w:tab w:val="left" w:pos="3060"/>
        </w:tabs>
        <w:spacing w:line="360" w:lineRule="auto"/>
        <w:ind w:firstLine="735" w:firstLineChars="350"/>
        <w:rPr>
          <w:rFonts w:ascii="宋体" w:hAnsi="宋体"/>
          <w:szCs w:val="21"/>
        </w:rPr>
      </w:pPr>
      <w:r>
        <w:rPr>
          <w:rFonts w:hint="eastAsia" w:ascii="宋体" w:hAnsi="宋体"/>
          <w:szCs w:val="21"/>
        </w:rPr>
        <w:t>(6) 竞争性磋商响应文件格式</w:t>
      </w:r>
    </w:p>
    <w:p>
      <w:pPr>
        <w:tabs>
          <w:tab w:val="left" w:pos="3060"/>
        </w:tabs>
        <w:spacing w:line="360" w:lineRule="auto"/>
        <w:ind w:firstLine="525" w:firstLineChars="250"/>
        <w:rPr>
          <w:rFonts w:ascii="宋体" w:hAnsi="宋体"/>
          <w:szCs w:val="21"/>
        </w:rPr>
      </w:pPr>
      <w:r>
        <w:rPr>
          <w:rFonts w:hint="eastAsia" w:ascii="宋体" w:hAnsi="宋体"/>
          <w:szCs w:val="21"/>
        </w:rPr>
        <w:t>6.</w:t>
      </w:r>
      <w:r>
        <w:rPr>
          <w:rFonts w:ascii="宋体" w:hAnsi="宋体"/>
          <w:szCs w:val="21"/>
        </w:rPr>
        <w:t xml:space="preserve">2 </w:t>
      </w:r>
      <w:r>
        <w:rPr>
          <w:rFonts w:hint="eastAsia" w:ascii="宋体" w:hAnsi="宋体"/>
          <w:szCs w:val="21"/>
        </w:rPr>
        <w:t>供应商</w:t>
      </w:r>
      <w:r>
        <w:rPr>
          <w:rFonts w:ascii="宋体" w:hAnsi="宋体"/>
          <w:szCs w:val="21"/>
        </w:rPr>
        <w:t>应认真阅读</w:t>
      </w:r>
      <w:r>
        <w:rPr>
          <w:rFonts w:hint="eastAsia" w:ascii="宋体" w:hAnsi="宋体"/>
          <w:szCs w:val="21"/>
        </w:rPr>
        <w:t>竞争性磋商</w:t>
      </w:r>
      <w:r>
        <w:rPr>
          <w:rFonts w:ascii="宋体" w:hAnsi="宋体"/>
          <w:szCs w:val="21"/>
        </w:rPr>
        <w:t>文件中所有的事项、格式、条款和技术规范等要求。</w:t>
      </w:r>
      <w:r>
        <w:rPr>
          <w:rFonts w:hint="eastAsia" w:ascii="宋体" w:hAnsi="宋体"/>
          <w:szCs w:val="21"/>
        </w:rPr>
        <w:t>供应商</w:t>
      </w:r>
      <w:r>
        <w:rPr>
          <w:rFonts w:ascii="宋体" w:hAnsi="宋体"/>
          <w:szCs w:val="21"/>
        </w:rPr>
        <w:t>没有按照</w:t>
      </w:r>
      <w:r>
        <w:rPr>
          <w:rFonts w:hint="eastAsia" w:ascii="宋体" w:hAnsi="宋体"/>
          <w:szCs w:val="21"/>
        </w:rPr>
        <w:t>竞争性磋商</w:t>
      </w:r>
      <w:r>
        <w:rPr>
          <w:rFonts w:ascii="宋体" w:hAnsi="宋体"/>
          <w:szCs w:val="21"/>
        </w:rPr>
        <w:t>文件要求提交全部资料，或者</w:t>
      </w:r>
      <w:r>
        <w:rPr>
          <w:rFonts w:hint="eastAsia" w:ascii="宋体" w:hAnsi="宋体"/>
          <w:szCs w:val="21"/>
        </w:rPr>
        <w:t>竞争性磋商响应文件</w:t>
      </w:r>
      <w:r>
        <w:rPr>
          <w:rFonts w:ascii="宋体" w:hAnsi="宋体"/>
          <w:szCs w:val="21"/>
        </w:rPr>
        <w:t>没有对</w:t>
      </w:r>
      <w:r>
        <w:rPr>
          <w:rFonts w:hint="eastAsia" w:ascii="宋体" w:hAnsi="宋体"/>
          <w:szCs w:val="21"/>
        </w:rPr>
        <w:t>竞争性磋商</w:t>
      </w:r>
      <w:r>
        <w:rPr>
          <w:rFonts w:ascii="宋体" w:hAnsi="宋体"/>
          <w:szCs w:val="21"/>
        </w:rPr>
        <w:t>文件在各方面都做出实质性响应可能导致其投标</w:t>
      </w:r>
      <w:r>
        <w:rPr>
          <w:rFonts w:hint="eastAsia" w:ascii="宋体" w:hAnsi="宋体"/>
          <w:szCs w:val="21"/>
        </w:rPr>
        <w:t>无效</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w:t>
      </w:r>
      <w:r>
        <w:rPr>
          <w:rFonts w:hint="eastAsia" w:ascii="宋体" w:hAnsi="宋体"/>
          <w:b/>
          <w:szCs w:val="21"/>
        </w:rPr>
        <w:t>7</w:t>
      </w:r>
      <w:r>
        <w:rPr>
          <w:rFonts w:ascii="宋体" w:hAnsi="宋体"/>
          <w:b/>
          <w:szCs w:val="21"/>
        </w:rPr>
        <w:t>．</w:t>
      </w:r>
      <w:r>
        <w:rPr>
          <w:rFonts w:hint="eastAsia" w:ascii="宋体" w:hAnsi="宋体"/>
          <w:b/>
          <w:szCs w:val="21"/>
        </w:rPr>
        <w:t>竞争性磋商</w:t>
      </w:r>
      <w:r>
        <w:rPr>
          <w:rFonts w:ascii="宋体" w:hAnsi="宋体"/>
          <w:b/>
          <w:szCs w:val="21"/>
        </w:rPr>
        <w:t>文件的澄清</w:t>
      </w:r>
      <w:r>
        <w:rPr>
          <w:rFonts w:hint="eastAsia" w:ascii="宋体" w:hAnsi="宋体"/>
          <w:b/>
          <w:szCs w:val="21"/>
        </w:rPr>
        <w:t>和修改</w:t>
      </w:r>
    </w:p>
    <w:p>
      <w:pPr>
        <w:tabs>
          <w:tab w:val="left" w:pos="3060"/>
        </w:tabs>
        <w:spacing w:line="360" w:lineRule="auto"/>
        <w:ind w:firstLine="525" w:firstLineChars="250"/>
        <w:rPr>
          <w:rFonts w:ascii="宋体" w:hAnsi="宋体"/>
          <w:szCs w:val="21"/>
        </w:rPr>
      </w:pPr>
      <w:r>
        <w:rPr>
          <w:rFonts w:hint="eastAsia" w:ascii="宋体" w:hAnsi="宋体"/>
          <w:szCs w:val="21"/>
        </w:rPr>
        <w:t>7.1 采购人或者采购代理机构有权对已发出的竞争性磋商文件进行必要的澄清或者修改，澄清或者修改的内容影响供应商编制竞争性磋商响应文件的，采购人或者采购代理机构应当在磋商截止时间</w:t>
      </w:r>
      <w:r>
        <w:rPr>
          <w:rFonts w:hint="eastAsia" w:ascii="宋体" w:hAnsi="宋体"/>
          <w:szCs w:val="21"/>
          <w:lang w:val="en-US" w:eastAsia="zh-CN"/>
        </w:rPr>
        <w:t>5</w:t>
      </w:r>
      <w:r>
        <w:rPr>
          <w:rFonts w:hint="eastAsia" w:ascii="宋体" w:hAnsi="宋体"/>
          <w:szCs w:val="21"/>
        </w:rPr>
        <w:t xml:space="preserve"> 日前，在铜仁市公共资源交易中心和贵州省政府采购网上同时发出澄清或者修改通知，通知所有获取竞争性磋商文件的潜在供应商，由于供应商未及时上网查询的，责任由供应商自行承担；不足 </w:t>
      </w:r>
      <w:r>
        <w:rPr>
          <w:rFonts w:hint="eastAsia" w:ascii="宋体" w:hAnsi="宋体"/>
          <w:szCs w:val="21"/>
          <w:lang w:val="en-US" w:eastAsia="zh-CN"/>
        </w:rPr>
        <w:t>5</w:t>
      </w:r>
      <w:r>
        <w:rPr>
          <w:rFonts w:hint="eastAsia" w:ascii="宋体" w:hAnsi="宋体"/>
          <w:szCs w:val="21"/>
        </w:rPr>
        <w:t>日且影响供应商编制竞争性磋商响应文件的，采购人或者采购代理机构应当顺延提交竞争性磋商响应文件的截止时间，澄清或者修改的内容不影响供应商编制竞争性磋商响应文件的，原则上不顺延提交竞争性磋商响应文件的截止时间。</w:t>
      </w:r>
    </w:p>
    <w:p>
      <w:pPr>
        <w:tabs>
          <w:tab w:val="left" w:pos="3060"/>
        </w:tabs>
        <w:spacing w:line="360" w:lineRule="auto"/>
        <w:ind w:firstLine="525" w:firstLineChars="250"/>
        <w:rPr>
          <w:rFonts w:ascii="宋体" w:hAnsi="宋体"/>
          <w:szCs w:val="21"/>
        </w:rPr>
      </w:pPr>
      <w:r>
        <w:rPr>
          <w:rFonts w:hint="eastAsia" w:ascii="宋体" w:hAnsi="宋体"/>
          <w:szCs w:val="21"/>
        </w:rPr>
        <w:t>7.2供应商对竞争性磋商文件有疑问或询问的，可以在《竞争性磋商文件》</w:t>
      </w:r>
      <w:r>
        <w:rPr>
          <w:rFonts w:hint="eastAsia" w:ascii="宋体" w:hAnsi="宋体"/>
          <w:szCs w:val="21"/>
          <w:lang w:val="en-US" w:eastAsia="zh-CN"/>
        </w:rPr>
        <w:t>发布</w:t>
      </w:r>
      <w:r>
        <w:rPr>
          <w:rFonts w:hint="eastAsia" w:ascii="宋体" w:hAnsi="宋体"/>
          <w:szCs w:val="21"/>
        </w:rPr>
        <w:t>之日起 7 个工作日内，通过铜仁市公共资源交易中心系统提出质疑或询问，本公司或采购人将针对质疑或询问的内容进行答复，询问的答复时间为 3 个工作日，质疑的答复时间为 7 个工作日。未购买竞争性磋商文件，或在报名截止之日起 7 个工作日之外，或不符合政府采购法第二十二条要求的供应商对本项目提出的质疑或询问，本公司及采购人不作答复。供应商只能在法定质疑期内一次性提出针对同一采购程序环节的质疑。</w:t>
      </w:r>
    </w:p>
    <w:p>
      <w:pPr>
        <w:tabs>
          <w:tab w:val="left" w:pos="3060"/>
        </w:tabs>
        <w:spacing w:line="360" w:lineRule="auto"/>
        <w:ind w:firstLine="525" w:firstLineChars="250"/>
        <w:rPr>
          <w:rFonts w:ascii="宋体" w:hAnsi="宋体"/>
          <w:szCs w:val="21"/>
        </w:rPr>
      </w:pPr>
      <w:r>
        <w:rPr>
          <w:rFonts w:hint="eastAsia" w:ascii="宋体" w:hAnsi="宋体"/>
          <w:szCs w:val="21"/>
        </w:rPr>
        <w:t>7.2.1.供应商提出质疑应当提交铜仁市公共资源交易中心报名证明、质疑函和必要的证明材料，并符合《政府采购质疑和投诉办法》（中华人民共和国财政部令第 94 号）第十二条的规定。通过铜仁市公共资源交易中心系统提出质疑的，质疑函须原件扫描上传，报名证明和证明材料可以采用复印件加盖公章扫描上传；直接将质疑函送达代理机构或采购人的，质疑函要求原件，其他的可提供复印件加盖公章。</w:t>
      </w:r>
    </w:p>
    <w:p>
      <w:pPr>
        <w:tabs>
          <w:tab w:val="left" w:pos="3060"/>
        </w:tabs>
        <w:spacing w:line="360" w:lineRule="auto"/>
        <w:ind w:firstLine="525" w:firstLineChars="250"/>
        <w:rPr>
          <w:rFonts w:ascii="宋体" w:hAnsi="宋体"/>
          <w:color w:val="000000" w:themeColor="text1"/>
          <w:szCs w:val="21"/>
        </w:rPr>
      </w:pPr>
      <w:r>
        <w:rPr>
          <w:rFonts w:hint="eastAsia" w:ascii="宋体" w:hAnsi="宋体"/>
          <w:color w:val="000000" w:themeColor="text1"/>
          <w:szCs w:val="21"/>
        </w:rPr>
        <w:t>7.2.2.质疑函递交相关信息：</w:t>
      </w:r>
    </w:p>
    <w:p>
      <w:pPr>
        <w:tabs>
          <w:tab w:val="left" w:pos="3060"/>
        </w:tabs>
        <w:spacing w:line="360" w:lineRule="auto"/>
        <w:ind w:firstLine="525" w:firstLineChars="250"/>
        <w:rPr>
          <w:rFonts w:ascii="宋体" w:hAnsi="宋体"/>
          <w:color w:val="000000" w:themeColor="text1"/>
          <w:szCs w:val="21"/>
        </w:rPr>
      </w:pPr>
      <w:r>
        <w:rPr>
          <w:rFonts w:hint="eastAsia" w:ascii="宋体" w:hAnsi="宋体"/>
          <w:color w:val="000000" w:themeColor="text1"/>
          <w:szCs w:val="21"/>
        </w:rPr>
        <w:t>（1）采购人名称：</w:t>
      </w:r>
      <w:r>
        <w:rPr>
          <w:rFonts w:hint="eastAsia" w:ascii="宋体" w:hAnsi="宋体" w:cs="宋体"/>
          <w:szCs w:val="21"/>
          <w:lang w:eastAsia="zh-CN"/>
        </w:rPr>
        <w:t>思南县鹦鹉溪镇人民政府</w:t>
      </w:r>
      <w:r>
        <w:rPr>
          <w:rFonts w:hint="eastAsia" w:ascii="宋体" w:hAnsi="宋体"/>
          <w:color w:val="000000" w:themeColor="text1"/>
          <w:szCs w:val="21"/>
        </w:rPr>
        <w:t xml:space="preserve">  </w:t>
      </w:r>
    </w:p>
    <w:p>
      <w:pPr>
        <w:tabs>
          <w:tab w:val="left" w:pos="3060"/>
        </w:tabs>
        <w:spacing w:line="360" w:lineRule="auto"/>
        <w:ind w:firstLine="1050" w:firstLineChars="500"/>
        <w:rPr>
          <w:rFonts w:ascii="宋体" w:hAnsi="宋体"/>
          <w:color w:val="000000" w:themeColor="text1"/>
          <w:szCs w:val="21"/>
        </w:rPr>
      </w:pPr>
      <w:r>
        <w:rPr>
          <w:rFonts w:hint="eastAsia" w:ascii="宋体" w:hAnsi="宋体"/>
          <w:color w:val="000000" w:themeColor="text1"/>
          <w:szCs w:val="21"/>
        </w:rPr>
        <w:t>联系地址:</w:t>
      </w:r>
      <w:r>
        <w:rPr>
          <w:rFonts w:hint="eastAsia" w:ascii="宋体" w:hAnsi="宋体"/>
          <w:color w:val="000000" w:themeColor="text1"/>
          <w:szCs w:val="21"/>
          <w:lang w:eastAsia="zh-CN"/>
        </w:rPr>
        <w:t>思南县</w:t>
      </w:r>
    </w:p>
    <w:p>
      <w:pPr>
        <w:tabs>
          <w:tab w:val="left" w:pos="3060"/>
        </w:tabs>
        <w:spacing w:line="360" w:lineRule="auto"/>
        <w:ind w:firstLine="945" w:firstLineChars="450"/>
        <w:rPr>
          <w:rFonts w:ascii="宋体" w:hAnsi="宋体"/>
          <w:color w:val="000000" w:themeColor="text1"/>
          <w:szCs w:val="21"/>
        </w:rPr>
      </w:pPr>
      <w:r>
        <w:rPr>
          <w:rFonts w:hint="eastAsia" w:ascii="宋体" w:hAnsi="宋体"/>
          <w:color w:val="000000" w:themeColor="text1"/>
          <w:szCs w:val="21"/>
        </w:rPr>
        <w:t>项目联系人:</w:t>
      </w:r>
      <w:r>
        <w:rPr>
          <w:rFonts w:hint="eastAsia" w:ascii="宋体" w:hAnsi="宋体"/>
          <w:color w:val="000000" w:themeColor="text1"/>
          <w:szCs w:val="21"/>
          <w:lang w:eastAsia="zh-CN"/>
        </w:rPr>
        <w:t>王龙</w:t>
      </w:r>
      <w:r>
        <w:rPr>
          <w:rFonts w:hint="eastAsia" w:ascii="宋体" w:hAnsi="宋体"/>
          <w:color w:val="000000" w:themeColor="text1"/>
          <w:szCs w:val="21"/>
        </w:rPr>
        <w:t xml:space="preserve">   联系电话:</w:t>
      </w:r>
      <w:r>
        <w:rPr>
          <w:rFonts w:hint="eastAsia" w:ascii="宋体" w:hAnsi="宋体" w:cs="宋体"/>
          <w:color w:val="auto"/>
          <w:szCs w:val="21"/>
          <w:lang w:eastAsia="zh-CN"/>
        </w:rPr>
        <w:t>13037832003</w:t>
      </w:r>
      <w:r>
        <w:rPr>
          <w:rFonts w:hint="eastAsia" w:ascii="宋体" w:hAnsi="宋体"/>
          <w:color w:val="auto"/>
          <w:szCs w:val="21"/>
        </w:rPr>
        <w:t xml:space="preserve"> </w:t>
      </w:r>
      <w:r>
        <w:rPr>
          <w:rFonts w:hint="eastAsia" w:ascii="宋体" w:hAnsi="宋体"/>
          <w:color w:val="000000" w:themeColor="text1"/>
          <w:szCs w:val="21"/>
        </w:rPr>
        <w:t xml:space="preserve">  </w:t>
      </w:r>
    </w:p>
    <w:p>
      <w:pPr>
        <w:numPr>
          <w:ilvl w:val="0"/>
          <w:numId w:val="3"/>
        </w:numPr>
        <w:tabs>
          <w:tab w:val="left" w:pos="3060"/>
        </w:tabs>
        <w:spacing w:line="360" w:lineRule="auto"/>
        <w:rPr>
          <w:rFonts w:ascii="宋体" w:hAnsi="宋体"/>
          <w:color w:val="000000" w:themeColor="text1"/>
          <w:szCs w:val="21"/>
        </w:rPr>
      </w:pPr>
      <w:r>
        <w:rPr>
          <w:rFonts w:hint="eastAsia" w:ascii="宋体" w:hAnsi="宋体"/>
          <w:color w:val="000000" w:themeColor="text1"/>
          <w:szCs w:val="21"/>
        </w:rPr>
        <w:t>代理机构：</w:t>
      </w:r>
      <w:r>
        <w:rPr>
          <w:rFonts w:hint="eastAsia" w:ascii="宋体" w:hAnsi="宋体"/>
          <w:color w:val="000000" w:themeColor="text1"/>
          <w:szCs w:val="21"/>
          <w:lang w:eastAsia="zh-CN"/>
        </w:rPr>
        <w:t>江苏万源工程咨询有限公司</w:t>
      </w:r>
      <w:r>
        <w:rPr>
          <w:rFonts w:hint="eastAsia" w:ascii="宋体" w:hAnsi="宋体"/>
          <w:color w:val="000000" w:themeColor="text1"/>
          <w:szCs w:val="21"/>
        </w:rPr>
        <w:t xml:space="preserve"> </w:t>
      </w:r>
    </w:p>
    <w:p>
      <w:pPr>
        <w:tabs>
          <w:tab w:val="left" w:pos="3060"/>
        </w:tabs>
        <w:spacing w:line="360" w:lineRule="auto"/>
        <w:ind w:firstLine="630" w:firstLineChars="300"/>
        <w:rPr>
          <w:rFonts w:ascii="宋体" w:hAnsi="宋体"/>
          <w:color w:val="000000" w:themeColor="text1"/>
          <w:szCs w:val="21"/>
        </w:rPr>
      </w:pPr>
      <w:r>
        <w:rPr>
          <w:rFonts w:hint="eastAsia" w:ascii="宋体" w:hAnsi="宋体"/>
          <w:color w:val="000000" w:themeColor="text1"/>
          <w:szCs w:val="21"/>
        </w:rPr>
        <w:t>联系地址：</w:t>
      </w:r>
      <w:r>
        <w:rPr>
          <w:rFonts w:hint="eastAsia" w:cs="宋体"/>
          <w:szCs w:val="21"/>
          <w:lang w:eastAsia="zh-CN"/>
        </w:rPr>
        <w:t>贵阳市观山湖区长岭北路贵阳国际会议展览中心D区F座12层1号</w:t>
      </w:r>
      <w:r>
        <w:rPr>
          <w:rFonts w:hint="eastAsia" w:cs="宋体"/>
          <w:szCs w:val="21"/>
        </w:rPr>
        <w:t>楼</w:t>
      </w:r>
      <w:r>
        <w:rPr>
          <w:rFonts w:hint="eastAsia" w:ascii="宋体" w:hAnsi="宋体"/>
          <w:color w:val="000000" w:themeColor="text1"/>
          <w:szCs w:val="21"/>
        </w:rPr>
        <w:t>联系人：</w:t>
      </w:r>
      <w:r>
        <w:rPr>
          <w:rFonts w:hint="eastAsia" w:ascii="宋体" w:hAnsi="宋体"/>
          <w:color w:val="000000" w:themeColor="text1"/>
          <w:szCs w:val="21"/>
          <w:lang w:eastAsia="zh-CN"/>
        </w:rPr>
        <w:t>吴贤兵</w:t>
      </w:r>
      <w:r>
        <w:rPr>
          <w:rFonts w:hint="eastAsia" w:ascii="宋体" w:hAnsi="宋体"/>
          <w:color w:val="000000" w:themeColor="text1"/>
          <w:szCs w:val="21"/>
        </w:rPr>
        <w:t xml:space="preserve"> </w:t>
      </w:r>
    </w:p>
    <w:p>
      <w:pPr>
        <w:tabs>
          <w:tab w:val="left" w:pos="3060"/>
        </w:tabs>
        <w:spacing w:line="360" w:lineRule="auto"/>
        <w:ind w:firstLine="630" w:firstLineChars="300"/>
        <w:rPr>
          <w:rFonts w:ascii="宋体" w:hAnsi="宋体"/>
          <w:color w:val="000000" w:themeColor="text1"/>
          <w:szCs w:val="21"/>
        </w:rPr>
      </w:pPr>
      <w:r>
        <w:rPr>
          <w:rFonts w:hint="eastAsia" w:ascii="宋体" w:hAnsi="宋体"/>
          <w:color w:val="000000" w:themeColor="text1"/>
          <w:szCs w:val="21"/>
        </w:rPr>
        <w:t xml:space="preserve"> 联系电话：</w:t>
      </w:r>
      <w:r>
        <w:rPr>
          <w:rFonts w:hint="eastAsia" w:cs="宋体"/>
          <w:szCs w:val="21"/>
          <w:lang w:eastAsia="zh-CN"/>
        </w:rPr>
        <w:t>15285425242</w:t>
      </w:r>
      <w:r>
        <w:rPr>
          <w:rFonts w:hint="eastAsia" w:ascii="宋体" w:hAnsi="宋体" w:cs="宋体"/>
          <w:szCs w:val="21"/>
        </w:rPr>
        <w:t xml:space="preserve"> </w:t>
      </w:r>
      <w:r>
        <w:rPr>
          <w:rFonts w:hint="eastAsia" w:ascii="宋体" w:hAnsi="宋体"/>
          <w:color w:val="000000" w:themeColor="text1"/>
          <w:szCs w:val="21"/>
        </w:rPr>
        <w:t xml:space="preserve">  </w:t>
      </w:r>
    </w:p>
    <w:p>
      <w:pPr>
        <w:tabs>
          <w:tab w:val="left" w:pos="3060"/>
        </w:tabs>
        <w:spacing w:line="360" w:lineRule="auto"/>
        <w:ind w:firstLine="525" w:firstLineChars="250"/>
        <w:rPr>
          <w:rFonts w:ascii="宋体" w:hAnsi="宋体"/>
          <w:szCs w:val="21"/>
        </w:rPr>
      </w:pPr>
      <w:r>
        <w:rPr>
          <w:rFonts w:hint="eastAsia" w:ascii="宋体" w:hAnsi="宋体"/>
          <w:szCs w:val="21"/>
        </w:rPr>
        <w:t>7.3供应商在《竞争性磋商文件》</w:t>
      </w:r>
      <w:r>
        <w:rPr>
          <w:rFonts w:hint="eastAsia" w:ascii="宋体" w:hAnsi="宋体"/>
          <w:szCs w:val="21"/>
          <w:lang w:val="en-US" w:eastAsia="zh-CN"/>
        </w:rPr>
        <w:t>发布</w:t>
      </w:r>
      <w:r>
        <w:rPr>
          <w:rFonts w:hint="eastAsia" w:ascii="宋体" w:hAnsi="宋体"/>
          <w:szCs w:val="21"/>
        </w:rPr>
        <w:t>之日</w:t>
      </w:r>
      <w:r>
        <w:rPr>
          <w:rFonts w:hint="eastAsia" w:ascii="宋体" w:hAnsi="宋体"/>
          <w:szCs w:val="21"/>
          <w:lang w:val="en-US" w:eastAsia="zh-CN"/>
        </w:rPr>
        <w:t>起</w:t>
      </w:r>
      <w:r>
        <w:rPr>
          <w:rFonts w:hint="eastAsia" w:ascii="宋体" w:hAnsi="宋体"/>
          <w:szCs w:val="21"/>
        </w:rPr>
        <w:t xml:space="preserve"> 7 个工作日内，没有按前款（7.2条）要求提出书面质疑或询问的，将被视为完全认同竞争性磋商文件。在此时间之后提出质疑或询问的， 本公司及采购人不答复。</w:t>
      </w:r>
    </w:p>
    <w:p>
      <w:pPr>
        <w:tabs>
          <w:tab w:val="left" w:pos="3060"/>
        </w:tabs>
        <w:spacing w:line="360" w:lineRule="auto"/>
        <w:ind w:firstLine="525" w:firstLineChars="250"/>
        <w:rPr>
          <w:rFonts w:ascii="宋体" w:hAnsi="宋体"/>
          <w:szCs w:val="21"/>
        </w:rPr>
      </w:pPr>
      <w:r>
        <w:rPr>
          <w:rFonts w:hint="eastAsia" w:ascii="宋体" w:hAnsi="宋体"/>
          <w:szCs w:val="21"/>
        </w:rPr>
        <w:t>7.4供应商需现场踏勘的，请自行安排踏勘；因踏勘产生的一切费用、责任均由踏勘人自行负责。</w:t>
      </w:r>
    </w:p>
    <w:p>
      <w:pPr>
        <w:tabs>
          <w:tab w:val="left" w:pos="3060"/>
        </w:tabs>
        <w:spacing w:line="360" w:lineRule="auto"/>
        <w:ind w:firstLine="525" w:firstLineChars="250"/>
        <w:rPr>
          <w:rFonts w:ascii="宋体" w:hAnsi="宋体"/>
          <w:szCs w:val="21"/>
        </w:rPr>
      </w:pPr>
      <w:r>
        <w:rPr>
          <w:rFonts w:hint="eastAsia" w:ascii="宋体" w:hAnsi="宋体"/>
          <w:szCs w:val="21"/>
        </w:rPr>
        <w:t>7.5在磋商期间，竞争性磋商文件中存在的瑕疵或疏漏由磋商委员会进行明确或澄清， 但不得对竞争性磋商文件作实质性的修改。</w:t>
      </w:r>
    </w:p>
    <w:p>
      <w:pPr>
        <w:tabs>
          <w:tab w:val="left" w:pos="3060"/>
        </w:tabs>
        <w:spacing w:line="360" w:lineRule="auto"/>
        <w:jc w:val="center"/>
        <w:rPr>
          <w:rFonts w:ascii="宋体" w:hAnsi="宋体"/>
          <w:b/>
          <w:sz w:val="24"/>
          <w:szCs w:val="24"/>
        </w:rPr>
      </w:pPr>
      <w:r>
        <w:rPr>
          <w:rFonts w:ascii="宋体" w:hAnsi="宋体"/>
          <w:b/>
          <w:sz w:val="24"/>
          <w:szCs w:val="24"/>
        </w:rPr>
        <w:t>三</w:t>
      </w:r>
      <w:r>
        <w:rPr>
          <w:rFonts w:hint="eastAsia" w:ascii="宋体" w:hAnsi="宋体"/>
          <w:b/>
          <w:sz w:val="24"/>
          <w:szCs w:val="24"/>
        </w:rPr>
        <w:t>、竞争性磋商响应文件</w:t>
      </w:r>
      <w:r>
        <w:rPr>
          <w:rFonts w:ascii="宋体" w:hAnsi="宋体"/>
          <w:b/>
          <w:sz w:val="24"/>
          <w:szCs w:val="24"/>
        </w:rPr>
        <w:t>的编制</w:t>
      </w:r>
    </w:p>
    <w:p>
      <w:pPr>
        <w:tabs>
          <w:tab w:val="left" w:pos="3060"/>
        </w:tabs>
        <w:spacing w:line="360" w:lineRule="auto"/>
        <w:ind w:firstLine="422" w:firstLineChars="200"/>
        <w:rPr>
          <w:rFonts w:ascii="宋体" w:hAnsi="宋体"/>
          <w:b/>
          <w:szCs w:val="21"/>
        </w:rPr>
      </w:pPr>
      <w:r>
        <w:rPr>
          <w:rFonts w:hint="eastAsia" w:ascii="宋体" w:hAnsi="宋体"/>
          <w:b/>
          <w:szCs w:val="21"/>
        </w:rPr>
        <w:t>8</w:t>
      </w:r>
      <w:r>
        <w:rPr>
          <w:rFonts w:ascii="宋体" w:hAnsi="宋体"/>
          <w:b/>
          <w:szCs w:val="21"/>
        </w:rPr>
        <w:t>．投标的语言</w:t>
      </w:r>
      <w:r>
        <w:rPr>
          <w:rFonts w:hint="eastAsia" w:ascii="宋体" w:hAnsi="宋体"/>
          <w:b/>
          <w:szCs w:val="21"/>
        </w:rPr>
        <w:t>和计量单位</w:t>
      </w:r>
    </w:p>
    <w:p>
      <w:pPr>
        <w:tabs>
          <w:tab w:val="left" w:pos="3060"/>
        </w:tabs>
        <w:spacing w:line="360" w:lineRule="auto"/>
        <w:ind w:firstLine="420" w:firstLineChars="200"/>
        <w:rPr>
          <w:rFonts w:ascii="宋体" w:hAnsi="宋体"/>
          <w:b/>
          <w:szCs w:val="21"/>
        </w:rPr>
      </w:pPr>
      <w:r>
        <w:rPr>
          <w:rFonts w:hint="eastAsia" w:ascii="宋体" w:hAnsi="宋体"/>
          <w:szCs w:val="21"/>
        </w:rPr>
        <w:t>8.</w:t>
      </w:r>
      <w:r>
        <w:rPr>
          <w:rFonts w:ascii="宋体" w:hAnsi="宋体"/>
          <w:szCs w:val="21"/>
        </w:rPr>
        <w:t xml:space="preserve">1 </w:t>
      </w:r>
      <w:r>
        <w:rPr>
          <w:rFonts w:hint="eastAsia" w:ascii="宋体" w:hAnsi="宋体"/>
          <w:szCs w:val="21"/>
        </w:rPr>
        <w:t>供应商</w:t>
      </w:r>
      <w:r>
        <w:rPr>
          <w:rFonts w:ascii="宋体" w:hAnsi="宋体"/>
          <w:szCs w:val="21"/>
        </w:rPr>
        <w:t>提交的</w:t>
      </w:r>
      <w:r>
        <w:rPr>
          <w:rFonts w:hint="eastAsia" w:ascii="宋体" w:hAnsi="宋体"/>
          <w:szCs w:val="21"/>
        </w:rPr>
        <w:t>竞争性磋商响应文件</w:t>
      </w:r>
      <w:r>
        <w:rPr>
          <w:rFonts w:ascii="宋体" w:hAnsi="宋体"/>
          <w:szCs w:val="21"/>
        </w:rPr>
        <w:t>以及</w:t>
      </w:r>
      <w:r>
        <w:rPr>
          <w:rFonts w:hint="eastAsia" w:ascii="宋体" w:hAnsi="宋体"/>
          <w:szCs w:val="21"/>
        </w:rPr>
        <w:t>供应商</w:t>
      </w:r>
      <w:r>
        <w:rPr>
          <w:rFonts w:ascii="宋体" w:hAnsi="宋体"/>
          <w:szCs w:val="21"/>
        </w:rPr>
        <w:t>与</w:t>
      </w:r>
      <w:r>
        <w:rPr>
          <w:rFonts w:hint="eastAsia" w:ascii="宋体" w:hAnsi="宋体" w:cs="宋体"/>
          <w:szCs w:val="21"/>
        </w:rPr>
        <w:t>采购代理机构</w:t>
      </w:r>
      <w:r>
        <w:rPr>
          <w:rFonts w:ascii="宋体" w:hAnsi="宋体"/>
          <w:szCs w:val="21"/>
        </w:rPr>
        <w:t>就有关投标的所有来往函电均应使用简体中文书写。</w:t>
      </w:r>
      <w:r>
        <w:rPr>
          <w:rFonts w:hint="eastAsia" w:ascii="宋体" w:hAnsi="宋体"/>
          <w:b/>
          <w:szCs w:val="21"/>
        </w:rPr>
        <w:t>供应商可以提交使用其它语言的资料，但有关段落必须译成中文，在解释或有差异矛盾时以中文翻译件为准。</w:t>
      </w:r>
    </w:p>
    <w:p>
      <w:pPr>
        <w:tabs>
          <w:tab w:val="left" w:pos="3060"/>
        </w:tabs>
        <w:spacing w:line="360" w:lineRule="auto"/>
        <w:ind w:firstLine="420" w:firstLineChars="200"/>
        <w:rPr>
          <w:rFonts w:ascii="宋体" w:hAnsi="宋体"/>
          <w:szCs w:val="21"/>
        </w:rPr>
      </w:pPr>
      <w:r>
        <w:rPr>
          <w:rFonts w:hint="eastAsia" w:ascii="宋体" w:hAnsi="宋体"/>
          <w:szCs w:val="21"/>
        </w:rPr>
        <w:t>8.2 竞争性磋商响应文件中所使用的计量单位除竞争性磋商文件中有特殊规定外，一律使用法定计量单位。</w:t>
      </w:r>
    </w:p>
    <w:p>
      <w:pPr>
        <w:tabs>
          <w:tab w:val="left" w:pos="3060"/>
        </w:tabs>
        <w:spacing w:line="360" w:lineRule="auto"/>
        <w:ind w:firstLine="413" w:firstLineChars="196"/>
        <w:rPr>
          <w:rFonts w:ascii="宋体" w:hAnsi="宋体"/>
          <w:b/>
          <w:szCs w:val="21"/>
        </w:rPr>
      </w:pPr>
      <w:r>
        <w:rPr>
          <w:rFonts w:hint="eastAsia" w:ascii="宋体" w:hAnsi="宋体"/>
          <w:b/>
          <w:szCs w:val="21"/>
        </w:rPr>
        <w:t>9</w:t>
      </w:r>
      <w:r>
        <w:rPr>
          <w:rFonts w:ascii="宋体" w:hAnsi="宋体"/>
          <w:b/>
          <w:szCs w:val="21"/>
        </w:rPr>
        <w:t>．</w:t>
      </w:r>
      <w:r>
        <w:rPr>
          <w:rFonts w:hint="eastAsia" w:ascii="宋体" w:hAnsi="宋体"/>
          <w:b/>
          <w:szCs w:val="21"/>
        </w:rPr>
        <w:t>竞争性磋商响应文件构</w:t>
      </w:r>
      <w:r>
        <w:rPr>
          <w:rFonts w:ascii="宋体" w:hAnsi="宋体"/>
          <w:b/>
          <w:szCs w:val="21"/>
        </w:rPr>
        <w:t>成</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9.</w:t>
      </w:r>
      <w:r>
        <w:rPr>
          <w:rFonts w:ascii="宋体" w:hAnsi="宋体"/>
          <w:szCs w:val="21"/>
        </w:rPr>
        <w:t>1</w:t>
      </w:r>
      <w:r>
        <w:rPr>
          <w:rFonts w:hint="eastAsia" w:ascii="宋体" w:hAnsi="宋体"/>
          <w:b/>
          <w:szCs w:val="21"/>
        </w:rPr>
        <w:t>供应商应按照竞争性磋商响应文件格式及所列内容进行竞争性磋商响应文件编制</w:t>
      </w:r>
      <w:r>
        <w:rPr>
          <w:rFonts w:hint="eastAsia" w:ascii="宋体" w:hAnsi="宋体"/>
          <w:szCs w:val="21"/>
        </w:rPr>
        <w:t>，且至少</w:t>
      </w:r>
      <w:r>
        <w:rPr>
          <w:rFonts w:ascii="宋体" w:hAnsi="宋体"/>
          <w:szCs w:val="21"/>
        </w:rPr>
        <w:t>应包括下列部分：</w:t>
      </w:r>
    </w:p>
    <w:p>
      <w:pPr>
        <w:tabs>
          <w:tab w:val="left" w:pos="3060"/>
        </w:tabs>
        <w:spacing w:line="360" w:lineRule="auto"/>
        <w:rPr>
          <w:rFonts w:ascii="宋体" w:hAnsi="宋体"/>
          <w:szCs w:val="21"/>
        </w:rPr>
      </w:pPr>
      <w:r>
        <w:rPr>
          <w:rFonts w:hint="eastAsia" w:ascii="宋体" w:hAnsi="宋体"/>
          <w:b/>
          <w:szCs w:val="21"/>
        </w:rPr>
        <w:t xml:space="preserve">  </w:t>
      </w:r>
      <w:r>
        <w:rPr>
          <w:rFonts w:ascii="宋体" w:hAnsi="宋体"/>
          <w:szCs w:val="21"/>
        </w:rPr>
        <w:t>　（1）按照</w:t>
      </w:r>
      <w:r>
        <w:rPr>
          <w:rFonts w:hint="eastAsia" w:ascii="宋体" w:hAnsi="宋体"/>
          <w:szCs w:val="21"/>
        </w:rPr>
        <w:t>供应商</w:t>
      </w:r>
      <w:r>
        <w:rPr>
          <w:rFonts w:ascii="宋体" w:hAnsi="宋体"/>
          <w:szCs w:val="21"/>
        </w:rPr>
        <w:t>须知第</w:t>
      </w:r>
      <w:r>
        <w:rPr>
          <w:rFonts w:hint="eastAsia" w:ascii="宋体" w:hAnsi="宋体"/>
          <w:szCs w:val="21"/>
        </w:rPr>
        <w:t>10</w:t>
      </w:r>
      <w:r>
        <w:rPr>
          <w:rFonts w:ascii="宋体" w:hAnsi="宋体"/>
          <w:szCs w:val="21"/>
        </w:rPr>
        <w:t>、1</w:t>
      </w:r>
      <w:r>
        <w:rPr>
          <w:rFonts w:hint="eastAsia" w:ascii="宋体" w:hAnsi="宋体"/>
          <w:szCs w:val="21"/>
        </w:rPr>
        <w:t>1</w:t>
      </w:r>
      <w:r>
        <w:rPr>
          <w:rFonts w:ascii="宋体" w:hAnsi="宋体"/>
          <w:szCs w:val="21"/>
        </w:rPr>
        <w:t>和</w:t>
      </w:r>
      <w:r>
        <w:rPr>
          <w:rFonts w:hint="eastAsia" w:ascii="宋体" w:hAnsi="宋体"/>
          <w:szCs w:val="21"/>
        </w:rPr>
        <w:t>12</w:t>
      </w:r>
      <w:r>
        <w:rPr>
          <w:rFonts w:ascii="宋体" w:hAnsi="宋体"/>
          <w:szCs w:val="21"/>
        </w:rPr>
        <w:t>条要求填写的投标</w:t>
      </w:r>
      <w:r>
        <w:rPr>
          <w:rFonts w:hint="eastAsia" w:ascii="宋体" w:hAnsi="宋体"/>
          <w:szCs w:val="21"/>
        </w:rPr>
        <w:t>书</w:t>
      </w:r>
      <w:r>
        <w:rPr>
          <w:rFonts w:ascii="宋体" w:hAnsi="宋体"/>
          <w:szCs w:val="21"/>
        </w:rPr>
        <w:t>、投标分项报价表以及供唱标时使用的、单独密封的</w:t>
      </w:r>
      <w:r>
        <w:rPr>
          <w:rFonts w:hint="eastAsia" w:ascii="宋体" w:hAnsi="宋体"/>
          <w:szCs w:val="21"/>
        </w:rPr>
        <w:t>开标一览表</w:t>
      </w:r>
      <w:r>
        <w:rPr>
          <w:rFonts w:ascii="宋体" w:hAnsi="宋体"/>
          <w:szCs w:val="21"/>
        </w:rPr>
        <w:t>；</w:t>
      </w:r>
    </w:p>
    <w:p>
      <w:pPr>
        <w:tabs>
          <w:tab w:val="left" w:pos="3060"/>
        </w:tabs>
        <w:spacing w:line="360" w:lineRule="auto"/>
        <w:ind w:firstLine="420"/>
        <w:rPr>
          <w:rFonts w:ascii="宋体" w:hAnsi="宋体"/>
          <w:szCs w:val="21"/>
        </w:rPr>
      </w:pPr>
      <w:r>
        <w:rPr>
          <w:rFonts w:ascii="宋体" w:hAnsi="宋体"/>
          <w:szCs w:val="21"/>
        </w:rPr>
        <w:t>（2）按照</w:t>
      </w:r>
      <w:r>
        <w:rPr>
          <w:rFonts w:hint="eastAsia" w:ascii="宋体" w:hAnsi="宋体"/>
          <w:szCs w:val="21"/>
        </w:rPr>
        <w:t>供应商</w:t>
      </w:r>
      <w:r>
        <w:rPr>
          <w:rFonts w:ascii="宋体" w:hAnsi="宋体"/>
          <w:szCs w:val="21"/>
        </w:rPr>
        <w:t>须知第</w:t>
      </w:r>
      <w:r>
        <w:rPr>
          <w:rFonts w:hint="eastAsia" w:ascii="宋体" w:hAnsi="宋体"/>
          <w:szCs w:val="21"/>
        </w:rPr>
        <w:t>13</w:t>
      </w:r>
      <w:r>
        <w:rPr>
          <w:rFonts w:ascii="宋体" w:hAnsi="宋体"/>
          <w:szCs w:val="21"/>
        </w:rPr>
        <w:t>条要求出具的资格证明文件，证明</w:t>
      </w:r>
      <w:r>
        <w:rPr>
          <w:rFonts w:hint="eastAsia" w:ascii="宋体" w:hAnsi="宋体"/>
          <w:szCs w:val="21"/>
        </w:rPr>
        <w:t>供应商</w:t>
      </w:r>
      <w:r>
        <w:rPr>
          <w:rFonts w:ascii="宋体" w:hAnsi="宋体"/>
          <w:szCs w:val="21"/>
        </w:rPr>
        <w:t>是合格的，而且中标后有能力履行合同；</w:t>
      </w:r>
    </w:p>
    <w:p>
      <w:pPr>
        <w:tabs>
          <w:tab w:val="left" w:pos="3060"/>
        </w:tabs>
        <w:spacing w:line="360" w:lineRule="auto"/>
        <w:ind w:firstLine="420" w:firstLineChars="200"/>
        <w:rPr>
          <w:rFonts w:ascii="宋体" w:hAnsi="宋体"/>
          <w:szCs w:val="21"/>
        </w:rPr>
      </w:pPr>
      <w:r>
        <w:rPr>
          <w:rFonts w:ascii="宋体" w:hAnsi="宋体"/>
          <w:szCs w:val="21"/>
        </w:rPr>
        <w:t>（3）按照</w:t>
      </w:r>
      <w:r>
        <w:rPr>
          <w:rFonts w:hint="eastAsia" w:ascii="宋体" w:hAnsi="宋体"/>
          <w:szCs w:val="21"/>
        </w:rPr>
        <w:t>供应商</w:t>
      </w:r>
      <w:r>
        <w:rPr>
          <w:rFonts w:ascii="宋体" w:hAnsi="宋体"/>
          <w:szCs w:val="21"/>
        </w:rPr>
        <w:t>须知第</w:t>
      </w:r>
      <w:r>
        <w:rPr>
          <w:rFonts w:hint="eastAsia" w:ascii="宋体" w:hAnsi="宋体"/>
          <w:szCs w:val="21"/>
        </w:rPr>
        <w:t>14</w:t>
      </w:r>
      <w:r>
        <w:rPr>
          <w:rFonts w:ascii="宋体" w:hAnsi="宋体"/>
          <w:szCs w:val="21"/>
        </w:rPr>
        <w:t>条要求出具的证明文件，证明</w:t>
      </w:r>
      <w:r>
        <w:rPr>
          <w:rFonts w:hint="eastAsia" w:ascii="宋体" w:hAnsi="宋体"/>
          <w:szCs w:val="21"/>
        </w:rPr>
        <w:t>供应商</w:t>
      </w:r>
      <w:r>
        <w:rPr>
          <w:rFonts w:ascii="宋体" w:hAnsi="宋体"/>
          <w:szCs w:val="21"/>
        </w:rPr>
        <w:t>提供的货物及服务是合格的，且符合</w:t>
      </w:r>
      <w:r>
        <w:rPr>
          <w:rFonts w:hint="eastAsia" w:ascii="宋体" w:hAnsi="宋体"/>
          <w:szCs w:val="21"/>
        </w:rPr>
        <w:t>竞争性磋商</w:t>
      </w:r>
      <w:r>
        <w:rPr>
          <w:rFonts w:ascii="宋体" w:hAnsi="宋体"/>
          <w:szCs w:val="21"/>
        </w:rPr>
        <w:t>文件规定；</w:t>
      </w:r>
    </w:p>
    <w:p>
      <w:pPr>
        <w:tabs>
          <w:tab w:val="left" w:pos="3060"/>
        </w:tabs>
        <w:spacing w:line="360" w:lineRule="auto"/>
        <w:ind w:firstLine="480"/>
        <w:rPr>
          <w:rFonts w:ascii="宋体" w:hAnsi="宋体"/>
          <w:szCs w:val="21"/>
        </w:rPr>
      </w:pPr>
      <w:r>
        <w:rPr>
          <w:rFonts w:ascii="宋体" w:hAnsi="宋体"/>
          <w:szCs w:val="21"/>
        </w:rPr>
        <w:t>（</w:t>
      </w:r>
      <w:r>
        <w:rPr>
          <w:rFonts w:hint="eastAsia" w:ascii="宋体" w:hAnsi="宋体"/>
          <w:szCs w:val="21"/>
        </w:rPr>
        <w:t>4</w:t>
      </w:r>
      <w:r>
        <w:rPr>
          <w:rFonts w:ascii="宋体" w:hAnsi="宋体"/>
          <w:szCs w:val="21"/>
        </w:rPr>
        <w:t>）按照</w:t>
      </w:r>
      <w:r>
        <w:rPr>
          <w:rFonts w:hint="eastAsia" w:ascii="宋体" w:hAnsi="宋体"/>
          <w:szCs w:val="21"/>
        </w:rPr>
        <w:t>供应商</w:t>
      </w:r>
      <w:r>
        <w:rPr>
          <w:rFonts w:ascii="宋体" w:hAnsi="宋体"/>
          <w:szCs w:val="21"/>
        </w:rPr>
        <w:t>须知第</w:t>
      </w:r>
      <w:r>
        <w:rPr>
          <w:rFonts w:hint="eastAsia" w:ascii="宋体" w:hAnsi="宋体"/>
          <w:szCs w:val="21"/>
        </w:rPr>
        <w:t>15</w:t>
      </w:r>
      <w:r>
        <w:rPr>
          <w:rFonts w:ascii="宋体" w:hAnsi="宋体"/>
          <w:szCs w:val="21"/>
        </w:rPr>
        <w:t>条</w:t>
      </w:r>
      <w:r>
        <w:rPr>
          <w:rFonts w:hint="eastAsia" w:ascii="宋体" w:hAnsi="宋体"/>
          <w:szCs w:val="21"/>
        </w:rPr>
        <w:t>的</w:t>
      </w:r>
      <w:r>
        <w:rPr>
          <w:rFonts w:ascii="宋体" w:hAnsi="宋体"/>
          <w:szCs w:val="21"/>
        </w:rPr>
        <w:t>规定提交的</w:t>
      </w:r>
      <w:r>
        <w:rPr>
          <w:rFonts w:hint="eastAsia" w:ascii="宋体" w:hAnsi="宋体"/>
          <w:szCs w:val="21"/>
        </w:rPr>
        <w:t>磋商</w:t>
      </w:r>
      <w:r>
        <w:rPr>
          <w:rFonts w:ascii="宋体" w:hAnsi="宋体"/>
          <w:szCs w:val="21"/>
        </w:rPr>
        <w:t>保证金</w:t>
      </w:r>
      <w:r>
        <w:rPr>
          <w:rFonts w:hint="eastAsia" w:ascii="宋体" w:hAnsi="宋体"/>
          <w:szCs w:val="21"/>
        </w:rPr>
        <w:t>；</w:t>
      </w:r>
    </w:p>
    <w:p>
      <w:pPr>
        <w:tabs>
          <w:tab w:val="left" w:pos="3060"/>
        </w:tabs>
        <w:spacing w:line="360" w:lineRule="auto"/>
        <w:ind w:firstLine="420" w:firstLineChars="200"/>
        <w:rPr>
          <w:rFonts w:ascii="宋体" w:hAnsi="宋体"/>
          <w:szCs w:val="21"/>
        </w:rPr>
      </w:pPr>
      <w:r>
        <w:rPr>
          <w:rFonts w:hint="eastAsia" w:ascii="宋体" w:hAnsi="宋体"/>
          <w:szCs w:val="21"/>
        </w:rPr>
        <w:t xml:space="preserve"> （5）竞争性磋商文件要求的其他内容。</w:t>
      </w:r>
    </w:p>
    <w:p>
      <w:pPr>
        <w:tabs>
          <w:tab w:val="left" w:pos="3060"/>
        </w:tabs>
        <w:spacing w:line="360" w:lineRule="auto"/>
        <w:ind w:firstLine="413" w:firstLineChars="196"/>
        <w:rPr>
          <w:rFonts w:ascii="宋体" w:hAnsi="宋体"/>
          <w:b/>
          <w:szCs w:val="21"/>
        </w:rPr>
      </w:pPr>
      <w:r>
        <w:rPr>
          <w:rFonts w:hint="eastAsia" w:ascii="宋体" w:hAnsi="宋体"/>
          <w:b/>
          <w:szCs w:val="21"/>
        </w:rPr>
        <w:t>10</w:t>
      </w:r>
      <w:r>
        <w:rPr>
          <w:rFonts w:ascii="宋体" w:hAnsi="宋体"/>
          <w:b/>
          <w:szCs w:val="21"/>
        </w:rPr>
        <w:t>．</w:t>
      </w:r>
      <w:r>
        <w:rPr>
          <w:rFonts w:hint="eastAsia" w:ascii="宋体" w:hAnsi="宋体"/>
          <w:b/>
          <w:szCs w:val="21"/>
        </w:rPr>
        <w:t>竞争性磋商响应文件的编写</w:t>
      </w:r>
    </w:p>
    <w:p>
      <w:pPr>
        <w:pStyle w:val="25"/>
        <w:spacing w:line="360" w:lineRule="auto"/>
        <w:ind w:left="3" w:firstLine="457" w:firstLineChars="218"/>
        <w:rPr>
          <w:rFonts w:hAnsi="宋体"/>
          <w:szCs w:val="21"/>
        </w:rPr>
      </w:pPr>
      <w:r>
        <w:rPr>
          <w:rFonts w:hint="eastAsia" w:hAnsi="宋体"/>
          <w:szCs w:val="21"/>
        </w:rPr>
        <w:t>10.1  供应商应按照第六章竞争性磋商响应文件格式完整地填写投标书、开标一览表、投标分项报价表以及竞争性磋商文件中规定的其它内容。</w:t>
      </w:r>
    </w:p>
    <w:p>
      <w:pPr>
        <w:tabs>
          <w:tab w:val="left" w:pos="3060"/>
        </w:tabs>
        <w:spacing w:line="360" w:lineRule="auto"/>
        <w:ind w:firstLine="480"/>
        <w:rPr>
          <w:rFonts w:ascii="宋体" w:hAnsi="宋体"/>
          <w:szCs w:val="21"/>
        </w:rPr>
      </w:pPr>
      <w:r>
        <w:rPr>
          <w:rFonts w:hint="eastAsia" w:ascii="宋体" w:hAnsi="宋体"/>
          <w:szCs w:val="21"/>
        </w:rPr>
        <w:t>10.2  供应商应当按照竞争性磋商文件要求编制竞争性磋商响应文件，并根据自己的商务能力、技术水平对竞争性磋商文件提出的要求和条件作出真实的响应。</w:t>
      </w:r>
    </w:p>
    <w:p>
      <w:pPr>
        <w:pStyle w:val="25"/>
        <w:spacing w:line="360" w:lineRule="auto"/>
        <w:ind w:firstLine="420" w:firstLineChars="200"/>
        <w:rPr>
          <w:rFonts w:hAnsi="宋体"/>
          <w:szCs w:val="21"/>
        </w:rPr>
      </w:pPr>
      <w:r>
        <w:rPr>
          <w:rFonts w:hint="eastAsia" w:hAnsi="宋体"/>
          <w:szCs w:val="21"/>
        </w:rPr>
        <w:t>10.3  除非</w:t>
      </w:r>
      <w:r>
        <w:rPr>
          <w:rFonts w:hint="eastAsia" w:hAnsi="宋体"/>
          <w:b/>
          <w:szCs w:val="21"/>
        </w:rPr>
        <w:t>“供应商须知前附表”</w:t>
      </w:r>
      <w:r>
        <w:rPr>
          <w:rFonts w:hint="eastAsia" w:hAnsi="宋体"/>
          <w:szCs w:val="21"/>
        </w:rPr>
        <w:t>或</w:t>
      </w:r>
      <w:r>
        <w:rPr>
          <w:rFonts w:hint="eastAsia" w:hAnsi="宋体"/>
          <w:b/>
          <w:szCs w:val="21"/>
        </w:rPr>
        <w:t>技术规格</w:t>
      </w:r>
      <w:r>
        <w:rPr>
          <w:rFonts w:hint="eastAsia" w:hAnsi="宋体"/>
          <w:szCs w:val="21"/>
        </w:rPr>
        <w:t>中另有规定，只允许供应商提供一个投标方案，否则，其投标将被否决。如果</w:t>
      </w:r>
      <w:r>
        <w:rPr>
          <w:rFonts w:hint="eastAsia" w:hAnsi="宋体"/>
          <w:bCs/>
          <w:szCs w:val="21"/>
        </w:rPr>
        <w:t>供应商须知前附表</w:t>
      </w:r>
      <w:r>
        <w:rPr>
          <w:rFonts w:hint="eastAsia" w:hAnsi="宋体"/>
          <w:szCs w:val="21"/>
        </w:rPr>
        <w:t>或技术规格中规定允许有备选方案或要求有备选方案，供应商在竞争性磋商响应文件中只能提供一个备选方案并注明主选方案，且备选方案的投标价格和评标价格均不得高于主选方案的对应价格（备选方案的综合评价不得劣于主选方案）。评标时仅对主选方案进行评议或评价。如果供应商提供两个以上备选方案或未注明主选方案，其投标将被否决。</w:t>
      </w:r>
    </w:p>
    <w:p>
      <w:pPr>
        <w:tabs>
          <w:tab w:val="left" w:pos="3060"/>
        </w:tabs>
        <w:spacing w:line="360" w:lineRule="auto"/>
        <w:ind w:firstLine="527" w:firstLineChars="250"/>
        <w:rPr>
          <w:rFonts w:ascii="宋体" w:hAnsi="宋体"/>
          <w:b/>
          <w:szCs w:val="21"/>
        </w:rPr>
      </w:pPr>
      <w:r>
        <w:rPr>
          <w:rFonts w:hint="eastAsia" w:ascii="宋体" w:hAnsi="宋体"/>
          <w:b/>
          <w:szCs w:val="21"/>
        </w:rPr>
        <w:t>11</w:t>
      </w:r>
      <w:r>
        <w:rPr>
          <w:rFonts w:ascii="宋体" w:hAnsi="宋体"/>
          <w:b/>
          <w:szCs w:val="21"/>
        </w:rPr>
        <w:t>．</w:t>
      </w:r>
      <w:r>
        <w:rPr>
          <w:rFonts w:hint="eastAsia" w:ascii="宋体" w:hAnsi="宋体"/>
          <w:b/>
          <w:szCs w:val="21"/>
        </w:rPr>
        <w:t>投标报价</w:t>
      </w:r>
    </w:p>
    <w:p>
      <w:pPr>
        <w:tabs>
          <w:tab w:val="left" w:pos="3060"/>
        </w:tabs>
        <w:spacing w:line="360" w:lineRule="auto"/>
        <w:ind w:firstLine="525" w:firstLineChars="250"/>
        <w:rPr>
          <w:rFonts w:ascii="宋体" w:hAnsi="宋体"/>
          <w:szCs w:val="21"/>
        </w:rPr>
      </w:pPr>
      <w:r>
        <w:rPr>
          <w:rFonts w:hint="eastAsia" w:ascii="宋体" w:hAnsi="宋体"/>
          <w:szCs w:val="21"/>
        </w:rPr>
        <w:t>11.</w:t>
      </w:r>
      <w:r>
        <w:rPr>
          <w:rFonts w:ascii="宋体" w:hAnsi="宋体"/>
          <w:szCs w:val="21"/>
        </w:rPr>
        <w:t xml:space="preserve">1 </w:t>
      </w:r>
      <w:r>
        <w:rPr>
          <w:rFonts w:hint="eastAsia" w:ascii="宋体" w:hAnsi="宋体"/>
          <w:szCs w:val="21"/>
        </w:rPr>
        <w:t>供应商</w:t>
      </w:r>
      <w:r>
        <w:rPr>
          <w:rFonts w:ascii="宋体" w:hAnsi="宋体"/>
          <w:szCs w:val="21"/>
        </w:rPr>
        <w:t>应按</w:t>
      </w:r>
      <w:r>
        <w:rPr>
          <w:rFonts w:hint="eastAsia" w:ascii="宋体" w:hAnsi="宋体"/>
          <w:szCs w:val="21"/>
        </w:rPr>
        <w:t>竞争性磋商</w:t>
      </w:r>
      <w:r>
        <w:rPr>
          <w:rFonts w:ascii="宋体" w:hAnsi="宋体"/>
          <w:szCs w:val="21"/>
        </w:rPr>
        <w:t>文件规定的格式完整地填写投标书、开标一览表</w:t>
      </w:r>
      <w:r>
        <w:rPr>
          <w:rFonts w:hint="eastAsia" w:ascii="宋体" w:hAnsi="宋体"/>
          <w:szCs w:val="21"/>
        </w:rPr>
        <w:t>、</w:t>
      </w:r>
      <w:r>
        <w:rPr>
          <w:rFonts w:ascii="宋体" w:hAnsi="宋体"/>
          <w:szCs w:val="21"/>
        </w:rPr>
        <w:t>投标分项报价表</w:t>
      </w:r>
      <w:r>
        <w:rPr>
          <w:rFonts w:hint="eastAsia" w:ascii="宋体" w:hAnsi="宋体"/>
          <w:szCs w:val="21"/>
        </w:rPr>
        <w:t>等竞争性磋商响应文件</w:t>
      </w:r>
      <w:r>
        <w:rPr>
          <w:rFonts w:ascii="宋体" w:hAnsi="宋体"/>
          <w:szCs w:val="21"/>
        </w:rPr>
        <w:t>。</w:t>
      </w:r>
    </w:p>
    <w:p>
      <w:pPr>
        <w:tabs>
          <w:tab w:val="left" w:pos="3060"/>
        </w:tabs>
        <w:spacing w:line="360" w:lineRule="auto"/>
        <w:ind w:firstLine="525" w:firstLineChars="250"/>
        <w:rPr>
          <w:rFonts w:ascii="宋体" w:hAnsi="宋体"/>
          <w:b/>
          <w:szCs w:val="21"/>
        </w:rPr>
      </w:pPr>
      <w:r>
        <w:rPr>
          <w:rFonts w:hint="eastAsia" w:ascii="宋体" w:hAnsi="宋体"/>
          <w:szCs w:val="21"/>
        </w:rPr>
        <w:t>11.2 供应商</w:t>
      </w:r>
      <w:r>
        <w:rPr>
          <w:rFonts w:ascii="宋体" w:hAnsi="宋体"/>
          <w:szCs w:val="21"/>
        </w:rPr>
        <w:t>应在投标报价表上标明本合同拟提供货物的</w:t>
      </w:r>
      <w:r>
        <w:rPr>
          <w:rFonts w:hint="eastAsia" w:ascii="宋体" w:hAnsi="宋体"/>
          <w:szCs w:val="21"/>
        </w:rPr>
        <w:t>投标报价。</w:t>
      </w:r>
      <w:r>
        <w:rPr>
          <w:rFonts w:hint="eastAsia" w:ascii="宋体" w:hAnsi="宋体"/>
          <w:b/>
          <w:szCs w:val="21"/>
        </w:rPr>
        <w:t>报价应为按照“供应商须知前附表”中的要求, 包括货物价格以及其他费用在内的价格，即投标报价包括：报价应为包括货物价格、安装以及其他费用在内的价格，即投标报价包括：货物出厂价、运杂费、加工服务、增值服务各种税费等直至货物达到使用要求所发生的一切费用。</w:t>
      </w:r>
    </w:p>
    <w:p>
      <w:pPr>
        <w:tabs>
          <w:tab w:val="left" w:pos="3060"/>
        </w:tabs>
        <w:spacing w:line="360" w:lineRule="auto"/>
        <w:ind w:firstLine="525" w:firstLineChars="250"/>
        <w:rPr>
          <w:rFonts w:ascii="宋体" w:hAnsi="宋体"/>
          <w:szCs w:val="21"/>
        </w:rPr>
      </w:pPr>
      <w:r>
        <w:rPr>
          <w:rFonts w:hint="eastAsia" w:ascii="宋体" w:hAnsi="宋体"/>
          <w:szCs w:val="21"/>
        </w:rPr>
        <w:t>11.3 投标报价为最终报价，即在投标有效期和合同有效期内，该报价固定不变。</w:t>
      </w:r>
    </w:p>
    <w:p>
      <w:pPr>
        <w:tabs>
          <w:tab w:val="left" w:pos="3060"/>
        </w:tabs>
        <w:spacing w:line="360" w:lineRule="auto"/>
        <w:ind w:firstLine="420" w:firstLineChars="200"/>
        <w:rPr>
          <w:rFonts w:ascii="宋体" w:hAnsi="宋体"/>
          <w:szCs w:val="21"/>
        </w:rPr>
      </w:pPr>
      <w:r>
        <w:rPr>
          <w:rFonts w:hint="eastAsia" w:ascii="宋体" w:hAnsi="宋体"/>
          <w:szCs w:val="21"/>
        </w:rPr>
        <w:t xml:space="preserve"> 11.4 供应商的报价必须是符合竞争性磋商的要求，若存在有赠送配件或赠送消耗材料等优惠情况，报价不作调整。</w:t>
      </w:r>
    </w:p>
    <w:p>
      <w:pPr>
        <w:tabs>
          <w:tab w:val="left" w:pos="3060"/>
        </w:tabs>
        <w:spacing w:line="360" w:lineRule="auto"/>
        <w:ind w:firstLine="420" w:firstLineChars="200"/>
        <w:rPr>
          <w:rFonts w:ascii="宋体" w:hAnsi="宋体"/>
          <w:szCs w:val="21"/>
        </w:rPr>
      </w:pPr>
      <w:r>
        <w:rPr>
          <w:rFonts w:hint="eastAsia" w:ascii="宋体" w:hAnsi="宋体"/>
          <w:szCs w:val="21"/>
        </w:rPr>
        <w:t>11.5 本次竞争性磋商采购的预算价,见“</w:t>
      </w:r>
      <w:r>
        <w:rPr>
          <w:rFonts w:hint="eastAsia" w:ascii="宋体" w:hAnsi="宋体"/>
          <w:b/>
          <w:szCs w:val="21"/>
        </w:rPr>
        <w:t>供应商须知前附表”</w:t>
      </w:r>
      <w:r>
        <w:rPr>
          <w:rFonts w:hint="eastAsia" w:ascii="宋体" w:hAnsi="宋体"/>
          <w:szCs w:val="21"/>
        </w:rPr>
        <w:t>。</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2</w:t>
      </w:r>
      <w:r>
        <w:rPr>
          <w:rFonts w:ascii="宋体" w:hAnsi="宋体"/>
          <w:b/>
          <w:szCs w:val="21"/>
        </w:rPr>
        <w:t>．投标货币</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2.</w:t>
      </w:r>
      <w:r>
        <w:rPr>
          <w:rFonts w:ascii="宋体" w:hAnsi="宋体"/>
          <w:szCs w:val="21"/>
        </w:rPr>
        <w:t xml:space="preserve">1 </w:t>
      </w:r>
      <w:r>
        <w:rPr>
          <w:rFonts w:hint="eastAsia" w:ascii="宋体" w:hAnsi="宋体"/>
          <w:szCs w:val="21"/>
        </w:rPr>
        <w:t>供应商</w:t>
      </w:r>
      <w:r>
        <w:rPr>
          <w:rFonts w:ascii="宋体" w:hAnsi="宋体"/>
          <w:szCs w:val="21"/>
        </w:rPr>
        <w:t>应采用人民币</w:t>
      </w:r>
      <w:r>
        <w:rPr>
          <w:rFonts w:hint="eastAsia" w:ascii="宋体" w:hAnsi="宋体"/>
          <w:szCs w:val="21"/>
        </w:rPr>
        <w:t>报价</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3</w:t>
      </w:r>
      <w:r>
        <w:rPr>
          <w:rFonts w:ascii="宋体" w:hAnsi="宋体"/>
          <w:b/>
          <w:szCs w:val="21"/>
        </w:rPr>
        <w:t>．</w:t>
      </w:r>
      <w:r>
        <w:rPr>
          <w:rFonts w:hint="eastAsia" w:ascii="宋体" w:hAnsi="宋体"/>
          <w:b/>
          <w:szCs w:val="21"/>
        </w:rPr>
        <w:t>证明供应商合格的资格证明</w:t>
      </w:r>
      <w:r>
        <w:rPr>
          <w:rFonts w:ascii="宋体" w:hAnsi="宋体"/>
          <w:b/>
          <w:szCs w:val="21"/>
        </w:rPr>
        <w:t>文件</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3.</w:t>
      </w:r>
      <w:r>
        <w:rPr>
          <w:rFonts w:ascii="宋体" w:hAnsi="宋体"/>
          <w:szCs w:val="21"/>
        </w:rPr>
        <w:t>1</w:t>
      </w:r>
      <w:r>
        <w:rPr>
          <w:rFonts w:hint="eastAsia" w:ascii="宋体" w:hAnsi="宋体"/>
          <w:szCs w:val="21"/>
        </w:rPr>
        <w:t>供应商应提交证明其有资格参加投标和中标后有能力履行合同的文件，并作为其竞争性磋商响应文件的一部分。</w:t>
      </w:r>
    </w:p>
    <w:p>
      <w:pPr>
        <w:tabs>
          <w:tab w:val="left" w:pos="3060"/>
        </w:tabs>
        <w:spacing w:line="360" w:lineRule="auto"/>
        <w:ind w:firstLine="420"/>
        <w:rPr>
          <w:rFonts w:ascii="宋体" w:hAnsi="宋体"/>
          <w:szCs w:val="21"/>
        </w:rPr>
      </w:pPr>
      <w:r>
        <w:rPr>
          <w:rFonts w:ascii="宋体" w:hAnsi="宋体"/>
          <w:szCs w:val="21"/>
        </w:rPr>
        <w:t>1</w:t>
      </w:r>
      <w:r>
        <w:rPr>
          <w:rFonts w:hint="eastAsia" w:ascii="宋体" w:hAnsi="宋体"/>
          <w:szCs w:val="21"/>
        </w:rPr>
        <w:t>3.</w:t>
      </w:r>
      <w:r>
        <w:rPr>
          <w:rFonts w:ascii="宋体" w:hAnsi="宋体"/>
          <w:szCs w:val="21"/>
        </w:rPr>
        <w:t xml:space="preserve">2 </w:t>
      </w:r>
      <w:r>
        <w:rPr>
          <w:rFonts w:hint="eastAsia" w:ascii="宋体" w:hAnsi="宋体"/>
          <w:szCs w:val="21"/>
        </w:rPr>
        <w:t>供应商</w:t>
      </w:r>
      <w:r>
        <w:rPr>
          <w:rFonts w:ascii="宋体" w:hAnsi="宋体"/>
          <w:szCs w:val="21"/>
        </w:rPr>
        <w:t>提交的合格性的证明文件应</w:t>
      </w:r>
      <w:r>
        <w:rPr>
          <w:rFonts w:hint="eastAsia" w:ascii="宋体" w:hAnsi="宋体"/>
          <w:szCs w:val="21"/>
        </w:rPr>
        <w:t>合法有效，应包括下列文件：</w:t>
      </w:r>
    </w:p>
    <w:p>
      <w:pPr>
        <w:pStyle w:val="25"/>
        <w:tabs>
          <w:tab w:val="left" w:pos="630"/>
        </w:tabs>
        <w:spacing w:line="360" w:lineRule="auto"/>
        <w:rPr>
          <w:rFonts w:hAnsi="宋体"/>
          <w:szCs w:val="21"/>
        </w:rPr>
      </w:pPr>
      <w:r>
        <w:rPr>
          <w:rFonts w:hint="eastAsia" w:hAnsi="宋体"/>
          <w:szCs w:val="21"/>
        </w:rPr>
        <w:t xml:space="preserve">      1)证明供应商已具备履行合同所需的财务、技术和生产能力的文件；</w:t>
      </w:r>
    </w:p>
    <w:p>
      <w:pPr>
        <w:tabs>
          <w:tab w:val="left" w:pos="3060"/>
        </w:tabs>
        <w:spacing w:line="360" w:lineRule="auto"/>
        <w:ind w:firstLine="630" w:firstLineChars="300"/>
        <w:rPr>
          <w:rFonts w:ascii="宋体" w:hAnsi="宋体"/>
          <w:szCs w:val="21"/>
        </w:rPr>
      </w:pPr>
      <w:r>
        <w:rPr>
          <w:rFonts w:hint="eastAsia" w:ascii="宋体" w:hAnsi="宋体"/>
          <w:szCs w:val="21"/>
        </w:rPr>
        <w:t>2)本次竞争性磋商要求供应商提供的其它资格证明文件见</w:t>
      </w:r>
      <w:r>
        <w:rPr>
          <w:rFonts w:hint="eastAsia" w:ascii="宋体" w:hAnsi="宋体"/>
          <w:b/>
          <w:szCs w:val="21"/>
        </w:rPr>
        <w:t>“供应商须知前附表”</w:t>
      </w:r>
      <w:r>
        <w:rPr>
          <w:rFonts w:hint="eastAsia" w:ascii="宋体" w:hAnsi="宋体"/>
          <w:szCs w:val="21"/>
        </w:rPr>
        <w:t>。</w:t>
      </w:r>
    </w:p>
    <w:p>
      <w:pPr>
        <w:pStyle w:val="25"/>
        <w:spacing w:line="360" w:lineRule="auto"/>
        <w:ind w:left="13" w:leftChars="6" w:firstLine="436" w:firstLineChars="208"/>
        <w:rPr>
          <w:rFonts w:hAnsi="宋体"/>
          <w:szCs w:val="21"/>
        </w:rPr>
      </w:pPr>
      <w:r>
        <w:rPr>
          <w:rFonts w:hint="eastAsia" w:hAnsi="宋体"/>
          <w:szCs w:val="21"/>
        </w:rPr>
        <w:t>13.3 在竞争性磋商过程中，供应商发生合并、分立、破产等重大变化时，应当及时书面告知采购人。</w:t>
      </w:r>
    </w:p>
    <w:p>
      <w:pPr>
        <w:tabs>
          <w:tab w:val="left" w:pos="3060"/>
        </w:tabs>
        <w:spacing w:line="360" w:lineRule="auto"/>
        <w:ind w:firstLine="420"/>
        <w:rPr>
          <w:rFonts w:ascii="宋体" w:hAnsi="宋体"/>
          <w:b/>
          <w:szCs w:val="21"/>
        </w:rPr>
      </w:pPr>
      <w:r>
        <w:rPr>
          <w:rFonts w:ascii="宋体" w:hAnsi="宋体"/>
          <w:b/>
          <w:szCs w:val="21"/>
        </w:rPr>
        <w:t>1</w:t>
      </w:r>
      <w:r>
        <w:rPr>
          <w:rFonts w:hint="eastAsia" w:ascii="宋体" w:hAnsi="宋体"/>
          <w:b/>
          <w:szCs w:val="21"/>
        </w:rPr>
        <w:t>4</w:t>
      </w:r>
      <w:r>
        <w:rPr>
          <w:rFonts w:ascii="宋体" w:hAnsi="宋体"/>
          <w:b/>
          <w:szCs w:val="21"/>
        </w:rPr>
        <w:t>．证明货物的合格性和符合</w:t>
      </w:r>
      <w:r>
        <w:rPr>
          <w:rFonts w:hint="eastAsia" w:ascii="宋体" w:hAnsi="宋体"/>
          <w:b/>
          <w:szCs w:val="21"/>
        </w:rPr>
        <w:t>竞争性磋商</w:t>
      </w:r>
      <w:r>
        <w:rPr>
          <w:rFonts w:ascii="宋体" w:hAnsi="宋体"/>
          <w:b/>
          <w:szCs w:val="21"/>
        </w:rPr>
        <w:t>文件规定的文件</w:t>
      </w:r>
    </w:p>
    <w:p>
      <w:pPr>
        <w:pStyle w:val="25"/>
        <w:spacing w:line="360" w:lineRule="auto"/>
        <w:ind w:firstLine="420" w:firstLineChars="200"/>
        <w:rPr>
          <w:rFonts w:hAnsi="宋体"/>
          <w:szCs w:val="21"/>
        </w:rPr>
      </w:pPr>
      <w:r>
        <w:rPr>
          <w:rFonts w:hint="eastAsia" w:hAnsi="宋体"/>
          <w:szCs w:val="21"/>
        </w:rPr>
        <w:t>14.1 供应商应提交证明文件，证明其拟供的合同项下的货物和服务的合格性符合竞争性磋商文件规定。该证明文件作为竞争性磋商响应文件的一部分。</w:t>
      </w:r>
    </w:p>
    <w:p>
      <w:pPr>
        <w:pStyle w:val="25"/>
        <w:spacing w:line="360" w:lineRule="auto"/>
        <w:rPr>
          <w:rFonts w:hAnsi="宋体"/>
          <w:szCs w:val="21"/>
        </w:rPr>
      </w:pPr>
      <w:r>
        <w:rPr>
          <w:rFonts w:hint="eastAsia" w:hAnsi="宋体"/>
          <w:szCs w:val="21"/>
        </w:rPr>
        <w:t xml:space="preserve">    14.2 证明货物和服务与竞争性磋商文件的要求相一致的文件，可以是文字资料、图纸和数据，它包括：</w:t>
      </w:r>
    </w:p>
    <w:p>
      <w:pPr>
        <w:pStyle w:val="25"/>
        <w:spacing w:line="360" w:lineRule="auto"/>
        <w:rPr>
          <w:rFonts w:hAnsi="宋体"/>
          <w:szCs w:val="21"/>
        </w:rPr>
      </w:pPr>
      <w:r>
        <w:rPr>
          <w:rFonts w:hint="eastAsia" w:hAnsi="宋体"/>
          <w:szCs w:val="21"/>
        </w:rPr>
        <w:t xml:space="preserve">     1)货物主要技术指标和性能的详细说明；</w:t>
      </w:r>
    </w:p>
    <w:p>
      <w:pPr>
        <w:pStyle w:val="25"/>
        <w:spacing w:line="360" w:lineRule="auto"/>
        <w:ind w:hanging="3"/>
        <w:rPr>
          <w:rFonts w:hAnsi="宋体"/>
          <w:szCs w:val="21"/>
        </w:rPr>
      </w:pPr>
      <w:r>
        <w:rPr>
          <w:rFonts w:hint="eastAsia" w:hAnsi="宋体"/>
          <w:szCs w:val="21"/>
        </w:rPr>
        <w:t xml:space="preserve">     2)货物从采购人验收后开始使用至“</w:t>
      </w:r>
      <w:r>
        <w:rPr>
          <w:rFonts w:hint="eastAsia" w:hAnsi="宋体"/>
          <w:b/>
          <w:szCs w:val="21"/>
        </w:rPr>
        <w:t>供应商须知前附表”</w:t>
      </w:r>
      <w:r>
        <w:rPr>
          <w:rFonts w:hint="eastAsia" w:hAnsi="宋体"/>
          <w:szCs w:val="21"/>
        </w:rPr>
        <w:t>中规定的周期内正常、连续地使用所必须的备件和专用工具清单，包括备件和专用工具的货源及现行价格；</w:t>
      </w:r>
    </w:p>
    <w:p>
      <w:pPr>
        <w:pStyle w:val="25"/>
        <w:spacing w:line="360" w:lineRule="auto"/>
        <w:ind w:hanging="3"/>
        <w:rPr>
          <w:rFonts w:hAnsi="宋体"/>
          <w:szCs w:val="21"/>
        </w:rPr>
      </w:pPr>
      <w:r>
        <w:rPr>
          <w:rFonts w:hint="eastAsia" w:hAnsi="宋体"/>
          <w:szCs w:val="21"/>
        </w:rPr>
        <w:t xml:space="preserve">     3)对照竞争性磋商文件技术规格，逐条说明所提供货物和服务已对竞争性磋商文件的技术规格做出了实质性的响应，并申明与技术规格条文的偏差和例外。特别对有具体参数要求的指标，供应商必须提供所投设备的具体参数值。</w:t>
      </w:r>
    </w:p>
    <w:p>
      <w:pPr>
        <w:tabs>
          <w:tab w:val="left" w:pos="3060"/>
        </w:tabs>
        <w:spacing w:line="360" w:lineRule="auto"/>
        <w:ind w:firstLine="478" w:firstLineChars="228"/>
        <w:rPr>
          <w:rFonts w:ascii="宋体" w:hAnsi="宋体"/>
          <w:szCs w:val="21"/>
        </w:rPr>
      </w:pPr>
      <w:r>
        <w:rPr>
          <w:rFonts w:hint="eastAsia" w:ascii="宋体" w:hAnsi="宋体"/>
          <w:szCs w:val="21"/>
        </w:rPr>
        <w:t xml:space="preserve">14.3  供应商在阐述上述第14.2)时应注意竞争性磋商文件的技术规格中指出的工艺、材料和设备的标准以及参照的品牌或型号仅起说明作用，并没有任何限制性。供应商在投标中可以选用替代标准、品牌或型号，但这些替代要实质上满足或超过竞争性磋商文件的要求。 </w:t>
      </w:r>
    </w:p>
    <w:p>
      <w:pPr>
        <w:tabs>
          <w:tab w:val="left" w:pos="3060"/>
        </w:tabs>
        <w:spacing w:line="360" w:lineRule="auto"/>
        <w:rPr>
          <w:rFonts w:ascii="宋体" w:hAnsi="宋体"/>
          <w:b/>
          <w:bCs/>
          <w:szCs w:val="21"/>
        </w:rPr>
      </w:pPr>
      <w:r>
        <w:rPr>
          <w:rFonts w:ascii="宋体" w:hAnsi="宋体"/>
          <w:b/>
          <w:szCs w:val="21"/>
        </w:rPr>
        <w:t>　　</w:t>
      </w:r>
      <w:r>
        <w:rPr>
          <w:rFonts w:ascii="宋体" w:hAnsi="宋体"/>
          <w:b/>
          <w:bCs/>
          <w:szCs w:val="21"/>
        </w:rPr>
        <w:t>1</w:t>
      </w:r>
      <w:r>
        <w:rPr>
          <w:rFonts w:hint="eastAsia" w:ascii="宋体" w:hAnsi="宋体"/>
          <w:b/>
          <w:bCs/>
          <w:szCs w:val="21"/>
        </w:rPr>
        <w:t>5</w:t>
      </w:r>
      <w:r>
        <w:rPr>
          <w:rFonts w:ascii="宋体" w:hAnsi="宋体"/>
          <w:b/>
          <w:bCs/>
          <w:szCs w:val="21"/>
        </w:rPr>
        <w:t>．</w:t>
      </w:r>
      <w:r>
        <w:rPr>
          <w:rFonts w:hint="eastAsia" w:ascii="宋体" w:hAnsi="宋体"/>
          <w:b/>
          <w:bCs/>
          <w:szCs w:val="21"/>
        </w:rPr>
        <w:t>竞争性磋商保证金</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w:t>
      </w:r>
      <w:r>
        <w:rPr>
          <w:rFonts w:ascii="宋体" w:hAnsi="宋体"/>
          <w:szCs w:val="21"/>
        </w:rPr>
        <w:t xml:space="preserve">1 </w:t>
      </w:r>
      <w:r>
        <w:rPr>
          <w:rFonts w:hint="eastAsia" w:ascii="宋体" w:hAnsi="宋体"/>
          <w:szCs w:val="21"/>
        </w:rPr>
        <w:t>供应商应提交“</w:t>
      </w:r>
      <w:r>
        <w:rPr>
          <w:rFonts w:hint="eastAsia" w:ascii="宋体" w:hAnsi="宋体"/>
          <w:b/>
          <w:szCs w:val="21"/>
        </w:rPr>
        <w:t>供应商须知前附表”</w:t>
      </w:r>
      <w:r>
        <w:rPr>
          <w:rFonts w:hint="eastAsia" w:ascii="宋体" w:hAnsi="宋体"/>
          <w:bCs/>
          <w:szCs w:val="21"/>
        </w:rPr>
        <w:t>规定金额的竞争性磋商</w:t>
      </w:r>
      <w:r>
        <w:rPr>
          <w:rFonts w:hint="eastAsia" w:ascii="宋体" w:hAnsi="宋体"/>
          <w:szCs w:val="21"/>
        </w:rPr>
        <w:t>保证金，并作为其投标的一部分。</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w:t>
      </w:r>
      <w:r>
        <w:rPr>
          <w:rFonts w:ascii="宋体" w:hAnsi="宋体"/>
          <w:szCs w:val="21"/>
        </w:rPr>
        <w:t xml:space="preserve">2 </w:t>
      </w:r>
      <w:r>
        <w:rPr>
          <w:rFonts w:hint="eastAsia" w:ascii="宋体" w:hAnsi="宋体"/>
          <w:szCs w:val="21"/>
        </w:rPr>
        <w:t>竞争性磋商保证金是为了保护采购人和采购代理机构免遭因供应商的行为而蒙受损失。采购人和采购代理机构可根据供应商须知第</w:t>
      </w:r>
      <w:r>
        <w:rPr>
          <w:rFonts w:ascii="宋体" w:hAnsi="宋体"/>
          <w:szCs w:val="21"/>
        </w:rPr>
        <w:t>1</w:t>
      </w:r>
      <w:r>
        <w:rPr>
          <w:rFonts w:hint="eastAsia" w:ascii="宋体" w:hAnsi="宋体"/>
          <w:szCs w:val="21"/>
        </w:rPr>
        <w:t>5.</w:t>
      </w:r>
      <w:r>
        <w:rPr>
          <w:rFonts w:ascii="宋体" w:hAnsi="宋体"/>
          <w:szCs w:val="21"/>
        </w:rPr>
        <w:t>7</w:t>
      </w:r>
      <w:r>
        <w:rPr>
          <w:rFonts w:hint="eastAsia" w:ascii="宋体" w:hAnsi="宋体"/>
          <w:szCs w:val="21"/>
        </w:rPr>
        <w:t>条的规定,对供应商的竞争性磋商保证金不予退还。</w:t>
      </w:r>
    </w:p>
    <w:p>
      <w:pPr>
        <w:tabs>
          <w:tab w:val="left" w:pos="3060"/>
        </w:tabs>
        <w:spacing w:line="360" w:lineRule="auto"/>
        <w:ind w:right="71" w:firstLine="420" w:firstLineChars="200"/>
        <w:rPr>
          <w:rFonts w:ascii="宋体" w:hAnsi="宋体"/>
          <w:szCs w:val="21"/>
        </w:rPr>
      </w:pPr>
      <w:r>
        <w:rPr>
          <w:rFonts w:ascii="宋体" w:hAnsi="宋体"/>
          <w:szCs w:val="21"/>
        </w:rPr>
        <w:t>1</w:t>
      </w:r>
      <w:r>
        <w:rPr>
          <w:rFonts w:hint="eastAsia" w:ascii="宋体" w:hAnsi="宋体"/>
          <w:szCs w:val="21"/>
        </w:rPr>
        <w:t>5.</w:t>
      </w:r>
      <w:r>
        <w:rPr>
          <w:rFonts w:ascii="宋体" w:hAnsi="宋体"/>
          <w:szCs w:val="21"/>
        </w:rPr>
        <w:t xml:space="preserve">3 </w:t>
      </w:r>
      <w:r>
        <w:rPr>
          <w:rFonts w:hint="eastAsia" w:ascii="宋体" w:hAnsi="宋体"/>
          <w:szCs w:val="21"/>
        </w:rPr>
        <w:t>竞争性磋商保证金应按“</w:t>
      </w:r>
      <w:r>
        <w:rPr>
          <w:rFonts w:hint="eastAsia" w:ascii="宋体" w:hAnsi="宋体"/>
          <w:b/>
          <w:szCs w:val="21"/>
        </w:rPr>
        <w:t>供应商须知前附表”</w:t>
      </w:r>
      <w:r>
        <w:rPr>
          <w:rFonts w:hint="eastAsia" w:ascii="宋体" w:hAnsi="宋体"/>
          <w:szCs w:val="21"/>
        </w:rPr>
        <w:t>中</w:t>
      </w:r>
      <w:r>
        <w:rPr>
          <w:rFonts w:hint="eastAsia" w:ascii="宋体" w:hAnsi="宋体"/>
          <w:bCs/>
          <w:szCs w:val="21"/>
        </w:rPr>
        <w:t>规定的方式</w:t>
      </w:r>
      <w:r>
        <w:rPr>
          <w:rFonts w:hint="eastAsia" w:ascii="宋体" w:hAnsi="宋体"/>
          <w:szCs w:val="21"/>
        </w:rPr>
        <w:t>提交。</w:t>
      </w:r>
    </w:p>
    <w:p>
      <w:pPr>
        <w:tabs>
          <w:tab w:val="left" w:pos="3060"/>
        </w:tabs>
        <w:spacing w:line="360" w:lineRule="auto"/>
        <w:ind w:right="71" w:firstLine="420" w:firstLineChars="200"/>
        <w:rPr>
          <w:rFonts w:ascii="宋体" w:hAnsi="宋体"/>
          <w:spacing w:val="4"/>
          <w:szCs w:val="21"/>
        </w:rPr>
      </w:pPr>
      <w:r>
        <w:rPr>
          <w:rFonts w:hint="eastAsia" w:ascii="宋体" w:hAnsi="宋体"/>
          <w:szCs w:val="21"/>
        </w:rPr>
        <w:t>15．4联合体投标的，应当以联合体共同投标协议中约定的竞争性磋商保证金缴纳方式予以提交，可以是联合体中的一方或者共同提交竞争性磋商保证金，以一方名义提交竞争性磋商保证金的，对联合体各方均具有约束力。</w:t>
      </w:r>
    </w:p>
    <w:p>
      <w:pPr>
        <w:tabs>
          <w:tab w:val="left" w:pos="3060"/>
        </w:tabs>
        <w:spacing w:line="360" w:lineRule="auto"/>
        <w:ind w:firstLine="420" w:firstLineChars="200"/>
        <w:rPr>
          <w:rFonts w:ascii="宋体" w:hAnsi="宋体"/>
          <w:szCs w:val="21"/>
        </w:rPr>
      </w:pPr>
      <w:r>
        <w:rPr>
          <w:rFonts w:ascii="宋体" w:hAnsi="宋体"/>
          <w:szCs w:val="21"/>
        </w:rPr>
        <w:t>1</w:t>
      </w:r>
      <w:r>
        <w:rPr>
          <w:rFonts w:hint="eastAsia" w:ascii="宋体" w:hAnsi="宋体"/>
          <w:szCs w:val="21"/>
        </w:rPr>
        <w:t>5.5凡没有根据本须知第</w:t>
      </w:r>
      <w:r>
        <w:rPr>
          <w:rFonts w:ascii="宋体" w:hAnsi="宋体"/>
          <w:szCs w:val="21"/>
        </w:rPr>
        <w:t>1</w:t>
      </w:r>
      <w:r>
        <w:rPr>
          <w:rFonts w:hint="eastAsia" w:ascii="宋体" w:hAnsi="宋体"/>
          <w:szCs w:val="21"/>
        </w:rPr>
        <w:t>5.</w:t>
      </w:r>
      <w:r>
        <w:rPr>
          <w:rFonts w:ascii="宋体" w:hAnsi="宋体"/>
          <w:szCs w:val="21"/>
        </w:rPr>
        <w:t>1</w:t>
      </w:r>
      <w:r>
        <w:rPr>
          <w:rFonts w:hint="eastAsia" w:ascii="宋体" w:hAnsi="宋体"/>
          <w:szCs w:val="21"/>
        </w:rPr>
        <w:t>和</w:t>
      </w:r>
      <w:r>
        <w:rPr>
          <w:rFonts w:ascii="宋体" w:hAnsi="宋体"/>
          <w:szCs w:val="21"/>
        </w:rPr>
        <w:t>1</w:t>
      </w:r>
      <w:r>
        <w:rPr>
          <w:rFonts w:hint="eastAsia" w:ascii="宋体" w:hAnsi="宋体"/>
          <w:szCs w:val="21"/>
        </w:rPr>
        <w:t>5.</w:t>
      </w:r>
      <w:r>
        <w:rPr>
          <w:rFonts w:ascii="宋体" w:hAnsi="宋体"/>
          <w:szCs w:val="21"/>
        </w:rPr>
        <w:t>3</w:t>
      </w:r>
      <w:r>
        <w:rPr>
          <w:rFonts w:hint="eastAsia" w:ascii="宋体" w:hAnsi="宋体"/>
          <w:szCs w:val="21"/>
        </w:rPr>
        <w:t>条和15.4条的规定随附竞争性磋商保证金的投标，应视为非实质性响应投标予以拒绝。</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5.6</w:t>
      </w:r>
      <w:r>
        <w:rPr>
          <w:rFonts w:ascii="宋体" w:hAnsi="宋体"/>
          <w:szCs w:val="21"/>
        </w:rPr>
        <w:t xml:space="preserve"> </w:t>
      </w:r>
      <w:r>
        <w:rPr>
          <w:rFonts w:hint="eastAsia" w:ascii="宋体" w:hAnsi="宋体"/>
          <w:szCs w:val="21"/>
        </w:rPr>
        <w:t>未中标的供应商和中标人竞争性磋商保证金的退还,见“</w:t>
      </w:r>
      <w:r>
        <w:rPr>
          <w:rFonts w:hint="eastAsia" w:ascii="宋体" w:hAnsi="宋体"/>
          <w:b/>
          <w:szCs w:val="21"/>
        </w:rPr>
        <w:t>供应商须知前附表”</w:t>
      </w:r>
      <w:r>
        <w:rPr>
          <w:rFonts w:hint="eastAsia" w:ascii="宋体" w:hAnsi="宋体"/>
          <w:szCs w:val="21"/>
        </w:rPr>
        <w:t>。</w:t>
      </w:r>
    </w:p>
    <w:p>
      <w:pPr>
        <w:tabs>
          <w:tab w:val="left" w:pos="3060"/>
        </w:tabs>
        <w:spacing w:line="360" w:lineRule="auto"/>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5.</w:t>
      </w:r>
      <w:r>
        <w:rPr>
          <w:rFonts w:ascii="宋体" w:hAnsi="宋体"/>
          <w:szCs w:val="21"/>
        </w:rPr>
        <w:t>7</w:t>
      </w:r>
      <w:r>
        <w:rPr>
          <w:rFonts w:hint="eastAsia" w:ascii="宋体" w:hAnsi="宋体"/>
          <w:szCs w:val="21"/>
        </w:rPr>
        <w:t>下列任何情况发生时，竞争性磋商保证金将不予退还:</w:t>
      </w:r>
    </w:p>
    <w:p>
      <w:pPr>
        <w:tabs>
          <w:tab w:val="left" w:pos="3060"/>
        </w:tabs>
        <w:spacing w:line="360" w:lineRule="auto"/>
        <w:ind w:firstLine="567" w:firstLineChars="27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）供应商在竞争性磋商文件中规定的投标有效期内撤销其投标；</w:t>
      </w:r>
    </w:p>
    <w:p>
      <w:pPr>
        <w:tabs>
          <w:tab w:val="left" w:pos="3060"/>
        </w:tabs>
        <w:spacing w:line="360" w:lineRule="auto"/>
        <w:ind w:firstLine="570"/>
        <w:rPr>
          <w:rFonts w:ascii="宋体" w:hAnsi="宋体"/>
          <w:szCs w:val="21"/>
        </w:rPr>
      </w:pPr>
      <w:r>
        <w:rPr>
          <w:rFonts w:hint="eastAsia" w:ascii="宋体" w:hAnsi="宋体"/>
          <w:szCs w:val="21"/>
        </w:rPr>
        <w:t>（2）中标人在规定期限内未按本须知第30条规定签订合同；</w:t>
      </w:r>
    </w:p>
    <w:p>
      <w:pPr>
        <w:tabs>
          <w:tab w:val="left" w:pos="3060"/>
        </w:tabs>
        <w:spacing w:line="360" w:lineRule="auto"/>
        <w:ind w:firstLine="570"/>
        <w:rPr>
          <w:rFonts w:ascii="宋体" w:hAnsi="宋体"/>
          <w:szCs w:val="21"/>
        </w:rPr>
      </w:pPr>
      <w:r>
        <w:rPr>
          <w:rFonts w:hint="eastAsia" w:ascii="宋体" w:hAnsi="宋体"/>
          <w:szCs w:val="21"/>
        </w:rPr>
        <w:t>（3）中标人未按规定缴纳代理服务费。</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6</w:t>
      </w:r>
      <w:r>
        <w:rPr>
          <w:rFonts w:ascii="宋体" w:hAnsi="宋体"/>
          <w:b/>
          <w:szCs w:val="21"/>
        </w:rPr>
        <w:t>．投标有效期</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6.</w:t>
      </w:r>
      <w:r>
        <w:rPr>
          <w:rFonts w:ascii="宋体" w:hAnsi="宋体"/>
          <w:szCs w:val="21"/>
        </w:rPr>
        <w:t>1投标应自本须知</w:t>
      </w:r>
      <w:r>
        <w:rPr>
          <w:rFonts w:hint="eastAsia" w:ascii="宋体" w:hAnsi="宋体"/>
          <w:szCs w:val="21"/>
        </w:rPr>
        <w:t>“</w:t>
      </w:r>
      <w:r>
        <w:rPr>
          <w:rFonts w:hint="eastAsia" w:ascii="宋体" w:hAnsi="宋体"/>
          <w:b/>
          <w:szCs w:val="21"/>
        </w:rPr>
        <w:t>供应商须知前附表”</w:t>
      </w:r>
      <w:r>
        <w:rPr>
          <w:rFonts w:ascii="宋体" w:hAnsi="宋体"/>
          <w:szCs w:val="21"/>
        </w:rPr>
        <w:t>中规定的</w:t>
      </w:r>
      <w:r>
        <w:rPr>
          <w:rFonts w:hint="eastAsia" w:ascii="宋体" w:hAnsi="宋体"/>
          <w:szCs w:val="21"/>
        </w:rPr>
        <w:t>提交竞争性磋商响应文件截止之</w:t>
      </w:r>
      <w:r>
        <w:rPr>
          <w:rFonts w:ascii="宋体" w:hAnsi="宋体"/>
          <w:szCs w:val="21"/>
        </w:rPr>
        <w:t>日起，并在</w:t>
      </w:r>
      <w:r>
        <w:rPr>
          <w:rFonts w:hint="eastAsia" w:ascii="宋体" w:hAnsi="宋体"/>
          <w:szCs w:val="21"/>
        </w:rPr>
        <w:t>“</w:t>
      </w:r>
      <w:r>
        <w:rPr>
          <w:rFonts w:hint="eastAsia" w:ascii="宋体" w:hAnsi="宋体"/>
          <w:b/>
          <w:szCs w:val="21"/>
        </w:rPr>
        <w:t>供应商须知前附表”</w:t>
      </w:r>
      <w:r>
        <w:rPr>
          <w:rFonts w:ascii="宋体" w:hAnsi="宋体"/>
          <w:szCs w:val="21"/>
        </w:rPr>
        <w:t>中所述期</w:t>
      </w:r>
      <w:r>
        <w:rPr>
          <w:rFonts w:hint="eastAsia" w:ascii="宋体" w:hAnsi="宋体"/>
          <w:szCs w:val="21"/>
        </w:rPr>
        <w:t>限</w:t>
      </w:r>
      <w:r>
        <w:rPr>
          <w:rFonts w:ascii="宋体" w:hAnsi="宋体"/>
          <w:szCs w:val="21"/>
        </w:rPr>
        <w:t>内保持有效。</w:t>
      </w:r>
      <w:r>
        <w:rPr>
          <w:rFonts w:hint="eastAsia" w:ascii="宋体" w:hAnsi="宋体"/>
          <w:szCs w:val="21"/>
        </w:rPr>
        <w:t>投标有效期不足的投标将被视为非实质性响应，并予以否决。</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6.</w:t>
      </w:r>
      <w:r>
        <w:rPr>
          <w:rFonts w:ascii="宋体" w:hAnsi="宋体"/>
          <w:szCs w:val="21"/>
        </w:rPr>
        <w:t>2 特殊情况下，在原投标有效期截止之前，</w:t>
      </w:r>
      <w:r>
        <w:rPr>
          <w:rFonts w:hint="eastAsia" w:ascii="宋体" w:hAnsi="宋体"/>
          <w:szCs w:val="21"/>
        </w:rPr>
        <w:t>采购</w:t>
      </w:r>
      <w:r>
        <w:rPr>
          <w:rFonts w:ascii="宋体" w:hAnsi="宋体"/>
          <w:szCs w:val="21"/>
        </w:rPr>
        <w:t>代理机构可要求</w:t>
      </w:r>
      <w:r>
        <w:rPr>
          <w:rFonts w:hint="eastAsia" w:ascii="宋体" w:hAnsi="宋体"/>
          <w:szCs w:val="21"/>
        </w:rPr>
        <w:t>供应商</w:t>
      </w:r>
      <w:r>
        <w:rPr>
          <w:rFonts w:ascii="宋体" w:hAnsi="宋体"/>
          <w:szCs w:val="21"/>
        </w:rPr>
        <w:t>同意延长投标有效期。这种要求与答复均应以书面形式提交。</w:t>
      </w:r>
      <w:r>
        <w:rPr>
          <w:rFonts w:hint="eastAsia" w:ascii="宋体" w:hAnsi="宋体"/>
          <w:szCs w:val="21"/>
        </w:rPr>
        <w:t>供应商可拒绝竞争性磋商</w:t>
      </w:r>
      <w:r>
        <w:rPr>
          <w:rFonts w:hint="eastAsia" w:ascii="宋体" w:hAnsi="宋体"/>
          <w:bCs/>
          <w:szCs w:val="21"/>
        </w:rPr>
        <w:t>代理</w:t>
      </w:r>
      <w:r>
        <w:rPr>
          <w:rFonts w:hint="eastAsia" w:ascii="宋体" w:hAnsi="宋体"/>
          <w:szCs w:val="21"/>
        </w:rPr>
        <w:t>机构的这种要求，而不影响竞争性磋商保证金的退还。</w:t>
      </w:r>
      <w:r>
        <w:rPr>
          <w:rFonts w:ascii="宋体" w:hAnsi="宋体"/>
          <w:szCs w:val="21"/>
        </w:rPr>
        <w:t>接受延长投标有效期的</w:t>
      </w:r>
      <w:r>
        <w:rPr>
          <w:rFonts w:hint="eastAsia" w:ascii="宋体" w:hAnsi="宋体"/>
          <w:szCs w:val="21"/>
        </w:rPr>
        <w:t>供应商</w:t>
      </w:r>
      <w:r>
        <w:rPr>
          <w:rFonts w:ascii="宋体" w:hAnsi="宋体"/>
          <w:szCs w:val="21"/>
        </w:rPr>
        <w:t>将不会被要求和允许修正其投标</w:t>
      </w:r>
      <w:r>
        <w:rPr>
          <w:rFonts w:hint="eastAsia" w:ascii="宋体" w:hAnsi="宋体"/>
          <w:szCs w:val="21"/>
        </w:rPr>
        <w:t>，而只会被要求相应地延长其竞争性磋商保证金的有效期。在这种情况下，本须知第</w:t>
      </w:r>
      <w:r>
        <w:rPr>
          <w:rFonts w:ascii="宋体" w:hAnsi="宋体"/>
          <w:szCs w:val="21"/>
        </w:rPr>
        <w:t>1</w:t>
      </w:r>
      <w:r>
        <w:rPr>
          <w:rFonts w:hint="eastAsia" w:ascii="宋体" w:hAnsi="宋体"/>
          <w:szCs w:val="21"/>
        </w:rPr>
        <w:t>5条有关竞争性磋商保证金的退还和不予退还的规定将在延长了的有效期内继续有效。</w:t>
      </w:r>
    </w:p>
    <w:p>
      <w:pPr>
        <w:tabs>
          <w:tab w:val="left" w:pos="3060"/>
        </w:tabs>
        <w:spacing w:line="360" w:lineRule="auto"/>
        <w:rPr>
          <w:rFonts w:ascii="宋体" w:hAnsi="宋体"/>
          <w:b/>
          <w:szCs w:val="21"/>
        </w:rPr>
      </w:pPr>
      <w:r>
        <w:rPr>
          <w:rFonts w:ascii="宋体" w:hAnsi="宋体"/>
          <w:b/>
          <w:szCs w:val="21"/>
        </w:rPr>
        <w:t>　　1</w:t>
      </w:r>
      <w:r>
        <w:rPr>
          <w:rFonts w:hint="eastAsia" w:ascii="宋体" w:hAnsi="宋体"/>
          <w:b/>
          <w:szCs w:val="21"/>
        </w:rPr>
        <w:t>7</w:t>
      </w:r>
      <w:r>
        <w:rPr>
          <w:rFonts w:ascii="宋体" w:hAnsi="宋体"/>
          <w:b/>
          <w:szCs w:val="21"/>
        </w:rPr>
        <w:t>．</w:t>
      </w:r>
      <w:r>
        <w:rPr>
          <w:rFonts w:hint="eastAsia" w:ascii="宋体" w:hAnsi="宋体"/>
          <w:b/>
          <w:szCs w:val="21"/>
        </w:rPr>
        <w:t>竞争性磋商响应文件</w:t>
      </w:r>
      <w:r>
        <w:rPr>
          <w:rFonts w:ascii="宋体" w:hAnsi="宋体"/>
          <w:b/>
          <w:szCs w:val="21"/>
        </w:rPr>
        <w:t>的式样和签署</w:t>
      </w:r>
    </w:p>
    <w:p>
      <w:pPr>
        <w:tabs>
          <w:tab w:val="left" w:pos="3060"/>
        </w:tabs>
        <w:spacing w:line="360" w:lineRule="auto"/>
        <w:rPr>
          <w:rFonts w:ascii="宋体" w:hAnsi="宋体"/>
          <w:szCs w:val="21"/>
        </w:rPr>
      </w:pPr>
      <w:r>
        <w:rPr>
          <w:rFonts w:ascii="宋体" w:hAnsi="宋体"/>
          <w:szCs w:val="21"/>
        </w:rPr>
        <w:t>　　1</w:t>
      </w:r>
      <w:r>
        <w:rPr>
          <w:rFonts w:hint="eastAsia" w:ascii="宋体" w:hAnsi="宋体"/>
          <w:szCs w:val="21"/>
        </w:rPr>
        <w:t>7.</w:t>
      </w:r>
      <w:r>
        <w:rPr>
          <w:rFonts w:ascii="宋体" w:hAnsi="宋体"/>
          <w:szCs w:val="21"/>
        </w:rPr>
        <w:t>1</w:t>
      </w:r>
      <w:r>
        <w:rPr>
          <w:rFonts w:hint="eastAsia" w:ascii="宋体" w:hAnsi="宋体"/>
          <w:szCs w:val="21"/>
        </w:rPr>
        <w:t>供应商应准备一份竞争性磋商响应文件正本和“</w:t>
      </w:r>
      <w:r>
        <w:rPr>
          <w:rFonts w:hint="eastAsia" w:ascii="宋体" w:hAnsi="宋体"/>
          <w:b/>
          <w:szCs w:val="21"/>
        </w:rPr>
        <w:t>供应商须知前附表”</w:t>
      </w:r>
      <w:r>
        <w:rPr>
          <w:rFonts w:hint="eastAsia" w:ascii="宋体" w:hAnsi="宋体"/>
          <w:szCs w:val="21"/>
        </w:rPr>
        <w:t>中规定数目的副本，每套竞争性磋商响应文件须清楚地标明“正本”或“副本”。若副本与正本不符，以正本为准。供应商应按“</w:t>
      </w:r>
      <w:r>
        <w:rPr>
          <w:rFonts w:hint="eastAsia" w:ascii="宋体" w:hAnsi="宋体"/>
          <w:b/>
          <w:szCs w:val="21"/>
        </w:rPr>
        <w:t>供应商须知前附表”</w:t>
      </w:r>
      <w:r>
        <w:rPr>
          <w:rFonts w:hint="eastAsia" w:ascii="宋体" w:hAnsi="宋体"/>
          <w:szCs w:val="21"/>
        </w:rPr>
        <w:t>的规定，同时提供电子介质的竞争性磋商响应文件。电子介质的竞争性磋商响应文件与纸质竞争性磋商响应文件具有同等的法律效力。除非“</w:t>
      </w:r>
      <w:r>
        <w:rPr>
          <w:rFonts w:hint="eastAsia" w:ascii="宋体" w:hAnsi="宋体"/>
          <w:b/>
          <w:szCs w:val="21"/>
        </w:rPr>
        <w:t>供应商须知前附表”</w:t>
      </w:r>
      <w:r>
        <w:rPr>
          <w:rFonts w:hint="eastAsia" w:ascii="宋体" w:hAnsi="宋体"/>
          <w:szCs w:val="21"/>
        </w:rPr>
        <w:t>中另有规定，当电子介质的竞争性磋商响应文件与纸质竞争性磋商响应文件不一致时，以纸质竞争性磋商响应文件为准。</w:t>
      </w:r>
    </w:p>
    <w:p>
      <w:pPr>
        <w:tabs>
          <w:tab w:val="left" w:pos="3060"/>
        </w:tabs>
        <w:spacing w:line="360" w:lineRule="auto"/>
        <w:rPr>
          <w:rFonts w:ascii="宋体" w:hAnsi="宋体"/>
          <w:szCs w:val="21"/>
        </w:rPr>
      </w:pPr>
      <w:r>
        <w:rPr>
          <w:rFonts w:hint="eastAsia" w:ascii="宋体" w:hAnsi="宋体"/>
          <w:szCs w:val="21"/>
        </w:rPr>
        <w:t xml:space="preserve">    17.2 竞争性磋商响应文件应统一用A4纸，各包的竞争性磋商响应文件应单独装订成册后统一密封，密封要求参照18.1条。</w:t>
      </w:r>
    </w:p>
    <w:p>
      <w:pPr>
        <w:tabs>
          <w:tab w:val="left" w:pos="3060"/>
        </w:tabs>
        <w:spacing w:line="360" w:lineRule="auto"/>
        <w:ind w:firstLine="426"/>
        <w:rPr>
          <w:rFonts w:ascii="宋体" w:hAnsi="宋体"/>
          <w:b/>
          <w:szCs w:val="21"/>
        </w:rPr>
      </w:pPr>
      <w:r>
        <w:rPr>
          <w:rFonts w:ascii="宋体" w:hAnsi="宋体"/>
          <w:szCs w:val="21"/>
        </w:rPr>
        <w:t>1</w:t>
      </w:r>
      <w:r>
        <w:rPr>
          <w:rFonts w:hint="eastAsia" w:ascii="宋体" w:hAnsi="宋体"/>
          <w:szCs w:val="21"/>
        </w:rPr>
        <w:t>7.3竞争性磋商响应文件</w:t>
      </w:r>
      <w:r>
        <w:rPr>
          <w:rFonts w:ascii="宋体" w:hAnsi="宋体"/>
          <w:szCs w:val="21"/>
        </w:rPr>
        <w:t>均需打印，并由</w:t>
      </w:r>
      <w:r>
        <w:rPr>
          <w:rFonts w:hint="eastAsia" w:ascii="宋体" w:hAnsi="宋体"/>
          <w:szCs w:val="21"/>
        </w:rPr>
        <w:t>供应商法定代表人或其授权</w:t>
      </w:r>
      <w:r>
        <w:rPr>
          <w:rFonts w:ascii="宋体" w:hAnsi="宋体"/>
          <w:szCs w:val="21"/>
        </w:rPr>
        <w:t>代表在</w:t>
      </w:r>
      <w:r>
        <w:rPr>
          <w:rFonts w:hint="eastAsia" w:ascii="宋体" w:hAnsi="宋体"/>
          <w:szCs w:val="21"/>
        </w:rPr>
        <w:t>竞争性磋商响应文件</w:t>
      </w:r>
      <w:r>
        <w:rPr>
          <w:rFonts w:ascii="宋体" w:hAnsi="宋体"/>
          <w:szCs w:val="21"/>
        </w:rPr>
        <w:t>上</w:t>
      </w:r>
      <w:r>
        <w:rPr>
          <w:rFonts w:hint="eastAsia" w:ascii="宋体" w:hAnsi="宋体"/>
          <w:szCs w:val="21"/>
        </w:rPr>
        <w:t>盖章或</w:t>
      </w:r>
      <w:r>
        <w:rPr>
          <w:rFonts w:ascii="宋体" w:hAnsi="宋体"/>
          <w:szCs w:val="21"/>
        </w:rPr>
        <w:t>签字。授权代表须将</w:t>
      </w:r>
      <w:r>
        <w:rPr>
          <w:rFonts w:hint="eastAsia" w:ascii="宋体" w:hAnsi="宋体"/>
          <w:szCs w:val="21"/>
        </w:rPr>
        <w:t>“法定代表人</w:t>
      </w:r>
      <w:r>
        <w:rPr>
          <w:rFonts w:ascii="宋体" w:hAnsi="宋体"/>
          <w:szCs w:val="21"/>
        </w:rPr>
        <w:t>授权</w:t>
      </w:r>
      <w:r>
        <w:rPr>
          <w:rFonts w:hint="eastAsia" w:ascii="宋体" w:hAnsi="宋体"/>
          <w:szCs w:val="21"/>
        </w:rPr>
        <w:t>委托</w:t>
      </w:r>
      <w:r>
        <w:rPr>
          <w:rFonts w:ascii="宋体" w:hAnsi="宋体"/>
          <w:szCs w:val="21"/>
        </w:rPr>
        <w:t>书</w:t>
      </w:r>
      <w:r>
        <w:rPr>
          <w:rFonts w:hint="eastAsia" w:ascii="宋体" w:hAnsi="宋体"/>
          <w:szCs w:val="21"/>
        </w:rPr>
        <w:t>”</w:t>
      </w:r>
      <w:r>
        <w:rPr>
          <w:rFonts w:ascii="宋体" w:hAnsi="宋体"/>
          <w:szCs w:val="21"/>
        </w:rPr>
        <w:t>附在</w:t>
      </w:r>
      <w:r>
        <w:rPr>
          <w:rFonts w:hint="eastAsia" w:ascii="宋体" w:hAnsi="宋体"/>
          <w:szCs w:val="21"/>
        </w:rPr>
        <w:t>竞争性磋商响应文件</w:t>
      </w:r>
      <w:r>
        <w:rPr>
          <w:rFonts w:ascii="宋体" w:hAnsi="宋体"/>
          <w:szCs w:val="21"/>
        </w:rPr>
        <w:t>中。</w:t>
      </w:r>
      <w:r>
        <w:rPr>
          <w:rFonts w:hint="eastAsia" w:ascii="宋体" w:hAnsi="宋体"/>
          <w:szCs w:val="21"/>
        </w:rPr>
        <w:t>应按</w:t>
      </w:r>
      <w:r>
        <w:rPr>
          <w:rFonts w:hint="eastAsia" w:ascii="宋体" w:hAnsi="宋体"/>
          <w:b/>
          <w:szCs w:val="21"/>
        </w:rPr>
        <w:t>“供应商须知前附表”</w:t>
      </w:r>
      <w:r>
        <w:rPr>
          <w:rFonts w:hint="eastAsia" w:ascii="宋体" w:hAnsi="宋体"/>
          <w:szCs w:val="21"/>
        </w:rPr>
        <w:t>的规定对竞争性磋商响应文件进行签署和盖章，</w:t>
      </w:r>
      <w:r>
        <w:rPr>
          <w:rFonts w:hint="eastAsia" w:ascii="宋体" w:hAnsi="宋体"/>
          <w:b/>
          <w:szCs w:val="21"/>
        </w:rPr>
        <w:t>竞争性磋商文件明确要求盖章的地方，供应商必须加盖公章；竞争性磋商文件明确要求签字的地方必须由供应商法定代表人或其授权代表签字。竞争性磋商响应文件的副本可采用正本的复印件。</w:t>
      </w:r>
      <w:r>
        <w:rPr>
          <w:rFonts w:hint="eastAsia" w:ascii="宋体" w:hAnsi="宋体"/>
          <w:szCs w:val="21"/>
        </w:rPr>
        <w:t>供应商所加盖的公章，不得用“合同专用章”、“财务专用章”、“公司部门章”或“分支机构章”、“授权（投标）专用章”等代替。</w:t>
      </w:r>
    </w:p>
    <w:p>
      <w:pPr>
        <w:tabs>
          <w:tab w:val="left" w:pos="3060"/>
        </w:tabs>
        <w:spacing w:line="360" w:lineRule="auto"/>
        <w:ind w:firstLine="420" w:firstLineChars="200"/>
        <w:rPr>
          <w:rFonts w:ascii="宋体" w:hAnsi="宋体"/>
          <w:szCs w:val="21"/>
        </w:rPr>
      </w:pPr>
      <w:r>
        <w:rPr>
          <w:rFonts w:ascii="宋体" w:hAnsi="宋体"/>
          <w:szCs w:val="21"/>
        </w:rPr>
        <w:t>1</w:t>
      </w:r>
      <w:r>
        <w:rPr>
          <w:rFonts w:hint="eastAsia" w:ascii="宋体" w:hAnsi="宋体"/>
          <w:szCs w:val="21"/>
        </w:rPr>
        <w:t>7.4</w:t>
      </w:r>
      <w:r>
        <w:rPr>
          <w:rFonts w:ascii="宋体" w:hAnsi="宋体"/>
          <w:szCs w:val="21"/>
        </w:rPr>
        <w:t xml:space="preserve"> 任何行间插字、涂改和增删，必须由</w:t>
      </w:r>
      <w:r>
        <w:rPr>
          <w:rFonts w:hint="eastAsia" w:ascii="宋体" w:hAnsi="宋体"/>
          <w:szCs w:val="21"/>
        </w:rPr>
        <w:t>供应商</w:t>
      </w:r>
      <w:r>
        <w:rPr>
          <w:rFonts w:ascii="宋体" w:hAnsi="宋体"/>
          <w:szCs w:val="21"/>
        </w:rPr>
        <w:t>授权代表在旁边签字</w:t>
      </w:r>
      <w:r>
        <w:rPr>
          <w:rFonts w:hint="eastAsia" w:ascii="宋体" w:hAnsi="宋体"/>
          <w:szCs w:val="21"/>
        </w:rPr>
        <w:t>或盖章</w:t>
      </w:r>
      <w:r>
        <w:rPr>
          <w:rFonts w:ascii="宋体" w:hAnsi="宋体"/>
          <w:szCs w:val="21"/>
        </w:rPr>
        <w:t>才有效。</w:t>
      </w:r>
    </w:p>
    <w:p>
      <w:pPr>
        <w:tabs>
          <w:tab w:val="left" w:pos="3060"/>
        </w:tabs>
        <w:spacing w:line="360" w:lineRule="auto"/>
        <w:ind w:firstLine="420" w:firstLineChars="200"/>
        <w:rPr>
          <w:rFonts w:ascii="宋体" w:hAnsi="宋体"/>
          <w:szCs w:val="21"/>
        </w:rPr>
      </w:pPr>
    </w:p>
    <w:p>
      <w:pPr>
        <w:tabs>
          <w:tab w:val="left" w:pos="3060"/>
        </w:tabs>
        <w:spacing w:line="360" w:lineRule="auto"/>
        <w:jc w:val="center"/>
        <w:rPr>
          <w:rFonts w:ascii="宋体" w:hAnsi="宋体"/>
          <w:b/>
          <w:sz w:val="24"/>
          <w:szCs w:val="24"/>
        </w:rPr>
      </w:pPr>
      <w:r>
        <w:rPr>
          <w:rFonts w:ascii="宋体" w:hAnsi="宋体"/>
          <w:b/>
          <w:sz w:val="24"/>
          <w:szCs w:val="24"/>
        </w:rPr>
        <w:t>四</w:t>
      </w:r>
      <w:r>
        <w:rPr>
          <w:rFonts w:hint="eastAsia" w:ascii="宋体" w:hAnsi="宋体"/>
          <w:b/>
          <w:sz w:val="24"/>
          <w:szCs w:val="24"/>
        </w:rPr>
        <w:t>、竞争性磋商响应文件</w:t>
      </w:r>
      <w:r>
        <w:rPr>
          <w:rFonts w:ascii="宋体" w:hAnsi="宋体"/>
          <w:b/>
          <w:sz w:val="24"/>
          <w:szCs w:val="24"/>
        </w:rPr>
        <w:t>的递交</w:t>
      </w:r>
    </w:p>
    <w:p>
      <w:pPr>
        <w:tabs>
          <w:tab w:val="left" w:pos="3060"/>
        </w:tabs>
        <w:spacing w:line="360" w:lineRule="auto"/>
        <w:ind w:firstLine="207" w:firstLineChars="98"/>
        <w:rPr>
          <w:rFonts w:ascii="宋体" w:hAnsi="宋体"/>
          <w:b/>
          <w:szCs w:val="21"/>
        </w:rPr>
      </w:pPr>
      <w:r>
        <w:rPr>
          <w:rFonts w:hint="eastAsia" w:ascii="宋体" w:hAnsi="宋体"/>
          <w:b/>
          <w:szCs w:val="21"/>
        </w:rPr>
        <w:t xml:space="preserve"> 18</w:t>
      </w:r>
      <w:r>
        <w:rPr>
          <w:rFonts w:ascii="宋体" w:hAnsi="宋体"/>
          <w:b/>
          <w:szCs w:val="21"/>
        </w:rPr>
        <w:t>．</w:t>
      </w:r>
      <w:r>
        <w:rPr>
          <w:rFonts w:hint="eastAsia" w:ascii="宋体" w:hAnsi="宋体"/>
          <w:b/>
          <w:szCs w:val="21"/>
        </w:rPr>
        <w:t>竞争性磋商响应文件</w:t>
      </w:r>
      <w:r>
        <w:rPr>
          <w:rFonts w:ascii="宋体" w:hAnsi="宋体"/>
          <w:b/>
          <w:szCs w:val="21"/>
        </w:rPr>
        <w:t>的密封和标记</w:t>
      </w:r>
    </w:p>
    <w:p>
      <w:pPr>
        <w:pStyle w:val="25"/>
        <w:spacing w:line="360" w:lineRule="auto"/>
        <w:ind w:left="7" w:firstLine="338" w:firstLineChars="161"/>
        <w:rPr>
          <w:rFonts w:hAnsi="宋体"/>
          <w:szCs w:val="21"/>
        </w:rPr>
      </w:pPr>
      <w:r>
        <w:rPr>
          <w:rFonts w:hint="eastAsia" w:hAnsi="宋体"/>
          <w:szCs w:val="21"/>
        </w:rPr>
        <w:t>18.1供应商应将竞争性磋商响应文件正本、所有的副本和电子文档密封装在一个包封套内，并在封口处加盖单位公章。竞争性磋商人将拒收不按竞争性磋商文件要求密封的竞争性磋商响应文件。</w:t>
      </w:r>
    </w:p>
    <w:p>
      <w:pPr>
        <w:pStyle w:val="25"/>
        <w:spacing w:line="360" w:lineRule="auto"/>
        <w:ind w:firstLine="420" w:firstLineChars="200"/>
        <w:rPr>
          <w:rFonts w:hAnsi="宋体"/>
          <w:szCs w:val="21"/>
        </w:rPr>
      </w:pPr>
      <w:r>
        <w:rPr>
          <w:rFonts w:hint="eastAsia" w:hAnsi="宋体"/>
          <w:szCs w:val="21"/>
        </w:rPr>
        <w:t>18.2 包封套应注明：</w:t>
      </w:r>
    </w:p>
    <w:p>
      <w:pPr>
        <w:pStyle w:val="25"/>
        <w:spacing w:line="360" w:lineRule="auto"/>
        <w:ind w:left="573" w:hanging="573" w:hangingChars="273"/>
        <w:rPr>
          <w:rFonts w:hAnsi="宋体"/>
          <w:szCs w:val="21"/>
        </w:rPr>
      </w:pPr>
      <w:r>
        <w:rPr>
          <w:rFonts w:hint="eastAsia" w:hAnsi="宋体"/>
          <w:szCs w:val="21"/>
        </w:rPr>
        <w:t xml:space="preserve">     1)注明“</w:t>
      </w:r>
      <w:r>
        <w:rPr>
          <w:rFonts w:hint="eastAsia" w:hAnsi="宋体"/>
          <w:b/>
          <w:szCs w:val="21"/>
        </w:rPr>
        <w:t>供应商须知前附表”</w:t>
      </w:r>
      <w:r>
        <w:rPr>
          <w:rFonts w:hint="eastAsia" w:hAnsi="宋体"/>
          <w:szCs w:val="21"/>
        </w:rPr>
        <w:t>中指明的项目名称、项目编号等和“在(开标日期和时间)之前不</w:t>
      </w:r>
    </w:p>
    <w:p>
      <w:pPr>
        <w:pStyle w:val="25"/>
        <w:spacing w:line="360" w:lineRule="auto"/>
        <w:ind w:left="573" w:hanging="573" w:hangingChars="273"/>
        <w:rPr>
          <w:rFonts w:hAnsi="宋体"/>
          <w:szCs w:val="21"/>
        </w:rPr>
      </w:pPr>
      <w:r>
        <w:rPr>
          <w:rFonts w:hint="eastAsia" w:hAnsi="宋体"/>
          <w:szCs w:val="21"/>
        </w:rPr>
        <w:t>得启封”的字样，包封套上应加盖供应商单位公章。</w:t>
      </w:r>
    </w:p>
    <w:p>
      <w:pPr>
        <w:tabs>
          <w:tab w:val="left" w:pos="3060"/>
        </w:tabs>
        <w:spacing w:line="360" w:lineRule="auto"/>
        <w:rPr>
          <w:rFonts w:ascii="宋体" w:hAnsi="宋体"/>
          <w:b/>
          <w:szCs w:val="21"/>
        </w:rPr>
      </w:pPr>
      <w:r>
        <w:rPr>
          <w:rFonts w:ascii="宋体" w:hAnsi="宋体"/>
          <w:szCs w:val="21"/>
        </w:rPr>
        <w:t>　　</w:t>
      </w:r>
      <w:r>
        <w:rPr>
          <w:rFonts w:hint="eastAsia" w:ascii="宋体" w:hAnsi="宋体"/>
          <w:b/>
          <w:szCs w:val="21"/>
        </w:rPr>
        <w:t>19</w:t>
      </w:r>
      <w:r>
        <w:rPr>
          <w:rFonts w:ascii="宋体" w:hAnsi="宋体"/>
          <w:b/>
          <w:szCs w:val="21"/>
        </w:rPr>
        <w:t>．</w:t>
      </w:r>
      <w:r>
        <w:rPr>
          <w:rFonts w:hint="eastAsia" w:ascii="宋体" w:hAnsi="宋体"/>
          <w:b/>
          <w:szCs w:val="21"/>
        </w:rPr>
        <w:t>竞争性磋商响应文件</w:t>
      </w:r>
      <w:r>
        <w:rPr>
          <w:rFonts w:ascii="宋体" w:hAnsi="宋体"/>
          <w:b/>
          <w:szCs w:val="21"/>
        </w:rPr>
        <w:t>截止</w:t>
      </w:r>
      <w:r>
        <w:rPr>
          <w:rFonts w:hint="eastAsia" w:ascii="宋体" w:hAnsi="宋体"/>
          <w:b/>
          <w:szCs w:val="21"/>
        </w:rPr>
        <w:t>时间</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19.</w:t>
      </w:r>
      <w:r>
        <w:rPr>
          <w:rFonts w:ascii="宋体" w:hAnsi="宋体"/>
          <w:szCs w:val="21"/>
        </w:rPr>
        <w:t xml:space="preserve">1 </w:t>
      </w:r>
      <w:r>
        <w:rPr>
          <w:rFonts w:hint="eastAsia" w:ascii="宋体" w:hAnsi="宋体"/>
          <w:szCs w:val="21"/>
        </w:rPr>
        <w:t>供应商</w:t>
      </w:r>
      <w:r>
        <w:rPr>
          <w:rFonts w:ascii="宋体" w:hAnsi="宋体"/>
          <w:szCs w:val="21"/>
        </w:rPr>
        <w:t>应在不迟于</w:t>
      </w:r>
      <w:r>
        <w:rPr>
          <w:rFonts w:hint="eastAsia" w:ascii="宋体" w:hAnsi="宋体"/>
          <w:szCs w:val="21"/>
        </w:rPr>
        <w:t>“</w:t>
      </w:r>
      <w:r>
        <w:rPr>
          <w:rFonts w:hint="eastAsia" w:ascii="宋体" w:hAnsi="宋体"/>
          <w:b/>
          <w:szCs w:val="21"/>
        </w:rPr>
        <w:t>供应商须知前附表”</w:t>
      </w:r>
      <w:r>
        <w:rPr>
          <w:rFonts w:ascii="宋体" w:hAnsi="宋体"/>
          <w:szCs w:val="21"/>
        </w:rPr>
        <w:t>中规定的截止时间将</w:t>
      </w:r>
      <w:r>
        <w:rPr>
          <w:rFonts w:hint="eastAsia" w:ascii="宋体" w:hAnsi="宋体"/>
          <w:szCs w:val="21"/>
        </w:rPr>
        <w:t>竞争性磋商响应文件</w:t>
      </w:r>
      <w:r>
        <w:rPr>
          <w:rFonts w:ascii="宋体" w:hAnsi="宋体"/>
          <w:szCs w:val="21"/>
        </w:rPr>
        <w:t>递交至</w:t>
      </w:r>
      <w:r>
        <w:rPr>
          <w:rFonts w:hint="eastAsia" w:ascii="宋体" w:hAnsi="宋体" w:cs="宋体"/>
          <w:bCs/>
          <w:szCs w:val="21"/>
        </w:rPr>
        <w:t>采购人或采购代理机构</w:t>
      </w:r>
      <w:r>
        <w:rPr>
          <w:rFonts w:ascii="宋体" w:hAnsi="宋体"/>
          <w:szCs w:val="21"/>
        </w:rPr>
        <w:t>，递交地点应是</w:t>
      </w:r>
      <w:r>
        <w:rPr>
          <w:rFonts w:hint="eastAsia" w:ascii="宋体" w:hAnsi="宋体"/>
          <w:szCs w:val="21"/>
        </w:rPr>
        <w:t>“</w:t>
      </w:r>
      <w:r>
        <w:rPr>
          <w:rFonts w:hint="eastAsia" w:ascii="宋体" w:hAnsi="宋体"/>
          <w:b/>
          <w:szCs w:val="21"/>
        </w:rPr>
        <w:t>供应商须知前附表”</w:t>
      </w:r>
      <w:r>
        <w:rPr>
          <w:rFonts w:ascii="宋体" w:hAnsi="宋体"/>
          <w:szCs w:val="21"/>
        </w:rPr>
        <w:t>中指明的地址。</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19.</w:t>
      </w:r>
      <w:r>
        <w:rPr>
          <w:rFonts w:ascii="宋体" w:hAnsi="宋体"/>
          <w:szCs w:val="21"/>
        </w:rPr>
        <w:t xml:space="preserve">2 </w:t>
      </w:r>
      <w:r>
        <w:rPr>
          <w:rFonts w:hint="eastAsia" w:ascii="宋体" w:hAnsi="宋体" w:cs="宋体"/>
          <w:szCs w:val="21"/>
        </w:rPr>
        <w:t>采购代理机构</w:t>
      </w:r>
      <w:r>
        <w:rPr>
          <w:rFonts w:ascii="宋体" w:hAnsi="宋体"/>
          <w:szCs w:val="21"/>
        </w:rPr>
        <w:t>可以按</w:t>
      </w:r>
      <w:r>
        <w:rPr>
          <w:rFonts w:hint="eastAsia" w:ascii="宋体" w:hAnsi="宋体"/>
          <w:szCs w:val="21"/>
        </w:rPr>
        <w:t>有关</w:t>
      </w:r>
      <w:r>
        <w:rPr>
          <w:rFonts w:ascii="宋体" w:hAnsi="宋体"/>
          <w:szCs w:val="21"/>
        </w:rPr>
        <w:t>规定</w:t>
      </w:r>
      <w:r>
        <w:rPr>
          <w:rFonts w:hint="eastAsia" w:ascii="宋体" w:hAnsi="宋体"/>
          <w:szCs w:val="21"/>
        </w:rPr>
        <w:t>推迟</w:t>
      </w:r>
      <w:r>
        <w:rPr>
          <w:rFonts w:ascii="宋体" w:hAnsi="宋体"/>
          <w:szCs w:val="21"/>
        </w:rPr>
        <w:t>投标截止</w:t>
      </w:r>
      <w:r>
        <w:rPr>
          <w:rFonts w:hint="eastAsia" w:ascii="宋体" w:hAnsi="宋体"/>
          <w:szCs w:val="21"/>
        </w:rPr>
        <w:t>时间</w:t>
      </w:r>
      <w:r>
        <w:rPr>
          <w:rFonts w:ascii="宋体" w:hAnsi="宋体"/>
          <w:szCs w:val="21"/>
        </w:rPr>
        <w:t>。在此情况下，</w:t>
      </w:r>
      <w:r>
        <w:rPr>
          <w:rFonts w:hint="eastAsia" w:ascii="宋体" w:hAnsi="宋体"/>
          <w:szCs w:val="21"/>
        </w:rPr>
        <w:t>采购人、</w:t>
      </w:r>
      <w:r>
        <w:rPr>
          <w:rFonts w:hint="eastAsia" w:ascii="宋体" w:hAnsi="宋体" w:cs="宋体"/>
          <w:szCs w:val="21"/>
        </w:rPr>
        <w:t>采购代理机构</w:t>
      </w:r>
      <w:r>
        <w:rPr>
          <w:rFonts w:ascii="宋体" w:hAnsi="宋体"/>
          <w:szCs w:val="21"/>
        </w:rPr>
        <w:t>和</w:t>
      </w:r>
      <w:r>
        <w:rPr>
          <w:rFonts w:hint="eastAsia" w:ascii="宋体" w:hAnsi="宋体"/>
          <w:szCs w:val="21"/>
        </w:rPr>
        <w:t>供应商</w:t>
      </w:r>
      <w:r>
        <w:rPr>
          <w:rFonts w:ascii="宋体" w:hAnsi="宋体"/>
          <w:szCs w:val="21"/>
        </w:rPr>
        <w:t>受投标截止</w:t>
      </w:r>
      <w:r>
        <w:rPr>
          <w:rFonts w:hint="eastAsia" w:ascii="宋体" w:hAnsi="宋体"/>
          <w:szCs w:val="21"/>
        </w:rPr>
        <w:t>时间</w:t>
      </w:r>
      <w:r>
        <w:rPr>
          <w:rFonts w:ascii="宋体" w:hAnsi="宋体"/>
          <w:szCs w:val="21"/>
        </w:rPr>
        <w:t>制约的所有权利和义务均应延长至新的</w:t>
      </w:r>
      <w:r>
        <w:rPr>
          <w:rFonts w:hint="eastAsia" w:ascii="宋体" w:hAnsi="宋体"/>
          <w:szCs w:val="21"/>
        </w:rPr>
        <w:t>投标</w:t>
      </w:r>
      <w:r>
        <w:rPr>
          <w:rFonts w:ascii="宋体" w:hAnsi="宋体"/>
          <w:szCs w:val="21"/>
        </w:rPr>
        <w:t>截止</w:t>
      </w:r>
      <w:r>
        <w:rPr>
          <w:rFonts w:hint="eastAsia" w:ascii="宋体" w:hAnsi="宋体"/>
          <w:szCs w:val="21"/>
        </w:rPr>
        <w:t>时间</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w:t>
      </w:r>
      <w:r>
        <w:rPr>
          <w:rFonts w:hint="eastAsia" w:ascii="宋体" w:hAnsi="宋体"/>
          <w:b/>
          <w:szCs w:val="21"/>
        </w:rPr>
        <w:t>20</w:t>
      </w:r>
      <w:r>
        <w:rPr>
          <w:rFonts w:ascii="宋体" w:hAnsi="宋体"/>
          <w:b/>
          <w:szCs w:val="21"/>
        </w:rPr>
        <w:t>．迟交的</w:t>
      </w:r>
      <w:r>
        <w:rPr>
          <w:rFonts w:hint="eastAsia" w:ascii="宋体" w:hAnsi="宋体"/>
          <w:b/>
          <w:szCs w:val="21"/>
        </w:rPr>
        <w:t>竞争性磋商响应文件</w:t>
      </w:r>
    </w:p>
    <w:p>
      <w:pPr>
        <w:tabs>
          <w:tab w:val="left" w:pos="3060"/>
        </w:tabs>
        <w:spacing w:line="360" w:lineRule="auto"/>
        <w:rPr>
          <w:rFonts w:ascii="宋体" w:hAnsi="宋体"/>
          <w:szCs w:val="21"/>
        </w:rPr>
      </w:pPr>
      <w:r>
        <w:rPr>
          <w:rFonts w:ascii="宋体" w:hAnsi="宋体"/>
          <w:szCs w:val="21"/>
        </w:rPr>
        <w:t>　　</w:t>
      </w:r>
      <w:r>
        <w:rPr>
          <w:rFonts w:hint="eastAsia" w:ascii="宋体" w:hAnsi="宋体"/>
          <w:szCs w:val="21"/>
        </w:rPr>
        <w:t>20.</w:t>
      </w:r>
      <w:r>
        <w:rPr>
          <w:rFonts w:ascii="宋体" w:hAnsi="宋体"/>
          <w:szCs w:val="21"/>
        </w:rPr>
        <w:t xml:space="preserve">1 </w:t>
      </w:r>
      <w:r>
        <w:rPr>
          <w:rFonts w:hint="eastAsia" w:ascii="宋体" w:hAnsi="宋体"/>
          <w:szCs w:val="21"/>
        </w:rPr>
        <w:t>采购人或</w:t>
      </w:r>
      <w:r>
        <w:rPr>
          <w:rFonts w:hint="eastAsia" w:ascii="宋体" w:hAnsi="宋体" w:cs="宋体"/>
          <w:szCs w:val="21"/>
        </w:rPr>
        <w:t>采购代理机构</w:t>
      </w:r>
      <w:r>
        <w:rPr>
          <w:rFonts w:ascii="宋体" w:hAnsi="宋体"/>
          <w:szCs w:val="21"/>
        </w:rPr>
        <w:t>将拒绝</w:t>
      </w:r>
      <w:r>
        <w:rPr>
          <w:rFonts w:hint="eastAsia" w:ascii="宋体" w:hAnsi="宋体"/>
          <w:szCs w:val="21"/>
        </w:rPr>
        <w:t>接收</w:t>
      </w:r>
      <w:r>
        <w:rPr>
          <w:rFonts w:ascii="宋体" w:hAnsi="宋体"/>
          <w:szCs w:val="21"/>
        </w:rPr>
        <w:t>在</w:t>
      </w:r>
      <w:r>
        <w:rPr>
          <w:rFonts w:hint="eastAsia" w:ascii="宋体" w:hAnsi="宋体"/>
          <w:szCs w:val="21"/>
        </w:rPr>
        <w:t>“</w:t>
      </w:r>
      <w:r>
        <w:rPr>
          <w:rFonts w:hint="eastAsia" w:ascii="宋体" w:hAnsi="宋体"/>
          <w:b/>
          <w:szCs w:val="21"/>
        </w:rPr>
        <w:t>供应商须知前附表”</w:t>
      </w:r>
      <w:r>
        <w:rPr>
          <w:rFonts w:ascii="宋体" w:hAnsi="宋体"/>
          <w:szCs w:val="21"/>
        </w:rPr>
        <w:t>中规定的截止</w:t>
      </w:r>
      <w:r>
        <w:rPr>
          <w:rFonts w:hint="eastAsia" w:ascii="宋体" w:hAnsi="宋体"/>
          <w:szCs w:val="21"/>
        </w:rPr>
        <w:t>时间</w:t>
      </w:r>
      <w:r>
        <w:rPr>
          <w:rFonts w:ascii="宋体" w:hAnsi="宋体"/>
          <w:szCs w:val="21"/>
        </w:rPr>
        <w:t>后收到的任何</w:t>
      </w:r>
      <w:r>
        <w:rPr>
          <w:rFonts w:hint="eastAsia" w:ascii="宋体" w:hAnsi="宋体"/>
          <w:szCs w:val="21"/>
        </w:rPr>
        <w:t>竞争性磋商响应文件</w:t>
      </w:r>
      <w:r>
        <w:rPr>
          <w:rFonts w:ascii="宋体" w:hAnsi="宋体"/>
          <w:szCs w:val="21"/>
        </w:rPr>
        <w:t>。</w:t>
      </w:r>
    </w:p>
    <w:p>
      <w:pPr>
        <w:tabs>
          <w:tab w:val="left" w:pos="3060"/>
        </w:tabs>
        <w:spacing w:line="360" w:lineRule="auto"/>
        <w:rPr>
          <w:rFonts w:ascii="宋体" w:hAnsi="宋体"/>
          <w:b/>
          <w:szCs w:val="21"/>
        </w:rPr>
      </w:pPr>
      <w:r>
        <w:rPr>
          <w:rFonts w:ascii="宋体" w:hAnsi="宋体"/>
          <w:b/>
          <w:szCs w:val="21"/>
        </w:rPr>
        <w:t>　　2</w:t>
      </w:r>
      <w:r>
        <w:rPr>
          <w:rFonts w:hint="eastAsia" w:ascii="宋体" w:hAnsi="宋体"/>
          <w:b/>
          <w:szCs w:val="21"/>
        </w:rPr>
        <w:t>1</w:t>
      </w:r>
      <w:r>
        <w:rPr>
          <w:rFonts w:ascii="宋体" w:hAnsi="宋体"/>
          <w:b/>
          <w:szCs w:val="21"/>
        </w:rPr>
        <w:t>．</w:t>
      </w:r>
      <w:r>
        <w:rPr>
          <w:rFonts w:hint="eastAsia" w:ascii="宋体" w:hAnsi="宋体"/>
          <w:b/>
          <w:szCs w:val="21"/>
        </w:rPr>
        <w:t>竞争性磋商响应文件</w:t>
      </w:r>
      <w:r>
        <w:rPr>
          <w:rFonts w:ascii="宋体" w:hAnsi="宋体"/>
          <w:b/>
          <w:szCs w:val="21"/>
        </w:rPr>
        <w:t>的修改与撤回</w:t>
      </w:r>
    </w:p>
    <w:p>
      <w:pPr>
        <w:tabs>
          <w:tab w:val="left" w:pos="3060"/>
        </w:tabs>
        <w:spacing w:line="360" w:lineRule="auto"/>
        <w:rPr>
          <w:rFonts w:ascii="宋体" w:hAnsi="宋体"/>
          <w:szCs w:val="21"/>
        </w:rPr>
      </w:pPr>
      <w:r>
        <w:rPr>
          <w:rFonts w:ascii="宋体" w:hAnsi="宋体"/>
          <w:szCs w:val="21"/>
        </w:rPr>
        <w:t>　　2</w:t>
      </w:r>
      <w:r>
        <w:rPr>
          <w:rFonts w:hint="eastAsia" w:ascii="宋体" w:hAnsi="宋体"/>
          <w:szCs w:val="21"/>
        </w:rPr>
        <w:t>1.</w:t>
      </w:r>
      <w:r>
        <w:rPr>
          <w:rFonts w:ascii="宋体" w:hAnsi="宋体"/>
          <w:szCs w:val="21"/>
        </w:rPr>
        <w:t xml:space="preserve">1 </w:t>
      </w:r>
      <w:r>
        <w:rPr>
          <w:rFonts w:hint="eastAsia" w:ascii="宋体" w:hAnsi="宋体"/>
          <w:szCs w:val="21"/>
        </w:rPr>
        <w:t>供应商</w:t>
      </w:r>
      <w:r>
        <w:rPr>
          <w:rFonts w:ascii="宋体" w:hAnsi="宋体"/>
          <w:szCs w:val="21"/>
        </w:rPr>
        <w:t>在递交</w:t>
      </w:r>
      <w:r>
        <w:rPr>
          <w:rFonts w:hint="eastAsia" w:ascii="宋体" w:hAnsi="宋体"/>
          <w:szCs w:val="21"/>
        </w:rPr>
        <w:t>竞争性磋商响应文件</w:t>
      </w:r>
      <w:r>
        <w:rPr>
          <w:rFonts w:ascii="宋体" w:hAnsi="宋体"/>
          <w:szCs w:val="21"/>
        </w:rPr>
        <w:t>后，可以修改或撤回其投标，但</w:t>
      </w:r>
      <w:r>
        <w:rPr>
          <w:rFonts w:hint="eastAsia" w:ascii="宋体" w:hAnsi="宋体"/>
          <w:szCs w:val="21"/>
        </w:rPr>
        <w:t>供应商</w:t>
      </w:r>
      <w:r>
        <w:rPr>
          <w:rFonts w:ascii="宋体" w:hAnsi="宋体"/>
          <w:szCs w:val="21"/>
        </w:rPr>
        <w:t>必须在规定的投标截止</w:t>
      </w:r>
      <w:r>
        <w:rPr>
          <w:rFonts w:hint="eastAsia" w:ascii="宋体" w:hAnsi="宋体"/>
          <w:szCs w:val="21"/>
        </w:rPr>
        <w:t>时间</w:t>
      </w:r>
      <w:r>
        <w:rPr>
          <w:rFonts w:ascii="宋体" w:hAnsi="宋体"/>
          <w:szCs w:val="21"/>
        </w:rPr>
        <w:t>之前将修改或撤回的书面通知递交到</w:t>
      </w:r>
      <w:r>
        <w:rPr>
          <w:rFonts w:hint="eastAsia" w:ascii="宋体" w:hAnsi="宋体"/>
          <w:szCs w:val="21"/>
        </w:rPr>
        <w:t>采购人或采购</w:t>
      </w:r>
      <w:r>
        <w:rPr>
          <w:rFonts w:ascii="宋体" w:hAnsi="宋体"/>
          <w:szCs w:val="21"/>
        </w:rPr>
        <w:t>代理机构。</w:t>
      </w:r>
    </w:p>
    <w:p>
      <w:pPr>
        <w:tabs>
          <w:tab w:val="left" w:pos="3060"/>
        </w:tabs>
        <w:spacing w:line="360" w:lineRule="auto"/>
        <w:rPr>
          <w:rFonts w:ascii="宋体" w:hAnsi="宋体"/>
          <w:szCs w:val="21"/>
        </w:rPr>
      </w:pPr>
      <w:r>
        <w:rPr>
          <w:rFonts w:ascii="宋体" w:hAnsi="宋体"/>
          <w:szCs w:val="21"/>
        </w:rPr>
        <w:t>　　2</w:t>
      </w:r>
      <w:r>
        <w:rPr>
          <w:rFonts w:hint="eastAsia" w:ascii="宋体" w:hAnsi="宋体"/>
          <w:szCs w:val="21"/>
        </w:rPr>
        <w:t>1.</w:t>
      </w:r>
      <w:r>
        <w:rPr>
          <w:rFonts w:ascii="宋体" w:hAnsi="宋体"/>
          <w:szCs w:val="21"/>
        </w:rPr>
        <w:t xml:space="preserve">2 </w:t>
      </w:r>
      <w:r>
        <w:rPr>
          <w:rFonts w:hint="eastAsia" w:ascii="宋体" w:hAnsi="宋体"/>
          <w:szCs w:val="21"/>
        </w:rPr>
        <w:t>竞争性磋商响应文件</w:t>
      </w:r>
      <w:r>
        <w:rPr>
          <w:rFonts w:ascii="宋体" w:hAnsi="宋体"/>
          <w:szCs w:val="21"/>
        </w:rPr>
        <w:t>的修改或撤回通知应按本须知第</w:t>
      </w:r>
      <w:r>
        <w:rPr>
          <w:rFonts w:hint="eastAsia" w:ascii="宋体" w:hAnsi="宋体"/>
          <w:szCs w:val="21"/>
        </w:rPr>
        <w:t>17、18</w:t>
      </w:r>
      <w:r>
        <w:rPr>
          <w:rFonts w:ascii="宋体" w:hAnsi="宋体"/>
          <w:szCs w:val="21"/>
        </w:rPr>
        <w:t>条规定编制、</w:t>
      </w:r>
      <w:r>
        <w:rPr>
          <w:rFonts w:hint="eastAsia" w:ascii="宋体" w:hAnsi="宋体"/>
          <w:szCs w:val="21"/>
        </w:rPr>
        <w:t>签署、</w:t>
      </w:r>
      <w:r>
        <w:rPr>
          <w:rFonts w:ascii="宋体" w:hAnsi="宋体"/>
          <w:szCs w:val="21"/>
        </w:rPr>
        <w:t>密封、标记和递交。</w:t>
      </w:r>
    </w:p>
    <w:p>
      <w:pPr>
        <w:tabs>
          <w:tab w:val="left" w:pos="3060"/>
        </w:tabs>
        <w:spacing w:line="360" w:lineRule="auto"/>
        <w:rPr>
          <w:rFonts w:ascii="宋体" w:hAnsi="宋体"/>
          <w:szCs w:val="21"/>
        </w:rPr>
      </w:pPr>
      <w:r>
        <w:rPr>
          <w:rFonts w:ascii="宋体" w:hAnsi="宋体"/>
          <w:szCs w:val="21"/>
        </w:rPr>
        <w:t>　　2</w:t>
      </w:r>
      <w:r>
        <w:rPr>
          <w:rFonts w:hint="eastAsia" w:ascii="宋体" w:hAnsi="宋体"/>
          <w:szCs w:val="21"/>
        </w:rPr>
        <w:t>1.</w:t>
      </w:r>
      <w:r>
        <w:rPr>
          <w:rFonts w:ascii="宋体" w:hAnsi="宋体"/>
          <w:szCs w:val="21"/>
        </w:rPr>
        <w:t>3 在投标截止</w:t>
      </w:r>
      <w:r>
        <w:rPr>
          <w:rFonts w:hint="eastAsia" w:ascii="宋体" w:hAnsi="宋体"/>
          <w:szCs w:val="21"/>
        </w:rPr>
        <w:t>时间</w:t>
      </w:r>
      <w:r>
        <w:rPr>
          <w:rFonts w:ascii="宋体" w:hAnsi="宋体"/>
          <w:szCs w:val="21"/>
        </w:rPr>
        <w:t>之后，</w:t>
      </w:r>
      <w:r>
        <w:rPr>
          <w:rFonts w:hint="eastAsia" w:ascii="宋体" w:hAnsi="宋体"/>
          <w:szCs w:val="21"/>
        </w:rPr>
        <w:t>供应商</w:t>
      </w:r>
      <w:r>
        <w:rPr>
          <w:rFonts w:ascii="宋体" w:hAnsi="宋体"/>
          <w:szCs w:val="21"/>
        </w:rPr>
        <w:t>不得对其投标做任何</w:t>
      </w:r>
      <w:r>
        <w:rPr>
          <w:rFonts w:hint="eastAsia" w:ascii="宋体" w:hAnsi="宋体"/>
          <w:szCs w:val="21"/>
        </w:rPr>
        <w:t>补充、</w:t>
      </w:r>
      <w:r>
        <w:rPr>
          <w:rFonts w:ascii="宋体" w:hAnsi="宋体"/>
          <w:szCs w:val="21"/>
        </w:rPr>
        <w:t>修改。</w:t>
      </w:r>
    </w:p>
    <w:p>
      <w:pPr>
        <w:tabs>
          <w:tab w:val="left" w:pos="3060"/>
        </w:tabs>
        <w:spacing w:line="360" w:lineRule="auto"/>
        <w:ind w:firstLine="426"/>
        <w:rPr>
          <w:rFonts w:ascii="宋体" w:hAnsi="宋体"/>
          <w:szCs w:val="21"/>
        </w:rPr>
      </w:pPr>
      <w:r>
        <w:rPr>
          <w:rFonts w:ascii="宋体" w:hAnsi="宋体"/>
          <w:szCs w:val="21"/>
        </w:rPr>
        <w:t>2</w:t>
      </w:r>
      <w:r>
        <w:rPr>
          <w:rFonts w:hint="eastAsia" w:ascii="宋体" w:hAnsi="宋体"/>
          <w:szCs w:val="21"/>
        </w:rPr>
        <w:t>1.</w:t>
      </w:r>
      <w:r>
        <w:rPr>
          <w:rFonts w:ascii="宋体" w:hAnsi="宋体"/>
          <w:szCs w:val="21"/>
        </w:rPr>
        <w:t>4 从投标截止</w:t>
      </w:r>
      <w:r>
        <w:rPr>
          <w:rFonts w:hint="eastAsia" w:ascii="宋体" w:hAnsi="宋体"/>
          <w:szCs w:val="21"/>
        </w:rPr>
        <w:t>时间</w:t>
      </w:r>
      <w:r>
        <w:rPr>
          <w:rFonts w:ascii="宋体" w:hAnsi="宋体"/>
          <w:szCs w:val="21"/>
        </w:rPr>
        <w:t>至</w:t>
      </w:r>
      <w:r>
        <w:rPr>
          <w:rFonts w:hint="eastAsia" w:ascii="宋体" w:hAnsi="宋体"/>
          <w:szCs w:val="21"/>
        </w:rPr>
        <w:t>供应商</w:t>
      </w:r>
      <w:r>
        <w:rPr>
          <w:rFonts w:ascii="宋体" w:hAnsi="宋体"/>
          <w:szCs w:val="21"/>
        </w:rPr>
        <w:t>在</w:t>
      </w:r>
      <w:r>
        <w:rPr>
          <w:rFonts w:hint="eastAsia" w:ascii="宋体" w:hAnsi="宋体"/>
          <w:szCs w:val="21"/>
        </w:rPr>
        <w:t>竞争性磋商响应文件</w:t>
      </w:r>
      <w:r>
        <w:rPr>
          <w:rFonts w:ascii="宋体" w:hAnsi="宋体"/>
          <w:szCs w:val="21"/>
        </w:rPr>
        <w:t>中确定的投标有效期满这段时间内，</w:t>
      </w:r>
      <w:r>
        <w:rPr>
          <w:rFonts w:hint="eastAsia" w:ascii="宋体" w:hAnsi="宋体"/>
          <w:szCs w:val="21"/>
        </w:rPr>
        <w:t>供应商</w:t>
      </w:r>
      <w:r>
        <w:rPr>
          <w:rFonts w:ascii="宋体" w:hAnsi="宋体"/>
          <w:szCs w:val="21"/>
        </w:rPr>
        <w:t>不得撤</w:t>
      </w:r>
      <w:r>
        <w:rPr>
          <w:rFonts w:hint="eastAsia" w:ascii="宋体" w:hAnsi="宋体"/>
          <w:szCs w:val="21"/>
        </w:rPr>
        <w:t>销</w:t>
      </w:r>
      <w:r>
        <w:rPr>
          <w:rFonts w:ascii="宋体" w:hAnsi="宋体"/>
          <w:szCs w:val="21"/>
        </w:rPr>
        <w:t>其投标，否则其</w:t>
      </w:r>
      <w:r>
        <w:rPr>
          <w:rFonts w:hint="eastAsia" w:ascii="宋体" w:hAnsi="宋体"/>
          <w:szCs w:val="21"/>
        </w:rPr>
        <w:t>竞争性磋商保证金</w:t>
      </w:r>
      <w:r>
        <w:rPr>
          <w:rFonts w:ascii="宋体" w:hAnsi="宋体"/>
          <w:szCs w:val="21"/>
        </w:rPr>
        <w:t>将按照本须知第1</w:t>
      </w:r>
      <w:r>
        <w:rPr>
          <w:rFonts w:hint="eastAsia" w:ascii="宋体" w:hAnsi="宋体"/>
          <w:szCs w:val="21"/>
        </w:rPr>
        <w:t>5.7</w:t>
      </w:r>
      <w:r>
        <w:rPr>
          <w:rFonts w:ascii="宋体" w:hAnsi="宋体"/>
          <w:szCs w:val="21"/>
        </w:rPr>
        <w:t>条的规定</w:t>
      </w:r>
      <w:r>
        <w:rPr>
          <w:rFonts w:hint="eastAsia" w:ascii="宋体" w:hAnsi="宋体"/>
          <w:szCs w:val="21"/>
        </w:rPr>
        <w:t>不予退回</w:t>
      </w:r>
      <w:r>
        <w:rPr>
          <w:rFonts w:ascii="宋体" w:hAnsi="宋体"/>
          <w:szCs w:val="21"/>
        </w:rPr>
        <w:t>。</w:t>
      </w:r>
    </w:p>
    <w:p>
      <w:pPr>
        <w:tabs>
          <w:tab w:val="left" w:pos="3060"/>
        </w:tabs>
        <w:spacing w:line="360" w:lineRule="auto"/>
        <w:jc w:val="center"/>
        <w:rPr>
          <w:rFonts w:ascii="宋体" w:hAnsi="宋体"/>
          <w:b/>
          <w:sz w:val="24"/>
          <w:szCs w:val="24"/>
        </w:rPr>
      </w:pPr>
    </w:p>
    <w:p>
      <w:pPr>
        <w:pStyle w:val="3"/>
        <w:rPr>
          <w:rFonts w:ascii="宋体" w:hAnsi="宋体"/>
          <w:b/>
          <w:sz w:val="24"/>
          <w:szCs w:val="24"/>
        </w:rPr>
      </w:pPr>
    </w:p>
    <w:p>
      <w:pPr>
        <w:rPr>
          <w:rFonts w:ascii="宋体" w:hAnsi="宋体"/>
          <w:b/>
          <w:sz w:val="24"/>
          <w:szCs w:val="24"/>
        </w:rPr>
      </w:pPr>
    </w:p>
    <w:p>
      <w:pPr>
        <w:pStyle w:val="3"/>
      </w:pPr>
    </w:p>
    <w:p>
      <w:pPr>
        <w:tabs>
          <w:tab w:val="left" w:pos="3060"/>
        </w:tabs>
        <w:spacing w:line="360" w:lineRule="auto"/>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五</w:t>
      </w:r>
      <w:r>
        <w:rPr>
          <w:rFonts w:hint="eastAsia" w:ascii="宋体" w:hAnsi="宋体"/>
          <w:b/>
          <w:sz w:val="24"/>
          <w:szCs w:val="24"/>
        </w:rPr>
        <w:t>、</w:t>
      </w:r>
      <w:r>
        <w:rPr>
          <w:rFonts w:ascii="宋体" w:hAnsi="宋体"/>
          <w:b/>
          <w:sz w:val="24"/>
          <w:szCs w:val="24"/>
        </w:rPr>
        <w:t>评标</w:t>
      </w:r>
    </w:p>
    <w:p>
      <w:pPr>
        <w:tabs>
          <w:tab w:val="left" w:pos="3060"/>
        </w:tabs>
        <w:spacing w:line="360" w:lineRule="auto"/>
        <w:rPr>
          <w:rFonts w:ascii="宋体" w:hAnsi="宋体"/>
          <w:b/>
          <w:szCs w:val="21"/>
        </w:rPr>
      </w:pPr>
      <w:r>
        <w:rPr>
          <w:rFonts w:hint="eastAsia" w:ascii="宋体" w:hAnsi="宋体"/>
          <w:b/>
          <w:szCs w:val="21"/>
        </w:rPr>
        <w:t xml:space="preserve">    22．磋商小组和评标方法</w:t>
      </w:r>
    </w:p>
    <w:p>
      <w:pPr>
        <w:tabs>
          <w:tab w:val="left" w:pos="3060"/>
        </w:tabs>
        <w:spacing w:line="360" w:lineRule="auto"/>
        <w:ind w:firstLine="420" w:firstLineChars="200"/>
        <w:rPr>
          <w:rFonts w:ascii="宋体" w:hAnsi="宋体"/>
          <w:szCs w:val="21"/>
        </w:rPr>
      </w:pPr>
      <w:r>
        <w:rPr>
          <w:rFonts w:hint="eastAsia" w:ascii="宋体" w:hAnsi="宋体"/>
          <w:szCs w:val="21"/>
        </w:rPr>
        <w:t>22.1</w:t>
      </w:r>
      <w:r>
        <w:rPr>
          <w:rFonts w:hint="eastAsia"/>
          <w:szCs w:val="21"/>
        </w:rPr>
        <w:t>评标由依照有关法规组建的磋商小组负责。磋商小组</w:t>
      </w:r>
      <w:r>
        <w:rPr>
          <w:rFonts w:hint="eastAsia" w:ascii="宋体" w:hAnsi="宋体"/>
          <w:szCs w:val="21"/>
        </w:rPr>
        <w:t>由采购人代表和有关技术、经济等方面的专家组成。成员人数</w:t>
      </w:r>
      <w:r>
        <w:rPr>
          <w:rFonts w:hint="eastAsia" w:ascii="宋体" w:hAnsi="宋体"/>
          <w:b/>
          <w:szCs w:val="21"/>
          <w:lang w:val="en-US" w:eastAsia="zh-CN"/>
        </w:rPr>
        <w:t>3</w:t>
      </w:r>
      <w:r>
        <w:rPr>
          <w:rFonts w:hint="eastAsia" w:ascii="宋体" w:hAnsi="宋体"/>
          <w:b/>
          <w:szCs w:val="21"/>
        </w:rPr>
        <w:t>人</w:t>
      </w:r>
      <w:r>
        <w:rPr>
          <w:rFonts w:hint="eastAsia" w:ascii="宋体" w:hAnsi="宋体"/>
          <w:szCs w:val="21"/>
        </w:rPr>
        <w:t>，其中技术、经济等方面的专家不少于成员总数的三分之二。</w:t>
      </w:r>
    </w:p>
    <w:p>
      <w:pPr>
        <w:tabs>
          <w:tab w:val="left" w:pos="3060"/>
        </w:tabs>
        <w:spacing w:line="360" w:lineRule="auto"/>
        <w:ind w:firstLine="480"/>
        <w:rPr>
          <w:rFonts w:ascii="宋体" w:hAnsi="宋体"/>
          <w:szCs w:val="21"/>
        </w:rPr>
      </w:pPr>
      <w:r>
        <w:rPr>
          <w:rFonts w:hint="eastAsia" w:ascii="宋体" w:hAnsi="宋体"/>
          <w:szCs w:val="21"/>
        </w:rPr>
        <w:t>22.2 磋商小组成员人数以及有关技术、经济等方面专家的确定方式见“</w:t>
      </w:r>
      <w:r>
        <w:rPr>
          <w:rFonts w:hint="eastAsia" w:ascii="宋体" w:hAnsi="宋体"/>
          <w:b/>
          <w:szCs w:val="21"/>
        </w:rPr>
        <w:t>供应商须知前附表”</w:t>
      </w:r>
      <w:r>
        <w:rPr>
          <w:rFonts w:hint="eastAsia" w:ascii="宋体" w:hAnsi="宋体"/>
          <w:szCs w:val="21"/>
        </w:rPr>
        <w:t>。磋商小组组成人员，在公布中标结果前应当保密。</w:t>
      </w:r>
    </w:p>
    <w:p>
      <w:pPr>
        <w:tabs>
          <w:tab w:val="left" w:pos="3060"/>
        </w:tabs>
        <w:spacing w:line="360" w:lineRule="auto"/>
        <w:ind w:firstLine="480"/>
        <w:rPr>
          <w:rFonts w:ascii="宋体" w:hAnsi="宋体"/>
          <w:szCs w:val="21"/>
        </w:rPr>
      </w:pPr>
      <w:r>
        <w:rPr>
          <w:rFonts w:hint="eastAsia" w:ascii="宋体" w:hAnsi="宋体"/>
          <w:szCs w:val="21"/>
        </w:rPr>
        <w:t>22.3 本次竞争性磋商采用的评标方法见“</w:t>
      </w:r>
      <w:r>
        <w:rPr>
          <w:rFonts w:hint="eastAsia" w:ascii="宋体" w:hAnsi="宋体"/>
          <w:b/>
          <w:szCs w:val="21"/>
        </w:rPr>
        <w:t>供应商须知前附表”</w:t>
      </w:r>
    </w:p>
    <w:p>
      <w:pPr>
        <w:tabs>
          <w:tab w:val="left" w:pos="3060"/>
        </w:tabs>
        <w:spacing w:line="360" w:lineRule="auto"/>
        <w:ind w:firstLine="420"/>
        <w:rPr>
          <w:rFonts w:ascii="宋体" w:hAnsi="宋体"/>
          <w:b/>
          <w:szCs w:val="21"/>
        </w:rPr>
      </w:pPr>
      <w:r>
        <w:rPr>
          <w:rFonts w:ascii="宋体" w:hAnsi="宋体"/>
          <w:b/>
          <w:szCs w:val="21"/>
        </w:rPr>
        <w:t>2</w:t>
      </w:r>
      <w:r>
        <w:rPr>
          <w:rFonts w:hint="eastAsia" w:ascii="宋体" w:hAnsi="宋体"/>
          <w:b/>
          <w:szCs w:val="21"/>
        </w:rPr>
        <w:t>3</w:t>
      </w:r>
      <w:r>
        <w:rPr>
          <w:rFonts w:ascii="宋体" w:hAnsi="宋体"/>
          <w:b/>
          <w:szCs w:val="21"/>
        </w:rPr>
        <w:t>．</w:t>
      </w:r>
      <w:r>
        <w:rPr>
          <w:rFonts w:hint="eastAsia" w:ascii="宋体" w:hAnsi="宋体"/>
          <w:b/>
          <w:szCs w:val="21"/>
        </w:rPr>
        <w:t>竞争性磋商响应文件</w:t>
      </w:r>
      <w:r>
        <w:rPr>
          <w:rFonts w:ascii="宋体" w:hAnsi="宋体"/>
          <w:b/>
          <w:szCs w:val="21"/>
        </w:rPr>
        <w:t>的</w:t>
      </w:r>
      <w:r>
        <w:rPr>
          <w:rFonts w:hint="eastAsia" w:ascii="宋体" w:hAnsi="宋体"/>
          <w:b/>
          <w:szCs w:val="21"/>
        </w:rPr>
        <w:t>初审</w:t>
      </w:r>
    </w:p>
    <w:p>
      <w:pPr>
        <w:tabs>
          <w:tab w:val="left" w:pos="3060"/>
        </w:tabs>
        <w:spacing w:line="360" w:lineRule="auto"/>
        <w:ind w:firstLine="420"/>
        <w:rPr>
          <w:rFonts w:ascii="宋体" w:hAnsi="宋体"/>
          <w:szCs w:val="21"/>
        </w:rPr>
      </w:pPr>
      <w:r>
        <w:rPr>
          <w:rFonts w:hint="eastAsia" w:ascii="宋体" w:hAnsi="宋体"/>
          <w:szCs w:val="21"/>
        </w:rPr>
        <w:t>23.1 供应商应按照</w:t>
      </w:r>
      <w:r>
        <w:rPr>
          <w:rFonts w:hint="eastAsia" w:ascii="宋体" w:hAnsi="宋体"/>
          <w:b/>
          <w:szCs w:val="21"/>
        </w:rPr>
        <w:t>“供应商须知前附表”</w:t>
      </w:r>
      <w:r>
        <w:rPr>
          <w:rFonts w:hint="eastAsia" w:ascii="宋体" w:hAnsi="宋体"/>
          <w:szCs w:val="21"/>
        </w:rPr>
        <w:t>的要求, 在开标时提交有关证照或资料, 进行身份核验。</w:t>
      </w:r>
    </w:p>
    <w:p>
      <w:pPr>
        <w:tabs>
          <w:tab w:val="left" w:pos="3060"/>
        </w:tabs>
        <w:spacing w:line="360" w:lineRule="auto"/>
        <w:ind w:firstLine="420"/>
        <w:rPr>
          <w:rFonts w:ascii="宋体" w:hAnsi="宋体"/>
          <w:color w:val="000000" w:themeColor="text1"/>
          <w:szCs w:val="21"/>
        </w:rPr>
      </w:pPr>
      <w:r>
        <w:rPr>
          <w:rFonts w:hint="eastAsia" w:ascii="宋体" w:hAnsi="宋体"/>
          <w:color w:val="000000" w:themeColor="text1"/>
          <w:szCs w:val="21"/>
        </w:rPr>
        <w:t>23.2 初步评审参照第三章评标办法的规定进行。</w:t>
      </w:r>
    </w:p>
    <w:p>
      <w:pPr>
        <w:tabs>
          <w:tab w:val="left" w:pos="3060"/>
        </w:tabs>
        <w:spacing w:line="360" w:lineRule="auto"/>
        <w:ind w:firstLine="420"/>
        <w:rPr>
          <w:rFonts w:ascii="宋体" w:hAnsi="宋体"/>
          <w:b/>
          <w:szCs w:val="21"/>
        </w:rPr>
      </w:pPr>
      <w:r>
        <w:rPr>
          <w:rFonts w:ascii="宋体" w:hAnsi="宋体"/>
          <w:b/>
          <w:szCs w:val="21"/>
        </w:rPr>
        <w:t>2</w:t>
      </w:r>
      <w:r>
        <w:rPr>
          <w:rFonts w:hint="eastAsia" w:ascii="宋体" w:hAnsi="宋体"/>
          <w:b/>
          <w:szCs w:val="21"/>
        </w:rPr>
        <w:t>4</w:t>
      </w:r>
      <w:r>
        <w:rPr>
          <w:rFonts w:ascii="宋体" w:hAnsi="宋体"/>
          <w:b/>
          <w:szCs w:val="21"/>
        </w:rPr>
        <w:t>．</w:t>
      </w:r>
      <w:r>
        <w:rPr>
          <w:rFonts w:hint="eastAsia" w:ascii="宋体" w:hAnsi="宋体"/>
          <w:b/>
          <w:szCs w:val="21"/>
        </w:rPr>
        <w:t>竞争性磋商响应文件</w:t>
      </w:r>
      <w:r>
        <w:rPr>
          <w:rFonts w:ascii="宋体" w:hAnsi="宋体"/>
          <w:b/>
          <w:szCs w:val="21"/>
        </w:rPr>
        <w:t>的</w:t>
      </w:r>
      <w:r>
        <w:rPr>
          <w:rFonts w:hint="eastAsia" w:ascii="宋体" w:hAnsi="宋体"/>
          <w:b/>
          <w:szCs w:val="21"/>
        </w:rPr>
        <w:t>详细评审</w:t>
      </w:r>
    </w:p>
    <w:p>
      <w:pPr>
        <w:tabs>
          <w:tab w:val="left" w:pos="3060"/>
        </w:tabs>
        <w:spacing w:line="360" w:lineRule="auto"/>
        <w:ind w:firstLine="420"/>
        <w:rPr>
          <w:rFonts w:ascii="宋体" w:hAnsi="宋体"/>
          <w:szCs w:val="21"/>
        </w:rPr>
      </w:pPr>
      <w:r>
        <w:rPr>
          <w:rFonts w:hint="eastAsia" w:ascii="宋体" w:hAnsi="宋体"/>
          <w:szCs w:val="21"/>
        </w:rPr>
        <w:t>24.1 磋商小组</w:t>
      </w:r>
      <w:r>
        <w:rPr>
          <w:rFonts w:ascii="宋体" w:hAnsi="宋体"/>
          <w:szCs w:val="21"/>
        </w:rPr>
        <w:t>只</w:t>
      </w:r>
      <w:r>
        <w:rPr>
          <w:rFonts w:hint="eastAsia" w:ascii="宋体" w:hAnsi="宋体"/>
          <w:szCs w:val="21"/>
        </w:rPr>
        <w:t>对通过初步评审的投标进行详细评审。</w:t>
      </w:r>
    </w:p>
    <w:p>
      <w:pPr>
        <w:tabs>
          <w:tab w:val="left" w:pos="3060"/>
        </w:tabs>
        <w:spacing w:line="360" w:lineRule="auto"/>
        <w:ind w:firstLine="420"/>
        <w:rPr>
          <w:rFonts w:ascii="宋体" w:hAnsi="宋体"/>
          <w:szCs w:val="21"/>
        </w:rPr>
      </w:pPr>
      <w:r>
        <w:rPr>
          <w:rFonts w:hint="eastAsia" w:ascii="宋体" w:hAnsi="宋体"/>
          <w:szCs w:val="21"/>
        </w:rPr>
        <w:t>24.2 详细评审的参照第三章评标办法的规定进行。</w:t>
      </w:r>
    </w:p>
    <w:p>
      <w:pPr>
        <w:tabs>
          <w:tab w:val="left" w:pos="3060"/>
        </w:tabs>
        <w:spacing w:line="360" w:lineRule="auto"/>
        <w:ind w:firstLine="413" w:firstLineChars="196"/>
        <w:rPr>
          <w:rFonts w:ascii="宋体" w:hAnsi="宋体"/>
          <w:b/>
          <w:szCs w:val="21"/>
        </w:rPr>
      </w:pPr>
      <w:r>
        <w:rPr>
          <w:rFonts w:hint="eastAsia" w:ascii="宋体" w:hAnsi="宋体"/>
          <w:b/>
          <w:szCs w:val="21"/>
        </w:rPr>
        <w:t>25．评标过程的保密</w:t>
      </w:r>
    </w:p>
    <w:p>
      <w:pPr>
        <w:tabs>
          <w:tab w:val="left" w:pos="3060"/>
        </w:tabs>
        <w:spacing w:line="360" w:lineRule="auto"/>
        <w:ind w:firstLine="420" w:firstLineChars="200"/>
        <w:rPr>
          <w:rFonts w:ascii="宋体" w:hAnsi="宋体"/>
          <w:szCs w:val="21"/>
        </w:rPr>
      </w:pPr>
      <w:r>
        <w:rPr>
          <w:rFonts w:hint="eastAsia" w:ascii="宋体" w:hAnsi="宋体"/>
          <w:szCs w:val="21"/>
        </w:rPr>
        <w:t>25.1凡是属于审查、澄清、评审和比较的有关资料以及授标建议等均不得向供应商或其他无关的人员透露。</w:t>
      </w:r>
    </w:p>
    <w:p>
      <w:pPr>
        <w:tabs>
          <w:tab w:val="left" w:pos="3060"/>
        </w:tabs>
        <w:spacing w:line="360" w:lineRule="auto"/>
        <w:ind w:firstLine="409" w:firstLineChars="195"/>
        <w:rPr>
          <w:rFonts w:ascii="宋体" w:hAnsi="宋体"/>
          <w:b/>
          <w:szCs w:val="21"/>
        </w:rPr>
      </w:pPr>
      <w:r>
        <w:rPr>
          <w:rFonts w:hint="eastAsia" w:ascii="宋体" w:hAnsi="宋体"/>
          <w:szCs w:val="21"/>
        </w:rPr>
        <w:t>25.2供应商在评标过程中，所进行的力图影响评标结果的不公正活动，可能导致其投标被拒绝。</w:t>
      </w:r>
    </w:p>
    <w:p>
      <w:pPr>
        <w:pStyle w:val="25"/>
        <w:spacing w:line="360" w:lineRule="auto"/>
        <w:ind w:firstLine="422" w:firstLineChars="200"/>
        <w:rPr>
          <w:rFonts w:ascii="Times New Roman" w:hAnsi="Times New Roman"/>
          <w:szCs w:val="21"/>
        </w:rPr>
      </w:pPr>
      <w:r>
        <w:rPr>
          <w:rFonts w:hAnsi="宋体"/>
          <w:b/>
          <w:szCs w:val="21"/>
        </w:rPr>
        <w:t>2</w:t>
      </w:r>
      <w:r>
        <w:rPr>
          <w:rFonts w:hint="eastAsia" w:hAnsi="宋体"/>
          <w:b/>
          <w:szCs w:val="21"/>
        </w:rPr>
        <w:t>6</w:t>
      </w:r>
      <w:r>
        <w:rPr>
          <w:rFonts w:hAnsi="宋体"/>
          <w:b/>
          <w:szCs w:val="21"/>
        </w:rPr>
        <w:t>．</w:t>
      </w:r>
      <w:r>
        <w:rPr>
          <w:rFonts w:hint="eastAsia" w:ascii="Times New Roman" w:hAnsi="Times New Roman"/>
          <w:b/>
          <w:szCs w:val="21"/>
        </w:rPr>
        <w:t>中标候选人的推荐方法</w:t>
      </w:r>
    </w:p>
    <w:p>
      <w:pPr>
        <w:snapToGrid w:val="0"/>
        <w:spacing w:line="360" w:lineRule="auto"/>
        <w:ind w:firstLine="420" w:firstLineChars="200"/>
        <w:rPr>
          <w:rFonts w:ascii="宋体" w:hAnsi="宋体"/>
          <w:szCs w:val="21"/>
        </w:rPr>
      </w:pPr>
      <w:r>
        <w:rPr>
          <w:rFonts w:hint="eastAsia" w:ascii="宋体" w:hAnsi="宋体"/>
          <w:szCs w:val="21"/>
        </w:rPr>
        <w:t>磋商小组将根据供应商综合评分的高低排出名次。综合评分相同的，将依照价格、技术、商</w:t>
      </w:r>
    </w:p>
    <w:p>
      <w:pPr>
        <w:snapToGrid w:val="0"/>
        <w:spacing w:line="360" w:lineRule="auto"/>
        <w:rPr>
          <w:rFonts w:ascii="宋体" w:hAnsi="宋体"/>
          <w:szCs w:val="21"/>
        </w:rPr>
      </w:pPr>
      <w:r>
        <w:rPr>
          <w:rFonts w:hint="eastAsia" w:ascii="宋体" w:hAnsi="宋体"/>
          <w:szCs w:val="21"/>
        </w:rPr>
        <w:t>务、服务的优先次序，根据其评分高低进行排序，确定前三名为中标候选人。</w:t>
      </w:r>
    </w:p>
    <w:p>
      <w:pPr>
        <w:tabs>
          <w:tab w:val="left" w:pos="3060"/>
        </w:tabs>
        <w:spacing w:line="360" w:lineRule="auto"/>
        <w:rPr>
          <w:rFonts w:ascii="宋体" w:hAnsi="宋体"/>
          <w:b/>
          <w:sz w:val="24"/>
          <w:szCs w:val="24"/>
        </w:rPr>
      </w:pPr>
    </w:p>
    <w:p>
      <w:pPr>
        <w:tabs>
          <w:tab w:val="left" w:pos="3060"/>
        </w:tabs>
        <w:spacing w:line="360" w:lineRule="auto"/>
        <w:jc w:val="center"/>
        <w:rPr>
          <w:rFonts w:ascii="宋体" w:hAnsi="宋体"/>
          <w:b/>
          <w:sz w:val="24"/>
          <w:szCs w:val="24"/>
        </w:rPr>
      </w:pPr>
      <w:r>
        <w:rPr>
          <w:rFonts w:ascii="宋体" w:hAnsi="宋体"/>
          <w:b/>
          <w:sz w:val="24"/>
          <w:szCs w:val="24"/>
        </w:rPr>
        <w:t>六</w:t>
      </w:r>
      <w:r>
        <w:rPr>
          <w:rFonts w:hint="eastAsia" w:ascii="宋体" w:hAnsi="宋体"/>
          <w:b/>
          <w:sz w:val="24"/>
          <w:szCs w:val="24"/>
        </w:rPr>
        <w:t>、</w:t>
      </w:r>
      <w:r>
        <w:rPr>
          <w:rFonts w:ascii="宋体" w:hAnsi="宋体"/>
          <w:b/>
          <w:sz w:val="24"/>
          <w:szCs w:val="24"/>
        </w:rPr>
        <w:t>授予合同</w:t>
      </w:r>
    </w:p>
    <w:p>
      <w:pPr>
        <w:tabs>
          <w:tab w:val="left" w:pos="3060"/>
        </w:tabs>
        <w:spacing w:line="360" w:lineRule="auto"/>
        <w:ind w:firstLine="413" w:firstLineChars="196"/>
        <w:rPr>
          <w:rFonts w:ascii="宋体" w:hAnsi="宋体"/>
          <w:szCs w:val="21"/>
        </w:rPr>
      </w:pPr>
      <w:r>
        <w:rPr>
          <w:rFonts w:hint="eastAsia" w:ascii="宋体" w:hAnsi="宋体"/>
          <w:b/>
          <w:szCs w:val="21"/>
        </w:rPr>
        <w:t>27</w:t>
      </w:r>
      <w:r>
        <w:rPr>
          <w:rFonts w:ascii="宋体" w:hAnsi="宋体"/>
          <w:b/>
          <w:szCs w:val="21"/>
        </w:rPr>
        <w:t>．</w:t>
      </w:r>
      <w:r>
        <w:rPr>
          <w:rFonts w:hint="eastAsia" w:ascii="宋体" w:hAnsi="宋体"/>
          <w:b/>
          <w:szCs w:val="21"/>
        </w:rPr>
        <w:t>中标人的确定</w:t>
      </w:r>
      <w:r>
        <w:rPr>
          <w:rFonts w:hint="eastAsia" w:ascii="宋体" w:hAnsi="宋体"/>
          <w:szCs w:val="21"/>
        </w:rPr>
        <w:t xml:space="preserve"> </w:t>
      </w:r>
    </w:p>
    <w:p>
      <w:pPr>
        <w:tabs>
          <w:tab w:val="left" w:pos="3060"/>
        </w:tabs>
        <w:spacing w:line="360" w:lineRule="auto"/>
        <w:ind w:firstLine="411" w:firstLineChars="196"/>
        <w:rPr>
          <w:rFonts w:ascii="宋体" w:hAnsi="宋体"/>
          <w:szCs w:val="21"/>
        </w:rPr>
      </w:pPr>
      <w:r>
        <w:rPr>
          <w:rFonts w:hint="eastAsia" w:ascii="宋体" w:hAnsi="宋体"/>
          <w:szCs w:val="21"/>
        </w:rPr>
        <w:t>27.</w:t>
      </w:r>
      <w:r>
        <w:rPr>
          <w:rFonts w:ascii="宋体" w:hAnsi="宋体"/>
          <w:szCs w:val="21"/>
        </w:rPr>
        <w:t>1</w:t>
      </w:r>
      <w:r>
        <w:rPr>
          <w:rFonts w:hint="eastAsia" w:ascii="宋体" w:hAnsi="宋体"/>
          <w:szCs w:val="21"/>
        </w:rPr>
        <w:t>采购人</w:t>
      </w:r>
      <w:r>
        <w:rPr>
          <w:rFonts w:ascii="宋体" w:hAnsi="宋体"/>
          <w:szCs w:val="21"/>
        </w:rPr>
        <w:t>将把合同授予被确定为实质上响应</w:t>
      </w:r>
      <w:r>
        <w:rPr>
          <w:rFonts w:hint="eastAsia" w:ascii="宋体" w:hAnsi="宋体"/>
          <w:szCs w:val="21"/>
        </w:rPr>
        <w:t>竞争性磋商</w:t>
      </w:r>
      <w:r>
        <w:rPr>
          <w:rFonts w:ascii="宋体" w:hAnsi="宋体"/>
          <w:szCs w:val="21"/>
        </w:rPr>
        <w:t>文件的要求并有履行合同能力的</w:t>
      </w:r>
      <w:r>
        <w:rPr>
          <w:rFonts w:hint="eastAsia" w:ascii="宋体" w:hAnsi="宋体"/>
          <w:szCs w:val="21"/>
        </w:rPr>
        <w:t>排名最靠前</w:t>
      </w:r>
      <w:r>
        <w:rPr>
          <w:rFonts w:ascii="宋体" w:hAnsi="宋体"/>
          <w:szCs w:val="21"/>
        </w:rPr>
        <w:t>的</w:t>
      </w:r>
      <w:r>
        <w:rPr>
          <w:rFonts w:hint="eastAsia" w:ascii="宋体" w:hAnsi="宋体"/>
          <w:szCs w:val="21"/>
        </w:rPr>
        <w:t>供应商</w:t>
      </w:r>
      <w:r>
        <w:rPr>
          <w:rFonts w:ascii="宋体" w:hAnsi="宋体"/>
          <w:szCs w:val="21"/>
        </w:rPr>
        <w:t>。</w:t>
      </w:r>
      <w:r>
        <w:rPr>
          <w:rFonts w:hint="eastAsia" w:ascii="宋体" w:hAnsi="宋体"/>
          <w:szCs w:val="21"/>
        </w:rPr>
        <w:t>综合优势明显的供应商有可能中标，不保证最低投标报价者中标。</w:t>
      </w:r>
    </w:p>
    <w:p>
      <w:pPr>
        <w:tabs>
          <w:tab w:val="left" w:pos="3060"/>
        </w:tabs>
        <w:spacing w:line="360" w:lineRule="auto"/>
        <w:ind w:firstLine="480"/>
        <w:rPr>
          <w:rFonts w:ascii="宋体" w:hAnsi="宋体"/>
          <w:szCs w:val="21"/>
        </w:rPr>
      </w:pPr>
      <w:r>
        <w:rPr>
          <w:rFonts w:hint="eastAsia" w:ascii="宋体" w:hAnsi="宋体"/>
          <w:szCs w:val="21"/>
        </w:rPr>
        <w:t>27.2采购人按照磋商小组推荐的中标候选供应商排名顺序依法确定中标供应商。</w:t>
      </w:r>
    </w:p>
    <w:p>
      <w:pPr>
        <w:tabs>
          <w:tab w:val="left" w:pos="3060"/>
        </w:tabs>
        <w:spacing w:line="360" w:lineRule="auto"/>
        <w:ind w:firstLine="480"/>
        <w:rPr>
          <w:rFonts w:ascii="宋体" w:hAnsi="宋体"/>
          <w:szCs w:val="21"/>
        </w:rPr>
      </w:pPr>
      <w:r>
        <w:rPr>
          <w:rFonts w:hint="eastAsia" w:ascii="宋体" w:hAnsi="宋体"/>
          <w:szCs w:val="21"/>
        </w:rPr>
        <w:t>27.3</w:t>
      </w:r>
      <w:r>
        <w:rPr>
          <w:rFonts w:hint="eastAsia" w:ascii="宋体" w:hAnsi="宋体" w:cs="宋体"/>
          <w:kern w:val="0"/>
          <w:szCs w:val="21"/>
        </w:rPr>
        <w:t>出现下列情形之一的</w:t>
      </w:r>
      <w:r>
        <w:rPr>
          <w:rFonts w:hint="eastAsia" w:ascii="宋体" w:hAnsi="宋体"/>
          <w:szCs w:val="21"/>
        </w:rPr>
        <w:t>，采购人可以与排位在中标人之后第一位的中标候选供应商签订政府采购合同，也可以重新组织竞争性磋商。</w:t>
      </w:r>
    </w:p>
    <w:p>
      <w:pPr>
        <w:tabs>
          <w:tab w:val="left" w:pos="3060"/>
        </w:tabs>
        <w:spacing w:line="360" w:lineRule="auto"/>
        <w:ind w:firstLine="480"/>
        <w:rPr>
          <w:rFonts w:ascii="宋体" w:hAnsi="宋体" w:cs="宋体"/>
          <w:kern w:val="0"/>
          <w:szCs w:val="21"/>
        </w:rPr>
      </w:pPr>
      <w:r>
        <w:rPr>
          <w:rFonts w:hint="eastAsia" w:ascii="宋体" w:hAnsi="宋体" w:cs="宋体"/>
          <w:kern w:val="0"/>
          <w:szCs w:val="21"/>
        </w:rPr>
        <w:t>（1）排名第一的候选供应商，因自身原因放弃中标成交或因不可抗力不能履行合同的；</w:t>
      </w:r>
    </w:p>
    <w:p>
      <w:pPr>
        <w:tabs>
          <w:tab w:val="left" w:pos="3060"/>
        </w:tabs>
        <w:spacing w:line="360" w:lineRule="auto"/>
        <w:ind w:firstLine="480"/>
        <w:rPr>
          <w:rFonts w:ascii="宋体" w:hAnsi="宋体" w:cs="宋体"/>
          <w:kern w:val="0"/>
          <w:szCs w:val="21"/>
        </w:rPr>
      </w:pPr>
      <w:r>
        <w:rPr>
          <w:rFonts w:hint="eastAsia" w:ascii="宋体" w:hAnsi="宋体" w:cs="宋体"/>
          <w:kern w:val="0"/>
          <w:szCs w:val="21"/>
        </w:rPr>
        <w:t>（2）经质疑，磋商小组或采购人审查确认因中标人在本次采购活动中存在违法违规行为或其他原因使质疑成立的。</w:t>
      </w:r>
    </w:p>
    <w:p>
      <w:pPr>
        <w:tabs>
          <w:tab w:val="left" w:pos="3060"/>
        </w:tabs>
        <w:spacing w:line="360" w:lineRule="auto"/>
        <w:ind w:firstLine="480"/>
        <w:rPr>
          <w:rFonts w:ascii="宋体" w:hAnsi="宋体"/>
          <w:szCs w:val="21"/>
        </w:rPr>
      </w:pPr>
      <w:r>
        <w:rPr>
          <w:rFonts w:hint="eastAsia" w:ascii="宋体" w:hAnsi="宋体" w:cs="宋体"/>
          <w:kern w:val="0"/>
          <w:szCs w:val="21"/>
        </w:rPr>
        <w:t>（3）</w:t>
      </w:r>
      <w:r>
        <w:rPr>
          <w:rFonts w:hint="eastAsia" w:ascii="宋体" w:hAnsi="宋体"/>
          <w:szCs w:val="21"/>
        </w:rPr>
        <w:t xml:space="preserve">在竞争性磋商过程中, 因采购人的采购计划发生重大变更等不可抗力原因, 经项目主管部门批准后, 采购人可重新组织招标。 </w:t>
      </w:r>
    </w:p>
    <w:p>
      <w:pPr>
        <w:tabs>
          <w:tab w:val="left" w:pos="3060"/>
        </w:tabs>
        <w:spacing w:line="360" w:lineRule="auto"/>
        <w:ind w:firstLine="480"/>
        <w:rPr>
          <w:rFonts w:ascii="宋体" w:hAnsi="宋体"/>
          <w:b/>
          <w:szCs w:val="21"/>
        </w:rPr>
      </w:pPr>
      <w:r>
        <w:rPr>
          <w:rFonts w:hint="eastAsia" w:ascii="宋体" w:hAnsi="宋体"/>
          <w:b/>
          <w:szCs w:val="21"/>
        </w:rPr>
        <w:t>28</w:t>
      </w:r>
      <w:r>
        <w:rPr>
          <w:rFonts w:ascii="宋体" w:hAnsi="宋体"/>
          <w:b/>
          <w:szCs w:val="21"/>
        </w:rPr>
        <w:t>．</w:t>
      </w:r>
      <w:r>
        <w:rPr>
          <w:rFonts w:hint="eastAsia" w:ascii="宋体" w:hAnsi="宋体"/>
          <w:b/>
          <w:szCs w:val="21"/>
        </w:rPr>
        <w:t>中标结果公示</w:t>
      </w:r>
    </w:p>
    <w:p>
      <w:pPr>
        <w:tabs>
          <w:tab w:val="left" w:pos="3060"/>
        </w:tabs>
        <w:spacing w:line="360" w:lineRule="auto"/>
        <w:ind w:firstLine="420" w:firstLineChars="200"/>
        <w:rPr>
          <w:rFonts w:ascii="宋体" w:hAnsi="宋体"/>
          <w:szCs w:val="21"/>
        </w:rPr>
      </w:pPr>
      <w:r>
        <w:rPr>
          <w:rFonts w:hint="eastAsia" w:ascii="宋体" w:hAnsi="宋体"/>
          <w:szCs w:val="21"/>
        </w:rPr>
        <w:t>28.</w:t>
      </w:r>
      <w:r>
        <w:rPr>
          <w:rFonts w:ascii="宋体" w:hAnsi="宋体"/>
          <w:szCs w:val="21"/>
        </w:rPr>
        <w:t>1</w:t>
      </w:r>
      <w:r>
        <w:rPr>
          <w:rFonts w:hint="eastAsia" w:ascii="宋体" w:hAnsi="宋体"/>
          <w:szCs w:val="21"/>
        </w:rPr>
        <w:t>中</w:t>
      </w:r>
      <w:r>
        <w:rPr>
          <w:rFonts w:ascii="宋体" w:hAnsi="宋体"/>
          <w:szCs w:val="21"/>
        </w:rPr>
        <w:t>标结果</w:t>
      </w:r>
      <w:r>
        <w:rPr>
          <w:rFonts w:hint="eastAsia" w:ascii="宋体" w:hAnsi="宋体"/>
          <w:szCs w:val="21"/>
        </w:rPr>
        <w:t>将</w:t>
      </w:r>
      <w:r>
        <w:rPr>
          <w:rFonts w:ascii="宋体" w:hAnsi="宋体"/>
          <w:szCs w:val="21"/>
        </w:rPr>
        <w:t>在</w:t>
      </w:r>
      <w:r>
        <w:rPr>
          <w:rFonts w:hint="eastAsia" w:ascii="宋体" w:hAnsi="宋体"/>
          <w:b/>
          <w:szCs w:val="21"/>
        </w:rPr>
        <w:t>“供应商须知前附表”</w:t>
      </w:r>
      <w:r>
        <w:rPr>
          <w:rFonts w:hint="eastAsia" w:ascii="宋体" w:hAnsi="宋体"/>
          <w:szCs w:val="21"/>
        </w:rPr>
        <w:t>指定的政府采购信息发布媒体上</w:t>
      </w:r>
      <w:r>
        <w:rPr>
          <w:rFonts w:ascii="宋体" w:hAnsi="宋体"/>
          <w:szCs w:val="21"/>
        </w:rPr>
        <w:t>公</w:t>
      </w:r>
      <w:r>
        <w:rPr>
          <w:rFonts w:hint="eastAsia" w:ascii="宋体" w:hAnsi="宋体"/>
          <w:szCs w:val="21"/>
        </w:rPr>
        <w:t>告</w:t>
      </w:r>
      <w:r>
        <w:rPr>
          <w:rFonts w:ascii="宋体" w:hAnsi="宋体"/>
          <w:szCs w:val="21"/>
        </w:rPr>
        <w:t>。</w:t>
      </w:r>
    </w:p>
    <w:p>
      <w:pPr>
        <w:tabs>
          <w:tab w:val="left" w:pos="3060"/>
        </w:tabs>
        <w:spacing w:line="360" w:lineRule="auto"/>
        <w:ind w:firstLine="480"/>
        <w:rPr>
          <w:rFonts w:ascii="宋体" w:hAnsi="宋体"/>
          <w:szCs w:val="21"/>
        </w:rPr>
      </w:pPr>
      <w:r>
        <w:rPr>
          <w:rFonts w:hint="eastAsia" w:ascii="宋体" w:hAnsi="宋体"/>
          <w:szCs w:val="21"/>
        </w:rPr>
        <w:t>28.2</w:t>
      </w:r>
      <w:r>
        <w:rPr>
          <w:rFonts w:ascii="宋体" w:hAnsi="宋体"/>
          <w:szCs w:val="21"/>
        </w:rPr>
        <w:t>对本项目</w:t>
      </w:r>
      <w:r>
        <w:rPr>
          <w:rFonts w:hint="eastAsia" w:ascii="宋体" w:hAnsi="宋体"/>
          <w:szCs w:val="21"/>
        </w:rPr>
        <w:t>中标结果存在异议</w:t>
      </w:r>
      <w:r>
        <w:rPr>
          <w:rFonts w:ascii="宋体" w:hAnsi="宋体"/>
          <w:szCs w:val="21"/>
        </w:rPr>
        <w:t>的</w:t>
      </w:r>
      <w:r>
        <w:rPr>
          <w:rFonts w:hint="eastAsia" w:ascii="宋体" w:hAnsi="宋体"/>
          <w:szCs w:val="21"/>
        </w:rPr>
        <w:t>供应商，可以在中标公告发布之日起七个工作日内，采用书面形式列举具体理由，同时提交有效证据</w:t>
      </w:r>
      <w:r>
        <w:rPr>
          <w:rFonts w:ascii="宋体" w:hAnsi="宋体"/>
          <w:szCs w:val="21"/>
        </w:rPr>
        <w:t>向</w:t>
      </w:r>
      <w:r>
        <w:rPr>
          <w:rFonts w:hint="eastAsia" w:ascii="宋体" w:hAnsi="宋体"/>
          <w:szCs w:val="21"/>
        </w:rPr>
        <w:t>采购代理机构</w:t>
      </w:r>
      <w:r>
        <w:rPr>
          <w:rFonts w:ascii="宋体" w:hAnsi="宋体"/>
          <w:szCs w:val="21"/>
        </w:rPr>
        <w:t>提出质疑。</w:t>
      </w:r>
      <w:r>
        <w:rPr>
          <w:rFonts w:hint="eastAsia" w:ascii="宋体" w:hAnsi="宋体"/>
          <w:szCs w:val="21"/>
        </w:rPr>
        <w:t>采购人或采购代理机构应在收到供应商书面质疑后七个工作日内，对质疑内容作出答复。</w:t>
      </w:r>
    </w:p>
    <w:p>
      <w:pPr>
        <w:tabs>
          <w:tab w:val="left" w:pos="3060"/>
        </w:tabs>
        <w:spacing w:line="360" w:lineRule="auto"/>
        <w:rPr>
          <w:rFonts w:ascii="宋体" w:hAnsi="宋体"/>
          <w:b/>
          <w:szCs w:val="21"/>
        </w:rPr>
      </w:pPr>
      <w:r>
        <w:rPr>
          <w:rFonts w:ascii="宋体" w:hAnsi="宋体"/>
          <w:b/>
          <w:szCs w:val="21"/>
        </w:rPr>
        <w:t>　　</w:t>
      </w:r>
      <w:r>
        <w:rPr>
          <w:rFonts w:hint="eastAsia" w:ascii="宋体" w:hAnsi="宋体"/>
          <w:b/>
          <w:szCs w:val="21"/>
        </w:rPr>
        <w:t>29．中标通知书</w:t>
      </w:r>
    </w:p>
    <w:p>
      <w:pPr>
        <w:tabs>
          <w:tab w:val="left" w:pos="3060"/>
        </w:tabs>
        <w:spacing w:line="360" w:lineRule="auto"/>
        <w:ind w:firstLine="420" w:firstLineChars="200"/>
        <w:rPr>
          <w:rFonts w:ascii="宋体" w:hAnsi="宋体"/>
          <w:szCs w:val="21"/>
        </w:rPr>
      </w:pPr>
      <w:r>
        <w:rPr>
          <w:rFonts w:hint="eastAsia" w:ascii="宋体" w:hAnsi="宋体"/>
          <w:szCs w:val="21"/>
        </w:rPr>
        <w:t>29.</w:t>
      </w:r>
      <w:r>
        <w:rPr>
          <w:rFonts w:ascii="宋体" w:hAnsi="宋体"/>
          <w:szCs w:val="21"/>
        </w:rPr>
        <w:t>1中标人确定后，</w:t>
      </w:r>
      <w:r>
        <w:rPr>
          <w:rFonts w:hint="eastAsia" w:ascii="宋体" w:hAnsi="宋体"/>
          <w:szCs w:val="21"/>
        </w:rPr>
        <w:t>采购</w:t>
      </w:r>
      <w:r>
        <w:rPr>
          <w:rFonts w:ascii="宋体" w:hAnsi="宋体"/>
          <w:szCs w:val="21"/>
        </w:rPr>
        <w:t>代理机构将向中标人发出中标通知书</w:t>
      </w:r>
      <w:r>
        <w:rPr>
          <w:rFonts w:hint="eastAsia" w:ascii="宋体" w:hAnsi="宋体"/>
          <w:szCs w:val="21"/>
        </w:rPr>
        <w:t>。</w:t>
      </w:r>
    </w:p>
    <w:p>
      <w:pPr>
        <w:tabs>
          <w:tab w:val="left" w:pos="3060"/>
        </w:tabs>
        <w:spacing w:line="360" w:lineRule="auto"/>
        <w:ind w:firstLine="420"/>
        <w:rPr>
          <w:rFonts w:ascii="宋体" w:hAnsi="宋体"/>
        </w:rPr>
      </w:pPr>
      <w:r>
        <w:rPr>
          <w:rFonts w:hint="eastAsia" w:ascii="宋体" w:hAnsi="宋体"/>
        </w:rPr>
        <w:t>29.</w:t>
      </w:r>
      <w:r>
        <w:rPr>
          <w:rFonts w:ascii="宋体" w:hAnsi="宋体"/>
        </w:rPr>
        <w:t xml:space="preserve">2 中标通知书是合同的组成部分。 </w:t>
      </w:r>
    </w:p>
    <w:p>
      <w:pPr>
        <w:tabs>
          <w:tab w:val="left" w:pos="3060"/>
        </w:tabs>
        <w:spacing w:line="360" w:lineRule="auto"/>
        <w:ind w:firstLine="420"/>
        <w:rPr>
          <w:rFonts w:ascii="宋体" w:hAnsi="宋体"/>
          <w:szCs w:val="21"/>
        </w:rPr>
      </w:pPr>
      <w:r>
        <w:rPr>
          <w:rFonts w:hint="eastAsia" w:ascii="宋体" w:hAnsi="宋体"/>
        </w:rPr>
        <w:t>29.3 在中标人按照规定提交履约保证金（如要求）后，将退还中标人的竞争性磋商保证金。</w:t>
      </w:r>
    </w:p>
    <w:p>
      <w:pPr>
        <w:tabs>
          <w:tab w:val="left" w:pos="3060"/>
        </w:tabs>
        <w:spacing w:line="360" w:lineRule="auto"/>
        <w:rPr>
          <w:rFonts w:ascii="宋体" w:hAnsi="宋体"/>
          <w:b/>
          <w:szCs w:val="21"/>
        </w:rPr>
      </w:pPr>
      <w:r>
        <w:rPr>
          <w:rFonts w:ascii="宋体" w:hAnsi="宋体"/>
          <w:b/>
          <w:szCs w:val="21"/>
        </w:rPr>
        <w:t>　　3</w:t>
      </w:r>
      <w:r>
        <w:rPr>
          <w:rFonts w:hint="eastAsia" w:ascii="宋体" w:hAnsi="宋体"/>
          <w:b/>
          <w:szCs w:val="21"/>
        </w:rPr>
        <w:t>0．</w:t>
      </w:r>
      <w:r>
        <w:rPr>
          <w:rFonts w:ascii="宋体" w:hAnsi="宋体"/>
          <w:b/>
          <w:szCs w:val="21"/>
        </w:rPr>
        <w:t>签</w:t>
      </w:r>
      <w:r>
        <w:rPr>
          <w:rFonts w:hint="eastAsia" w:ascii="宋体" w:hAnsi="宋体"/>
          <w:b/>
          <w:szCs w:val="21"/>
        </w:rPr>
        <w:t>订</w:t>
      </w:r>
      <w:r>
        <w:rPr>
          <w:rFonts w:ascii="宋体" w:hAnsi="宋体"/>
          <w:b/>
          <w:szCs w:val="21"/>
        </w:rPr>
        <w:t>合同</w:t>
      </w:r>
    </w:p>
    <w:p>
      <w:pPr>
        <w:tabs>
          <w:tab w:val="left" w:pos="3060"/>
        </w:tabs>
        <w:spacing w:line="360" w:lineRule="auto"/>
        <w:rPr>
          <w:rFonts w:ascii="宋体" w:hAnsi="宋体"/>
          <w:szCs w:val="21"/>
        </w:rPr>
      </w:pPr>
      <w:r>
        <w:rPr>
          <w:rFonts w:ascii="宋体" w:hAnsi="宋体"/>
          <w:szCs w:val="21"/>
        </w:rPr>
        <w:t>　　3</w:t>
      </w:r>
      <w:r>
        <w:rPr>
          <w:rFonts w:hint="eastAsia" w:ascii="宋体" w:hAnsi="宋体"/>
          <w:szCs w:val="21"/>
        </w:rPr>
        <w:t>0.</w:t>
      </w:r>
      <w:r>
        <w:rPr>
          <w:rFonts w:ascii="宋体" w:hAnsi="宋体"/>
          <w:szCs w:val="21"/>
        </w:rPr>
        <w:t>1</w:t>
      </w:r>
      <w:r>
        <w:rPr>
          <w:rFonts w:hint="eastAsia" w:ascii="宋体" w:hAnsi="宋体"/>
          <w:szCs w:val="21"/>
        </w:rPr>
        <w:t xml:space="preserve"> </w:t>
      </w:r>
      <w:r>
        <w:rPr>
          <w:rFonts w:ascii="宋体" w:hAnsi="宋体"/>
          <w:szCs w:val="21"/>
        </w:rPr>
        <w:t>中标人在收到</w:t>
      </w:r>
      <w:r>
        <w:rPr>
          <w:rFonts w:hint="eastAsia" w:ascii="宋体" w:hAnsi="宋体"/>
          <w:szCs w:val="21"/>
        </w:rPr>
        <w:t>中标通知书</w:t>
      </w:r>
      <w:r>
        <w:rPr>
          <w:rFonts w:ascii="宋体" w:hAnsi="宋体"/>
          <w:szCs w:val="21"/>
        </w:rPr>
        <w:t>后三十天内应按照合同条款的规定，采用</w:t>
      </w:r>
      <w:r>
        <w:rPr>
          <w:rFonts w:hint="eastAsia" w:ascii="宋体" w:hAnsi="宋体"/>
          <w:szCs w:val="21"/>
        </w:rPr>
        <w:t>竞争性磋商</w:t>
      </w:r>
      <w:r>
        <w:rPr>
          <w:rFonts w:ascii="宋体" w:hAnsi="宋体"/>
          <w:szCs w:val="21"/>
        </w:rPr>
        <w:t>文件</w:t>
      </w:r>
      <w:r>
        <w:rPr>
          <w:rFonts w:hint="eastAsia" w:ascii="宋体" w:hAnsi="宋体"/>
          <w:b/>
          <w:szCs w:val="21"/>
        </w:rPr>
        <w:t>“供应商须知前附表”</w:t>
      </w:r>
      <w:r>
        <w:rPr>
          <w:rFonts w:ascii="宋体" w:hAnsi="宋体"/>
          <w:szCs w:val="21"/>
        </w:rPr>
        <w:t>中规定的履约保证金提交方式或</w:t>
      </w:r>
      <w:r>
        <w:rPr>
          <w:rFonts w:hint="eastAsia" w:ascii="宋体" w:hAnsi="宋体"/>
          <w:szCs w:val="21"/>
        </w:rPr>
        <w:t>采购人</w:t>
      </w:r>
      <w:r>
        <w:rPr>
          <w:rFonts w:ascii="宋体" w:hAnsi="宋体"/>
          <w:szCs w:val="21"/>
        </w:rPr>
        <w:t>可以接受的其他提交方式</w:t>
      </w:r>
      <w:r>
        <w:rPr>
          <w:rFonts w:hint="eastAsia" w:ascii="宋体" w:hAnsi="宋体"/>
          <w:szCs w:val="21"/>
        </w:rPr>
        <w:t>向采购人</w:t>
      </w:r>
      <w:r>
        <w:rPr>
          <w:rFonts w:ascii="宋体" w:hAnsi="宋体"/>
          <w:szCs w:val="21"/>
        </w:rPr>
        <w:t>提交履约保证金</w:t>
      </w:r>
      <w:r>
        <w:rPr>
          <w:rFonts w:hint="eastAsia" w:ascii="宋体" w:hAnsi="宋体"/>
          <w:szCs w:val="21"/>
        </w:rPr>
        <w:t>，并与采购人签订书面合同。</w:t>
      </w:r>
    </w:p>
    <w:p>
      <w:pPr>
        <w:tabs>
          <w:tab w:val="left" w:pos="3060"/>
        </w:tabs>
        <w:spacing w:line="360" w:lineRule="auto"/>
        <w:ind w:firstLine="426"/>
        <w:rPr>
          <w:rFonts w:ascii="宋体" w:hAnsi="宋体"/>
          <w:szCs w:val="21"/>
        </w:rPr>
      </w:pPr>
      <w:r>
        <w:rPr>
          <w:rFonts w:ascii="宋体" w:hAnsi="宋体"/>
          <w:szCs w:val="21"/>
        </w:rPr>
        <w:t>3</w:t>
      </w:r>
      <w:r>
        <w:rPr>
          <w:rFonts w:hint="eastAsia" w:ascii="宋体" w:hAnsi="宋体"/>
          <w:szCs w:val="21"/>
        </w:rPr>
        <w:t>0.</w:t>
      </w:r>
      <w:r>
        <w:rPr>
          <w:rFonts w:ascii="宋体" w:hAnsi="宋体"/>
          <w:szCs w:val="21"/>
        </w:rPr>
        <w:t>2</w:t>
      </w:r>
      <w:r>
        <w:rPr>
          <w:rFonts w:hint="eastAsia" w:ascii="宋体" w:hAnsi="宋体"/>
          <w:szCs w:val="21"/>
        </w:rPr>
        <w:t>中标人不得与采购人再订立背离合同实质性内容的其他协议。</w:t>
      </w:r>
    </w:p>
    <w:p>
      <w:pPr>
        <w:tabs>
          <w:tab w:val="left" w:pos="3060"/>
        </w:tabs>
        <w:spacing w:line="360" w:lineRule="auto"/>
        <w:ind w:firstLine="426"/>
        <w:rPr>
          <w:rFonts w:ascii="宋体" w:hAnsi="宋体"/>
          <w:szCs w:val="21"/>
        </w:rPr>
      </w:pPr>
      <w:r>
        <w:rPr>
          <w:rFonts w:hint="eastAsia" w:ascii="宋体" w:hAnsi="宋体"/>
          <w:szCs w:val="21"/>
        </w:rPr>
        <w:t>30.3 中标人如未能按竞争性磋商文件要求，在规定限期内</w:t>
      </w:r>
      <w:r>
        <w:rPr>
          <w:rFonts w:ascii="宋体" w:hAnsi="宋体"/>
          <w:szCs w:val="21"/>
        </w:rPr>
        <w:t>提交履约保证金</w:t>
      </w:r>
      <w:r>
        <w:rPr>
          <w:rFonts w:hint="eastAsia" w:ascii="宋体" w:hAnsi="宋体"/>
          <w:szCs w:val="21"/>
        </w:rPr>
        <w:t>和签订合同，无论何种原因将被取消中标资格，</w:t>
      </w:r>
      <w:r>
        <w:rPr>
          <w:rFonts w:ascii="宋体" w:hAnsi="宋体"/>
          <w:szCs w:val="21"/>
        </w:rPr>
        <w:t>其</w:t>
      </w:r>
      <w:r>
        <w:rPr>
          <w:rFonts w:hint="eastAsia" w:ascii="宋体" w:hAnsi="宋体"/>
          <w:szCs w:val="21"/>
        </w:rPr>
        <w:t>竞争性磋商保证金将不予退还</w:t>
      </w:r>
      <w:r>
        <w:rPr>
          <w:rFonts w:ascii="宋体" w:hAnsi="宋体"/>
          <w:szCs w:val="21"/>
        </w:rPr>
        <w:t>。在此情况下，</w:t>
      </w:r>
      <w:r>
        <w:rPr>
          <w:rFonts w:hint="eastAsia" w:ascii="宋体" w:hAnsi="宋体"/>
          <w:szCs w:val="21"/>
        </w:rPr>
        <w:t>采购人</w:t>
      </w:r>
      <w:r>
        <w:rPr>
          <w:rFonts w:ascii="宋体" w:hAnsi="宋体"/>
          <w:szCs w:val="21"/>
        </w:rPr>
        <w:t>可将合同授予</w:t>
      </w:r>
      <w:r>
        <w:rPr>
          <w:rFonts w:hint="eastAsia" w:ascii="宋体" w:hAnsi="宋体"/>
          <w:szCs w:val="21"/>
        </w:rPr>
        <w:t>排名次高</w:t>
      </w:r>
      <w:r>
        <w:rPr>
          <w:rFonts w:ascii="宋体" w:hAnsi="宋体"/>
          <w:szCs w:val="21"/>
        </w:rPr>
        <w:t>的</w:t>
      </w:r>
      <w:r>
        <w:rPr>
          <w:rFonts w:hint="eastAsia" w:ascii="宋体" w:hAnsi="宋体"/>
          <w:szCs w:val="21"/>
        </w:rPr>
        <w:t>供应商</w:t>
      </w:r>
      <w:r>
        <w:rPr>
          <w:rFonts w:ascii="宋体" w:hAnsi="宋体"/>
          <w:szCs w:val="21"/>
        </w:rPr>
        <w:t>，或重新组织采购。</w:t>
      </w:r>
    </w:p>
    <w:p>
      <w:pPr>
        <w:spacing w:line="360" w:lineRule="auto"/>
        <w:ind w:firstLine="403" w:firstLineChars="192"/>
        <w:rPr>
          <w:rFonts w:ascii="宋体" w:hAnsi="宋体"/>
          <w:b/>
          <w:bCs/>
          <w:sz w:val="24"/>
        </w:rPr>
      </w:pPr>
      <w:r>
        <w:rPr>
          <w:rFonts w:hint="eastAsia" w:ascii="宋体" w:hAnsi="宋体"/>
          <w:szCs w:val="21"/>
        </w:rPr>
        <w:t>30.4 在签订合同过程中，如发现中标人以他人名义投标或者以其他方式弄虚作假，骗取中标的，竞争性磋商人有权取消其中标资格。</w:t>
      </w:r>
    </w:p>
    <w:p>
      <w:pPr>
        <w:pStyle w:val="19"/>
        <w:rPr>
          <w:rFonts w:ascii="宋体" w:hAnsi="宋体"/>
          <w:b/>
          <w:bCs/>
          <w:sz w:val="24"/>
        </w:rPr>
      </w:pPr>
    </w:p>
    <w:p>
      <w:pPr>
        <w:spacing w:line="360" w:lineRule="auto"/>
        <w:ind w:firstLine="354" w:firstLineChars="147"/>
        <w:jc w:val="center"/>
        <w:rPr>
          <w:rFonts w:ascii="宋体" w:hAnsi="宋体"/>
          <w:b/>
          <w:bCs/>
          <w:sz w:val="24"/>
        </w:rPr>
      </w:pPr>
      <w:r>
        <w:rPr>
          <w:rFonts w:hint="eastAsia" w:ascii="宋体" w:hAnsi="宋体"/>
          <w:b/>
          <w:bCs/>
          <w:sz w:val="24"/>
        </w:rPr>
        <w:t>七、其他</w:t>
      </w:r>
    </w:p>
    <w:p>
      <w:pPr>
        <w:tabs>
          <w:tab w:val="left" w:pos="3060"/>
        </w:tabs>
        <w:spacing w:line="360" w:lineRule="auto"/>
        <w:ind w:firstLine="422" w:firstLineChars="200"/>
        <w:rPr>
          <w:rFonts w:ascii="宋体" w:hAnsi="宋体" w:cs="宋体"/>
          <w:b/>
          <w:bCs/>
          <w:kern w:val="0"/>
          <w:szCs w:val="21"/>
        </w:rPr>
      </w:pPr>
      <w:r>
        <w:rPr>
          <w:rFonts w:hint="eastAsia" w:ascii="宋体" w:hAnsi="宋体" w:cs="宋体"/>
          <w:b/>
          <w:bCs/>
          <w:kern w:val="0"/>
          <w:szCs w:val="21"/>
        </w:rPr>
        <w:t xml:space="preserve">31. 进口产品 </w:t>
      </w:r>
    </w:p>
    <w:p>
      <w:pPr>
        <w:tabs>
          <w:tab w:val="left" w:pos="3060"/>
        </w:tabs>
        <w:spacing w:line="360" w:lineRule="auto"/>
        <w:ind w:firstLine="420" w:firstLineChars="200"/>
        <w:rPr>
          <w:rFonts w:ascii="宋体" w:hAnsi="宋体" w:cs="宋体"/>
          <w:kern w:val="0"/>
          <w:szCs w:val="21"/>
        </w:rPr>
      </w:pPr>
      <w:r>
        <w:rPr>
          <w:rFonts w:hint="eastAsia" w:ascii="宋体" w:hAnsi="宋体" w:cs="宋体"/>
          <w:szCs w:val="21"/>
        </w:rPr>
        <w:t>31.1</w:t>
      </w:r>
      <w:r>
        <w:rPr>
          <w:rFonts w:hint="eastAsia" w:ascii="宋体" w:hAnsi="宋体" w:cs="宋体"/>
          <w:kern w:val="0"/>
          <w:szCs w:val="21"/>
          <w:lang w:val="zh-CN"/>
        </w:rPr>
        <w:t>如因市场信息等原因，国内仍有满足需求的产品要求参与竞争的，不得对其加以限制，在同等条件下，以采购国货为主。</w:t>
      </w:r>
    </w:p>
    <w:p>
      <w:pPr>
        <w:tabs>
          <w:tab w:val="left" w:pos="3060"/>
        </w:tabs>
        <w:spacing w:line="360" w:lineRule="auto"/>
        <w:ind w:firstLine="413" w:firstLineChars="196"/>
        <w:rPr>
          <w:rFonts w:ascii="宋体" w:hAnsi="宋体" w:cs="宋体"/>
          <w:b/>
          <w:bCs/>
          <w:kern w:val="0"/>
          <w:szCs w:val="21"/>
          <w:lang w:val="zh-CN"/>
        </w:rPr>
      </w:pPr>
      <w:r>
        <w:rPr>
          <w:rFonts w:hint="eastAsia" w:ascii="宋体" w:hAnsi="宋体" w:cs="宋体"/>
          <w:b/>
          <w:bCs/>
          <w:kern w:val="0"/>
          <w:szCs w:val="21"/>
        </w:rPr>
        <w:t xml:space="preserve">32. </w:t>
      </w:r>
      <w:r>
        <w:rPr>
          <w:rFonts w:hint="eastAsia" w:ascii="宋体" w:hAnsi="宋体" w:cs="宋体"/>
          <w:b/>
          <w:bCs/>
          <w:kern w:val="0"/>
          <w:szCs w:val="21"/>
          <w:lang w:val="zh-CN"/>
        </w:rPr>
        <w:t>付款方法和条件</w:t>
      </w:r>
    </w:p>
    <w:p>
      <w:pPr>
        <w:spacing w:line="360" w:lineRule="auto"/>
        <w:ind w:firstLine="420" w:firstLineChars="200"/>
        <w:rPr>
          <w:rFonts w:ascii="宋体" w:hAnsi="宋体" w:cs="宋体"/>
          <w:b/>
          <w:bCs/>
          <w:szCs w:val="21"/>
        </w:rPr>
      </w:pPr>
      <w:r>
        <w:rPr>
          <w:rFonts w:hint="eastAsia" w:ascii="宋体" w:hAnsi="宋体" w:cs="宋体"/>
          <w:szCs w:val="21"/>
        </w:rPr>
        <w:t>32.1本次竞争性磋商的付款方法和条件见“</w:t>
      </w:r>
      <w:r>
        <w:rPr>
          <w:rFonts w:hint="eastAsia" w:ascii="宋体" w:hAnsi="宋体" w:cs="宋体"/>
          <w:b/>
          <w:szCs w:val="21"/>
        </w:rPr>
        <w:t>供应商须知前附表”。</w:t>
      </w:r>
    </w:p>
    <w:p>
      <w:pPr>
        <w:spacing w:line="360" w:lineRule="auto"/>
        <w:ind w:firstLine="422" w:firstLineChars="200"/>
        <w:rPr>
          <w:rFonts w:ascii="宋体" w:hAnsi="宋体" w:cs="宋体"/>
          <w:b/>
          <w:bCs/>
          <w:szCs w:val="21"/>
        </w:rPr>
      </w:pPr>
      <w:r>
        <w:rPr>
          <w:rFonts w:hint="eastAsia" w:ascii="宋体" w:hAnsi="宋体" w:cs="宋体"/>
          <w:b/>
          <w:bCs/>
          <w:szCs w:val="21"/>
        </w:rPr>
        <w:t>33．竞争性磋商服务费</w:t>
      </w:r>
    </w:p>
    <w:p>
      <w:pPr>
        <w:spacing w:line="360" w:lineRule="auto"/>
        <w:ind w:firstLine="420" w:firstLineChars="200"/>
        <w:rPr>
          <w:rFonts w:ascii="宋体" w:hAnsi="宋体" w:cs="宋体"/>
          <w:szCs w:val="21"/>
        </w:rPr>
      </w:pPr>
      <w:r>
        <w:rPr>
          <w:rFonts w:hint="eastAsia" w:ascii="宋体" w:hAnsi="宋体" w:cs="宋体"/>
          <w:szCs w:val="21"/>
        </w:rPr>
        <w:t>33.1中标人应按照竞争性磋商文件“</w:t>
      </w:r>
      <w:r>
        <w:rPr>
          <w:rFonts w:hint="eastAsia" w:ascii="宋体" w:hAnsi="宋体" w:cs="宋体"/>
          <w:b/>
          <w:szCs w:val="21"/>
        </w:rPr>
        <w:t>供应商须知前附表”</w:t>
      </w:r>
      <w:r>
        <w:rPr>
          <w:rFonts w:hint="eastAsia" w:ascii="宋体" w:hAnsi="宋体" w:cs="宋体"/>
          <w:szCs w:val="21"/>
        </w:rPr>
        <w:t>中的规定交纳竞争性磋商服务费。如果中标人不按照规定交纳竞争性磋商服务费，其竞争性磋商保证金将不予退还。</w:t>
      </w:r>
    </w:p>
    <w:p>
      <w:pPr>
        <w:tabs>
          <w:tab w:val="left" w:pos="3060"/>
        </w:tabs>
        <w:spacing w:line="360" w:lineRule="auto"/>
        <w:ind w:firstLine="411" w:firstLineChars="196"/>
        <w:rPr>
          <w:rFonts w:ascii="宋体" w:hAnsi="宋体" w:cs="宋体"/>
          <w:szCs w:val="21"/>
        </w:rPr>
      </w:pPr>
      <w:r>
        <w:rPr>
          <w:rFonts w:hint="eastAsia" w:ascii="宋体" w:hAnsi="宋体" w:cs="宋体"/>
          <w:szCs w:val="21"/>
        </w:rPr>
        <w:t>33.2</w:t>
      </w:r>
      <w:r>
        <w:rPr>
          <w:rFonts w:hint="eastAsia" w:ascii="宋体" w:hAnsi="宋体" w:cs="宋体"/>
          <w:kern w:val="0"/>
          <w:szCs w:val="21"/>
          <w:lang w:val="zh-CN"/>
        </w:rPr>
        <w:t xml:space="preserve">本项目投标（中标）产品如果存在资质、专利、授权、经营、经济等各类纠纷、仲裁或诉讼问题的，采购人、磋商小组和采购代理机构均不承担任何责任。 </w:t>
      </w:r>
    </w:p>
    <w:p>
      <w:pPr>
        <w:tabs>
          <w:tab w:val="left" w:pos="3060"/>
        </w:tabs>
        <w:spacing w:line="360" w:lineRule="auto"/>
        <w:ind w:firstLine="420" w:firstLineChars="200"/>
        <w:rPr>
          <w:rFonts w:ascii="宋体" w:hAnsi="宋体" w:cs="宋体"/>
          <w:szCs w:val="21"/>
        </w:rPr>
      </w:pPr>
      <w:r>
        <w:rPr>
          <w:rFonts w:hint="eastAsia" w:ascii="宋体" w:hAnsi="宋体" w:cs="宋体"/>
          <w:szCs w:val="21"/>
        </w:rPr>
        <w:t>33.3解释权:本竞争性磋商文件的解释权归采购代理机构。</w:t>
      </w:r>
    </w:p>
    <w:p>
      <w:pPr>
        <w:tabs>
          <w:tab w:val="left" w:pos="3060"/>
        </w:tabs>
        <w:spacing w:line="360" w:lineRule="auto"/>
        <w:ind w:firstLine="420" w:firstLineChars="200"/>
        <w:rPr>
          <w:rFonts w:ascii="宋体" w:hAnsi="宋体"/>
          <w:szCs w:val="21"/>
        </w:rPr>
        <w:sectPr>
          <w:footerReference r:id="rId7" w:type="default"/>
          <w:pgSz w:w="11907" w:h="16840"/>
          <w:pgMar w:top="1134" w:right="1361" w:bottom="1134" w:left="1361" w:header="851" w:footer="992" w:gutter="0"/>
          <w:cols w:space="720" w:num="1"/>
          <w:docGrid w:linePitch="312" w:charSpace="0"/>
        </w:sectPr>
      </w:pPr>
    </w:p>
    <w:p>
      <w:pPr>
        <w:pStyle w:val="3"/>
        <w:rPr>
          <w:rFonts w:ascii="宋体" w:hAnsi="宋体"/>
          <w:b/>
          <w:sz w:val="36"/>
          <w:szCs w:val="36"/>
          <w:lang w:eastAsia="zh-CN"/>
        </w:rPr>
      </w:pPr>
      <w:r>
        <w:rPr>
          <w:rFonts w:hint="eastAsia" w:ascii="宋体" w:hAnsi="宋体"/>
          <w:b/>
          <w:sz w:val="36"/>
          <w:szCs w:val="36"/>
          <w:lang w:eastAsia="zh-CN"/>
        </w:rPr>
        <w:t xml:space="preserve"> </w:t>
      </w:r>
      <w:bookmarkStart w:id="3" w:name="_Toc397969219"/>
      <w:bookmarkStart w:id="4" w:name="_Toc18063"/>
    </w:p>
    <w:p>
      <w:pPr>
        <w:pStyle w:val="3"/>
        <w:rPr>
          <w:rFonts w:ascii="宋体" w:hAnsi="宋体"/>
          <w:b/>
          <w:sz w:val="36"/>
          <w:szCs w:val="36"/>
          <w:lang w:eastAsia="zh-CN"/>
        </w:rPr>
      </w:pPr>
      <w:r>
        <w:rPr>
          <w:rStyle w:val="299"/>
          <w:rFonts w:hint="eastAsia" w:ascii="宋体" w:hAnsi="宋体"/>
          <w:b/>
          <w:bCs/>
        </w:rPr>
        <w:t>第三章 评标办法和定标原则</w:t>
      </w:r>
      <w:bookmarkEnd w:id="3"/>
      <w:bookmarkEnd w:id="4"/>
    </w:p>
    <w:p>
      <w:pPr>
        <w:spacing w:line="360" w:lineRule="auto"/>
        <w:ind w:firstLine="420" w:firstLineChars="200"/>
        <w:rPr>
          <w:rFonts w:ascii="宋体" w:hAnsi="宋体"/>
          <w:szCs w:val="21"/>
        </w:rPr>
      </w:pPr>
    </w:p>
    <w:p>
      <w:pPr>
        <w:spacing w:line="360" w:lineRule="auto"/>
        <w:ind w:firstLine="413" w:firstLineChars="196"/>
        <w:rPr>
          <w:rFonts w:ascii="宋体" w:hAnsi="宋体"/>
          <w:b/>
          <w:szCs w:val="21"/>
        </w:rPr>
      </w:pPr>
      <w:r>
        <w:rPr>
          <w:rFonts w:hint="eastAsia" w:ascii="宋体" w:hAnsi="宋体"/>
          <w:b/>
          <w:szCs w:val="21"/>
        </w:rPr>
        <w:t>一、磋商时间</w:t>
      </w:r>
    </w:p>
    <w:p>
      <w:pPr>
        <w:spacing w:line="360" w:lineRule="auto"/>
        <w:ind w:firstLine="420" w:firstLineChars="200"/>
        <w:rPr>
          <w:rFonts w:ascii="宋体" w:hAnsi="宋体"/>
          <w:szCs w:val="21"/>
        </w:rPr>
      </w:pPr>
      <w:r>
        <w:rPr>
          <w:rFonts w:hint="eastAsia" w:ascii="宋体" w:hAnsi="宋体"/>
          <w:szCs w:val="21"/>
        </w:rPr>
        <w:t>以本项目公告时间为准。如发布变更公告的，以变更公告时间为准。</w:t>
      </w:r>
    </w:p>
    <w:p>
      <w:pPr>
        <w:spacing w:line="360" w:lineRule="auto"/>
        <w:ind w:firstLine="413" w:firstLineChars="196"/>
        <w:rPr>
          <w:rFonts w:ascii="宋体" w:hAnsi="宋体"/>
          <w:b/>
          <w:szCs w:val="21"/>
        </w:rPr>
      </w:pPr>
      <w:r>
        <w:rPr>
          <w:rFonts w:hint="eastAsia" w:ascii="宋体" w:hAnsi="宋体"/>
          <w:b/>
          <w:szCs w:val="21"/>
        </w:rPr>
        <w:t>二、磋商地点</w:t>
      </w:r>
    </w:p>
    <w:p>
      <w:pPr>
        <w:spacing w:line="360" w:lineRule="auto"/>
        <w:ind w:firstLine="420" w:firstLineChars="200"/>
        <w:rPr>
          <w:rFonts w:ascii="宋体" w:hAnsi="宋体"/>
          <w:szCs w:val="21"/>
        </w:rPr>
      </w:pPr>
      <w:r>
        <w:rPr>
          <w:rFonts w:hint="eastAsia" w:ascii="宋体" w:hAnsi="宋体"/>
          <w:szCs w:val="21"/>
          <w:lang w:eastAsia="zh-CN"/>
        </w:rPr>
        <w:t>铜仁市公共资源交易中心思南分中心</w:t>
      </w:r>
      <w:r>
        <w:rPr>
          <w:rFonts w:hint="eastAsia" w:ascii="宋体" w:hAnsi="宋体"/>
          <w:szCs w:val="21"/>
        </w:rPr>
        <w:t>。</w:t>
      </w:r>
    </w:p>
    <w:p>
      <w:pPr>
        <w:spacing w:line="360" w:lineRule="auto"/>
        <w:ind w:firstLine="413" w:firstLineChars="196"/>
        <w:rPr>
          <w:rFonts w:ascii="宋体" w:hAnsi="宋体"/>
          <w:b/>
          <w:szCs w:val="21"/>
        </w:rPr>
      </w:pPr>
      <w:r>
        <w:rPr>
          <w:rFonts w:hint="eastAsia" w:ascii="宋体" w:hAnsi="宋体"/>
          <w:b/>
          <w:szCs w:val="21"/>
        </w:rPr>
        <w:t>三、磋商流程</w:t>
      </w:r>
    </w:p>
    <w:p>
      <w:pPr>
        <w:spacing w:line="360" w:lineRule="auto"/>
        <w:ind w:firstLine="420" w:firstLineChars="200"/>
        <w:rPr>
          <w:rFonts w:ascii="宋体" w:hAnsi="宋体"/>
          <w:szCs w:val="21"/>
        </w:rPr>
      </w:pPr>
      <w:r>
        <w:rPr>
          <w:rFonts w:hint="eastAsia" w:ascii="宋体" w:hAnsi="宋体"/>
          <w:szCs w:val="21"/>
        </w:rPr>
        <w:t>1.会议签到：采购人或代理机构工作人员于投标截止时间前 30 分钟到开标室组织采购人、供应商、监督部门相关人员签到。并将开评标环节所需表格文档资料填写、准备齐全。供应商签到并递交响应文件后在等候区等候，工作人员按照提交响应文件的先后顺序安排参加磋商。</w:t>
      </w:r>
    </w:p>
    <w:p>
      <w:pPr>
        <w:spacing w:line="360" w:lineRule="auto"/>
        <w:ind w:firstLine="420" w:firstLineChars="200"/>
        <w:rPr>
          <w:rFonts w:ascii="宋体" w:hAnsi="宋体"/>
          <w:szCs w:val="21"/>
        </w:rPr>
      </w:pPr>
      <w:r>
        <w:rPr>
          <w:rFonts w:hint="eastAsia" w:ascii="宋体" w:hAnsi="宋体"/>
          <w:szCs w:val="21"/>
        </w:rPr>
        <w:t>2.专家签到：磋商专家需在磋商时间前到</w:t>
      </w:r>
      <w:r>
        <w:rPr>
          <w:rFonts w:hint="eastAsia" w:ascii="宋体" w:hAnsi="宋体"/>
          <w:szCs w:val="21"/>
          <w:lang w:eastAsia="zh-CN"/>
        </w:rPr>
        <w:t>铜仁市公共资源交易中心思南分中心</w:t>
      </w:r>
      <w:r>
        <w:rPr>
          <w:rFonts w:hint="eastAsia" w:ascii="宋体" w:hAnsi="宋体"/>
          <w:szCs w:val="21"/>
        </w:rPr>
        <w:t>磋商室专家签到处，出示身份证、专家证等资料进行核验签到，并将手机等各种通信工具锁入指定位置。</w:t>
      </w:r>
    </w:p>
    <w:p>
      <w:pPr>
        <w:spacing w:line="360" w:lineRule="auto"/>
        <w:ind w:firstLine="420" w:firstLineChars="200"/>
        <w:rPr>
          <w:rFonts w:ascii="宋体" w:hAnsi="宋体"/>
          <w:szCs w:val="21"/>
        </w:rPr>
      </w:pPr>
      <w:r>
        <w:rPr>
          <w:rFonts w:hint="eastAsia" w:ascii="宋体" w:hAnsi="宋体"/>
          <w:szCs w:val="21"/>
        </w:rPr>
        <w:t>3.宣读纪律：截止时间到，工作人员宣布竞争性磋商会开始，并宣读会场纪律和注意事项。</w:t>
      </w:r>
    </w:p>
    <w:p>
      <w:pPr>
        <w:spacing w:line="360" w:lineRule="auto"/>
        <w:ind w:firstLine="420" w:firstLineChars="200"/>
        <w:rPr>
          <w:rFonts w:ascii="宋体" w:hAnsi="宋体"/>
          <w:szCs w:val="21"/>
        </w:rPr>
      </w:pPr>
      <w:r>
        <w:rPr>
          <w:rFonts w:hint="eastAsia" w:ascii="宋体" w:hAnsi="宋体"/>
          <w:szCs w:val="21"/>
        </w:rPr>
        <w:t>4.初步审查：磋商小组严格依据响应文件所提供的资料，对照《初步审查表》所列内容对供应商进行资格性审查、符合性审查及无效审查，审查通过的供应商进入磋商环节。未通过初步审查的响应文件不参与最后报价。通过初步审查的供应商不足三家的， 本项目废标，磋商工作结束。</w:t>
      </w:r>
    </w:p>
    <w:p>
      <w:pPr>
        <w:spacing w:line="360" w:lineRule="auto"/>
        <w:ind w:firstLine="420" w:firstLineChars="200"/>
        <w:rPr>
          <w:rFonts w:ascii="宋体" w:hAnsi="宋体"/>
          <w:szCs w:val="21"/>
        </w:rPr>
      </w:pPr>
      <w:r>
        <w:rPr>
          <w:rFonts w:hint="eastAsia" w:ascii="宋体" w:hAnsi="宋体"/>
          <w:szCs w:val="21"/>
        </w:rPr>
        <w:t>(1)资格性检查：磋商小组根据法律法规和采购文件《初步审查表》中所列供应商资格要求，对供应商资格证明文件的齐全性和有效性、是否超出经营范围等情况进行审查。由同一专业的单位组成的联合体，按照资质等级较低的单位确定资质等级。</w:t>
      </w:r>
    </w:p>
    <w:p>
      <w:pPr>
        <w:spacing w:line="360" w:lineRule="auto"/>
        <w:ind w:firstLine="420" w:firstLineChars="200"/>
        <w:rPr>
          <w:rFonts w:ascii="宋体" w:hAnsi="宋体"/>
          <w:szCs w:val="21"/>
        </w:rPr>
      </w:pPr>
      <w:r>
        <w:rPr>
          <w:rFonts w:hint="eastAsia" w:ascii="宋体" w:hAnsi="宋体"/>
          <w:szCs w:val="21"/>
        </w:rPr>
        <w:t>(2)符合性检查：磋商小组审查响应文件是否对采购文件作了实质性响应。技术符合性：投标产品的适用性、技术成熟性、技术性能等符合采购文件要求，技术参数和规格满足采购文件要求，无实质性负偏离、反对、设定条件或提出保留；商务符合性：业绩、服务期、付款条件符合采购文件要求；不低于成本报价；响应文件的组成、响应文件的完整性和有效性、投标有效期等符合采购文件规定，采购文件提出的主要条款、条件无实质性负偏离、反对、设定条件或提出保留。</w:t>
      </w:r>
    </w:p>
    <w:p>
      <w:pPr>
        <w:spacing w:line="360" w:lineRule="auto"/>
        <w:ind w:firstLine="420" w:firstLineChars="200"/>
        <w:rPr>
          <w:rFonts w:ascii="宋体" w:hAnsi="宋体"/>
          <w:szCs w:val="21"/>
        </w:rPr>
      </w:pPr>
      <w:r>
        <w:rPr>
          <w:rFonts w:hint="eastAsia" w:ascii="宋体" w:hAnsi="宋体"/>
          <w:szCs w:val="21"/>
        </w:rPr>
        <w:t>（3）无效标检查：根据采购文件中的无效标条款，检查供应商的投标是否属于无效标。</w:t>
      </w:r>
    </w:p>
    <w:p>
      <w:pPr>
        <w:snapToGrid w:val="0"/>
        <w:spacing w:line="360" w:lineRule="auto"/>
        <w:ind w:firstLine="420" w:firstLineChars="200"/>
        <w:rPr>
          <w:rFonts w:ascii="宋体" w:hAnsi="宋体"/>
          <w:szCs w:val="21"/>
        </w:rPr>
      </w:pPr>
      <w:r>
        <w:rPr>
          <w:rFonts w:hint="eastAsia" w:ascii="宋体" w:hAnsi="宋体"/>
          <w:szCs w:val="21"/>
        </w:rPr>
        <w:t>1）供应商或其制造商与竞争性磋商人有利害关系可能影响竞争性磋商公正性的；</w:t>
      </w:r>
    </w:p>
    <w:p>
      <w:pPr>
        <w:snapToGrid w:val="0"/>
        <w:spacing w:line="360" w:lineRule="auto"/>
        <w:ind w:firstLine="420" w:firstLineChars="200"/>
        <w:rPr>
          <w:rFonts w:ascii="宋体" w:hAnsi="宋体"/>
          <w:szCs w:val="21"/>
        </w:rPr>
      </w:pPr>
      <w:r>
        <w:rPr>
          <w:rFonts w:hint="eastAsia" w:ascii="宋体" w:hAnsi="宋体"/>
          <w:szCs w:val="21"/>
        </w:rPr>
        <w:t xml:space="preserve">2）供应商参与项目前期咨询或竞争性磋商文件编制的； </w:t>
      </w:r>
    </w:p>
    <w:p>
      <w:pPr>
        <w:snapToGrid w:val="0"/>
        <w:spacing w:line="360" w:lineRule="auto"/>
        <w:ind w:firstLine="420" w:firstLineChars="200"/>
        <w:rPr>
          <w:rFonts w:ascii="宋体" w:hAnsi="宋体"/>
          <w:szCs w:val="21"/>
        </w:rPr>
      </w:pPr>
      <w:r>
        <w:rPr>
          <w:rFonts w:hint="eastAsia" w:ascii="宋体" w:hAnsi="宋体"/>
          <w:szCs w:val="21"/>
        </w:rPr>
        <w:t>3）不同供应商单位负责人为同一人或者存在控股、管理关系的；</w:t>
      </w:r>
    </w:p>
    <w:p>
      <w:pPr>
        <w:snapToGrid w:val="0"/>
        <w:spacing w:line="360" w:lineRule="auto"/>
        <w:ind w:firstLine="420" w:firstLineChars="200"/>
        <w:rPr>
          <w:rFonts w:ascii="宋体" w:hAnsi="宋体"/>
          <w:szCs w:val="21"/>
        </w:rPr>
      </w:pPr>
      <w:r>
        <w:rPr>
          <w:rFonts w:hint="eastAsia" w:ascii="宋体" w:hAnsi="宋体"/>
          <w:szCs w:val="21"/>
        </w:rPr>
        <w:t>4）竞争性磋商响应文件未按竞争性磋商文件的要求签署的；</w:t>
      </w:r>
    </w:p>
    <w:p>
      <w:pPr>
        <w:snapToGrid w:val="0"/>
        <w:spacing w:line="360" w:lineRule="auto"/>
        <w:ind w:firstLine="420" w:firstLineChars="200"/>
        <w:rPr>
          <w:rFonts w:ascii="宋体" w:hAnsi="宋体"/>
          <w:szCs w:val="21"/>
        </w:rPr>
      </w:pPr>
      <w:r>
        <w:rPr>
          <w:rFonts w:hint="eastAsia" w:ascii="宋体" w:hAnsi="宋体"/>
          <w:szCs w:val="21"/>
        </w:rPr>
        <w:t>5）投标联合体没有提交共同投标协议的；</w:t>
      </w:r>
    </w:p>
    <w:p>
      <w:pPr>
        <w:snapToGrid w:val="0"/>
        <w:spacing w:line="360" w:lineRule="auto"/>
        <w:ind w:firstLine="420" w:firstLineChars="200"/>
        <w:rPr>
          <w:rFonts w:ascii="宋体" w:hAnsi="宋体"/>
          <w:szCs w:val="21"/>
        </w:rPr>
      </w:pPr>
      <w:r>
        <w:rPr>
          <w:rFonts w:hint="eastAsia" w:ascii="宋体" w:hAnsi="宋体"/>
          <w:szCs w:val="21"/>
        </w:rPr>
        <w:t xml:space="preserve">6）供应商的投标书、资格证明材料未提供，或不符合国家规定或者竞争性磋商文件要求的； </w:t>
      </w:r>
    </w:p>
    <w:p>
      <w:pPr>
        <w:snapToGrid w:val="0"/>
        <w:spacing w:line="360" w:lineRule="auto"/>
        <w:ind w:firstLine="420" w:firstLineChars="200"/>
        <w:rPr>
          <w:rFonts w:ascii="宋体" w:hAnsi="宋体"/>
          <w:szCs w:val="21"/>
        </w:rPr>
      </w:pPr>
      <w:r>
        <w:rPr>
          <w:rFonts w:hint="eastAsia" w:ascii="宋体" w:hAnsi="宋体"/>
          <w:szCs w:val="21"/>
        </w:rPr>
        <w:t>7）同一供应商提交两个以上不同的投标方案或者投标报价的，但竞争性磋商文件要求提交备选方案的除外；</w:t>
      </w:r>
    </w:p>
    <w:p>
      <w:pPr>
        <w:snapToGrid w:val="0"/>
        <w:spacing w:line="360" w:lineRule="auto"/>
        <w:ind w:firstLine="420" w:firstLineChars="200"/>
        <w:rPr>
          <w:rFonts w:ascii="宋体" w:hAnsi="宋体"/>
          <w:szCs w:val="21"/>
        </w:rPr>
      </w:pPr>
      <w:r>
        <w:rPr>
          <w:rFonts w:hint="eastAsia" w:ascii="宋体" w:hAnsi="宋体"/>
          <w:szCs w:val="21"/>
        </w:rPr>
        <w:t>8）供应商未按竞争性磋商文件要求提交竞争性磋商保证金或保证金金额不足的；</w:t>
      </w:r>
    </w:p>
    <w:p>
      <w:pPr>
        <w:snapToGrid w:val="0"/>
        <w:spacing w:line="360" w:lineRule="auto"/>
        <w:ind w:firstLine="420" w:firstLineChars="200"/>
        <w:rPr>
          <w:rFonts w:ascii="宋体" w:hAnsi="宋体"/>
          <w:szCs w:val="21"/>
        </w:rPr>
      </w:pPr>
      <w:r>
        <w:rPr>
          <w:rFonts w:hint="eastAsia" w:ascii="宋体" w:hAnsi="宋体"/>
          <w:szCs w:val="21"/>
        </w:rPr>
        <w:t>9）竞争性磋商响应文件不满足竞争性磋商文件重要条款要求的；</w:t>
      </w:r>
    </w:p>
    <w:p>
      <w:pPr>
        <w:snapToGrid w:val="0"/>
        <w:spacing w:line="360" w:lineRule="auto"/>
        <w:ind w:firstLine="420" w:firstLineChars="200"/>
        <w:rPr>
          <w:rFonts w:ascii="宋体" w:hAnsi="宋体"/>
          <w:szCs w:val="21"/>
        </w:rPr>
      </w:pPr>
      <w:r>
        <w:rPr>
          <w:rFonts w:hint="eastAsia" w:ascii="宋体" w:hAnsi="宋体"/>
          <w:szCs w:val="21"/>
        </w:rPr>
        <w:t>10）投标报价高于竞争性磋商文件设定的预算金额的；</w:t>
      </w:r>
    </w:p>
    <w:p>
      <w:pPr>
        <w:snapToGrid w:val="0"/>
        <w:spacing w:line="360" w:lineRule="auto"/>
        <w:ind w:firstLine="420" w:firstLineChars="200"/>
        <w:rPr>
          <w:rFonts w:ascii="宋体" w:hAnsi="宋体"/>
          <w:szCs w:val="21"/>
        </w:rPr>
      </w:pPr>
      <w:r>
        <w:rPr>
          <w:rFonts w:hint="eastAsia" w:ascii="宋体" w:hAnsi="宋体"/>
          <w:szCs w:val="21"/>
        </w:rPr>
        <w:t>11）投标有效期不足的；</w:t>
      </w:r>
    </w:p>
    <w:p>
      <w:pPr>
        <w:snapToGrid w:val="0"/>
        <w:spacing w:line="360" w:lineRule="auto"/>
        <w:ind w:firstLine="420" w:firstLineChars="200"/>
        <w:rPr>
          <w:rFonts w:ascii="宋体" w:hAnsi="宋体"/>
          <w:szCs w:val="21"/>
        </w:rPr>
      </w:pPr>
      <w:r>
        <w:rPr>
          <w:rFonts w:hint="eastAsia" w:ascii="宋体" w:hAnsi="宋体"/>
          <w:szCs w:val="21"/>
        </w:rPr>
        <w:t>12）供应商有串通投标、弄虚作假、行贿等违法行为的；</w:t>
      </w:r>
    </w:p>
    <w:p>
      <w:pPr>
        <w:pStyle w:val="19"/>
        <w:ind w:firstLine="420" w:firstLineChars="200"/>
      </w:pPr>
      <w:r>
        <w:rPr>
          <w:rFonts w:hint="eastAsia" w:ascii="宋体" w:hAnsi="宋体"/>
          <w:szCs w:val="21"/>
        </w:rPr>
        <w:t>13）存在竞争性磋商文件中规定的否决投标的其他商务条款的。</w:t>
      </w:r>
      <w:r>
        <w:rPr>
          <w:rFonts w:hint="eastAsia"/>
        </w:rPr>
        <w:t>。</w:t>
      </w:r>
    </w:p>
    <w:p>
      <w:pPr>
        <w:pStyle w:val="19"/>
      </w:pPr>
    </w:p>
    <w:p>
      <w:pPr>
        <w:spacing w:line="360" w:lineRule="auto"/>
        <w:ind w:firstLine="420" w:firstLineChars="200"/>
        <w:rPr>
          <w:rFonts w:ascii="宋体" w:hAnsi="宋体"/>
          <w:szCs w:val="21"/>
        </w:rPr>
      </w:pPr>
      <w:r>
        <w:rPr>
          <w:rFonts w:hint="eastAsia" w:ascii="宋体" w:hAnsi="宋体"/>
          <w:szCs w:val="21"/>
        </w:rPr>
        <w:t>5.磋商：磋商小组所有成员集中与单一供应商分别进行磋商。在磋商过程中， 磋商小组可以根据磋商文件和磋商情况实质性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w:t>
      </w:r>
    </w:p>
    <w:p>
      <w:pPr>
        <w:spacing w:line="360" w:lineRule="auto"/>
        <w:ind w:firstLine="420" w:firstLineChars="200"/>
        <w:rPr>
          <w:rFonts w:ascii="宋体" w:hAnsi="宋体"/>
          <w:szCs w:val="21"/>
        </w:rPr>
      </w:pPr>
      <w:r>
        <w:rPr>
          <w:rFonts w:hint="eastAsia" w:ascii="宋体" w:hAnsi="宋体"/>
          <w:szCs w:val="21"/>
        </w:rPr>
        <w:t>6.最后报价：磋商结束后，磋商小组要求所有参加磋商的供应商按照磋商文件的变动情况和磋商小组的要求在规定时间内进行最后报价，并由其法定代表人或授权代表签字或者加盖公章。最后报价不得高于第一次报价，否则按无效标处理。最后报价是供应商响应文件的有效组成部分。</w:t>
      </w:r>
    </w:p>
    <w:p>
      <w:pPr>
        <w:spacing w:line="360" w:lineRule="auto"/>
        <w:ind w:firstLine="420" w:firstLineChars="200"/>
        <w:rPr>
          <w:rFonts w:ascii="宋体" w:hAnsi="宋体"/>
          <w:strike/>
          <w:color w:val="000000" w:themeColor="text1"/>
          <w:szCs w:val="21"/>
        </w:rPr>
      </w:pPr>
      <w:r>
        <w:rPr>
          <w:rFonts w:hint="eastAsia" w:ascii="宋体" w:hAnsi="宋体"/>
          <w:szCs w:val="21"/>
        </w:rPr>
        <w:t>7.综合评分：磋商专家严格按照评分表逐项对竞争性磋商响应文件进行评分。评分依据为竞争性磋商响应文件提供的有效资料。竞争性磋商响应文件中未提供的资料、未明确的内容，评标专家不得以个人的意愿、猜想、推测等方式得出的结论作为评分依据。</w:t>
      </w:r>
      <w:r>
        <w:rPr>
          <w:rFonts w:hint="eastAsia" w:ascii="宋体" w:hAnsi="宋体"/>
          <w:color w:val="000000" w:themeColor="text1"/>
          <w:szCs w:val="21"/>
        </w:rPr>
        <w:t>评标专家须独立评分，不得相互抄袭评分分值（客观分除外）。</w:t>
      </w:r>
    </w:p>
    <w:p>
      <w:pPr>
        <w:spacing w:line="360" w:lineRule="auto"/>
        <w:ind w:firstLine="420" w:firstLineChars="200"/>
        <w:rPr>
          <w:rFonts w:ascii="宋体" w:hAnsi="宋体"/>
          <w:szCs w:val="21"/>
        </w:rPr>
      </w:pPr>
      <w:r>
        <w:rPr>
          <w:rFonts w:hint="eastAsia" w:ascii="宋体" w:hAnsi="宋体"/>
          <w:szCs w:val="21"/>
        </w:rPr>
        <w:t>8.评分汇总：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组长汇总后，评标专家不得再更改各项打分分值（价格分及总分计算错误除外）。</w:t>
      </w:r>
    </w:p>
    <w:p>
      <w:pPr>
        <w:spacing w:line="360" w:lineRule="auto"/>
        <w:ind w:firstLine="420" w:firstLineChars="200"/>
        <w:rPr>
          <w:rFonts w:ascii="宋体" w:hAnsi="宋体"/>
          <w:szCs w:val="21"/>
        </w:rPr>
      </w:pPr>
      <w:r>
        <w:rPr>
          <w:rFonts w:hint="eastAsia" w:ascii="宋体" w:hAnsi="宋体"/>
          <w:szCs w:val="21"/>
        </w:rPr>
        <w:t>9.评审报告：组长根据评分汇总情况及排序情况，主持编写评标报告。评标报告按规定需涵盖公告发布情况、开评标情况、推荐排序及有关需要说明的情况等。磋商小组成员须在评标报告上签字确认。</w:t>
      </w:r>
    </w:p>
    <w:p>
      <w:pPr>
        <w:spacing w:line="360" w:lineRule="auto"/>
        <w:ind w:firstLine="420" w:firstLineChars="200"/>
        <w:rPr>
          <w:rFonts w:ascii="宋体" w:hAnsi="宋体"/>
          <w:szCs w:val="21"/>
        </w:rPr>
      </w:pPr>
      <w:r>
        <w:rPr>
          <w:rFonts w:hint="eastAsia" w:ascii="宋体" w:hAnsi="宋体"/>
          <w:szCs w:val="21"/>
        </w:rPr>
        <w:t>10.评审复核：磋商小组对评审环节和评审结果进行复核。磋商小组可对评审过程和结果中存在的遗漏或偏差进行修正，完成复核后，确定磋商结果及推荐排序。评审报告应当由磋商小组全体人员签字认可。磋商小组成员对评审报告有异议的， 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0" w:firstLineChars="200"/>
        <w:rPr>
          <w:rFonts w:ascii="宋体" w:hAnsi="宋体"/>
          <w:szCs w:val="21"/>
        </w:rPr>
      </w:pPr>
      <w:r>
        <w:rPr>
          <w:rFonts w:hint="eastAsia" w:ascii="宋体" w:hAnsi="宋体"/>
          <w:szCs w:val="21"/>
        </w:rPr>
        <w:t>11.磋商结束：磋商小组出具评审报告并复核无误后，磋商工作结束。待代理机构工作人员收理好响应文件资料，并发放评审费用后磋商专家方可离开磋商区。磋商过程中磋商专家不得擅自离开磋商室或进入其他开评标室。</w:t>
      </w:r>
    </w:p>
    <w:p>
      <w:pPr>
        <w:spacing w:line="360" w:lineRule="auto"/>
        <w:ind w:firstLine="420" w:firstLineChars="200"/>
        <w:rPr>
          <w:rFonts w:ascii="宋体" w:hAnsi="宋体"/>
          <w:szCs w:val="21"/>
        </w:rPr>
      </w:pPr>
      <w:r>
        <w:rPr>
          <w:rFonts w:hint="eastAsia" w:ascii="宋体" w:hAnsi="宋体"/>
          <w:szCs w:val="21"/>
        </w:rPr>
        <w:t>注1：当初步审查结果确定有效供应商不足三家，或出现影响采购公正的违法违规行为，或供应商的报价均超过了采购预算采购人不能支付，或因重大变故采购任务取消的，或竞争性磋商文件存在重大歧义、重大缺陷导致评审工作无法进行时，或竞争性磋商文件内容违反国家有关规定的，评标程序终止。</w:t>
      </w:r>
    </w:p>
    <w:p>
      <w:pPr>
        <w:spacing w:line="360" w:lineRule="auto"/>
        <w:ind w:firstLine="420" w:firstLineChars="200"/>
        <w:rPr>
          <w:rFonts w:ascii="宋体" w:hAnsi="宋体"/>
          <w:szCs w:val="21"/>
        </w:rPr>
      </w:pPr>
      <w:r>
        <w:rPr>
          <w:rFonts w:hint="eastAsia" w:ascii="宋体" w:hAnsi="宋体"/>
          <w:szCs w:val="21"/>
        </w:rPr>
        <w:t>注2：磋商之后，至成交公告发布之前，凡涉及响应文件的澄清、评价、推荐排序等需保密的信息，磋商小组成员、采购人和竞争性磋商代理机构等人员均不得向供应商人或其他人员透露。</w:t>
      </w:r>
    </w:p>
    <w:p>
      <w:pPr>
        <w:spacing w:line="360" w:lineRule="auto"/>
        <w:ind w:firstLine="420" w:firstLineChars="200"/>
        <w:rPr>
          <w:rFonts w:ascii="宋体" w:hAnsi="宋体"/>
          <w:szCs w:val="21"/>
          <w:highlight w:val="yellow"/>
        </w:rPr>
      </w:pPr>
      <w:r>
        <w:rPr>
          <w:rFonts w:hint="eastAsia" w:ascii="宋体" w:hAnsi="宋体"/>
          <w:szCs w:val="21"/>
        </w:rPr>
        <w:t>注3：磋商过程由</w:t>
      </w:r>
      <w:r>
        <w:rPr>
          <w:rFonts w:hint="eastAsia" w:ascii="宋体" w:hAnsi="宋体"/>
          <w:szCs w:val="21"/>
          <w:lang w:eastAsia="zh-CN"/>
        </w:rPr>
        <w:t>铜仁市公共资源交易中心思南分中心</w:t>
      </w:r>
      <w:r>
        <w:rPr>
          <w:rFonts w:hint="eastAsia" w:ascii="宋体" w:hAnsi="宋体"/>
          <w:szCs w:val="21"/>
        </w:rPr>
        <w:t>全程录音录像，相关录音录像资料由</w:t>
      </w:r>
      <w:r>
        <w:rPr>
          <w:rFonts w:hint="eastAsia" w:ascii="宋体" w:hAnsi="宋体"/>
          <w:szCs w:val="21"/>
          <w:lang w:eastAsia="zh-CN"/>
        </w:rPr>
        <w:t>铜仁市公共资源交易中心思南分中心</w:t>
      </w:r>
      <w:r>
        <w:rPr>
          <w:rFonts w:hint="eastAsia" w:ascii="宋体" w:hAnsi="宋体"/>
          <w:szCs w:val="21"/>
        </w:rPr>
        <w:t>存档，以便为财政、纪检监察等有关部门处理项目相关事宜提供资料。</w:t>
      </w:r>
    </w:p>
    <w:p>
      <w:pPr>
        <w:spacing w:line="360" w:lineRule="auto"/>
        <w:ind w:firstLine="413" w:firstLineChars="196"/>
        <w:rPr>
          <w:rFonts w:ascii="宋体" w:hAnsi="宋体"/>
          <w:b/>
          <w:szCs w:val="21"/>
        </w:rPr>
      </w:pPr>
      <w:r>
        <w:rPr>
          <w:rFonts w:hint="eastAsia" w:ascii="宋体" w:hAnsi="宋体"/>
          <w:b/>
          <w:szCs w:val="21"/>
        </w:rPr>
        <w:t>四、磋商小组</w:t>
      </w:r>
    </w:p>
    <w:p>
      <w:pPr>
        <w:spacing w:line="360" w:lineRule="auto"/>
        <w:ind w:firstLine="420" w:firstLineChars="200"/>
        <w:rPr>
          <w:rFonts w:ascii="宋体" w:hAnsi="宋体"/>
          <w:szCs w:val="21"/>
        </w:rPr>
      </w:pPr>
      <w:r>
        <w:rPr>
          <w:rFonts w:hint="eastAsia" w:ascii="宋体" w:hAnsi="宋体"/>
          <w:szCs w:val="21"/>
        </w:rPr>
        <w:t xml:space="preserve">竞争性磋商小组由采购人代表 1 名和评审专家 </w:t>
      </w:r>
      <w:r>
        <w:rPr>
          <w:rFonts w:hint="eastAsia" w:ascii="宋体" w:hAnsi="宋体"/>
          <w:szCs w:val="21"/>
          <w:lang w:val="en-US" w:eastAsia="zh-CN"/>
        </w:rPr>
        <w:t>2</w:t>
      </w:r>
      <w:r>
        <w:rPr>
          <w:rFonts w:hint="eastAsia" w:ascii="宋体" w:hAnsi="宋体"/>
          <w:szCs w:val="21"/>
        </w:rPr>
        <w:t xml:space="preserve"> 名共</w:t>
      </w:r>
      <w:r>
        <w:rPr>
          <w:rFonts w:hint="eastAsia" w:ascii="宋体" w:hAnsi="宋体"/>
          <w:szCs w:val="21"/>
          <w:lang w:val="en-US" w:eastAsia="zh-CN"/>
        </w:rPr>
        <w:t>3</w:t>
      </w:r>
      <w:r>
        <w:rPr>
          <w:rFonts w:hint="eastAsia" w:ascii="宋体" w:hAnsi="宋体"/>
          <w:szCs w:val="21"/>
        </w:rPr>
        <w:t xml:space="preserve"> 人单数组成，其中评审专家人数不少于竞争性磋商小组成员总数的 2/3。达到公开竞争性磋商数额标准的货物或者服务采购项目，或者达到竞争性磋商规模标准的政府采购工程，竞争性磋商小组由 3 人以上单数组成。技术复杂、专业性强的竞争性磋商采购项目，评审专家中应当包含 1 名法律专家。磋商小组成员应以科学、公正的态度参加政府采购的评审工作，在评审过程中不受任何干扰，独立、负责地提出评审意见，并对自己的评审意见承担责任。</w:t>
      </w:r>
    </w:p>
    <w:p>
      <w:pPr>
        <w:spacing w:line="360" w:lineRule="auto"/>
        <w:ind w:firstLine="420" w:firstLineChars="200"/>
        <w:rPr>
          <w:rFonts w:ascii="宋体" w:hAnsi="宋体"/>
          <w:szCs w:val="21"/>
        </w:rPr>
      </w:pPr>
      <w:r>
        <w:rPr>
          <w:rFonts w:hint="eastAsia" w:ascii="宋体" w:hAnsi="宋体"/>
          <w:szCs w:val="21"/>
        </w:rPr>
        <w:t>1.磋商小组在采购活动过程中应当履行下列职责：</w:t>
      </w:r>
    </w:p>
    <w:p>
      <w:pPr>
        <w:spacing w:line="360" w:lineRule="auto"/>
        <w:ind w:firstLine="420" w:firstLineChars="200"/>
        <w:rPr>
          <w:rFonts w:ascii="宋体" w:hAnsi="宋体"/>
          <w:szCs w:val="21"/>
        </w:rPr>
      </w:pPr>
      <w:r>
        <w:rPr>
          <w:rFonts w:hint="eastAsia" w:ascii="宋体" w:hAnsi="宋体"/>
          <w:szCs w:val="21"/>
        </w:rPr>
        <w:t>（1）从符合相应资格条件的供应商名单中确定不少于 3 家的供应商参加磋商；</w:t>
      </w:r>
    </w:p>
    <w:p>
      <w:pPr>
        <w:spacing w:line="360" w:lineRule="auto"/>
        <w:ind w:firstLine="420" w:firstLineChars="200"/>
        <w:rPr>
          <w:rFonts w:ascii="宋体" w:hAnsi="宋体"/>
          <w:szCs w:val="21"/>
        </w:rPr>
      </w:pPr>
      <w:r>
        <w:rPr>
          <w:rFonts w:hint="eastAsia" w:ascii="宋体" w:hAnsi="宋体"/>
          <w:szCs w:val="21"/>
        </w:rPr>
        <w:t>（2）审查供应商的响应文件并作出评价；</w:t>
      </w:r>
    </w:p>
    <w:p>
      <w:pPr>
        <w:spacing w:line="360" w:lineRule="auto"/>
        <w:ind w:firstLine="420" w:firstLineChars="200"/>
        <w:rPr>
          <w:rFonts w:ascii="宋体" w:hAnsi="宋体"/>
          <w:szCs w:val="21"/>
        </w:rPr>
      </w:pPr>
      <w:r>
        <w:rPr>
          <w:rFonts w:hint="eastAsia" w:ascii="宋体" w:hAnsi="宋体"/>
          <w:szCs w:val="21"/>
        </w:rPr>
        <w:t>（3）要求供应商解释或者澄清其响应文件；</w:t>
      </w:r>
    </w:p>
    <w:p>
      <w:pPr>
        <w:spacing w:line="360" w:lineRule="auto"/>
        <w:ind w:firstLine="420" w:firstLineChars="200"/>
        <w:rPr>
          <w:rFonts w:ascii="宋体" w:hAnsi="宋体"/>
          <w:szCs w:val="21"/>
        </w:rPr>
      </w:pPr>
      <w:r>
        <w:rPr>
          <w:rFonts w:hint="eastAsia" w:ascii="宋体" w:hAnsi="宋体"/>
          <w:szCs w:val="21"/>
        </w:rPr>
        <w:t>（4）编写评审报告；</w:t>
      </w:r>
    </w:p>
    <w:p>
      <w:pPr>
        <w:spacing w:line="360" w:lineRule="auto"/>
        <w:ind w:firstLine="420" w:firstLineChars="200"/>
        <w:rPr>
          <w:rFonts w:ascii="宋体" w:hAnsi="宋体"/>
          <w:szCs w:val="21"/>
        </w:rPr>
      </w:pPr>
      <w:r>
        <w:rPr>
          <w:rFonts w:hint="eastAsia" w:ascii="宋体" w:hAnsi="宋体"/>
          <w:szCs w:val="21"/>
        </w:rPr>
        <w:t>（5）告知采购人、采购代理机构在评审过程中发现的供应商的违法违规行为。</w:t>
      </w:r>
    </w:p>
    <w:p>
      <w:pPr>
        <w:spacing w:line="360" w:lineRule="auto"/>
        <w:ind w:firstLine="420" w:firstLineChars="200"/>
        <w:rPr>
          <w:rFonts w:ascii="宋体" w:hAnsi="宋体"/>
          <w:szCs w:val="21"/>
        </w:rPr>
      </w:pPr>
      <w:r>
        <w:rPr>
          <w:rFonts w:hint="eastAsia" w:ascii="宋体" w:hAnsi="宋体"/>
          <w:szCs w:val="21"/>
        </w:rPr>
        <w:t>2.磋商小组成员应当履行下列义务：</w:t>
      </w:r>
    </w:p>
    <w:p>
      <w:pPr>
        <w:spacing w:line="360" w:lineRule="auto"/>
        <w:ind w:firstLine="420" w:firstLineChars="200"/>
        <w:rPr>
          <w:rFonts w:ascii="宋体" w:hAnsi="宋体"/>
          <w:szCs w:val="21"/>
        </w:rPr>
      </w:pPr>
      <w:r>
        <w:rPr>
          <w:rFonts w:hint="eastAsia" w:ascii="宋体" w:hAnsi="宋体"/>
          <w:szCs w:val="21"/>
        </w:rPr>
        <w:t>（1）遵纪守法，客观、公正、廉洁地履行职责；</w:t>
      </w:r>
    </w:p>
    <w:p>
      <w:pPr>
        <w:spacing w:line="360" w:lineRule="auto"/>
        <w:ind w:firstLine="420" w:firstLineChars="200"/>
        <w:rPr>
          <w:rFonts w:ascii="宋体" w:hAnsi="宋体"/>
          <w:szCs w:val="21"/>
        </w:rPr>
      </w:pPr>
      <w:r>
        <w:rPr>
          <w:rFonts w:hint="eastAsia" w:ascii="宋体" w:hAnsi="宋体"/>
          <w:szCs w:val="21"/>
        </w:rPr>
        <w:t>（2）根据采购文件的规定独立进行评审，对个人的评审意见承担法律责任；</w:t>
      </w:r>
    </w:p>
    <w:p>
      <w:pPr>
        <w:spacing w:line="360" w:lineRule="auto"/>
        <w:ind w:firstLine="420" w:firstLineChars="200"/>
        <w:rPr>
          <w:rFonts w:ascii="宋体" w:hAnsi="宋体"/>
          <w:szCs w:val="21"/>
        </w:rPr>
      </w:pPr>
      <w:r>
        <w:rPr>
          <w:rFonts w:hint="eastAsia" w:ascii="宋体" w:hAnsi="宋体"/>
          <w:szCs w:val="21"/>
        </w:rPr>
        <w:t>（3）参与评审报告的起草；</w:t>
      </w:r>
    </w:p>
    <w:p>
      <w:pPr>
        <w:spacing w:line="360" w:lineRule="auto"/>
        <w:ind w:firstLine="420" w:firstLineChars="200"/>
        <w:rPr>
          <w:rFonts w:ascii="宋体" w:hAnsi="宋体"/>
          <w:szCs w:val="21"/>
        </w:rPr>
      </w:pPr>
      <w:r>
        <w:rPr>
          <w:rFonts w:hint="eastAsia" w:ascii="宋体" w:hAnsi="宋体"/>
          <w:szCs w:val="21"/>
        </w:rPr>
        <w:t>（4）配合采购人、采购代理机构答复供应商提出的质疑；</w:t>
      </w:r>
    </w:p>
    <w:p>
      <w:pPr>
        <w:spacing w:line="360" w:lineRule="auto"/>
        <w:ind w:firstLine="420" w:firstLineChars="200"/>
        <w:rPr>
          <w:rFonts w:ascii="宋体" w:hAnsi="宋体"/>
          <w:szCs w:val="21"/>
        </w:rPr>
      </w:pPr>
      <w:r>
        <w:rPr>
          <w:rFonts w:hint="eastAsia" w:ascii="宋体" w:hAnsi="宋体"/>
          <w:szCs w:val="21"/>
        </w:rPr>
        <w:t>（5）配合财政部门的投诉处理和监督检查工作。</w:t>
      </w:r>
    </w:p>
    <w:p>
      <w:pPr>
        <w:spacing w:line="360" w:lineRule="auto"/>
        <w:ind w:firstLine="413" w:firstLineChars="196"/>
        <w:rPr>
          <w:rFonts w:ascii="宋体" w:hAnsi="宋体"/>
          <w:b/>
          <w:szCs w:val="21"/>
        </w:rPr>
      </w:pPr>
      <w:r>
        <w:rPr>
          <w:rFonts w:hint="eastAsia" w:ascii="宋体" w:hAnsi="宋体"/>
          <w:b/>
          <w:szCs w:val="21"/>
        </w:rPr>
        <w:t>五、评标方法</w:t>
      </w:r>
    </w:p>
    <w:p>
      <w:pPr>
        <w:spacing w:line="360" w:lineRule="auto"/>
        <w:ind w:firstLine="420" w:firstLineChars="200"/>
        <w:rPr>
          <w:rFonts w:ascii="宋体" w:hAnsi="宋体"/>
          <w:szCs w:val="21"/>
        </w:rPr>
      </w:pPr>
      <w:r>
        <w:rPr>
          <w:rFonts w:hint="eastAsia" w:ascii="宋体" w:hAnsi="宋体"/>
          <w:szCs w:val="21"/>
        </w:rPr>
        <w:t>本次评标采用</w:t>
      </w:r>
      <w:r>
        <w:rPr>
          <w:rFonts w:hint="eastAsia" w:ascii="宋体" w:hAnsi="宋体"/>
          <w:b/>
          <w:szCs w:val="21"/>
        </w:rPr>
        <w:t>综合评分法</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对满足竞争性磋商文件实质性要求的竞争性磋商响应文件，按照竞争性磋商文件中规定的评分标准进行打分，以评标总得分由高到低的顺序推荐中标候选人，综合评分相等时，以投标报价低的优先；投标报价也相等的，由磋商小组确定中标候选人。</w:t>
      </w:r>
    </w:p>
    <w:p>
      <w:pPr>
        <w:spacing w:line="360" w:lineRule="auto"/>
        <w:ind w:firstLine="420" w:firstLineChars="200"/>
      </w:pPr>
      <w:r>
        <w:rPr>
          <w:rFonts w:hint="eastAsia" w:ascii="宋体" w:hAnsi="宋体"/>
          <w:szCs w:val="21"/>
        </w:rPr>
        <w:t>综合评分的主要因素是：价格、技术、商务及服务对竞争性磋商文件的响应程度，以及相应的比重或者权值等。</w:t>
      </w:r>
    </w:p>
    <w:p>
      <w:pPr>
        <w:spacing w:line="360" w:lineRule="auto"/>
        <w:ind w:firstLine="422" w:firstLineChars="200"/>
        <w:rPr>
          <w:rFonts w:ascii="宋体" w:hAnsi="宋体" w:cs="Arial"/>
          <w:b/>
          <w:kern w:val="0"/>
          <w:szCs w:val="21"/>
        </w:rPr>
      </w:pPr>
      <w:r>
        <w:rPr>
          <w:rFonts w:hint="eastAsia" w:ascii="宋体" w:hAnsi="宋体" w:cs="Arial"/>
          <w:b/>
          <w:kern w:val="0"/>
          <w:szCs w:val="21"/>
        </w:rPr>
        <w:t>六、评审标准</w:t>
      </w:r>
    </w:p>
    <w:p>
      <w:pPr>
        <w:spacing w:line="360" w:lineRule="auto"/>
        <w:ind w:firstLine="210" w:firstLineChars="100"/>
        <w:rPr>
          <w:rFonts w:ascii="宋体" w:hAnsi="宋体"/>
          <w:b/>
          <w:szCs w:val="21"/>
        </w:rPr>
      </w:pPr>
      <w:r>
        <w:rPr>
          <w:rFonts w:hint="eastAsia" w:ascii="宋体" w:hAnsi="宋体"/>
          <w:szCs w:val="21"/>
        </w:rPr>
        <w:t xml:space="preserve">（一）初步评审 </w:t>
      </w:r>
      <w:r>
        <w:rPr>
          <w:rFonts w:hint="eastAsia" w:ascii="宋体" w:hAnsi="宋体"/>
          <w:b/>
          <w:szCs w:val="21"/>
        </w:rPr>
        <w:t xml:space="preserve"> </w:t>
      </w:r>
    </w:p>
    <w:p>
      <w:pPr>
        <w:tabs>
          <w:tab w:val="left" w:pos="3060"/>
        </w:tabs>
        <w:spacing w:line="360" w:lineRule="auto"/>
        <w:ind w:firstLine="420" w:firstLineChars="200"/>
        <w:rPr>
          <w:rFonts w:ascii="宋体" w:hAnsi="宋体"/>
          <w:szCs w:val="21"/>
        </w:rPr>
      </w:pPr>
      <w:r>
        <w:rPr>
          <w:rFonts w:hint="eastAsia" w:ascii="宋体" w:hAnsi="宋体"/>
          <w:szCs w:val="21"/>
        </w:rPr>
        <w:t>1. 供应商应按照</w:t>
      </w:r>
      <w:r>
        <w:rPr>
          <w:rFonts w:hint="eastAsia" w:ascii="宋体" w:hAnsi="宋体"/>
          <w:b/>
          <w:szCs w:val="21"/>
        </w:rPr>
        <w:t>“供应商须知前附表”</w:t>
      </w:r>
      <w:r>
        <w:rPr>
          <w:rFonts w:hint="eastAsia" w:ascii="宋体" w:hAnsi="宋体"/>
          <w:szCs w:val="21"/>
        </w:rPr>
        <w:t>的要求, 在开标时提交有关证照或资料, 进行身份核验。核验不合格的供应商不能进入详细评审。</w:t>
      </w:r>
    </w:p>
    <w:p>
      <w:pPr>
        <w:pStyle w:val="25"/>
        <w:spacing w:line="360" w:lineRule="auto"/>
        <w:ind w:left="567" w:leftChars="200" w:hanging="147" w:hangingChars="70"/>
        <w:rPr>
          <w:rFonts w:hAnsi="宋体"/>
          <w:szCs w:val="21"/>
        </w:rPr>
      </w:pPr>
      <w:r>
        <w:rPr>
          <w:rFonts w:hint="eastAsia" w:hAnsi="宋体"/>
          <w:szCs w:val="21"/>
        </w:rPr>
        <w:t>2. 磋商小组将审查竞争性磋商响应文件的完整性和投标供应商资格的合格性。</w:t>
      </w:r>
    </w:p>
    <w:p>
      <w:pPr>
        <w:pStyle w:val="25"/>
        <w:spacing w:line="360" w:lineRule="auto"/>
        <w:ind w:left="7" w:firstLine="663" w:firstLineChars="316"/>
        <w:rPr>
          <w:rFonts w:cs="Arial"/>
          <w:szCs w:val="21"/>
        </w:rPr>
      </w:pPr>
      <w:r>
        <w:rPr>
          <w:rFonts w:hint="eastAsia" w:hAnsi="宋体"/>
          <w:szCs w:val="21"/>
        </w:rPr>
        <w:t>磋商小组将审查竞争性磋商响应文件是否完整、文件签署是否合格、供应商是否提交了竞争性磋商保证金、有无计算上的错误等。</w:t>
      </w:r>
      <w:r>
        <w:rPr>
          <w:rFonts w:hint="eastAsia"/>
          <w:szCs w:val="21"/>
        </w:rPr>
        <w:t xml:space="preserve"> 算术错误将按下列方法更正：竞争性磋商响应文件的大写金额和小写金额不一致的，以大写金额为准；投标总价金额与按分项报价汇总金额不一致的，以分项报价金额计算结果为准；分项报价金额小数点有明显错位的，应以投标总价为准，并修改分项报价。如果供应商不接受对其算术错误的更正，其投标将被否决。</w:t>
      </w:r>
    </w:p>
    <w:p>
      <w:pPr>
        <w:pStyle w:val="25"/>
        <w:spacing w:line="360" w:lineRule="auto"/>
        <w:ind w:left="6" w:firstLine="413" w:firstLineChars="197"/>
        <w:rPr>
          <w:rFonts w:hAnsi="宋体"/>
          <w:szCs w:val="21"/>
        </w:rPr>
      </w:pPr>
      <w:r>
        <w:rPr>
          <w:rFonts w:hint="eastAsia" w:hAnsi="宋体"/>
          <w:szCs w:val="21"/>
        </w:rPr>
        <w:t>3. 对于竞争性磋商响应文件中不构成实质性偏差的不正规、不一致或不规则，磋商小组可以接受，但这种接受不能损害或影响任何供应商的相对排序。</w:t>
      </w:r>
    </w:p>
    <w:p>
      <w:pPr>
        <w:pStyle w:val="25"/>
        <w:spacing w:line="360" w:lineRule="auto"/>
        <w:ind w:left="7" w:firstLine="306" w:firstLineChars="146"/>
        <w:rPr>
          <w:rFonts w:hAnsi="宋体"/>
          <w:szCs w:val="21"/>
        </w:rPr>
      </w:pPr>
      <w:r>
        <w:rPr>
          <w:rFonts w:hint="eastAsia" w:hAnsi="宋体"/>
          <w:szCs w:val="21"/>
        </w:rPr>
        <w:t>4. 在详细评标之前，磋商小组要审查每份竞争性磋商响应文件是否实质上响应了竞争性磋商文件的要求。实质上响应的投标应该是与竞争性磋商文件要求的关键条款、条件和规格相符，没有重大偏离的投标。对关键条文的偏离、保留或反对，例如关于竞争性磋商保证金、交货期等内容的偏离将被认为是实质上的偏离。磋商小组决定投标的响应性只根据投标本身的真实无误的内容，而不依据外部的证据，但投标有不真实不正确的内容时除外。</w:t>
      </w:r>
    </w:p>
    <w:p>
      <w:pPr>
        <w:snapToGrid w:val="0"/>
        <w:spacing w:line="360" w:lineRule="auto"/>
        <w:ind w:firstLine="420" w:firstLineChars="200"/>
        <w:rPr>
          <w:rFonts w:ascii="宋体" w:hAnsi="宋体"/>
          <w:szCs w:val="21"/>
        </w:rPr>
      </w:pPr>
      <w:r>
        <w:rPr>
          <w:rFonts w:hint="eastAsia" w:ascii="宋体" w:hAnsi="宋体"/>
          <w:szCs w:val="21"/>
        </w:rPr>
        <w:t>5.实质上没有响应竞争性磋商文件要求的投标将被否决。供应商不得通过修正、补充或撤销不合要求的偏离或保留从而使其投标成为实质上响应的投标。竞争性磋商文件要求提供原件的，应当提供原件，否则将否决其投标。</w:t>
      </w:r>
    </w:p>
    <w:p>
      <w:pPr>
        <w:pStyle w:val="25"/>
        <w:spacing w:line="360" w:lineRule="auto"/>
        <w:ind w:firstLine="420" w:firstLineChars="200"/>
        <w:rPr>
          <w:rFonts w:hAnsi="宋体"/>
          <w:szCs w:val="21"/>
        </w:rPr>
      </w:pPr>
      <w:r>
        <w:rPr>
          <w:rFonts w:hint="eastAsia" w:hAnsi="宋体"/>
          <w:szCs w:val="21"/>
        </w:rPr>
        <w:t>6. 在评议过程中，有下列情形之一者，其投标将被否决：</w:t>
      </w:r>
    </w:p>
    <w:p>
      <w:pPr>
        <w:snapToGrid w:val="0"/>
        <w:spacing w:line="360" w:lineRule="auto"/>
        <w:ind w:firstLine="420" w:firstLineChars="200"/>
        <w:rPr>
          <w:rFonts w:ascii="宋体" w:hAnsi="宋体"/>
          <w:szCs w:val="21"/>
        </w:rPr>
      </w:pPr>
      <w:r>
        <w:rPr>
          <w:rFonts w:hint="eastAsia" w:ascii="宋体" w:hAnsi="宋体"/>
          <w:szCs w:val="21"/>
        </w:rPr>
        <w:t>1）供应商或其制造商与竞争性磋商人有利害关系可能影响竞争性磋商公正性的；</w:t>
      </w:r>
    </w:p>
    <w:p>
      <w:pPr>
        <w:snapToGrid w:val="0"/>
        <w:spacing w:line="360" w:lineRule="auto"/>
        <w:ind w:firstLine="420" w:firstLineChars="200"/>
        <w:rPr>
          <w:rFonts w:ascii="宋体" w:hAnsi="宋体"/>
          <w:szCs w:val="21"/>
        </w:rPr>
      </w:pPr>
      <w:r>
        <w:rPr>
          <w:rFonts w:hint="eastAsia" w:ascii="宋体" w:hAnsi="宋体"/>
          <w:szCs w:val="21"/>
        </w:rPr>
        <w:t xml:space="preserve">2）供应商参与项目竞争性磋商文件编制的； </w:t>
      </w:r>
    </w:p>
    <w:p>
      <w:pPr>
        <w:snapToGrid w:val="0"/>
        <w:spacing w:line="360" w:lineRule="auto"/>
        <w:ind w:firstLine="420" w:firstLineChars="200"/>
        <w:rPr>
          <w:rFonts w:ascii="宋体" w:hAnsi="宋体"/>
          <w:szCs w:val="21"/>
        </w:rPr>
      </w:pPr>
      <w:r>
        <w:rPr>
          <w:rFonts w:hint="eastAsia" w:ascii="宋体" w:hAnsi="宋体"/>
          <w:szCs w:val="21"/>
        </w:rPr>
        <w:t>3）不同供应商单位负责人为同一人或者存在控股、管理关系的；</w:t>
      </w:r>
    </w:p>
    <w:p>
      <w:pPr>
        <w:snapToGrid w:val="0"/>
        <w:spacing w:line="360" w:lineRule="auto"/>
        <w:ind w:firstLine="420" w:firstLineChars="200"/>
        <w:rPr>
          <w:rFonts w:ascii="宋体" w:hAnsi="宋体"/>
          <w:szCs w:val="21"/>
        </w:rPr>
      </w:pPr>
      <w:r>
        <w:rPr>
          <w:rFonts w:hint="eastAsia" w:ascii="宋体" w:hAnsi="宋体"/>
          <w:szCs w:val="21"/>
        </w:rPr>
        <w:t>4）竞争性磋商响应文件未按竞争性磋商文件的要求签署的；</w:t>
      </w:r>
    </w:p>
    <w:p>
      <w:pPr>
        <w:snapToGrid w:val="0"/>
        <w:spacing w:line="360" w:lineRule="auto"/>
        <w:ind w:firstLine="420" w:firstLineChars="200"/>
        <w:rPr>
          <w:rFonts w:ascii="宋体" w:hAnsi="宋体"/>
          <w:szCs w:val="21"/>
        </w:rPr>
      </w:pPr>
      <w:r>
        <w:rPr>
          <w:rFonts w:hint="eastAsia" w:ascii="宋体" w:hAnsi="宋体"/>
          <w:szCs w:val="21"/>
        </w:rPr>
        <w:t xml:space="preserve">5）供应商的投标书、资格证明材料未提供，或不符合国家规定或者竞争性磋商文件要求的； </w:t>
      </w:r>
    </w:p>
    <w:p>
      <w:pPr>
        <w:snapToGrid w:val="0"/>
        <w:spacing w:line="360" w:lineRule="auto"/>
        <w:ind w:firstLine="420" w:firstLineChars="200"/>
        <w:rPr>
          <w:rFonts w:ascii="宋体" w:hAnsi="宋体"/>
          <w:szCs w:val="21"/>
        </w:rPr>
      </w:pPr>
      <w:r>
        <w:rPr>
          <w:rFonts w:hint="eastAsia" w:ascii="宋体" w:hAnsi="宋体"/>
          <w:szCs w:val="21"/>
        </w:rPr>
        <w:t>6）同一供应商提交两个以上不同的投标方案或者投标报价的，但竞争性磋商文件要求提交备选方案的除外；</w:t>
      </w:r>
    </w:p>
    <w:p>
      <w:pPr>
        <w:snapToGrid w:val="0"/>
        <w:spacing w:line="360" w:lineRule="auto"/>
        <w:ind w:firstLine="420" w:firstLineChars="200"/>
        <w:rPr>
          <w:rFonts w:ascii="宋体" w:hAnsi="宋体"/>
          <w:szCs w:val="21"/>
        </w:rPr>
      </w:pPr>
      <w:r>
        <w:rPr>
          <w:rFonts w:hint="eastAsia" w:ascii="宋体" w:hAnsi="宋体"/>
          <w:szCs w:val="21"/>
        </w:rPr>
        <w:t>7）供应商未按竞争性磋商文件要求提交竞争性磋商保证金或保证金金额不足的；</w:t>
      </w:r>
    </w:p>
    <w:p>
      <w:pPr>
        <w:snapToGrid w:val="0"/>
        <w:spacing w:line="360" w:lineRule="auto"/>
        <w:ind w:firstLine="420" w:firstLineChars="200"/>
        <w:rPr>
          <w:rFonts w:ascii="宋体" w:hAnsi="宋体"/>
          <w:szCs w:val="21"/>
        </w:rPr>
      </w:pPr>
      <w:r>
        <w:rPr>
          <w:rFonts w:hint="eastAsia" w:ascii="宋体" w:hAnsi="宋体"/>
          <w:szCs w:val="21"/>
        </w:rPr>
        <w:t>8）竞争性磋商响应文件不满足竞争性磋商文件重要商务条款要求的；</w:t>
      </w:r>
    </w:p>
    <w:p>
      <w:pPr>
        <w:snapToGrid w:val="0"/>
        <w:spacing w:line="360" w:lineRule="auto"/>
        <w:ind w:firstLine="420" w:firstLineChars="200"/>
        <w:rPr>
          <w:rFonts w:ascii="宋体" w:hAnsi="宋体"/>
          <w:szCs w:val="21"/>
        </w:rPr>
      </w:pPr>
      <w:r>
        <w:rPr>
          <w:rFonts w:hint="eastAsia" w:ascii="宋体" w:hAnsi="宋体"/>
          <w:szCs w:val="21"/>
        </w:rPr>
        <w:t>9）投标报价高于竞争性磋商文件设定的预算金额的；</w:t>
      </w:r>
    </w:p>
    <w:p>
      <w:pPr>
        <w:snapToGrid w:val="0"/>
        <w:spacing w:line="360" w:lineRule="auto"/>
        <w:ind w:firstLine="420" w:firstLineChars="200"/>
        <w:rPr>
          <w:rFonts w:ascii="宋体" w:hAnsi="宋体"/>
          <w:szCs w:val="21"/>
        </w:rPr>
      </w:pPr>
      <w:r>
        <w:rPr>
          <w:rFonts w:hint="eastAsia" w:ascii="宋体" w:hAnsi="宋体"/>
          <w:szCs w:val="21"/>
        </w:rPr>
        <w:t>10）投标有效期不足的；</w:t>
      </w:r>
    </w:p>
    <w:p>
      <w:pPr>
        <w:snapToGrid w:val="0"/>
        <w:spacing w:line="360" w:lineRule="auto"/>
        <w:ind w:firstLine="420" w:firstLineChars="200"/>
        <w:rPr>
          <w:rFonts w:ascii="宋体" w:hAnsi="宋体"/>
          <w:szCs w:val="21"/>
        </w:rPr>
      </w:pPr>
      <w:r>
        <w:rPr>
          <w:rFonts w:hint="eastAsia" w:ascii="宋体" w:hAnsi="宋体"/>
          <w:szCs w:val="21"/>
        </w:rPr>
        <w:t>11）供应商有串通投标、弄虚作假、行贿等违法行为的；</w:t>
      </w:r>
    </w:p>
    <w:p>
      <w:pPr>
        <w:spacing w:line="360" w:lineRule="auto"/>
        <w:ind w:firstLine="420" w:firstLineChars="200"/>
        <w:rPr>
          <w:rFonts w:ascii="宋体" w:hAnsi="宋体"/>
          <w:b/>
          <w:szCs w:val="21"/>
        </w:rPr>
      </w:pPr>
      <w:r>
        <w:rPr>
          <w:rFonts w:hint="eastAsia" w:ascii="宋体" w:hAnsi="宋体"/>
          <w:szCs w:val="21"/>
        </w:rPr>
        <w:t>12）存在竞争性磋商文件中规定的否决投标的其他商务条款的。</w:t>
      </w:r>
      <w:r>
        <w:rPr>
          <w:rFonts w:hint="eastAsia" w:ascii="宋体" w:hAnsi="宋体"/>
          <w:b/>
          <w:szCs w:val="21"/>
        </w:rPr>
        <w:t xml:space="preserve"> </w:t>
      </w:r>
    </w:p>
    <w:p>
      <w:pPr>
        <w:pStyle w:val="3"/>
        <w:rPr>
          <w:rFonts w:ascii="宋体" w:hAnsi="宋体"/>
          <w:b/>
          <w:szCs w:val="21"/>
        </w:rPr>
      </w:pPr>
    </w:p>
    <w:p/>
    <w:p>
      <w:pPr>
        <w:spacing w:line="360" w:lineRule="auto"/>
        <w:ind w:firstLine="422" w:firstLineChars="200"/>
        <w:jc w:val="center"/>
        <w:rPr>
          <w:rFonts w:ascii="宋体" w:hAnsi="宋体" w:cs="Arial"/>
          <w:kern w:val="0"/>
          <w:szCs w:val="21"/>
        </w:rPr>
      </w:pPr>
      <w:r>
        <w:rPr>
          <w:rFonts w:hint="eastAsia" w:ascii="宋体" w:hAnsi="宋体"/>
          <w:b/>
          <w:szCs w:val="21"/>
        </w:rPr>
        <w:t>评审标准</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2372"/>
        <w:gridCol w:w="46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6" w:type="dxa"/>
            <w:tcBorders>
              <w:top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r>
              <w:rPr>
                <w:rFonts w:hint="eastAsia" w:ascii="宋体" w:hAnsi="宋体"/>
                <w:b/>
                <w:bCs/>
                <w:szCs w:val="21"/>
              </w:rPr>
              <w:t>评审内容</w:t>
            </w: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r>
              <w:rPr>
                <w:rFonts w:ascii="宋体" w:hAnsi="宋体"/>
                <w:b/>
                <w:bCs/>
                <w:szCs w:val="21"/>
              </w:rPr>
              <w:t>评审因素</w:t>
            </w:r>
          </w:p>
        </w:tc>
        <w:tc>
          <w:tcPr>
            <w:tcW w:w="46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r>
              <w:rPr>
                <w:rFonts w:ascii="宋体" w:hAnsi="宋体"/>
                <w:b/>
                <w:bCs/>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2026" w:type="dxa"/>
            <w:vMerge w:val="restart"/>
            <w:tcBorders>
              <w:right w:val="single" w:color="auto" w:sz="4" w:space="0"/>
            </w:tcBorders>
            <w:vAlign w:val="center"/>
          </w:tcPr>
          <w:p>
            <w:pPr>
              <w:spacing w:line="440" w:lineRule="exact"/>
              <w:jc w:val="center"/>
              <w:rPr>
                <w:rFonts w:ascii="宋体" w:hAnsi="宋体"/>
                <w:szCs w:val="21"/>
              </w:rPr>
            </w:pPr>
            <w:r>
              <w:rPr>
                <w:rFonts w:hint="eastAsia" w:ascii="宋体" w:hAnsi="宋体"/>
                <w:szCs w:val="21"/>
              </w:rPr>
              <w:t>资格评审标准</w:t>
            </w:r>
          </w:p>
        </w:tc>
        <w:tc>
          <w:tcPr>
            <w:tcW w:w="23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ascii="宋体" w:hAnsi="宋体"/>
                <w:szCs w:val="21"/>
              </w:rPr>
              <w:t>营业执照</w:t>
            </w:r>
          </w:p>
        </w:tc>
        <w:tc>
          <w:tcPr>
            <w:tcW w:w="4602" w:type="dxa"/>
            <w:tcBorders>
              <w:top w:val="single" w:color="auto" w:sz="4" w:space="0"/>
              <w:left w:val="single" w:color="auto" w:sz="4" w:space="0"/>
              <w:bottom w:val="single" w:color="auto" w:sz="4" w:space="0"/>
              <w:right w:val="single" w:color="auto" w:sz="4" w:space="0"/>
            </w:tcBorders>
            <w:vAlign w:val="center"/>
          </w:tcPr>
          <w:p>
            <w:pPr>
              <w:spacing w:beforeLines="50"/>
              <w:rPr>
                <w:rFonts w:hint="eastAsia" w:eastAsia="宋体"/>
                <w:szCs w:val="21"/>
                <w:lang w:eastAsia="zh-CN"/>
              </w:rPr>
            </w:pPr>
            <w:r>
              <w:rPr>
                <w:rFonts w:hint="eastAsia" w:ascii="宋体" w:hAnsi="宋体" w:cs="宋体"/>
                <w:szCs w:val="21"/>
                <w:lang w:eastAsia="zh-CN"/>
              </w:rPr>
              <w:t>具有独立承担民事责任的能力（本项目允许分公司投标，分公司投标的需提供总公司对分公司的专项授权原件及总公司和分公司营业执照复印件加盖公章）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szCs w:val="21"/>
              </w:rPr>
              <w:t>具备履行合同所必须的设备和专业技术能力的证明材料</w:t>
            </w:r>
          </w:p>
        </w:tc>
        <w:tc>
          <w:tcPr>
            <w:tcW w:w="4602"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ascii="宋体" w:hAnsi="宋体"/>
                <w:szCs w:val="21"/>
              </w:rPr>
              <w:t>提供具备履行合同所必需的设备和专业能力的资料或承诺函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cs="宋体"/>
                <w:szCs w:val="21"/>
              </w:rPr>
              <w:t>具有依法缴纳税收和社会保障资金的良好记录</w:t>
            </w:r>
          </w:p>
        </w:tc>
        <w:tc>
          <w:tcPr>
            <w:tcW w:w="4602"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rPr>
              <w:t>提供2020年1月至今任意3个月的依法缴纳税收和社会保障资金或的有效证明材料(不需要缴纳税收或社保资金的供应商须提供相应证明文件)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ascii="宋体" w:hAnsi="宋体"/>
                <w:szCs w:val="21"/>
              </w:rPr>
              <w:t>财务报表</w:t>
            </w:r>
          </w:p>
        </w:tc>
        <w:tc>
          <w:tcPr>
            <w:tcW w:w="4602"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cs="宋体"/>
                <w:szCs w:val="21"/>
              </w:rPr>
              <w:t>提供会计师事务所出具的完整的2019</w:t>
            </w:r>
            <w:r>
              <w:rPr>
                <w:rFonts w:hint="eastAsia" w:ascii="宋体" w:hAnsi="宋体" w:cs="宋体"/>
                <w:szCs w:val="21"/>
                <w:lang w:eastAsia="zh-CN"/>
              </w:rPr>
              <w:t>或</w:t>
            </w:r>
            <w:r>
              <w:rPr>
                <w:rFonts w:hint="eastAsia" w:ascii="宋体" w:hAnsi="宋体" w:cs="宋体"/>
                <w:szCs w:val="21"/>
                <w:lang w:val="en-US" w:eastAsia="zh-CN"/>
              </w:rPr>
              <w:t>2020</w:t>
            </w:r>
            <w:r>
              <w:rPr>
                <w:rFonts w:hint="eastAsia" w:ascii="宋体" w:hAnsi="宋体" w:cs="宋体"/>
                <w:szCs w:val="21"/>
              </w:rPr>
              <w:t>年度财务审计报告，成立不足一年的新公司只需提供基本开户行出具的资信证明。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ascii="宋体" w:hAnsi="宋体"/>
                <w:szCs w:val="21"/>
              </w:rPr>
              <w:t>声明</w:t>
            </w:r>
          </w:p>
        </w:tc>
        <w:tc>
          <w:tcPr>
            <w:tcW w:w="4602"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rPr>
              <w:t>提供参加政府采购活动前3年内在经营活动中没有重大违法记录的书面声明（原件）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szCs w:val="21"/>
              </w:rPr>
              <w:t>信用证明</w:t>
            </w:r>
          </w:p>
        </w:tc>
        <w:tc>
          <w:tcPr>
            <w:tcW w:w="4602"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rPr>
              <w:t>供应商信用信息：供应商需自行承诺“未在“信用中国”网站上及中国政府采购网上被列入失信被执行人、重大税收违法案件当事人名单、政府采购严重违法失信行为记录名单，如有被列入的情况，将视为无效投标；</w:t>
            </w:r>
            <w:r>
              <w:rPr>
                <w:rFonts w:hint="eastAsia" w:ascii="宋体" w:hAnsi="宋体"/>
                <w:szCs w:val="21"/>
                <w:lang w:eastAsia="zh-CN"/>
              </w:rPr>
              <w:t>（</w:t>
            </w:r>
            <w:r>
              <w:rPr>
                <w:rFonts w:hint="eastAsia" w:ascii="宋体" w:hAnsi="宋体" w:cs="宋体"/>
                <w:szCs w:val="21"/>
                <w:lang w:eastAsia="zh-CN"/>
              </w:rPr>
              <w:t>供应商需提供以上查询结果截图）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ascii="宋体" w:hAnsi="宋体"/>
                <w:szCs w:val="21"/>
              </w:rPr>
            </w:pPr>
            <w:r>
              <w:rPr>
                <w:rFonts w:hint="eastAsia" w:ascii="宋体" w:hAnsi="宋体"/>
                <w:szCs w:val="21"/>
              </w:rPr>
              <w:t>保证金已缴纳证明</w:t>
            </w:r>
          </w:p>
        </w:tc>
        <w:tc>
          <w:tcPr>
            <w:tcW w:w="4602"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szCs w:val="21"/>
              </w:rPr>
            </w:pPr>
            <w:r>
              <w:rPr>
                <w:rFonts w:hint="eastAsia" w:ascii="宋体" w:hAnsi="宋体"/>
                <w:szCs w:val="21"/>
              </w:rPr>
              <w:t>竞争性磋商保证金已缴纳证明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2026" w:type="dxa"/>
            <w:vMerge w:val="restart"/>
            <w:tcBorders>
              <w:top w:val="single" w:color="auto" w:sz="4" w:space="0"/>
              <w:right w:val="single" w:color="auto" w:sz="4" w:space="0"/>
            </w:tcBorders>
            <w:vAlign w:val="center"/>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r>
              <w:rPr>
                <w:rFonts w:hint="eastAsia" w:ascii="宋体" w:hAnsi="宋体"/>
                <w:szCs w:val="21"/>
              </w:rPr>
              <w:t>符合性评审标准</w:t>
            </w:r>
          </w:p>
          <w:p>
            <w:pPr>
              <w:spacing w:line="440" w:lineRule="exact"/>
              <w:rPr>
                <w:rFonts w:ascii="宋体" w:hAnsi="宋体"/>
                <w:szCs w:val="21"/>
              </w:rPr>
            </w:pPr>
          </w:p>
        </w:tc>
        <w:tc>
          <w:tcPr>
            <w:tcW w:w="2372"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竞争性磋商响应文件的份数</w:t>
            </w:r>
          </w:p>
        </w:tc>
        <w:tc>
          <w:tcPr>
            <w:tcW w:w="460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竞争性磋商响应文件正本一份，副本三份, 电子文档(U盘)一份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供应商名称</w:t>
            </w:r>
          </w:p>
        </w:tc>
        <w:tc>
          <w:tcPr>
            <w:tcW w:w="460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供应商签字盖章</w:t>
            </w:r>
          </w:p>
        </w:tc>
        <w:tc>
          <w:tcPr>
            <w:tcW w:w="460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szCs w:val="21"/>
              </w:rPr>
              <w:t>竞争性磋商响应文件格式中要求签字盖章处，有法定代表人或其委托代理人签字（或盖章）并加盖单位章。委托代理人签字（或盖章）的，应附委托书。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026" w:type="dxa"/>
            <w:vMerge w:val="continue"/>
            <w:tcBorders>
              <w:right w:val="single" w:color="auto" w:sz="4" w:space="0"/>
            </w:tcBorders>
            <w:vAlign w:val="center"/>
          </w:tcPr>
          <w:p>
            <w:pPr>
              <w:spacing w:line="440" w:lineRule="exact"/>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w:t>
            </w:r>
            <w:r>
              <w:rPr>
                <w:rFonts w:hint="eastAsia" w:ascii="宋体" w:hAnsi="宋体"/>
                <w:szCs w:val="21"/>
              </w:rPr>
              <w:t>内容</w:t>
            </w:r>
          </w:p>
        </w:tc>
        <w:tc>
          <w:tcPr>
            <w:tcW w:w="4602"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符合</w:t>
            </w:r>
            <w:r>
              <w:rPr>
                <w:rFonts w:hint="eastAsia"/>
                <w:szCs w:val="21"/>
              </w:rPr>
              <w:t>竞争性磋商文件的</w:t>
            </w:r>
            <w:r>
              <w:rPr>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投标有效期</w:t>
            </w:r>
          </w:p>
        </w:tc>
        <w:tc>
          <w:tcPr>
            <w:tcW w:w="4602"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szCs w:val="21"/>
              </w:rPr>
            </w:pPr>
            <w:r>
              <w:rPr>
                <w:rFonts w:hint="eastAsia" w:ascii="宋体" w:hAnsi="宋体"/>
                <w:szCs w:val="21"/>
              </w:rPr>
              <w:t>符合竞争性磋商文件要求(90天)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交货期</w:t>
            </w:r>
          </w:p>
        </w:tc>
        <w:tc>
          <w:tcPr>
            <w:tcW w:w="460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u w:val="single"/>
              </w:rPr>
            </w:pPr>
            <w:r>
              <w:rPr>
                <w:rFonts w:hint="eastAsia" w:ascii="宋体" w:hAnsi="宋体"/>
                <w:szCs w:val="21"/>
              </w:rPr>
              <w:t>合同签订后</w:t>
            </w:r>
            <w:r>
              <w:rPr>
                <w:rFonts w:hint="eastAsia" w:ascii="宋体" w:hAnsi="宋体"/>
                <w:szCs w:val="21"/>
                <w:lang w:val="en-US" w:eastAsia="zh-CN"/>
              </w:rPr>
              <w:t>90日历天</w:t>
            </w:r>
            <w:r>
              <w:rPr>
                <w:rFonts w:hint="eastAsia" w:ascii="宋体" w:hAnsi="宋体"/>
                <w:szCs w:val="21"/>
              </w:rPr>
              <w:t>内完成供货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交货地点</w:t>
            </w:r>
          </w:p>
        </w:tc>
        <w:tc>
          <w:tcPr>
            <w:tcW w:w="460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cs="宋体"/>
                <w:szCs w:val="21"/>
              </w:rPr>
              <w:t>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026" w:type="dxa"/>
            <w:vMerge w:val="continue"/>
            <w:tcBorders>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付款方式：</w:t>
            </w:r>
          </w:p>
        </w:tc>
        <w:tc>
          <w:tcPr>
            <w:tcW w:w="460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ascii="宋体" w:hAnsi="宋体" w:cs="宋体"/>
                <w:szCs w:val="21"/>
              </w:rPr>
              <w:t>标的物到货、安装调试完毕，需方验收合格后，15个工作日内付给供方合同总金额的</w:t>
            </w:r>
            <w:r>
              <w:rPr>
                <w:rFonts w:hint="eastAsia" w:ascii="宋体" w:hAnsi="宋体" w:cs="宋体"/>
                <w:szCs w:val="21"/>
              </w:rPr>
              <w:t>9</w:t>
            </w:r>
            <w:r>
              <w:rPr>
                <w:rFonts w:hint="eastAsia" w:ascii="宋体" w:hAnsi="宋体" w:cs="宋体"/>
                <w:szCs w:val="21"/>
                <w:lang w:val="en-US" w:eastAsia="zh-CN"/>
              </w:rPr>
              <w:t>0</w:t>
            </w:r>
            <w:r>
              <w:rPr>
                <w:rFonts w:ascii="宋体" w:hAnsi="宋体" w:cs="宋体"/>
                <w:szCs w:val="21"/>
              </w:rPr>
              <w:t>％</w:t>
            </w:r>
            <w:r>
              <w:rPr>
                <w:rFonts w:hint="eastAsia" w:ascii="宋体" w:hAnsi="宋体" w:cs="宋体"/>
                <w:szCs w:val="21"/>
              </w:rPr>
              <w:t>，</w:t>
            </w:r>
            <w:r>
              <w:rPr>
                <w:rFonts w:ascii="宋体" w:hAnsi="宋体" w:cs="宋体"/>
                <w:szCs w:val="21"/>
              </w:rPr>
              <w:t>剩余</w:t>
            </w:r>
            <w:r>
              <w:rPr>
                <w:rFonts w:hint="eastAsia" w:ascii="宋体" w:hAnsi="宋体" w:cs="宋体"/>
                <w:szCs w:val="21"/>
                <w:lang w:val="en-US" w:eastAsia="zh-CN"/>
              </w:rPr>
              <w:t>10</w:t>
            </w:r>
            <w:r>
              <w:rPr>
                <w:rFonts w:ascii="宋体" w:hAnsi="宋体" w:cs="宋体"/>
                <w:szCs w:val="21"/>
              </w:rPr>
              <w:t>%作为质量保证金，一年后无任何质量问题后一次性无息支付。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026" w:type="dxa"/>
            <w:vMerge w:val="continue"/>
            <w:tcBorders>
              <w:bottom w:val="single" w:color="auto" w:sz="4" w:space="0"/>
              <w:right w:val="single" w:color="auto" w:sz="4" w:space="0"/>
            </w:tcBorders>
            <w:vAlign w:val="center"/>
          </w:tcPr>
          <w:p>
            <w:pPr>
              <w:spacing w:line="440" w:lineRule="exact"/>
              <w:jc w:val="center"/>
              <w:rPr>
                <w:rFonts w:ascii="宋体" w:hAnsi="宋体"/>
                <w:szCs w:val="21"/>
              </w:rPr>
            </w:pP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履约保证金：</w:t>
            </w:r>
          </w:p>
        </w:tc>
        <w:tc>
          <w:tcPr>
            <w:tcW w:w="460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szCs w:val="21"/>
              </w:rPr>
              <w:t>中标供应商在签订合同前，须以银行汇票、电汇凭据、银行进帐单等形式向需方交纳中标金额</w:t>
            </w:r>
            <w:r>
              <w:rPr>
                <w:rFonts w:hint="eastAsia" w:ascii="宋体" w:hAnsi="宋体"/>
                <w:szCs w:val="21"/>
                <w:lang w:val="en-US" w:eastAsia="zh-CN"/>
              </w:rPr>
              <w:t>10</w:t>
            </w:r>
            <w:r>
              <w:rPr>
                <w:rFonts w:hint="eastAsia" w:ascii="宋体" w:hAnsi="宋体"/>
                <w:szCs w:val="21"/>
              </w:rPr>
              <w:t>%的履约保证金；签订合同后，若中标供应商不按双方签订合同规定履约，则无权要求退回履约保证金。履约保证金不足以赔偿损失的，按实际损失赔偿；合同履约保证金在项目实施验收合格后自动转为质保金，质保金在所供货物按合同要求安装、调试、培训、验收合格正常使用1年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026" w:type="dxa"/>
            <w:tcBorders>
              <w:top w:val="single" w:color="auto" w:sz="4" w:space="0"/>
              <w:right w:val="single" w:color="auto" w:sz="4" w:space="0"/>
            </w:tcBorders>
            <w:vAlign w:val="center"/>
          </w:tcPr>
          <w:p>
            <w:pPr>
              <w:spacing w:line="440" w:lineRule="exact"/>
              <w:jc w:val="center"/>
              <w:rPr>
                <w:rFonts w:ascii="宋体" w:hAnsi="宋体"/>
                <w:szCs w:val="21"/>
              </w:rPr>
            </w:pPr>
            <w:r>
              <w:t>无效标审查</w:t>
            </w:r>
          </w:p>
        </w:tc>
        <w:tc>
          <w:tcPr>
            <w:tcW w:w="23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t>按本项目</w:t>
            </w:r>
            <w:r>
              <w:rPr>
                <w:rFonts w:hint="eastAsia"/>
              </w:rPr>
              <w:t>竞争性磋商</w:t>
            </w:r>
            <w:r>
              <w:t>文件第三章中“无效标审查”无效标条款规定，供应商不存在的情形：</w:t>
            </w:r>
          </w:p>
        </w:tc>
        <w:tc>
          <w:tcPr>
            <w:tcW w:w="4602"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rFonts w:ascii="宋体" w:hAnsi="宋体"/>
                <w:szCs w:val="21"/>
              </w:rPr>
            </w:pPr>
          </w:p>
          <w:p>
            <w:pPr>
              <w:snapToGrid w:val="0"/>
              <w:ind w:firstLine="420" w:firstLineChars="200"/>
              <w:rPr>
                <w:rFonts w:ascii="宋体" w:hAnsi="宋体"/>
                <w:szCs w:val="21"/>
              </w:rPr>
            </w:pPr>
            <w:r>
              <w:rPr>
                <w:rFonts w:hint="eastAsia" w:ascii="宋体" w:hAnsi="宋体"/>
                <w:szCs w:val="21"/>
              </w:rPr>
              <w:t>1）供应商或其制造商与竞争性磋商人有利害关系可能影响竞争性磋商公正性的；</w:t>
            </w:r>
          </w:p>
          <w:p>
            <w:pPr>
              <w:snapToGrid w:val="0"/>
              <w:ind w:firstLine="420" w:firstLineChars="200"/>
              <w:rPr>
                <w:rFonts w:ascii="宋体" w:hAnsi="宋体"/>
                <w:szCs w:val="21"/>
              </w:rPr>
            </w:pPr>
            <w:r>
              <w:rPr>
                <w:rFonts w:hint="eastAsia" w:ascii="宋体" w:hAnsi="宋体"/>
                <w:szCs w:val="21"/>
              </w:rPr>
              <w:t xml:space="preserve">2）供应商参与项目竞争性磋商文件编制的； </w:t>
            </w:r>
          </w:p>
          <w:p>
            <w:pPr>
              <w:snapToGrid w:val="0"/>
              <w:ind w:firstLine="420" w:firstLineChars="200"/>
              <w:rPr>
                <w:rFonts w:ascii="宋体" w:hAnsi="宋体"/>
                <w:szCs w:val="21"/>
              </w:rPr>
            </w:pPr>
            <w:r>
              <w:rPr>
                <w:rFonts w:hint="eastAsia" w:ascii="宋体" w:hAnsi="宋体"/>
                <w:szCs w:val="21"/>
              </w:rPr>
              <w:t>3）不同供应商单位负责人为同一人或者存在控股、管理关系的；</w:t>
            </w:r>
          </w:p>
          <w:p>
            <w:pPr>
              <w:snapToGrid w:val="0"/>
              <w:ind w:firstLine="420" w:firstLineChars="200"/>
              <w:rPr>
                <w:rFonts w:ascii="宋体" w:hAnsi="宋体"/>
                <w:szCs w:val="21"/>
              </w:rPr>
            </w:pPr>
            <w:r>
              <w:rPr>
                <w:rFonts w:hint="eastAsia" w:ascii="宋体" w:hAnsi="宋体"/>
                <w:szCs w:val="21"/>
              </w:rPr>
              <w:t>4）竞争性磋商响应文件未按竞争性磋商文件的要求签署的；</w:t>
            </w:r>
          </w:p>
          <w:p>
            <w:pPr>
              <w:snapToGrid w:val="0"/>
              <w:ind w:firstLine="420" w:firstLineChars="200"/>
              <w:rPr>
                <w:rFonts w:ascii="宋体" w:hAnsi="宋体"/>
                <w:szCs w:val="21"/>
              </w:rPr>
            </w:pPr>
            <w:r>
              <w:rPr>
                <w:rFonts w:hint="eastAsia" w:ascii="宋体" w:hAnsi="宋体"/>
                <w:szCs w:val="21"/>
              </w:rPr>
              <w:t xml:space="preserve">5）供应商的投标书、资格证明材料未提供，或不符合国家规定或者竞争性磋商文件要求的； </w:t>
            </w:r>
          </w:p>
          <w:p>
            <w:pPr>
              <w:snapToGrid w:val="0"/>
              <w:ind w:firstLine="420" w:firstLineChars="200"/>
              <w:rPr>
                <w:rFonts w:ascii="宋体" w:hAnsi="宋体"/>
                <w:szCs w:val="21"/>
              </w:rPr>
            </w:pPr>
            <w:r>
              <w:rPr>
                <w:rFonts w:hint="eastAsia" w:ascii="宋体" w:hAnsi="宋体"/>
                <w:szCs w:val="21"/>
              </w:rPr>
              <w:t>6）同一供应商提交两个以上不同的投标方案或者投标报价的，但竞争性磋商文件要求提交备选方案的除外；</w:t>
            </w:r>
          </w:p>
          <w:p>
            <w:pPr>
              <w:snapToGrid w:val="0"/>
              <w:ind w:firstLine="420" w:firstLineChars="200"/>
              <w:rPr>
                <w:rFonts w:ascii="宋体" w:hAnsi="宋体"/>
                <w:szCs w:val="21"/>
              </w:rPr>
            </w:pPr>
            <w:r>
              <w:rPr>
                <w:rFonts w:hint="eastAsia" w:ascii="宋体" w:hAnsi="宋体"/>
                <w:szCs w:val="21"/>
              </w:rPr>
              <w:t>7）供应商未按竞争性磋商文件要求提交竞争性磋商保证金或保证金金额不足的；</w:t>
            </w:r>
          </w:p>
          <w:p>
            <w:pPr>
              <w:snapToGrid w:val="0"/>
              <w:ind w:firstLine="420" w:firstLineChars="200"/>
              <w:rPr>
                <w:rFonts w:ascii="宋体" w:hAnsi="宋体"/>
                <w:szCs w:val="21"/>
              </w:rPr>
            </w:pPr>
            <w:r>
              <w:rPr>
                <w:rFonts w:hint="eastAsia" w:ascii="宋体" w:hAnsi="宋体"/>
                <w:szCs w:val="21"/>
              </w:rPr>
              <w:t>8）竞争性磋商响应文件不满足竞争性磋商文件重要商务条款要求的；</w:t>
            </w:r>
          </w:p>
          <w:p>
            <w:pPr>
              <w:snapToGrid w:val="0"/>
              <w:ind w:firstLine="420" w:firstLineChars="200"/>
              <w:rPr>
                <w:rFonts w:ascii="宋体" w:hAnsi="宋体"/>
                <w:szCs w:val="21"/>
              </w:rPr>
            </w:pPr>
            <w:r>
              <w:rPr>
                <w:rFonts w:hint="eastAsia" w:ascii="宋体" w:hAnsi="宋体"/>
                <w:szCs w:val="21"/>
              </w:rPr>
              <w:t>9）投标报价高于竞争性磋商文件设定的预算金额的；</w:t>
            </w:r>
          </w:p>
          <w:p>
            <w:pPr>
              <w:snapToGrid w:val="0"/>
              <w:ind w:firstLine="420" w:firstLineChars="200"/>
              <w:rPr>
                <w:rFonts w:ascii="宋体" w:hAnsi="宋体"/>
                <w:szCs w:val="21"/>
              </w:rPr>
            </w:pPr>
            <w:r>
              <w:rPr>
                <w:rFonts w:hint="eastAsia" w:ascii="宋体" w:hAnsi="宋体"/>
                <w:szCs w:val="21"/>
              </w:rPr>
              <w:t>10）投标有效期不足的；</w:t>
            </w:r>
          </w:p>
          <w:p>
            <w:pPr>
              <w:snapToGrid w:val="0"/>
              <w:ind w:firstLine="420" w:firstLineChars="200"/>
              <w:rPr>
                <w:rFonts w:ascii="宋体" w:hAnsi="宋体"/>
                <w:szCs w:val="21"/>
              </w:rPr>
            </w:pPr>
            <w:r>
              <w:rPr>
                <w:rFonts w:hint="eastAsia" w:ascii="宋体" w:hAnsi="宋体"/>
                <w:szCs w:val="21"/>
              </w:rPr>
              <w:t>11）供应商有串通投标、弄虚作假、行贿等违法行为的；</w:t>
            </w:r>
          </w:p>
          <w:p>
            <w:pPr>
              <w:pStyle w:val="19"/>
              <w:ind w:firstLine="420" w:firstLineChars="200"/>
              <w:rPr>
                <w:rFonts w:ascii="宋体" w:hAnsi="宋体"/>
                <w:szCs w:val="21"/>
              </w:rPr>
            </w:pPr>
            <w:r>
              <w:rPr>
                <w:rFonts w:hint="eastAsia" w:ascii="宋体" w:hAnsi="宋体"/>
                <w:szCs w:val="21"/>
              </w:rPr>
              <w:t>12）存在竞争性磋商文件中规定的否决投标的其他商务条款的。</w:t>
            </w:r>
          </w:p>
          <w:p>
            <w:pPr>
              <w:pStyle w:val="19"/>
              <w:ind w:firstLine="420" w:firstLineChars="200"/>
              <w:rPr>
                <w:rFonts w:ascii="宋体" w:hAnsi="宋体"/>
                <w:szCs w:val="21"/>
              </w:rPr>
            </w:pPr>
          </w:p>
        </w:tc>
      </w:tr>
    </w:tbl>
    <w:p>
      <w:pPr>
        <w:pStyle w:val="3"/>
        <w:jc w:val="both"/>
      </w:pPr>
    </w:p>
    <w:p>
      <w:pPr>
        <w:spacing w:line="360" w:lineRule="auto"/>
        <w:rPr>
          <w:rFonts w:ascii="宋体" w:hAnsi="宋体" w:cs="Arial"/>
          <w:kern w:val="0"/>
          <w:szCs w:val="21"/>
        </w:rPr>
      </w:pPr>
      <w:r>
        <w:rPr>
          <w:rFonts w:hint="eastAsia" w:ascii="宋体" w:hAnsi="宋体" w:cs="Arial"/>
          <w:kern w:val="0"/>
          <w:szCs w:val="21"/>
        </w:rPr>
        <w:t>（二） 详细评审</w:t>
      </w:r>
    </w:p>
    <w:p>
      <w:pPr>
        <w:spacing w:line="360" w:lineRule="auto"/>
        <w:ind w:firstLine="420" w:firstLineChars="200"/>
        <w:rPr>
          <w:rFonts w:ascii="宋体" w:hAnsi="宋体" w:cs="Arial"/>
          <w:kern w:val="0"/>
          <w:szCs w:val="21"/>
        </w:rPr>
      </w:pPr>
      <w:r>
        <w:rPr>
          <w:rFonts w:hint="eastAsia" w:ascii="宋体" w:hAnsi="宋体" w:cs="Arial"/>
          <w:kern w:val="0"/>
          <w:szCs w:val="21"/>
        </w:rPr>
        <w:t>磋商小组只对通过初步评审的供应商按项进行评审。</w:t>
      </w:r>
      <w:r>
        <w:rPr>
          <w:rFonts w:hint="eastAsia" w:ascii="宋体" w:hAnsi="宋体"/>
          <w:szCs w:val="21"/>
        </w:rPr>
        <w:t>总分值10</w:t>
      </w:r>
      <w:r>
        <w:rPr>
          <w:rFonts w:hint="eastAsia" w:ascii="宋体" w:hAnsi="宋体"/>
          <w:szCs w:val="21"/>
          <w:lang w:val="en-US" w:eastAsia="zh-CN"/>
        </w:rPr>
        <w:t>0</w:t>
      </w:r>
      <w:r>
        <w:rPr>
          <w:rFonts w:hint="eastAsia" w:ascii="宋体" w:hAnsi="宋体"/>
          <w:szCs w:val="21"/>
        </w:rPr>
        <w:t>分，</w:t>
      </w:r>
      <w:r>
        <w:rPr>
          <w:rFonts w:ascii="宋体" w:hAnsi="宋体"/>
          <w:szCs w:val="21"/>
        </w:rPr>
        <w:t>评分细则及各项评标因素如下：</w:t>
      </w:r>
    </w:p>
    <w:tbl>
      <w:tblPr>
        <w:tblStyle w:val="50"/>
        <w:tblpPr w:leftFromText="180" w:rightFromText="180" w:vertAnchor="text" w:horzAnchor="page" w:tblpX="1535" w:tblpY="419"/>
        <w:tblOverlap w:val="never"/>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6"/>
        <w:gridCol w:w="584"/>
        <w:gridCol w:w="1451"/>
        <w:gridCol w:w="633"/>
        <w:gridCol w:w="6107"/>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gridSpan w:val="3"/>
            <w:vAlign w:val="center"/>
          </w:tcPr>
          <w:p>
            <w:pPr>
              <w:spacing w:line="240" w:lineRule="atLeast"/>
              <w:ind w:firstLine="28"/>
              <w:jc w:val="center"/>
              <w:rPr>
                <w:rFonts w:ascii="方正仿宋_GBK" w:eastAsia="方正仿宋_GBK"/>
                <w:b/>
                <w:szCs w:val="21"/>
              </w:rPr>
            </w:pPr>
            <w:r>
              <w:rPr>
                <w:rFonts w:hint="eastAsia" w:ascii="方正仿宋_GBK" w:eastAsia="方正仿宋_GBK"/>
                <w:b/>
                <w:szCs w:val="21"/>
              </w:rPr>
              <w:t>序号</w:t>
            </w:r>
          </w:p>
        </w:tc>
        <w:tc>
          <w:tcPr>
            <w:tcW w:w="1451" w:type="dxa"/>
            <w:vAlign w:val="center"/>
          </w:tcPr>
          <w:p>
            <w:pPr>
              <w:spacing w:line="240" w:lineRule="atLeast"/>
              <w:ind w:firstLine="28"/>
              <w:jc w:val="center"/>
              <w:rPr>
                <w:rFonts w:ascii="方正仿宋_GBK" w:eastAsia="方正仿宋_GBK"/>
                <w:b/>
                <w:szCs w:val="21"/>
              </w:rPr>
            </w:pPr>
            <w:r>
              <w:rPr>
                <w:rFonts w:hint="eastAsia" w:ascii="方正仿宋_GBK" w:eastAsia="方正仿宋_GBK"/>
                <w:b/>
                <w:szCs w:val="21"/>
              </w:rPr>
              <w:t>评分因素</w:t>
            </w:r>
          </w:p>
          <w:p>
            <w:pPr>
              <w:spacing w:line="240" w:lineRule="atLeast"/>
              <w:ind w:firstLine="28"/>
              <w:jc w:val="center"/>
              <w:rPr>
                <w:rFonts w:ascii="方正仿宋_GBK" w:eastAsia="方正仿宋_GBK"/>
                <w:b/>
                <w:szCs w:val="21"/>
              </w:rPr>
            </w:pPr>
            <w:r>
              <w:rPr>
                <w:rFonts w:hint="eastAsia" w:ascii="方正仿宋_GBK" w:eastAsia="方正仿宋_GBK"/>
                <w:b/>
                <w:szCs w:val="21"/>
              </w:rPr>
              <w:t>及权重</w:t>
            </w:r>
          </w:p>
        </w:tc>
        <w:tc>
          <w:tcPr>
            <w:tcW w:w="633" w:type="dxa"/>
            <w:vAlign w:val="center"/>
          </w:tcPr>
          <w:p>
            <w:pPr>
              <w:spacing w:line="240" w:lineRule="atLeast"/>
              <w:ind w:firstLine="28"/>
              <w:jc w:val="center"/>
              <w:rPr>
                <w:rFonts w:ascii="方正仿宋_GBK" w:eastAsia="方正仿宋_GBK"/>
                <w:b/>
                <w:szCs w:val="21"/>
              </w:rPr>
            </w:pPr>
            <w:r>
              <w:rPr>
                <w:rFonts w:hint="eastAsia" w:ascii="方正仿宋_GBK" w:eastAsia="方正仿宋_GBK"/>
                <w:b/>
                <w:szCs w:val="21"/>
              </w:rPr>
              <w:t>分值</w:t>
            </w:r>
          </w:p>
        </w:tc>
        <w:tc>
          <w:tcPr>
            <w:tcW w:w="6107" w:type="dxa"/>
            <w:vAlign w:val="center"/>
          </w:tcPr>
          <w:p>
            <w:pPr>
              <w:spacing w:line="240" w:lineRule="atLeast"/>
              <w:ind w:firstLine="28"/>
              <w:jc w:val="center"/>
              <w:rPr>
                <w:rFonts w:ascii="方正仿宋_GBK" w:eastAsia="方正仿宋_GBK"/>
                <w:b/>
                <w:szCs w:val="21"/>
              </w:rPr>
            </w:pPr>
            <w:r>
              <w:rPr>
                <w:rFonts w:hint="eastAsia" w:ascii="方正仿宋_GBK" w:eastAsia="方正仿宋_GBK"/>
                <w:b/>
                <w:szCs w:val="21"/>
              </w:rPr>
              <w:t>评分标准</w:t>
            </w:r>
          </w:p>
        </w:tc>
        <w:tc>
          <w:tcPr>
            <w:tcW w:w="392" w:type="dxa"/>
            <w:vAlign w:val="center"/>
          </w:tcPr>
          <w:p>
            <w:pPr>
              <w:pStyle w:val="88"/>
              <w:spacing w:before="0" w:after="0" w:line="240" w:lineRule="atLeast"/>
              <w:rPr>
                <w:rFonts w:ascii="方正仿宋_GBK" w:eastAsia="方正仿宋_GBK"/>
                <w:sz w:val="21"/>
                <w:szCs w:val="21"/>
              </w:rPr>
            </w:pPr>
            <w:r>
              <w:rPr>
                <w:rFonts w:hint="eastAsia" w:ascii="方正仿宋_GBK" w:eastAsia="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Align w:val="center"/>
          </w:tcPr>
          <w:p>
            <w:pPr>
              <w:spacing w:line="240" w:lineRule="atLeast"/>
              <w:jc w:val="center"/>
              <w:rPr>
                <w:rFonts w:ascii="方正仿宋_GBK" w:eastAsia="方正仿宋_GBK"/>
                <w:szCs w:val="21"/>
              </w:rPr>
            </w:pPr>
            <w:r>
              <w:rPr>
                <w:rFonts w:hint="eastAsia" w:ascii="方正仿宋_GBK" w:eastAsia="方正仿宋_GBK"/>
                <w:szCs w:val="21"/>
              </w:rPr>
              <w:t>1</w:t>
            </w:r>
          </w:p>
        </w:tc>
        <w:tc>
          <w:tcPr>
            <w:tcW w:w="590" w:type="dxa"/>
            <w:gridSpan w:val="2"/>
            <w:vAlign w:val="center"/>
          </w:tcPr>
          <w:p>
            <w:pPr>
              <w:spacing w:line="240" w:lineRule="atLeast"/>
              <w:jc w:val="left"/>
              <w:rPr>
                <w:rFonts w:ascii="方正仿宋_GBK" w:eastAsia="方正仿宋_GBK"/>
                <w:szCs w:val="21"/>
              </w:rPr>
            </w:pPr>
            <w:r>
              <w:rPr>
                <w:rFonts w:hint="eastAsia" w:ascii="方正仿宋_GBK" w:eastAsia="方正仿宋_GBK"/>
                <w:szCs w:val="21"/>
              </w:rPr>
              <w:t>价格</w:t>
            </w:r>
          </w:p>
          <w:p>
            <w:pPr>
              <w:spacing w:line="240" w:lineRule="atLeast"/>
              <w:jc w:val="left"/>
              <w:rPr>
                <w:rFonts w:ascii="方正仿宋_GBK" w:eastAsia="方正仿宋_GBK"/>
                <w:szCs w:val="21"/>
              </w:rPr>
            </w:pPr>
            <w:r>
              <w:rPr>
                <w:rFonts w:hint="eastAsia" w:ascii="方正仿宋_GBK" w:eastAsia="方正仿宋_GBK"/>
                <w:szCs w:val="21"/>
              </w:rPr>
              <w:t>30分</w:t>
            </w:r>
          </w:p>
        </w:tc>
        <w:tc>
          <w:tcPr>
            <w:tcW w:w="1451" w:type="dxa"/>
            <w:vAlign w:val="center"/>
          </w:tcPr>
          <w:p>
            <w:pPr>
              <w:spacing w:line="240" w:lineRule="atLeast"/>
              <w:ind w:firstLine="28"/>
              <w:jc w:val="center"/>
              <w:rPr>
                <w:rFonts w:ascii="方正仿宋_GBK" w:eastAsia="方正仿宋_GBK"/>
                <w:szCs w:val="21"/>
              </w:rPr>
            </w:pPr>
            <w:r>
              <w:rPr>
                <w:rFonts w:hint="eastAsia" w:ascii="方正仿宋_GBK" w:eastAsia="方正仿宋_GBK"/>
                <w:szCs w:val="21"/>
              </w:rPr>
              <w:t>投标报价</w:t>
            </w:r>
          </w:p>
          <w:p>
            <w:pPr>
              <w:spacing w:line="240" w:lineRule="atLeast"/>
              <w:ind w:firstLine="28"/>
              <w:jc w:val="center"/>
              <w:rPr>
                <w:rFonts w:ascii="方正仿宋_GBK" w:eastAsia="方正仿宋_GBK"/>
                <w:szCs w:val="21"/>
              </w:rPr>
            </w:pPr>
            <w:r>
              <w:rPr>
                <w:rFonts w:hint="eastAsia" w:ascii="方正仿宋_GBK" w:eastAsia="方正仿宋_GBK"/>
                <w:szCs w:val="21"/>
              </w:rPr>
              <w:t>（30分）</w:t>
            </w:r>
          </w:p>
          <w:p>
            <w:pPr>
              <w:spacing w:line="240" w:lineRule="atLeast"/>
              <w:ind w:firstLine="28"/>
              <w:jc w:val="center"/>
              <w:rPr>
                <w:rFonts w:ascii="方正仿宋_GBK" w:eastAsia="方正仿宋_GBK"/>
                <w:szCs w:val="21"/>
              </w:rPr>
            </w:pPr>
          </w:p>
        </w:tc>
        <w:tc>
          <w:tcPr>
            <w:tcW w:w="633" w:type="dxa"/>
            <w:vAlign w:val="center"/>
          </w:tcPr>
          <w:p>
            <w:pPr>
              <w:spacing w:line="240" w:lineRule="atLeast"/>
              <w:ind w:firstLine="28"/>
              <w:jc w:val="center"/>
              <w:rPr>
                <w:rFonts w:ascii="方正仿宋_GBK" w:eastAsia="方正仿宋_GBK"/>
                <w:szCs w:val="21"/>
              </w:rPr>
            </w:pPr>
            <w:r>
              <w:rPr>
                <w:rFonts w:hint="eastAsia" w:ascii="方正仿宋_GBK" w:eastAsia="方正仿宋_GBK"/>
                <w:szCs w:val="21"/>
              </w:rPr>
              <w:t>30分</w:t>
            </w:r>
          </w:p>
        </w:tc>
        <w:tc>
          <w:tcPr>
            <w:tcW w:w="6107" w:type="dxa"/>
            <w:vAlign w:val="center"/>
          </w:tcPr>
          <w:p>
            <w:pPr>
              <w:pStyle w:val="3"/>
              <w:numPr>
                <w:ilvl w:val="0"/>
                <w:numId w:val="4"/>
              </w:numPr>
              <w:jc w:val="left"/>
              <w:rPr>
                <w:rFonts w:ascii="宋体" w:hAnsi="宋体" w:cs="宋体"/>
                <w:sz w:val="24"/>
                <w:szCs w:val="24"/>
              </w:rPr>
            </w:pPr>
            <w:r>
              <w:rPr>
                <w:rFonts w:hint="eastAsia" w:ascii="宋体" w:hAnsi="宋体" w:cs="宋体"/>
                <w:sz w:val="24"/>
                <w:szCs w:val="24"/>
              </w:rPr>
              <w:t>投标报价得分＝（评标基准价/投标报价）×价格权重×100。</w:t>
            </w:r>
          </w:p>
          <w:p>
            <w:pPr>
              <w:pStyle w:val="3"/>
              <w:numPr>
                <w:ilvl w:val="0"/>
                <w:numId w:val="4"/>
              </w:numPr>
              <w:jc w:val="left"/>
              <w:rPr>
                <w:rFonts w:ascii="宋体" w:hAnsi="宋体" w:cs="宋体"/>
                <w:sz w:val="24"/>
                <w:szCs w:val="24"/>
              </w:rPr>
            </w:pPr>
            <w:r>
              <w:rPr>
                <w:rFonts w:hint="eastAsia" w:ascii="宋体" w:hAnsi="宋体" w:cs="宋体"/>
                <w:sz w:val="24"/>
                <w:szCs w:val="24"/>
              </w:rPr>
              <w:t>根据《政府采购促进中小企业发展暂行办法》（财库[2011]181号）的规定，对小型和微型企业生产的产品价格给予6%的价格扣除，用扣除后的价格参与评审。</w:t>
            </w:r>
          </w:p>
          <w:p>
            <w:pPr>
              <w:pStyle w:val="3"/>
              <w:numPr>
                <w:ilvl w:val="0"/>
                <w:numId w:val="4"/>
              </w:numPr>
              <w:jc w:val="left"/>
              <w:rPr>
                <w:rFonts w:ascii="宋体" w:hAnsi="宋体" w:cs="宋体"/>
                <w:sz w:val="24"/>
                <w:szCs w:val="24"/>
              </w:rPr>
            </w:pPr>
            <w:r>
              <w:rPr>
                <w:rFonts w:hint="eastAsia" w:ascii="宋体" w:hAnsi="宋体" w:cs="宋体"/>
                <w:sz w:val="24"/>
                <w:szCs w:val="24"/>
              </w:rPr>
              <w:t>取所有有效投标价格的最低报价为基准价。</w:t>
            </w:r>
          </w:p>
          <w:p>
            <w:pPr>
              <w:pStyle w:val="3"/>
              <w:numPr>
                <w:ilvl w:val="0"/>
                <w:numId w:val="4"/>
              </w:numPr>
              <w:jc w:val="left"/>
              <w:rPr>
                <w:rFonts w:ascii="方正仿宋_GBK" w:eastAsia="方正仿宋_GBK"/>
                <w:szCs w:val="21"/>
              </w:rPr>
            </w:pPr>
            <w:r>
              <w:rPr>
                <w:rFonts w:hint="eastAsia" w:ascii="宋体" w:hAnsi="宋体" w:cs="宋体"/>
                <w:sz w:val="24"/>
                <w:szCs w:val="24"/>
              </w:rPr>
              <w:t>参加政府采购活动的小微企业生产的产品，须提供制造商的《中小企业声明函》和有资质第三方出具的证明制造商属于中小企业的相应证明材料，经磋商小组认可后予以价格扣除。</w:t>
            </w:r>
          </w:p>
        </w:tc>
        <w:tc>
          <w:tcPr>
            <w:tcW w:w="392" w:type="dxa"/>
            <w:vAlign w:val="center"/>
          </w:tcPr>
          <w:p>
            <w:pPr>
              <w:spacing w:line="240" w:lineRule="atLeast"/>
              <w:ind w:left="-38"/>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394" w:type="dxa"/>
            <w:gridSpan w:val="2"/>
            <w:vMerge w:val="restart"/>
            <w:vAlign w:val="center"/>
          </w:tcPr>
          <w:p>
            <w:pPr>
              <w:spacing w:line="240" w:lineRule="atLeast"/>
              <w:ind w:firstLine="28"/>
              <w:jc w:val="left"/>
              <w:rPr>
                <w:rFonts w:ascii="方正仿宋_GBK" w:eastAsia="方正仿宋_GBK"/>
                <w:szCs w:val="21"/>
              </w:rPr>
            </w:pPr>
            <w:r>
              <w:rPr>
                <w:rFonts w:hint="eastAsia" w:ascii="方正仿宋_GBK" w:eastAsia="方正仿宋_GBK"/>
                <w:szCs w:val="21"/>
              </w:rPr>
              <w:t>2</w:t>
            </w:r>
          </w:p>
        </w:tc>
        <w:tc>
          <w:tcPr>
            <w:tcW w:w="584" w:type="dxa"/>
            <w:vMerge w:val="restart"/>
            <w:vAlign w:val="center"/>
          </w:tcPr>
          <w:p>
            <w:pPr>
              <w:spacing w:line="240" w:lineRule="atLeast"/>
              <w:ind w:firstLine="28"/>
              <w:jc w:val="left"/>
              <w:rPr>
                <w:rFonts w:ascii="方正仿宋_GBK" w:eastAsia="方正仿宋_GBK"/>
                <w:szCs w:val="21"/>
              </w:rPr>
            </w:pPr>
            <w:r>
              <w:rPr>
                <w:rFonts w:hint="eastAsia" w:ascii="方正仿宋_GBK" w:eastAsia="方正仿宋_GBK"/>
                <w:szCs w:val="21"/>
              </w:rPr>
              <w:t>技术部分</w:t>
            </w:r>
          </w:p>
          <w:p>
            <w:pPr>
              <w:spacing w:line="240" w:lineRule="atLeast"/>
              <w:ind w:firstLine="28"/>
              <w:jc w:val="left"/>
              <w:rPr>
                <w:rFonts w:ascii="方正仿宋_GBK" w:eastAsia="方正仿宋_GBK"/>
                <w:szCs w:val="21"/>
              </w:rPr>
            </w:pPr>
            <w:r>
              <w:rPr>
                <w:rFonts w:hint="eastAsia" w:ascii="方正仿宋_GBK" w:eastAsia="方正仿宋_GBK"/>
                <w:szCs w:val="21"/>
                <w:lang w:val="en-US" w:eastAsia="zh-CN"/>
              </w:rPr>
              <w:t>30</w:t>
            </w:r>
            <w:r>
              <w:rPr>
                <w:rFonts w:hint="eastAsia" w:ascii="方正仿宋_GBK" w:eastAsia="方正仿宋_GBK"/>
                <w:szCs w:val="21"/>
              </w:rPr>
              <w:t>分</w:t>
            </w:r>
          </w:p>
        </w:tc>
        <w:tc>
          <w:tcPr>
            <w:tcW w:w="1451" w:type="dxa"/>
            <w:vMerge w:val="restart"/>
            <w:vAlign w:val="center"/>
          </w:tcPr>
          <w:p>
            <w:pPr>
              <w:spacing w:line="240" w:lineRule="atLeast"/>
              <w:ind w:firstLine="28"/>
              <w:jc w:val="center"/>
              <w:rPr>
                <w:rFonts w:ascii="方正仿宋_GBK" w:eastAsia="方正仿宋_GBK"/>
                <w:szCs w:val="21"/>
              </w:rPr>
            </w:pPr>
            <w:r>
              <w:rPr>
                <w:rFonts w:hint="eastAsia" w:ascii="方正仿宋_GBK" w:eastAsia="方正仿宋_GBK"/>
                <w:szCs w:val="21"/>
              </w:rPr>
              <w:t>技术响应</w:t>
            </w:r>
          </w:p>
          <w:p>
            <w:pPr>
              <w:spacing w:line="240" w:lineRule="atLeast"/>
              <w:ind w:firstLine="28"/>
              <w:jc w:val="center"/>
              <w:rPr>
                <w:rFonts w:hint="eastAsia" w:ascii="方正仿宋_GBK" w:eastAsia="方正仿宋_GBK"/>
                <w:szCs w:val="21"/>
              </w:rPr>
            </w:pPr>
            <w:r>
              <w:rPr>
                <w:rFonts w:hint="eastAsia" w:ascii="方正仿宋_GBK" w:eastAsia="方正仿宋_GBK"/>
                <w:szCs w:val="21"/>
              </w:rPr>
              <w:t>（</w:t>
            </w:r>
            <w:r>
              <w:rPr>
                <w:rFonts w:hint="eastAsia" w:ascii="方正仿宋_GBK" w:eastAsia="方正仿宋_GBK"/>
                <w:szCs w:val="21"/>
                <w:lang w:val="en-US" w:eastAsia="zh-CN"/>
              </w:rPr>
              <w:t>30</w:t>
            </w:r>
            <w:r>
              <w:rPr>
                <w:rFonts w:hint="eastAsia" w:ascii="方正仿宋_GBK" w:eastAsia="方正仿宋_GBK"/>
                <w:szCs w:val="21"/>
              </w:rPr>
              <w:t>分）</w:t>
            </w:r>
          </w:p>
          <w:p>
            <w:pPr>
              <w:spacing w:line="240" w:lineRule="atLeast"/>
              <w:ind w:firstLine="28"/>
              <w:jc w:val="center"/>
              <w:rPr>
                <w:rFonts w:ascii="方正仿宋_GBK" w:eastAsia="方正仿宋_GBK"/>
                <w:szCs w:val="21"/>
              </w:rPr>
            </w:pPr>
          </w:p>
        </w:tc>
        <w:tc>
          <w:tcPr>
            <w:tcW w:w="633" w:type="dxa"/>
            <w:vAlign w:val="center"/>
          </w:tcPr>
          <w:p>
            <w:pPr>
              <w:spacing w:line="240" w:lineRule="atLeast"/>
              <w:ind w:firstLine="28"/>
              <w:jc w:val="center"/>
              <w:rPr>
                <w:rFonts w:hint="eastAsia" w:ascii="方正仿宋_GBK" w:eastAsia="方正仿宋_GBK"/>
                <w:szCs w:val="21"/>
              </w:rPr>
            </w:pPr>
            <w:r>
              <w:rPr>
                <w:rFonts w:hint="eastAsia" w:ascii="方正仿宋_GBK" w:eastAsia="方正仿宋_GBK"/>
                <w:szCs w:val="21"/>
                <w:lang w:val="en-US" w:eastAsia="zh-CN"/>
              </w:rPr>
              <w:t>6</w:t>
            </w:r>
            <w:r>
              <w:rPr>
                <w:rFonts w:hint="eastAsia" w:ascii="方正仿宋_GBK" w:eastAsia="方正仿宋_GBK"/>
                <w:szCs w:val="21"/>
              </w:rPr>
              <w:t>分</w:t>
            </w:r>
          </w:p>
          <w:p>
            <w:pPr>
              <w:spacing w:line="240" w:lineRule="atLeast"/>
              <w:ind w:firstLine="28"/>
              <w:jc w:val="center"/>
              <w:rPr>
                <w:rFonts w:ascii="方正仿宋_GBK" w:eastAsia="方正仿宋_GBK"/>
                <w:szCs w:val="21"/>
              </w:rPr>
            </w:pPr>
          </w:p>
        </w:tc>
        <w:tc>
          <w:tcPr>
            <w:tcW w:w="6107" w:type="dxa"/>
            <w:vAlign w:val="top"/>
          </w:tcPr>
          <w:p>
            <w:pPr>
              <w:spacing w:line="240" w:lineRule="auto"/>
              <w:ind w:firstLine="480"/>
              <w:rPr>
                <w:rFonts w:asciiTheme="majorEastAsia" w:hAnsiTheme="majorEastAsia" w:eastAsiaTheme="majorEastAsia" w:cstheme="majorEastAsia"/>
                <w:snapToGrid w:val="0"/>
                <w:color w:val="auto"/>
                <w:kern w:val="0"/>
              </w:rPr>
            </w:pPr>
            <w:r>
              <w:rPr>
                <w:rFonts w:hint="eastAsia" w:asciiTheme="majorEastAsia" w:hAnsiTheme="majorEastAsia" w:eastAsiaTheme="majorEastAsia" w:cstheme="majorEastAsia"/>
                <w:snapToGrid w:val="0"/>
                <w:color w:val="auto"/>
                <w:kern w:val="0"/>
              </w:rPr>
              <w:t>投标人按照投标文件递交的逆序，进入</w:t>
            </w:r>
            <w:r>
              <w:rPr>
                <w:rFonts w:hint="eastAsia" w:asciiTheme="majorEastAsia" w:hAnsiTheme="majorEastAsia" w:eastAsiaTheme="majorEastAsia" w:cstheme="majorEastAsia"/>
                <w:snapToGrid w:val="0"/>
                <w:color w:val="auto"/>
                <w:kern w:val="0"/>
                <w:lang w:eastAsia="zh-CN"/>
              </w:rPr>
              <w:t>谈判室现场谈判</w:t>
            </w:r>
            <w:r>
              <w:rPr>
                <w:rFonts w:hint="eastAsia" w:asciiTheme="majorEastAsia" w:hAnsiTheme="majorEastAsia" w:eastAsiaTheme="majorEastAsia" w:cstheme="majorEastAsia"/>
                <w:snapToGrid w:val="0"/>
                <w:color w:val="auto"/>
                <w:kern w:val="0"/>
              </w:rPr>
              <w:t>（时间20分钟）。</w:t>
            </w:r>
          </w:p>
          <w:p>
            <w:pPr>
              <w:pStyle w:val="305"/>
              <w:spacing w:before="15" w:line="240" w:lineRule="auto"/>
              <w:ind w:left="111" w:leftChars="0" w:right="97" w:rightChars="0"/>
              <w:rPr>
                <w:rFonts w:hint="default" w:ascii="Times New Roman" w:hAnsi="Times New Roman" w:eastAsia="宋体"/>
                <w:lang w:val="en-US" w:eastAsia="zh-CN"/>
              </w:rPr>
            </w:pPr>
            <w:r>
              <w:rPr>
                <w:rFonts w:hint="eastAsia" w:asciiTheme="majorEastAsia" w:hAnsiTheme="majorEastAsia" w:eastAsiaTheme="majorEastAsia" w:cstheme="majorEastAsia"/>
                <w:snapToGrid w:val="0"/>
                <w:color w:val="auto"/>
                <w:kern w:val="0"/>
                <w:lang w:eastAsia="zh-CN"/>
              </w:rPr>
              <w:t>谈判</w:t>
            </w:r>
            <w:r>
              <w:rPr>
                <w:rFonts w:hint="eastAsia" w:asciiTheme="majorEastAsia" w:hAnsiTheme="majorEastAsia" w:eastAsiaTheme="majorEastAsia" w:cstheme="majorEastAsia"/>
                <w:snapToGrid w:val="0"/>
                <w:color w:val="auto"/>
                <w:kern w:val="0"/>
              </w:rPr>
              <w:t>小组根据各投标人陈述并结合根据投标人对本项目的认识和了解并对生产组织能力、全部满足或优于技术参数等进行评分；</w:t>
            </w:r>
            <w:r>
              <w:rPr>
                <w:rFonts w:hint="eastAsia" w:asciiTheme="majorEastAsia" w:hAnsiTheme="majorEastAsia" w:eastAsiaTheme="majorEastAsia" w:cstheme="majorEastAsia"/>
                <w:color w:val="auto"/>
              </w:rPr>
              <w:t>优</w:t>
            </w:r>
            <w:r>
              <w:rPr>
                <w:rFonts w:hint="eastAsia" w:asciiTheme="majorEastAsia" w:hAnsiTheme="majorEastAsia" w:eastAsiaTheme="majorEastAsia" w:cstheme="majorEastAsia"/>
                <w:color w:val="auto"/>
                <w:lang w:val="en-US" w:eastAsia="zh-CN"/>
              </w:rPr>
              <w:t>6</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val="en-US" w:eastAsia="zh-CN"/>
              </w:rPr>
              <w:t>5</w:t>
            </w:r>
            <w:r>
              <w:rPr>
                <w:rFonts w:hint="eastAsia" w:asciiTheme="majorEastAsia" w:hAnsiTheme="majorEastAsia" w:eastAsiaTheme="majorEastAsia" w:cstheme="majorEastAsia"/>
                <w:color w:val="auto"/>
              </w:rPr>
              <w:t>分；良</w:t>
            </w:r>
            <w:r>
              <w:rPr>
                <w:rFonts w:hint="eastAsia" w:asciiTheme="majorEastAsia" w:hAnsiTheme="majorEastAsia" w:eastAsiaTheme="majorEastAsia" w:cstheme="majorEastAsia"/>
                <w:color w:val="auto"/>
                <w:lang w:val="en-US" w:eastAsia="zh-CN"/>
              </w:rPr>
              <w:t>5</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val="en-US" w:eastAsia="zh-CN"/>
              </w:rPr>
              <w:t>2</w:t>
            </w:r>
            <w:r>
              <w:rPr>
                <w:rFonts w:hint="eastAsia" w:asciiTheme="majorEastAsia" w:hAnsiTheme="majorEastAsia" w:eastAsiaTheme="majorEastAsia" w:cstheme="majorEastAsia"/>
                <w:color w:val="auto"/>
              </w:rPr>
              <w:t>分；一般</w:t>
            </w:r>
            <w:r>
              <w:rPr>
                <w:rFonts w:hint="eastAsia" w:asciiTheme="majorEastAsia" w:hAnsiTheme="majorEastAsia" w:eastAsiaTheme="majorEastAsia" w:cstheme="majorEastAsia"/>
                <w:color w:val="auto"/>
                <w:lang w:val="en-US" w:eastAsia="zh-CN"/>
              </w:rPr>
              <w:t>2</w:t>
            </w:r>
            <w:r>
              <w:rPr>
                <w:rFonts w:hint="eastAsia" w:asciiTheme="majorEastAsia" w:hAnsiTheme="majorEastAsia" w:eastAsiaTheme="majorEastAsia" w:cstheme="majorEastAsia"/>
                <w:color w:val="auto"/>
              </w:rPr>
              <w:t>-1分；差1～0分</w:t>
            </w:r>
          </w:p>
        </w:tc>
        <w:tc>
          <w:tcPr>
            <w:tcW w:w="392" w:type="dxa"/>
            <w:vMerge w:val="restart"/>
            <w:vAlign w:val="center"/>
          </w:tcPr>
          <w:p>
            <w:pPr>
              <w:spacing w:line="240" w:lineRule="atLeas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394" w:type="dxa"/>
            <w:gridSpan w:val="2"/>
            <w:vMerge w:val="continue"/>
            <w:vAlign w:val="center"/>
          </w:tcPr>
          <w:p>
            <w:pPr>
              <w:spacing w:line="240" w:lineRule="atLeast"/>
              <w:jc w:val="left"/>
            </w:pPr>
          </w:p>
        </w:tc>
        <w:tc>
          <w:tcPr>
            <w:tcW w:w="584" w:type="dxa"/>
            <w:vMerge w:val="continue"/>
            <w:vAlign w:val="center"/>
          </w:tcPr>
          <w:p>
            <w:pPr>
              <w:spacing w:line="240" w:lineRule="atLeast"/>
              <w:jc w:val="left"/>
            </w:pPr>
          </w:p>
        </w:tc>
        <w:tc>
          <w:tcPr>
            <w:tcW w:w="1451" w:type="dxa"/>
            <w:vMerge w:val="continue"/>
            <w:vAlign w:val="center"/>
          </w:tcPr>
          <w:p>
            <w:pPr>
              <w:spacing w:line="240" w:lineRule="atLeast"/>
              <w:ind w:firstLine="28"/>
              <w:jc w:val="center"/>
              <w:rPr>
                <w:rFonts w:ascii="方正仿宋_GBK" w:eastAsia="方正仿宋_GBK"/>
                <w:szCs w:val="21"/>
              </w:rPr>
            </w:pPr>
          </w:p>
        </w:tc>
        <w:tc>
          <w:tcPr>
            <w:tcW w:w="633" w:type="dxa"/>
            <w:vAlign w:val="center"/>
          </w:tcPr>
          <w:p>
            <w:pPr>
              <w:spacing w:line="240" w:lineRule="atLeast"/>
              <w:ind w:firstLine="28"/>
              <w:jc w:val="center"/>
              <w:rPr>
                <w:rFonts w:hint="eastAsia" w:ascii="方正仿宋_GBK" w:eastAsia="方正仿宋_GBK"/>
                <w:szCs w:val="21"/>
                <w:lang w:val="en-US" w:eastAsia="zh-CN"/>
              </w:rPr>
            </w:pPr>
            <w:r>
              <w:rPr>
                <w:rFonts w:hint="eastAsia" w:ascii="方正仿宋_GBK" w:eastAsia="方正仿宋_GBK"/>
                <w:szCs w:val="21"/>
                <w:lang w:val="en-US" w:eastAsia="zh-CN"/>
              </w:rPr>
              <w:t>4分</w:t>
            </w:r>
          </w:p>
        </w:tc>
        <w:tc>
          <w:tcPr>
            <w:tcW w:w="6107" w:type="dxa"/>
            <w:vAlign w:val="top"/>
          </w:tcPr>
          <w:p>
            <w:pPr>
              <w:pStyle w:val="305"/>
              <w:spacing w:before="15" w:line="240" w:lineRule="auto"/>
              <w:ind w:left="111" w:leftChars="0" w:right="97" w:rightChars="0"/>
              <w:rPr>
                <w:rFonts w:ascii="Times New Roman" w:hAnsi="Times New Roman"/>
              </w:rPr>
            </w:pPr>
            <w:r>
              <w:rPr>
                <w:rFonts w:hint="eastAsia" w:asciiTheme="majorEastAsia" w:hAnsiTheme="majorEastAsia" w:eastAsiaTheme="majorEastAsia" w:cstheme="majorEastAsia"/>
                <w:color w:val="auto"/>
              </w:rPr>
              <w:t>施工工程难点分析及处理、专项施工方案的运用优</w:t>
            </w:r>
            <w:r>
              <w:rPr>
                <w:rFonts w:hint="eastAsia" w:asciiTheme="majorEastAsia" w:hAnsiTheme="majorEastAsia" w:eastAsiaTheme="majorEastAsia" w:cstheme="majorEastAsia"/>
                <w:color w:val="auto"/>
                <w:lang w:val="en-US" w:eastAsia="zh-CN"/>
              </w:rPr>
              <w:t>4</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分；良</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-2分；一般2-1分；差1～0分</w:t>
            </w:r>
          </w:p>
        </w:tc>
        <w:tc>
          <w:tcPr>
            <w:tcW w:w="392" w:type="dxa"/>
            <w:vMerge w:val="continue"/>
            <w:vAlign w:val="center"/>
          </w:tcPr>
          <w:p>
            <w:pPr>
              <w:spacing w:line="240" w:lineRule="atLeast"/>
              <w:ind w:left="-38"/>
              <w:rPr>
                <w:rFonts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394" w:type="dxa"/>
            <w:gridSpan w:val="2"/>
            <w:vMerge w:val="continue"/>
            <w:vAlign w:val="center"/>
          </w:tcPr>
          <w:p>
            <w:pPr>
              <w:spacing w:line="240" w:lineRule="atLeast"/>
              <w:jc w:val="left"/>
            </w:pPr>
          </w:p>
        </w:tc>
        <w:tc>
          <w:tcPr>
            <w:tcW w:w="584" w:type="dxa"/>
            <w:vMerge w:val="continue"/>
            <w:vAlign w:val="center"/>
          </w:tcPr>
          <w:p>
            <w:pPr>
              <w:spacing w:line="240" w:lineRule="atLeast"/>
              <w:jc w:val="left"/>
            </w:pPr>
          </w:p>
        </w:tc>
        <w:tc>
          <w:tcPr>
            <w:tcW w:w="1451" w:type="dxa"/>
            <w:vMerge w:val="continue"/>
            <w:vAlign w:val="center"/>
          </w:tcPr>
          <w:p>
            <w:pPr>
              <w:spacing w:line="240" w:lineRule="atLeast"/>
              <w:ind w:firstLine="28"/>
              <w:jc w:val="center"/>
              <w:rPr>
                <w:rFonts w:ascii="方正仿宋_GBK" w:eastAsia="方正仿宋_GBK"/>
                <w:szCs w:val="21"/>
              </w:rPr>
            </w:pPr>
          </w:p>
        </w:tc>
        <w:tc>
          <w:tcPr>
            <w:tcW w:w="633" w:type="dxa"/>
            <w:vAlign w:val="center"/>
          </w:tcPr>
          <w:p>
            <w:pPr>
              <w:spacing w:line="240" w:lineRule="atLeast"/>
              <w:ind w:firstLine="28" w:firstLineChars="0"/>
              <w:jc w:val="center"/>
              <w:rPr>
                <w:rFonts w:hint="eastAsia" w:ascii="方正仿宋_GBK" w:hAnsi="Times New Roman" w:eastAsia="方正仿宋_GBK" w:cs="Times New Roman"/>
                <w:kern w:val="2"/>
                <w:sz w:val="21"/>
                <w:szCs w:val="21"/>
                <w:lang w:val="en-US" w:eastAsia="zh-CN" w:bidi="ar-SA"/>
              </w:rPr>
            </w:pPr>
            <w:r>
              <w:rPr>
                <w:rFonts w:hint="eastAsia" w:ascii="方正仿宋_GBK" w:eastAsia="方正仿宋_GBK"/>
                <w:szCs w:val="21"/>
                <w:lang w:val="en-US" w:eastAsia="zh-CN"/>
              </w:rPr>
              <w:t>4分</w:t>
            </w:r>
          </w:p>
        </w:tc>
        <w:tc>
          <w:tcPr>
            <w:tcW w:w="6107" w:type="dxa"/>
            <w:vAlign w:val="top"/>
          </w:tcPr>
          <w:p>
            <w:pPr>
              <w:pStyle w:val="305"/>
              <w:spacing w:before="15" w:line="240" w:lineRule="auto"/>
              <w:ind w:left="111" w:leftChars="0" w:right="97" w:rightChars="0"/>
              <w:rPr>
                <w:rFonts w:hint="eastAsia" w:ascii="宋体" w:hAnsi="宋体" w:cs="宋体"/>
                <w:kern w:val="0"/>
                <w:sz w:val="24"/>
                <w:szCs w:val="24"/>
                <w:lang w:val="en-US" w:eastAsia="zh-CN" w:bidi="ar-SA"/>
              </w:rPr>
            </w:pPr>
            <w:r>
              <w:rPr>
                <w:rFonts w:hint="eastAsia" w:asciiTheme="majorEastAsia" w:hAnsiTheme="majorEastAsia" w:eastAsiaTheme="majorEastAsia" w:cstheme="majorEastAsia"/>
                <w:color w:val="auto"/>
              </w:rPr>
              <w:t>施工过程中质量控制、检验措施、质量保证措施、自检计划、措施等优</w:t>
            </w:r>
            <w:r>
              <w:rPr>
                <w:rFonts w:hint="eastAsia" w:asciiTheme="majorEastAsia" w:hAnsiTheme="majorEastAsia" w:eastAsiaTheme="majorEastAsia" w:cstheme="majorEastAsia"/>
                <w:color w:val="auto"/>
                <w:lang w:val="en-US" w:eastAsia="zh-CN"/>
              </w:rPr>
              <w:t>4</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分；良</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-2分；一般2-1分；差1～0分</w:t>
            </w:r>
          </w:p>
        </w:tc>
        <w:tc>
          <w:tcPr>
            <w:tcW w:w="392" w:type="dxa"/>
            <w:vAlign w:val="center"/>
          </w:tcPr>
          <w:p>
            <w:pPr>
              <w:spacing w:line="240" w:lineRule="atLeast"/>
              <w:ind w:left="-38"/>
              <w:rPr>
                <w:rFonts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394" w:type="dxa"/>
            <w:gridSpan w:val="2"/>
            <w:vMerge w:val="continue"/>
            <w:vAlign w:val="center"/>
          </w:tcPr>
          <w:p>
            <w:pPr>
              <w:spacing w:line="240" w:lineRule="atLeast"/>
              <w:jc w:val="left"/>
            </w:pPr>
          </w:p>
        </w:tc>
        <w:tc>
          <w:tcPr>
            <w:tcW w:w="584" w:type="dxa"/>
            <w:vMerge w:val="continue"/>
            <w:vAlign w:val="center"/>
          </w:tcPr>
          <w:p>
            <w:pPr>
              <w:spacing w:line="240" w:lineRule="atLeast"/>
              <w:jc w:val="left"/>
            </w:pPr>
          </w:p>
        </w:tc>
        <w:tc>
          <w:tcPr>
            <w:tcW w:w="1451" w:type="dxa"/>
            <w:vMerge w:val="continue"/>
            <w:vAlign w:val="center"/>
          </w:tcPr>
          <w:p>
            <w:pPr>
              <w:spacing w:line="240" w:lineRule="atLeast"/>
              <w:ind w:firstLine="28"/>
              <w:jc w:val="center"/>
              <w:rPr>
                <w:rFonts w:ascii="方正仿宋_GBK" w:eastAsia="方正仿宋_GBK"/>
                <w:szCs w:val="21"/>
              </w:rPr>
            </w:pPr>
          </w:p>
        </w:tc>
        <w:tc>
          <w:tcPr>
            <w:tcW w:w="633" w:type="dxa"/>
            <w:vAlign w:val="center"/>
          </w:tcPr>
          <w:p>
            <w:pPr>
              <w:spacing w:line="240" w:lineRule="atLeast"/>
              <w:ind w:firstLine="28" w:firstLineChars="0"/>
              <w:jc w:val="center"/>
              <w:rPr>
                <w:rFonts w:hint="eastAsia" w:ascii="方正仿宋_GBK" w:hAnsi="Times New Roman" w:eastAsia="方正仿宋_GBK" w:cs="Times New Roman"/>
                <w:kern w:val="2"/>
                <w:sz w:val="21"/>
                <w:szCs w:val="21"/>
                <w:lang w:val="en-US" w:eastAsia="zh-CN" w:bidi="ar-SA"/>
              </w:rPr>
            </w:pPr>
            <w:r>
              <w:rPr>
                <w:rFonts w:hint="eastAsia" w:ascii="方正仿宋_GBK" w:eastAsia="方正仿宋_GBK"/>
                <w:szCs w:val="21"/>
                <w:lang w:val="en-US" w:eastAsia="zh-CN"/>
              </w:rPr>
              <w:t>4分</w:t>
            </w:r>
          </w:p>
        </w:tc>
        <w:tc>
          <w:tcPr>
            <w:tcW w:w="6107" w:type="dxa"/>
            <w:vAlign w:val="top"/>
          </w:tcPr>
          <w:p>
            <w:pPr>
              <w:pStyle w:val="305"/>
              <w:spacing w:before="15" w:line="240" w:lineRule="auto"/>
              <w:ind w:left="111" w:leftChars="0" w:right="97" w:rightChars="0"/>
              <w:rPr>
                <w:rFonts w:hint="eastAsia" w:ascii="宋体" w:hAnsi="宋体" w:cs="宋体"/>
                <w:kern w:val="0"/>
                <w:sz w:val="24"/>
                <w:szCs w:val="24"/>
                <w:lang w:val="en-US" w:eastAsia="zh-CN" w:bidi="ar-SA"/>
              </w:rPr>
            </w:pPr>
            <w:r>
              <w:rPr>
                <w:rFonts w:hint="eastAsia" w:asciiTheme="majorEastAsia" w:hAnsiTheme="majorEastAsia" w:eastAsiaTheme="majorEastAsia" w:cstheme="majorEastAsia"/>
                <w:color w:val="auto"/>
              </w:rPr>
              <w:t>安全措施保障计划、保障施工安全管理机构设置、安全预案的可靠性优</w:t>
            </w:r>
            <w:r>
              <w:rPr>
                <w:rFonts w:hint="eastAsia" w:asciiTheme="majorEastAsia" w:hAnsiTheme="majorEastAsia" w:eastAsiaTheme="majorEastAsia" w:cstheme="majorEastAsia"/>
                <w:color w:val="auto"/>
                <w:lang w:val="en-US" w:eastAsia="zh-CN"/>
              </w:rPr>
              <w:t>4</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分；良</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-2分；一般2-1分；差1～0分</w:t>
            </w:r>
          </w:p>
        </w:tc>
        <w:tc>
          <w:tcPr>
            <w:tcW w:w="392" w:type="dxa"/>
            <w:vAlign w:val="center"/>
          </w:tcPr>
          <w:p>
            <w:pPr>
              <w:spacing w:line="240" w:lineRule="atLeast"/>
              <w:ind w:left="-38"/>
              <w:rPr>
                <w:rFonts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394" w:type="dxa"/>
            <w:gridSpan w:val="2"/>
            <w:vMerge w:val="continue"/>
            <w:vAlign w:val="center"/>
          </w:tcPr>
          <w:p>
            <w:pPr>
              <w:spacing w:line="240" w:lineRule="atLeast"/>
              <w:jc w:val="left"/>
            </w:pPr>
          </w:p>
        </w:tc>
        <w:tc>
          <w:tcPr>
            <w:tcW w:w="584" w:type="dxa"/>
            <w:vMerge w:val="continue"/>
            <w:vAlign w:val="center"/>
          </w:tcPr>
          <w:p>
            <w:pPr>
              <w:spacing w:line="240" w:lineRule="atLeast"/>
              <w:jc w:val="left"/>
            </w:pPr>
          </w:p>
        </w:tc>
        <w:tc>
          <w:tcPr>
            <w:tcW w:w="1451" w:type="dxa"/>
            <w:vMerge w:val="continue"/>
            <w:vAlign w:val="center"/>
          </w:tcPr>
          <w:p>
            <w:pPr>
              <w:spacing w:line="240" w:lineRule="atLeast"/>
              <w:ind w:firstLine="28"/>
              <w:jc w:val="center"/>
              <w:rPr>
                <w:rFonts w:ascii="方正仿宋_GBK" w:eastAsia="方正仿宋_GBK"/>
                <w:szCs w:val="21"/>
              </w:rPr>
            </w:pPr>
          </w:p>
        </w:tc>
        <w:tc>
          <w:tcPr>
            <w:tcW w:w="633" w:type="dxa"/>
            <w:vAlign w:val="center"/>
          </w:tcPr>
          <w:p>
            <w:pPr>
              <w:spacing w:line="240" w:lineRule="atLeast"/>
              <w:ind w:firstLine="28" w:firstLineChars="0"/>
              <w:jc w:val="center"/>
              <w:rPr>
                <w:rFonts w:hint="eastAsia" w:ascii="方正仿宋_GBK" w:hAnsi="Times New Roman" w:eastAsia="方正仿宋_GBK" w:cs="Times New Roman"/>
                <w:kern w:val="2"/>
                <w:sz w:val="21"/>
                <w:szCs w:val="21"/>
                <w:lang w:val="en-US" w:eastAsia="zh-CN" w:bidi="ar-SA"/>
              </w:rPr>
            </w:pPr>
            <w:r>
              <w:rPr>
                <w:rFonts w:hint="eastAsia" w:ascii="方正仿宋_GBK" w:eastAsia="方正仿宋_GBK"/>
                <w:szCs w:val="21"/>
                <w:lang w:val="en-US" w:eastAsia="zh-CN"/>
              </w:rPr>
              <w:t>4分</w:t>
            </w:r>
          </w:p>
        </w:tc>
        <w:tc>
          <w:tcPr>
            <w:tcW w:w="6107" w:type="dxa"/>
            <w:vAlign w:val="top"/>
          </w:tcPr>
          <w:p>
            <w:pPr>
              <w:pStyle w:val="305"/>
              <w:spacing w:before="15" w:line="240" w:lineRule="auto"/>
              <w:ind w:left="111" w:leftChars="0" w:right="97" w:rightChars="0"/>
              <w:rPr>
                <w:rFonts w:hint="eastAsia" w:ascii="宋体" w:hAnsi="宋体" w:cs="宋体"/>
                <w:kern w:val="0"/>
                <w:sz w:val="24"/>
                <w:szCs w:val="24"/>
                <w:lang w:val="en-US" w:eastAsia="zh-CN" w:bidi="ar-SA"/>
              </w:rPr>
            </w:pPr>
            <w:r>
              <w:rPr>
                <w:rFonts w:hint="eastAsia" w:asciiTheme="majorEastAsia" w:hAnsiTheme="majorEastAsia" w:eastAsiaTheme="majorEastAsia" w:cstheme="majorEastAsia"/>
                <w:color w:val="auto"/>
              </w:rPr>
              <w:t>工程总进度计划、工程进度保障措施、总进度计划、节点工期、关键路径、工序的合理性优</w:t>
            </w:r>
            <w:r>
              <w:rPr>
                <w:rFonts w:hint="eastAsia" w:asciiTheme="majorEastAsia" w:hAnsiTheme="majorEastAsia" w:eastAsiaTheme="majorEastAsia" w:cstheme="majorEastAsia"/>
                <w:color w:val="auto"/>
                <w:lang w:val="en-US" w:eastAsia="zh-CN"/>
              </w:rPr>
              <w:t>4</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分；良</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-2分；一般2-1分；差1～0分</w:t>
            </w:r>
          </w:p>
        </w:tc>
        <w:tc>
          <w:tcPr>
            <w:tcW w:w="392" w:type="dxa"/>
            <w:vAlign w:val="center"/>
          </w:tcPr>
          <w:p>
            <w:pPr>
              <w:spacing w:line="240" w:lineRule="atLeast"/>
              <w:ind w:left="-38"/>
              <w:rPr>
                <w:rFonts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394" w:type="dxa"/>
            <w:gridSpan w:val="2"/>
            <w:vMerge w:val="continue"/>
            <w:vAlign w:val="center"/>
          </w:tcPr>
          <w:p>
            <w:pPr>
              <w:spacing w:line="240" w:lineRule="atLeast"/>
              <w:jc w:val="left"/>
            </w:pPr>
          </w:p>
        </w:tc>
        <w:tc>
          <w:tcPr>
            <w:tcW w:w="584" w:type="dxa"/>
            <w:vMerge w:val="continue"/>
            <w:vAlign w:val="center"/>
          </w:tcPr>
          <w:p>
            <w:pPr>
              <w:spacing w:line="240" w:lineRule="atLeast"/>
              <w:jc w:val="left"/>
            </w:pPr>
          </w:p>
        </w:tc>
        <w:tc>
          <w:tcPr>
            <w:tcW w:w="1451" w:type="dxa"/>
            <w:vMerge w:val="continue"/>
            <w:vAlign w:val="center"/>
          </w:tcPr>
          <w:p>
            <w:pPr>
              <w:spacing w:line="240" w:lineRule="atLeast"/>
              <w:ind w:firstLine="28"/>
              <w:jc w:val="center"/>
              <w:rPr>
                <w:rFonts w:ascii="方正仿宋_GBK" w:eastAsia="方正仿宋_GBK"/>
                <w:szCs w:val="21"/>
              </w:rPr>
            </w:pPr>
          </w:p>
        </w:tc>
        <w:tc>
          <w:tcPr>
            <w:tcW w:w="633" w:type="dxa"/>
            <w:vAlign w:val="center"/>
          </w:tcPr>
          <w:p>
            <w:pPr>
              <w:spacing w:line="240" w:lineRule="atLeast"/>
              <w:ind w:firstLine="28" w:firstLineChars="0"/>
              <w:jc w:val="center"/>
              <w:rPr>
                <w:rFonts w:hint="eastAsia" w:ascii="方正仿宋_GBK" w:hAnsi="Times New Roman" w:eastAsia="方正仿宋_GBK" w:cs="Times New Roman"/>
                <w:kern w:val="2"/>
                <w:sz w:val="21"/>
                <w:szCs w:val="21"/>
                <w:lang w:val="en-US" w:eastAsia="zh-CN" w:bidi="ar-SA"/>
              </w:rPr>
            </w:pPr>
            <w:r>
              <w:rPr>
                <w:rFonts w:hint="eastAsia" w:ascii="方正仿宋_GBK" w:eastAsia="方正仿宋_GBK"/>
                <w:szCs w:val="21"/>
                <w:lang w:val="en-US" w:eastAsia="zh-CN"/>
              </w:rPr>
              <w:t>4分</w:t>
            </w:r>
          </w:p>
        </w:tc>
        <w:tc>
          <w:tcPr>
            <w:tcW w:w="6107" w:type="dxa"/>
            <w:vAlign w:val="center"/>
          </w:tcPr>
          <w:p>
            <w:pPr>
              <w:widowControl/>
              <w:spacing w:before="100" w:beforeAutospacing="1" w:after="100" w:afterAutospacing="1" w:line="240" w:lineRule="auto"/>
              <w:ind w:firstLine="0" w:firstLineChars="0"/>
              <w:jc w:val="both"/>
              <w:rPr>
                <w:rFonts w:hint="eastAsia" w:ascii="宋体" w:hAnsi="宋体" w:cs="宋体"/>
                <w:kern w:val="0"/>
                <w:sz w:val="24"/>
                <w:szCs w:val="24"/>
                <w:lang w:val="en-US" w:eastAsia="zh-CN" w:bidi="ar-SA"/>
              </w:rPr>
            </w:pPr>
            <w:r>
              <w:rPr>
                <w:rFonts w:hint="eastAsia" w:asciiTheme="majorEastAsia" w:hAnsiTheme="majorEastAsia" w:eastAsiaTheme="majorEastAsia" w:cstheme="majorEastAsia"/>
                <w:color w:val="auto"/>
              </w:rPr>
              <w:t>设备配置计划、劳动力配置计划优</w:t>
            </w:r>
            <w:r>
              <w:rPr>
                <w:rFonts w:hint="eastAsia" w:asciiTheme="majorEastAsia" w:hAnsiTheme="majorEastAsia" w:eastAsiaTheme="majorEastAsia" w:cstheme="majorEastAsia"/>
                <w:color w:val="auto"/>
                <w:lang w:val="en-US" w:eastAsia="zh-CN"/>
              </w:rPr>
              <w:t>4</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分；良</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-2分；一般2-1分；差1～0分</w:t>
            </w:r>
          </w:p>
        </w:tc>
        <w:tc>
          <w:tcPr>
            <w:tcW w:w="392" w:type="dxa"/>
            <w:vAlign w:val="center"/>
          </w:tcPr>
          <w:p>
            <w:pPr>
              <w:spacing w:line="240" w:lineRule="atLeast"/>
              <w:ind w:left="-38"/>
              <w:rPr>
                <w:rFonts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394" w:type="dxa"/>
            <w:gridSpan w:val="2"/>
            <w:vMerge w:val="continue"/>
            <w:vAlign w:val="center"/>
          </w:tcPr>
          <w:p>
            <w:pPr>
              <w:spacing w:line="240" w:lineRule="atLeast"/>
              <w:jc w:val="left"/>
            </w:pPr>
          </w:p>
        </w:tc>
        <w:tc>
          <w:tcPr>
            <w:tcW w:w="584" w:type="dxa"/>
            <w:vMerge w:val="continue"/>
            <w:vAlign w:val="center"/>
          </w:tcPr>
          <w:p>
            <w:pPr>
              <w:spacing w:line="240" w:lineRule="atLeast"/>
              <w:jc w:val="left"/>
            </w:pPr>
          </w:p>
        </w:tc>
        <w:tc>
          <w:tcPr>
            <w:tcW w:w="1451" w:type="dxa"/>
            <w:vMerge w:val="continue"/>
            <w:vAlign w:val="center"/>
          </w:tcPr>
          <w:p>
            <w:pPr>
              <w:spacing w:line="240" w:lineRule="atLeast"/>
              <w:ind w:firstLine="28"/>
              <w:jc w:val="center"/>
              <w:rPr>
                <w:rFonts w:ascii="方正仿宋_GBK" w:eastAsia="方正仿宋_GBK"/>
                <w:szCs w:val="21"/>
              </w:rPr>
            </w:pPr>
          </w:p>
        </w:tc>
        <w:tc>
          <w:tcPr>
            <w:tcW w:w="633" w:type="dxa"/>
            <w:vAlign w:val="center"/>
          </w:tcPr>
          <w:p>
            <w:pPr>
              <w:spacing w:line="240" w:lineRule="atLeast"/>
              <w:ind w:firstLine="28" w:firstLineChars="0"/>
              <w:jc w:val="center"/>
              <w:rPr>
                <w:rFonts w:hint="eastAsia" w:ascii="方正仿宋_GBK" w:hAnsi="Times New Roman" w:eastAsia="方正仿宋_GBK" w:cs="Times New Roman"/>
                <w:kern w:val="2"/>
                <w:sz w:val="21"/>
                <w:szCs w:val="21"/>
                <w:lang w:val="en-US" w:eastAsia="zh-CN" w:bidi="ar-SA"/>
              </w:rPr>
            </w:pPr>
            <w:r>
              <w:rPr>
                <w:rFonts w:hint="eastAsia" w:ascii="方正仿宋_GBK" w:eastAsia="方正仿宋_GBK"/>
                <w:szCs w:val="21"/>
                <w:lang w:val="en-US" w:eastAsia="zh-CN"/>
              </w:rPr>
              <w:t>4分</w:t>
            </w:r>
          </w:p>
        </w:tc>
        <w:tc>
          <w:tcPr>
            <w:tcW w:w="6107" w:type="dxa"/>
            <w:vAlign w:val="center"/>
          </w:tcPr>
          <w:p>
            <w:pPr>
              <w:widowControl/>
              <w:spacing w:before="100" w:beforeAutospacing="1" w:after="100" w:afterAutospacing="1" w:line="240" w:lineRule="auto"/>
              <w:ind w:firstLine="0" w:firstLineChars="0"/>
              <w:jc w:val="both"/>
              <w:rPr>
                <w:rFonts w:hint="eastAsia" w:ascii="宋体" w:hAnsi="宋体" w:cs="宋体"/>
                <w:kern w:val="0"/>
                <w:sz w:val="24"/>
                <w:szCs w:val="24"/>
                <w:lang w:val="en-US" w:eastAsia="zh-CN" w:bidi="ar-SA"/>
              </w:rPr>
            </w:pPr>
            <w:r>
              <w:rPr>
                <w:rFonts w:hint="eastAsia" w:asciiTheme="majorEastAsia" w:hAnsiTheme="majorEastAsia" w:eastAsiaTheme="majorEastAsia" w:cstheme="majorEastAsia"/>
                <w:color w:val="auto"/>
              </w:rPr>
              <w:t>施工组织设计编制内容是否符合项目实际情况，具有真实性、可靠性、可操作性、实用性，能否满足本项目实际需要优</w:t>
            </w:r>
            <w:r>
              <w:rPr>
                <w:rFonts w:hint="eastAsia" w:asciiTheme="majorEastAsia" w:hAnsiTheme="majorEastAsia" w:eastAsiaTheme="majorEastAsia" w:cstheme="majorEastAsia"/>
                <w:color w:val="auto"/>
                <w:lang w:val="en-US" w:eastAsia="zh-CN"/>
              </w:rPr>
              <w:t>4</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分；良</w:t>
            </w: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-2分；一般2-1分；差1～0分</w:t>
            </w:r>
          </w:p>
        </w:tc>
        <w:tc>
          <w:tcPr>
            <w:tcW w:w="392" w:type="dxa"/>
            <w:vAlign w:val="center"/>
          </w:tcPr>
          <w:p>
            <w:pPr>
              <w:spacing w:line="240" w:lineRule="atLeast"/>
              <w:ind w:left="-38"/>
              <w:rPr>
                <w:rFonts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4" w:type="dxa"/>
            <w:gridSpan w:val="2"/>
            <w:vMerge w:val="restart"/>
          </w:tcPr>
          <w:p>
            <w:pPr>
              <w:spacing w:line="240" w:lineRule="atLeast"/>
              <w:jc w:val="left"/>
              <w:rPr>
                <w:rFonts w:hint="eastAsia"/>
                <w:lang w:val="en-US" w:eastAsia="zh-CN"/>
              </w:rPr>
            </w:pPr>
          </w:p>
          <w:p>
            <w:pPr>
              <w:spacing w:line="240" w:lineRule="atLeast"/>
              <w:jc w:val="left"/>
              <w:rPr>
                <w:rFonts w:hint="eastAsia"/>
                <w:lang w:val="en-US" w:eastAsia="zh-CN"/>
              </w:rPr>
            </w:pPr>
          </w:p>
          <w:p>
            <w:pPr>
              <w:spacing w:line="240" w:lineRule="atLeast"/>
              <w:jc w:val="left"/>
              <w:rPr>
                <w:rFonts w:hint="eastAsia"/>
                <w:lang w:val="en-US" w:eastAsia="zh-CN"/>
              </w:rPr>
            </w:pPr>
          </w:p>
          <w:p>
            <w:pPr>
              <w:spacing w:line="240" w:lineRule="atLeast"/>
              <w:jc w:val="left"/>
              <w:rPr>
                <w:rFonts w:hint="eastAsia"/>
                <w:lang w:val="en-US" w:eastAsia="zh-CN"/>
              </w:rPr>
            </w:pPr>
          </w:p>
          <w:p>
            <w:pPr>
              <w:spacing w:line="240" w:lineRule="atLeast"/>
              <w:jc w:val="left"/>
              <w:rPr>
                <w:rFonts w:hint="eastAsia"/>
                <w:lang w:val="en-US" w:eastAsia="zh-CN"/>
              </w:rPr>
            </w:pPr>
          </w:p>
          <w:p>
            <w:pPr>
              <w:spacing w:line="240" w:lineRule="atLeast"/>
              <w:jc w:val="left"/>
              <w:rPr>
                <w:rFonts w:hint="eastAsia"/>
                <w:lang w:val="en-US" w:eastAsia="zh-CN"/>
              </w:rPr>
            </w:pPr>
          </w:p>
          <w:p>
            <w:pPr>
              <w:spacing w:line="240" w:lineRule="atLeast"/>
              <w:jc w:val="left"/>
              <w:rPr>
                <w:rFonts w:hint="eastAsia"/>
                <w:lang w:val="en-US" w:eastAsia="zh-CN"/>
              </w:rPr>
            </w:pPr>
          </w:p>
          <w:p>
            <w:pPr>
              <w:spacing w:line="240" w:lineRule="atLeast"/>
              <w:jc w:val="left"/>
              <w:rPr>
                <w:rFonts w:hint="eastAsia"/>
                <w:lang w:val="en-US" w:eastAsia="zh-CN"/>
              </w:rPr>
            </w:pPr>
          </w:p>
          <w:p>
            <w:pPr>
              <w:spacing w:line="240" w:lineRule="atLeast"/>
              <w:jc w:val="left"/>
              <w:rPr>
                <w:rFonts w:hint="eastAsia" w:eastAsia="宋体"/>
                <w:lang w:val="en-US" w:eastAsia="zh-CN"/>
              </w:rPr>
            </w:pPr>
            <w:r>
              <w:rPr>
                <w:rFonts w:hint="eastAsia"/>
                <w:lang w:val="en-US" w:eastAsia="zh-CN"/>
              </w:rPr>
              <w:t>3</w:t>
            </w:r>
          </w:p>
        </w:tc>
        <w:tc>
          <w:tcPr>
            <w:tcW w:w="584" w:type="dxa"/>
            <w:vMerge w:val="restart"/>
            <w:vAlign w:val="center"/>
          </w:tcPr>
          <w:p>
            <w:pPr>
              <w:spacing w:line="240" w:lineRule="atLeast"/>
              <w:jc w:val="left"/>
            </w:pPr>
            <w:r>
              <w:rPr>
                <w:rFonts w:hint="eastAsia"/>
              </w:rPr>
              <w:t>商务部分</w:t>
            </w:r>
          </w:p>
          <w:p>
            <w:pPr>
              <w:spacing w:line="240" w:lineRule="atLeast"/>
              <w:jc w:val="left"/>
            </w:pPr>
            <w:r>
              <w:rPr>
                <w:rFonts w:hint="eastAsia"/>
                <w:lang w:val="en-US" w:eastAsia="zh-CN"/>
              </w:rPr>
              <w:t>40</w:t>
            </w:r>
            <w:r>
              <w:rPr>
                <w:rFonts w:hint="eastAsia"/>
              </w:rPr>
              <w:t>分</w:t>
            </w:r>
          </w:p>
        </w:tc>
        <w:tc>
          <w:tcPr>
            <w:tcW w:w="1451" w:type="dxa"/>
            <w:vAlign w:val="center"/>
          </w:tcPr>
          <w:p>
            <w:pPr>
              <w:spacing w:line="240" w:lineRule="atLeast"/>
              <w:jc w:val="center"/>
              <w:rPr>
                <w:rFonts w:ascii="方正仿宋_GBK" w:eastAsia="方正仿宋_GBK"/>
                <w:szCs w:val="21"/>
              </w:rPr>
            </w:pPr>
            <w:r>
              <w:rPr>
                <w:rFonts w:hint="eastAsia"/>
                <w:b/>
                <w:color w:val="auto"/>
                <w:sz w:val="21"/>
                <w:lang w:eastAsia="zh-CN"/>
              </w:rPr>
              <w:t>设备厂家实力要求</w:t>
            </w:r>
            <w:r>
              <w:rPr>
                <w:rFonts w:hint="eastAsia" w:ascii="方正仿宋_GBK" w:eastAsia="方正仿宋_GBK"/>
                <w:szCs w:val="21"/>
              </w:rPr>
              <w:t>（</w:t>
            </w:r>
            <w:r>
              <w:rPr>
                <w:rFonts w:hint="eastAsia" w:ascii="方正仿宋_GBK" w:eastAsia="方正仿宋_GBK"/>
                <w:szCs w:val="21"/>
                <w:lang w:val="en-US" w:eastAsia="zh-CN"/>
              </w:rPr>
              <w:t>5</w:t>
            </w:r>
            <w:r>
              <w:rPr>
                <w:rFonts w:hint="eastAsia" w:ascii="方正仿宋_GBK" w:eastAsia="方正仿宋_GBK"/>
                <w:szCs w:val="21"/>
              </w:rPr>
              <w:t>分）</w:t>
            </w:r>
          </w:p>
        </w:tc>
        <w:tc>
          <w:tcPr>
            <w:tcW w:w="633" w:type="dxa"/>
            <w:vAlign w:val="center"/>
          </w:tcPr>
          <w:p>
            <w:pPr>
              <w:spacing w:line="240" w:lineRule="atLeast"/>
              <w:ind w:firstLine="28"/>
              <w:jc w:val="center"/>
              <w:rPr>
                <w:rFonts w:ascii="方正仿宋_GBK" w:eastAsia="方正仿宋_GBK"/>
                <w:szCs w:val="21"/>
              </w:rPr>
            </w:pPr>
            <w:r>
              <w:rPr>
                <w:rFonts w:hint="eastAsia" w:ascii="方正仿宋_GBK" w:eastAsia="方正仿宋_GBK"/>
                <w:szCs w:val="21"/>
                <w:lang w:val="en-US" w:eastAsia="zh-CN"/>
              </w:rPr>
              <w:t>5</w:t>
            </w:r>
            <w:r>
              <w:rPr>
                <w:rFonts w:hint="eastAsia" w:ascii="方正仿宋_GBK" w:eastAsia="方正仿宋_GBK"/>
                <w:szCs w:val="21"/>
              </w:rPr>
              <w:t>分</w:t>
            </w:r>
          </w:p>
        </w:tc>
        <w:tc>
          <w:tcPr>
            <w:tcW w:w="6107" w:type="dxa"/>
            <w:vAlign w:val="center"/>
          </w:tcPr>
          <w:p>
            <w:pPr>
              <w:pStyle w:val="3"/>
              <w:jc w:val="both"/>
              <w:rPr>
                <w:rFonts w:hint="eastAsia" w:eastAsia="方正仿宋_GBK"/>
                <w:lang w:val="zh-CN" w:eastAsia="zh-CN"/>
              </w:rPr>
            </w:pPr>
            <w:r>
              <w:rPr>
                <w:rFonts w:hint="eastAsia" w:eastAsia="方正仿宋_GBK"/>
                <w:lang w:val="zh-CN" w:eastAsia="zh-CN"/>
              </w:rPr>
              <w:t>（1）投标人所投视频编码产品需提供用户案例及用户评价</w:t>
            </w:r>
            <w:r>
              <w:rPr>
                <w:rFonts w:hint="eastAsia" w:eastAsia="方正仿宋_GBK"/>
                <w:lang w:val="en-US" w:eastAsia="zh-CN"/>
              </w:rPr>
              <w:t>、</w:t>
            </w:r>
            <w:r>
              <w:rPr>
                <w:rFonts w:hint="eastAsia" w:eastAsia="方正仿宋_GBK"/>
                <w:lang w:val="zh-CN" w:eastAsia="zh-CN"/>
              </w:rPr>
              <w:t>提供发明专利复印件并加盖生产厂商公章，每提供一项得</w:t>
            </w:r>
            <w:r>
              <w:rPr>
                <w:rFonts w:hint="eastAsia" w:eastAsia="方正仿宋_GBK"/>
                <w:lang w:val="en-US" w:eastAsia="zh-CN"/>
              </w:rPr>
              <w:t>1.5分</w:t>
            </w:r>
            <w:r>
              <w:rPr>
                <w:rFonts w:hint="eastAsia" w:eastAsia="方正仿宋_GBK"/>
                <w:lang w:val="zh-CN" w:eastAsia="zh-CN"/>
              </w:rPr>
              <w:t>，最高得</w:t>
            </w:r>
            <w:r>
              <w:rPr>
                <w:rFonts w:hint="eastAsia" w:eastAsia="方正仿宋_GBK"/>
                <w:lang w:val="en-US" w:eastAsia="zh-CN"/>
              </w:rPr>
              <w:t>3分，</w:t>
            </w:r>
            <w:r>
              <w:rPr>
                <w:rFonts w:hint="eastAsia" w:eastAsia="方正仿宋_GBK"/>
                <w:lang w:val="zh-CN" w:eastAsia="zh-CN"/>
              </w:rPr>
              <w:t>不提供不得分。</w:t>
            </w:r>
          </w:p>
          <w:p>
            <w:pPr>
              <w:pStyle w:val="3"/>
              <w:jc w:val="both"/>
              <w:rPr>
                <w:rFonts w:eastAsia="方正仿宋_GBK"/>
                <w:lang w:eastAsia="zh-CN"/>
              </w:rPr>
            </w:pPr>
            <w:r>
              <w:rPr>
                <w:rFonts w:hint="eastAsia" w:eastAsia="方正仿宋_GBK"/>
                <w:lang w:val="zh-CN" w:eastAsia="zh-CN"/>
              </w:rPr>
              <w:t>（2）确保所投视频编码产品设备厂商同时提供产品检测报告以及提供所投视频编码产品制造商出具给供应商的投标资格授权书，得</w:t>
            </w:r>
            <w:r>
              <w:rPr>
                <w:rFonts w:hint="eastAsia" w:eastAsia="方正仿宋_GBK"/>
                <w:lang w:val="en-US" w:eastAsia="zh-CN"/>
              </w:rPr>
              <w:t>2分</w:t>
            </w:r>
            <w:r>
              <w:rPr>
                <w:rFonts w:hint="eastAsia" w:eastAsia="方正仿宋_GBK"/>
                <w:lang w:val="zh-CN" w:eastAsia="zh-CN"/>
              </w:rPr>
              <w:t>。须提供证明材料复印件并加盖原厂商公章（分公司公章无效），缺一项或不提供的不得分。</w:t>
            </w:r>
          </w:p>
        </w:tc>
        <w:tc>
          <w:tcPr>
            <w:tcW w:w="392" w:type="dxa"/>
            <w:vMerge w:val="restart"/>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394" w:type="dxa"/>
            <w:gridSpan w:val="2"/>
            <w:vMerge w:val="continue"/>
            <w:vAlign w:val="center"/>
          </w:tcPr>
          <w:p>
            <w:pPr>
              <w:spacing w:line="240" w:lineRule="atLeast"/>
            </w:pPr>
          </w:p>
        </w:tc>
        <w:tc>
          <w:tcPr>
            <w:tcW w:w="584" w:type="dxa"/>
            <w:vMerge w:val="continue"/>
            <w:vAlign w:val="center"/>
          </w:tcPr>
          <w:p>
            <w:pPr>
              <w:spacing w:line="240" w:lineRule="atLeast"/>
            </w:pPr>
          </w:p>
        </w:tc>
        <w:tc>
          <w:tcPr>
            <w:tcW w:w="1451" w:type="dxa"/>
            <w:vAlign w:val="center"/>
          </w:tcPr>
          <w:p>
            <w:pPr>
              <w:spacing w:line="240" w:lineRule="atLeast"/>
              <w:ind w:firstLine="28"/>
              <w:jc w:val="center"/>
              <w:rPr>
                <w:rFonts w:ascii="方正仿宋_GBK" w:eastAsia="方正仿宋_GBK"/>
                <w:szCs w:val="21"/>
              </w:rPr>
            </w:pPr>
            <w:r>
              <w:rPr>
                <w:rFonts w:hint="eastAsia"/>
                <w:b/>
                <w:color w:val="auto"/>
                <w:sz w:val="21"/>
                <w:lang w:eastAsia="zh-CN"/>
              </w:rPr>
              <w:t>投标人状况评价</w:t>
            </w:r>
            <w:r>
              <w:rPr>
                <w:rFonts w:hint="eastAsia" w:ascii="方正仿宋_GBK" w:eastAsia="方正仿宋_GBK"/>
                <w:szCs w:val="21"/>
              </w:rPr>
              <w:t>（2</w:t>
            </w:r>
            <w:r>
              <w:rPr>
                <w:rFonts w:hint="eastAsia" w:ascii="方正仿宋_GBK" w:eastAsia="方正仿宋_GBK"/>
                <w:szCs w:val="21"/>
                <w:lang w:val="en-US" w:eastAsia="zh-CN"/>
              </w:rPr>
              <w:t>5</w:t>
            </w:r>
            <w:r>
              <w:rPr>
                <w:rFonts w:hint="eastAsia" w:ascii="方正仿宋_GBK" w:eastAsia="方正仿宋_GBK"/>
                <w:szCs w:val="21"/>
              </w:rPr>
              <w:t>分）</w:t>
            </w:r>
          </w:p>
        </w:tc>
        <w:tc>
          <w:tcPr>
            <w:tcW w:w="633" w:type="dxa"/>
            <w:vAlign w:val="center"/>
          </w:tcPr>
          <w:p>
            <w:pPr>
              <w:spacing w:line="240" w:lineRule="atLeast"/>
              <w:ind w:firstLine="28"/>
              <w:jc w:val="center"/>
              <w:rPr>
                <w:rFonts w:ascii="方正仿宋_GBK" w:eastAsia="方正仿宋_GBK"/>
                <w:szCs w:val="21"/>
              </w:rPr>
            </w:pPr>
            <w:r>
              <w:rPr>
                <w:rFonts w:hint="eastAsia" w:ascii="方正仿宋_GBK" w:eastAsia="方正仿宋_GBK"/>
                <w:szCs w:val="21"/>
              </w:rPr>
              <w:t>2</w:t>
            </w:r>
            <w:r>
              <w:rPr>
                <w:rFonts w:hint="eastAsia" w:ascii="方正仿宋_GBK" w:eastAsia="方正仿宋_GBK"/>
                <w:szCs w:val="21"/>
                <w:lang w:val="en-US" w:eastAsia="zh-CN"/>
              </w:rPr>
              <w:t>5</w:t>
            </w:r>
            <w:r>
              <w:rPr>
                <w:rFonts w:hint="eastAsia" w:ascii="方正仿宋_GBK" w:eastAsia="方正仿宋_GBK"/>
                <w:szCs w:val="21"/>
              </w:rPr>
              <w:t>分</w:t>
            </w:r>
          </w:p>
        </w:tc>
        <w:tc>
          <w:tcPr>
            <w:tcW w:w="6107" w:type="dxa"/>
            <w:vAlign w:val="center"/>
          </w:tcPr>
          <w:p>
            <w:pPr>
              <w:shd w:val="solid" w:color="FFFFFF" w:fill="auto"/>
              <w:autoSpaceDN w:val="0"/>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投标人状况（2</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分）</w:t>
            </w:r>
          </w:p>
          <w:p>
            <w:pPr>
              <w:shd w:val="solid" w:color="FFFFFF" w:fill="auto"/>
              <w:autoSpaceDN w:val="0"/>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投标供应商提供中国音像与数字出版协会音视频工程专业委员会颁发的“音视频集成工程企业资质”证书，一级得</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分，二级得</w:t>
            </w:r>
            <w:r>
              <w:rPr>
                <w:rFonts w:hint="eastAsia" w:ascii="宋体" w:hAnsi="宋体" w:cs="宋体"/>
                <w:color w:val="auto"/>
                <w:sz w:val="24"/>
                <w:szCs w:val="24"/>
                <w:lang w:val="en-US" w:eastAsia="zh-CN"/>
              </w:rPr>
              <w:t>2分，三级得1分</w:t>
            </w:r>
            <w:r>
              <w:rPr>
                <w:rFonts w:hint="eastAsia" w:ascii="宋体" w:hAnsi="宋体" w:cs="宋体"/>
                <w:color w:val="auto"/>
                <w:sz w:val="24"/>
                <w:szCs w:val="24"/>
                <w:lang w:val="zh-CN" w:eastAsia="zh-CN"/>
              </w:rPr>
              <w:t>。</w:t>
            </w:r>
          </w:p>
          <w:p>
            <w:pPr>
              <w:shd w:val="solid" w:color="FFFFFF" w:fill="auto"/>
              <w:autoSpaceDN w:val="0"/>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供应商同时具有安防工程企业设计施工维护一级能力证书和信息通信网络系统集成企业服务能力甲级，得2分，缺一项不得分。</w:t>
            </w:r>
          </w:p>
          <w:p>
            <w:pPr>
              <w:shd w:val="solid" w:color="FFFFFF" w:fill="auto"/>
              <w:autoSpaceDN w:val="0"/>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供应商同时具备有效的中国通信企业协会颁发的通信网络安全服务能力--风险评估一级和中国网络安全审查技术与认证中心颁发的信息安全服务资质-软件安全开发服务三级得3分，缺一项不得分。</w:t>
            </w:r>
          </w:p>
          <w:p>
            <w:pPr>
              <w:shd w:val="solid" w:color="FFFFFF" w:fill="auto"/>
              <w:autoSpaceDN w:val="0"/>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供应商同时具有ITSS信息技术服务运行维护标准符合性证书和国家信息技术服务标准工作组（ITSS）的全权成员单位，得2分，不具备得0分。</w:t>
            </w:r>
          </w:p>
          <w:p>
            <w:pPr>
              <w:shd w:val="solid" w:color="FFFFFF" w:fill="auto"/>
              <w:autoSpaceDN w:val="0"/>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具备CMMI（能力成熟度集模型）证书，5级得</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分，4级得</w:t>
            </w:r>
            <w:r>
              <w:rPr>
                <w:rFonts w:hint="eastAsia" w:ascii="宋体" w:hAnsi="宋体" w:cs="宋体"/>
                <w:color w:val="auto"/>
                <w:sz w:val="24"/>
                <w:szCs w:val="24"/>
                <w:lang w:val="en-US" w:eastAsia="zh-CN"/>
              </w:rPr>
              <w:t>4</w:t>
            </w:r>
            <w:r>
              <w:rPr>
                <w:rFonts w:hint="eastAsia" w:ascii="宋体" w:hAnsi="宋体" w:cs="宋体"/>
                <w:color w:val="auto"/>
                <w:sz w:val="24"/>
                <w:szCs w:val="24"/>
                <w:lang w:val="zh-CN" w:eastAsia="zh-CN"/>
              </w:rPr>
              <w:t>分，其他得0分。</w:t>
            </w:r>
          </w:p>
          <w:p>
            <w:pPr>
              <w:shd w:val="solid" w:color="FFFFFF" w:fill="auto"/>
              <w:autoSpaceDN w:val="0"/>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供应商同时具备ISO9001（质量管理体系认证）、ISO14001（环境管理体系认证）、OHSAS18001（职业健康安全体系认证）、ISO20000（运维体系认证）、ISO27001（信息安全管理体系认证）得共5分，每缺少一个得扣1分，缺少3项及以上不得分。</w:t>
            </w:r>
          </w:p>
          <w:p>
            <w:pPr>
              <w:shd w:val="solid" w:color="FFFFFF" w:fill="auto"/>
              <w:autoSpaceDN w:val="0"/>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供应商同事具备企业信用等级证书-中国软件协会（证书）</w:t>
            </w:r>
            <w:r>
              <w:rPr>
                <w:rFonts w:hint="eastAsia" w:ascii="宋体" w:hAnsi="宋体" w:cs="宋体"/>
                <w:color w:val="auto"/>
                <w:sz w:val="24"/>
                <w:szCs w:val="24"/>
                <w:lang w:val="en-US" w:eastAsia="zh-CN"/>
              </w:rPr>
              <w:t>-AAA和中国电子信息行业联合会颁发的软件和信息技术服务竞争力百强企业资质得2分，缺一项不得分</w:t>
            </w:r>
            <w:r>
              <w:rPr>
                <w:rFonts w:hint="eastAsia" w:ascii="宋体" w:hAnsi="宋体" w:cs="宋体"/>
                <w:color w:val="auto"/>
                <w:sz w:val="24"/>
                <w:szCs w:val="24"/>
                <w:lang w:val="zh-CN" w:eastAsia="zh-CN"/>
              </w:rPr>
              <w:t>；</w:t>
            </w:r>
          </w:p>
          <w:p>
            <w:pPr>
              <w:shd w:val="solid" w:color="FFFFFF" w:fill="auto"/>
              <w:autoSpaceDN w:val="0"/>
              <w:jc w:val="left"/>
              <w:rPr>
                <w:rFonts w:ascii="宋体" w:hAnsi="宋体" w:cs="宋体"/>
                <w:szCs w:val="21"/>
              </w:rPr>
            </w:pPr>
            <w:r>
              <w:rPr>
                <w:rFonts w:hint="eastAsia" w:ascii="宋体" w:hAnsi="宋体" w:cs="宋体"/>
                <w:color w:val="auto"/>
                <w:sz w:val="24"/>
                <w:szCs w:val="24"/>
                <w:lang w:val="zh-CN" w:eastAsia="zh-CN"/>
              </w:rPr>
              <w:t>注：(以上资格证明文件须提供加盖企业公章的复印件；不提供不得分)</w:t>
            </w:r>
            <w:r>
              <w:rPr>
                <w:rFonts w:ascii="宋体" w:hAnsi="宋体" w:cs="宋体"/>
                <w:color w:val="auto"/>
                <w:sz w:val="24"/>
                <w:szCs w:val="24"/>
              </w:rPr>
              <w:t>。</w:t>
            </w:r>
          </w:p>
        </w:tc>
        <w:tc>
          <w:tcPr>
            <w:tcW w:w="392" w:type="dxa"/>
            <w:vMerge w:val="continue"/>
            <w:vAlign w:val="center"/>
          </w:tcPr>
          <w:p>
            <w:pPr>
              <w:spacing w:line="240" w:lineRule="atLeast"/>
              <w:ind w:left="-38"/>
              <w:rPr>
                <w:rFonts w:ascii="方正仿宋_GBK"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394" w:type="dxa"/>
            <w:gridSpan w:val="2"/>
            <w:vMerge w:val="continue"/>
            <w:vAlign w:val="center"/>
          </w:tcPr>
          <w:p>
            <w:pPr>
              <w:spacing w:line="240" w:lineRule="atLeast"/>
            </w:pPr>
          </w:p>
        </w:tc>
        <w:tc>
          <w:tcPr>
            <w:tcW w:w="584" w:type="dxa"/>
            <w:vMerge w:val="continue"/>
            <w:vAlign w:val="center"/>
          </w:tcPr>
          <w:p>
            <w:pPr>
              <w:spacing w:line="240" w:lineRule="atLeast"/>
            </w:pPr>
          </w:p>
        </w:tc>
        <w:tc>
          <w:tcPr>
            <w:tcW w:w="1451" w:type="dxa"/>
            <w:vAlign w:val="center"/>
          </w:tcPr>
          <w:p>
            <w:pPr>
              <w:spacing w:line="240" w:lineRule="atLeast"/>
              <w:ind w:firstLine="28"/>
              <w:jc w:val="center"/>
              <w:rPr>
                <w:rFonts w:ascii="方正仿宋_GBK" w:eastAsia="方正仿宋_GBK"/>
                <w:szCs w:val="21"/>
              </w:rPr>
            </w:pPr>
            <w:r>
              <w:rPr>
                <w:b/>
                <w:color w:val="auto"/>
                <w:sz w:val="21"/>
              </w:rPr>
              <w:t>售后服务</w:t>
            </w:r>
            <w:r>
              <w:rPr>
                <w:rFonts w:hint="eastAsia" w:ascii="方正仿宋_GBK" w:eastAsia="方正仿宋_GBK"/>
                <w:szCs w:val="21"/>
              </w:rPr>
              <w:t>（1</w:t>
            </w:r>
            <w:r>
              <w:rPr>
                <w:rFonts w:hint="eastAsia" w:ascii="方正仿宋_GBK" w:eastAsia="方正仿宋_GBK"/>
                <w:szCs w:val="21"/>
                <w:lang w:val="en-US" w:eastAsia="zh-CN"/>
              </w:rPr>
              <w:t>0</w:t>
            </w:r>
            <w:r>
              <w:rPr>
                <w:rFonts w:hint="eastAsia" w:ascii="方正仿宋_GBK" w:eastAsia="方正仿宋_GBK"/>
                <w:szCs w:val="21"/>
              </w:rPr>
              <w:t>分）</w:t>
            </w:r>
          </w:p>
        </w:tc>
        <w:tc>
          <w:tcPr>
            <w:tcW w:w="633" w:type="dxa"/>
            <w:vAlign w:val="center"/>
          </w:tcPr>
          <w:p>
            <w:pPr>
              <w:spacing w:line="240" w:lineRule="atLeast"/>
              <w:ind w:firstLine="28"/>
              <w:jc w:val="center"/>
              <w:rPr>
                <w:rFonts w:ascii="方正仿宋_GBK" w:eastAsia="方正仿宋_GBK"/>
                <w:szCs w:val="21"/>
              </w:rPr>
            </w:pPr>
            <w:r>
              <w:rPr>
                <w:rFonts w:hint="eastAsia" w:ascii="方正仿宋_GBK" w:eastAsia="方正仿宋_GBK"/>
                <w:szCs w:val="21"/>
              </w:rPr>
              <w:t>1</w:t>
            </w:r>
            <w:r>
              <w:rPr>
                <w:rFonts w:hint="eastAsia" w:ascii="方正仿宋_GBK" w:eastAsia="方正仿宋_GBK"/>
                <w:szCs w:val="21"/>
                <w:lang w:val="en-US" w:eastAsia="zh-CN"/>
              </w:rPr>
              <w:t>0</w:t>
            </w:r>
            <w:r>
              <w:rPr>
                <w:rFonts w:hint="eastAsia" w:ascii="方正仿宋_GBK" w:eastAsia="方正仿宋_GBK"/>
                <w:szCs w:val="21"/>
              </w:rPr>
              <w:t>分</w:t>
            </w:r>
          </w:p>
        </w:tc>
        <w:tc>
          <w:tcPr>
            <w:tcW w:w="6107" w:type="dxa"/>
            <w:vAlign w:val="center"/>
          </w:tcPr>
          <w:p>
            <w:pPr>
              <w:autoSpaceDN w:val="0"/>
              <w:adjustRightInd w:val="0"/>
              <w:snapToGrid w:val="0"/>
              <w:jc w:val="left"/>
              <w:rPr>
                <w:rFonts w:hint="eastAsia" w:ascii="宋体" w:hAnsi="宋体" w:eastAsia="宋体" w:cs="宋体"/>
                <w:szCs w:val="21"/>
                <w:shd w:val="clear" w:color="auto" w:fill="FFFFFF"/>
                <w:lang w:val="zh-CN" w:eastAsia="zh-CN"/>
              </w:rPr>
            </w:pPr>
            <w:r>
              <w:rPr>
                <w:rFonts w:hint="eastAsia" w:ascii="宋体" w:hAnsi="宋体" w:eastAsia="宋体" w:cs="宋体"/>
                <w:szCs w:val="21"/>
                <w:shd w:val="clear" w:color="auto" w:fill="FFFFFF"/>
                <w:lang w:val="zh-CN" w:eastAsia="zh-CN"/>
              </w:rPr>
              <w:t>人员要求得分（</w:t>
            </w:r>
            <w:r>
              <w:rPr>
                <w:rFonts w:hint="eastAsia" w:ascii="宋体" w:hAnsi="宋体" w:eastAsia="宋体" w:cs="宋体"/>
                <w:szCs w:val="21"/>
                <w:shd w:val="clear" w:color="auto" w:fill="FFFFFF"/>
                <w:lang w:val="en-US" w:eastAsia="zh-CN"/>
              </w:rPr>
              <w:t>6</w:t>
            </w:r>
            <w:r>
              <w:rPr>
                <w:rFonts w:hint="eastAsia" w:ascii="宋体" w:hAnsi="宋体" w:eastAsia="宋体" w:cs="宋体"/>
                <w:szCs w:val="21"/>
                <w:shd w:val="clear" w:color="auto" w:fill="FFFFFF"/>
                <w:lang w:val="zh-CN" w:eastAsia="zh-CN"/>
              </w:rPr>
              <w:t xml:space="preserve">分）：在实施人员安排方面，项目实施人员每 1 人具有 PMP或高级信息系统项目管理师证书得 </w:t>
            </w:r>
            <w:r>
              <w:rPr>
                <w:rFonts w:hint="eastAsia" w:ascii="宋体" w:hAnsi="宋体" w:eastAsia="宋体" w:cs="宋体"/>
                <w:szCs w:val="21"/>
                <w:shd w:val="clear" w:color="auto" w:fill="FFFFFF"/>
                <w:lang w:val="en-US" w:eastAsia="zh-CN"/>
              </w:rPr>
              <w:t>2</w:t>
            </w:r>
            <w:r>
              <w:rPr>
                <w:rFonts w:hint="eastAsia" w:ascii="宋体" w:hAnsi="宋体" w:eastAsia="宋体" w:cs="宋体"/>
                <w:szCs w:val="21"/>
                <w:shd w:val="clear" w:color="auto" w:fill="FFFFFF"/>
                <w:lang w:val="zh-CN" w:eastAsia="zh-CN"/>
              </w:rPr>
              <w:t xml:space="preserve"> 分，最多得 </w:t>
            </w:r>
            <w:r>
              <w:rPr>
                <w:rFonts w:hint="eastAsia" w:ascii="宋体" w:hAnsi="宋体" w:eastAsia="宋体" w:cs="宋体"/>
                <w:szCs w:val="21"/>
                <w:shd w:val="clear" w:color="auto" w:fill="FFFFFF"/>
                <w:lang w:val="en-US" w:eastAsia="zh-CN"/>
              </w:rPr>
              <w:t>6</w:t>
            </w:r>
            <w:r>
              <w:rPr>
                <w:rFonts w:hint="eastAsia" w:ascii="宋体" w:hAnsi="宋体" w:eastAsia="宋体" w:cs="宋体"/>
                <w:szCs w:val="21"/>
                <w:shd w:val="clear" w:color="auto" w:fill="FFFFFF"/>
                <w:lang w:val="zh-CN" w:eastAsia="zh-CN"/>
              </w:rPr>
              <w:t xml:space="preserve"> 分。提供证书及投标供应商为上述人员在20</w:t>
            </w:r>
            <w:r>
              <w:rPr>
                <w:rFonts w:hint="eastAsia" w:ascii="宋体" w:hAnsi="宋体" w:eastAsia="宋体" w:cs="宋体"/>
                <w:szCs w:val="21"/>
                <w:shd w:val="clear" w:color="auto" w:fill="FFFFFF"/>
                <w:lang w:val="en-US" w:eastAsia="zh-CN"/>
              </w:rPr>
              <w:t>21</w:t>
            </w:r>
            <w:r>
              <w:rPr>
                <w:rFonts w:hint="eastAsia" w:ascii="宋体" w:hAnsi="宋体" w:eastAsia="宋体" w:cs="宋体"/>
                <w:szCs w:val="21"/>
                <w:shd w:val="clear" w:color="auto" w:fill="FFFFFF"/>
                <w:lang w:val="zh-CN" w:eastAsia="zh-CN"/>
              </w:rPr>
              <w:t xml:space="preserve"> 年任意3 个月社保证明并加盖投标商鲜章，不满足或提供不全不得分。</w:t>
            </w:r>
          </w:p>
          <w:p>
            <w:pPr>
              <w:autoSpaceDN w:val="0"/>
              <w:adjustRightInd w:val="0"/>
              <w:snapToGrid w:val="0"/>
              <w:jc w:val="left"/>
              <w:rPr>
                <w:rFonts w:hint="eastAsia" w:ascii="宋体" w:hAnsi="宋体" w:eastAsia="宋体" w:cs="宋体"/>
                <w:szCs w:val="21"/>
                <w:shd w:val="clear" w:color="auto" w:fill="FFFFFF"/>
                <w:lang w:val="zh-CN" w:eastAsia="zh-CN"/>
              </w:rPr>
            </w:pPr>
            <w:r>
              <w:rPr>
                <w:rFonts w:hint="eastAsia" w:ascii="宋体" w:hAnsi="宋体" w:eastAsia="宋体" w:cs="宋体"/>
                <w:szCs w:val="21"/>
                <w:shd w:val="clear" w:color="auto" w:fill="FFFFFF"/>
                <w:lang w:val="zh-CN" w:eastAsia="zh-CN"/>
              </w:rPr>
              <w:t>本地化服务情况（</w:t>
            </w: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lang w:val="zh-CN" w:eastAsia="zh-CN"/>
              </w:rPr>
              <w:t>分）</w:t>
            </w:r>
          </w:p>
          <w:p>
            <w:pPr>
              <w:autoSpaceDN w:val="0"/>
              <w:adjustRightInd w:val="0"/>
              <w:snapToGrid w:val="0"/>
              <w:jc w:val="left"/>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lang w:val="zh-CN" w:eastAsia="zh-CN"/>
              </w:rPr>
              <w:t>供应商具有本地化服务保障，投标人在项目实施所在地设有分公司或售后服务机构的得</w:t>
            </w: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lang w:val="zh-CN" w:eastAsia="zh-CN"/>
              </w:rPr>
              <w:t>分（需提供售后服务机构产权证明或租赁合同或营业执照）。</w:t>
            </w:r>
          </w:p>
        </w:tc>
        <w:tc>
          <w:tcPr>
            <w:tcW w:w="392" w:type="dxa"/>
            <w:vMerge w:val="continue"/>
            <w:vAlign w:val="center"/>
          </w:tcPr>
          <w:p>
            <w:pPr>
              <w:spacing w:line="240" w:lineRule="atLeast"/>
              <w:ind w:left="-38"/>
              <w:rPr>
                <w:rFonts w:ascii="方正仿宋_GBK" w:eastAsia="方正仿宋_GBK"/>
                <w:bCs/>
                <w:szCs w:val="21"/>
              </w:rPr>
            </w:pPr>
          </w:p>
        </w:tc>
      </w:tr>
    </w:tbl>
    <w:p>
      <w:pPr>
        <w:rPr>
          <w:rFonts w:ascii="宋体" w:hAnsi="宋体"/>
          <w:b/>
          <w:bCs/>
          <w:szCs w:val="21"/>
        </w:rPr>
      </w:pPr>
    </w:p>
    <w:p>
      <w:pPr>
        <w:spacing w:line="360" w:lineRule="auto"/>
        <w:ind w:firstLine="422" w:firstLineChars="200"/>
        <w:rPr>
          <w:rFonts w:ascii="宋体" w:hAnsi="宋体"/>
          <w:b/>
          <w:szCs w:val="21"/>
        </w:rPr>
      </w:pPr>
      <w:r>
        <w:rPr>
          <w:rFonts w:ascii="宋体" w:hAnsi="宋体"/>
          <w:b/>
          <w:szCs w:val="21"/>
        </w:rPr>
        <w:t>评标总得分计算方法：</w:t>
      </w:r>
    </w:p>
    <w:p>
      <w:pPr>
        <w:spacing w:beforeLines="50" w:line="360" w:lineRule="auto"/>
        <w:ind w:firstLine="420" w:firstLineChars="200"/>
        <w:rPr>
          <w:rFonts w:ascii="宋体" w:hAnsi="宋体"/>
          <w:szCs w:val="21"/>
        </w:rPr>
      </w:pPr>
      <w:r>
        <w:rPr>
          <w:rFonts w:hint="eastAsia" w:ascii="宋体" w:hAnsi="宋体"/>
          <w:szCs w:val="21"/>
        </w:rPr>
        <w:t xml:space="preserve">评标时，磋商小组各成员独立对每个有效供应商的竞争性磋商响应文件进行评价、打分，然后汇总每个供应商每项评分因素的得分。 </w:t>
      </w:r>
    </w:p>
    <w:p>
      <w:pPr>
        <w:spacing w:line="360" w:lineRule="auto"/>
        <w:ind w:firstLine="420" w:firstLineChars="200"/>
        <w:rPr>
          <w:rFonts w:ascii="宋体" w:hAnsi="宋体"/>
          <w:szCs w:val="21"/>
        </w:rPr>
      </w:pPr>
      <w:r>
        <w:rPr>
          <w:rFonts w:ascii="宋体" w:hAnsi="宋体"/>
          <w:szCs w:val="21"/>
        </w:rPr>
        <w:t>每个</w:t>
      </w:r>
      <w:r>
        <w:rPr>
          <w:rFonts w:hint="eastAsia" w:ascii="宋体" w:hAnsi="宋体"/>
          <w:szCs w:val="21"/>
        </w:rPr>
        <w:t>供应商的</w:t>
      </w:r>
      <w:r>
        <w:rPr>
          <w:rFonts w:ascii="宋体" w:hAnsi="宋体"/>
          <w:szCs w:val="21"/>
        </w:rPr>
        <w:t>最终得分为</w:t>
      </w:r>
      <w:r>
        <w:rPr>
          <w:rFonts w:hint="eastAsia" w:ascii="宋体" w:hAnsi="宋体"/>
          <w:szCs w:val="21"/>
        </w:rPr>
        <w:t>磋商小组</w:t>
      </w:r>
      <w:r>
        <w:rPr>
          <w:rFonts w:ascii="宋体" w:hAnsi="宋体"/>
          <w:szCs w:val="21"/>
        </w:rPr>
        <w:t>成员有效评分的算术平均值。</w:t>
      </w:r>
    </w:p>
    <w:p>
      <w:pPr>
        <w:spacing w:line="360" w:lineRule="auto"/>
        <w:ind w:firstLine="422" w:firstLineChars="200"/>
        <w:rPr>
          <w:rFonts w:ascii="宋体" w:hAnsi="宋体"/>
          <w:szCs w:val="21"/>
        </w:rPr>
      </w:pPr>
      <w:r>
        <w:rPr>
          <w:rFonts w:ascii="宋体" w:hAnsi="宋体"/>
          <w:b/>
          <w:szCs w:val="21"/>
        </w:rPr>
        <w:t>排序原则：</w:t>
      </w:r>
      <w:r>
        <w:rPr>
          <w:rFonts w:ascii="宋体" w:hAnsi="宋体"/>
          <w:szCs w:val="21"/>
        </w:rPr>
        <w:t>按评审得分由高到低顺序排序。得分相同的，按投标报价由低到高顺序排列。得分且投标报价相同的，按技术指标优劣顺序排列。</w:t>
      </w:r>
    </w:p>
    <w:p>
      <w:pPr>
        <w:spacing w:line="360" w:lineRule="auto"/>
        <w:ind w:firstLine="422" w:firstLineChars="200"/>
        <w:rPr>
          <w:rFonts w:ascii="宋体" w:hAnsi="宋体"/>
          <w:szCs w:val="21"/>
        </w:rPr>
      </w:pPr>
      <w:r>
        <w:rPr>
          <w:rFonts w:hint="eastAsia" w:ascii="宋体" w:hAnsi="宋体"/>
          <w:b/>
          <w:szCs w:val="21"/>
        </w:rPr>
        <w:t>定</w:t>
      </w:r>
      <w:r>
        <w:rPr>
          <w:rFonts w:ascii="宋体" w:hAnsi="宋体"/>
          <w:b/>
          <w:szCs w:val="21"/>
        </w:rPr>
        <w:t>标原则：</w:t>
      </w:r>
      <w:r>
        <w:rPr>
          <w:rFonts w:ascii="宋体" w:hAnsi="宋体"/>
          <w:szCs w:val="21"/>
        </w:rPr>
        <w:t>由</w:t>
      </w:r>
      <w:r>
        <w:rPr>
          <w:rFonts w:hint="eastAsia" w:ascii="宋体" w:hAnsi="宋体"/>
          <w:szCs w:val="21"/>
        </w:rPr>
        <w:t>磋商小组</w:t>
      </w:r>
      <w:r>
        <w:rPr>
          <w:rFonts w:ascii="宋体" w:hAnsi="宋体"/>
          <w:szCs w:val="21"/>
        </w:rPr>
        <w:t>根据评分办法对各包各有效</w:t>
      </w:r>
      <w:r>
        <w:rPr>
          <w:rFonts w:hint="eastAsia" w:ascii="宋体" w:hAnsi="宋体"/>
          <w:szCs w:val="21"/>
        </w:rPr>
        <w:t>供应商</w:t>
      </w:r>
      <w:r>
        <w:rPr>
          <w:rFonts w:ascii="宋体" w:hAnsi="宋体"/>
          <w:szCs w:val="21"/>
        </w:rPr>
        <w:t>的最终得分进行排序，由</w:t>
      </w:r>
      <w:r>
        <w:rPr>
          <w:rFonts w:hint="eastAsia" w:ascii="宋体" w:hAnsi="宋体"/>
          <w:szCs w:val="21"/>
        </w:rPr>
        <w:t>竞争性磋商</w:t>
      </w:r>
      <w:r>
        <w:rPr>
          <w:rFonts w:ascii="宋体" w:hAnsi="宋体"/>
          <w:szCs w:val="21"/>
        </w:rPr>
        <w:t>人依序确定各包入围供应商。</w:t>
      </w:r>
    </w:p>
    <w:p>
      <w:pPr>
        <w:snapToGrid w:val="0"/>
        <w:spacing w:line="360" w:lineRule="auto"/>
        <w:ind w:firstLine="413" w:firstLineChars="196"/>
        <w:rPr>
          <w:rFonts w:ascii="宋体" w:hAnsi="宋体"/>
          <w:b/>
          <w:szCs w:val="21"/>
        </w:rPr>
      </w:pPr>
      <w:r>
        <w:rPr>
          <w:rFonts w:hint="eastAsia" w:ascii="宋体" w:hAnsi="宋体"/>
          <w:b/>
          <w:szCs w:val="21"/>
        </w:rPr>
        <w:t>五、废标条款：</w:t>
      </w:r>
    </w:p>
    <w:p>
      <w:pPr>
        <w:spacing w:line="360" w:lineRule="auto"/>
        <w:ind w:firstLine="405"/>
        <w:rPr>
          <w:rFonts w:ascii="宋体" w:hAnsi="宋体"/>
          <w:b/>
          <w:szCs w:val="21"/>
        </w:rPr>
      </w:pPr>
      <w:r>
        <w:rPr>
          <w:rFonts w:hint="eastAsia" w:ascii="宋体" w:hAnsi="宋体" w:cs="宋体"/>
          <w:kern w:val="0"/>
          <w:szCs w:val="21"/>
        </w:rPr>
        <w:t>在竞争性磋商采购中，出现下列情形之一的，应予废标：</w:t>
      </w:r>
    </w:p>
    <w:p>
      <w:pPr>
        <w:spacing w:line="360" w:lineRule="auto"/>
        <w:ind w:firstLine="420" w:firstLineChars="200"/>
        <w:rPr>
          <w:rFonts w:ascii="宋体" w:hAnsi="宋体" w:cs="宋体"/>
          <w:kern w:val="0"/>
          <w:szCs w:val="21"/>
        </w:rPr>
      </w:pPr>
      <w:r>
        <w:rPr>
          <w:rFonts w:hint="eastAsia" w:ascii="宋体" w:hAnsi="宋体" w:cs="宋体"/>
          <w:kern w:val="0"/>
          <w:szCs w:val="21"/>
        </w:rPr>
        <w:t>1.符合专业条件的供应商或者对竞争性磋商文件作实质响应的供应商不足三家的。</w:t>
      </w:r>
    </w:p>
    <w:p>
      <w:pPr>
        <w:spacing w:line="360" w:lineRule="auto"/>
        <w:ind w:firstLine="420" w:firstLineChars="200"/>
        <w:rPr>
          <w:rFonts w:ascii="宋体" w:hAnsi="宋体" w:cs="宋体"/>
          <w:kern w:val="0"/>
          <w:szCs w:val="21"/>
        </w:rPr>
      </w:pPr>
      <w:r>
        <w:rPr>
          <w:rFonts w:hint="eastAsia" w:ascii="宋体" w:hAnsi="宋体" w:cs="宋体"/>
          <w:kern w:val="0"/>
          <w:szCs w:val="21"/>
        </w:rPr>
        <w:t>2.出现影响采购公正的违法、违规行为的。</w:t>
      </w:r>
    </w:p>
    <w:p>
      <w:pPr>
        <w:spacing w:line="360" w:lineRule="auto"/>
        <w:ind w:firstLine="420" w:firstLineChars="200"/>
        <w:rPr>
          <w:rFonts w:ascii="华文琥珀" w:hAnsi="宋体" w:eastAsia="华文琥珀" w:cs="宋体"/>
          <w:kern w:val="0"/>
          <w:szCs w:val="21"/>
        </w:rPr>
      </w:pPr>
      <w:r>
        <w:rPr>
          <w:rFonts w:hint="eastAsia" w:ascii="宋体" w:hAnsi="宋体" w:cs="宋体"/>
          <w:kern w:val="0"/>
          <w:szCs w:val="21"/>
        </w:rPr>
        <w:t>3.供应商的报价均超过了采购预算，采购人不能支付的。</w:t>
      </w:r>
      <w:r>
        <w:rPr>
          <w:rFonts w:hint="eastAsia" w:ascii="华文琥珀" w:hAnsi="宋体" w:eastAsia="华文琥珀" w:cs="宋体"/>
          <w:kern w:val="0"/>
          <w:szCs w:val="21"/>
        </w:rPr>
        <w:t xml:space="preserve"> </w:t>
      </w:r>
    </w:p>
    <w:p>
      <w:pPr>
        <w:spacing w:line="360" w:lineRule="auto"/>
        <w:ind w:firstLine="420" w:firstLineChars="200"/>
        <w:rPr>
          <w:rFonts w:ascii="宋体" w:hAnsi="宋体" w:cs="宋体"/>
          <w:kern w:val="0"/>
          <w:szCs w:val="21"/>
        </w:rPr>
      </w:pPr>
      <w:r>
        <w:rPr>
          <w:rFonts w:hint="eastAsia" w:ascii="宋体" w:hAnsi="宋体" w:cs="宋体"/>
          <w:kern w:val="0"/>
          <w:szCs w:val="21"/>
        </w:rPr>
        <w:t>4.因重大变故，采购任务取消的。</w:t>
      </w:r>
      <w:bookmarkStart w:id="5" w:name="_Toc397969220"/>
    </w:p>
    <w:p>
      <w:pPr>
        <w:spacing w:line="360" w:lineRule="auto"/>
        <w:ind w:firstLine="420" w:firstLineChars="200"/>
        <w:rPr>
          <w:rFonts w:ascii="宋体" w:hAnsi="宋体" w:cs="宋体"/>
          <w:kern w:val="0"/>
          <w:szCs w:val="21"/>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rPr>
          <w:rFonts w:hint="eastAsia"/>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rPr>
          <w:rFonts w:hint="eastAsia"/>
        </w:rPr>
      </w:pPr>
    </w:p>
    <w:p>
      <w:pPr>
        <w:rPr>
          <w:rFonts w:hint="eastAsia"/>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hint="eastAsia" w:asciiTheme="minorEastAsia" w:hAnsiTheme="minorEastAsia" w:cstheme="minorBidi"/>
          <w:b/>
          <w:color w:val="000000" w:themeColor="text1"/>
          <w:sz w:val="24"/>
          <w:szCs w:val="24"/>
        </w:rPr>
      </w:pPr>
    </w:p>
    <w:p>
      <w:pPr>
        <w:pStyle w:val="4"/>
        <w:keepNext w:val="0"/>
        <w:keepLines w:val="0"/>
        <w:numPr>
          <w:ilvl w:val="1"/>
          <w:numId w:val="0"/>
        </w:numPr>
        <w:tabs>
          <w:tab w:val="center" w:pos="4365"/>
        </w:tabs>
        <w:spacing w:before="220" w:after="220" w:line="400" w:lineRule="exact"/>
        <w:jc w:val="center"/>
        <w:rPr>
          <w:rFonts w:asciiTheme="minorEastAsia" w:hAnsiTheme="minorEastAsia" w:cstheme="minorBidi"/>
          <w:b/>
          <w:color w:val="000000" w:themeColor="text1"/>
          <w:sz w:val="24"/>
          <w:szCs w:val="24"/>
        </w:rPr>
      </w:pPr>
      <w:r>
        <w:rPr>
          <w:rFonts w:hint="eastAsia" w:asciiTheme="minorEastAsia" w:hAnsiTheme="minorEastAsia" w:cstheme="minorBidi"/>
          <w:b/>
          <w:color w:val="000000" w:themeColor="text1"/>
          <w:sz w:val="24"/>
          <w:szCs w:val="24"/>
        </w:rPr>
        <w:t>中小企业及监狱企业优惠办法</w:t>
      </w:r>
    </w:p>
    <w:tbl>
      <w:tblPr>
        <w:tblStyle w:val="5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0" w:type="dxa"/>
            <w:vAlign w:val="center"/>
          </w:tcPr>
          <w:p>
            <w:pPr>
              <w:spacing w:line="4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序号</w:t>
            </w:r>
          </w:p>
        </w:tc>
        <w:tc>
          <w:tcPr>
            <w:tcW w:w="1484" w:type="dxa"/>
            <w:vAlign w:val="center"/>
          </w:tcPr>
          <w:p>
            <w:pPr>
              <w:spacing w:line="4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项目</w:t>
            </w:r>
          </w:p>
        </w:tc>
        <w:tc>
          <w:tcPr>
            <w:tcW w:w="6256" w:type="dxa"/>
            <w:vAlign w:val="center"/>
          </w:tcPr>
          <w:p>
            <w:pPr>
              <w:spacing w:line="4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1</w:t>
            </w:r>
          </w:p>
        </w:tc>
        <w:tc>
          <w:tcPr>
            <w:tcW w:w="1484"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本项目是否属于专门面向中小企业和监狱企业的政府采购活动：</w:t>
            </w:r>
          </w:p>
        </w:tc>
        <w:tc>
          <w:tcPr>
            <w:tcW w:w="6256" w:type="dxa"/>
            <w:vAlign w:val="center"/>
          </w:tcPr>
          <w:p>
            <w:pPr>
              <w:spacing w:line="480" w:lineRule="exact"/>
              <w:rPr>
                <w:rFonts w:asciiTheme="minorEastAsia" w:hAnsiTheme="minorEastAsia"/>
                <w:color w:val="000000" w:themeColor="text1"/>
                <w:sz w:val="24"/>
              </w:rPr>
            </w:pPr>
            <w:r>
              <w:rPr>
                <w:rFonts w:hint="eastAsia" w:ascii="Segoe UI Emoji" w:hAnsi="Segoe UI Emoji" w:cs="Segoe UI Emoji"/>
                <w:color w:val="000000" w:themeColor="text1"/>
                <w:sz w:val="24"/>
                <w:lang w:eastAsia="zh-CN"/>
              </w:rPr>
              <w:t>□</w:t>
            </w:r>
            <w:r>
              <w:rPr>
                <w:rFonts w:hint="eastAsia" w:asciiTheme="minorEastAsia" w:hAnsiTheme="minorEastAsia"/>
                <w:color w:val="000000" w:themeColor="text1"/>
                <w:sz w:val="24"/>
              </w:rPr>
              <w:t xml:space="preserve">是/ </w:t>
            </w:r>
            <w:r>
              <w:rPr>
                <w:rFonts w:hint="eastAsia" w:asciiTheme="minorEastAsia" w:hAnsiTheme="minorEastAsia"/>
                <w:b/>
                <w:color w:val="000000" w:themeColor="text1"/>
                <w:sz w:val="24"/>
                <w:lang w:eastAsia="zh-CN"/>
              </w:rPr>
              <w:t>☑</w:t>
            </w:r>
            <w:r>
              <w:rPr>
                <w:rFonts w:hint="eastAsia" w:asciiTheme="minorEastAsia" w:hAnsiTheme="minorEastAsia"/>
                <w:color w:val="000000" w:themeColor="text1"/>
                <w:sz w:val="24"/>
              </w:rPr>
              <w:t>否</w:t>
            </w:r>
          </w:p>
          <w:p>
            <w:pPr>
              <w:spacing w:line="480" w:lineRule="exact"/>
              <w:rPr>
                <w:rFonts w:asciiTheme="minorEastAsia" w:hAnsiTheme="minorEastAsia"/>
                <w:color w:val="000000" w:themeColor="text1"/>
                <w:sz w:val="24"/>
              </w:rPr>
            </w:pPr>
            <w:r>
              <w:rPr>
                <w:rFonts w:hint="eastAsia" w:asciiTheme="minorEastAsia" w:hAnsiTheme="minorEastAsia"/>
                <w:color w:val="000000" w:themeColor="text1"/>
                <w:sz w:val="24"/>
              </w:rPr>
              <w:t>（</w:t>
            </w:r>
            <w:r>
              <w:rPr>
                <w:rFonts w:hint="eastAsia" w:cs="宋体" w:asciiTheme="minorEastAsia" w:hAnsiTheme="minorEastAsia"/>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2</w:t>
            </w:r>
          </w:p>
        </w:tc>
        <w:tc>
          <w:tcPr>
            <w:tcW w:w="1484" w:type="dxa"/>
            <w:vAlign w:val="center"/>
          </w:tcPr>
          <w:p>
            <w:pPr>
              <w:spacing w:line="480" w:lineRule="exact"/>
              <w:jc w:val="center"/>
              <w:rPr>
                <w:rFonts w:asciiTheme="minorEastAsia" w:hAnsiTheme="minorEastAsia"/>
                <w:color w:val="000000" w:themeColor="text1"/>
                <w:sz w:val="24"/>
              </w:rPr>
            </w:pPr>
            <w:r>
              <w:rPr>
                <w:rFonts w:hint="eastAsia" w:asciiTheme="minorEastAsia" w:hAnsiTheme="minorEastAsia"/>
                <w:b/>
                <w:color w:val="000000" w:themeColor="text1"/>
                <w:sz w:val="24"/>
              </w:rPr>
              <w:t>中小企业的认定标准</w:t>
            </w:r>
          </w:p>
        </w:tc>
        <w:tc>
          <w:tcPr>
            <w:tcW w:w="6256" w:type="dxa"/>
          </w:tcPr>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投标供应商须同时满足以下两个条件，才能认定为中小企业</w:t>
            </w:r>
            <w:r>
              <w:rPr>
                <w:rFonts w:hint="eastAsia" w:asciiTheme="minorEastAsia" w:hAnsiTheme="minorEastAsia"/>
                <w:b/>
                <w:color w:val="000000" w:themeColor="text1"/>
                <w:sz w:val="24"/>
              </w:rPr>
              <w:t>（含中型、小型、微型企业，下同）</w:t>
            </w:r>
            <w:r>
              <w:rPr>
                <w:rFonts w:hint="eastAsia" w:asciiTheme="minorEastAsia" w:hAnsiTheme="minorEastAsia"/>
                <w:color w:val="000000" w:themeColor="text1"/>
                <w:sz w:val="24"/>
              </w:rPr>
              <w:t>：</w:t>
            </w:r>
          </w:p>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（1）符合《工业和信息化部、国家统计局、国家发展和改革委员会、财政部关于印发中小企业划型标准规定的通知》（工信部联企业〔2011〕300号）规定的中小企业划分标准；</w:t>
            </w:r>
          </w:p>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注： 联合体参与谈判响应的的，以联合体中划型标准较高的一方，作为该联合体的企业划型标准。</w:t>
            </w:r>
          </w:p>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（2）提供本企业制造的货物、承担的工程或者服务，或者提供其他中小企业制造的货物。</w:t>
            </w:r>
            <w:r>
              <w:rPr>
                <w:rFonts w:hint="eastAsia" w:cs="SimSun-Identity-H" w:asciiTheme="minorEastAsia" w:hAnsiTheme="minorEastAsia"/>
                <w:color w:val="000000" w:themeColor="text1"/>
                <w:kern w:val="0"/>
                <w:sz w:val="24"/>
              </w:rPr>
              <w:t>本项所称货物不包括使用大型企业注册商标的货物；</w:t>
            </w:r>
          </w:p>
          <w:p>
            <w:p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3</w:t>
            </w:r>
          </w:p>
        </w:tc>
        <w:tc>
          <w:tcPr>
            <w:tcW w:w="1484" w:type="dxa"/>
            <w:vAlign w:val="center"/>
          </w:tcPr>
          <w:p>
            <w:pPr>
              <w:spacing w:line="48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监狱企业的认定标准</w:t>
            </w:r>
          </w:p>
        </w:tc>
        <w:tc>
          <w:tcPr>
            <w:tcW w:w="6256" w:type="dxa"/>
          </w:tcPr>
          <w:p>
            <w:pPr>
              <w:spacing w:line="480" w:lineRule="exact"/>
              <w:ind w:firstLine="480" w:firstLineChars="200"/>
              <w:rPr>
                <w:rFonts w:asciiTheme="minorEastAsia" w:hAnsiTheme="minorEastAsia"/>
                <w:color w:val="000000" w:themeColor="text1"/>
                <w:sz w:val="24"/>
              </w:rPr>
            </w:pPr>
            <w:r>
              <w:rPr>
                <w:rFonts w:hint="eastAsia" w:cs="宋体" w:asciiTheme="minorEastAsia" w:hAnsiTheme="minorEastAsia"/>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900"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4</w:t>
            </w:r>
          </w:p>
        </w:tc>
        <w:tc>
          <w:tcPr>
            <w:tcW w:w="1484"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优惠办法：</w:t>
            </w:r>
          </w:p>
        </w:tc>
        <w:tc>
          <w:tcPr>
            <w:tcW w:w="6256" w:type="dxa"/>
            <w:tcBorders>
              <w:bottom w:val="single" w:color="auto" w:sz="4" w:space="0"/>
            </w:tcBorders>
          </w:tcPr>
          <w:p>
            <w:pPr>
              <w:spacing w:before="60" w:beforeLines="25" w:after="60" w:afterLines="25" w:line="320" w:lineRule="exact"/>
              <w:ind w:left="-65" w:leftChars="-31" w:firstLine="12" w:firstLineChars="5"/>
              <w:rPr>
                <w:rFonts w:asciiTheme="minorEastAsia" w:hAnsiTheme="minorEastAsia"/>
                <w:b/>
                <w:color w:val="000000" w:themeColor="text1"/>
                <w:sz w:val="24"/>
              </w:rPr>
            </w:pPr>
            <w:r>
              <w:rPr>
                <w:rFonts w:hint="eastAsia" w:asciiTheme="minorEastAsia" w:hAnsiTheme="minorEastAsia"/>
                <w:b/>
                <w:color w:val="000000" w:themeColor="text1"/>
                <w:sz w:val="24"/>
              </w:rPr>
              <w:t>小型企业或微型企业：</w:t>
            </w:r>
          </w:p>
          <w:p>
            <w:pPr>
              <w:spacing w:before="60" w:beforeLines="25" w:after="60" w:afterLines="25" w:line="320" w:lineRule="exact"/>
              <w:ind w:left="-65" w:leftChars="-31" w:firstLine="475" w:firstLineChars="205"/>
              <w:rPr>
                <w:rFonts w:asciiTheme="minorEastAsia" w:hAnsiTheme="minorEastAsia"/>
                <w:color w:val="000000" w:themeColor="text1"/>
                <w:spacing w:val="-4"/>
                <w:sz w:val="24"/>
              </w:rPr>
            </w:pPr>
            <w:r>
              <w:rPr>
                <w:rFonts w:hint="eastAsia" w:asciiTheme="minorEastAsia" w:hAnsiTheme="minorEastAsia"/>
                <w:color w:val="000000" w:themeColor="text1"/>
                <w:spacing w:val="-4"/>
                <w:sz w:val="24"/>
              </w:rPr>
              <w:t>价格扣除：按报价的</w:t>
            </w:r>
            <w:r>
              <w:rPr>
                <w:rFonts w:hint="eastAsia" w:asciiTheme="minorEastAsia" w:hAnsiTheme="minorEastAsia"/>
                <w:color w:val="000000" w:themeColor="text1"/>
                <w:spacing w:val="-4"/>
                <w:sz w:val="24"/>
                <w:u w:val="single"/>
                <w:lang w:val="en-US" w:eastAsia="zh-CN"/>
              </w:rPr>
              <w:t xml:space="preserve">      </w:t>
            </w:r>
            <w:r>
              <w:rPr>
                <w:rFonts w:hint="eastAsia" w:asciiTheme="minorEastAsia" w:hAnsiTheme="minorEastAsia"/>
                <w:color w:val="000000" w:themeColor="text1"/>
                <w:spacing w:val="-4"/>
                <w:sz w:val="24"/>
              </w:rPr>
              <w:t>计算评审价</w:t>
            </w:r>
          </w:p>
          <w:p>
            <w:pPr>
              <w:spacing w:before="60" w:beforeLines="25" w:after="60" w:afterLines="25" w:line="320" w:lineRule="exact"/>
              <w:ind w:left="-65" w:leftChars="-31" w:firstLine="12" w:firstLineChars="5"/>
              <w:rPr>
                <w:rFonts w:asciiTheme="minorEastAsia" w:hAnsiTheme="minorEastAsia"/>
                <w:b/>
                <w:color w:val="000000" w:themeColor="text1"/>
                <w:spacing w:val="-4"/>
                <w:sz w:val="24"/>
              </w:rPr>
            </w:pPr>
            <w:r>
              <w:rPr>
                <w:rFonts w:hint="eastAsia" w:asciiTheme="minorEastAsia" w:hAnsiTheme="minorEastAsia"/>
                <w:b/>
                <w:color w:val="000000" w:themeColor="text1"/>
                <w:spacing w:val="-4"/>
                <w:sz w:val="24"/>
              </w:rPr>
              <w:t>中型企业：</w:t>
            </w:r>
          </w:p>
          <w:p>
            <w:pPr>
              <w:spacing w:before="60" w:beforeLines="25" w:after="60" w:afterLines="25" w:line="320" w:lineRule="exact"/>
              <w:ind w:firstLine="480" w:firstLineChars="200"/>
              <w:rPr>
                <w:rFonts w:asciiTheme="minorEastAsia" w:hAnsiTheme="minorEastAsia"/>
                <w:color w:val="000000" w:themeColor="text1"/>
                <w:spacing w:val="-4"/>
                <w:sz w:val="24"/>
              </w:rPr>
            </w:pPr>
            <w:r>
              <w:rPr>
                <w:rFonts w:hint="eastAsia" w:asciiTheme="minorEastAsia" w:hAnsiTheme="minorEastAsia"/>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0"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5</w:t>
            </w:r>
          </w:p>
        </w:tc>
        <w:tc>
          <w:tcPr>
            <w:tcW w:w="1484"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小型或微型企业产品价格清单</w:t>
            </w:r>
          </w:p>
        </w:tc>
        <w:tc>
          <w:tcPr>
            <w:tcW w:w="6256" w:type="dxa"/>
            <w:tcBorders>
              <w:bottom w:val="single" w:color="auto" w:sz="4" w:space="0"/>
            </w:tcBorders>
          </w:tcPr>
          <w:p>
            <w:pPr>
              <w:rPr>
                <w:rFonts w:asciiTheme="minorEastAsia" w:hAnsiTheme="minorEastAsia"/>
                <w:b/>
                <w:color w:val="000000" w:themeColor="text1"/>
                <w:sz w:val="24"/>
              </w:rPr>
            </w:pPr>
            <w:r>
              <w:rPr>
                <w:rFonts w:hint="eastAsia" w:asciiTheme="minorEastAsia" w:hAnsiTheme="minorEastAsia"/>
                <w:color w:val="000000" w:themeColor="text1"/>
                <w:sz w:val="24"/>
              </w:rPr>
              <w:t>（</w:t>
            </w:r>
            <w:r>
              <w:rPr>
                <w:rFonts w:hint="eastAsia" w:asciiTheme="minorEastAsia" w:hAnsiTheme="minorEastAsia"/>
                <w:b/>
                <w:color w:val="000000" w:themeColor="text1"/>
                <w:sz w:val="24"/>
              </w:rPr>
              <w:t>本清单附在《中小企业声明函》后，不附所投产品视为非小微企业产品）</w:t>
            </w:r>
          </w:p>
          <w:tbl>
            <w:tblPr>
              <w:tblStyle w:val="50"/>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360" w:lineRule="auto"/>
                    <w:jc w:val="center"/>
                    <w:rPr>
                      <w:rFonts w:asciiTheme="minorEastAsia" w:hAnsiTheme="minorEastAsia"/>
                      <w:color w:val="000000" w:themeColor="text1"/>
                      <w:sz w:val="24"/>
                    </w:rPr>
                  </w:pPr>
                  <w:r>
                    <w:rPr>
                      <w:rFonts w:hint="eastAsia" w:asciiTheme="minorEastAsia" w:hAnsiTheme="minorEastAsia"/>
                      <w:b/>
                      <w:color w:val="000000" w:themeColor="text1"/>
                      <w:sz w:val="24"/>
                    </w:rPr>
                    <w:t>小型或微型企业产品价格清单</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供应商中小企业性质（中型、小型、微型）：</w:t>
                  </w:r>
                  <w:r>
                    <w:rPr>
                      <w:rFonts w:hint="eastAsia" w:asciiTheme="minorEastAsia" w:hAnsiTheme="minorEastAsia"/>
                      <w:color w:val="000000" w:themeColor="text1"/>
                      <w:sz w:val="24"/>
                      <w:u w:val="single"/>
                    </w:rPr>
                    <w:t xml:space="preserve">                        </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序号</w:t>
                  </w:r>
                </w:p>
              </w:tc>
              <w:tc>
                <w:tcPr>
                  <w:tcW w:w="962"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货物名称</w:t>
                  </w:r>
                </w:p>
              </w:tc>
              <w:tc>
                <w:tcPr>
                  <w:tcW w:w="834"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制造商</w:t>
                  </w:r>
                </w:p>
              </w:tc>
              <w:tc>
                <w:tcPr>
                  <w:tcW w:w="1899"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制造商性质（小型、微型）</w:t>
                  </w:r>
                </w:p>
              </w:tc>
              <w:tc>
                <w:tcPr>
                  <w:tcW w:w="1316"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1</w:t>
                  </w:r>
                </w:p>
              </w:tc>
              <w:tc>
                <w:tcPr>
                  <w:tcW w:w="962" w:type="dxa"/>
                </w:tcPr>
                <w:p>
                  <w:pPr>
                    <w:spacing w:line="360" w:lineRule="auto"/>
                    <w:rPr>
                      <w:rFonts w:asciiTheme="minorEastAsia" w:hAnsiTheme="minorEastAsia"/>
                      <w:color w:val="000000" w:themeColor="text1"/>
                      <w:sz w:val="24"/>
                    </w:rPr>
                  </w:pPr>
                </w:p>
              </w:tc>
              <w:tc>
                <w:tcPr>
                  <w:tcW w:w="834" w:type="dxa"/>
                </w:tcPr>
                <w:p>
                  <w:pPr>
                    <w:spacing w:line="360" w:lineRule="auto"/>
                    <w:rPr>
                      <w:rFonts w:asciiTheme="minorEastAsia" w:hAnsiTheme="minorEastAsia"/>
                      <w:color w:val="000000" w:themeColor="text1"/>
                      <w:sz w:val="24"/>
                    </w:rPr>
                  </w:pPr>
                </w:p>
              </w:tc>
              <w:tc>
                <w:tcPr>
                  <w:tcW w:w="1899" w:type="dxa"/>
                </w:tcPr>
                <w:p>
                  <w:pPr>
                    <w:spacing w:line="360" w:lineRule="auto"/>
                    <w:rPr>
                      <w:rFonts w:asciiTheme="minorEastAsia" w:hAnsiTheme="minorEastAsia"/>
                      <w:color w:val="000000" w:themeColor="text1"/>
                      <w:sz w:val="24"/>
                    </w:rPr>
                  </w:pPr>
                </w:p>
              </w:tc>
              <w:tc>
                <w:tcPr>
                  <w:tcW w:w="1316"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2</w:t>
                  </w:r>
                </w:p>
              </w:tc>
              <w:tc>
                <w:tcPr>
                  <w:tcW w:w="962" w:type="dxa"/>
                </w:tcPr>
                <w:p>
                  <w:pPr>
                    <w:spacing w:line="360" w:lineRule="auto"/>
                    <w:rPr>
                      <w:rFonts w:asciiTheme="minorEastAsia" w:hAnsiTheme="minorEastAsia"/>
                      <w:color w:val="000000" w:themeColor="text1"/>
                      <w:sz w:val="24"/>
                    </w:rPr>
                  </w:pPr>
                </w:p>
              </w:tc>
              <w:tc>
                <w:tcPr>
                  <w:tcW w:w="834" w:type="dxa"/>
                </w:tcPr>
                <w:p>
                  <w:pPr>
                    <w:spacing w:line="360" w:lineRule="auto"/>
                    <w:rPr>
                      <w:rFonts w:asciiTheme="minorEastAsia" w:hAnsiTheme="minorEastAsia"/>
                      <w:color w:val="000000" w:themeColor="text1"/>
                      <w:sz w:val="24"/>
                    </w:rPr>
                  </w:pPr>
                </w:p>
              </w:tc>
              <w:tc>
                <w:tcPr>
                  <w:tcW w:w="1899" w:type="dxa"/>
                </w:tcPr>
                <w:p>
                  <w:pPr>
                    <w:spacing w:line="360" w:lineRule="auto"/>
                    <w:rPr>
                      <w:rFonts w:asciiTheme="minorEastAsia" w:hAnsiTheme="minorEastAsia"/>
                      <w:color w:val="000000" w:themeColor="text1"/>
                      <w:sz w:val="24"/>
                    </w:rPr>
                  </w:pPr>
                </w:p>
              </w:tc>
              <w:tc>
                <w:tcPr>
                  <w:tcW w:w="1316"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3</w:t>
                  </w:r>
                </w:p>
              </w:tc>
              <w:tc>
                <w:tcPr>
                  <w:tcW w:w="962" w:type="dxa"/>
                </w:tcPr>
                <w:p>
                  <w:pPr>
                    <w:spacing w:line="360" w:lineRule="auto"/>
                    <w:rPr>
                      <w:rFonts w:asciiTheme="minorEastAsia" w:hAnsiTheme="minorEastAsia"/>
                      <w:color w:val="000000" w:themeColor="text1"/>
                      <w:sz w:val="24"/>
                    </w:rPr>
                  </w:pPr>
                </w:p>
              </w:tc>
              <w:tc>
                <w:tcPr>
                  <w:tcW w:w="834" w:type="dxa"/>
                </w:tcPr>
                <w:p>
                  <w:pPr>
                    <w:spacing w:line="360" w:lineRule="auto"/>
                    <w:rPr>
                      <w:rFonts w:asciiTheme="minorEastAsia" w:hAnsiTheme="minorEastAsia"/>
                      <w:color w:val="000000" w:themeColor="text1"/>
                      <w:sz w:val="24"/>
                    </w:rPr>
                  </w:pPr>
                </w:p>
              </w:tc>
              <w:tc>
                <w:tcPr>
                  <w:tcW w:w="1899" w:type="dxa"/>
                </w:tcPr>
                <w:p>
                  <w:pPr>
                    <w:spacing w:line="360" w:lineRule="auto"/>
                    <w:rPr>
                      <w:rFonts w:asciiTheme="minorEastAsia" w:hAnsiTheme="minorEastAsia"/>
                      <w:color w:val="000000" w:themeColor="text1"/>
                      <w:sz w:val="24"/>
                    </w:rPr>
                  </w:pPr>
                </w:p>
              </w:tc>
              <w:tc>
                <w:tcPr>
                  <w:tcW w:w="1316"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w:t>
                  </w:r>
                </w:p>
              </w:tc>
              <w:tc>
                <w:tcPr>
                  <w:tcW w:w="962" w:type="dxa"/>
                </w:tcPr>
                <w:p>
                  <w:pPr>
                    <w:spacing w:line="360" w:lineRule="auto"/>
                    <w:rPr>
                      <w:rFonts w:asciiTheme="minorEastAsia" w:hAnsiTheme="minorEastAsia"/>
                      <w:color w:val="000000" w:themeColor="text1"/>
                      <w:sz w:val="24"/>
                    </w:rPr>
                  </w:pPr>
                </w:p>
              </w:tc>
              <w:tc>
                <w:tcPr>
                  <w:tcW w:w="834" w:type="dxa"/>
                </w:tcPr>
                <w:p>
                  <w:pPr>
                    <w:spacing w:line="360" w:lineRule="auto"/>
                    <w:rPr>
                      <w:rFonts w:asciiTheme="minorEastAsia" w:hAnsiTheme="minorEastAsia"/>
                      <w:color w:val="000000" w:themeColor="text1"/>
                      <w:sz w:val="24"/>
                    </w:rPr>
                  </w:pPr>
                </w:p>
              </w:tc>
              <w:tc>
                <w:tcPr>
                  <w:tcW w:w="1899" w:type="dxa"/>
                </w:tcPr>
                <w:p>
                  <w:pPr>
                    <w:spacing w:line="360" w:lineRule="auto"/>
                    <w:rPr>
                      <w:rFonts w:asciiTheme="minorEastAsia" w:hAnsiTheme="minorEastAsia"/>
                      <w:color w:val="000000" w:themeColor="text1"/>
                      <w:sz w:val="24"/>
                    </w:rPr>
                  </w:pPr>
                </w:p>
              </w:tc>
              <w:tc>
                <w:tcPr>
                  <w:tcW w:w="1316"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小型或微型企业货物金额合计A</w:t>
                  </w:r>
                </w:p>
              </w:tc>
              <w:tc>
                <w:tcPr>
                  <w:tcW w:w="1316"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gridSpan w:val="4"/>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报价一览表中所有货物报价B</w:t>
                  </w:r>
                </w:p>
              </w:tc>
              <w:tc>
                <w:tcPr>
                  <w:tcW w:w="1316" w:type="dxa"/>
                </w:tcPr>
                <w:p>
                  <w:pPr>
                    <w:spacing w:line="360" w:lineRule="auto"/>
                    <w:rPr>
                      <w:rFonts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评审价格C=</w:t>
                  </w:r>
                  <w:r>
                    <w:rPr>
                      <w:rFonts w:hint="eastAsia" w:asciiTheme="minorEastAsia" w:hAnsiTheme="minorEastAsia"/>
                      <w:color w:val="000000" w:themeColor="text1"/>
                      <w:sz w:val="24"/>
                      <w:u w:val="single"/>
                    </w:rPr>
                    <w:t>（0.94）</w:t>
                  </w:r>
                  <w:r>
                    <w:rPr>
                      <w:rFonts w:hint="eastAsia" w:asciiTheme="minorEastAsia" w:hAnsiTheme="minorEastAsia"/>
                      <w:color w:val="000000" w:themeColor="text1"/>
                      <w:sz w:val="24"/>
                    </w:rPr>
                    <w:t>*A+B-A</w:t>
                  </w:r>
                </w:p>
              </w:tc>
              <w:tc>
                <w:tcPr>
                  <w:tcW w:w="1316" w:type="dxa"/>
                </w:tcPr>
                <w:p>
                  <w:pPr>
                    <w:spacing w:line="360" w:lineRule="auto"/>
                    <w:rPr>
                      <w:rFonts w:asciiTheme="minorEastAsia" w:hAnsiTheme="minorEastAsia"/>
                      <w:color w:val="000000" w:themeColor="text1"/>
                      <w:sz w:val="24"/>
                    </w:rPr>
                  </w:pPr>
                </w:p>
              </w:tc>
            </w:tr>
          </w:tbl>
          <w:p>
            <w:pPr>
              <w:spacing w:before="60" w:beforeLines="25" w:after="60" w:afterLines="25" w:line="320" w:lineRule="exact"/>
              <w:rPr>
                <w:rFonts w:asciiTheme="minorEastAsia" w:hAnsiTheme="minorEastAsia"/>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6</w:t>
            </w:r>
          </w:p>
        </w:tc>
        <w:tc>
          <w:tcPr>
            <w:tcW w:w="1484"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证明材料</w:t>
            </w:r>
          </w:p>
        </w:tc>
        <w:tc>
          <w:tcPr>
            <w:tcW w:w="6256" w:type="dxa"/>
            <w:tcBorders>
              <w:bottom w:val="single" w:color="auto" w:sz="4" w:space="0"/>
            </w:tcBorders>
          </w:tcPr>
          <w:p>
            <w:pPr>
              <w:numPr>
                <w:ilvl w:val="0"/>
                <w:numId w:val="0"/>
              </w:numPr>
              <w:spacing w:line="48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供应商参与投标响应时须对照《中小企业划型标准规定》（工信部联企业[2011]300号）文件规定，提供《中小企业声明函》。</w:t>
            </w:r>
            <w:r>
              <w:rPr>
                <w:rFonts w:asciiTheme="minorEastAsia" w:hAnsiTheme="minorEastAsia"/>
                <w:color w:val="000000" w:themeColor="text1"/>
                <w:sz w:val="24"/>
              </w:rPr>
              <w:t xml:space="preserve"> </w:t>
            </w:r>
          </w:p>
          <w:p>
            <w:pPr>
              <w:spacing w:line="480" w:lineRule="exact"/>
              <w:ind w:firstLine="480" w:firstLineChars="200"/>
              <w:rPr>
                <w:rFonts w:cs="宋体" w:asciiTheme="minorEastAsia" w:hAnsiTheme="minorEastAsia"/>
                <w:color w:val="000000" w:themeColor="text1"/>
                <w:kern w:val="0"/>
                <w:sz w:val="24"/>
              </w:rPr>
            </w:pPr>
            <w:r>
              <w:rPr>
                <w:rFonts w:hint="eastAsia" w:asciiTheme="minorEastAsia" w:hAnsiTheme="minorEastAsia"/>
                <w:color w:val="000000" w:themeColor="text1"/>
                <w:sz w:val="24"/>
              </w:rPr>
              <w:t>符合监狱企业政策的供应商参与谈判时需提供</w:t>
            </w:r>
            <w:r>
              <w:rPr>
                <w:rFonts w:hint="eastAsia" w:cs="宋体" w:asciiTheme="minorEastAsia" w:hAnsiTheme="minorEastAsia"/>
                <w:color w:val="000000" w:themeColor="text1"/>
                <w:kern w:val="0"/>
                <w:sz w:val="24"/>
              </w:rPr>
              <w:t>省级以上监狱管理局、戒毒管理局（含新疆生产建设兵团）出具的属于监狱企业的证明文件。</w:t>
            </w:r>
          </w:p>
          <w:p>
            <w:pPr>
              <w:spacing w:line="480" w:lineRule="exact"/>
              <w:ind w:firstLine="480" w:firstLineChars="200"/>
              <w:rPr>
                <w:rFonts w:cs="宋体" w:asciiTheme="minorEastAsia" w:hAnsiTheme="minorEastAsia"/>
                <w:color w:val="000000" w:themeColor="text1"/>
                <w:kern w:val="0"/>
                <w:sz w:val="24"/>
              </w:rPr>
            </w:pPr>
            <w:r>
              <w:rPr>
                <w:rFonts w:hint="eastAsia" w:asciiTheme="minorEastAsia" w:hAnsiTheme="minorEastAsia" w:cstheme="minorEastAsia"/>
                <w:color w:val="000000"/>
                <w:sz w:val="24"/>
              </w:rPr>
              <w:t>注：根据《三部门联合发布关于促进残疾人就业政府采购政策的通知》财库〔2017〕141号要求，在政府采购活动中，残疾人福利性单位视同小型、微型企业，享受预留份额、评审中价格扣除等促进中小企业发展的政府采购政策。同时需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7</w:t>
            </w:r>
          </w:p>
        </w:tc>
        <w:tc>
          <w:tcPr>
            <w:tcW w:w="1484" w:type="dxa"/>
            <w:vAlign w:val="center"/>
          </w:tcPr>
          <w:p>
            <w:pPr>
              <w:widowControl/>
              <w:jc w:val="center"/>
              <w:rPr>
                <w:rFonts w:asciiTheme="minorEastAsia" w:hAnsiTheme="minorEastAsia"/>
                <w:b/>
                <w:color w:val="000000" w:themeColor="text1"/>
                <w:sz w:val="24"/>
              </w:rPr>
            </w:pPr>
            <w:r>
              <w:rPr>
                <w:rFonts w:hint="eastAsia" w:asciiTheme="minorEastAsia" w:hAnsiTheme="minorEastAsia"/>
                <w:b/>
                <w:color w:val="000000" w:themeColor="text1"/>
                <w:sz w:val="24"/>
              </w:rPr>
              <w:t>相关风险</w:t>
            </w:r>
          </w:p>
        </w:tc>
        <w:tc>
          <w:tcPr>
            <w:tcW w:w="6256" w:type="dxa"/>
            <w:tcBorders>
              <w:bottom w:val="single" w:color="auto" w:sz="4" w:space="0"/>
            </w:tcBorders>
          </w:tcPr>
          <w:p>
            <w:pPr>
              <w:spacing w:line="360" w:lineRule="auto"/>
              <w:ind w:firstLine="482" w:firstLineChars="200"/>
              <w:rPr>
                <w:rFonts w:asciiTheme="minorEastAsia" w:hAnsiTheme="minorEastAsia"/>
                <w:b/>
                <w:color w:val="000000" w:themeColor="text1"/>
                <w:sz w:val="24"/>
              </w:rPr>
            </w:pPr>
            <w:r>
              <w:rPr>
                <w:rFonts w:hint="eastAsia" w:asciiTheme="minorEastAsia" w:hAnsiTheme="minorEastAsia"/>
                <w:b/>
                <w:color w:val="000000" w:themeColor="text1"/>
                <w:sz w:val="24"/>
              </w:rPr>
              <w:t>一、经评审委员会评审，存在下列任一情况的，谈判供应商将不被视为中小企业：</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1.投标供应商不符合“工信部联企业[2011]300号”规定的中小企业标准的；</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2.响应货物全部或部分为使用大型企业注册商标的货物的；</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 响应文件中标明的中小企业产品的制造商不符合“工信部联企业[2011]300号”规定的中小企业标准的；</w:t>
            </w:r>
          </w:p>
          <w:p>
            <w:pPr>
              <w:spacing w:line="480" w:lineRule="exact"/>
              <w:ind w:firstLine="482" w:firstLineChars="200"/>
              <w:rPr>
                <w:rFonts w:cs="SimSun-Identity-H" w:asciiTheme="minorEastAsia" w:hAnsiTheme="minorEastAsia"/>
                <w:b/>
                <w:color w:val="000000" w:themeColor="text1"/>
                <w:kern w:val="0"/>
                <w:sz w:val="24"/>
              </w:rPr>
            </w:pPr>
            <w:r>
              <w:rPr>
                <w:rFonts w:hint="eastAsia" w:cs="SimSun-Identity-H" w:asciiTheme="minorEastAsia" w:hAnsiTheme="minorEastAsia"/>
                <w:b/>
                <w:color w:val="000000" w:themeColor="text1"/>
                <w:kern w:val="0"/>
                <w:sz w:val="24"/>
              </w:rPr>
              <w:t>二、提供虚假证明材料后果：</w:t>
            </w:r>
          </w:p>
          <w:p>
            <w:pPr>
              <w:spacing w:line="480" w:lineRule="exact"/>
              <w:ind w:firstLine="480" w:firstLineChars="200"/>
              <w:rPr>
                <w:rFonts w:asciiTheme="minorEastAsia" w:hAnsiTheme="minorEastAsia"/>
                <w:color w:val="000000" w:themeColor="text1"/>
                <w:sz w:val="24"/>
              </w:rPr>
            </w:pPr>
            <w:r>
              <w:rPr>
                <w:rFonts w:hint="eastAsia" w:cs="SimSun-Identity-H" w:asciiTheme="minorEastAsia" w:hAnsiTheme="minorEastAsia"/>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
    <w:p>
      <w:pPr>
        <w:spacing w:line="360" w:lineRule="auto"/>
        <w:jc w:val="center"/>
        <w:outlineLvl w:val="1"/>
        <w:rPr>
          <w:rFonts w:asciiTheme="minorEastAsia" w:hAnsiTheme="minorEastAsia"/>
          <w:b/>
          <w:bCs/>
          <w:color w:val="000000" w:themeColor="text1"/>
          <w:sz w:val="24"/>
        </w:rPr>
        <w:sectPr>
          <w:pgSz w:w="11907" w:h="16840"/>
          <w:pgMar w:top="1440" w:right="1800" w:bottom="1440" w:left="1800" w:header="850" w:footer="1020" w:gutter="0"/>
          <w:cols w:space="720" w:num="1"/>
          <w:docGrid w:linePitch="286" w:charSpace="0"/>
        </w:sectPr>
      </w:pPr>
    </w:p>
    <w:p>
      <w:pPr>
        <w:spacing w:line="360" w:lineRule="auto"/>
        <w:jc w:val="center"/>
        <w:outlineLvl w:val="1"/>
        <w:rPr>
          <w:rFonts w:asciiTheme="minorEastAsia" w:hAnsiTheme="minorEastAsia"/>
          <w:b/>
          <w:bCs/>
          <w:color w:val="000000" w:themeColor="text1"/>
          <w:sz w:val="24"/>
        </w:rPr>
      </w:pPr>
      <w:r>
        <w:rPr>
          <w:rFonts w:hint="eastAsia" w:asciiTheme="minorEastAsia" w:hAnsiTheme="minorEastAsia"/>
          <w:b/>
          <w:bCs/>
          <w:color w:val="000000" w:themeColor="text1"/>
          <w:sz w:val="24"/>
        </w:rPr>
        <w:t>中标供应商须知前附表5：节能、环境标志信息安全产品及其他采购政策</w:t>
      </w:r>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600"/>
              <w:jc w:val="center"/>
              <w:rPr>
                <w:rFonts w:asciiTheme="minorEastAsia" w:hAnsiTheme="minorEastAsia"/>
                <w:color w:val="000000" w:themeColor="text1"/>
                <w:sz w:val="24"/>
              </w:rPr>
            </w:pPr>
            <w:r>
              <w:rPr>
                <w:rFonts w:hint="eastAsia" w:asciiTheme="minorEastAsia" w:hAnsiTheme="minorEastAsia"/>
                <w:b/>
                <w:bCs/>
                <w:color w:val="000000" w:themeColor="text1"/>
                <w:sz w:val="24"/>
              </w:rPr>
              <w:t>一、少数民族自治区和享受少数民族自治待遇的省份采购政策</w:t>
            </w:r>
          </w:p>
          <w:p>
            <w:pPr>
              <w:spacing w:line="360" w:lineRule="auto"/>
              <w:ind w:firstLine="600"/>
              <w:rPr>
                <w:rFonts w:asciiTheme="minorEastAsia" w:hAnsiTheme="minorEastAsia"/>
                <w:b/>
                <w:color w:val="000000" w:themeColor="text1"/>
                <w:sz w:val="24"/>
              </w:rPr>
            </w:pPr>
            <w:r>
              <w:rPr>
                <w:rFonts w:asciiTheme="minorEastAsia" w:hAnsiTheme="minorEastAsia"/>
                <w:color w:val="000000" w:themeColor="text1"/>
                <w:sz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600"/>
              <w:jc w:val="center"/>
              <w:rPr>
                <w:rFonts w:ascii="宋体" w:hAnsi="宋体" w:cs="Times New Roman"/>
                <w:b/>
                <w:color w:val="000000" w:themeColor="text1"/>
                <w:sz w:val="24"/>
                <w:szCs w:val="22"/>
              </w:rPr>
            </w:pPr>
            <w:r>
              <w:rPr>
                <w:rFonts w:hint="eastAsia" w:ascii="宋体" w:hAnsi="宋体" w:cs="Times New Roman"/>
                <w:b/>
                <w:color w:val="000000" w:themeColor="text1"/>
                <w:sz w:val="24"/>
                <w:szCs w:val="22"/>
              </w:rPr>
              <w:t>二、节能、环境标志、信息安全产品优先采购政策</w:t>
            </w:r>
          </w:p>
          <w:p>
            <w:pPr>
              <w:spacing w:line="360" w:lineRule="auto"/>
              <w:ind w:firstLine="600"/>
              <w:rPr>
                <w:rFonts w:ascii="宋体" w:hAnsi="宋体" w:cs="Times New Roman"/>
                <w:color w:val="000000" w:themeColor="text1"/>
                <w:sz w:val="24"/>
                <w:szCs w:val="22"/>
              </w:rPr>
            </w:pPr>
            <w:r>
              <w:rPr>
                <w:rFonts w:hint="eastAsia" w:ascii="宋体" w:hAnsi="宋体" w:cs="Times New Roman"/>
                <w:color w:val="000000" w:themeColor="text1"/>
                <w:sz w:val="24"/>
                <w:szCs w:val="22"/>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宋体" w:hAnsi="宋体" w:cs="Times New Roman"/>
                <w:color w:val="000000" w:themeColor="text1"/>
                <w:sz w:val="24"/>
                <w:szCs w:val="22"/>
              </w:rPr>
            </w:pPr>
            <w:r>
              <w:rPr>
                <w:rFonts w:hint="eastAsia" w:ascii="宋体" w:hAnsi="宋体" w:cs="Times New Roman"/>
                <w:color w:val="000000" w:themeColor="text1"/>
                <w:sz w:val="24"/>
                <w:szCs w:val="22"/>
              </w:rPr>
              <w:t>（二）对属于《节能产品政府采购清单》内强制采购的品目，应在采购文件中载明强制采购要求。</w:t>
            </w:r>
          </w:p>
          <w:p>
            <w:pPr>
              <w:spacing w:line="360" w:lineRule="auto"/>
              <w:ind w:firstLine="600"/>
              <w:rPr>
                <w:rFonts w:ascii="宋体" w:hAnsi="宋体" w:cs="Times New Roman"/>
                <w:color w:val="000000" w:themeColor="text1"/>
                <w:sz w:val="24"/>
                <w:szCs w:val="22"/>
              </w:rPr>
            </w:pPr>
            <w:r>
              <w:rPr>
                <w:rFonts w:hint="eastAsia" w:ascii="宋体" w:hAnsi="宋体" w:cs="Times New Roman"/>
                <w:color w:val="000000" w:themeColor="text1"/>
                <w:sz w:val="24"/>
                <w:szCs w:val="22"/>
              </w:rPr>
              <w:t>（三）采购的货物如含有节能（强制采购节能产品的除外）、环境标志的，应根据不同评标办法和合同包内节能、环境标志产品报价总金额占该合同包报价总金额的比例，按下表的优惠办法，在采购文件中载明具体的优惠条款：</w:t>
            </w:r>
          </w:p>
          <w:tbl>
            <w:tblPr>
              <w:tblStyle w:val="5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color w:val="000000" w:themeColor="text1"/>
                      <w:sz w:val="22"/>
                      <w:szCs w:val="21"/>
                    </w:rPr>
                  </w:pPr>
                  <w:r>
                    <w:rPr>
                      <w:rFonts w:hint="eastAsia" w:ascii="宋体" w:hAnsi="宋体" w:cs="Times New Roman"/>
                      <w:color w:val="000000" w:themeColor="text1"/>
                      <w:sz w:val="22"/>
                      <w:szCs w:val="21"/>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Times New Roman"/>
                      <w:color w:val="000000" w:themeColor="text1"/>
                      <w:sz w:val="22"/>
                      <w:szCs w:val="21"/>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给予每个品目单项报标报价10％的价格扣除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综合评分法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增设附加分，分值＝技术评标项标准总分的5％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Times New Roman"/>
                      <w:color w:val="000000" w:themeColor="text1"/>
                      <w:sz w:val="24"/>
                      <w:szCs w:val="22"/>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rPr>
                  </w:pPr>
                  <w:r>
                    <w:rPr>
                      <w:rFonts w:hint="eastAsia" w:ascii="宋体" w:hAnsi="宋体" w:cs="Times New Roman"/>
                      <w:color w:val="000000" w:themeColor="text1"/>
                      <w:sz w:val="22"/>
                      <w:szCs w:val="21"/>
                    </w:rPr>
                    <w:t>增设附加分，分值＝技术评标项标准总分的10％</w:t>
                  </w:r>
                </w:p>
              </w:tc>
            </w:tr>
          </w:tbl>
          <w:p>
            <w:pPr>
              <w:spacing w:line="360" w:lineRule="auto"/>
              <w:ind w:firstLine="480" w:firstLineChars="200"/>
              <w:rPr>
                <w:rFonts w:ascii="宋体" w:hAnsi="宋体" w:cs="Times New Roman"/>
                <w:color w:val="000000" w:themeColor="text1"/>
                <w:sz w:val="24"/>
                <w:szCs w:val="22"/>
              </w:rPr>
            </w:pPr>
            <w:r>
              <w:rPr>
                <w:rFonts w:hint="eastAsia" w:ascii="宋体" w:hAnsi="宋体" w:cs="Times New Roman"/>
                <w:color w:val="000000" w:themeColor="text1"/>
                <w:sz w:val="24"/>
                <w:szCs w:val="22"/>
              </w:rPr>
              <w:t>如节能、环境标志清单内的产品仅是构成投标产品的部件、组件或零件的，则该投标产品不享受以上优惠政策。</w:t>
            </w:r>
          </w:p>
          <w:p>
            <w:pPr>
              <w:spacing w:line="360" w:lineRule="auto"/>
              <w:rPr>
                <w:rFonts w:asciiTheme="minorEastAsia" w:hAnsiTheme="minorEastAsia"/>
                <w:color w:val="000000" w:themeColor="text1"/>
                <w:sz w:val="24"/>
              </w:rPr>
            </w:pPr>
            <w:r>
              <w:rPr>
                <w:rFonts w:hint="eastAsia" w:ascii="宋体" w:hAnsi="宋体" w:cs="Times New Roman"/>
                <w:color w:val="000000" w:themeColor="text1"/>
                <w:sz w:val="24"/>
                <w:szCs w:val="22"/>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投标供应商应在投标文件中根据采购文件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tcPr>
          <w:p>
            <w:pPr>
              <w:spacing w:line="360" w:lineRule="auto"/>
              <w:ind w:firstLine="540" w:firstLineChars="224"/>
              <w:rPr>
                <w:rFonts w:asciiTheme="minorEastAsia" w:hAnsiTheme="minorEastAsia"/>
                <w:b/>
                <w:color w:val="000000" w:themeColor="text1"/>
                <w:sz w:val="24"/>
              </w:rPr>
            </w:pPr>
            <w:r>
              <w:rPr>
                <w:rFonts w:hint="eastAsia" w:asciiTheme="minorEastAsia" w:hAnsiTheme="minorEastAsia"/>
                <w:b/>
                <w:color w:val="000000" w:themeColor="text1"/>
                <w:sz w:val="24"/>
              </w:rPr>
              <w:t>三、提醒事项：</w:t>
            </w:r>
          </w:p>
          <w:p>
            <w:pPr>
              <w:spacing w:line="360" w:lineRule="auto"/>
              <w:ind w:firstLine="540" w:firstLineChars="224"/>
              <w:rPr>
                <w:rFonts w:asciiTheme="minorEastAsia" w:hAnsiTheme="minorEastAsia"/>
                <w:color w:val="000000" w:themeColor="text1"/>
                <w:sz w:val="24"/>
              </w:rPr>
            </w:pPr>
            <w:r>
              <w:rPr>
                <w:rFonts w:hint="eastAsia" w:asciiTheme="minorEastAsia" w:hAnsiTheme="minorEastAsia"/>
                <w:b/>
                <w:color w:val="000000" w:themeColor="text1"/>
                <w:sz w:val="24"/>
              </w:rPr>
              <w:t>中标供应商必须凭成交通知书的原件与采购人签订《政府采购合同》。</w:t>
            </w:r>
          </w:p>
        </w:tc>
      </w:tr>
    </w:tbl>
    <w:p>
      <w:pPr>
        <w:spacing w:line="360" w:lineRule="auto"/>
        <w:ind w:firstLine="420" w:firstLineChars="200"/>
        <w:rPr>
          <w:rFonts w:ascii="宋体" w:hAnsi="宋体" w:cs="宋体"/>
          <w:kern w:val="0"/>
          <w:szCs w:val="21"/>
        </w:rPr>
      </w:pPr>
    </w:p>
    <w:p>
      <w:pPr>
        <w:spacing w:line="360" w:lineRule="auto"/>
        <w:ind w:firstLine="420" w:firstLineChars="200"/>
        <w:rPr>
          <w:rFonts w:ascii="宋体" w:hAnsi="宋体" w:cs="宋体"/>
          <w:kern w:val="0"/>
          <w:szCs w:val="21"/>
        </w:rPr>
      </w:pPr>
    </w:p>
    <w:p>
      <w:pPr>
        <w:pStyle w:val="3"/>
        <w:rPr>
          <w:rFonts w:ascii="宋体" w:hAnsi="宋体" w:cs="宋体"/>
          <w:szCs w:val="21"/>
        </w:rPr>
      </w:pPr>
    </w:p>
    <w:p>
      <w:pPr>
        <w:rPr>
          <w:rFonts w:ascii="宋体" w:hAnsi="宋体" w:cs="宋体"/>
          <w:kern w:val="0"/>
          <w:szCs w:val="21"/>
        </w:rPr>
      </w:pPr>
    </w:p>
    <w:p>
      <w:pPr>
        <w:pStyle w:val="3"/>
        <w:rPr>
          <w:rFonts w:ascii="宋体" w:hAnsi="宋体" w:cs="宋体"/>
          <w:szCs w:val="21"/>
        </w:rPr>
      </w:pPr>
    </w:p>
    <w:p>
      <w:pPr>
        <w:rPr>
          <w:rFonts w:ascii="宋体" w:hAnsi="宋体" w:cs="宋体"/>
          <w:kern w:val="0"/>
          <w:szCs w:val="21"/>
        </w:rPr>
      </w:pPr>
    </w:p>
    <w:p>
      <w:pPr>
        <w:pStyle w:val="3"/>
        <w:rPr>
          <w:rFonts w:ascii="宋体" w:hAnsi="宋体" w:cs="宋体"/>
          <w:szCs w:val="21"/>
        </w:rPr>
      </w:pPr>
    </w:p>
    <w:p>
      <w:pPr>
        <w:rPr>
          <w:rFonts w:ascii="宋体" w:hAnsi="宋体" w:cs="宋体"/>
          <w:kern w:val="0"/>
          <w:szCs w:val="21"/>
        </w:rPr>
      </w:pPr>
    </w:p>
    <w:p>
      <w:pPr>
        <w:pStyle w:val="3"/>
        <w:rPr>
          <w:rFonts w:ascii="宋体" w:hAnsi="宋体" w:cs="宋体"/>
          <w:szCs w:val="21"/>
        </w:rPr>
      </w:pPr>
    </w:p>
    <w:p>
      <w:pPr>
        <w:rPr>
          <w:rFonts w:ascii="宋体" w:hAnsi="宋体" w:cs="宋体"/>
          <w:kern w:val="0"/>
          <w:szCs w:val="21"/>
        </w:rPr>
      </w:pPr>
    </w:p>
    <w:p>
      <w:pPr>
        <w:pStyle w:val="3"/>
        <w:rPr>
          <w:rFonts w:ascii="宋体" w:hAnsi="宋体" w:cs="宋体"/>
          <w:szCs w:val="21"/>
        </w:rPr>
      </w:pPr>
    </w:p>
    <w:p/>
    <w:p>
      <w:pPr>
        <w:rPr>
          <w:rFonts w:ascii="宋体" w:hAnsi="宋体" w:cs="宋体"/>
          <w:kern w:val="0"/>
          <w:szCs w:val="21"/>
        </w:rPr>
      </w:pPr>
    </w:p>
    <w:p>
      <w:pPr>
        <w:pStyle w:val="3"/>
        <w:rPr>
          <w:rFonts w:ascii="宋体" w:hAnsi="宋体" w:cs="宋体"/>
          <w:szCs w:val="21"/>
        </w:rPr>
      </w:pPr>
    </w:p>
    <w:p>
      <w:pPr>
        <w:rPr>
          <w:rFonts w:ascii="宋体" w:hAnsi="宋体" w:cs="宋体"/>
          <w:kern w:val="0"/>
          <w:szCs w:val="21"/>
        </w:rPr>
      </w:pPr>
    </w:p>
    <w:p>
      <w:pPr>
        <w:pStyle w:val="3"/>
        <w:rPr>
          <w:rFonts w:ascii="宋体" w:hAnsi="宋体" w:cs="宋体"/>
          <w:szCs w:val="21"/>
        </w:rPr>
      </w:pPr>
    </w:p>
    <w:p>
      <w:pPr>
        <w:rPr>
          <w:rFonts w:ascii="宋体" w:hAnsi="宋体" w:cs="宋体"/>
          <w:kern w:val="0"/>
          <w:szCs w:val="21"/>
        </w:rPr>
      </w:pPr>
    </w:p>
    <w:p>
      <w:pPr>
        <w:pStyle w:val="3"/>
        <w:rPr>
          <w:rFonts w:ascii="宋体" w:hAnsi="宋体" w:cs="宋体"/>
          <w:szCs w:val="21"/>
        </w:rPr>
      </w:pPr>
    </w:p>
    <w:p>
      <w:pPr>
        <w:rPr>
          <w:rFonts w:ascii="宋体" w:hAnsi="宋体" w:cs="宋体"/>
          <w:kern w:val="0"/>
          <w:szCs w:val="21"/>
        </w:rPr>
      </w:pPr>
    </w:p>
    <w:p>
      <w:pPr>
        <w:pStyle w:val="3"/>
        <w:rPr>
          <w:rFonts w:ascii="宋体" w:hAnsi="宋体" w:cs="宋体"/>
          <w:szCs w:val="21"/>
        </w:rPr>
      </w:pPr>
    </w:p>
    <w:p>
      <w:pPr>
        <w:rPr>
          <w:rFonts w:ascii="宋体" w:hAnsi="宋体" w:cs="宋体"/>
          <w:kern w:val="0"/>
          <w:szCs w:val="21"/>
        </w:rPr>
      </w:pPr>
    </w:p>
    <w:p>
      <w:pPr>
        <w:pStyle w:val="3"/>
        <w:rPr>
          <w:rFonts w:ascii="宋体" w:hAnsi="宋体" w:cs="宋体"/>
          <w:szCs w:val="21"/>
        </w:rPr>
      </w:pPr>
    </w:p>
    <w:p>
      <w:pPr>
        <w:rPr>
          <w:rFonts w:ascii="宋体" w:hAnsi="宋体" w:cs="宋体"/>
          <w:kern w:val="0"/>
          <w:szCs w:val="21"/>
        </w:rPr>
      </w:pPr>
    </w:p>
    <w:p>
      <w:pPr>
        <w:pStyle w:val="3"/>
      </w:pPr>
    </w:p>
    <w:p>
      <w:pPr>
        <w:pStyle w:val="3"/>
        <w:rPr>
          <w:rFonts w:ascii="宋体" w:hAnsi="宋体" w:cs="宋体"/>
          <w:szCs w:val="21"/>
        </w:rPr>
      </w:pPr>
    </w:p>
    <w:p>
      <w:pPr>
        <w:rPr>
          <w:rFonts w:ascii="宋体" w:hAnsi="宋体" w:cs="宋体"/>
          <w:kern w:val="0"/>
          <w:szCs w:val="21"/>
        </w:rPr>
      </w:pPr>
    </w:p>
    <w:p>
      <w:pPr>
        <w:pStyle w:val="3"/>
      </w:pPr>
    </w:p>
    <w:p>
      <w:pPr>
        <w:spacing w:line="360" w:lineRule="auto"/>
        <w:rPr>
          <w:rFonts w:ascii="宋体" w:hAnsi="宋体" w:cs="宋体"/>
          <w:kern w:val="0"/>
          <w:szCs w:val="21"/>
        </w:rPr>
      </w:pPr>
    </w:p>
    <w:p>
      <w:pPr>
        <w:pStyle w:val="3"/>
        <w:rPr>
          <w:rFonts w:ascii="宋体" w:hAnsi="宋体"/>
          <w:b/>
          <w:sz w:val="32"/>
          <w:szCs w:val="32"/>
          <w:lang w:eastAsia="zh-CN"/>
        </w:rPr>
      </w:pPr>
      <w:r>
        <w:rPr>
          <w:rFonts w:hint="eastAsia" w:ascii="宋体" w:hAnsi="宋体" w:cs="Arial"/>
          <w:b/>
          <w:sz w:val="32"/>
          <w:szCs w:val="32"/>
          <w:lang w:eastAsia="zh-CN"/>
        </w:rPr>
        <w:t xml:space="preserve">第四章 </w:t>
      </w:r>
      <w:r>
        <w:rPr>
          <w:rFonts w:hint="eastAsia" w:ascii="宋体" w:hAnsi="宋体"/>
          <w:b/>
          <w:sz w:val="32"/>
          <w:szCs w:val="32"/>
          <w:lang w:eastAsia="zh-CN"/>
        </w:rPr>
        <w:t>货物技术规格</w:t>
      </w:r>
      <w:bookmarkEnd w:id="5"/>
      <w:r>
        <w:rPr>
          <w:rFonts w:hint="eastAsia" w:ascii="宋体" w:hAnsi="宋体"/>
          <w:b/>
          <w:sz w:val="32"/>
          <w:szCs w:val="32"/>
          <w:lang w:eastAsia="zh-CN"/>
        </w:rPr>
        <w:t>及要求</w:t>
      </w:r>
    </w:p>
    <w:p>
      <w:pPr>
        <w:pStyle w:val="4"/>
        <w:rPr>
          <w:rFonts w:asciiTheme="minorEastAsia" w:hAnsiTheme="minorEastAsia" w:eastAsiaTheme="minorEastAsia" w:cstheme="minorEastAsia"/>
          <w:sz w:val="21"/>
          <w:szCs w:val="21"/>
        </w:rPr>
      </w:pPr>
      <w:bookmarkStart w:id="6" w:name="_Toc27216470"/>
      <w:r>
        <w:rPr>
          <w:rFonts w:hint="eastAsia"/>
          <w:sz w:val="30"/>
          <w:szCs w:val="30"/>
        </w:rPr>
        <w:t>1、清单</w:t>
      </w:r>
      <w:bookmarkEnd w:id="6"/>
      <w:r>
        <w:rPr>
          <w:rFonts w:hint="eastAsia"/>
          <w:sz w:val="30"/>
          <w:szCs w:val="30"/>
        </w:rPr>
        <w:t>及技术参数</w:t>
      </w:r>
    </w:p>
    <w:tbl>
      <w:tblPr>
        <w:tblStyle w:val="50"/>
        <w:tblW w:w="9056" w:type="dxa"/>
        <w:tblInd w:w="0" w:type="dxa"/>
        <w:tblLayout w:type="fixed"/>
        <w:tblCellMar>
          <w:top w:w="0" w:type="dxa"/>
          <w:left w:w="108" w:type="dxa"/>
          <w:bottom w:w="0" w:type="dxa"/>
          <w:right w:w="108" w:type="dxa"/>
        </w:tblCellMar>
      </w:tblPr>
      <w:tblGrid>
        <w:gridCol w:w="453"/>
        <w:gridCol w:w="570"/>
        <w:gridCol w:w="679"/>
        <w:gridCol w:w="1671"/>
        <w:gridCol w:w="534"/>
        <w:gridCol w:w="533"/>
        <w:gridCol w:w="1000"/>
        <w:gridCol w:w="679"/>
        <w:gridCol w:w="2937"/>
      </w:tblGrid>
      <w:tr>
        <w:tblPrEx>
          <w:tblCellMar>
            <w:top w:w="0" w:type="dxa"/>
            <w:left w:w="108" w:type="dxa"/>
            <w:bottom w:w="0" w:type="dxa"/>
            <w:right w:w="108" w:type="dxa"/>
          </w:tblCellMar>
        </w:tblPrEx>
        <w:trPr>
          <w:trHeight w:val="225" w:hRule="atLeast"/>
        </w:trPr>
        <w:tc>
          <w:tcPr>
            <w:tcW w:w="9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rPr>
            </w:pPr>
            <w:r>
              <w:t>鹦鹉溪镇2021年5G智慧茶园建设项目</w:t>
            </w:r>
          </w:p>
        </w:tc>
      </w:tr>
      <w:tr>
        <w:tblPrEx>
          <w:tblCellMar>
            <w:top w:w="0" w:type="dxa"/>
            <w:left w:w="108" w:type="dxa"/>
            <w:bottom w:w="0" w:type="dxa"/>
            <w:right w:w="108" w:type="dxa"/>
          </w:tblCellMar>
        </w:tblPrEx>
        <w:trPr>
          <w:trHeight w:val="225" w:hRule="atLeast"/>
        </w:trPr>
        <w:tc>
          <w:tcPr>
            <w:tcW w:w="44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t>项目名称：鹦鹉溪镇2021年5G智慧茶园建设项目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t>单位：人民币元</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default"/>
              </w:rPr>
            </w:pPr>
            <w: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default"/>
              </w:rPr>
            </w:pPr>
            <w:r>
              <w:t>版块</w:t>
            </w:r>
          </w:p>
        </w:tc>
        <w:tc>
          <w:tcPr>
            <w:tcW w:w="67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default"/>
              </w:rPr>
            </w:pPr>
            <w:r>
              <w:t>分项</w:t>
            </w:r>
          </w:p>
        </w:tc>
        <w:tc>
          <w:tcPr>
            <w:tcW w:w="167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default"/>
              </w:rPr>
            </w:pPr>
            <w:r>
              <w:t>产品名称</w:t>
            </w:r>
          </w:p>
        </w:tc>
        <w:tc>
          <w:tcPr>
            <w:tcW w:w="53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default"/>
              </w:rPr>
            </w:pPr>
            <w:r>
              <w:t>单位</w:t>
            </w:r>
          </w:p>
        </w:tc>
        <w:tc>
          <w:tcPr>
            <w:tcW w:w="53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default"/>
              </w:rPr>
            </w:pPr>
            <w: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default"/>
              </w:rPr>
            </w:pPr>
            <w:r>
              <w:t>单价</w:t>
            </w:r>
          </w:p>
        </w:tc>
        <w:tc>
          <w:tcPr>
            <w:tcW w:w="67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default"/>
              </w:rPr>
            </w:pPr>
            <w:r>
              <w:t>合计</w:t>
            </w:r>
          </w:p>
        </w:tc>
        <w:tc>
          <w:tcPr>
            <w:tcW w:w="293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default"/>
              </w:rPr>
            </w:pPr>
            <w:r>
              <w:t>备注</w:t>
            </w:r>
          </w:p>
        </w:tc>
      </w:tr>
      <w:tr>
        <w:tblPrEx>
          <w:tblCellMar>
            <w:top w:w="0" w:type="dxa"/>
            <w:left w:w="108" w:type="dxa"/>
            <w:bottom w:w="0" w:type="dxa"/>
            <w:right w:w="108" w:type="dxa"/>
          </w:tblCellMar>
        </w:tblPrEx>
        <w:trPr>
          <w:trHeight w:val="225" w:hRule="atLeast"/>
        </w:trPr>
        <w:tc>
          <w:tcPr>
            <w:tcW w:w="444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t>一、硬件设备</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传感器监测部分</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气象站</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基础配件</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2.5米立杆，实时显示数据。 气象数据挂在立杆横臂，工业级网关位于防水箱里，统一把所有数据上传到平台</w:t>
            </w: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立杆（含防水箱）</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工业级网关（含3年卡）</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台</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空气温湿度监测器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光照度监测器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光合有效辐射监测器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氨气监测器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二氧化碳监测器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土壤氮磷钾监测器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土壤PH监测器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土壤温湿度监测器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Pr>
          <w:p>
            <w:pPr>
              <w:rPr>
                <w:rFonts w:hint="default"/>
              </w:rPr>
            </w:pPr>
            <w:r>
              <w:t>太阳能供电系统器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90"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2</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风吸式杀虫灯</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风吸式杀虫灯</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风吸式杀虫灯</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1、风吸式杀虫</w:t>
            </w:r>
            <w:r>
              <w:br w:type="textWrapping"/>
            </w:r>
            <w:r>
              <w:t>2、触杀虫网：采用不锈钢方形竖网连接，竖丝直径2mm,电网电压：6KV±500V，设有电网过流短路保护装置，防止因虫体残余电网短路；</w:t>
            </w:r>
            <w:r>
              <w:br w:type="textWrapping"/>
            </w:r>
            <w:r>
              <w:t>3、诱集光源：频振灯管(365～680nm)，使用寿命＞50000（小时）；</w:t>
            </w:r>
            <w:r>
              <w:br w:type="textWrapping"/>
            </w:r>
            <w:r>
              <w:t>4、撞击面积：0.17㎡；</w:t>
            </w:r>
            <w:r>
              <w:br w:type="textWrapping"/>
            </w:r>
            <w:r>
              <w:t>5、灯管启动时间：5s；</w:t>
            </w:r>
            <w:r>
              <w:br w:type="textWrapping"/>
            </w:r>
            <w:r>
              <w:t>6、光控技术：根据昼夜交替自动开关灯；</w:t>
            </w:r>
            <w:r>
              <w:br w:type="textWrapping"/>
            </w:r>
            <w:r>
              <w:t>7、雨控装置：当湿度大于95%RH，频振灯能进入自动保护状态，当湿度不大于95%RH时，可恢复正常工作；</w:t>
            </w:r>
            <w:r>
              <w:br w:type="textWrapping"/>
            </w:r>
            <w:r>
              <w:t>8、时间控制模块：根据目标昆虫生活习性规律，可设定8个时间控制模式；</w:t>
            </w:r>
            <w:r>
              <w:br w:type="textWrapping"/>
            </w:r>
            <w:r>
              <w:t>9、状态显示：杀虫灯灯体上方蓝色led指示灯显示光伏和蓄电池充电工作状态，红色led指示灯显示工作状态和故障状态，方便用户了解整灯的运行情况；</w:t>
            </w:r>
            <w:r>
              <w:br w:type="textWrapping"/>
            </w:r>
            <w:r>
              <w:t>10、灯杆高度：3米；</w:t>
            </w:r>
            <w:r>
              <w:br w:type="textWrapping"/>
            </w:r>
            <w:r>
              <w:t>11、灯杆材质：采用热镀锌工艺，法兰与灯杆连接处有加强筋。（材质可根据实际需求定制）电网电压：6KV±500V。</w:t>
            </w:r>
          </w:p>
        </w:tc>
      </w:tr>
      <w:tr>
        <w:tblPrEx>
          <w:tblCellMar>
            <w:top w:w="0" w:type="dxa"/>
            <w:left w:w="108" w:type="dxa"/>
            <w:bottom w:w="0" w:type="dxa"/>
            <w:right w:w="108" w:type="dxa"/>
          </w:tblCellMar>
        </w:tblPrEx>
        <w:trPr>
          <w:trHeight w:val="884"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多层土壤监测传感器</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智壤仪</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智壤仪</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选择一个示范点。</w:t>
            </w:r>
            <w:r>
              <w:br w:type="textWrapping"/>
            </w:r>
            <w:r>
              <w:t>应对多层土壤检测要求。5层土壤温度、5层湿度、5层盐分的检测。每层间隔10CM</w:t>
            </w:r>
          </w:p>
        </w:tc>
      </w:tr>
      <w:tr>
        <w:tblPrEx>
          <w:tblCellMar>
            <w:top w:w="0" w:type="dxa"/>
            <w:left w:w="108" w:type="dxa"/>
            <w:bottom w:w="0" w:type="dxa"/>
            <w:right w:w="108" w:type="dxa"/>
          </w:tblCellMar>
        </w:tblPrEx>
        <w:trPr>
          <w:trHeight w:val="664"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4</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虫情测报灯</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虫情测报灯</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t>虫情测报灯</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含围栏、含地基、太阳能供电。</w:t>
            </w:r>
            <w:r>
              <w:br w:type="textWrapping"/>
            </w:r>
            <w:r>
              <w:t>诱捕虫子，然后杀虫，自动拍照自动上报，自动辨认虫体，自动分析，根据AI智能分析出36种虫子的种类，自动出预防报告。</w:t>
            </w:r>
            <w:r>
              <w:br w:type="textWrapping"/>
            </w:r>
            <w:r>
              <w:t>（1）远红外处理虫体：致死率不低于98%，虫体的完成率不小于95%；同时杜绝农药化学物品对人员的健康造成的侵害，以及对周围环境造成的污染。</w:t>
            </w:r>
            <w:r>
              <w:br w:type="textWrapping"/>
            </w:r>
            <w:r>
              <w:t>（2）雨控装置：自动控雨技术可以有效将雨水和昆虫分离。</w:t>
            </w:r>
            <w:r>
              <w:br w:type="textWrapping"/>
            </w:r>
            <w:r>
              <w:t>（3）光控装置：自动光控技术可以实现晚上自动开灯，白天自动关灯；且在夜间工作状态下，不受瞬间强光照射改变工作状态。</w:t>
            </w:r>
            <w:r>
              <w:br w:type="textWrapping"/>
            </w:r>
            <w:r>
              <w:t>（4）虫体识别功能：内置500万像素摄像头，保证每个时间段诱惑的昆虫不混淆。</w:t>
            </w:r>
          </w:p>
        </w:tc>
      </w:tr>
      <w:tr>
        <w:tblPrEx>
          <w:tblCellMar>
            <w:top w:w="0" w:type="dxa"/>
            <w:left w:w="108" w:type="dxa"/>
            <w:bottom w:w="0" w:type="dxa"/>
            <w:right w:w="108" w:type="dxa"/>
          </w:tblCellMar>
        </w:tblPrEx>
        <w:trPr>
          <w:trHeight w:val="44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高清智能球机套装</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球机</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ZAXTEAM</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台</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664"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视频存储</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27个摄像头30天</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云存储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年</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rPr>
                <w:rFonts w:hint="default"/>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664"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视频存储</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3个摄像摄像头1年</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云存储</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年</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664"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8</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视频编码器</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提供无线传输优化，提高系统运行稳定性</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ZCV-01-46</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台</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w:t>
            </w:r>
            <w:r>
              <w:rPr>
                <w:rFonts w:hint="default"/>
              </w:rPr>
              <w:t>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CellMar>
            <w:top w:w="0" w:type="dxa"/>
            <w:left w:w="108" w:type="dxa"/>
            <w:bottom w:w="0" w:type="dxa"/>
            <w:right w:w="108" w:type="dxa"/>
          </w:tblCellMar>
        </w:tblPrEx>
        <w:trPr>
          <w:trHeight w:val="664"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rPr>
                <w:rFonts w:hint="default"/>
              </w:rPr>
              <w:t>9</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客户端软件工作站</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I5,8G内存，128G固盘，1T硬盘，独立显卡，21.5寸显示器</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联想</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台</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rPr>
                <w:rFonts w:hint="default"/>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t>存储卡</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256G</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金士顿</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张</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CellMar>
            <w:top w:w="0" w:type="dxa"/>
            <w:left w:w="108" w:type="dxa"/>
            <w:bottom w:w="0" w:type="dxa"/>
            <w:right w:w="108" w:type="dxa"/>
          </w:tblCellMar>
        </w:tblPrEx>
        <w:trPr>
          <w:trHeight w:val="44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rPr>
                <w:rFonts w:hint="default"/>
              </w:rPr>
              <w:t>11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监控立杆</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定制</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6米</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跟</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r>
      <w:tr>
        <w:tblPrEx>
          <w:tblCellMar>
            <w:top w:w="0" w:type="dxa"/>
            <w:left w:w="108" w:type="dxa"/>
            <w:bottom w:w="0" w:type="dxa"/>
            <w:right w:w="108" w:type="dxa"/>
          </w:tblCellMar>
        </w:tblPrEx>
        <w:trPr>
          <w:trHeight w:val="884"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12</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工业级无线网关</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MBD-R320L</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无线网关</w:t>
            </w:r>
            <w:r>
              <w:rPr>
                <w:rFonts w:hint="default"/>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台</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 xml:space="preserve">产品描述：本4G路由器结合了4G网络和WIFI网络以及GPS为一体，提供了一种简单快速的上网方式，4G上网速度是下行150Mbps，上行50Mbps，同时支持有线的以太网接口和802.11b/g/n无线WIFI，无线WIFI的上网速度可以达到300Mbps，本4G路由器同时还支持GPS/LBS功能，支持路由器云管理系统，客户可以通过云管理系统来查看路由器的工作状态以及对路由器发起远程控制指令，云平台也可以接收通过路由器发过来指令和数据。路由器还提供了RS232接口和RS485接口以及两个TTL电平的输入输出口，路由器还提供了一个高电平的ACC输入口。路由器支持通过云平台进行远程升级软件。 </w:t>
            </w:r>
            <w:r>
              <w:br w:type="textWrapping"/>
            </w:r>
            <w:r>
              <w:t xml:space="preserve">亮点 WiFi数据传输速率300Mbps </w:t>
            </w:r>
            <w:r>
              <w:br w:type="textWrapping"/>
            </w:r>
            <w:r>
              <w:t xml:space="preserve">云路由器管理系统和GPS平台, 客户可以通过本系统查看路由器的工作状态和路由器所在的位置以及追踪路由器的运行轨迹 </w:t>
            </w:r>
            <w:r>
              <w:br w:type="textWrapping"/>
            </w:r>
            <w:r>
              <w:t xml:space="preserve">内嵌4G模块和SIM卡插槽以及以太网口和GPS天线接口 </w:t>
            </w:r>
          </w:p>
        </w:tc>
      </w:tr>
      <w:tr>
        <w:tblPrEx>
          <w:tblCellMar>
            <w:top w:w="0" w:type="dxa"/>
            <w:left w:w="108" w:type="dxa"/>
            <w:bottom w:w="0" w:type="dxa"/>
            <w:right w:w="108" w:type="dxa"/>
          </w:tblCellMar>
        </w:tblPrEx>
        <w:trPr>
          <w:trHeight w:val="22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拼接屏</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定制</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定制</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块</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视频监控显示大屏</w:t>
            </w:r>
          </w:p>
        </w:tc>
      </w:tr>
      <w:tr>
        <w:tblPrEx>
          <w:tblCellMar>
            <w:top w:w="0" w:type="dxa"/>
            <w:left w:w="108" w:type="dxa"/>
            <w:bottom w:w="0" w:type="dxa"/>
            <w:right w:w="108" w:type="dxa"/>
          </w:tblCellMar>
        </w:tblPrEx>
        <w:trPr>
          <w:trHeight w:val="22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r>
              <w:t>1</w:t>
            </w:r>
            <w:r>
              <w:rPr>
                <w:rFonts w:hint="default"/>
              </w:rPr>
              <w:t>4</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r>
              <w:t>VMS解码器</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r>
              <w:t>视频解码器</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r>
              <w:t>ZAXTEAM</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r>
              <w:t>台</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default"/>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r>
              <w:t>4路 4K@25/30fps HDMI 输出, 支持 4路 4K/9路 3MP/16路 1080P 解码器,</w:t>
            </w:r>
          </w:p>
        </w:tc>
      </w:tr>
      <w:tr>
        <w:tblPrEx>
          <w:tblCellMar>
            <w:top w:w="0" w:type="dxa"/>
            <w:left w:w="108" w:type="dxa"/>
            <w:bottom w:w="0" w:type="dxa"/>
            <w:right w:w="108" w:type="dxa"/>
          </w:tblCellMar>
        </w:tblPrEx>
        <w:trPr>
          <w:trHeight w:val="1762"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rPr>
                <w:rFonts w:hint="default"/>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核心交换机</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国产</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24口千兆</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台</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rPr>
            </w:pPr>
            <w:r>
              <w:t>交换容量336Gbps，包转发率108Mpps，24个10/100/1000Mbps自适应电口交换机，固化4个SFP+万兆光口，支持VLAN、ACL、端口镜像、端口聚合等功能，支持睿易APP和MACC云平台统一管理。</w:t>
            </w:r>
          </w:p>
        </w:tc>
      </w:tr>
      <w:tr>
        <w:tblPrEx>
          <w:tblCellMar>
            <w:top w:w="0" w:type="dxa"/>
            <w:left w:w="108" w:type="dxa"/>
            <w:bottom w:w="0" w:type="dxa"/>
            <w:right w:w="108" w:type="dxa"/>
          </w:tblCellMar>
        </w:tblPrEx>
        <w:trPr>
          <w:trHeight w:val="44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rPr>
                <w:rFonts w:hint="default"/>
              </w:rPr>
              <w:t>16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网络机柜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国产</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定制</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台</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规格：2000*1000*600</w:t>
            </w:r>
          </w:p>
        </w:tc>
      </w:tr>
      <w:tr>
        <w:tblPrEx>
          <w:tblCellMar>
            <w:top w:w="0" w:type="dxa"/>
            <w:left w:w="108" w:type="dxa"/>
            <w:bottom w:w="0" w:type="dxa"/>
            <w:right w:w="108" w:type="dxa"/>
          </w:tblCellMar>
        </w:tblPrEx>
        <w:trPr>
          <w:trHeight w:val="22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rPr>
                <w:rFonts w:hint="default"/>
              </w:rPr>
              <w:t>17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操作台</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国产</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定制</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台</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规格：1200*700*750</w:t>
            </w:r>
          </w:p>
        </w:tc>
      </w:tr>
      <w:tr>
        <w:tblPrEx>
          <w:tblCellMar>
            <w:top w:w="0" w:type="dxa"/>
            <w:left w:w="108" w:type="dxa"/>
            <w:bottom w:w="0" w:type="dxa"/>
            <w:right w:w="108" w:type="dxa"/>
          </w:tblCellMar>
        </w:tblPrEx>
        <w:trPr>
          <w:trHeight w:val="22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r>
              <w:rPr>
                <w:rFonts w:hint="default"/>
              </w:rPr>
              <w:t>8</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防水箱</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国产</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定制</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个</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监控配套防水箱</w:t>
            </w:r>
          </w:p>
        </w:tc>
      </w:tr>
      <w:tr>
        <w:tblPrEx>
          <w:tblCellMar>
            <w:top w:w="0" w:type="dxa"/>
            <w:left w:w="108" w:type="dxa"/>
            <w:bottom w:w="0" w:type="dxa"/>
            <w:right w:w="108" w:type="dxa"/>
          </w:tblCellMar>
        </w:tblPrEx>
        <w:trPr>
          <w:trHeight w:val="22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r>
              <w:rPr>
                <w:rFonts w:hint="default"/>
              </w:rPr>
              <w:t>9</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辅材</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国产</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定制</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批</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辅材</w:t>
            </w:r>
          </w:p>
        </w:tc>
      </w:tr>
      <w:tr>
        <w:tblPrEx>
          <w:tblCellMar>
            <w:top w:w="0" w:type="dxa"/>
            <w:left w:w="108" w:type="dxa"/>
            <w:bottom w:w="0" w:type="dxa"/>
            <w:right w:w="108" w:type="dxa"/>
          </w:tblCellMar>
        </w:tblPrEx>
        <w:trPr>
          <w:trHeight w:val="225" w:hRule="atLeast"/>
        </w:trPr>
        <w:tc>
          <w:tcPr>
            <w:tcW w:w="3373"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r>
              <w:t>合计</w:t>
            </w:r>
          </w:p>
        </w:tc>
        <w:tc>
          <w:tcPr>
            <w:tcW w:w="534"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5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00"/>
            <w:vAlign w:val="center"/>
          </w:tcPr>
          <w:p/>
        </w:tc>
        <w:tc>
          <w:tcPr>
            <w:tcW w:w="29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r>
      <w:tr>
        <w:tblPrEx>
          <w:tblCellMar>
            <w:top w:w="0" w:type="dxa"/>
            <w:left w:w="108" w:type="dxa"/>
            <w:bottom w:w="0" w:type="dxa"/>
            <w:right w:w="108" w:type="dxa"/>
          </w:tblCellMar>
        </w:tblPrEx>
        <w:trPr>
          <w:trHeight w:val="225" w:hRule="atLeast"/>
        </w:trPr>
        <w:tc>
          <w:tcPr>
            <w:tcW w:w="444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t>二、软件开发</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r>
      <w:tr>
        <w:tblPrEx>
          <w:tblCellMar>
            <w:top w:w="0" w:type="dxa"/>
            <w:left w:w="108" w:type="dxa"/>
            <w:bottom w:w="0" w:type="dxa"/>
            <w:right w:w="108" w:type="dxa"/>
          </w:tblCellMar>
        </w:tblPrEx>
        <w:trPr>
          <w:trHeight w:val="3079"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软件开发</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可视化管理系统</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可视化管理系统</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1、模块式架构，各模块独立运行，其中实时预览模块最多同时开启5个，每个预览模块最多支持64路同时预览。</w:t>
            </w:r>
            <w:r>
              <w:br w:type="textWrapping"/>
            </w:r>
            <w:r>
              <w:t>2、支持本地存储</w:t>
            </w:r>
            <w:r>
              <w:br w:type="textWrapping"/>
            </w:r>
            <w:r>
              <w:t>3、支持多屏显示</w:t>
            </w:r>
            <w:r>
              <w:br w:type="textWrapping"/>
            </w:r>
            <w:r>
              <w:t>4、支持P2P连接外网设备</w:t>
            </w:r>
            <w:r>
              <w:br w:type="textWrapping"/>
            </w:r>
            <w:r>
              <w:t xml:space="preserve">5、支持标准ONVIF协议，免费接入                                                                                       </w:t>
            </w:r>
            <w:r>
              <w:br w:type="textWrapping"/>
            </w:r>
            <w:r>
              <w:t xml:space="preserve">6、支持管理人脸设备，人脸库导入导出                                                                                  </w:t>
            </w:r>
            <w:r>
              <w:br w:type="textWrapping"/>
            </w:r>
            <w:r>
              <w:t>7、支持实时显示人脸比对结果</w:t>
            </w:r>
            <w:r>
              <w:br w:type="textWrapping"/>
            </w:r>
            <w:r>
              <w:t>8、兼容主流各WINDOWS系统</w:t>
            </w:r>
            <w:r>
              <w:br w:type="textWrapping"/>
            </w:r>
            <w:r>
              <w:t>9、安装简单，采用独立数据库，对系统环境依赖小</w:t>
            </w:r>
          </w:p>
        </w:tc>
      </w:tr>
      <w:tr>
        <w:tblPrEx>
          <w:tblCellMar>
            <w:top w:w="0" w:type="dxa"/>
            <w:left w:w="108" w:type="dxa"/>
            <w:bottom w:w="0" w:type="dxa"/>
            <w:right w:w="108" w:type="dxa"/>
          </w:tblCellMar>
        </w:tblPrEx>
        <w:trPr>
          <w:trHeight w:val="22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茶产品溯源系统</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茶产品溯源系统</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带视频监控、带统计分析</w:t>
            </w:r>
          </w:p>
        </w:tc>
      </w:tr>
      <w:tr>
        <w:tblPrEx>
          <w:tblCellMar>
            <w:top w:w="0" w:type="dxa"/>
            <w:left w:w="108" w:type="dxa"/>
            <w:bottom w:w="0" w:type="dxa"/>
            <w:right w:w="108" w:type="dxa"/>
          </w:tblCellMar>
        </w:tblPrEx>
        <w:trPr>
          <w:trHeight w:val="44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人工智能虫情监测系统</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人工智能虫情监测系统</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符合GB/T24689.1-2009标准的灭虫监测系统，系统集害虫诱捕和拍照、环境信息采集、数据传输、数据分析于一体，实现了害虫的诱集、分类统计、实时报传、远程检测、虫害预警和防治指导的自动化、智能化，同时具有性能稳定、操作简便、设置灵活等特点</w:t>
            </w:r>
          </w:p>
        </w:tc>
      </w:tr>
      <w:tr>
        <w:tblPrEx>
          <w:tblCellMar>
            <w:top w:w="0" w:type="dxa"/>
            <w:left w:w="108" w:type="dxa"/>
            <w:bottom w:w="0" w:type="dxa"/>
            <w:right w:w="108" w:type="dxa"/>
          </w:tblCellMar>
        </w:tblPrEx>
        <w:trPr>
          <w:trHeight w:val="44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土壤墒情监测系统</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土壤墒情监测系统</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土壤温湿度采集、存储、传输和管理于一体的土壤墒情自动监测系统</w:t>
            </w:r>
          </w:p>
        </w:tc>
      </w:tr>
      <w:tr>
        <w:tblPrEx>
          <w:tblCellMar>
            <w:top w:w="0" w:type="dxa"/>
            <w:left w:w="108" w:type="dxa"/>
            <w:bottom w:w="0" w:type="dxa"/>
            <w:right w:w="108" w:type="dxa"/>
          </w:tblCellMar>
        </w:tblPrEx>
        <w:trPr>
          <w:trHeight w:val="225" w:hRule="atLeast"/>
        </w:trPr>
        <w:tc>
          <w:tcPr>
            <w:tcW w:w="3373"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r>
              <w:t>合计</w:t>
            </w:r>
          </w:p>
        </w:tc>
        <w:tc>
          <w:tcPr>
            <w:tcW w:w="534"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5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00"/>
            <w:vAlign w:val="center"/>
          </w:tcPr>
          <w:p/>
        </w:tc>
        <w:tc>
          <w:tcPr>
            <w:tcW w:w="29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r>
      <w:tr>
        <w:tblPrEx>
          <w:tblCellMar>
            <w:top w:w="0" w:type="dxa"/>
            <w:left w:w="108" w:type="dxa"/>
            <w:bottom w:w="0" w:type="dxa"/>
            <w:right w:w="108" w:type="dxa"/>
          </w:tblCellMar>
        </w:tblPrEx>
        <w:trPr>
          <w:trHeight w:val="225" w:hRule="atLeast"/>
        </w:trPr>
        <w:tc>
          <w:tcPr>
            <w:tcW w:w="444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t>三、系统集成服务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r>
      <w:tr>
        <w:tblPrEx>
          <w:tblCellMar>
            <w:top w:w="0" w:type="dxa"/>
            <w:left w:w="108" w:type="dxa"/>
            <w:bottom w:w="0" w:type="dxa"/>
            <w:right w:w="108" w:type="dxa"/>
          </w:tblCellMar>
        </w:tblPrEx>
        <w:trPr>
          <w:trHeight w:val="664"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系统集成服务</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系统设施安装、技术联调、培训、人工技术服务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系统设施安装、技术联调、培训、人工技术服务</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服务期3年</w:t>
            </w:r>
          </w:p>
        </w:tc>
      </w:tr>
      <w:tr>
        <w:tblPrEx>
          <w:tblCellMar>
            <w:top w:w="0" w:type="dxa"/>
            <w:left w:w="108" w:type="dxa"/>
            <w:bottom w:w="0" w:type="dxa"/>
            <w:right w:w="108" w:type="dxa"/>
          </w:tblCellMar>
        </w:tblPrEx>
        <w:trPr>
          <w:trHeight w:val="225" w:hRule="atLeast"/>
        </w:trPr>
        <w:tc>
          <w:tcPr>
            <w:tcW w:w="3373"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r>
              <w:t>合计</w:t>
            </w:r>
          </w:p>
        </w:tc>
        <w:tc>
          <w:tcPr>
            <w:tcW w:w="534"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5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r>
      <w:tr>
        <w:tblPrEx>
          <w:tblCellMar>
            <w:top w:w="0" w:type="dxa"/>
            <w:left w:w="108" w:type="dxa"/>
            <w:bottom w:w="0" w:type="dxa"/>
            <w:right w:w="108" w:type="dxa"/>
          </w:tblCellMar>
        </w:tblPrEx>
        <w:trPr>
          <w:trHeight w:val="225" w:hRule="atLeast"/>
        </w:trPr>
        <w:tc>
          <w:tcPr>
            <w:tcW w:w="444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t>四、云服务器</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r>
      <w:tr>
        <w:tblPrEx>
          <w:tblCellMar>
            <w:top w:w="0" w:type="dxa"/>
            <w:left w:w="108" w:type="dxa"/>
            <w:bottom w:w="0" w:type="dxa"/>
            <w:right w:w="108" w:type="dxa"/>
          </w:tblCellMar>
        </w:tblPrEx>
        <w:trPr>
          <w:trHeight w:val="664"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云服务器</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云服务器</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4核CPU，8G内存 ,500G SSD云盘 ，10M出口带宽</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年</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部署茶产品溯源系统、人工智能虫情监测系统、土壤墒情监测系统</w:t>
            </w:r>
          </w:p>
        </w:tc>
      </w:tr>
      <w:tr>
        <w:tblPrEx>
          <w:tblCellMar>
            <w:top w:w="0" w:type="dxa"/>
            <w:left w:w="108" w:type="dxa"/>
            <w:bottom w:w="0" w:type="dxa"/>
            <w:right w:w="108" w:type="dxa"/>
          </w:tblCellMar>
        </w:tblPrEx>
        <w:trPr>
          <w:trHeight w:val="225" w:hRule="atLeast"/>
        </w:trPr>
        <w:tc>
          <w:tcPr>
            <w:tcW w:w="3373"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r>
              <w:t>合计</w:t>
            </w:r>
          </w:p>
        </w:tc>
        <w:tc>
          <w:tcPr>
            <w:tcW w:w="534"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533"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r>
      <w:tr>
        <w:tblPrEx>
          <w:tblCellMar>
            <w:top w:w="0" w:type="dxa"/>
            <w:left w:w="108" w:type="dxa"/>
            <w:bottom w:w="0" w:type="dxa"/>
            <w:right w:w="108" w:type="dxa"/>
          </w:tblCellMar>
        </w:tblPrEx>
        <w:trPr>
          <w:trHeight w:val="225" w:hRule="atLeast"/>
        </w:trPr>
        <w:tc>
          <w:tcPr>
            <w:tcW w:w="444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t>五、网络通信服务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r>
      <w:tr>
        <w:tblPrEx>
          <w:tblCellMar>
            <w:top w:w="0" w:type="dxa"/>
            <w:left w:w="108" w:type="dxa"/>
            <w:bottom w:w="0" w:type="dxa"/>
            <w:right w:w="108" w:type="dxa"/>
          </w:tblCellMar>
        </w:tblPrEx>
        <w:trPr>
          <w:trHeight w:val="22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流量卡</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流量卡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流量卡</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年</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30张流量卡150G，3年通信费用</w:t>
            </w:r>
          </w:p>
        </w:tc>
      </w:tr>
      <w:tr>
        <w:tblPrEx>
          <w:tblCellMar>
            <w:top w:w="0" w:type="dxa"/>
            <w:left w:w="108" w:type="dxa"/>
            <w:bottom w:w="0" w:type="dxa"/>
            <w:right w:w="108" w:type="dxa"/>
          </w:tblCellMar>
        </w:tblPrEx>
        <w:trPr>
          <w:trHeight w:val="445" w:hRule="atLeast"/>
        </w:trPr>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2</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互联网专线</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互联网专线</w:t>
            </w:r>
          </w:p>
        </w:tc>
        <w:tc>
          <w:tcPr>
            <w:tcW w:w="1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互联网专线</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年</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rPr>
            </w:pPr>
            <w:r>
              <w:t>50M互联网专线，3年通信费用</w:t>
            </w:r>
          </w:p>
        </w:tc>
      </w:tr>
      <w:tr>
        <w:tblPrEx>
          <w:tblCellMar>
            <w:top w:w="0" w:type="dxa"/>
            <w:left w:w="108" w:type="dxa"/>
            <w:bottom w:w="0" w:type="dxa"/>
            <w:right w:w="108" w:type="dxa"/>
          </w:tblCellMar>
        </w:tblPrEx>
        <w:trPr>
          <w:trHeight w:val="225" w:hRule="atLeast"/>
        </w:trPr>
        <w:tc>
          <w:tcPr>
            <w:tcW w:w="3373" w:type="dxa"/>
            <w:gridSpan w:val="4"/>
            <w:tcBorders>
              <w:top w:val="single" w:color="000000" w:sz="4" w:space="0"/>
              <w:left w:val="single" w:color="000000" w:sz="4" w:space="0"/>
              <w:bottom w:val="nil"/>
              <w:right w:val="single" w:color="000000" w:sz="4" w:space="0"/>
            </w:tcBorders>
            <w:shd w:val="clear" w:color="auto" w:fill="FFFF00"/>
            <w:vAlign w:val="center"/>
          </w:tcPr>
          <w:p>
            <w:pPr>
              <w:rPr>
                <w:rFonts w:hint="default"/>
              </w:rPr>
            </w:pPr>
            <w:r>
              <w:t>合计</w:t>
            </w:r>
          </w:p>
        </w:tc>
        <w:tc>
          <w:tcPr>
            <w:tcW w:w="534" w:type="dxa"/>
            <w:tcBorders>
              <w:top w:val="single" w:color="000000" w:sz="4" w:space="0"/>
              <w:left w:val="single" w:color="000000" w:sz="4" w:space="0"/>
              <w:bottom w:val="nil"/>
              <w:right w:val="single" w:color="000000" w:sz="4" w:space="0"/>
            </w:tcBorders>
            <w:shd w:val="clear" w:color="auto" w:fill="FFFF00"/>
            <w:vAlign w:val="center"/>
          </w:tcPr>
          <w:p>
            <w:pPr>
              <w:rPr>
                <w:rFonts w:hint="default"/>
              </w:rPr>
            </w:pPr>
          </w:p>
        </w:tc>
        <w:tc>
          <w:tcPr>
            <w:tcW w:w="533" w:type="dxa"/>
            <w:tcBorders>
              <w:top w:val="single" w:color="000000" w:sz="4" w:space="0"/>
              <w:left w:val="single" w:color="000000" w:sz="4" w:space="0"/>
              <w:bottom w:val="nil"/>
              <w:right w:val="single" w:color="000000" w:sz="4" w:space="0"/>
            </w:tcBorders>
            <w:shd w:val="clear" w:color="auto" w:fill="FFFF00"/>
            <w:vAlign w:val="center"/>
          </w:tcPr>
          <w:p>
            <w:pPr>
              <w:rPr>
                <w:rFonts w:hint="default"/>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rPr>
                <w:rFonts w:hint="default"/>
              </w:rPr>
            </w:pPr>
          </w:p>
        </w:tc>
      </w:tr>
      <w:tr>
        <w:tblPrEx>
          <w:tblCellMar>
            <w:top w:w="0" w:type="dxa"/>
            <w:left w:w="108" w:type="dxa"/>
            <w:bottom w:w="0" w:type="dxa"/>
            <w:right w:w="108" w:type="dxa"/>
          </w:tblCellMar>
        </w:tblPrEx>
        <w:trPr>
          <w:trHeight w:val="230" w:hRule="atLeast"/>
        </w:trPr>
        <w:tc>
          <w:tcPr>
            <w:tcW w:w="44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t>总计：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bl>
    <w:p>
      <w:pPr>
        <w:sectPr>
          <w:pgSz w:w="11906" w:h="16838"/>
          <w:pgMar w:top="1134" w:right="1134" w:bottom="1134" w:left="1417" w:header="851" w:footer="992" w:gutter="0"/>
          <w:cols w:space="0" w:num="1"/>
          <w:docGrid w:type="lines" w:linePitch="312" w:charSpace="0"/>
        </w:sectPr>
      </w:pPr>
    </w:p>
    <w:p>
      <w:pPr>
        <w:pStyle w:val="4"/>
        <w:numPr>
          <w:ilvl w:val="0"/>
          <w:numId w:val="0"/>
        </w:numPr>
      </w:pPr>
      <w:r>
        <w:rPr>
          <w:rFonts w:hint="eastAsia"/>
          <w:sz w:val="30"/>
          <w:szCs w:val="30"/>
          <w:lang w:val="en-US" w:eastAsia="zh-CN"/>
        </w:rPr>
        <w:t>2、</w:t>
      </w:r>
      <w:r>
        <w:rPr>
          <w:rFonts w:hint="eastAsia"/>
          <w:sz w:val="30"/>
          <w:szCs w:val="30"/>
        </w:rPr>
        <w:t>商务要求：</w:t>
      </w:r>
    </w:p>
    <w:p>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（1）交货期：</w:t>
      </w:r>
      <w:r>
        <w:rPr>
          <w:rFonts w:hint="eastAsia" w:ascii="宋体" w:hAnsi="宋体"/>
          <w:sz w:val="28"/>
          <w:szCs w:val="28"/>
        </w:rPr>
        <w:t>合同签订后</w:t>
      </w:r>
      <w:r>
        <w:rPr>
          <w:rFonts w:hint="eastAsia" w:ascii="宋体" w:hAnsi="宋体"/>
          <w:sz w:val="28"/>
          <w:szCs w:val="28"/>
          <w:lang w:val="en-US" w:eastAsia="zh-CN"/>
        </w:rPr>
        <w:t>90日历天</w:t>
      </w:r>
      <w:r>
        <w:rPr>
          <w:rFonts w:hint="eastAsia" w:ascii="宋体" w:hAnsi="宋体"/>
          <w:sz w:val="28"/>
          <w:szCs w:val="28"/>
        </w:rPr>
        <w:t>内完成供货</w:t>
      </w:r>
    </w:p>
    <w:p>
      <w:pPr>
        <w:pStyle w:val="3"/>
        <w:spacing w:line="360" w:lineRule="auto"/>
        <w:jc w:val="both"/>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（2）交货地点：</w:t>
      </w:r>
      <w:r>
        <w:rPr>
          <w:rFonts w:hint="eastAsia" w:ascii="宋体" w:hAnsi="宋体" w:cs="宋体"/>
          <w:sz w:val="28"/>
          <w:szCs w:val="28"/>
        </w:rPr>
        <w:t>用户</w:t>
      </w:r>
      <w:r>
        <w:rPr>
          <w:rFonts w:ascii="宋体" w:hAnsi="宋体" w:cs="宋体"/>
          <w:sz w:val="28"/>
          <w:szCs w:val="28"/>
        </w:rPr>
        <w:t>指定地点</w:t>
      </w:r>
      <w:r>
        <w:rPr>
          <w:rFonts w:hint="eastAsia" w:ascii="宋体" w:hAnsi="宋体" w:cs="宋体"/>
          <w:sz w:val="28"/>
          <w:szCs w:val="28"/>
        </w:rPr>
        <w:t>。</w:t>
      </w:r>
    </w:p>
    <w:p>
      <w:pPr>
        <w:pStyle w:val="3"/>
        <w:spacing w:line="360" w:lineRule="auto"/>
        <w:jc w:val="both"/>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（3）付款条件：标的物到货、安装调试完毕，需方验收合格后，15个工作日内付给供方合同总金额的9</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lang w:eastAsia="zh-CN"/>
        </w:rPr>
        <w:t>％，剩余</w:t>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lang w:eastAsia="zh-CN"/>
        </w:rPr>
        <w:t>%作为质量保证金，一年后无任何质量问题后一次性无息支付。</w:t>
      </w:r>
    </w:p>
    <w:p>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（4）质保金：中标供应商在签订合同前，须以银行汇票、电汇凭据、银行进帐单等形式向需方交纳中标金额</w:t>
      </w:r>
      <w:r>
        <w:rPr>
          <w:rFonts w:hint="eastAsia" w:asciiTheme="majorEastAsia" w:hAnsiTheme="majorEastAsia" w:eastAsiaTheme="majorEastAsia" w:cstheme="majorEastAsia"/>
          <w:spacing w:val="20"/>
          <w:sz w:val="28"/>
          <w:szCs w:val="28"/>
          <w:lang w:val="en-US" w:eastAsia="zh-CN"/>
        </w:rPr>
        <w:t>10%</w:t>
      </w:r>
      <w:r>
        <w:rPr>
          <w:rFonts w:hint="eastAsia" w:asciiTheme="majorEastAsia" w:hAnsiTheme="majorEastAsia" w:eastAsiaTheme="majorEastAsia" w:cstheme="majorEastAsia"/>
          <w:sz w:val="28"/>
          <w:szCs w:val="28"/>
        </w:rPr>
        <w:t>的履约保证金；签订合同后，若中标供应商不按双方签订合同规定履约，则无权要求退回履约保证金。履约保证金不足以赔偿损失的，按实际损失赔偿；合同履约保证金在项目实施验收合格后自动转为质保金，质保金在所供货物按合同要求安装、调试、培训、验收合格正常使用1年后，无息退还。</w:t>
      </w:r>
    </w:p>
    <w:p>
      <w:pPr>
        <w:spacing w:line="360" w:lineRule="auto"/>
        <w:rPr>
          <w:rFonts w:hint="eastAsia" w:asciiTheme="majorEastAsia" w:hAnsiTheme="majorEastAsia" w:eastAsiaTheme="majorEastAsia" w:cstheme="majorEastAsia"/>
          <w:sz w:val="28"/>
          <w:szCs w:val="28"/>
          <w:lang w:val="en-US" w:eastAsia="zh-CN"/>
        </w:rPr>
        <w:sectPr>
          <w:headerReference r:id="rId8" w:type="default"/>
          <w:footerReference r:id="rId9" w:type="default"/>
          <w:pgSz w:w="11907" w:h="16840"/>
          <w:pgMar w:top="1134" w:right="1361" w:bottom="1134" w:left="1468" w:header="851" w:footer="992" w:gutter="0"/>
          <w:cols w:space="720" w:num="1"/>
          <w:docGrid w:linePitch="312" w:charSpace="0"/>
        </w:sect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验收标准、规范及方式</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符合国家相关标准及规范</w:t>
      </w:r>
      <w:r>
        <w:rPr>
          <w:rFonts w:hint="eastAsia" w:asciiTheme="majorEastAsia" w:hAnsiTheme="majorEastAsia" w:eastAsiaTheme="majorEastAsia" w:cstheme="majorEastAsia"/>
          <w:sz w:val="28"/>
          <w:szCs w:val="28"/>
          <w:lang w:eastAsia="zh-CN"/>
        </w:rPr>
        <w:t>。</w:t>
      </w:r>
    </w:p>
    <w:p>
      <w:pPr>
        <w:spacing w:line="480" w:lineRule="exact"/>
        <w:jc w:val="center"/>
        <w:rPr>
          <w:sz w:val="28"/>
          <w:szCs w:val="28"/>
        </w:rPr>
      </w:pPr>
      <w:r>
        <w:rPr>
          <w:rFonts w:hint="eastAsia"/>
          <w:sz w:val="28"/>
          <w:szCs w:val="28"/>
        </w:rPr>
        <w:t xml:space="preserve">           </w:t>
      </w:r>
    </w:p>
    <w:p>
      <w:pPr>
        <w:spacing w:line="480" w:lineRule="exact"/>
        <w:jc w:val="center"/>
        <w:rPr>
          <w:rFonts w:ascii="宋体" w:hAnsi="宋体"/>
          <w:b/>
          <w:sz w:val="24"/>
        </w:rPr>
      </w:pPr>
      <w:r>
        <w:rPr>
          <w:rFonts w:hint="eastAsia" w:ascii="宋体" w:hAnsi="宋体"/>
          <w:b/>
          <w:sz w:val="24"/>
        </w:rPr>
        <w:t>第五章</w:t>
      </w:r>
      <w:r>
        <w:rPr>
          <w:rFonts w:ascii="宋体" w:hAnsi="宋体"/>
          <w:b/>
          <w:sz w:val="24"/>
        </w:rPr>
        <w:t xml:space="preserve"> </w:t>
      </w:r>
      <w:r>
        <w:rPr>
          <w:rFonts w:hint="eastAsia" w:ascii="宋体" w:hAnsi="宋体"/>
          <w:b/>
          <w:sz w:val="24"/>
        </w:rPr>
        <w:t>合同资料及格式</w:t>
      </w:r>
    </w:p>
    <w:p>
      <w:pPr>
        <w:spacing w:line="500" w:lineRule="exact"/>
        <w:jc w:val="center"/>
        <w:rPr>
          <w:rFonts w:ascii="宋体" w:hAnsi="宋体"/>
          <w:sz w:val="28"/>
          <w:szCs w:val="28"/>
        </w:rPr>
      </w:pPr>
      <w:r>
        <w:rPr>
          <w:rFonts w:hint="eastAsia" w:ascii="宋体" w:hAnsi="宋体"/>
          <w:sz w:val="24"/>
        </w:rPr>
        <w:t>（供参考）</w:t>
      </w:r>
    </w:p>
    <w:p>
      <w:pPr>
        <w:spacing w:line="500" w:lineRule="exact"/>
        <w:jc w:val="center"/>
        <w:rPr>
          <w:rFonts w:ascii="宋体" w:hAnsi="宋体"/>
          <w:color w:val="000000" w:themeColor="text1"/>
          <w:sz w:val="28"/>
          <w:szCs w:val="28"/>
        </w:rPr>
      </w:pPr>
      <w:r>
        <w:rPr>
          <w:rStyle w:val="276"/>
          <w:rFonts w:hint="eastAsia" w:ascii="宋体" w:hAnsi="宋体"/>
          <w:sz w:val="24"/>
          <w:szCs w:val="36"/>
          <w:lang w:eastAsia="zh-CN"/>
        </w:rPr>
        <w:t xml:space="preserve"> </w:t>
      </w:r>
      <w:r>
        <w:rPr>
          <w:rFonts w:hint="eastAsia" w:hAnsi="宋体"/>
          <w:b/>
          <w:sz w:val="24"/>
        </w:rPr>
        <w:t xml:space="preserve">                   </w:t>
      </w:r>
    </w:p>
    <w:p>
      <w:pPr>
        <w:tabs>
          <w:tab w:val="left" w:pos="7260"/>
        </w:tabs>
        <w:jc w:val="center"/>
        <w:rPr>
          <w:rFonts w:ascii="宋体" w:hAnsi="宋体"/>
          <w:color w:val="000000" w:themeColor="text1"/>
          <w:w w:val="99"/>
          <w:position w:val="-4"/>
          <w:sz w:val="72"/>
          <w:szCs w:val="40"/>
        </w:rPr>
      </w:pPr>
      <w:r>
        <w:rPr>
          <w:rStyle w:val="310"/>
          <w:rFonts w:hint="eastAsia" w:ascii="宋体" w:hAnsi="宋体"/>
          <w:color w:val="000000" w:themeColor="text1"/>
          <w:sz w:val="24"/>
          <w:szCs w:val="36"/>
          <w:lang w:eastAsia="zh-CN"/>
        </w:rPr>
        <w:t xml:space="preserve"> </w:t>
      </w:r>
      <w:r>
        <w:rPr>
          <w:rFonts w:hint="eastAsia" w:hAnsi="宋体"/>
          <w:b/>
          <w:color w:val="000000" w:themeColor="text1"/>
          <w:sz w:val="24"/>
        </w:rPr>
        <w:t xml:space="preserve">     </w:t>
      </w:r>
      <w:r>
        <w:rPr>
          <w:rFonts w:hint="eastAsia" w:ascii="宋体" w:hAnsi="宋体"/>
          <w:color w:val="000000" w:themeColor="text1"/>
          <w:w w:val="99"/>
          <w:position w:val="-4"/>
          <w:sz w:val="72"/>
          <w:szCs w:val="40"/>
        </w:rPr>
        <w:t>政 府 采 购 合 同</w:t>
      </w:r>
    </w:p>
    <w:p>
      <w:pPr>
        <w:tabs>
          <w:tab w:val="left" w:pos="7260"/>
        </w:tabs>
        <w:rPr>
          <w:rFonts w:ascii="宋体" w:hAnsi="宋体"/>
          <w:color w:val="000000" w:themeColor="text1"/>
          <w:w w:val="99"/>
          <w:position w:val="-4"/>
          <w:sz w:val="48"/>
          <w:szCs w:val="28"/>
        </w:rPr>
      </w:pPr>
    </w:p>
    <w:p>
      <w:pPr>
        <w:tabs>
          <w:tab w:val="left" w:pos="7260"/>
        </w:tabs>
        <w:rPr>
          <w:rFonts w:ascii="宋体" w:hAnsi="宋体"/>
          <w:color w:val="000000" w:themeColor="text1"/>
          <w:w w:val="99"/>
          <w:position w:val="-4"/>
          <w:sz w:val="48"/>
          <w:szCs w:val="28"/>
        </w:rPr>
      </w:pPr>
    </w:p>
    <w:p>
      <w:pPr>
        <w:tabs>
          <w:tab w:val="left" w:pos="7260"/>
        </w:tabs>
        <w:rPr>
          <w:rFonts w:ascii="宋体" w:hAnsi="宋体"/>
          <w:color w:val="000000" w:themeColor="text1"/>
          <w:w w:val="99"/>
          <w:position w:val="-4"/>
          <w:sz w:val="30"/>
          <w:szCs w:val="30"/>
          <w:u w:val="single"/>
        </w:rPr>
      </w:pPr>
      <w:r>
        <w:rPr>
          <w:rFonts w:hint="eastAsia" w:ascii="宋体" w:hAnsi="宋体"/>
          <w:color w:val="000000" w:themeColor="text1"/>
          <w:w w:val="99"/>
          <w:position w:val="-4"/>
          <w:sz w:val="30"/>
          <w:szCs w:val="30"/>
        </w:rPr>
        <w:t xml:space="preserve">  项目编号：</w:t>
      </w:r>
      <w:r>
        <w:rPr>
          <w:rFonts w:hint="eastAsia" w:ascii="宋体" w:hAnsi="宋体"/>
          <w:color w:val="000000" w:themeColor="text1"/>
          <w:w w:val="99"/>
          <w:position w:val="-4"/>
          <w:sz w:val="30"/>
          <w:szCs w:val="30"/>
          <w:u w:val="single"/>
        </w:rPr>
        <w:t xml:space="preserve">                    </w:t>
      </w:r>
    </w:p>
    <w:p>
      <w:pPr>
        <w:tabs>
          <w:tab w:val="left" w:pos="7260"/>
        </w:tabs>
        <w:rPr>
          <w:rFonts w:ascii="宋体" w:hAnsi="宋体"/>
          <w:color w:val="000000" w:themeColor="text1"/>
          <w:w w:val="99"/>
          <w:position w:val="-4"/>
          <w:sz w:val="30"/>
          <w:szCs w:val="30"/>
        </w:rPr>
      </w:pPr>
    </w:p>
    <w:p>
      <w:pPr>
        <w:tabs>
          <w:tab w:val="left" w:pos="7260"/>
        </w:tabs>
        <w:rPr>
          <w:rFonts w:ascii="宋体" w:hAnsi="宋体"/>
          <w:color w:val="000000" w:themeColor="text1"/>
          <w:w w:val="99"/>
          <w:position w:val="-4"/>
          <w:sz w:val="30"/>
          <w:szCs w:val="30"/>
          <w:u w:val="single"/>
        </w:rPr>
      </w:pPr>
      <w:r>
        <w:rPr>
          <w:rFonts w:hint="eastAsia" w:ascii="宋体" w:hAnsi="宋体"/>
          <w:color w:val="000000" w:themeColor="text1"/>
          <w:w w:val="99"/>
          <w:position w:val="-4"/>
          <w:sz w:val="30"/>
          <w:szCs w:val="30"/>
        </w:rPr>
        <w:t xml:space="preserve">  项目名称：</w:t>
      </w:r>
      <w:r>
        <w:rPr>
          <w:rFonts w:hint="eastAsia" w:ascii="宋体" w:hAnsi="宋体"/>
          <w:color w:val="000000" w:themeColor="text1"/>
          <w:w w:val="99"/>
          <w:position w:val="-4"/>
          <w:sz w:val="30"/>
          <w:szCs w:val="30"/>
          <w:u w:val="single"/>
        </w:rPr>
        <w:t xml:space="preserve">                    </w:t>
      </w:r>
    </w:p>
    <w:p>
      <w:pPr>
        <w:tabs>
          <w:tab w:val="left" w:pos="7260"/>
        </w:tabs>
        <w:rPr>
          <w:rFonts w:ascii="宋体" w:hAnsi="宋体"/>
          <w:color w:val="000000" w:themeColor="text1"/>
          <w:w w:val="99"/>
          <w:position w:val="-4"/>
          <w:sz w:val="30"/>
          <w:szCs w:val="30"/>
        </w:rPr>
      </w:pPr>
    </w:p>
    <w:p>
      <w:pPr>
        <w:tabs>
          <w:tab w:val="left" w:pos="7260"/>
        </w:tabs>
        <w:rPr>
          <w:rFonts w:ascii="宋体" w:hAnsi="宋体"/>
          <w:color w:val="000000" w:themeColor="text1"/>
          <w:w w:val="99"/>
          <w:position w:val="-4"/>
          <w:sz w:val="30"/>
          <w:szCs w:val="30"/>
          <w:u w:val="single"/>
        </w:rPr>
      </w:pPr>
      <w:r>
        <w:rPr>
          <w:rFonts w:hint="eastAsia" w:ascii="宋体" w:hAnsi="宋体"/>
          <w:color w:val="000000" w:themeColor="text1"/>
          <w:w w:val="99"/>
          <w:position w:val="-4"/>
          <w:sz w:val="30"/>
          <w:szCs w:val="30"/>
        </w:rPr>
        <w:t xml:space="preserve">  合同编号：</w:t>
      </w:r>
      <w:r>
        <w:rPr>
          <w:rFonts w:hint="eastAsia" w:ascii="宋体" w:hAnsi="宋体"/>
          <w:color w:val="000000" w:themeColor="text1"/>
          <w:w w:val="99"/>
          <w:position w:val="-4"/>
          <w:sz w:val="30"/>
          <w:szCs w:val="30"/>
          <w:u w:val="single"/>
        </w:rPr>
        <w:t xml:space="preserve">               </w:t>
      </w:r>
    </w:p>
    <w:p>
      <w:pPr>
        <w:tabs>
          <w:tab w:val="left" w:pos="7260"/>
        </w:tabs>
        <w:rPr>
          <w:rFonts w:ascii="宋体" w:hAnsi="宋体"/>
          <w:color w:val="000000" w:themeColor="text1"/>
          <w:w w:val="99"/>
          <w:position w:val="-4"/>
          <w:sz w:val="30"/>
          <w:szCs w:val="30"/>
        </w:rPr>
      </w:pPr>
      <w:r>
        <w:rPr>
          <w:rFonts w:hint="eastAsia" w:ascii="宋体" w:hAnsi="宋体"/>
          <w:color w:val="000000" w:themeColor="text1"/>
          <w:w w:val="99"/>
          <w:position w:val="-4"/>
          <w:sz w:val="30"/>
          <w:szCs w:val="30"/>
        </w:rPr>
        <w:t xml:space="preserve">  </w:t>
      </w:r>
    </w:p>
    <w:p>
      <w:pPr>
        <w:tabs>
          <w:tab w:val="left" w:pos="7260"/>
        </w:tabs>
        <w:rPr>
          <w:rFonts w:ascii="宋体" w:hAnsi="宋体"/>
          <w:color w:val="000000" w:themeColor="text1"/>
          <w:w w:val="99"/>
          <w:position w:val="-4"/>
          <w:sz w:val="30"/>
          <w:szCs w:val="30"/>
          <w:u w:val="single"/>
        </w:rPr>
      </w:pPr>
      <w:r>
        <w:rPr>
          <w:rFonts w:hint="eastAsia" w:ascii="宋体" w:hAnsi="宋体"/>
          <w:color w:val="000000" w:themeColor="text1"/>
          <w:w w:val="99"/>
          <w:position w:val="-4"/>
          <w:sz w:val="30"/>
          <w:szCs w:val="30"/>
        </w:rPr>
        <w:t xml:space="preserve">  供应商：</w:t>
      </w:r>
      <w:r>
        <w:rPr>
          <w:rFonts w:hint="eastAsia" w:ascii="宋体" w:hAnsi="宋体"/>
          <w:color w:val="000000" w:themeColor="text1"/>
          <w:w w:val="99"/>
          <w:position w:val="-4"/>
          <w:sz w:val="30"/>
          <w:szCs w:val="30"/>
          <w:u w:val="single"/>
        </w:rPr>
        <w:tab/>
      </w:r>
    </w:p>
    <w:p>
      <w:pPr>
        <w:tabs>
          <w:tab w:val="left" w:pos="7260"/>
        </w:tabs>
        <w:rPr>
          <w:rFonts w:ascii="宋体" w:hAnsi="宋体"/>
          <w:color w:val="000000" w:themeColor="text1"/>
          <w:w w:val="99"/>
          <w:position w:val="-4"/>
          <w:sz w:val="30"/>
          <w:szCs w:val="30"/>
        </w:rPr>
      </w:pPr>
      <w:r>
        <w:rPr>
          <w:rFonts w:hint="eastAsia" w:ascii="宋体" w:hAnsi="宋体"/>
          <w:color w:val="000000" w:themeColor="text1"/>
          <w:w w:val="99"/>
          <w:position w:val="-4"/>
          <w:sz w:val="30"/>
          <w:szCs w:val="30"/>
        </w:rPr>
        <w:t xml:space="preserve">  </w:t>
      </w:r>
    </w:p>
    <w:p>
      <w:pPr>
        <w:tabs>
          <w:tab w:val="left" w:pos="7260"/>
        </w:tabs>
        <w:rPr>
          <w:rFonts w:ascii="宋体" w:hAnsi="宋体"/>
          <w:color w:val="000000" w:themeColor="text1"/>
          <w:w w:val="99"/>
          <w:position w:val="-4"/>
          <w:sz w:val="30"/>
          <w:szCs w:val="30"/>
          <w:u w:val="single"/>
        </w:rPr>
      </w:pPr>
      <w:r>
        <w:rPr>
          <w:rFonts w:hint="eastAsia" w:ascii="宋体" w:hAnsi="宋体"/>
          <w:color w:val="000000" w:themeColor="text1"/>
          <w:w w:val="99"/>
          <w:position w:val="-4"/>
          <w:sz w:val="30"/>
          <w:szCs w:val="30"/>
        </w:rPr>
        <w:t xml:space="preserve">  采购人：</w:t>
      </w:r>
      <w:r>
        <w:rPr>
          <w:rFonts w:hint="eastAsia" w:ascii="宋体" w:hAnsi="宋体"/>
          <w:color w:val="000000" w:themeColor="text1"/>
          <w:w w:val="99"/>
          <w:position w:val="-4"/>
          <w:sz w:val="30"/>
          <w:szCs w:val="30"/>
          <w:u w:val="single"/>
        </w:rPr>
        <w:tab/>
      </w:r>
    </w:p>
    <w:p>
      <w:pPr>
        <w:tabs>
          <w:tab w:val="left" w:pos="7260"/>
        </w:tabs>
        <w:rPr>
          <w:rFonts w:ascii="宋体" w:hAnsi="宋体"/>
          <w:color w:val="000000" w:themeColor="text1"/>
          <w:w w:val="99"/>
          <w:position w:val="-4"/>
          <w:sz w:val="30"/>
          <w:szCs w:val="30"/>
        </w:rPr>
      </w:pPr>
      <w:r>
        <w:rPr>
          <w:rFonts w:hint="eastAsia" w:ascii="宋体" w:hAnsi="宋体"/>
          <w:color w:val="000000" w:themeColor="text1"/>
          <w:w w:val="99"/>
          <w:position w:val="-4"/>
          <w:sz w:val="30"/>
          <w:szCs w:val="30"/>
        </w:rPr>
        <w:t xml:space="preserve">  </w:t>
      </w:r>
    </w:p>
    <w:p>
      <w:pPr>
        <w:tabs>
          <w:tab w:val="left" w:pos="7260"/>
        </w:tabs>
        <w:rPr>
          <w:rFonts w:ascii="宋体" w:hAnsi="宋体"/>
          <w:color w:val="000000" w:themeColor="text1"/>
          <w:w w:val="99"/>
          <w:position w:val="-4"/>
          <w:sz w:val="30"/>
          <w:szCs w:val="30"/>
          <w:u w:val="single"/>
        </w:rPr>
      </w:pPr>
      <w:r>
        <w:rPr>
          <w:rFonts w:hint="eastAsia" w:ascii="宋体" w:hAnsi="宋体"/>
          <w:color w:val="000000" w:themeColor="text1"/>
          <w:w w:val="99"/>
          <w:position w:val="-4"/>
          <w:sz w:val="30"/>
          <w:szCs w:val="30"/>
        </w:rPr>
        <w:t xml:space="preserve">  签订日期：</w:t>
      </w:r>
      <w:r>
        <w:rPr>
          <w:rFonts w:hint="eastAsia" w:ascii="宋体" w:hAnsi="宋体"/>
          <w:color w:val="000000" w:themeColor="text1"/>
          <w:w w:val="99"/>
          <w:position w:val="-4"/>
          <w:sz w:val="30"/>
          <w:szCs w:val="30"/>
          <w:u w:val="single"/>
        </w:rPr>
        <w:t xml:space="preserve">   </w:t>
      </w:r>
      <w:r>
        <w:rPr>
          <w:rFonts w:hint="eastAsia" w:ascii="宋体" w:hAnsi="宋体"/>
          <w:color w:val="000000" w:themeColor="text1"/>
          <w:w w:val="99"/>
          <w:position w:val="-4"/>
          <w:sz w:val="30"/>
          <w:szCs w:val="30"/>
        </w:rPr>
        <w:t>年</w:t>
      </w:r>
      <w:r>
        <w:rPr>
          <w:rFonts w:hint="eastAsia" w:ascii="宋体" w:hAnsi="宋体"/>
          <w:color w:val="000000" w:themeColor="text1"/>
          <w:w w:val="99"/>
          <w:position w:val="-4"/>
          <w:sz w:val="30"/>
          <w:szCs w:val="30"/>
          <w:u w:val="single"/>
        </w:rPr>
        <w:t xml:space="preserve">    </w:t>
      </w:r>
      <w:r>
        <w:rPr>
          <w:rFonts w:hint="eastAsia" w:ascii="宋体" w:hAnsi="宋体"/>
          <w:color w:val="000000" w:themeColor="text1"/>
          <w:w w:val="99"/>
          <w:position w:val="-4"/>
          <w:sz w:val="30"/>
          <w:szCs w:val="30"/>
        </w:rPr>
        <w:t>月</w:t>
      </w:r>
      <w:r>
        <w:rPr>
          <w:rFonts w:hint="eastAsia" w:ascii="宋体" w:hAnsi="宋体"/>
          <w:color w:val="000000" w:themeColor="text1"/>
          <w:w w:val="99"/>
          <w:position w:val="-4"/>
          <w:sz w:val="30"/>
          <w:szCs w:val="30"/>
          <w:u w:val="single"/>
        </w:rPr>
        <w:t xml:space="preserve">    </w:t>
      </w:r>
      <w:r>
        <w:rPr>
          <w:rFonts w:hint="eastAsia" w:ascii="宋体" w:hAnsi="宋体"/>
          <w:color w:val="000000" w:themeColor="text1"/>
          <w:w w:val="99"/>
          <w:position w:val="-4"/>
          <w:sz w:val="30"/>
          <w:szCs w:val="30"/>
        </w:rPr>
        <w:t>日</w:t>
      </w:r>
    </w:p>
    <w:p>
      <w:pPr>
        <w:tabs>
          <w:tab w:val="left" w:pos="7260"/>
        </w:tabs>
        <w:spacing w:line="499" w:lineRule="exact"/>
        <w:rPr>
          <w:rFonts w:ascii="宋体" w:hAnsi="宋体"/>
          <w:b/>
          <w:bCs/>
          <w:color w:val="000000" w:themeColor="text1"/>
          <w:w w:val="99"/>
          <w:position w:val="-4"/>
          <w:sz w:val="30"/>
          <w:szCs w:val="30"/>
        </w:rPr>
      </w:pPr>
    </w:p>
    <w:p>
      <w:pPr>
        <w:tabs>
          <w:tab w:val="left" w:pos="8280"/>
        </w:tabs>
        <w:autoSpaceDE w:val="0"/>
        <w:autoSpaceDN w:val="0"/>
        <w:adjustRightInd w:val="0"/>
        <w:jc w:val="center"/>
        <w:rPr>
          <w:rFonts w:ascii="宋体"/>
          <w:b/>
          <w:bCs/>
          <w:color w:val="000000" w:themeColor="text1"/>
          <w:sz w:val="30"/>
          <w:szCs w:val="30"/>
          <w:lang w:val="zh-CN"/>
        </w:rPr>
      </w:pPr>
    </w:p>
    <w:p>
      <w:pPr>
        <w:tabs>
          <w:tab w:val="left" w:pos="8280"/>
        </w:tabs>
        <w:autoSpaceDE w:val="0"/>
        <w:autoSpaceDN w:val="0"/>
        <w:adjustRightInd w:val="0"/>
        <w:jc w:val="center"/>
        <w:rPr>
          <w:rFonts w:ascii="宋体"/>
          <w:b/>
          <w:bCs/>
          <w:color w:val="000000" w:themeColor="text1"/>
          <w:sz w:val="30"/>
          <w:szCs w:val="30"/>
          <w:lang w:val="zh-CN"/>
        </w:rPr>
      </w:pPr>
    </w:p>
    <w:p>
      <w:pPr>
        <w:tabs>
          <w:tab w:val="left" w:pos="8280"/>
        </w:tabs>
        <w:autoSpaceDE w:val="0"/>
        <w:autoSpaceDN w:val="0"/>
        <w:adjustRightInd w:val="0"/>
        <w:jc w:val="center"/>
        <w:rPr>
          <w:rFonts w:ascii="宋体"/>
          <w:b/>
          <w:bCs/>
          <w:color w:val="000000" w:themeColor="text1"/>
          <w:sz w:val="30"/>
          <w:szCs w:val="30"/>
          <w:lang w:val="zh-CN"/>
        </w:rPr>
      </w:pPr>
    </w:p>
    <w:p>
      <w:pPr>
        <w:pStyle w:val="4"/>
        <w:rPr>
          <w:rFonts w:ascii="宋体"/>
          <w:color w:val="000000" w:themeColor="text1"/>
          <w:sz w:val="30"/>
          <w:szCs w:val="30"/>
          <w:lang w:val="zh-CN"/>
        </w:rPr>
      </w:pPr>
    </w:p>
    <w:p>
      <w:pPr>
        <w:rPr>
          <w:rFonts w:ascii="宋体"/>
          <w:b/>
          <w:bCs/>
          <w:color w:val="000000" w:themeColor="text1"/>
          <w:sz w:val="30"/>
          <w:szCs w:val="30"/>
          <w:lang w:val="zh-CN"/>
        </w:rPr>
      </w:pPr>
    </w:p>
    <w:p>
      <w:pPr>
        <w:pStyle w:val="4"/>
        <w:rPr>
          <w:color w:val="000000" w:themeColor="text1"/>
          <w:lang w:val="zh-CN"/>
        </w:rPr>
      </w:pPr>
    </w:p>
    <w:p>
      <w:pPr>
        <w:tabs>
          <w:tab w:val="left" w:pos="8280"/>
        </w:tabs>
        <w:autoSpaceDE w:val="0"/>
        <w:autoSpaceDN w:val="0"/>
        <w:adjustRightInd w:val="0"/>
        <w:jc w:val="center"/>
        <w:rPr>
          <w:rFonts w:ascii="宋体"/>
          <w:b/>
          <w:bCs/>
          <w:color w:val="000000" w:themeColor="text1"/>
          <w:sz w:val="30"/>
          <w:szCs w:val="30"/>
          <w:lang w:val="zh-CN"/>
        </w:rPr>
      </w:pPr>
    </w:p>
    <w:p>
      <w:pPr>
        <w:tabs>
          <w:tab w:val="left" w:pos="8280"/>
        </w:tabs>
        <w:autoSpaceDE w:val="0"/>
        <w:autoSpaceDN w:val="0"/>
        <w:adjustRightInd w:val="0"/>
        <w:jc w:val="center"/>
        <w:rPr>
          <w:rFonts w:ascii="宋体"/>
          <w:b/>
          <w:bCs/>
          <w:color w:val="000000" w:themeColor="text1"/>
          <w:sz w:val="30"/>
          <w:szCs w:val="30"/>
          <w:lang w:val="zh-CN"/>
        </w:rPr>
      </w:pPr>
    </w:p>
    <w:p>
      <w:pPr>
        <w:tabs>
          <w:tab w:val="left" w:pos="8280"/>
        </w:tabs>
        <w:autoSpaceDE w:val="0"/>
        <w:autoSpaceDN w:val="0"/>
        <w:adjustRightInd w:val="0"/>
        <w:rPr>
          <w:rFonts w:ascii="宋体"/>
          <w:b/>
          <w:bCs/>
          <w:color w:val="000000" w:themeColor="text1"/>
          <w:sz w:val="30"/>
          <w:szCs w:val="30"/>
          <w:lang w:val="zh-CN"/>
        </w:rPr>
      </w:pPr>
    </w:p>
    <w:p>
      <w:pPr>
        <w:spacing w:line="440" w:lineRule="exact"/>
        <w:jc w:val="center"/>
        <w:rPr>
          <w:rFonts w:ascii="Time New Roma" w:hAnsi="Time New Roma"/>
          <w:b/>
          <w:bCs/>
          <w:color w:val="000000" w:themeColor="text1"/>
          <w:sz w:val="44"/>
          <w:szCs w:val="44"/>
        </w:rPr>
      </w:pPr>
    </w:p>
    <w:p>
      <w:pPr>
        <w:pStyle w:val="3"/>
      </w:pPr>
    </w:p>
    <w:p>
      <w:pPr>
        <w:spacing w:line="440" w:lineRule="exact"/>
        <w:jc w:val="center"/>
        <w:rPr>
          <w:rFonts w:ascii="Time New Roma" w:hAnsi="Time New Roma"/>
          <w:b/>
          <w:bCs/>
          <w:color w:val="000000" w:themeColor="text1"/>
          <w:sz w:val="44"/>
          <w:szCs w:val="44"/>
        </w:rPr>
      </w:pPr>
      <w:r>
        <w:rPr>
          <w:rFonts w:hint="eastAsia" w:ascii="Time New Roma" w:hAnsi="Time New Roma"/>
          <w:b/>
          <w:bCs/>
          <w:color w:val="000000" w:themeColor="text1"/>
          <w:sz w:val="44"/>
          <w:szCs w:val="44"/>
        </w:rPr>
        <w:t>合同格式（仅供参考）</w:t>
      </w:r>
    </w:p>
    <w:p>
      <w:pPr>
        <w:pStyle w:val="45"/>
        <w:spacing w:before="0" w:after="0" w:line="440" w:lineRule="exact"/>
        <w:ind w:firstLine="482" w:firstLineChars="200"/>
        <w:rPr>
          <w:rFonts w:ascii="Time New Roma" w:hAnsi="Time New Roma"/>
          <w:b/>
          <w:color w:val="000000" w:themeColor="text1"/>
        </w:rPr>
      </w:pPr>
      <w:r>
        <w:rPr>
          <w:rFonts w:ascii="Time New Roma" w:hAnsi="Time New Roma"/>
          <w:b/>
          <w:color w:val="000000" w:themeColor="text1"/>
        </w:rPr>
        <w:t>一、合同签订</w:t>
      </w:r>
    </w:p>
    <w:p>
      <w:pPr>
        <w:pStyle w:val="45"/>
        <w:numPr>
          <w:ilvl w:val="0"/>
          <w:numId w:val="5"/>
        </w:numPr>
        <w:spacing w:before="0" w:after="0" w:line="440" w:lineRule="exact"/>
        <w:ind w:firstLine="480" w:firstLineChars="200"/>
        <w:rPr>
          <w:rFonts w:ascii="Time New Roma" w:hAnsi="Time New Roma"/>
          <w:color w:val="000000" w:themeColor="text1"/>
        </w:rPr>
      </w:pPr>
      <w:r>
        <w:rPr>
          <w:rFonts w:hint="eastAsia" w:ascii="Time New Roma" w:hAnsi="Time New Roma"/>
          <w:color w:val="000000" w:themeColor="text1"/>
        </w:rPr>
        <w:t>中标</w:t>
      </w:r>
      <w:r>
        <w:rPr>
          <w:rFonts w:ascii="Time New Roma" w:hAnsi="Time New Roma"/>
          <w:color w:val="000000" w:themeColor="text1"/>
        </w:rPr>
        <w:t>人应在规定的时间、地点与采购人签订合同，投标文件、</w:t>
      </w:r>
      <w:r>
        <w:rPr>
          <w:rFonts w:hint="eastAsia" w:ascii="Time New Roma" w:hAnsi="Time New Roma"/>
          <w:color w:val="000000" w:themeColor="text1"/>
        </w:rPr>
        <w:t>中标</w:t>
      </w:r>
      <w:r>
        <w:rPr>
          <w:rFonts w:ascii="Time New Roma" w:hAnsi="Time New Roma"/>
          <w:color w:val="000000" w:themeColor="text1"/>
        </w:rPr>
        <w:t>人的投标响应文件以及评审过程中有关澄清文件均作为合同附件。</w:t>
      </w:r>
      <w:r>
        <w:rPr>
          <w:rFonts w:hint="eastAsia" w:ascii="Time New Roma" w:hAnsi="Time New Roma"/>
          <w:color w:val="000000" w:themeColor="text1"/>
        </w:rPr>
        <w:t>中标</w:t>
      </w:r>
      <w:r>
        <w:rPr>
          <w:rFonts w:ascii="Time New Roma" w:hAnsi="Time New Roma"/>
          <w:color w:val="000000" w:themeColor="text1"/>
        </w:rPr>
        <w:t>人无正当理由未在规定时间内与采购人签订合同的，采购人有权取消其</w:t>
      </w:r>
      <w:r>
        <w:rPr>
          <w:rFonts w:hint="eastAsia" w:ascii="Time New Roma" w:hAnsi="Time New Roma"/>
          <w:color w:val="000000" w:themeColor="text1"/>
        </w:rPr>
        <w:t>中标</w:t>
      </w:r>
      <w:r>
        <w:rPr>
          <w:rFonts w:ascii="Time New Roma" w:hAnsi="Time New Roma"/>
          <w:color w:val="000000" w:themeColor="text1"/>
        </w:rPr>
        <w:t>资格。</w:t>
      </w:r>
    </w:p>
    <w:p>
      <w:pPr>
        <w:pStyle w:val="45"/>
        <w:numPr>
          <w:ilvl w:val="0"/>
          <w:numId w:val="5"/>
        </w:numPr>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采购人应按照</w:t>
      </w:r>
      <w:r>
        <w:rPr>
          <w:rFonts w:hint="eastAsia" w:ascii="Time New Roma" w:hAnsi="Time New Roma"/>
          <w:color w:val="000000" w:themeColor="text1"/>
        </w:rPr>
        <w:t>中标</w:t>
      </w:r>
      <w:r>
        <w:rPr>
          <w:rFonts w:ascii="Time New Roma" w:hAnsi="Time New Roma"/>
          <w:color w:val="000000" w:themeColor="text1"/>
        </w:rPr>
        <w:t>价格签订合同，如有需要追加与合同标的相同货物的，在不改变合同其他条款的前提下，经有关部门审批，可以与</w:t>
      </w:r>
      <w:r>
        <w:rPr>
          <w:rFonts w:hint="eastAsia" w:ascii="Time New Roma" w:hAnsi="Time New Roma"/>
          <w:color w:val="000000" w:themeColor="text1"/>
        </w:rPr>
        <w:t>中标</w:t>
      </w:r>
      <w:r>
        <w:rPr>
          <w:rFonts w:ascii="Time New Roma" w:hAnsi="Time New Roma"/>
          <w:color w:val="000000" w:themeColor="text1"/>
        </w:rPr>
        <w:t>人签订补充合同，但增加幅度不超过</w:t>
      </w:r>
      <w:r>
        <w:rPr>
          <w:rFonts w:hint="eastAsia" w:ascii="Time New Roma" w:hAnsi="Time New Roma"/>
          <w:color w:val="000000" w:themeColor="text1"/>
        </w:rPr>
        <w:t>中标</w:t>
      </w:r>
      <w:r>
        <w:rPr>
          <w:rFonts w:ascii="Time New Roma" w:hAnsi="Time New Roma"/>
          <w:color w:val="000000" w:themeColor="text1"/>
        </w:rPr>
        <w:t>金额的10%。</w:t>
      </w:r>
    </w:p>
    <w:p>
      <w:pPr>
        <w:pStyle w:val="45"/>
        <w:spacing w:before="0" w:after="0" w:line="440" w:lineRule="exact"/>
        <w:ind w:firstLine="482" w:firstLineChars="200"/>
        <w:rPr>
          <w:rFonts w:ascii="Time New Roma" w:hAnsi="Time New Roma"/>
          <w:b/>
          <w:color w:val="000000" w:themeColor="text1"/>
        </w:rPr>
      </w:pPr>
      <w:bookmarkStart w:id="7" w:name="_Toc10024960"/>
      <w:r>
        <w:rPr>
          <w:rFonts w:ascii="Time New Roma" w:hAnsi="Time New Roma"/>
          <w:b/>
          <w:color w:val="000000" w:themeColor="text1"/>
        </w:rPr>
        <w:t>二、合同条款</w:t>
      </w:r>
      <w:bookmarkEnd w:id="7"/>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1.定义</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本合同中的下列术语应解释为：</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1.1“甲方”系指本项目的采购人。</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1.2“乙方”系指本项目的中标单位。</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1.3“合同”系指甲乙双方签署的、合同格式中载明的甲乙双方所达成的协议，包括所有的附件、附录和构成合同的所有文件。</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1.4“合同价”系指根据合同规定，乙方正确地完全履行合同义务后甲方应支付给乙方的价格。</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1.5“货物”系指乙方根据合同规定须向甲方提供的一切设备、材料、备品备件和/或其它材料。</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1.6“服务”系指根据合同规定乙方承担与供货有关的辅助服务，如安装、调试、合同中规定乙方应承当的其它义务。</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1.7“现场”系指合同项下货物将要进行安装和运行的地点。</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1.8“验收”系指合同双方根据规定的程序和条件确认合同项下的公交站路名牌符合技术规范的要求。</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2.适用性</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2.1本合同条款适用于没有被本合同其它部分所取代的范围。</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3.技术规格和要求</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3.1详见本项目招标文件技术要求部分。</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4.专利权</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4.1乙方应保证甲方在其本国使用该货物或货物的任何一部分时免受第三方提出的侵犯其专利权、商标权或工业设计权的起诉。如果任何第三方对此提出起诉，乙方应负责与之交涉并承担可能发生的一切法律及经济损失。</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5.包装</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5.1乙方应提供制播设备运至合同规定的最终目的地所需要的包装，以防止货物在运转中损坏或变质。这类包装应采取防潮、防晒、防锈、防腐蚀、防震动及防止其它损坏的必要措施，从而保护制播设备能够经受多次搬运、装卸和内陆的长途运输。乙方应承担由于其包装或其保护措施不妥而引起货物锈蚀、损坏和丢失的任何损失的责任或费用。</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6.交货方式</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现场交货：乙方负责办理运输和保险，将货物运抵现场。有关运输和保险以及相关费用由乙方承担。所有货物运抵现场，由甲方出具的收货证明上的日期为最终交货期。</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7.保险</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7.1由乙方办理以甲方为受益人的货物“一切险”，投保金额为货物价格的110%，保险保至项目最终交货地点。</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8.付款方式（见本项目招标文件《供应商须知前附表》）</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9.技术资料</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合同项下技术资料将以下列方式交付：</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9.1合同生效后15天之内，乙方应将每台设备的中文技术资料一套，如目录索引、图纸、技术说明书、操作手册、使用指南、维修指南和/或服务手册和示意图寄给甲方。</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9.2另外一套完整的上述资料应包装好随同每批货物一起发运。</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9.3如果甲方确认乙方提供的技术不完整或在运输过程中丢失，乙方将在收到甲方通知后3天内将这些资料免费寄给甲方。</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10.价格</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10.1合同总价与投标报价总价应一致。</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11.质量保证和验收</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11.1乙方应保证所供货物是全新、未使用过的，是最新或最流行型号和用一流的工艺和最佳材料制造而成的，并完全符合合同规定的质量、规格和性能的要求。在货物最终验收合格后的质量保证期内，乙方应对由于设计、工艺或材料的缺陷而发生的任何不足或故障负责。</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11.2根据甲方按检验标准自己检验结果或当地质检部门检验结果，或者在质量保证期内，如果货物的数量、质量或规格与合同不符，或证实货物是有缺陷的，包括潜在的缺陷或使用不符合要求的材料等，甲方应尽快以书面形式通知乙方，提出本保证下的索赔。</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11.3乙方在收到通知后按招标文件规定的时间内应免费维修或更换有缺陷的货物或部件。</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11.4如果乙方在收到通知后按招标文件规定的时间内没有弥补缺陷，甲方可采取必要的补救措施，但其风险和费用将由乙方承担，甲方根据合同规定对乙方行使的其它权利不受影响。</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11.5货物最终验收合格后，由甲方和乙方出具最终验收报告。但该报告不能免除乙方对由于设计、工艺或材料的缺陷而产生的故障或质量问题应承担的责任。</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12.检验</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12.1在交货前，供应商应对货物的质量、规格、性能、数量/重量等进行精确全面的检验，并出具一份证明货物合同规定的证明书。该证明书将成为向甲方要求付款的单据不可分割的组成部分。但对于合同货物的质量、规格 、性能、数量/重量来说，不能成为最终检验证明。供应商所做检验的详细情况和结果必须写出报告，该报告应附在证明书中。</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12.2货物运抵现场后，甲方将对货物的质量、规格、数量/重量等进行检验，并出具检验证明书。如发现规格和数量或两者都与合同不符，无论什么理由，证明货物有缺陷，包括潜在缺陷，或用了不合适的材料，甲方有权在货物运抵现场后90天内，根据甲方按检验标准自己检验结果或当地质检部门出具的检验报告向乙方提出索赔，除责任由保险公司或运输部门承担的除外。</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12.3如果货物的质量和规格与合同不符，或在招标文件规定的质量保证期内证实货物是有缺陷的，包括潜在缺陷或使用了不合适的材料，甲方将有权按检验标准自己检验结果或当地质检部门出具的检验报告向乙方提出索赔。</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12.4甲方有权提出在货物制造过程中派人到制造厂进行监督，乙方有义务为甲方监造人提供方便。</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13.索赔</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13.1除责任应由保险公司或运输部门承担的之外，甲方有权根据甲方按检验标准自己检验的结果或当地质检部门出具的质检证书向乙方提出索赔。</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13.2如果乙方对甲方根据合同第13条和第14条的规定向乙方提出质量不符和索赔要求负有责任时，乙方须经甲方同意按以下一个或多个综合的方法来处理该项索赔：</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13.2.1同意拒收制播设备并用合同规定的相同货币归还拒收货物部分的货款，并应承担与此相关的所有直接损失和费用，包括由此产生的利息、银行费用、运费、保险费、检验费、储存费、装卸费以及其它所有保管和维修被拒收货物所必需的费用。</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13.2.2根据货物劣质、损坏程度及甲方所受损失的范围降低货物的价格。</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13.2.3将不符部分换成与合同规定的规格、质量、性能相符的新部件，乙方应承担甲方所承受的一切费用和损失。</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13.2.4由乙方自费派出技术人员对货物的不符和有缺陷部分进行修理，如乙方不能派出技术人员时，甲方有权代为修理，由此产生费用应由乙方承担。</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13.3对于上述索赔如果甲方在发出索赔通知后10天内，乙方未作答复，应视为乙方接受了甲方的索赔要求。如乙方在甲方发出索赔通知后10 天内或甲方同意的更长时间内，未能按照本合同第15.2条规定的任何一种方法解决索赔事宜，甲方将从货款或乙方交纳的履约保证金中扣出索赔金额。如果这些金额不足以补偿索赔金额，甲方有权向乙方提出不足部分补偿。</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14.延期交货</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14.1在履约合同过程中，如果乙方遇到不能按时交货和提供服务的情况，应及时以书面形式将不能按时交货的理由、延误时间通知甲方。甲方在收到乙方通知后，应进行分析，如同意，可通过修改合同，酌情延长交货时间。</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14.2如果乙方毫无理由地拖延交货，将受到以下制裁：扣除相应额度的投标保证金或履约保证金、加收迟交罚款和/或终止合同。</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15.违约赔偿</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15.1除了甲方同意延期或本合同第18条规定外，如果乙方没有按照合同规定的时间交货和提供服务，甲方可从货款或乙方交纳的投标保证金或履约保证金中扣除滞纳金。滞纳金按7天1%计算，不足7天亦按7天计算。如延期交货超过30天，甲方有权解除合同。尽管该合同已解除，乙方仍应毫不迟延地支付前面所说的滞纳金。乙方支付的滞纳金总额度将不超过合同总价的10%。</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16.不可抗力</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16.1本条所述的“不可抗力”系指那些合同双方在订立合同时无法控制、不可预见的事件，这些事件包括：战争、严重火灾、水灾、台风和地震以及其它经双方同意属于不可抗力的事故。如果合同双方中任何一方由于不可抗力致使合同履行受阻时，履行合同的期限应予延长，延长的期限应相当于事故所影响的时间。</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16.2受事故影响的一方应在不可抗力的事故发生后尽快以传真或电子邮件等方式通知另一方，并在事故发生后4天内，将有关部门出具的证明文件用“特快专递”寄给或送给另一方。如果不可抗力影响时间延续120 天以上的，双方应通过友好协商在合理的时间内达成进一步履行合同的协议。</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17.税费</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17.1根据中华人民共和国现行税法对甲方征收的与本合同有关的一切税费均由甲方负担。</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17.2根据中华人民共和国现行税法对乙方征收的与本合同有关的一切税费均由乙方负担。</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17.3 在中华人民共和国境外发生的与本合同执行有关的一切税费均由乙方负担。</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17.4履约保证金（按采购文件第二部分第八条执行）</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18.仲裁</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18.1甲乙双方应通过友好协商，解决在执行合同中所发生的或与本合同有关的一切争端，如果协商仍得不到解决，任何一方均可按《中华人民共和国合同法》规定向临沂仲裁委员会提交调解和仲裁。</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18.2仲裁裁决应为终局裁决，对双方均具有约束力。</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18.3仲裁费除仲裁机构另有裁决外应由败诉方负担。</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18.4在仲裁期间，除正在进行的部分外，本合同其它部分仍可继续执行。</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19.违约终止合同</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19.1在甲方对乙方违约而采取的任何补救措施不受影响的情况下，甲方可向乙方发出书面违约通知书，提出终止部分或全部合同：</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19.1.1如果乙方未能在合同规定的期限或甲方同意延长的期限内提供全部或部分制播设备。</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19.1.2如果乙方未能履行合同规定的其它义务，乙方在收到甲方发出</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的违约通知后30天内，或经甲方书面认可延长的时间内未能纠正其过失。</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19.2在上述情况下，并不影响甲方向乙方提出索赔。</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19.3如果甲方根据上述第19.1.2条规定，终止了全部或部分合同，甲方可以依其认为适当的条件和方法购买与未交制播设备类似的制播设备，乙方应对购买类似的货物所超出的费用负责。但是，乙方还应继续执行合同中未终止的部分。</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20.破产终止的合同</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20.1如果乙方破产或无清偿能力，甲方可在任何时候以书面形式通知乙方终止合同而不给乙方补偿。该终止合同将不损害或影响甲方已经采取或将要采取的任何行动或补救措施的权利。</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21.变更指令</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21.1甲方可以在任何时候书面向乙方发出指令，在本合同的一般范围内变更下述一项或几项：</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21.1.1本合同项下提供的货物是专为甲方制造，变更图纸、设计或规格；</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21.1.2运输或包装的方法；</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21.1.3交货</w:t>
      </w:r>
      <w:r>
        <w:rPr>
          <w:rFonts w:hint="eastAsia" w:ascii="Time New Roma" w:hAnsi="Time New Roma"/>
          <w:color w:val="000000" w:themeColor="text1"/>
        </w:rPr>
        <w:t>或服务</w:t>
      </w:r>
      <w:r>
        <w:rPr>
          <w:rFonts w:ascii="Time New Roma" w:hAnsi="Time New Roma"/>
          <w:color w:val="000000" w:themeColor="text1"/>
        </w:rPr>
        <w:t>地点；</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21.1.4乙方提供的服务。</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如果上述变更使乙方履行合同义务的费用或时间增加或减少，合同价或交货时间或两者将进行等量调整，同时相应修改合同。乙方根据本条进行调整的要求必须在收到甲方的变更指令后15天内提出。</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22.转让和分包</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22.1未经甲方事先书面同意，乙方不得部分转让或全部转让其应履行的合同义务。</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22.2如投标文件中没有明确分包合同，乙方应书面通知甲方其在本合同中将分包的全部分包合同，无论在原投标文件中还是后来发生的分包通知均不能解除乙方履行本合同的责任和义务。</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23.合同修改</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23.1欲对合同条款进行任何改动，均须由甲乙双方签署书面的合同修改书。</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24.通知</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24.1本合同任何一方给另一方的通知，都应以书面或传真、电报的形式发送，另一方面应以书面形式确认发送到对方的明确的地址。</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25.计量单位</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25.1除技术规范中另有规定外，计量单位均使用国家法定计量单位。</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26.本合同应用中文书写。</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27.适用法律</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27.1本合同应按照《中华人民共和国合同法》进行解释。</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28.合同生效及其它</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28.1合同应在双方签字盖章后开始生效。</w:t>
      </w:r>
    </w:p>
    <w:p>
      <w:pPr>
        <w:pStyle w:val="45"/>
        <w:spacing w:before="0" w:after="0" w:line="440" w:lineRule="exact"/>
        <w:ind w:firstLine="480" w:firstLineChars="200"/>
        <w:rPr>
          <w:rFonts w:ascii="Time New Roma" w:hAnsi="Time New Roma"/>
          <w:color w:val="000000" w:themeColor="text1"/>
        </w:rPr>
      </w:pPr>
      <w:r>
        <w:rPr>
          <w:rFonts w:ascii="Time New Roma" w:hAnsi="Time New Roma"/>
          <w:color w:val="000000" w:themeColor="text1"/>
        </w:rPr>
        <w:t>28.2本合同一式四份，以中文书写，甲乙双方各执一份，政府采购办一份、交易中心一份。</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28.3如需修改或补充合同内容，经协商，甲乙双方应签署书面修改或补充协议，该协议将作为本合同的一个组成部分。</w:t>
      </w:r>
    </w:p>
    <w:tbl>
      <w:tblPr>
        <w:tblStyle w:val="50"/>
        <w:tblW w:w="0" w:type="auto"/>
        <w:tblInd w:w="828" w:type="dxa"/>
        <w:tblLayout w:type="fixed"/>
        <w:tblCellMar>
          <w:top w:w="0" w:type="dxa"/>
          <w:left w:w="108" w:type="dxa"/>
          <w:bottom w:w="0" w:type="dxa"/>
          <w:right w:w="108" w:type="dxa"/>
        </w:tblCellMar>
      </w:tblPr>
      <w:tblGrid>
        <w:gridCol w:w="4759"/>
        <w:gridCol w:w="3420"/>
      </w:tblGrid>
      <w:tr>
        <w:tblPrEx>
          <w:tblCellMar>
            <w:top w:w="0" w:type="dxa"/>
            <w:left w:w="108" w:type="dxa"/>
            <w:bottom w:w="0" w:type="dxa"/>
            <w:right w:w="108" w:type="dxa"/>
          </w:tblCellMar>
        </w:tblPrEx>
        <w:trPr>
          <w:trHeight w:val="398" w:hRule="atLeast"/>
        </w:trPr>
        <w:tc>
          <w:tcPr>
            <w:tcW w:w="4759" w:type="dxa"/>
            <w:tcBorders>
              <w:top w:val="nil"/>
              <w:left w:val="nil"/>
              <w:bottom w:val="nil"/>
              <w:right w:val="nil"/>
            </w:tcBorders>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买</w:t>
            </w:r>
            <w:r>
              <w:rPr>
                <w:rFonts w:ascii="Time New Roma" w:hAnsi="Time New Roma"/>
                <w:color w:val="000000" w:themeColor="text1"/>
              </w:rPr>
              <w:tab/>
            </w:r>
            <w:r>
              <w:rPr>
                <w:rFonts w:ascii="Time New Roma" w:hAnsi="Time New Roma"/>
                <w:color w:val="000000" w:themeColor="text1"/>
              </w:rPr>
              <w:t>方：</w:t>
            </w:r>
          </w:p>
        </w:tc>
        <w:tc>
          <w:tcPr>
            <w:tcW w:w="3420" w:type="dxa"/>
            <w:tcBorders>
              <w:top w:val="nil"/>
              <w:left w:val="nil"/>
              <w:bottom w:val="nil"/>
              <w:right w:val="nil"/>
            </w:tcBorders>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卖</w:t>
            </w:r>
            <w:r>
              <w:rPr>
                <w:rFonts w:ascii="Time New Roma" w:hAnsi="Time New Roma"/>
                <w:color w:val="000000" w:themeColor="text1"/>
              </w:rPr>
              <w:tab/>
            </w:r>
            <w:r>
              <w:rPr>
                <w:rFonts w:ascii="Time New Roma" w:hAnsi="Time New Roma"/>
                <w:color w:val="000000" w:themeColor="text1"/>
              </w:rPr>
              <w:t>方：</w:t>
            </w:r>
          </w:p>
        </w:tc>
      </w:tr>
      <w:tr>
        <w:tblPrEx>
          <w:tblCellMar>
            <w:top w:w="0" w:type="dxa"/>
            <w:left w:w="108" w:type="dxa"/>
            <w:bottom w:w="0" w:type="dxa"/>
            <w:right w:w="108" w:type="dxa"/>
          </w:tblCellMar>
        </w:tblPrEx>
        <w:trPr>
          <w:trHeight w:val="518" w:hRule="atLeast"/>
        </w:trPr>
        <w:tc>
          <w:tcPr>
            <w:tcW w:w="4759"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单位名称：</w:t>
            </w:r>
          </w:p>
        </w:tc>
        <w:tc>
          <w:tcPr>
            <w:tcW w:w="3420"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单位名称：</w:t>
            </w:r>
          </w:p>
        </w:tc>
      </w:tr>
      <w:tr>
        <w:tblPrEx>
          <w:tblCellMar>
            <w:top w:w="0" w:type="dxa"/>
            <w:left w:w="108" w:type="dxa"/>
            <w:bottom w:w="0" w:type="dxa"/>
            <w:right w:w="108" w:type="dxa"/>
          </w:tblCellMar>
        </w:tblPrEx>
        <w:trPr>
          <w:trHeight w:val="521" w:hRule="atLeast"/>
        </w:trPr>
        <w:tc>
          <w:tcPr>
            <w:tcW w:w="4759"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单位地址：</w:t>
            </w:r>
          </w:p>
        </w:tc>
        <w:tc>
          <w:tcPr>
            <w:tcW w:w="3420"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单位地址：</w:t>
            </w:r>
          </w:p>
        </w:tc>
      </w:tr>
      <w:tr>
        <w:tblPrEx>
          <w:tblCellMar>
            <w:top w:w="0" w:type="dxa"/>
            <w:left w:w="108" w:type="dxa"/>
            <w:bottom w:w="0" w:type="dxa"/>
            <w:right w:w="108" w:type="dxa"/>
          </w:tblCellMar>
        </w:tblPrEx>
        <w:trPr>
          <w:trHeight w:val="520" w:hRule="atLeast"/>
        </w:trPr>
        <w:tc>
          <w:tcPr>
            <w:tcW w:w="4759"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法人代表（签字或盖章）：</w:t>
            </w:r>
          </w:p>
        </w:tc>
        <w:tc>
          <w:tcPr>
            <w:tcW w:w="3420"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法人代表（签字或盖章）：</w:t>
            </w:r>
          </w:p>
        </w:tc>
      </w:tr>
      <w:tr>
        <w:tblPrEx>
          <w:tblCellMar>
            <w:top w:w="0" w:type="dxa"/>
            <w:left w:w="108" w:type="dxa"/>
            <w:bottom w:w="0" w:type="dxa"/>
            <w:right w:w="108" w:type="dxa"/>
          </w:tblCellMar>
        </w:tblPrEx>
        <w:trPr>
          <w:trHeight w:val="520" w:hRule="atLeast"/>
        </w:trPr>
        <w:tc>
          <w:tcPr>
            <w:tcW w:w="4759"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法人授权代表（签字）：</w:t>
            </w:r>
          </w:p>
        </w:tc>
        <w:tc>
          <w:tcPr>
            <w:tcW w:w="3420"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法人授权代表（签字）：</w:t>
            </w:r>
          </w:p>
        </w:tc>
      </w:tr>
      <w:tr>
        <w:tblPrEx>
          <w:tblCellMar>
            <w:top w:w="0" w:type="dxa"/>
            <w:left w:w="108" w:type="dxa"/>
            <w:bottom w:w="0" w:type="dxa"/>
            <w:right w:w="108" w:type="dxa"/>
          </w:tblCellMar>
        </w:tblPrEx>
        <w:trPr>
          <w:trHeight w:val="521" w:hRule="atLeast"/>
        </w:trPr>
        <w:tc>
          <w:tcPr>
            <w:tcW w:w="4759"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联系电话：</w:t>
            </w:r>
          </w:p>
        </w:tc>
        <w:tc>
          <w:tcPr>
            <w:tcW w:w="3420"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联系电话：</w:t>
            </w:r>
          </w:p>
        </w:tc>
      </w:tr>
      <w:tr>
        <w:tblPrEx>
          <w:tblCellMar>
            <w:top w:w="0" w:type="dxa"/>
            <w:left w:w="108" w:type="dxa"/>
            <w:bottom w:w="0" w:type="dxa"/>
            <w:right w:w="108" w:type="dxa"/>
          </w:tblCellMar>
        </w:tblPrEx>
        <w:trPr>
          <w:trHeight w:val="520" w:hRule="atLeast"/>
        </w:trPr>
        <w:tc>
          <w:tcPr>
            <w:tcW w:w="4759"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邮政编码：</w:t>
            </w:r>
          </w:p>
        </w:tc>
        <w:tc>
          <w:tcPr>
            <w:tcW w:w="3420"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邮政编码：</w:t>
            </w:r>
          </w:p>
        </w:tc>
      </w:tr>
      <w:tr>
        <w:tblPrEx>
          <w:tblCellMar>
            <w:top w:w="0" w:type="dxa"/>
            <w:left w:w="108" w:type="dxa"/>
            <w:bottom w:w="0" w:type="dxa"/>
            <w:right w:w="108" w:type="dxa"/>
          </w:tblCellMar>
        </w:tblPrEx>
        <w:trPr>
          <w:trHeight w:val="520" w:hRule="atLeast"/>
        </w:trPr>
        <w:tc>
          <w:tcPr>
            <w:tcW w:w="4759"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开户银行：</w:t>
            </w:r>
          </w:p>
        </w:tc>
        <w:tc>
          <w:tcPr>
            <w:tcW w:w="3420"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开户银行：</w:t>
            </w:r>
          </w:p>
        </w:tc>
      </w:tr>
      <w:tr>
        <w:tblPrEx>
          <w:tblCellMar>
            <w:top w:w="0" w:type="dxa"/>
            <w:left w:w="108" w:type="dxa"/>
            <w:bottom w:w="0" w:type="dxa"/>
            <w:right w:w="108" w:type="dxa"/>
          </w:tblCellMar>
        </w:tblPrEx>
        <w:trPr>
          <w:trHeight w:val="521" w:hRule="atLeast"/>
        </w:trPr>
        <w:tc>
          <w:tcPr>
            <w:tcW w:w="4759"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帐</w:t>
            </w:r>
            <w:r>
              <w:rPr>
                <w:rFonts w:ascii="Time New Roma" w:hAnsi="Time New Roma"/>
                <w:color w:val="000000" w:themeColor="text1"/>
              </w:rPr>
              <w:tab/>
            </w:r>
            <w:r>
              <w:rPr>
                <w:rFonts w:ascii="Time New Roma" w:hAnsi="Time New Roma"/>
                <w:color w:val="000000" w:themeColor="text1"/>
              </w:rPr>
              <w:t>号：</w:t>
            </w:r>
          </w:p>
        </w:tc>
        <w:tc>
          <w:tcPr>
            <w:tcW w:w="3420" w:type="dxa"/>
            <w:tcBorders>
              <w:top w:val="nil"/>
              <w:left w:val="nil"/>
              <w:bottom w:val="nil"/>
              <w:right w:val="nil"/>
            </w:tcBorders>
            <w:vAlign w:val="center"/>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帐</w:t>
            </w:r>
            <w:r>
              <w:rPr>
                <w:rFonts w:ascii="Time New Roma" w:hAnsi="Time New Roma"/>
                <w:color w:val="000000" w:themeColor="text1"/>
              </w:rPr>
              <w:tab/>
            </w:r>
            <w:r>
              <w:rPr>
                <w:rFonts w:ascii="Time New Roma" w:hAnsi="Time New Roma"/>
                <w:color w:val="000000" w:themeColor="text1"/>
              </w:rPr>
              <w:t>号：</w:t>
            </w:r>
          </w:p>
        </w:tc>
      </w:tr>
      <w:tr>
        <w:tblPrEx>
          <w:tblCellMar>
            <w:top w:w="0" w:type="dxa"/>
            <w:left w:w="108" w:type="dxa"/>
            <w:bottom w:w="0" w:type="dxa"/>
            <w:right w:w="108" w:type="dxa"/>
          </w:tblCellMar>
        </w:tblPrEx>
        <w:trPr>
          <w:trHeight w:val="401" w:hRule="atLeast"/>
        </w:trPr>
        <w:tc>
          <w:tcPr>
            <w:tcW w:w="4759" w:type="dxa"/>
            <w:tcBorders>
              <w:top w:val="nil"/>
              <w:left w:val="nil"/>
              <w:bottom w:val="nil"/>
              <w:right w:val="nil"/>
            </w:tcBorders>
            <w:vAlign w:val="bottom"/>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日</w:t>
            </w:r>
            <w:r>
              <w:rPr>
                <w:rFonts w:ascii="Time New Roma" w:hAnsi="Time New Roma"/>
                <w:color w:val="000000" w:themeColor="text1"/>
              </w:rPr>
              <w:tab/>
            </w:r>
            <w:r>
              <w:rPr>
                <w:rFonts w:ascii="Time New Roma" w:hAnsi="Time New Roma"/>
                <w:color w:val="000000" w:themeColor="text1"/>
              </w:rPr>
              <w:t>期：</w:t>
            </w:r>
          </w:p>
        </w:tc>
        <w:tc>
          <w:tcPr>
            <w:tcW w:w="3420" w:type="dxa"/>
            <w:tcBorders>
              <w:top w:val="nil"/>
              <w:left w:val="nil"/>
              <w:bottom w:val="nil"/>
              <w:right w:val="nil"/>
            </w:tcBorders>
            <w:vAlign w:val="bottom"/>
          </w:tcPr>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日</w:t>
            </w:r>
            <w:r>
              <w:rPr>
                <w:rFonts w:ascii="Time New Roma" w:hAnsi="Time New Roma"/>
                <w:color w:val="000000" w:themeColor="text1"/>
              </w:rPr>
              <w:tab/>
            </w:r>
            <w:r>
              <w:rPr>
                <w:rFonts w:ascii="Time New Roma" w:hAnsi="Time New Roma"/>
                <w:color w:val="000000" w:themeColor="text1"/>
              </w:rPr>
              <w:t>期：</w:t>
            </w:r>
          </w:p>
        </w:tc>
      </w:tr>
    </w:tbl>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见证 方：单位名称：单位地址：</w:t>
      </w:r>
    </w:p>
    <w:p>
      <w:pPr>
        <w:pStyle w:val="45"/>
        <w:spacing w:before="0" w:line="440" w:lineRule="exact"/>
        <w:ind w:firstLine="480" w:firstLineChars="200"/>
        <w:rPr>
          <w:rFonts w:ascii="Time New Roma" w:hAnsi="Time New Roma"/>
          <w:color w:val="000000" w:themeColor="text1"/>
        </w:rPr>
      </w:pPr>
      <w:r>
        <w:rPr>
          <w:rFonts w:ascii="Time New Roma" w:hAnsi="Time New Roma"/>
          <w:color w:val="000000" w:themeColor="text1"/>
        </w:rPr>
        <w:t>法人代表（签字或盖章）：法人授权代表（签字）：日期：</w:t>
      </w:r>
    </w:p>
    <w:p>
      <w:pPr>
        <w:pStyle w:val="45"/>
        <w:spacing w:before="0" w:beforeAutospacing="0" w:after="0" w:afterAutospacing="0" w:line="440" w:lineRule="exact"/>
        <w:ind w:firstLine="480" w:firstLineChars="200"/>
        <w:rPr>
          <w:rFonts w:ascii="Time New Roma" w:hAnsi="Time New Roma"/>
          <w:color w:val="000000" w:themeColor="text1"/>
        </w:rPr>
      </w:pPr>
    </w:p>
    <w:p>
      <w:pPr>
        <w:spacing w:line="440" w:lineRule="exact"/>
        <w:jc w:val="left"/>
        <w:rPr>
          <w:rFonts w:ascii="Time New Roma" w:hAnsi="Time New Roma"/>
          <w:b/>
          <w:color w:val="000000" w:themeColor="text1"/>
          <w:sz w:val="24"/>
        </w:rPr>
      </w:pPr>
    </w:p>
    <w:p>
      <w:pPr>
        <w:pStyle w:val="25"/>
        <w:spacing w:line="360" w:lineRule="auto"/>
        <w:rPr>
          <w:rFonts w:hAnsi="宋体"/>
        </w:rPr>
        <w:sectPr>
          <w:pgSz w:w="11907" w:h="16840"/>
          <w:pgMar w:top="1134" w:right="1361" w:bottom="1134" w:left="1468" w:header="851" w:footer="992" w:gutter="0"/>
          <w:cols w:space="720" w:num="1"/>
          <w:docGrid w:linePitch="312" w:charSpace="0"/>
        </w:sectPr>
      </w:pPr>
      <w:r>
        <w:rPr>
          <w:rFonts w:hint="eastAsia" w:ascii="Time New Roma" w:hAnsi="Time New Roma"/>
          <w:b/>
          <w:color w:val="000000" w:themeColor="text1"/>
          <w:sz w:val="24"/>
        </w:rPr>
        <w:t>注：本合同样本仅供参考，具体内容由采购人和中标单位协商确定。</w:t>
      </w:r>
    </w:p>
    <w:p>
      <w:pPr>
        <w:tabs>
          <w:tab w:val="left" w:pos="3060"/>
        </w:tabs>
        <w:spacing w:line="360" w:lineRule="auto"/>
        <w:jc w:val="center"/>
        <w:rPr>
          <w:rFonts w:ascii="宋体" w:hAnsi="宋体"/>
          <w:b/>
          <w:bCs/>
          <w:sz w:val="32"/>
          <w:szCs w:val="32"/>
          <w:lang w:eastAsia="zh-CN"/>
        </w:rPr>
      </w:pPr>
      <w:bookmarkStart w:id="8" w:name="_Toc2557"/>
      <w:bookmarkStart w:id="9" w:name="_Toc397969222"/>
      <w:r>
        <w:rPr>
          <w:rFonts w:hint="eastAsia" w:ascii="宋体" w:hAnsi="宋体"/>
          <w:b/>
          <w:bCs/>
          <w:sz w:val="32"/>
          <w:szCs w:val="32"/>
          <w:lang w:eastAsia="zh-CN"/>
        </w:rPr>
        <w:t>第六章 竞争性磋商响应文件格式</w:t>
      </w:r>
      <w:bookmarkEnd w:id="8"/>
      <w:bookmarkEnd w:id="9"/>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投标密封袋格式</w:t>
      </w:r>
    </w:p>
    <w:tbl>
      <w:tblPr>
        <w:tblStyle w:val="51"/>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2" w:hRule="atLeast"/>
        </w:trPr>
        <w:tc>
          <w:tcPr>
            <w:tcW w:w="9214" w:type="dxa"/>
          </w:tcPr>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 xml:space="preserve"> </w:t>
            </w:r>
          </w:p>
          <w:p/>
          <w:p>
            <w:pPr>
              <w:spacing w:line="480" w:lineRule="auto"/>
              <w:jc w:val="center"/>
              <w:rPr>
                <w:rFonts w:hint="eastAsia" w:ascii="宋体" w:hAnsi="宋体" w:eastAsia="宋体" w:cs="宋体"/>
                <w:bCs/>
                <w:color w:val="000000" w:themeColor="text1"/>
                <w:sz w:val="32"/>
                <w:szCs w:val="32"/>
                <w:lang w:val="en-US" w:eastAsia="zh-CN"/>
              </w:rPr>
            </w:pPr>
            <w:r>
              <w:rPr>
                <w:rFonts w:hint="eastAsia" w:ascii="宋体" w:hAnsi="宋体" w:cs="宋体"/>
                <w:bCs/>
                <w:color w:val="000000" w:themeColor="text1"/>
                <w:sz w:val="32"/>
                <w:szCs w:val="32"/>
                <w:u w:val="single"/>
                <w:lang w:val="en-US" w:eastAsia="zh-CN"/>
              </w:rPr>
              <w:t xml:space="preserve">             </w:t>
            </w:r>
            <w:r>
              <w:rPr>
                <w:rFonts w:hint="eastAsia" w:ascii="宋体" w:hAnsi="宋体" w:cs="宋体"/>
                <w:bCs/>
                <w:color w:val="000000" w:themeColor="text1"/>
                <w:sz w:val="32"/>
                <w:szCs w:val="32"/>
                <w:u w:val="none"/>
                <w:lang w:val="en-US" w:eastAsia="zh-CN"/>
              </w:rPr>
              <w:t>（</w:t>
            </w:r>
            <w:r>
              <w:rPr>
                <w:rFonts w:hint="eastAsia" w:ascii="宋体" w:hAnsi="宋体" w:cs="宋体"/>
                <w:bCs/>
                <w:color w:val="000000" w:themeColor="text1"/>
                <w:sz w:val="32"/>
                <w:szCs w:val="32"/>
              </w:rPr>
              <w:t>项目</w:t>
            </w:r>
            <w:r>
              <w:rPr>
                <w:rFonts w:hint="eastAsia" w:ascii="宋体" w:hAnsi="宋体" w:cs="宋体"/>
                <w:bCs/>
                <w:color w:val="000000" w:themeColor="text1"/>
                <w:sz w:val="32"/>
                <w:szCs w:val="32"/>
                <w:lang w:val="en-US" w:eastAsia="zh-CN"/>
              </w:rPr>
              <w:t>名称）</w:t>
            </w:r>
          </w:p>
          <w:p>
            <w:pPr>
              <w:spacing w:line="480" w:lineRule="auto"/>
              <w:jc w:val="center"/>
              <w:rPr>
                <w:rFonts w:ascii="宋体" w:hAnsi="宋体" w:cs="宋体"/>
                <w:bCs/>
                <w:color w:val="000000" w:themeColor="text1"/>
                <w:sz w:val="32"/>
                <w:szCs w:val="32"/>
              </w:rPr>
            </w:pPr>
          </w:p>
          <w:p>
            <w:pPr>
              <w:pStyle w:val="6"/>
              <w:rPr>
                <w:rFonts w:ascii="宋体" w:hAnsi="宋体" w:cs="宋体"/>
                <w:bCs w:val="0"/>
                <w:color w:val="000000" w:themeColor="text1"/>
                <w:sz w:val="32"/>
                <w:szCs w:val="32"/>
              </w:rPr>
            </w:pPr>
          </w:p>
          <w:p/>
          <w:p>
            <w:pPr>
              <w:spacing w:line="480" w:lineRule="auto"/>
              <w:rPr>
                <w:rFonts w:ascii="宋体" w:hAnsi="宋体" w:cs="宋体"/>
                <w:bCs/>
                <w:color w:val="000000" w:themeColor="text1"/>
                <w:sz w:val="32"/>
                <w:szCs w:val="32"/>
              </w:rPr>
            </w:pPr>
          </w:p>
          <w:p>
            <w:pPr>
              <w:spacing w:line="480" w:lineRule="auto"/>
              <w:jc w:val="center"/>
              <w:rPr>
                <w:rFonts w:ascii="宋体" w:hAnsi="宋体" w:cs="宋体"/>
                <w:bCs/>
                <w:color w:val="000000" w:themeColor="text1"/>
                <w:sz w:val="32"/>
                <w:szCs w:val="32"/>
              </w:rPr>
            </w:pPr>
            <w:r>
              <w:rPr>
                <w:rFonts w:hint="eastAsia" w:ascii="宋体" w:hAnsi="宋体" w:cs="宋体"/>
                <w:bCs/>
                <w:color w:val="000000" w:themeColor="text1"/>
                <w:sz w:val="32"/>
                <w:szCs w:val="32"/>
              </w:rPr>
              <w:t>竞争性磋商投标文件/报价一览表</w:t>
            </w:r>
          </w:p>
          <w:p>
            <w:pPr>
              <w:spacing w:line="400" w:lineRule="exact"/>
              <w:ind w:left="420"/>
              <w:rPr>
                <w:rFonts w:ascii="宋体" w:hAnsi="宋体" w:cs="宋体"/>
                <w:bCs/>
                <w:color w:val="000000" w:themeColor="text1"/>
                <w:sz w:val="32"/>
                <w:szCs w:val="32"/>
              </w:rPr>
            </w:pPr>
          </w:p>
          <w:p>
            <w:pPr>
              <w:spacing w:line="400" w:lineRule="exact"/>
              <w:ind w:left="420"/>
              <w:rPr>
                <w:rFonts w:ascii="宋体" w:hAnsi="宋体" w:cs="宋体"/>
                <w:bCs/>
                <w:color w:val="000000" w:themeColor="text1"/>
                <w:sz w:val="32"/>
                <w:szCs w:val="32"/>
              </w:rPr>
            </w:pPr>
          </w:p>
          <w:p>
            <w:pPr>
              <w:spacing w:line="400" w:lineRule="exact"/>
              <w:ind w:left="420"/>
              <w:rPr>
                <w:rFonts w:ascii="宋体" w:hAnsi="宋体" w:cs="宋体"/>
                <w:bCs/>
                <w:color w:val="000000" w:themeColor="text1"/>
                <w:sz w:val="32"/>
                <w:szCs w:val="32"/>
              </w:rPr>
            </w:pPr>
          </w:p>
          <w:p>
            <w:pPr>
              <w:spacing w:line="400" w:lineRule="exact"/>
              <w:ind w:left="420"/>
              <w:rPr>
                <w:rFonts w:ascii="宋体" w:hAnsi="宋体" w:cs="宋体"/>
                <w:bCs/>
                <w:color w:val="000000" w:themeColor="text1"/>
                <w:sz w:val="32"/>
                <w:szCs w:val="32"/>
              </w:rPr>
            </w:pPr>
          </w:p>
          <w:p/>
          <w:p/>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采购项目名称:</w:t>
            </w:r>
            <w:r>
              <w:rPr>
                <w:rFonts w:hint="eastAsia" w:ascii="宋体" w:hAnsi="宋体" w:cs="宋体"/>
                <w:bCs/>
                <w:color w:val="000000" w:themeColor="text1"/>
                <w:sz w:val="32"/>
                <w:szCs w:val="32"/>
                <w:u w:val="single"/>
              </w:rPr>
              <w:t xml:space="preserve">                                          </w:t>
            </w:r>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采购项目编号:</w:t>
            </w:r>
            <w:r>
              <w:rPr>
                <w:rFonts w:hint="eastAsia" w:ascii="宋体" w:hAnsi="宋体" w:cs="宋体"/>
                <w:bCs/>
                <w:color w:val="000000" w:themeColor="text1"/>
                <w:sz w:val="32"/>
                <w:szCs w:val="32"/>
                <w:u w:val="single"/>
              </w:rPr>
              <w:t xml:space="preserve">                                          </w:t>
            </w:r>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投标单位名称</w:t>
            </w:r>
            <w:r>
              <w:rPr>
                <w:rFonts w:hint="eastAsia" w:ascii="宋体" w:hAnsi="宋体" w:cs="宋体"/>
                <w:bCs/>
                <w:color w:val="000000" w:themeColor="text1"/>
                <w:sz w:val="32"/>
                <w:szCs w:val="32"/>
                <w:lang w:eastAsia="zh-CN"/>
              </w:rPr>
              <w:t>（单位加盖公章）</w:t>
            </w:r>
            <w:r>
              <w:rPr>
                <w:rFonts w:hint="eastAsia" w:ascii="宋体" w:hAnsi="宋体" w:cs="宋体"/>
                <w:bCs/>
                <w:color w:val="000000" w:themeColor="text1"/>
                <w:sz w:val="32"/>
                <w:szCs w:val="32"/>
              </w:rPr>
              <w:t>:</w:t>
            </w:r>
            <w:r>
              <w:rPr>
                <w:rFonts w:hint="eastAsia" w:ascii="宋体" w:hAnsi="宋体" w:cs="宋体"/>
                <w:bCs/>
                <w:color w:val="000000" w:themeColor="text1"/>
                <w:sz w:val="32"/>
                <w:szCs w:val="32"/>
                <w:u w:val="single"/>
              </w:rPr>
              <w:t xml:space="preserve">                                           </w:t>
            </w:r>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地        址:</w:t>
            </w:r>
            <w:r>
              <w:rPr>
                <w:rFonts w:hint="eastAsia" w:ascii="宋体" w:hAnsi="宋体" w:cs="宋体"/>
                <w:bCs/>
                <w:color w:val="000000" w:themeColor="text1"/>
                <w:sz w:val="32"/>
                <w:szCs w:val="32"/>
                <w:u w:val="single"/>
              </w:rPr>
              <w:t xml:space="preserve">                                   </w:t>
            </w:r>
            <w:r>
              <w:rPr>
                <w:rFonts w:hint="eastAsia" w:ascii="宋体" w:hAnsi="宋体" w:cs="宋体"/>
                <w:bCs/>
                <w:color w:val="000000" w:themeColor="text1"/>
                <w:sz w:val="32"/>
                <w:szCs w:val="32"/>
                <w:u w:val="single"/>
              </w:rPr>
              <w:tab/>
            </w:r>
            <w:r>
              <w:rPr>
                <w:rFonts w:hint="eastAsia" w:ascii="宋体" w:hAnsi="宋体" w:cs="宋体"/>
                <w:bCs/>
                <w:color w:val="000000" w:themeColor="text1"/>
                <w:sz w:val="32"/>
                <w:szCs w:val="32"/>
                <w:u w:val="single"/>
              </w:rPr>
              <w:t xml:space="preserve">      </w:t>
            </w:r>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联   系   人:</w:t>
            </w:r>
            <w:r>
              <w:rPr>
                <w:rFonts w:hint="eastAsia" w:ascii="宋体" w:hAnsi="宋体" w:cs="宋体"/>
                <w:bCs/>
                <w:color w:val="000000" w:themeColor="text1"/>
                <w:sz w:val="32"/>
                <w:szCs w:val="32"/>
                <w:u w:val="single"/>
              </w:rPr>
              <w:t xml:space="preserve">                                          </w:t>
            </w:r>
          </w:p>
          <w:p>
            <w:pPr>
              <w:spacing w:line="400" w:lineRule="exact"/>
              <w:ind w:left="420" w:firstLine="320" w:firstLineChars="100"/>
              <w:rPr>
                <w:rFonts w:ascii="宋体" w:hAnsi="宋体" w:cs="宋体"/>
                <w:b/>
                <w:color w:val="000000" w:themeColor="text1"/>
                <w:sz w:val="32"/>
                <w:szCs w:val="32"/>
                <w:u w:val="single"/>
              </w:rPr>
            </w:pPr>
            <w:r>
              <w:rPr>
                <w:rFonts w:hint="eastAsia" w:ascii="宋体" w:hAnsi="宋体" w:cs="宋体"/>
                <w:bCs/>
                <w:color w:val="000000" w:themeColor="text1"/>
                <w:sz w:val="32"/>
                <w:szCs w:val="32"/>
              </w:rPr>
              <w:t>联  系 电 话:</w:t>
            </w:r>
            <w:r>
              <w:rPr>
                <w:rFonts w:hint="eastAsia" w:ascii="宋体" w:hAnsi="宋体" w:cs="宋体"/>
                <w:bCs/>
                <w:color w:val="000000" w:themeColor="text1"/>
                <w:sz w:val="32"/>
                <w:szCs w:val="32"/>
                <w:u w:val="single"/>
              </w:rPr>
              <w:t xml:space="preserve">                                         </w:t>
            </w:r>
            <w:r>
              <w:rPr>
                <w:rFonts w:hint="eastAsia" w:ascii="宋体" w:hAnsi="宋体" w:cs="宋体"/>
                <w:b/>
                <w:color w:val="000000" w:themeColor="text1"/>
                <w:sz w:val="32"/>
                <w:szCs w:val="32"/>
                <w:u w:val="single"/>
              </w:rPr>
              <w:t xml:space="preserve"> </w:t>
            </w:r>
          </w:p>
          <w:p>
            <w:pPr>
              <w:pStyle w:val="6"/>
              <w:jc w:val="left"/>
            </w:pPr>
          </w:p>
        </w:tc>
      </w:tr>
    </w:tbl>
    <w:p>
      <w:pPr>
        <w:rPr>
          <w:rFonts w:ascii="宋体" w:hAnsi="宋体"/>
          <w:b/>
          <w:bCs/>
          <w:szCs w:val="21"/>
        </w:rPr>
      </w:pPr>
    </w:p>
    <w:p>
      <w:pPr>
        <w:tabs>
          <w:tab w:val="left" w:pos="3060"/>
        </w:tabs>
        <w:spacing w:line="440" w:lineRule="exact"/>
        <w:rPr>
          <w:rFonts w:ascii="宋体" w:hAnsi="宋体"/>
          <w:sz w:val="24"/>
          <w:szCs w:val="24"/>
        </w:rPr>
      </w:pPr>
    </w:p>
    <w:p>
      <w:pPr>
        <w:tabs>
          <w:tab w:val="left" w:pos="3060"/>
        </w:tabs>
        <w:spacing w:line="440" w:lineRule="exact"/>
        <w:rPr>
          <w:rFonts w:ascii="宋体" w:hAnsi="宋体"/>
          <w:sz w:val="24"/>
          <w:szCs w:val="24"/>
        </w:rPr>
      </w:pPr>
      <w:r>
        <w:rPr>
          <w:rFonts w:hint="eastAsia" w:ascii="宋体" w:hAnsi="宋体"/>
          <w:b/>
          <w:bCs/>
          <w:sz w:val="28"/>
          <w:szCs w:val="28"/>
        </w:rPr>
        <w:t xml:space="preserve"> </w:t>
      </w:r>
    </w:p>
    <w:p>
      <w:pPr>
        <w:tabs>
          <w:tab w:val="left" w:pos="3060"/>
        </w:tabs>
        <w:spacing w:line="440" w:lineRule="exact"/>
        <w:rPr>
          <w:rFonts w:ascii="宋体" w:hAnsi="宋体"/>
          <w:sz w:val="24"/>
          <w:szCs w:val="24"/>
        </w:rPr>
      </w:pPr>
    </w:p>
    <w:p>
      <w:pPr>
        <w:tabs>
          <w:tab w:val="left" w:pos="3060"/>
        </w:tabs>
        <w:spacing w:line="440" w:lineRule="exact"/>
        <w:rPr>
          <w:rFonts w:ascii="宋体" w:hAnsi="宋体"/>
          <w:sz w:val="24"/>
          <w:szCs w:val="24"/>
        </w:rPr>
      </w:pPr>
    </w:p>
    <w:p>
      <w:pPr>
        <w:pStyle w:val="19"/>
      </w:pPr>
    </w:p>
    <w:p>
      <w:pPr>
        <w:rPr>
          <w:rFonts w:ascii="宋体" w:hAnsi="宋体"/>
          <w:b/>
          <w:sz w:val="36"/>
          <w:szCs w:val="36"/>
        </w:rPr>
      </w:pPr>
    </w:p>
    <w:p>
      <w:pPr>
        <w:spacing w:line="360" w:lineRule="auto"/>
        <w:jc w:val="center"/>
        <w:rPr>
          <w:rFonts w:ascii="宋体" w:hAnsi="宋体"/>
          <w:b/>
          <w:bCs/>
          <w:color w:val="000000" w:themeColor="text1"/>
          <w:sz w:val="32"/>
        </w:rPr>
      </w:pPr>
      <w:r>
        <w:rPr>
          <w:rFonts w:hint="eastAsia" w:ascii="宋体" w:hAnsi="宋体"/>
          <w:b/>
          <w:color w:val="000000" w:themeColor="text1"/>
          <w:sz w:val="32"/>
          <w:szCs w:val="32"/>
        </w:rPr>
        <w:t>投标文件封面格式</w:t>
      </w:r>
    </w:p>
    <w:tbl>
      <w:tblPr>
        <w:tblStyle w:val="51"/>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0" w:hRule="atLeast"/>
          <w:jc w:val="center"/>
        </w:trPr>
        <w:tc>
          <w:tcPr>
            <w:tcW w:w="9180" w:type="dxa"/>
          </w:tcPr>
          <w:p>
            <w:pPr>
              <w:spacing w:line="480" w:lineRule="auto"/>
              <w:jc w:val="right"/>
              <w:rPr>
                <w:rFonts w:ascii="宋体" w:hAnsi="宋体" w:cs="宋体"/>
                <w:b/>
                <w:color w:val="000000" w:themeColor="text1"/>
                <w:sz w:val="32"/>
                <w:szCs w:val="32"/>
                <w:u w:val="single"/>
              </w:rPr>
            </w:pPr>
          </w:p>
          <w:p>
            <w:pPr>
              <w:spacing w:line="480" w:lineRule="auto"/>
              <w:jc w:val="right"/>
              <w:rPr>
                <w:rFonts w:ascii="宋体" w:hAnsi="宋体" w:cs="宋体"/>
                <w:b/>
                <w:color w:val="000000" w:themeColor="text1"/>
                <w:sz w:val="32"/>
                <w:szCs w:val="32"/>
                <w:u w:val="single"/>
              </w:rPr>
            </w:pPr>
            <w:r>
              <w:rPr>
                <w:rFonts w:hint="eastAsia" w:ascii="宋体" w:hAnsi="宋体" w:cs="宋体"/>
                <w:b/>
                <w:color w:val="000000" w:themeColor="text1"/>
                <w:sz w:val="32"/>
                <w:szCs w:val="32"/>
                <w:u w:val="single"/>
              </w:rPr>
              <w:t>正本或副本</w:t>
            </w:r>
          </w:p>
          <w:p/>
          <w:p>
            <w:pPr>
              <w:rPr>
                <w:sz w:val="24"/>
                <w:szCs w:val="32"/>
              </w:rPr>
            </w:pPr>
          </w:p>
          <w:p>
            <w:pPr>
              <w:spacing w:line="480" w:lineRule="auto"/>
              <w:jc w:val="center"/>
              <w:rPr>
                <w:rFonts w:ascii="宋体" w:hAnsi="宋体" w:cs="宋体"/>
                <w:bCs/>
                <w:color w:val="000000" w:themeColor="text1"/>
                <w:sz w:val="32"/>
                <w:szCs w:val="32"/>
              </w:rPr>
            </w:pPr>
            <w:r>
              <w:rPr>
                <w:rFonts w:hint="eastAsia" w:ascii="宋体" w:hAnsi="宋体" w:cs="宋体"/>
                <w:bCs/>
                <w:color w:val="000000" w:themeColor="text1"/>
                <w:sz w:val="32"/>
                <w:szCs w:val="32"/>
              </w:rPr>
              <w:t xml:space="preserve">        </w:t>
            </w:r>
            <w:r>
              <w:rPr>
                <w:rFonts w:hint="eastAsia" w:ascii="宋体" w:hAnsi="宋体" w:cs="宋体"/>
                <w:bCs/>
                <w:color w:val="000000" w:themeColor="text1"/>
                <w:sz w:val="32"/>
                <w:szCs w:val="32"/>
                <w:u w:val="single"/>
                <w:lang w:val="en-US" w:eastAsia="zh-CN"/>
              </w:rPr>
              <w:t xml:space="preserve">              </w:t>
            </w:r>
            <w:r>
              <w:rPr>
                <w:rFonts w:hint="eastAsia" w:ascii="宋体" w:hAnsi="宋体" w:cs="宋体"/>
                <w:bCs/>
                <w:color w:val="000000" w:themeColor="text1"/>
                <w:sz w:val="32"/>
                <w:szCs w:val="32"/>
              </w:rPr>
              <w:t>（项目</w:t>
            </w:r>
            <w:r>
              <w:rPr>
                <w:rFonts w:hint="eastAsia" w:ascii="宋体" w:hAnsi="宋体" w:cs="宋体"/>
                <w:bCs/>
                <w:color w:val="000000" w:themeColor="text1"/>
                <w:sz w:val="32"/>
                <w:szCs w:val="32"/>
                <w:lang w:val="en-US" w:eastAsia="zh-CN"/>
              </w:rPr>
              <w:t>名称</w:t>
            </w:r>
            <w:r>
              <w:rPr>
                <w:rFonts w:hint="eastAsia" w:ascii="宋体" w:hAnsi="宋体" w:cs="宋体"/>
                <w:bCs/>
                <w:color w:val="000000" w:themeColor="text1"/>
                <w:sz w:val="32"/>
                <w:szCs w:val="32"/>
              </w:rPr>
              <w:t>）</w:t>
            </w:r>
          </w:p>
          <w:p>
            <w:pPr>
              <w:spacing w:line="480" w:lineRule="auto"/>
              <w:jc w:val="center"/>
              <w:rPr>
                <w:rFonts w:ascii="宋体" w:hAnsi="宋体" w:cs="宋体"/>
                <w:bCs/>
                <w:color w:val="000000" w:themeColor="text1"/>
                <w:sz w:val="32"/>
                <w:szCs w:val="32"/>
              </w:rPr>
            </w:pPr>
          </w:p>
          <w:p/>
          <w:p>
            <w:pPr>
              <w:spacing w:line="480" w:lineRule="auto"/>
              <w:rPr>
                <w:rFonts w:ascii="宋体" w:hAnsi="宋体" w:cs="宋体"/>
                <w:bCs/>
                <w:color w:val="000000" w:themeColor="text1"/>
                <w:sz w:val="32"/>
                <w:szCs w:val="32"/>
              </w:rPr>
            </w:pPr>
          </w:p>
          <w:p>
            <w:pPr>
              <w:spacing w:line="400" w:lineRule="exact"/>
              <w:ind w:left="420"/>
              <w:jc w:val="center"/>
              <w:rPr>
                <w:rFonts w:ascii="宋体" w:hAnsi="宋体" w:cs="宋体"/>
                <w:bCs/>
                <w:color w:val="000000" w:themeColor="text1"/>
                <w:sz w:val="32"/>
                <w:szCs w:val="32"/>
              </w:rPr>
            </w:pPr>
            <w:r>
              <w:rPr>
                <w:rFonts w:hint="eastAsia" w:ascii="宋体" w:hAnsi="宋体" w:cs="宋体"/>
                <w:bCs/>
                <w:color w:val="000000" w:themeColor="text1"/>
                <w:sz w:val="32"/>
                <w:szCs w:val="32"/>
              </w:rPr>
              <w:t>竞争性磋商投标文件</w:t>
            </w:r>
          </w:p>
          <w:p>
            <w:pPr>
              <w:spacing w:line="400" w:lineRule="exact"/>
              <w:ind w:left="420"/>
              <w:rPr>
                <w:rFonts w:ascii="宋体" w:hAnsi="宋体" w:cs="宋体"/>
                <w:bCs/>
                <w:color w:val="000000" w:themeColor="text1"/>
                <w:sz w:val="32"/>
                <w:szCs w:val="32"/>
              </w:rPr>
            </w:pPr>
          </w:p>
          <w:p>
            <w:pPr>
              <w:spacing w:line="400" w:lineRule="exact"/>
              <w:ind w:left="420"/>
              <w:rPr>
                <w:rFonts w:ascii="宋体" w:hAnsi="宋体" w:cs="宋体"/>
                <w:bCs/>
                <w:color w:val="000000" w:themeColor="text1"/>
                <w:sz w:val="32"/>
                <w:szCs w:val="32"/>
              </w:rPr>
            </w:pPr>
          </w:p>
          <w:p>
            <w:pPr>
              <w:spacing w:line="400" w:lineRule="exact"/>
              <w:ind w:left="420"/>
              <w:rPr>
                <w:rFonts w:ascii="宋体" w:hAnsi="宋体" w:cs="宋体"/>
                <w:bCs/>
                <w:color w:val="000000" w:themeColor="text1"/>
                <w:sz w:val="32"/>
                <w:szCs w:val="32"/>
              </w:rPr>
            </w:pPr>
          </w:p>
          <w:p>
            <w:pPr>
              <w:pStyle w:val="4"/>
              <w:numPr>
                <w:ilvl w:val="0"/>
                <w:numId w:val="0"/>
              </w:numPr>
              <w:jc w:val="both"/>
              <w:rPr>
                <w:rFonts w:hint="eastAsia"/>
              </w:rPr>
            </w:pPr>
          </w:p>
          <w:p/>
          <w:p>
            <w:pPr>
              <w:pStyle w:val="4"/>
              <w:numPr>
                <w:ilvl w:val="0"/>
                <w:numId w:val="0"/>
              </w:numPr>
              <w:jc w:val="both"/>
              <w:rPr>
                <w:rFonts w:hint="eastAsia"/>
              </w:rPr>
            </w:pPr>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采购项目名称:</w:t>
            </w:r>
            <w:r>
              <w:rPr>
                <w:rFonts w:hint="eastAsia" w:ascii="宋体" w:hAnsi="宋体" w:cs="宋体"/>
                <w:bCs/>
                <w:color w:val="000000" w:themeColor="text1"/>
                <w:sz w:val="32"/>
                <w:szCs w:val="32"/>
                <w:u w:val="single"/>
              </w:rPr>
              <w:t xml:space="preserve">                                          </w:t>
            </w:r>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采购项目编号:</w:t>
            </w:r>
            <w:r>
              <w:rPr>
                <w:rFonts w:hint="eastAsia" w:ascii="宋体" w:hAnsi="宋体" w:cs="宋体"/>
                <w:bCs/>
                <w:color w:val="000000" w:themeColor="text1"/>
                <w:sz w:val="32"/>
                <w:szCs w:val="32"/>
                <w:u w:val="single"/>
              </w:rPr>
              <w:t xml:space="preserve">                                          </w:t>
            </w:r>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投标单位名称</w:t>
            </w:r>
            <w:r>
              <w:rPr>
                <w:rFonts w:hint="eastAsia" w:ascii="宋体" w:hAnsi="宋体" w:cs="宋体"/>
                <w:bCs/>
                <w:color w:val="000000" w:themeColor="text1"/>
                <w:sz w:val="32"/>
                <w:szCs w:val="32"/>
                <w:lang w:eastAsia="zh-CN"/>
              </w:rPr>
              <w:t>（单位加盖公章）</w:t>
            </w:r>
            <w:r>
              <w:rPr>
                <w:rFonts w:hint="eastAsia" w:ascii="宋体" w:hAnsi="宋体" w:cs="宋体"/>
                <w:bCs/>
                <w:color w:val="000000" w:themeColor="text1"/>
                <w:sz w:val="32"/>
                <w:szCs w:val="32"/>
              </w:rPr>
              <w:t>:</w:t>
            </w:r>
            <w:r>
              <w:rPr>
                <w:rFonts w:hint="eastAsia" w:ascii="宋体" w:hAnsi="宋体" w:cs="宋体"/>
                <w:bCs/>
                <w:color w:val="000000" w:themeColor="text1"/>
                <w:sz w:val="32"/>
                <w:szCs w:val="32"/>
                <w:u w:val="single"/>
              </w:rPr>
              <w:t xml:space="preserve">                                           </w:t>
            </w:r>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地        址:</w:t>
            </w:r>
            <w:r>
              <w:rPr>
                <w:rFonts w:hint="eastAsia" w:ascii="宋体" w:hAnsi="宋体" w:cs="宋体"/>
                <w:bCs/>
                <w:color w:val="000000" w:themeColor="text1"/>
                <w:sz w:val="32"/>
                <w:szCs w:val="32"/>
                <w:u w:val="single"/>
              </w:rPr>
              <w:t xml:space="preserve">                                   </w:t>
            </w:r>
            <w:r>
              <w:rPr>
                <w:rFonts w:hint="eastAsia" w:ascii="宋体" w:hAnsi="宋体" w:cs="宋体"/>
                <w:bCs/>
                <w:color w:val="000000" w:themeColor="text1"/>
                <w:sz w:val="32"/>
                <w:szCs w:val="32"/>
                <w:u w:val="single"/>
              </w:rPr>
              <w:tab/>
            </w:r>
            <w:r>
              <w:rPr>
                <w:rFonts w:hint="eastAsia" w:ascii="宋体" w:hAnsi="宋体" w:cs="宋体"/>
                <w:bCs/>
                <w:color w:val="000000" w:themeColor="text1"/>
                <w:sz w:val="32"/>
                <w:szCs w:val="32"/>
                <w:u w:val="single"/>
              </w:rPr>
              <w:t xml:space="preserve">      </w:t>
            </w:r>
          </w:p>
          <w:p>
            <w:pPr>
              <w:spacing w:line="400" w:lineRule="exact"/>
              <w:ind w:left="420" w:firstLine="320" w:firstLineChars="100"/>
              <w:rPr>
                <w:rFonts w:ascii="宋体" w:hAnsi="宋体" w:cs="宋体"/>
                <w:bCs/>
                <w:color w:val="000000" w:themeColor="text1"/>
                <w:sz w:val="32"/>
                <w:szCs w:val="32"/>
                <w:u w:val="single"/>
              </w:rPr>
            </w:pPr>
            <w:r>
              <w:rPr>
                <w:rFonts w:hint="eastAsia" w:ascii="宋体" w:hAnsi="宋体" w:cs="宋体"/>
                <w:bCs/>
                <w:color w:val="000000" w:themeColor="text1"/>
                <w:sz w:val="32"/>
                <w:szCs w:val="32"/>
              </w:rPr>
              <w:t>联   系   人:</w:t>
            </w:r>
            <w:r>
              <w:rPr>
                <w:rFonts w:hint="eastAsia" w:ascii="宋体" w:hAnsi="宋体" w:cs="宋体"/>
                <w:bCs/>
                <w:color w:val="000000" w:themeColor="text1"/>
                <w:sz w:val="32"/>
                <w:szCs w:val="32"/>
                <w:u w:val="single"/>
              </w:rPr>
              <w:t xml:space="preserve">                                          </w:t>
            </w:r>
          </w:p>
          <w:p>
            <w:pPr>
              <w:spacing w:line="400" w:lineRule="exact"/>
              <w:ind w:left="420" w:firstLine="320" w:firstLineChars="100"/>
            </w:pPr>
            <w:r>
              <w:rPr>
                <w:rFonts w:hint="eastAsia" w:ascii="宋体" w:hAnsi="宋体" w:cs="宋体"/>
                <w:bCs/>
                <w:color w:val="000000" w:themeColor="text1"/>
                <w:sz w:val="32"/>
                <w:szCs w:val="32"/>
              </w:rPr>
              <w:t>联  系 电 话:</w:t>
            </w:r>
            <w:r>
              <w:rPr>
                <w:rFonts w:hint="eastAsia" w:ascii="宋体" w:hAnsi="宋体" w:cs="宋体"/>
                <w:bCs/>
                <w:color w:val="000000" w:themeColor="text1"/>
                <w:sz w:val="32"/>
                <w:szCs w:val="32"/>
                <w:u w:val="single"/>
              </w:rPr>
              <w:t xml:space="preserve">                                        </w:t>
            </w:r>
          </w:p>
        </w:tc>
      </w:tr>
    </w:tbl>
    <w:p>
      <w:pPr>
        <w:rPr>
          <w:rFonts w:ascii="宋体" w:hAnsi="宋体"/>
          <w:b/>
          <w:sz w:val="36"/>
          <w:szCs w:val="36"/>
        </w:rPr>
      </w:pPr>
    </w:p>
    <w:p>
      <w:pPr>
        <w:rPr>
          <w:rFonts w:ascii="宋体" w:hAnsi="宋体"/>
          <w:b/>
          <w:sz w:val="36"/>
          <w:szCs w:val="36"/>
        </w:rPr>
      </w:pPr>
    </w:p>
    <w:p>
      <w:pPr>
        <w:jc w:val="center"/>
        <w:rPr>
          <w:rFonts w:ascii="宋体" w:hAnsi="宋体"/>
          <w:b/>
          <w:sz w:val="28"/>
          <w:szCs w:val="28"/>
        </w:rPr>
      </w:pPr>
      <w:r>
        <w:rPr>
          <w:rFonts w:hint="eastAsia" w:ascii="宋体" w:hAnsi="宋体"/>
          <w:b/>
          <w:sz w:val="28"/>
          <w:szCs w:val="28"/>
        </w:rPr>
        <w:t>竞争性磋商响应文件目录</w:t>
      </w:r>
    </w:p>
    <w:p>
      <w:pPr>
        <w:jc w:val="center"/>
        <w:rPr>
          <w:rFonts w:ascii="宋体" w:hAnsi="宋体"/>
          <w:b/>
          <w:sz w:val="24"/>
          <w:szCs w:val="24"/>
        </w:rPr>
      </w:pPr>
    </w:p>
    <w:p>
      <w:pPr>
        <w:ind w:firstLine="1080" w:firstLineChars="45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jc w:val="center"/>
        <w:rPr>
          <w:rFonts w:hint="default" w:ascii="宋体" w:hAnsi="宋体" w:eastAsia="宋体"/>
          <w:sz w:val="24"/>
          <w:szCs w:val="24"/>
          <w:lang w:val="en-US" w:eastAsia="zh-CN"/>
        </w:rPr>
      </w:pPr>
      <w:r>
        <w:rPr>
          <w:rFonts w:hint="eastAsia" w:ascii="宋体" w:hAnsi="宋体"/>
          <w:sz w:val="24"/>
          <w:szCs w:val="24"/>
          <w:lang w:val="en-US" w:eastAsia="zh-CN"/>
        </w:rPr>
        <w:t>目录自拟</w:t>
      </w:r>
    </w:p>
    <w:p>
      <w:pPr>
        <w:spacing w:line="360" w:lineRule="auto"/>
        <w:rPr>
          <w:rFonts w:ascii="宋体" w:hAnsi="宋体"/>
          <w:b/>
          <w:sz w:val="24"/>
          <w:szCs w:val="24"/>
        </w:rPr>
      </w:pPr>
    </w:p>
    <w:p>
      <w:pPr>
        <w:tabs>
          <w:tab w:val="left" w:pos="3060"/>
        </w:tabs>
        <w:spacing w:line="440" w:lineRule="exact"/>
        <w:rPr>
          <w:rFonts w:hint="eastAsia" w:ascii="宋体" w:hAnsi="宋体" w:eastAsia="宋体"/>
          <w:b/>
          <w:szCs w:val="21"/>
          <w:lang w:eastAsia="zh-CN"/>
        </w:rPr>
      </w:pPr>
    </w:p>
    <w:p>
      <w:pPr>
        <w:tabs>
          <w:tab w:val="left" w:pos="3060"/>
        </w:tabs>
        <w:spacing w:line="440" w:lineRule="exact"/>
        <w:rPr>
          <w:rFonts w:ascii="宋体" w:hAnsi="宋体"/>
          <w:b/>
          <w:szCs w:val="21"/>
        </w:rPr>
      </w:pPr>
    </w:p>
    <w:p>
      <w:pPr>
        <w:tabs>
          <w:tab w:val="left" w:pos="3060"/>
        </w:tabs>
        <w:spacing w:line="440" w:lineRule="exact"/>
        <w:rPr>
          <w:rFonts w:ascii="宋体" w:hAnsi="宋体"/>
          <w:b/>
          <w:szCs w:val="21"/>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rPr>
      </w:pPr>
    </w:p>
    <w:p>
      <w:pPr>
        <w:spacing w:line="440" w:lineRule="exact"/>
        <w:ind w:left="-720" w:right="-960"/>
        <w:jc w:val="center"/>
        <w:rPr>
          <w:rFonts w:hint="eastAsia" w:ascii="宋体" w:hAnsi="宋体"/>
          <w:b/>
          <w:sz w:val="36"/>
          <w:szCs w:val="36"/>
          <w:lang w:val="en-US" w:eastAsia="zh-CN"/>
        </w:rPr>
      </w:pPr>
    </w:p>
    <w:p>
      <w:pPr>
        <w:spacing w:line="440" w:lineRule="exact"/>
        <w:ind w:left="-720" w:right="-960"/>
        <w:jc w:val="center"/>
        <w:rPr>
          <w:rFonts w:ascii="宋体" w:hAnsi="宋体"/>
          <w:b/>
          <w:sz w:val="36"/>
          <w:szCs w:val="36"/>
        </w:rPr>
      </w:pPr>
      <w:r>
        <w:rPr>
          <w:rFonts w:hint="eastAsia" w:ascii="宋体" w:hAnsi="宋体"/>
          <w:b/>
          <w:sz w:val="36"/>
          <w:szCs w:val="36"/>
          <w:lang w:val="en-US" w:eastAsia="zh-CN"/>
        </w:rPr>
        <w:t xml:space="preserve">一 </w:t>
      </w:r>
      <w:r>
        <w:rPr>
          <w:rFonts w:hint="eastAsia" w:ascii="宋体" w:hAnsi="宋体"/>
          <w:b/>
          <w:sz w:val="36"/>
          <w:szCs w:val="36"/>
        </w:rPr>
        <w:t>投</w:t>
      </w:r>
      <w:r>
        <w:rPr>
          <w:rFonts w:ascii="宋体" w:hAnsi="宋体"/>
          <w:b/>
          <w:sz w:val="36"/>
          <w:szCs w:val="36"/>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函</w:t>
      </w:r>
    </w:p>
    <w:p>
      <w:pPr>
        <w:spacing w:line="440" w:lineRule="exact"/>
        <w:ind w:right="71"/>
        <w:rPr>
          <w:rFonts w:ascii="宋体" w:hAnsi="宋体"/>
          <w:spacing w:val="4"/>
          <w:sz w:val="24"/>
          <w:szCs w:val="24"/>
        </w:rPr>
      </w:pPr>
    </w:p>
    <w:p>
      <w:pPr>
        <w:pStyle w:val="25"/>
        <w:spacing w:line="360" w:lineRule="auto"/>
        <w:rPr>
          <w:rFonts w:hint="eastAsia" w:hAnsi="宋体" w:eastAsia="宋体"/>
          <w:b/>
          <w:bCs/>
          <w:spacing w:val="4"/>
          <w:szCs w:val="21"/>
          <w:lang w:eastAsia="zh-CN"/>
        </w:rPr>
      </w:pPr>
      <w:r>
        <w:rPr>
          <w:rFonts w:hint="eastAsia" w:hAnsi="宋体"/>
          <w:b/>
          <w:spacing w:val="4"/>
          <w:szCs w:val="21"/>
        </w:rPr>
        <w:t>致：</w:t>
      </w:r>
      <w:r>
        <w:rPr>
          <w:rFonts w:hint="eastAsia" w:hAnsi="宋体"/>
          <w:b/>
          <w:bCs/>
          <w:spacing w:val="4"/>
          <w:szCs w:val="21"/>
        </w:rPr>
        <w:t xml:space="preserve"> </w:t>
      </w:r>
      <w:r>
        <w:rPr>
          <w:rFonts w:hint="eastAsia" w:hAnsi="宋体"/>
          <w:b/>
          <w:bCs/>
          <w:spacing w:val="4"/>
          <w:szCs w:val="21"/>
          <w:lang w:eastAsia="zh-CN"/>
        </w:rPr>
        <w:t>江苏万源工程咨询有限公司</w:t>
      </w:r>
    </w:p>
    <w:p>
      <w:pPr>
        <w:spacing w:line="440" w:lineRule="exact"/>
        <w:ind w:right="71"/>
        <w:rPr>
          <w:rFonts w:ascii="宋体" w:hAnsi="宋体"/>
          <w:spacing w:val="4"/>
          <w:szCs w:val="21"/>
        </w:rPr>
      </w:pPr>
      <w:r>
        <w:rPr>
          <w:rFonts w:ascii="宋体" w:hAnsi="宋体"/>
          <w:spacing w:val="4"/>
          <w:szCs w:val="21"/>
        </w:rPr>
        <w:t xml:space="preserve">    </w:t>
      </w:r>
      <w:r>
        <w:rPr>
          <w:rFonts w:hint="eastAsia" w:ascii="宋体" w:hAnsi="宋体"/>
          <w:spacing w:val="4"/>
          <w:szCs w:val="21"/>
        </w:rPr>
        <w:t>根据贵方为</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rPr>
        <w:t>项目竞争性磋商采购货物及服务的投标邀请（项目编号：</w:t>
      </w:r>
      <w:r>
        <w:rPr>
          <w:rFonts w:hint="eastAsia" w:ascii="宋体" w:hAnsi="宋体"/>
          <w:spacing w:val="4"/>
          <w:szCs w:val="21"/>
          <w:u w:val="single"/>
        </w:rPr>
        <w:t xml:space="preserve">                </w:t>
      </w:r>
      <w:r>
        <w:rPr>
          <w:rFonts w:hint="eastAsia" w:ascii="宋体" w:hAnsi="宋体"/>
          <w:spacing w:val="4"/>
          <w:szCs w:val="21"/>
        </w:rPr>
        <w:t>），现正式授权</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rPr>
        <w:t>（姓名、职务）代表供应商</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w:t>
      </w:r>
      <w:r>
        <w:rPr>
          <w:rFonts w:hint="eastAsia" w:ascii="宋体" w:hAnsi="宋体"/>
          <w:spacing w:val="4"/>
          <w:szCs w:val="21"/>
        </w:rPr>
        <w:t>（供应商名称）提交竞争性磋商响应文件正本一份，副本</w:t>
      </w:r>
      <w:r>
        <w:rPr>
          <w:rFonts w:hint="eastAsia" w:ascii="宋体" w:hAnsi="宋体"/>
          <w:spacing w:val="4"/>
          <w:szCs w:val="21"/>
          <w:u w:val="single"/>
        </w:rPr>
        <w:t xml:space="preserve">    </w:t>
      </w:r>
      <w:r>
        <w:rPr>
          <w:rFonts w:hint="eastAsia" w:ascii="宋体" w:hAnsi="宋体"/>
          <w:spacing w:val="4"/>
          <w:szCs w:val="21"/>
        </w:rPr>
        <w:t>份。我公司</w:t>
      </w:r>
      <w:r>
        <w:rPr>
          <w:rFonts w:ascii="宋体" w:hAnsi="宋体"/>
          <w:spacing w:val="4"/>
          <w:szCs w:val="21"/>
        </w:rPr>
        <w:t>在此</w:t>
      </w:r>
      <w:r>
        <w:rPr>
          <w:rFonts w:hint="eastAsia" w:ascii="宋体" w:hAnsi="宋体"/>
          <w:spacing w:val="4"/>
          <w:szCs w:val="21"/>
        </w:rPr>
        <w:t>声明</w:t>
      </w:r>
      <w:r>
        <w:rPr>
          <w:rFonts w:ascii="宋体" w:hAnsi="宋体"/>
          <w:spacing w:val="4"/>
          <w:szCs w:val="21"/>
        </w:rPr>
        <w:t>同意如下：</w:t>
      </w:r>
    </w:p>
    <w:p>
      <w:pPr>
        <w:spacing w:line="440" w:lineRule="exact"/>
        <w:ind w:right="71" w:firstLine="436" w:firstLineChars="200"/>
        <w:rPr>
          <w:rFonts w:ascii="宋体" w:hAnsi="宋体"/>
          <w:spacing w:val="4"/>
          <w:szCs w:val="21"/>
          <w:u w:val="single"/>
        </w:rPr>
      </w:pPr>
      <w:r>
        <w:rPr>
          <w:rFonts w:ascii="宋体" w:hAnsi="宋体"/>
          <w:spacing w:val="4"/>
          <w:szCs w:val="21"/>
        </w:rPr>
        <w:t>1．所附开标一览表中规定的应提供和交付的货物</w:t>
      </w:r>
      <w:r>
        <w:rPr>
          <w:rFonts w:hint="eastAsia" w:ascii="宋体" w:hAnsi="宋体"/>
          <w:spacing w:val="4"/>
          <w:szCs w:val="21"/>
        </w:rPr>
        <w:t>和服务的</w:t>
      </w:r>
      <w:r>
        <w:rPr>
          <w:rFonts w:ascii="宋体" w:hAnsi="宋体"/>
          <w:spacing w:val="4"/>
          <w:szCs w:val="21"/>
        </w:rPr>
        <w:t>投标</w:t>
      </w:r>
      <w:r>
        <w:rPr>
          <w:rFonts w:hint="eastAsia" w:ascii="宋体" w:hAnsi="宋体"/>
          <w:spacing w:val="4"/>
          <w:szCs w:val="21"/>
        </w:rPr>
        <w:t>报价</w:t>
      </w:r>
      <w:r>
        <w:rPr>
          <w:rFonts w:ascii="宋体" w:hAnsi="宋体"/>
          <w:spacing w:val="4"/>
          <w:szCs w:val="21"/>
        </w:rPr>
        <w:t>为：</w:t>
      </w:r>
      <w:r>
        <w:rPr>
          <w:rFonts w:hint="eastAsia" w:ascii="宋体" w:hAnsi="宋体"/>
          <w:spacing w:val="4"/>
          <w:szCs w:val="21"/>
          <w:u w:val="single"/>
        </w:rPr>
        <w:t xml:space="preserve">         </w:t>
      </w:r>
    </w:p>
    <w:p>
      <w:pPr>
        <w:spacing w:line="440" w:lineRule="exact"/>
        <w:ind w:right="71" w:firstLine="436" w:firstLineChars="200"/>
        <w:rPr>
          <w:rFonts w:ascii="宋体" w:hAnsi="宋体"/>
          <w:spacing w:val="4"/>
          <w:szCs w:val="21"/>
        </w:rPr>
      </w:pPr>
      <w:r>
        <w:rPr>
          <w:rFonts w:ascii="宋体" w:hAnsi="宋体"/>
          <w:spacing w:val="4"/>
          <w:szCs w:val="21"/>
        </w:rPr>
        <w:t xml:space="preserve">   </w:t>
      </w:r>
      <w:r>
        <w:rPr>
          <w:rFonts w:hint="eastAsia" w:ascii="宋体" w:hAnsi="宋体"/>
          <w:spacing w:val="4"/>
          <w:szCs w:val="21"/>
          <w:u w:val="single"/>
        </w:rPr>
        <w:t xml:space="preserve">                    </w:t>
      </w:r>
      <w:r>
        <w:rPr>
          <w:rFonts w:ascii="宋体" w:hAnsi="宋体"/>
          <w:spacing w:val="4"/>
          <w:szCs w:val="21"/>
        </w:rPr>
        <w:t>（以人民币元为单位）。</w:t>
      </w:r>
    </w:p>
    <w:p>
      <w:pPr>
        <w:spacing w:line="440" w:lineRule="exact"/>
        <w:ind w:right="71" w:firstLine="436" w:firstLineChars="200"/>
        <w:rPr>
          <w:rFonts w:ascii="宋体" w:hAnsi="宋体"/>
          <w:spacing w:val="4"/>
          <w:szCs w:val="21"/>
        </w:rPr>
      </w:pPr>
      <w:r>
        <w:rPr>
          <w:rFonts w:ascii="宋体" w:hAnsi="宋体"/>
          <w:spacing w:val="4"/>
          <w:szCs w:val="21"/>
        </w:rPr>
        <w:t>2．</w:t>
      </w:r>
      <w:r>
        <w:rPr>
          <w:rFonts w:hint="eastAsia" w:ascii="宋体" w:hAnsi="宋体"/>
          <w:spacing w:val="4"/>
          <w:szCs w:val="21"/>
        </w:rPr>
        <w:t>我方</w:t>
      </w:r>
      <w:r>
        <w:rPr>
          <w:rFonts w:ascii="宋体" w:hAnsi="宋体"/>
          <w:spacing w:val="4"/>
          <w:szCs w:val="21"/>
        </w:rPr>
        <w:t>将按</w:t>
      </w:r>
      <w:r>
        <w:rPr>
          <w:rFonts w:hint="eastAsia" w:ascii="宋体" w:hAnsi="宋体"/>
          <w:spacing w:val="4"/>
          <w:szCs w:val="21"/>
        </w:rPr>
        <w:t>竞争性磋商</w:t>
      </w:r>
      <w:r>
        <w:rPr>
          <w:rFonts w:ascii="宋体" w:hAnsi="宋体"/>
          <w:spacing w:val="4"/>
          <w:szCs w:val="21"/>
        </w:rPr>
        <w:t>文件的规定履行合同责任和义务。</w:t>
      </w:r>
    </w:p>
    <w:p>
      <w:pPr>
        <w:spacing w:line="440" w:lineRule="exact"/>
        <w:ind w:right="71" w:firstLine="436" w:firstLineChars="200"/>
        <w:rPr>
          <w:rFonts w:ascii="宋体" w:hAnsi="宋体"/>
          <w:spacing w:val="4"/>
          <w:szCs w:val="21"/>
        </w:rPr>
      </w:pPr>
      <w:r>
        <w:rPr>
          <w:rFonts w:ascii="宋体" w:hAnsi="宋体"/>
          <w:spacing w:val="4"/>
          <w:szCs w:val="21"/>
        </w:rPr>
        <w:t>3．</w:t>
      </w:r>
      <w:r>
        <w:rPr>
          <w:rFonts w:hint="eastAsia" w:ascii="宋体" w:hAnsi="宋体"/>
          <w:spacing w:val="4"/>
          <w:szCs w:val="21"/>
        </w:rPr>
        <w:t>我方</w:t>
      </w:r>
      <w:r>
        <w:rPr>
          <w:rFonts w:ascii="宋体" w:hAnsi="宋体"/>
          <w:spacing w:val="4"/>
          <w:szCs w:val="21"/>
        </w:rPr>
        <w:t>已详细审查全部</w:t>
      </w:r>
      <w:r>
        <w:rPr>
          <w:rFonts w:hint="eastAsia" w:ascii="宋体" w:hAnsi="宋体"/>
          <w:spacing w:val="4"/>
          <w:szCs w:val="21"/>
        </w:rPr>
        <w:t>竞争性磋商</w:t>
      </w:r>
      <w:r>
        <w:rPr>
          <w:rFonts w:ascii="宋体" w:hAnsi="宋体"/>
          <w:spacing w:val="4"/>
          <w:szCs w:val="21"/>
        </w:rPr>
        <w:t>文件，包括澄清文件（如有的话）以及全部参考资料和有关附件</w:t>
      </w:r>
      <w:r>
        <w:rPr>
          <w:rFonts w:hint="eastAsia" w:ascii="宋体" w:hAnsi="宋体"/>
          <w:spacing w:val="4"/>
          <w:szCs w:val="21"/>
        </w:rPr>
        <w:t>，我方</w:t>
      </w:r>
      <w:r>
        <w:rPr>
          <w:rFonts w:ascii="宋体" w:hAnsi="宋体"/>
          <w:spacing w:val="4"/>
          <w:szCs w:val="21"/>
        </w:rPr>
        <w:t>完全理解并同意放弃对这方面有不明及误解的权利</w:t>
      </w:r>
      <w:r>
        <w:rPr>
          <w:rFonts w:hint="eastAsia" w:ascii="宋体" w:hAnsi="宋体"/>
          <w:spacing w:val="4"/>
          <w:szCs w:val="21"/>
        </w:rPr>
        <w:t>。</w:t>
      </w:r>
    </w:p>
    <w:p>
      <w:pPr>
        <w:spacing w:line="440" w:lineRule="exact"/>
        <w:ind w:right="71" w:firstLine="436" w:firstLineChars="200"/>
        <w:rPr>
          <w:rFonts w:ascii="宋体" w:hAnsi="宋体"/>
          <w:spacing w:val="4"/>
          <w:szCs w:val="21"/>
        </w:rPr>
      </w:pPr>
      <w:r>
        <w:rPr>
          <w:rFonts w:ascii="宋体" w:hAnsi="宋体"/>
          <w:spacing w:val="4"/>
          <w:szCs w:val="21"/>
        </w:rPr>
        <w:t>4．</w:t>
      </w:r>
      <w:r>
        <w:rPr>
          <w:rFonts w:hint="eastAsia" w:ascii="宋体" w:hAnsi="宋体"/>
          <w:spacing w:val="4"/>
          <w:szCs w:val="21"/>
        </w:rPr>
        <w:t>我方接受本项目竞争性磋商文件“供应商须知前附表”中所规定的投标</w:t>
      </w:r>
      <w:r>
        <w:rPr>
          <w:rFonts w:ascii="宋体" w:hAnsi="宋体"/>
          <w:spacing w:val="4"/>
          <w:szCs w:val="21"/>
        </w:rPr>
        <w:t>有效期。</w:t>
      </w:r>
    </w:p>
    <w:p>
      <w:pPr>
        <w:spacing w:line="440" w:lineRule="exact"/>
        <w:ind w:right="71" w:firstLine="436" w:firstLineChars="200"/>
        <w:rPr>
          <w:rFonts w:ascii="宋体" w:hAnsi="宋体"/>
          <w:spacing w:val="4"/>
          <w:szCs w:val="21"/>
        </w:rPr>
      </w:pPr>
      <w:r>
        <w:rPr>
          <w:rFonts w:ascii="宋体" w:hAnsi="宋体"/>
          <w:spacing w:val="4"/>
          <w:szCs w:val="21"/>
        </w:rPr>
        <w:t>5．</w:t>
      </w:r>
      <w:r>
        <w:rPr>
          <w:rFonts w:hint="eastAsia" w:ascii="宋体" w:hAnsi="宋体"/>
          <w:spacing w:val="4"/>
          <w:szCs w:val="21"/>
        </w:rPr>
        <w:t>如果在规定的投标截止期后，我方在投标有效期内撤回投标，其竞争性磋商保证金将被贵方没收。</w:t>
      </w:r>
    </w:p>
    <w:p>
      <w:pPr>
        <w:spacing w:line="440" w:lineRule="exact"/>
        <w:ind w:right="71" w:firstLine="436" w:firstLineChars="200"/>
        <w:rPr>
          <w:rFonts w:ascii="宋体" w:hAnsi="宋体"/>
          <w:spacing w:val="4"/>
          <w:szCs w:val="21"/>
        </w:rPr>
      </w:pPr>
      <w:r>
        <w:rPr>
          <w:rFonts w:hint="eastAsia" w:ascii="宋体" w:hAnsi="宋体"/>
          <w:spacing w:val="4"/>
          <w:szCs w:val="21"/>
        </w:rPr>
        <w:t>6</w:t>
      </w:r>
      <w:r>
        <w:rPr>
          <w:rFonts w:ascii="宋体" w:hAnsi="宋体"/>
          <w:spacing w:val="4"/>
          <w:szCs w:val="21"/>
        </w:rPr>
        <w:t>．</w:t>
      </w:r>
      <w:r>
        <w:rPr>
          <w:rFonts w:hint="eastAsia" w:ascii="宋体" w:hAnsi="宋体"/>
          <w:spacing w:val="4"/>
          <w:szCs w:val="21"/>
        </w:rPr>
        <w:t>我方</w:t>
      </w:r>
      <w:r>
        <w:rPr>
          <w:rFonts w:ascii="宋体" w:hAnsi="宋体"/>
          <w:spacing w:val="4"/>
          <w:szCs w:val="21"/>
        </w:rPr>
        <w:t>同意提供按照贵方可能要求的与其投标有关的一切数据或资料，完全理解贵方不一定要接受最低价的投标或收到的任何投标</w:t>
      </w:r>
      <w:r>
        <w:rPr>
          <w:rFonts w:hint="eastAsia" w:ascii="宋体" w:hAnsi="宋体"/>
          <w:spacing w:val="4"/>
          <w:szCs w:val="21"/>
        </w:rPr>
        <w:t>，完全理解并接受竞争性磋商人和竞争性磋商代理机构对评标资料保密且不解释落标原因。</w:t>
      </w:r>
    </w:p>
    <w:p>
      <w:pPr>
        <w:spacing w:line="440" w:lineRule="exact"/>
        <w:ind w:right="71" w:firstLine="436" w:firstLineChars="200"/>
        <w:rPr>
          <w:rFonts w:ascii="宋体" w:hAnsi="宋体"/>
          <w:spacing w:val="4"/>
          <w:szCs w:val="21"/>
        </w:rPr>
      </w:pPr>
      <w:r>
        <w:rPr>
          <w:rFonts w:hint="eastAsia" w:ascii="宋体" w:hAnsi="宋体"/>
          <w:spacing w:val="4"/>
          <w:szCs w:val="21"/>
        </w:rPr>
        <w:t>7．若我单位中标，我单位承诺将按竞争性磋商文件规定的标准和时间向贵方支付代理服务费。</w:t>
      </w:r>
    </w:p>
    <w:p>
      <w:pPr>
        <w:spacing w:line="440" w:lineRule="exact"/>
        <w:ind w:right="71" w:firstLine="436" w:firstLineChars="200"/>
        <w:rPr>
          <w:rFonts w:ascii="宋体" w:hAnsi="宋体"/>
          <w:spacing w:val="4"/>
          <w:szCs w:val="21"/>
        </w:rPr>
      </w:pPr>
      <w:r>
        <w:rPr>
          <w:rFonts w:hint="eastAsia" w:ascii="宋体" w:hAnsi="宋体"/>
          <w:spacing w:val="4"/>
          <w:szCs w:val="21"/>
        </w:rPr>
        <w:t>8</w:t>
      </w:r>
      <w:r>
        <w:rPr>
          <w:rFonts w:ascii="宋体" w:hAnsi="宋体"/>
          <w:spacing w:val="4"/>
          <w:szCs w:val="21"/>
        </w:rPr>
        <w:t>．与本投标有关的一切正式往来信函请寄：</w:t>
      </w:r>
    </w:p>
    <w:p>
      <w:pPr>
        <w:spacing w:line="440" w:lineRule="exact"/>
        <w:ind w:right="74"/>
        <w:rPr>
          <w:rFonts w:ascii="宋体" w:hAnsi="宋体"/>
          <w:spacing w:val="4"/>
          <w:szCs w:val="21"/>
          <w:u w:val="single"/>
        </w:rPr>
      </w:pPr>
      <w:r>
        <w:rPr>
          <w:rFonts w:ascii="宋体" w:hAnsi="宋体"/>
          <w:spacing w:val="4"/>
          <w:szCs w:val="21"/>
        </w:rPr>
        <w:t xml:space="preserve">  </w:t>
      </w:r>
      <w:r>
        <w:rPr>
          <w:rFonts w:hint="eastAsia" w:ascii="宋体" w:hAnsi="宋体"/>
          <w:spacing w:val="4"/>
          <w:szCs w:val="21"/>
        </w:rPr>
        <w:t xml:space="preserve">   地</w:t>
      </w:r>
      <w:r>
        <w:rPr>
          <w:rFonts w:ascii="宋体" w:hAnsi="宋体"/>
          <w:spacing w:val="4"/>
          <w:szCs w:val="21"/>
        </w:rPr>
        <w:t xml:space="preserve">  </w:t>
      </w:r>
      <w:r>
        <w:rPr>
          <w:rFonts w:hint="eastAsia" w:ascii="宋体" w:hAnsi="宋体"/>
          <w:spacing w:val="4"/>
          <w:szCs w:val="21"/>
        </w:rPr>
        <w:t>址：</w:t>
      </w:r>
      <w:r>
        <w:rPr>
          <w:rFonts w:ascii="宋体" w:hAnsi="宋体"/>
          <w:spacing w:val="4"/>
          <w:szCs w:val="21"/>
          <w:u w:val="single"/>
        </w:rPr>
        <w:t xml:space="preserve">                  </w:t>
      </w:r>
      <w:r>
        <w:rPr>
          <w:rFonts w:ascii="宋体" w:hAnsi="宋体"/>
          <w:spacing w:val="4"/>
          <w:szCs w:val="21"/>
        </w:rPr>
        <w:t xml:space="preserve"> </w:t>
      </w:r>
      <w:r>
        <w:rPr>
          <w:rFonts w:hint="eastAsia" w:ascii="宋体" w:hAnsi="宋体"/>
          <w:spacing w:val="4"/>
          <w:szCs w:val="21"/>
        </w:rPr>
        <w:t xml:space="preserve">  </w:t>
      </w:r>
      <w:r>
        <w:rPr>
          <w:rFonts w:ascii="宋体" w:hAnsi="宋体"/>
          <w:spacing w:val="4"/>
          <w:szCs w:val="21"/>
        </w:rPr>
        <w:t xml:space="preserve"> </w:t>
      </w:r>
      <w:r>
        <w:rPr>
          <w:rFonts w:hint="eastAsia" w:ascii="宋体" w:hAnsi="宋体"/>
          <w:spacing w:val="4"/>
          <w:szCs w:val="21"/>
        </w:rPr>
        <w:t>邮</w:t>
      </w:r>
      <w:r>
        <w:rPr>
          <w:rFonts w:ascii="宋体" w:hAnsi="宋体"/>
          <w:spacing w:val="4"/>
          <w:szCs w:val="21"/>
        </w:rPr>
        <w:t xml:space="preserve">  </w:t>
      </w:r>
      <w:r>
        <w:rPr>
          <w:rFonts w:hint="eastAsia" w:ascii="宋体" w:hAnsi="宋体"/>
          <w:spacing w:val="4"/>
          <w:szCs w:val="21"/>
        </w:rPr>
        <w:t>编：</w:t>
      </w:r>
      <w:r>
        <w:rPr>
          <w:rFonts w:ascii="宋体" w:hAnsi="宋体"/>
          <w:spacing w:val="4"/>
          <w:szCs w:val="21"/>
          <w:u w:val="single"/>
        </w:rPr>
        <w:t xml:space="preserve">                    </w:t>
      </w:r>
      <w:r>
        <w:rPr>
          <w:rFonts w:hint="eastAsia" w:ascii="宋体" w:hAnsi="宋体"/>
          <w:spacing w:val="4"/>
          <w:szCs w:val="21"/>
          <w:u w:val="single"/>
        </w:rPr>
        <w:t xml:space="preserve">   </w:t>
      </w:r>
    </w:p>
    <w:p>
      <w:pPr>
        <w:spacing w:line="440" w:lineRule="exact"/>
        <w:ind w:right="74" w:firstLine="545" w:firstLineChars="250"/>
        <w:rPr>
          <w:rFonts w:ascii="宋体" w:hAnsi="宋体"/>
          <w:spacing w:val="4"/>
          <w:szCs w:val="21"/>
          <w:u w:val="single"/>
        </w:rPr>
      </w:pPr>
      <w:r>
        <w:rPr>
          <w:rFonts w:hint="eastAsia" w:ascii="宋体" w:hAnsi="宋体"/>
          <w:spacing w:val="4"/>
          <w:szCs w:val="21"/>
        </w:rPr>
        <w:t>电</w:t>
      </w:r>
      <w:r>
        <w:rPr>
          <w:rFonts w:ascii="宋体" w:hAnsi="宋体"/>
          <w:spacing w:val="4"/>
          <w:szCs w:val="21"/>
        </w:rPr>
        <w:t xml:space="preserve">  </w:t>
      </w:r>
      <w:r>
        <w:rPr>
          <w:rFonts w:hint="eastAsia" w:ascii="宋体" w:hAnsi="宋体"/>
          <w:spacing w:val="4"/>
          <w:szCs w:val="21"/>
        </w:rPr>
        <w:t>话：</w:t>
      </w:r>
      <w:r>
        <w:rPr>
          <w:rFonts w:ascii="宋体" w:hAnsi="宋体"/>
          <w:spacing w:val="4"/>
          <w:szCs w:val="21"/>
          <w:u w:val="single"/>
        </w:rPr>
        <w:t xml:space="preserve">                  </w:t>
      </w:r>
      <w:r>
        <w:rPr>
          <w:rFonts w:ascii="宋体" w:hAnsi="宋体"/>
          <w:spacing w:val="4"/>
          <w:szCs w:val="21"/>
        </w:rPr>
        <w:t xml:space="preserve">  </w:t>
      </w:r>
      <w:r>
        <w:rPr>
          <w:rFonts w:hint="eastAsia" w:ascii="宋体" w:hAnsi="宋体"/>
          <w:spacing w:val="4"/>
          <w:szCs w:val="21"/>
        </w:rPr>
        <w:t xml:space="preserve">  传</w:t>
      </w:r>
      <w:r>
        <w:rPr>
          <w:rFonts w:ascii="宋体" w:hAnsi="宋体"/>
          <w:spacing w:val="4"/>
          <w:szCs w:val="21"/>
        </w:rPr>
        <w:t xml:space="preserve">  </w:t>
      </w:r>
      <w:r>
        <w:rPr>
          <w:rFonts w:hint="eastAsia" w:ascii="宋体" w:hAnsi="宋体"/>
          <w:spacing w:val="4"/>
          <w:szCs w:val="21"/>
        </w:rPr>
        <w:t>真：</w:t>
      </w:r>
      <w:r>
        <w:rPr>
          <w:rFonts w:ascii="宋体" w:hAnsi="宋体"/>
          <w:spacing w:val="4"/>
          <w:szCs w:val="21"/>
          <w:u w:val="single"/>
        </w:rPr>
        <w:t xml:space="preserve">                     </w:t>
      </w:r>
      <w:r>
        <w:rPr>
          <w:rFonts w:hint="eastAsia" w:ascii="宋体" w:hAnsi="宋体"/>
          <w:spacing w:val="4"/>
          <w:szCs w:val="21"/>
          <w:u w:val="single"/>
        </w:rPr>
        <w:t xml:space="preserve">   </w:t>
      </w:r>
    </w:p>
    <w:p>
      <w:pPr>
        <w:spacing w:line="440" w:lineRule="exact"/>
        <w:ind w:right="74"/>
        <w:rPr>
          <w:rFonts w:ascii="宋体" w:hAnsi="宋体"/>
          <w:spacing w:val="4"/>
          <w:szCs w:val="21"/>
          <w:u w:val="single"/>
        </w:rPr>
      </w:pPr>
      <w:r>
        <w:rPr>
          <w:rFonts w:hint="eastAsia" w:ascii="宋体" w:hAnsi="宋体"/>
          <w:spacing w:val="4"/>
          <w:szCs w:val="21"/>
        </w:rPr>
        <w:t xml:space="preserve">     手  机：</w:t>
      </w:r>
      <w:r>
        <w:rPr>
          <w:rFonts w:hint="eastAsia" w:ascii="宋体" w:hAnsi="宋体"/>
          <w:spacing w:val="4"/>
          <w:szCs w:val="21"/>
          <w:u w:val="single"/>
        </w:rPr>
        <w:t xml:space="preserve">                   </w:t>
      </w:r>
      <w:r>
        <w:rPr>
          <w:rFonts w:hint="eastAsia" w:ascii="宋体" w:hAnsi="宋体"/>
          <w:spacing w:val="4"/>
          <w:szCs w:val="21"/>
        </w:rPr>
        <w:t xml:space="preserve">   电子邮件：</w:t>
      </w:r>
      <w:r>
        <w:rPr>
          <w:rFonts w:hint="eastAsia" w:ascii="宋体" w:hAnsi="宋体"/>
          <w:spacing w:val="4"/>
          <w:szCs w:val="21"/>
          <w:u w:val="single"/>
        </w:rPr>
        <w:t xml:space="preserve">                      </w:t>
      </w:r>
    </w:p>
    <w:p>
      <w:pPr>
        <w:spacing w:line="440" w:lineRule="exact"/>
        <w:ind w:right="74" w:firstLine="545" w:firstLineChars="250"/>
        <w:rPr>
          <w:rFonts w:ascii="宋体" w:hAnsi="宋体"/>
          <w:spacing w:val="4"/>
          <w:szCs w:val="21"/>
          <w:u w:val="single"/>
        </w:rPr>
      </w:pPr>
      <w:r>
        <w:rPr>
          <w:rFonts w:hint="eastAsia" w:ascii="宋体" w:hAnsi="宋体"/>
          <w:spacing w:val="4"/>
          <w:szCs w:val="21"/>
        </w:rPr>
        <w:t>供应商名称</w:t>
      </w:r>
      <w:r>
        <w:rPr>
          <w:rFonts w:hint="eastAsia" w:ascii="宋体" w:hAnsi="宋体"/>
          <w:bCs/>
          <w:szCs w:val="21"/>
        </w:rPr>
        <w:t>（盖单位章）：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w:t>
      </w:r>
    </w:p>
    <w:p>
      <w:pPr>
        <w:spacing w:line="440" w:lineRule="exact"/>
        <w:ind w:right="74" w:firstLine="545" w:firstLineChars="250"/>
        <w:rPr>
          <w:rFonts w:ascii="宋体" w:hAnsi="宋体"/>
          <w:spacing w:val="4"/>
          <w:szCs w:val="21"/>
        </w:rPr>
      </w:pPr>
      <w:r>
        <w:rPr>
          <w:rFonts w:hint="eastAsia" w:ascii="宋体" w:hAnsi="宋体"/>
          <w:spacing w:val="4"/>
          <w:szCs w:val="21"/>
        </w:rPr>
        <w:t>授权代表签字：</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r>
        <w:rPr>
          <w:rFonts w:hint="eastAsia" w:ascii="宋体" w:hAnsi="宋体"/>
          <w:spacing w:val="4"/>
          <w:szCs w:val="21"/>
          <w:u w:val="single"/>
        </w:rPr>
        <w:t xml:space="preserve">  </w:t>
      </w:r>
    </w:p>
    <w:p>
      <w:pPr>
        <w:spacing w:line="440" w:lineRule="exact"/>
        <w:ind w:right="71" w:firstLine="545" w:firstLineChars="250"/>
        <w:rPr>
          <w:rFonts w:ascii="宋体" w:hAnsi="宋体"/>
          <w:spacing w:val="4"/>
          <w:szCs w:val="21"/>
          <w:u w:val="single"/>
        </w:rPr>
      </w:pPr>
      <w:r>
        <w:rPr>
          <w:rFonts w:hint="eastAsia" w:ascii="宋体" w:hAnsi="宋体"/>
          <w:spacing w:val="4"/>
          <w:szCs w:val="21"/>
        </w:rPr>
        <w:t>日        期：         年    月    日</w:t>
      </w:r>
    </w:p>
    <w:p>
      <w:pPr>
        <w:spacing w:line="440" w:lineRule="exact"/>
        <w:ind w:right="71" w:firstLine="310" w:firstLineChars="147"/>
        <w:rPr>
          <w:rFonts w:ascii="宋体" w:hAnsi="宋体"/>
          <w:b/>
          <w:bCs/>
        </w:rPr>
      </w:pPr>
    </w:p>
    <w:p>
      <w:pPr>
        <w:spacing w:line="440" w:lineRule="exact"/>
        <w:ind w:right="71"/>
        <w:rPr>
          <w:rFonts w:ascii="宋体" w:hAnsi="宋体"/>
          <w:b/>
          <w:spacing w:val="4"/>
          <w:sz w:val="24"/>
          <w:szCs w:val="24"/>
        </w:rPr>
      </w:pPr>
    </w:p>
    <w:p>
      <w:pPr>
        <w:pStyle w:val="30"/>
        <w:bidi w:val="0"/>
        <w:rPr>
          <w:rFonts w:hint="eastAsia"/>
          <w:lang w:eastAsia="zh-CN"/>
        </w:rPr>
      </w:pPr>
      <w:r>
        <w:rPr>
          <w:rFonts w:hint="eastAsia"/>
          <w:lang w:eastAsia="zh-CN"/>
        </w:rPr>
        <w:tab/>
      </w:r>
      <w:r>
        <w:rPr>
          <w:rFonts w:hint="eastAsia"/>
          <w:lang w:eastAsia="zh-CN"/>
        </w:rPr>
        <w:tab/>
      </w:r>
    </w:p>
    <w:p>
      <w:pPr>
        <w:spacing w:line="440" w:lineRule="exact"/>
        <w:ind w:right="71"/>
        <w:rPr>
          <w:rFonts w:ascii="宋体" w:hAnsi="宋体"/>
          <w:b/>
          <w:spacing w:val="4"/>
          <w:sz w:val="24"/>
          <w:szCs w:val="24"/>
        </w:rPr>
      </w:pPr>
    </w:p>
    <w:p>
      <w:pPr>
        <w:spacing w:line="440" w:lineRule="exact"/>
        <w:ind w:right="71"/>
        <w:rPr>
          <w:rFonts w:ascii="宋体" w:hAnsi="宋体"/>
          <w:b/>
          <w:spacing w:val="4"/>
          <w:sz w:val="24"/>
          <w:szCs w:val="24"/>
        </w:rPr>
      </w:pPr>
    </w:p>
    <w:p>
      <w:pPr>
        <w:rPr>
          <w:rFonts w:ascii="宋体" w:hAnsi="宋体"/>
          <w:b/>
        </w:rPr>
      </w:pPr>
    </w:p>
    <w:p>
      <w:pPr>
        <w:rPr>
          <w:rFonts w:hint="eastAsia" w:ascii="宋体" w:hAnsi="宋体"/>
          <w:b/>
        </w:rPr>
      </w:pPr>
    </w:p>
    <w:p>
      <w:pPr>
        <w:rPr>
          <w:rFonts w:hint="eastAsia" w:ascii="宋体" w:hAnsi="宋体" w:eastAsia="宋体"/>
          <w:lang w:eastAsia="zh-CN"/>
        </w:rPr>
      </w:pPr>
      <w:r>
        <w:rPr>
          <w:rFonts w:hint="eastAsia" w:ascii="宋体" w:hAnsi="宋体"/>
          <w:b/>
          <w:lang w:val="en-US" w:eastAsia="zh-CN"/>
        </w:rPr>
        <w:t xml:space="preserve"> </w:t>
      </w:r>
    </w:p>
    <w:p>
      <w:pPr>
        <w:jc w:val="center"/>
        <w:rPr>
          <w:rFonts w:ascii="宋体" w:hAnsi="宋体"/>
          <w:sz w:val="30"/>
        </w:rPr>
      </w:pPr>
      <w:r>
        <w:rPr>
          <w:rFonts w:hint="eastAsia" w:ascii="宋体" w:hAnsi="宋体"/>
          <w:sz w:val="30"/>
          <w:lang w:val="en-US" w:eastAsia="zh-CN"/>
        </w:rPr>
        <w:t>二  竞争性磋商报价</w:t>
      </w:r>
      <w:r>
        <w:rPr>
          <w:rFonts w:hint="eastAsia" w:ascii="宋体" w:hAnsi="宋体"/>
          <w:sz w:val="30"/>
        </w:rPr>
        <w:t>一览表</w:t>
      </w:r>
    </w:p>
    <w:p>
      <w:pPr>
        <w:spacing w:line="360" w:lineRule="auto"/>
        <w:jc w:val="center"/>
        <w:outlineLvl w:val="0"/>
        <w:rPr>
          <w:rFonts w:ascii="宋体" w:hAnsi="宋体"/>
          <w:b/>
          <w:bCs/>
          <w:szCs w:val="36"/>
        </w:rPr>
      </w:pPr>
    </w:p>
    <w:tbl>
      <w:tblPr>
        <w:tblStyle w:val="5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rPr>
            </w:pPr>
            <w:r>
              <w:rPr>
                <w:rFonts w:hint="eastAsia" w:ascii="宋体" w:hAnsi="宋体" w:cs="宋体"/>
                <w:color w:val="000000" w:themeColor="text1"/>
                <w:kern w:val="0"/>
                <w:sz w:val="24"/>
                <w:szCs w:val="44"/>
              </w:rPr>
              <w:t>项目名称</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rPr>
            </w:pPr>
            <w:r>
              <w:rPr>
                <w:rFonts w:hint="eastAsia" w:ascii="宋体" w:hAnsi="宋体" w:cs="宋体"/>
                <w:color w:val="000000" w:themeColor="text1"/>
                <w:kern w:val="0"/>
                <w:sz w:val="24"/>
                <w:szCs w:val="44"/>
              </w:rPr>
              <w:t>采购编号</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rPr>
            </w:pPr>
            <w:r>
              <w:rPr>
                <w:rFonts w:hint="eastAsia" w:ascii="宋体" w:hAnsi="宋体" w:cs="宋体"/>
                <w:color w:val="000000" w:themeColor="text1"/>
                <w:kern w:val="0"/>
                <w:sz w:val="24"/>
                <w:szCs w:val="4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rPr>
            </w:pPr>
            <w:r>
              <w:rPr>
                <w:rFonts w:hint="eastAsia" w:ascii="宋体" w:hAnsi="宋体" w:cs="宋体"/>
                <w:color w:val="000000" w:themeColor="text1"/>
                <w:kern w:val="0"/>
                <w:sz w:val="24"/>
                <w:szCs w:val="44"/>
              </w:rPr>
              <w:t>投标总价（元）</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u w:val="single"/>
              </w:rPr>
            </w:pPr>
            <w:r>
              <w:rPr>
                <w:rFonts w:hint="eastAsia" w:ascii="宋体" w:hAnsi="宋体" w:cs="宋体"/>
                <w:color w:val="000000" w:themeColor="text1"/>
                <w:kern w:val="0"/>
                <w:sz w:val="24"/>
                <w:szCs w:val="44"/>
              </w:rPr>
              <w:t>人民币</w:t>
            </w:r>
            <w:r>
              <w:rPr>
                <w:rFonts w:hint="eastAsia" w:ascii="宋体" w:hAnsi="宋体" w:cs="宋体"/>
                <w:color w:val="000000" w:themeColor="text1"/>
                <w:kern w:val="0"/>
                <w:sz w:val="24"/>
                <w:szCs w:val="44"/>
                <w:u w:val="single"/>
              </w:rPr>
              <w:t>大写金额                   （￥  小写金额   ）</w:t>
            </w:r>
          </w:p>
        </w:tc>
      </w:tr>
    </w:tbl>
    <w:p>
      <w:pPr>
        <w:spacing w:line="360" w:lineRule="auto"/>
        <w:ind w:right="101" w:rightChars="48"/>
        <w:rPr>
          <w:rFonts w:ascii="宋体" w:hAnsi="宋体"/>
          <w:bCs/>
          <w:szCs w:val="21"/>
        </w:rPr>
      </w:pPr>
    </w:p>
    <w:p>
      <w:pPr>
        <w:spacing w:line="360" w:lineRule="auto"/>
        <w:ind w:right="101" w:rightChars="48"/>
        <w:rPr>
          <w:rFonts w:ascii="宋体" w:hAnsi="宋体"/>
          <w:bCs/>
          <w:szCs w:val="21"/>
        </w:rPr>
      </w:pPr>
      <w:r>
        <w:rPr>
          <w:rFonts w:hint="eastAsia" w:ascii="宋体" w:hAnsi="宋体"/>
          <w:bCs/>
          <w:szCs w:val="21"/>
        </w:rPr>
        <w:t>供应商名称（盖单位章）:</w:t>
      </w:r>
    </w:p>
    <w:p>
      <w:pPr>
        <w:spacing w:line="360" w:lineRule="auto"/>
        <w:rPr>
          <w:rFonts w:ascii="宋体" w:hAnsi="宋体"/>
          <w:bCs/>
          <w:szCs w:val="21"/>
        </w:rPr>
      </w:pPr>
      <w:r>
        <w:rPr>
          <w:rFonts w:hint="eastAsia" w:ascii="宋体" w:hAnsi="宋体"/>
          <w:bCs/>
          <w:szCs w:val="21"/>
        </w:rPr>
        <w:t>供应商授权代表签字:</w:t>
      </w:r>
    </w:p>
    <w:p>
      <w:pPr>
        <w:spacing w:line="360" w:lineRule="auto"/>
        <w:rPr>
          <w:rFonts w:ascii="宋体" w:hAnsi="宋体"/>
          <w:bCs/>
          <w:szCs w:val="21"/>
        </w:rPr>
      </w:pPr>
      <w:r>
        <w:rPr>
          <w:rFonts w:hint="eastAsia" w:ascii="宋体" w:hAnsi="宋体"/>
          <w:bCs/>
          <w:szCs w:val="21"/>
        </w:rPr>
        <w:t>日    期：    年    月   日</w:t>
      </w:r>
    </w:p>
    <w:p>
      <w:pPr>
        <w:spacing w:line="360" w:lineRule="auto"/>
        <w:rPr>
          <w:rFonts w:ascii="宋体" w:hAnsi="宋体"/>
          <w:bCs/>
          <w:szCs w:val="21"/>
        </w:rPr>
      </w:pPr>
    </w:p>
    <w:p>
      <w:pPr>
        <w:spacing w:line="360" w:lineRule="auto"/>
        <w:rPr>
          <w:rFonts w:ascii="宋体" w:hAnsi="宋体"/>
          <w:bCs/>
          <w:szCs w:val="21"/>
        </w:rPr>
      </w:pPr>
    </w:p>
    <w:p>
      <w:pPr>
        <w:spacing w:line="360" w:lineRule="auto"/>
        <w:ind w:left="413" w:hanging="413" w:hangingChars="196"/>
        <w:rPr>
          <w:rFonts w:ascii="宋体" w:hAnsi="宋体"/>
          <w:b/>
          <w:bCs/>
          <w:szCs w:val="21"/>
        </w:rPr>
      </w:pPr>
    </w:p>
    <w:p>
      <w:pPr>
        <w:spacing w:line="360" w:lineRule="auto"/>
        <w:ind w:left="413" w:hanging="413" w:hangingChars="196"/>
        <w:rPr>
          <w:rFonts w:ascii="宋体" w:hAnsi="宋体"/>
          <w:b/>
          <w:bCs/>
          <w:szCs w:val="21"/>
        </w:rPr>
      </w:pPr>
    </w:p>
    <w:p>
      <w:pPr>
        <w:spacing w:line="360" w:lineRule="auto"/>
        <w:ind w:left="413" w:hanging="413" w:hangingChars="196"/>
        <w:rPr>
          <w:rFonts w:ascii="宋体" w:hAnsi="宋体"/>
          <w:b/>
          <w:bCs/>
          <w:szCs w:val="21"/>
        </w:rPr>
      </w:pPr>
    </w:p>
    <w:p>
      <w:pPr>
        <w:pStyle w:val="4"/>
        <w:rPr>
          <w:rFonts w:ascii="宋体" w:hAnsi="宋体"/>
          <w:b/>
          <w:bCs/>
          <w:szCs w:val="21"/>
        </w:rPr>
      </w:pPr>
    </w:p>
    <w:p>
      <w:pPr>
        <w:rPr>
          <w:rFonts w:ascii="宋体" w:hAnsi="宋体"/>
          <w:b/>
          <w:bCs/>
          <w:szCs w:val="21"/>
        </w:rPr>
      </w:pPr>
    </w:p>
    <w:p>
      <w:pPr>
        <w:pStyle w:val="4"/>
        <w:rPr>
          <w:rFonts w:ascii="宋体" w:hAnsi="宋体"/>
          <w:b/>
          <w:bCs/>
          <w:szCs w:val="21"/>
        </w:rPr>
      </w:pPr>
    </w:p>
    <w:p>
      <w:pPr>
        <w:rPr>
          <w:rFonts w:ascii="宋体" w:hAnsi="宋体"/>
          <w:b/>
          <w:bCs/>
          <w:szCs w:val="21"/>
        </w:rPr>
      </w:pPr>
    </w:p>
    <w:p>
      <w:pPr>
        <w:pStyle w:val="4"/>
        <w:rPr>
          <w:rFonts w:ascii="宋体" w:hAnsi="宋体"/>
          <w:b/>
          <w:bCs/>
          <w:szCs w:val="21"/>
        </w:rPr>
      </w:pPr>
    </w:p>
    <w:p>
      <w:pPr>
        <w:pStyle w:val="4"/>
        <w:rPr>
          <w:rFonts w:ascii="宋体" w:hAnsi="宋体"/>
          <w:b/>
          <w:bCs/>
          <w:szCs w:val="21"/>
        </w:rPr>
      </w:pPr>
    </w:p>
    <w:p/>
    <w:p>
      <w:pPr>
        <w:spacing w:line="360" w:lineRule="auto"/>
        <w:rPr>
          <w:rFonts w:ascii="宋体" w:hAnsi="宋体"/>
          <w:b/>
          <w:bCs/>
          <w:szCs w:val="21"/>
        </w:rPr>
      </w:pPr>
    </w:p>
    <w:p>
      <w:pPr>
        <w:spacing w:line="360" w:lineRule="auto"/>
        <w:ind w:left="413" w:hanging="551" w:hangingChars="196"/>
        <w:rPr>
          <w:rFonts w:ascii="宋体" w:hAnsi="宋体"/>
          <w:b/>
          <w:bCs/>
          <w:szCs w:val="21"/>
        </w:rPr>
      </w:pPr>
      <w:r>
        <w:rPr>
          <w:rFonts w:hint="eastAsia" w:ascii="宋体" w:hAnsi="宋体" w:cs="宋体"/>
          <w:b/>
          <w:bCs/>
          <w:color w:val="000000" w:themeColor="text1"/>
          <w:kern w:val="0"/>
          <w:sz w:val="28"/>
          <w:szCs w:val="28"/>
        </w:rPr>
        <w:t>注：本表须另单独封装一份在外(按投标文件的封装要求封装）。</w:t>
      </w:r>
    </w:p>
    <w:p>
      <w:pPr>
        <w:tabs>
          <w:tab w:val="left" w:pos="5355"/>
        </w:tabs>
        <w:spacing w:line="500" w:lineRule="atLeast"/>
        <w:outlineLvl w:val="1"/>
        <w:rPr>
          <w:rFonts w:ascii="宋体" w:hAnsi="宋体"/>
          <w:b/>
          <w:bCs/>
          <w:sz w:val="24"/>
          <w:szCs w:val="24"/>
        </w:rPr>
      </w:pPr>
      <w:bookmarkStart w:id="10" w:name="_Toc139885880"/>
    </w:p>
    <w:bookmarkEnd w:id="10"/>
    <w:p>
      <w:pPr>
        <w:rPr>
          <w:rFonts w:ascii="宋体" w:hAnsi="宋体"/>
        </w:rPr>
      </w:pPr>
    </w:p>
    <w:p>
      <w:pPr>
        <w:rPr>
          <w:rFonts w:ascii="宋体" w:hAnsi="宋体"/>
        </w:rPr>
      </w:pPr>
    </w:p>
    <w:p>
      <w:pPr>
        <w:pStyle w:val="3"/>
        <w:rPr>
          <w:rFonts w:ascii="宋体" w:hAnsi="宋体"/>
        </w:rPr>
      </w:pPr>
    </w:p>
    <w:p/>
    <w:p>
      <w:pPr>
        <w:jc w:val="center"/>
        <w:rPr>
          <w:rFonts w:ascii="宋体" w:hAnsi="宋体"/>
          <w:b/>
          <w:bCs/>
          <w:sz w:val="30"/>
        </w:rPr>
      </w:pPr>
      <w:r>
        <w:rPr>
          <w:rFonts w:hint="eastAsia" w:ascii="宋体" w:hAnsi="宋体" w:eastAsia="宋体" w:cs="Times New Roman"/>
          <w:b/>
          <w:color w:val="000000" w:themeColor="text1"/>
          <w:kern w:val="2"/>
          <w:sz w:val="36"/>
          <w:szCs w:val="36"/>
          <w:lang w:val="en-US" w:eastAsia="zh-CN" w:bidi="ar-SA"/>
        </w:rPr>
        <w:t xml:space="preserve">三 </w:t>
      </w:r>
      <w:r>
        <w:rPr>
          <w:rFonts w:hint="eastAsia" w:ascii="宋体" w:hAnsi="宋体"/>
          <w:b/>
          <w:bCs/>
          <w:sz w:val="30"/>
        </w:rPr>
        <w:t>分项报价表</w:t>
      </w:r>
    </w:p>
    <w:p>
      <w:pPr>
        <w:rPr>
          <w:rFonts w:ascii="宋体" w:hAnsi="宋体"/>
        </w:rPr>
      </w:pPr>
    </w:p>
    <w:p>
      <w:pPr>
        <w:rPr>
          <w:rFonts w:ascii="宋体" w:hAnsi="宋体"/>
        </w:rPr>
      </w:pPr>
      <w:r>
        <w:rPr>
          <w:rFonts w:hint="eastAsia" w:ascii="宋体" w:hAnsi="宋体"/>
        </w:rPr>
        <w:t xml:space="preserve">项目名称:                        </w:t>
      </w:r>
    </w:p>
    <w:p>
      <w:pPr>
        <w:rPr>
          <w:rFonts w:ascii="宋体" w:hAnsi="宋体"/>
        </w:rPr>
      </w:pPr>
      <w:r>
        <w:rPr>
          <w:rFonts w:hint="eastAsia" w:ascii="宋体" w:hAnsi="宋体"/>
        </w:rPr>
        <w:t>项目编号：</w:t>
      </w:r>
    </w:p>
    <w:p>
      <w:pP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单位：元</w:t>
      </w:r>
    </w:p>
    <w:tbl>
      <w:tblPr>
        <w:tblStyle w:val="50"/>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349"/>
        <w:gridCol w:w="1755"/>
        <w:gridCol w:w="1110"/>
        <w:gridCol w:w="840"/>
        <w:gridCol w:w="1200"/>
        <w:gridCol w:w="1185"/>
        <w:gridCol w:w="8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b/>
                <w:bCs/>
              </w:rPr>
            </w:pPr>
            <w:r>
              <w:rPr>
                <w:rFonts w:hint="eastAsia" w:ascii="宋体" w:hAnsi="宋体"/>
                <w:b/>
                <w:bCs/>
              </w:rPr>
              <w:t>1</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b/>
                <w:bCs/>
              </w:rPr>
            </w:pPr>
            <w:r>
              <w:rPr>
                <w:rFonts w:hint="eastAsia" w:ascii="宋体" w:hAnsi="宋体"/>
                <w:b/>
                <w:bCs/>
              </w:rPr>
              <w:t>货物名称</w:t>
            </w:r>
          </w:p>
        </w:tc>
        <w:tc>
          <w:tcPr>
            <w:tcW w:w="175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b/>
                <w:bCs/>
              </w:rPr>
            </w:pPr>
            <w:r>
              <w:rPr>
                <w:rFonts w:hint="eastAsia" w:ascii="宋体" w:hAnsi="宋体"/>
                <w:b/>
                <w:bCs/>
              </w:rPr>
              <w:t>品牌/规格型号</w:t>
            </w:r>
          </w:p>
        </w:tc>
        <w:tc>
          <w:tcPr>
            <w:tcW w:w="111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b/>
                <w:bCs/>
              </w:rPr>
            </w:pPr>
            <w:r>
              <w:rPr>
                <w:rFonts w:hint="eastAsia" w:ascii="宋体" w:hAnsi="宋体"/>
                <w:b/>
                <w:bCs/>
              </w:rPr>
              <w:t>制造商</w:t>
            </w:r>
          </w:p>
        </w:tc>
        <w:tc>
          <w:tcPr>
            <w:tcW w:w="84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b/>
                <w:bCs/>
              </w:rPr>
            </w:pPr>
            <w:r>
              <w:rPr>
                <w:rFonts w:hint="eastAsia" w:ascii="宋体" w:hAnsi="宋体"/>
                <w:b/>
                <w:bCs/>
              </w:rPr>
              <w:t>产地</w:t>
            </w:r>
          </w:p>
        </w:tc>
        <w:tc>
          <w:tcPr>
            <w:tcW w:w="1200"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宋体" w:hAnsi="宋体" w:eastAsia="宋体"/>
                <w:b/>
                <w:bCs/>
                <w:lang w:val="en-US" w:eastAsia="zh-CN"/>
              </w:rPr>
            </w:pPr>
            <w:r>
              <w:rPr>
                <w:rFonts w:hint="eastAsia" w:ascii="宋体" w:hAnsi="宋体"/>
                <w:b/>
                <w:bCs/>
              </w:rPr>
              <w:t>数量</w:t>
            </w:r>
            <w:r>
              <w:rPr>
                <w:rFonts w:hint="eastAsia" w:ascii="宋体" w:hAnsi="宋体"/>
                <w:b/>
                <w:bCs/>
                <w:lang w:val="en-US" w:eastAsia="zh-CN"/>
              </w:rPr>
              <w:t>/单位</w:t>
            </w:r>
          </w:p>
        </w:tc>
        <w:tc>
          <w:tcPr>
            <w:tcW w:w="11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b/>
                <w:bCs/>
              </w:rPr>
            </w:pPr>
            <w:r>
              <w:rPr>
                <w:rFonts w:hint="eastAsia" w:ascii="宋体" w:hAnsi="宋体"/>
                <w:b/>
                <w:bCs/>
                <w:lang w:eastAsia="zh-CN"/>
              </w:rPr>
              <w:t>质保期</w:t>
            </w:r>
          </w:p>
        </w:tc>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hAnsi="宋体"/>
                <w:b/>
                <w:bCs/>
              </w:rPr>
            </w:pPr>
            <w:r>
              <w:rPr>
                <w:rFonts w:hint="eastAsia" w:ascii="宋体" w:hAnsi="宋体"/>
                <w:b/>
                <w:bCs/>
              </w:rPr>
              <w:t>单价</w:t>
            </w:r>
          </w:p>
        </w:tc>
        <w:tc>
          <w:tcPr>
            <w:tcW w:w="1155"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宋体" w:hAnsi="宋体" w:eastAsia="宋体"/>
                <w:b/>
                <w:bCs/>
                <w:lang w:eastAsia="zh-CN"/>
              </w:rPr>
            </w:pPr>
            <w:r>
              <w:rPr>
                <w:rFonts w:hint="eastAsia" w:ascii="宋体" w:hAnsi="宋体"/>
                <w:b/>
                <w:bCs/>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2</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3</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4</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5</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6</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ind w:right="424" w:rightChars="202"/>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7</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8</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9</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10</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11</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12</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13</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rPr>
              <w:t>14</w:t>
            </w:r>
          </w:p>
        </w:tc>
        <w:tc>
          <w:tcPr>
            <w:tcW w:w="134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7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4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88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6" w:type="dxa"/>
            <w:gridSpan w:val="8"/>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r>
              <w:rPr>
                <w:rFonts w:hint="eastAsia" w:ascii="宋体" w:hAnsi="宋体"/>
                <w:lang w:eastAsia="zh-CN"/>
              </w:rPr>
              <w:t>合计</w:t>
            </w:r>
          </w:p>
        </w:tc>
        <w:tc>
          <w:tcPr>
            <w:tcW w:w="115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rPr>
            </w:pPr>
          </w:p>
        </w:tc>
      </w:tr>
    </w:tbl>
    <w:p>
      <w:pPr>
        <w:spacing w:line="380" w:lineRule="exact"/>
        <w:rPr>
          <w:rFonts w:ascii="宋体" w:hAnsi="宋体"/>
        </w:rPr>
      </w:pPr>
    </w:p>
    <w:p>
      <w:pPr>
        <w:spacing w:line="380" w:lineRule="exact"/>
        <w:rPr>
          <w:rFonts w:ascii="宋体" w:hAnsi="宋体"/>
        </w:rPr>
      </w:pPr>
      <w:r>
        <w:rPr>
          <w:rFonts w:hint="eastAsia" w:ascii="宋体" w:hAnsi="宋体"/>
        </w:rPr>
        <w:t>供应商名称</w:t>
      </w:r>
      <w:r>
        <w:rPr>
          <w:rFonts w:hint="eastAsia" w:ascii="宋体" w:hAnsi="宋体"/>
          <w:bCs/>
          <w:szCs w:val="21"/>
        </w:rPr>
        <w:t>（盖单位章）</w:t>
      </w:r>
      <w:r>
        <w:rPr>
          <w:rFonts w:hint="eastAsia" w:ascii="宋体" w:hAnsi="宋体"/>
        </w:rPr>
        <w:t>:</w:t>
      </w:r>
    </w:p>
    <w:p>
      <w:pPr>
        <w:rPr>
          <w:rFonts w:ascii="宋体" w:hAnsi="宋体"/>
        </w:rPr>
      </w:pPr>
      <w:r>
        <w:rPr>
          <w:rFonts w:hint="eastAsia" w:ascii="宋体" w:hAnsi="宋体"/>
        </w:rPr>
        <w:t>供应商授权代表签字：</w:t>
      </w:r>
    </w:p>
    <w:p>
      <w:pPr>
        <w:rPr>
          <w:rFonts w:ascii="宋体" w:hAnsi="宋体"/>
        </w:rPr>
      </w:pPr>
      <w:r>
        <w:rPr>
          <w:rFonts w:hint="eastAsia" w:ascii="宋体" w:hAnsi="宋体"/>
        </w:rPr>
        <w:t>日    期：    年    月   日</w:t>
      </w:r>
    </w:p>
    <w:p>
      <w:pPr>
        <w:rPr>
          <w:rFonts w:ascii="宋体" w:hAnsi="宋体"/>
        </w:rPr>
      </w:pPr>
      <w:r>
        <w:rPr>
          <w:rFonts w:hint="eastAsia" w:ascii="宋体" w:hAnsi="宋体"/>
        </w:rPr>
        <w:t xml:space="preserve">注： </w:t>
      </w:r>
    </w:p>
    <w:p>
      <w:pPr>
        <w:rPr>
          <w:rFonts w:ascii="宋体" w:hAnsi="宋体"/>
        </w:rPr>
      </w:pPr>
      <w:r>
        <w:rPr>
          <w:rFonts w:hint="eastAsia" w:ascii="宋体" w:hAnsi="宋体"/>
        </w:rPr>
        <w:t xml:space="preserve">    1、此表总价若与开标一览表有出入，以</w:t>
      </w:r>
      <w:r>
        <w:rPr>
          <w:rFonts w:hint="eastAsia" w:ascii="宋体" w:hAnsi="宋体"/>
          <w:lang w:eastAsia="zh-CN"/>
        </w:rPr>
        <w:t>竞争性</w:t>
      </w:r>
      <w:r>
        <w:rPr>
          <w:rFonts w:hint="eastAsia" w:ascii="宋体" w:hAnsi="宋体"/>
        </w:rPr>
        <w:t>磋商一览表投标总价为准。</w:t>
      </w:r>
    </w:p>
    <w:p>
      <w:pPr>
        <w:ind w:firstLine="420" w:firstLineChars="200"/>
        <w:rPr>
          <w:rFonts w:hint="eastAsia" w:ascii="宋体" w:hAnsi="宋体"/>
          <w:szCs w:val="22"/>
        </w:rPr>
      </w:pPr>
      <w:bookmarkStart w:id="11" w:name="_Toc139885881"/>
      <w:r>
        <w:rPr>
          <w:rFonts w:hint="eastAsia" w:ascii="宋体" w:hAnsi="宋体"/>
        </w:rPr>
        <w:t>2、本分项报价表仅供</w:t>
      </w:r>
      <w:r>
        <w:rPr>
          <w:rFonts w:hint="eastAsia" w:ascii="宋体" w:hAnsi="宋体"/>
          <w:lang w:eastAsia="zh-CN"/>
        </w:rPr>
        <w:t>竞争性</w:t>
      </w:r>
      <w:r>
        <w:rPr>
          <w:rFonts w:hint="eastAsia" w:ascii="宋体" w:hAnsi="宋体"/>
        </w:rPr>
        <w:t>磋商参考，供应商可按竞争性磋商文件中品目的要求自行拟订分项</w:t>
      </w:r>
      <w:r>
        <w:rPr>
          <w:rFonts w:hint="eastAsia" w:ascii="宋体" w:hAnsi="宋体"/>
          <w:szCs w:val="22"/>
        </w:rPr>
        <w:t>报价表格式</w:t>
      </w:r>
      <w:r>
        <w:rPr>
          <w:rFonts w:hint="eastAsia" w:ascii="宋体" w:hAnsi="宋体"/>
          <w:szCs w:val="22"/>
          <w:lang w:eastAsia="zh-CN"/>
        </w:rPr>
        <w:t>，</w:t>
      </w:r>
      <w:r>
        <w:rPr>
          <w:rFonts w:hint="eastAsia" w:ascii="宋体" w:hAnsi="宋体"/>
          <w:szCs w:val="22"/>
          <w:lang w:val="en-US" w:eastAsia="zh-CN"/>
        </w:rPr>
        <w:t>但必须包含上表所含内容</w:t>
      </w:r>
      <w:r>
        <w:rPr>
          <w:rFonts w:hint="eastAsia" w:ascii="宋体" w:hAnsi="宋体"/>
          <w:szCs w:val="22"/>
        </w:rPr>
        <w:t>。</w:t>
      </w:r>
    </w:p>
    <w:p>
      <w:pPr>
        <w:ind w:firstLine="420" w:firstLineChars="200"/>
        <w:rPr>
          <w:rFonts w:hint="default" w:ascii="宋体" w:hAnsi="宋体"/>
          <w:szCs w:val="22"/>
          <w:lang w:val="en-US" w:eastAsia="zh-CN"/>
        </w:rPr>
      </w:pPr>
      <w:r>
        <w:rPr>
          <w:rFonts w:hint="eastAsia" w:ascii="宋体" w:hAnsi="宋体"/>
          <w:szCs w:val="22"/>
          <w:lang w:val="en-US" w:eastAsia="zh-CN"/>
        </w:rPr>
        <w:t>3、机电产品必须填写完整。</w:t>
      </w:r>
    </w:p>
    <w:p>
      <w:pPr>
        <w:rPr>
          <w:rFonts w:ascii="宋体" w:hAnsi="宋体"/>
        </w:rPr>
      </w:pPr>
    </w:p>
    <w:p>
      <w:pPr>
        <w:rPr>
          <w:rFonts w:ascii="宋体" w:hAnsi="宋体"/>
        </w:rPr>
      </w:pPr>
    </w:p>
    <w:p>
      <w:pPr>
        <w:pStyle w:val="4"/>
      </w:pPr>
    </w:p>
    <w:p>
      <w:pPr>
        <w:rPr>
          <w:rFonts w:ascii="宋体" w:hAnsi="宋体"/>
        </w:rPr>
      </w:pPr>
    </w:p>
    <w:p>
      <w:pPr>
        <w:pStyle w:val="25"/>
        <w:spacing w:line="360" w:lineRule="auto"/>
        <w:jc w:val="both"/>
        <w:rPr>
          <w:rFonts w:hint="eastAsia" w:ascii="宋体" w:hAnsi="宋体"/>
          <w:b/>
          <w:szCs w:val="21"/>
          <w:lang w:val="en-US" w:eastAsia="zh-CN"/>
        </w:rPr>
      </w:pPr>
    </w:p>
    <w:p>
      <w:pPr>
        <w:pStyle w:val="25"/>
        <w:spacing w:line="360" w:lineRule="auto"/>
        <w:jc w:val="center"/>
        <w:rPr>
          <w:rFonts w:hint="eastAsia" w:ascii="宋体" w:hAnsi="宋体"/>
          <w:b/>
          <w:szCs w:val="21"/>
          <w:lang w:val="en-US" w:eastAsia="zh-CN"/>
        </w:rPr>
      </w:pPr>
    </w:p>
    <w:p>
      <w:pPr>
        <w:pStyle w:val="25"/>
        <w:spacing w:line="360" w:lineRule="auto"/>
        <w:jc w:val="center"/>
        <w:rPr>
          <w:rFonts w:hAnsi="宋体"/>
          <w:b/>
          <w:color w:val="000000" w:themeColor="text1"/>
          <w:sz w:val="36"/>
          <w:szCs w:val="36"/>
        </w:rPr>
      </w:pPr>
      <w:r>
        <w:rPr>
          <w:rFonts w:hint="eastAsia" w:ascii="宋体" w:hAnsi="宋体"/>
          <w:b/>
          <w:szCs w:val="21"/>
          <w:lang w:val="en-US" w:eastAsia="zh-CN"/>
        </w:rPr>
        <w:t xml:space="preserve"> </w:t>
      </w:r>
      <w:r>
        <w:rPr>
          <w:rFonts w:hint="eastAsia" w:hAnsi="宋体"/>
          <w:b/>
          <w:color w:val="000000" w:themeColor="text1"/>
          <w:sz w:val="36"/>
          <w:szCs w:val="36"/>
        </w:rPr>
        <w:t>四  商务条款偏离表</w:t>
      </w:r>
    </w:p>
    <w:p>
      <w:pPr>
        <w:pStyle w:val="25"/>
        <w:spacing w:line="360" w:lineRule="auto"/>
        <w:rPr>
          <w:rFonts w:hAnsi="宋体"/>
          <w:color w:val="000000" w:themeColor="text1"/>
          <w:sz w:val="24"/>
          <w:szCs w:val="24"/>
        </w:rPr>
      </w:pPr>
      <w:r>
        <w:rPr>
          <w:rFonts w:hint="eastAsia" w:hAnsi="宋体"/>
          <w:color w:val="000000" w:themeColor="text1"/>
          <w:sz w:val="24"/>
          <w:szCs w:val="24"/>
        </w:rPr>
        <w:t xml:space="preserve">投标人名称：           </w:t>
      </w:r>
    </w:p>
    <w:p>
      <w:pPr>
        <w:pStyle w:val="25"/>
        <w:spacing w:line="360" w:lineRule="auto"/>
        <w:rPr>
          <w:rFonts w:hAnsi="宋体"/>
          <w:color w:val="000000" w:themeColor="text1"/>
          <w:sz w:val="24"/>
          <w:szCs w:val="24"/>
        </w:rPr>
      </w:pPr>
      <w:r>
        <w:rPr>
          <w:rFonts w:hint="eastAsia" w:hAnsi="宋体"/>
          <w:color w:val="000000" w:themeColor="text1"/>
          <w:sz w:val="24"/>
          <w:szCs w:val="24"/>
        </w:rPr>
        <w:t>招标编号：</w:t>
      </w:r>
    </w:p>
    <w:tbl>
      <w:tblPr>
        <w:tblStyle w:val="50"/>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jc w:val="center"/>
              <w:rPr>
                <w:rFonts w:ascii="Calibri" w:hAnsi="宋体" w:cs="Times New Roman"/>
                <w:color w:val="000000" w:themeColor="text1"/>
                <w:sz w:val="24"/>
                <w:szCs w:val="24"/>
              </w:rPr>
            </w:pPr>
            <w:r>
              <w:rPr>
                <w:rFonts w:hint="eastAsia" w:ascii="Calibri" w:hAnsi="宋体" w:cs="Times New Roman"/>
                <w:color w:val="000000" w:themeColor="text1"/>
                <w:sz w:val="24"/>
                <w:szCs w:val="24"/>
              </w:rPr>
              <w:t>序号</w:t>
            </w:r>
          </w:p>
        </w:tc>
        <w:tc>
          <w:tcPr>
            <w:tcW w:w="2118" w:type="dxa"/>
          </w:tcPr>
          <w:p>
            <w:pPr>
              <w:pStyle w:val="25"/>
              <w:spacing w:line="400" w:lineRule="exact"/>
              <w:jc w:val="center"/>
              <w:rPr>
                <w:rFonts w:ascii="Calibri" w:hAnsi="宋体" w:cs="Times New Roman"/>
                <w:color w:val="000000" w:themeColor="text1"/>
                <w:sz w:val="24"/>
                <w:szCs w:val="24"/>
              </w:rPr>
            </w:pPr>
            <w:r>
              <w:rPr>
                <w:rFonts w:hint="eastAsia" w:ascii="Calibri" w:hAnsi="宋体" w:cs="Times New Roman"/>
                <w:color w:val="000000" w:themeColor="text1"/>
                <w:sz w:val="24"/>
                <w:szCs w:val="24"/>
              </w:rPr>
              <w:t>招标文件条目号</w:t>
            </w:r>
          </w:p>
        </w:tc>
        <w:tc>
          <w:tcPr>
            <w:tcW w:w="2118" w:type="dxa"/>
          </w:tcPr>
          <w:p>
            <w:pPr>
              <w:pStyle w:val="25"/>
              <w:spacing w:line="400" w:lineRule="exact"/>
              <w:jc w:val="center"/>
              <w:rPr>
                <w:rFonts w:ascii="Calibri" w:hAnsi="宋体" w:cs="Times New Roman"/>
                <w:color w:val="000000" w:themeColor="text1"/>
                <w:sz w:val="24"/>
                <w:szCs w:val="24"/>
              </w:rPr>
            </w:pPr>
            <w:r>
              <w:rPr>
                <w:rFonts w:hint="eastAsia" w:ascii="Calibri" w:hAnsi="宋体" w:cs="Times New Roman"/>
                <w:color w:val="000000" w:themeColor="text1"/>
                <w:sz w:val="24"/>
                <w:szCs w:val="24"/>
              </w:rPr>
              <w:t>招标文件商务要求</w:t>
            </w:r>
          </w:p>
        </w:tc>
        <w:tc>
          <w:tcPr>
            <w:tcW w:w="2118" w:type="dxa"/>
          </w:tcPr>
          <w:p>
            <w:pPr>
              <w:pStyle w:val="25"/>
              <w:spacing w:line="400" w:lineRule="exact"/>
              <w:jc w:val="center"/>
              <w:rPr>
                <w:rFonts w:ascii="Calibri" w:hAnsi="宋体" w:cs="Times New Roman"/>
                <w:color w:val="000000" w:themeColor="text1"/>
                <w:sz w:val="24"/>
                <w:szCs w:val="24"/>
              </w:rPr>
            </w:pPr>
            <w:r>
              <w:rPr>
                <w:rFonts w:hint="eastAsia" w:ascii="Calibri" w:hAnsi="宋体" w:cs="Times New Roman"/>
                <w:color w:val="000000" w:themeColor="text1"/>
                <w:sz w:val="24"/>
                <w:szCs w:val="24"/>
              </w:rPr>
              <w:t>投标文件商务响应</w:t>
            </w:r>
          </w:p>
        </w:tc>
        <w:tc>
          <w:tcPr>
            <w:tcW w:w="1245" w:type="dxa"/>
          </w:tcPr>
          <w:p>
            <w:pPr>
              <w:pStyle w:val="25"/>
              <w:spacing w:line="400" w:lineRule="exact"/>
              <w:jc w:val="center"/>
              <w:rPr>
                <w:rFonts w:ascii="Calibri" w:hAnsi="宋体" w:cs="Times New Roman"/>
                <w:color w:val="000000" w:themeColor="text1"/>
                <w:sz w:val="24"/>
                <w:szCs w:val="24"/>
              </w:rPr>
            </w:pPr>
            <w:r>
              <w:rPr>
                <w:rFonts w:hint="eastAsia" w:ascii="Calibri" w:hAnsi="宋体" w:cs="Times New Roman"/>
                <w:color w:val="000000" w:themeColor="text1"/>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2118" w:type="dxa"/>
          </w:tcPr>
          <w:p>
            <w:pPr>
              <w:pStyle w:val="25"/>
              <w:spacing w:line="400" w:lineRule="exact"/>
              <w:rPr>
                <w:rFonts w:ascii="Calibri" w:hAnsi="宋体" w:cs="Times New Roman"/>
                <w:color w:val="000000" w:themeColor="text1"/>
                <w:sz w:val="24"/>
                <w:szCs w:val="24"/>
              </w:rPr>
            </w:pPr>
          </w:p>
        </w:tc>
        <w:tc>
          <w:tcPr>
            <w:tcW w:w="1245" w:type="dxa"/>
          </w:tcPr>
          <w:p>
            <w:pPr>
              <w:pStyle w:val="25"/>
              <w:spacing w:line="400" w:lineRule="exact"/>
              <w:rPr>
                <w:rFonts w:ascii="Calibri" w:hAnsi="宋体" w:cs="Times New Roman"/>
                <w:color w:val="000000" w:themeColor="text1"/>
                <w:sz w:val="24"/>
                <w:szCs w:val="24"/>
              </w:rPr>
            </w:pPr>
          </w:p>
        </w:tc>
      </w:tr>
    </w:tbl>
    <w:p>
      <w:pPr>
        <w:pStyle w:val="25"/>
        <w:spacing w:line="360" w:lineRule="auto"/>
        <w:jc w:val="center"/>
        <w:rPr>
          <w:rFonts w:hAnsi="宋体"/>
          <w:b/>
          <w:color w:val="000000" w:themeColor="text1"/>
          <w:sz w:val="24"/>
          <w:szCs w:val="24"/>
        </w:rPr>
      </w:pPr>
    </w:p>
    <w:p>
      <w:pPr>
        <w:pStyle w:val="25"/>
        <w:spacing w:line="360" w:lineRule="auto"/>
        <w:jc w:val="center"/>
        <w:rPr>
          <w:rFonts w:hAnsi="宋体"/>
          <w:b/>
          <w:color w:val="000000" w:themeColor="text1"/>
          <w:sz w:val="24"/>
          <w:szCs w:val="24"/>
        </w:rPr>
      </w:pPr>
      <w:r>
        <w:rPr>
          <w:rFonts w:hint="eastAsia" w:hAnsi="宋体"/>
          <w:b/>
          <w:color w:val="000000" w:themeColor="text1"/>
          <w:sz w:val="24"/>
          <w:szCs w:val="24"/>
        </w:rPr>
        <w:t xml:space="preserve"> </w:t>
      </w:r>
    </w:p>
    <w:p>
      <w:pPr>
        <w:pStyle w:val="25"/>
        <w:spacing w:line="360" w:lineRule="auto"/>
        <w:jc w:val="center"/>
        <w:rPr>
          <w:rFonts w:hAnsi="宋体"/>
          <w:b/>
          <w:color w:val="000000" w:themeColor="text1"/>
          <w:sz w:val="24"/>
          <w:szCs w:val="24"/>
        </w:rPr>
      </w:pPr>
    </w:p>
    <w:p>
      <w:pPr>
        <w:pStyle w:val="25"/>
        <w:spacing w:line="360" w:lineRule="auto"/>
        <w:jc w:val="center"/>
        <w:rPr>
          <w:rFonts w:hAnsi="宋体"/>
          <w:b/>
          <w:color w:val="000000" w:themeColor="text1"/>
          <w:sz w:val="24"/>
          <w:szCs w:val="24"/>
        </w:rPr>
      </w:pPr>
    </w:p>
    <w:p>
      <w:pPr>
        <w:pStyle w:val="25"/>
        <w:spacing w:line="360" w:lineRule="auto"/>
        <w:rPr>
          <w:rFonts w:hAnsi="宋体"/>
          <w:b/>
          <w:color w:val="000000" w:themeColor="text1"/>
          <w:sz w:val="24"/>
          <w:szCs w:val="24"/>
        </w:rPr>
      </w:pPr>
    </w:p>
    <w:p>
      <w:pPr>
        <w:pStyle w:val="25"/>
        <w:spacing w:line="360" w:lineRule="auto"/>
        <w:rPr>
          <w:rFonts w:hAnsi="宋体"/>
          <w:color w:val="000000" w:themeColor="text1"/>
          <w:sz w:val="24"/>
          <w:szCs w:val="24"/>
        </w:rPr>
      </w:pPr>
      <w:r>
        <w:rPr>
          <w:rFonts w:hint="eastAsia" w:hAnsi="宋体"/>
          <w:color w:val="000000" w:themeColor="text1"/>
          <w:sz w:val="24"/>
          <w:szCs w:val="24"/>
        </w:rPr>
        <w:t>授权代表签字：</w:t>
      </w:r>
      <w:r>
        <w:rPr>
          <w:rFonts w:hint="eastAsia" w:hAnsi="宋体"/>
          <w:color w:val="000000" w:themeColor="text1"/>
          <w:spacing w:val="15"/>
          <w:kern w:val="0"/>
          <w:sz w:val="24"/>
          <w:szCs w:val="24"/>
        </w:rPr>
        <w:t xml:space="preserve">               投标单位（盖章）</w:t>
      </w: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rPr>
          <w:b/>
          <w:color w:val="000000" w:themeColor="text1"/>
          <w:sz w:val="36"/>
          <w:szCs w:val="36"/>
        </w:rPr>
      </w:pPr>
    </w:p>
    <w:p>
      <w:pPr>
        <w:autoSpaceDE w:val="0"/>
        <w:autoSpaceDN w:val="0"/>
        <w:adjustRightInd w:val="0"/>
        <w:spacing w:line="360" w:lineRule="auto"/>
        <w:jc w:val="center"/>
        <w:rPr>
          <w:rFonts w:ascii="宋体" w:hAnsi="宋体" w:cs="宋体"/>
          <w:b/>
          <w:bCs/>
          <w:color w:val="000000" w:themeColor="text1"/>
          <w:sz w:val="36"/>
          <w:szCs w:val="36"/>
          <w:lang w:val="zh-CN"/>
        </w:rPr>
      </w:pPr>
    </w:p>
    <w:p>
      <w:pPr>
        <w:autoSpaceDE w:val="0"/>
        <w:autoSpaceDN w:val="0"/>
        <w:adjustRightInd w:val="0"/>
        <w:spacing w:line="360" w:lineRule="auto"/>
        <w:jc w:val="center"/>
        <w:rPr>
          <w:rFonts w:hint="eastAsia" w:ascii="宋体" w:hAnsi="宋体" w:cs="宋体"/>
          <w:b/>
          <w:bCs/>
          <w:color w:val="000000" w:themeColor="text1"/>
          <w:sz w:val="36"/>
          <w:szCs w:val="36"/>
          <w:lang w:val="zh-CN"/>
        </w:rPr>
      </w:pPr>
    </w:p>
    <w:p>
      <w:pPr>
        <w:autoSpaceDE w:val="0"/>
        <w:autoSpaceDN w:val="0"/>
        <w:adjustRightInd w:val="0"/>
        <w:spacing w:line="360" w:lineRule="auto"/>
        <w:jc w:val="center"/>
        <w:rPr>
          <w:rFonts w:ascii="宋体" w:hAnsi="宋体" w:cs="宋体"/>
          <w:b/>
          <w:bCs/>
          <w:color w:val="000000" w:themeColor="text1"/>
          <w:sz w:val="36"/>
          <w:szCs w:val="36"/>
          <w:lang w:val="zh-CN"/>
        </w:rPr>
      </w:pPr>
      <w:r>
        <w:rPr>
          <w:rFonts w:hint="eastAsia" w:ascii="宋体" w:hAnsi="宋体" w:cs="宋体"/>
          <w:b/>
          <w:bCs/>
          <w:color w:val="000000" w:themeColor="text1"/>
          <w:sz w:val="36"/>
          <w:szCs w:val="36"/>
          <w:lang w:val="zh-CN"/>
        </w:rPr>
        <w:t>五</w:t>
      </w:r>
      <w:r>
        <w:rPr>
          <w:rFonts w:hint="eastAsia" w:ascii="宋体" w:hAnsi="宋体" w:cs="宋体"/>
          <w:b/>
          <w:bCs/>
          <w:color w:val="000000" w:themeColor="text1"/>
          <w:sz w:val="36"/>
          <w:szCs w:val="36"/>
        </w:rPr>
        <w:t xml:space="preserve">   </w:t>
      </w:r>
      <w:r>
        <w:rPr>
          <w:rFonts w:hint="eastAsia" w:ascii="宋体" w:hAnsi="宋体" w:cs="宋体"/>
          <w:b/>
          <w:bCs/>
          <w:color w:val="000000" w:themeColor="text1"/>
          <w:sz w:val="36"/>
          <w:szCs w:val="36"/>
          <w:lang w:val="zh-CN"/>
        </w:rPr>
        <w:t>技术规格偏离表</w:t>
      </w:r>
    </w:p>
    <w:p>
      <w:pPr>
        <w:autoSpaceDE w:val="0"/>
        <w:autoSpaceDN w:val="0"/>
        <w:adjustRightInd w:val="0"/>
        <w:spacing w:line="312" w:lineRule="auto"/>
        <w:jc w:val="center"/>
        <w:rPr>
          <w:rFonts w:ascii="宋体" w:hAnsi="宋体" w:cs="宋体"/>
          <w:color w:val="000000" w:themeColor="text1"/>
          <w:sz w:val="24"/>
          <w:lang w:val="zh-CN"/>
        </w:rPr>
      </w:pPr>
    </w:p>
    <w:p>
      <w:pPr>
        <w:autoSpaceDE w:val="0"/>
        <w:autoSpaceDN w:val="0"/>
        <w:adjustRightInd w:val="0"/>
        <w:spacing w:line="312" w:lineRule="auto"/>
        <w:jc w:val="center"/>
        <w:rPr>
          <w:rFonts w:ascii="宋体" w:hAnsi="宋体" w:cs="宋体"/>
          <w:color w:val="000000" w:themeColor="text1"/>
          <w:sz w:val="24"/>
          <w:lang w:val="zh-CN"/>
        </w:rPr>
      </w:pPr>
      <w:r>
        <w:rPr>
          <w:rFonts w:hint="eastAsia" w:ascii="宋体" w:hAnsi="宋体" w:cs="宋体"/>
          <w:color w:val="000000" w:themeColor="text1"/>
          <w:sz w:val="24"/>
          <w:lang w:val="zh-CN"/>
        </w:rPr>
        <w:t>（由投标人据实提交，技术参数须按编写序号须逐条对应）</w:t>
      </w:r>
    </w:p>
    <w:p>
      <w:pPr>
        <w:autoSpaceDE w:val="0"/>
        <w:autoSpaceDN w:val="0"/>
        <w:adjustRightInd w:val="0"/>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项目编号:</w:t>
      </w:r>
    </w:p>
    <w:p>
      <w:pPr>
        <w:pStyle w:val="25"/>
        <w:spacing w:line="360" w:lineRule="auto"/>
        <w:rPr>
          <w:rFonts w:hAnsi="宋体" w:cs="宋体"/>
          <w:color w:val="000000" w:themeColor="text1"/>
          <w:sz w:val="24"/>
          <w:szCs w:val="24"/>
          <w:lang w:val="zh-CN"/>
        </w:rPr>
      </w:pPr>
      <w:r>
        <w:rPr>
          <w:rFonts w:hint="eastAsia" w:hAnsi="宋体" w:cs="宋体"/>
          <w:color w:val="000000" w:themeColor="text1"/>
          <w:sz w:val="24"/>
          <w:szCs w:val="24"/>
          <w:lang w:val="zh-CN"/>
        </w:rPr>
        <w:t>项目名称（盖章）：</w:t>
      </w:r>
    </w:p>
    <w:tbl>
      <w:tblPr>
        <w:tblStyle w:val="50"/>
        <w:tblW w:w="8260" w:type="dxa"/>
        <w:jc w:val="center"/>
        <w:tblLayout w:type="fixed"/>
        <w:tblCellMar>
          <w:top w:w="0" w:type="dxa"/>
          <w:left w:w="108" w:type="dxa"/>
          <w:bottom w:w="0" w:type="dxa"/>
          <w:right w:w="108" w:type="dxa"/>
        </w:tblCellMar>
      </w:tblPr>
      <w:tblGrid>
        <w:gridCol w:w="922"/>
        <w:gridCol w:w="1626"/>
        <w:gridCol w:w="1707"/>
        <w:gridCol w:w="2273"/>
        <w:gridCol w:w="1732"/>
      </w:tblGrid>
      <w:tr>
        <w:tblPrEx>
          <w:tblCellMar>
            <w:top w:w="0" w:type="dxa"/>
            <w:left w:w="108" w:type="dxa"/>
            <w:bottom w:w="0" w:type="dxa"/>
            <w:right w:w="108" w:type="dxa"/>
          </w:tblCellMar>
        </w:tblPrEx>
        <w:trPr>
          <w:trHeight w:val="980" w:hRule="atLeast"/>
          <w:jc w:val="center"/>
        </w:trPr>
        <w:tc>
          <w:tcPr>
            <w:tcW w:w="9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rPr>
            </w:pPr>
            <w:r>
              <w:rPr>
                <w:rFonts w:hint="eastAsia" w:ascii="宋体" w:hAnsi="宋体" w:cs="宋体"/>
                <w:color w:val="000000" w:themeColor="text1"/>
                <w:sz w:val="24"/>
                <w:lang w:val="zh-CN"/>
              </w:rPr>
              <w:t>序号</w:t>
            </w:r>
          </w:p>
        </w:tc>
        <w:tc>
          <w:tcPr>
            <w:tcW w:w="16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rPr>
            </w:pPr>
            <w:r>
              <w:rPr>
                <w:rFonts w:hint="eastAsia" w:ascii="宋体" w:hAnsi="宋体" w:cs="宋体"/>
                <w:color w:val="000000" w:themeColor="text1"/>
                <w:sz w:val="24"/>
                <w:lang w:val="zh-CN"/>
              </w:rPr>
              <w:t>招标要求</w:t>
            </w:r>
          </w:p>
        </w:tc>
        <w:tc>
          <w:tcPr>
            <w:tcW w:w="17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rPr>
            </w:pPr>
            <w:r>
              <w:rPr>
                <w:rFonts w:hint="eastAsia" w:ascii="宋体" w:hAnsi="宋体" w:cs="宋体"/>
                <w:color w:val="000000" w:themeColor="text1"/>
                <w:sz w:val="24"/>
                <w:lang w:val="zh-CN"/>
              </w:rPr>
              <w:t>投标实际</w:t>
            </w:r>
          </w:p>
        </w:tc>
        <w:tc>
          <w:tcPr>
            <w:tcW w:w="2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rPr>
            </w:pPr>
            <w:r>
              <w:rPr>
                <w:rFonts w:hint="eastAsia" w:ascii="宋体" w:hAnsi="宋体" w:cs="宋体"/>
                <w:color w:val="000000" w:themeColor="text1"/>
                <w:sz w:val="24"/>
                <w:lang w:val="zh-CN"/>
              </w:rPr>
              <w:t>符合/正偏离/负偏离</w:t>
            </w:r>
          </w:p>
        </w:tc>
        <w:tc>
          <w:tcPr>
            <w:tcW w:w="17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rPr>
            </w:pPr>
            <w:r>
              <w:rPr>
                <w:rFonts w:hint="eastAsia" w:ascii="宋体" w:hAnsi="宋体" w:cs="宋体"/>
                <w:color w:val="000000" w:themeColor="text1"/>
                <w:sz w:val="24"/>
                <w:lang w:val="zh-CN"/>
              </w:rPr>
              <w:t>备注</w:t>
            </w:r>
          </w:p>
        </w:tc>
      </w:tr>
      <w:tr>
        <w:tblPrEx>
          <w:tblCellMar>
            <w:top w:w="0" w:type="dxa"/>
            <w:left w:w="108" w:type="dxa"/>
            <w:bottom w:w="0" w:type="dxa"/>
            <w:right w:w="108" w:type="dxa"/>
          </w:tblCellMar>
        </w:tblPrEx>
        <w:trPr>
          <w:trHeight w:val="542" w:hRule="atLeast"/>
          <w:jc w:val="center"/>
        </w:trPr>
        <w:tc>
          <w:tcPr>
            <w:tcW w:w="9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6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b/>
                <w:bCs/>
                <w:color w:val="000000" w:themeColor="text1"/>
                <w:sz w:val="24"/>
                <w:lang w:val="zh-CN"/>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r>
      <w:tr>
        <w:tblPrEx>
          <w:tblCellMar>
            <w:top w:w="0" w:type="dxa"/>
            <w:left w:w="108" w:type="dxa"/>
            <w:bottom w:w="0" w:type="dxa"/>
            <w:right w:w="108" w:type="dxa"/>
          </w:tblCellMar>
        </w:tblPrEx>
        <w:trPr>
          <w:trHeight w:val="542" w:hRule="atLeast"/>
          <w:jc w:val="center"/>
        </w:trPr>
        <w:tc>
          <w:tcPr>
            <w:tcW w:w="9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6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r>
      <w:tr>
        <w:tblPrEx>
          <w:tblCellMar>
            <w:top w:w="0" w:type="dxa"/>
            <w:left w:w="108" w:type="dxa"/>
            <w:bottom w:w="0" w:type="dxa"/>
            <w:right w:w="108" w:type="dxa"/>
          </w:tblCellMar>
        </w:tblPrEx>
        <w:trPr>
          <w:trHeight w:val="542" w:hRule="atLeast"/>
          <w:jc w:val="center"/>
        </w:trPr>
        <w:tc>
          <w:tcPr>
            <w:tcW w:w="9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6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r>
      <w:tr>
        <w:tblPrEx>
          <w:tblCellMar>
            <w:top w:w="0" w:type="dxa"/>
            <w:left w:w="108" w:type="dxa"/>
            <w:bottom w:w="0" w:type="dxa"/>
            <w:right w:w="108" w:type="dxa"/>
          </w:tblCellMar>
        </w:tblPrEx>
        <w:trPr>
          <w:trHeight w:val="542" w:hRule="atLeast"/>
          <w:jc w:val="center"/>
        </w:trPr>
        <w:tc>
          <w:tcPr>
            <w:tcW w:w="9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6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r>
      <w:tr>
        <w:tblPrEx>
          <w:tblCellMar>
            <w:top w:w="0" w:type="dxa"/>
            <w:left w:w="108" w:type="dxa"/>
            <w:bottom w:w="0" w:type="dxa"/>
            <w:right w:w="108" w:type="dxa"/>
          </w:tblCellMar>
        </w:tblPrEx>
        <w:trPr>
          <w:trHeight w:val="569" w:hRule="atLeast"/>
          <w:jc w:val="center"/>
        </w:trPr>
        <w:tc>
          <w:tcPr>
            <w:tcW w:w="92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6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rPr>
            </w:pPr>
          </w:p>
        </w:tc>
      </w:tr>
    </w:tbl>
    <w:p>
      <w:pPr>
        <w:autoSpaceDE w:val="0"/>
        <w:autoSpaceDN w:val="0"/>
        <w:adjustRightInd w:val="0"/>
        <w:spacing w:line="360" w:lineRule="auto"/>
        <w:rPr>
          <w:rFonts w:ascii="宋体" w:hAnsi="宋体" w:cs="宋体"/>
          <w:color w:val="000000" w:themeColor="text1"/>
          <w:sz w:val="24"/>
          <w:lang w:val="zh-CN"/>
        </w:rPr>
      </w:pPr>
    </w:p>
    <w:p>
      <w:pPr>
        <w:autoSpaceDE w:val="0"/>
        <w:autoSpaceDN w:val="0"/>
        <w:adjustRightInd w:val="0"/>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授权代表签字：</w:t>
      </w:r>
    </w:p>
    <w:p>
      <w:pPr>
        <w:autoSpaceDE w:val="0"/>
        <w:autoSpaceDN w:val="0"/>
        <w:adjustRightInd w:val="0"/>
        <w:spacing w:line="360" w:lineRule="auto"/>
        <w:rPr>
          <w:rFonts w:ascii="宋体" w:hAnsi="宋体" w:cs="宋体"/>
          <w:color w:val="000000" w:themeColor="text1"/>
          <w:sz w:val="24"/>
          <w:lang w:val="zh-CN"/>
        </w:rPr>
      </w:pPr>
      <w:r>
        <w:rPr>
          <w:rFonts w:hint="eastAsia" w:ascii="宋体" w:hAnsi="宋体" w:cs="宋体"/>
          <w:color w:val="000000" w:themeColor="text1"/>
          <w:sz w:val="24"/>
          <w:lang w:val="zh-CN"/>
        </w:rPr>
        <w:t>日    期：    年    月   日</w:t>
      </w:r>
    </w:p>
    <w:p>
      <w:pPr>
        <w:autoSpaceDE w:val="0"/>
        <w:autoSpaceDN w:val="0"/>
        <w:adjustRightInd w:val="0"/>
        <w:spacing w:line="440" w:lineRule="exact"/>
        <w:rPr>
          <w:rFonts w:ascii="宋体" w:hAnsi="宋体" w:cs="宋体"/>
          <w:color w:val="000000" w:themeColor="text1"/>
          <w:sz w:val="24"/>
          <w:lang w:val="zh-CN"/>
        </w:rPr>
      </w:pPr>
      <w:r>
        <w:rPr>
          <w:rFonts w:hint="eastAsia" w:ascii="宋体" w:hAnsi="宋体" w:cs="宋体"/>
          <w:color w:val="000000" w:themeColor="text1"/>
          <w:sz w:val="24"/>
          <w:lang w:val="zh-CN"/>
        </w:rPr>
        <w:t>注：1.按照技术要求详细填列。</w:t>
      </w:r>
    </w:p>
    <w:p>
      <w:pPr>
        <w:autoSpaceDE w:val="0"/>
        <w:autoSpaceDN w:val="0"/>
        <w:adjustRightInd w:val="0"/>
        <w:spacing w:line="44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2.行数不够，可自行添加。</w:t>
      </w:r>
    </w:p>
    <w:p>
      <w:pPr>
        <w:autoSpaceDE w:val="0"/>
        <w:autoSpaceDN w:val="0"/>
        <w:adjustRightInd w:val="0"/>
        <w:spacing w:line="44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3.</w:t>
      </w:r>
      <w:r>
        <w:rPr>
          <w:rFonts w:hint="eastAsia" w:ascii="宋体" w:hAnsi="宋体" w:cs="宋体"/>
          <w:bCs/>
          <w:color w:val="000000" w:themeColor="text1"/>
          <w:sz w:val="24"/>
          <w:lang w:val="zh-CN"/>
        </w:rPr>
        <w:t>请如实填写偏离表，如果虚假响应，将被暂停进入铜仁市公共资源交易中心思南分中心（政府采购）活动。</w:t>
      </w:r>
    </w:p>
    <w:p>
      <w:pPr>
        <w:autoSpaceDE w:val="0"/>
        <w:autoSpaceDN w:val="0"/>
        <w:adjustRightInd w:val="0"/>
        <w:spacing w:line="44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4.投标人须根据投标货物与招标文件要求的实际响应情况填写偏离情况一栏：投标货物的规格、配置、技术参数、技术性能、使用功能等与招标文件要求相等的，偏离情况一栏填写“符合”； 投标货物优于招标文件要求的，偏离情况一栏填写“正偏离”；投标货物不满足招标文件要求的，偏离情况一栏填写“负偏离”；存在偏离情况的均应在备注栏中详细说明。</w:t>
      </w:r>
    </w:p>
    <w:p>
      <w:pPr>
        <w:autoSpaceDE w:val="0"/>
        <w:autoSpaceDN w:val="0"/>
        <w:adjustRightInd w:val="0"/>
        <w:spacing w:line="440" w:lineRule="exact"/>
        <w:ind w:firstLine="420"/>
        <w:rPr>
          <w:rFonts w:ascii="宋体" w:hAnsi="宋体" w:cs="宋体"/>
          <w:color w:val="000000" w:themeColor="text1"/>
          <w:sz w:val="24"/>
          <w:lang w:val="zh-CN"/>
        </w:rPr>
      </w:pPr>
      <w:r>
        <w:rPr>
          <w:rFonts w:hint="eastAsia" w:ascii="宋体" w:hAnsi="宋体" w:cs="宋体"/>
          <w:color w:val="000000" w:themeColor="text1"/>
          <w:sz w:val="24"/>
          <w:lang w:val="zh-CN"/>
        </w:rPr>
        <w:t>5.如招标文件中规定技术规格货物如因停产或其他原因造成市场上无法供货，可采用不低于原有配置的货物投标。</w:t>
      </w:r>
    </w:p>
    <w:p>
      <w:pPr>
        <w:autoSpaceDE w:val="0"/>
        <w:autoSpaceDN w:val="0"/>
        <w:adjustRightInd w:val="0"/>
        <w:spacing w:line="440" w:lineRule="exact"/>
        <w:ind w:firstLine="420"/>
        <w:rPr>
          <w:rFonts w:ascii="宋体" w:hAnsi="宋体" w:cs="宋体"/>
          <w:color w:val="000000" w:themeColor="text1"/>
          <w:sz w:val="24"/>
          <w:lang w:val="zh-CN"/>
        </w:rPr>
      </w:pPr>
      <w:r>
        <w:rPr>
          <w:rFonts w:ascii="宋体" w:hAnsi="宋体" w:cs="宋体"/>
          <w:color w:val="000000" w:themeColor="text1"/>
          <w:sz w:val="24"/>
          <w:lang w:val="zh-CN"/>
        </w:rPr>
        <w:t>6</w:t>
      </w:r>
      <w:r>
        <w:rPr>
          <w:rFonts w:hint="eastAsia" w:ascii="宋体" w:hAnsi="宋体" w:cs="宋体"/>
          <w:color w:val="000000" w:themeColor="text1"/>
          <w:sz w:val="24"/>
          <w:lang w:val="zh-CN"/>
        </w:rPr>
        <w:t>.格式可以根据采购清单进行适当调增。</w:t>
      </w:r>
    </w:p>
    <w:p>
      <w:pPr>
        <w:adjustRightInd w:val="0"/>
        <w:snapToGrid w:val="0"/>
        <w:spacing w:before="120" w:beforeLines="50" w:after="120" w:afterLines="50" w:line="360" w:lineRule="auto"/>
        <w:rPr>
          <w:rFonts w:hint="eastAsia"/>
          <w:b/>
          <w:color w:val="000000" w:themeColor="text1"/>
          <w:sz w:val="36"/>
          <w:szCs w:val="36"/>
        </w:rPr>
      </w:pPr>
    </w:p>
    <w:p>
      <w:pPr>
        <w:spacing w:line="440" w:lineRule="exact"/>
        <w:ind w:firstLine="105" w:firstLineChars="50"/>
        <w:rPr>
          <w:rFonts w:hint="eastAsia" w:ascii="宋体" w:hAnsi="宋体" w:eastAsia="宋体"/>
          <w:b/>
          <w:szCs w:val="21"/>
          <w:lang w:eastAsia="zh-CN"/>
        </w:rPr>
      </w:pPr>
    </w:p>
    <w:p>
      <w:pPr>
        <w:jc w:val="center"/>
        <w:rPr>
          <w:rFonts w:ascii="宋体" w:hAnsi="宋体"/>
          <w:sz w:val="32"/>
          <w:szCs w:val="32"/>
        </w:rPr>
      </w:pPr>
      <w:bookmarkStart w:id="12" w:name="_Toc144974467"/>
      <w:bookmarkStart w:id="13" w:name="_Toc152047263"/>
      <w:bookmarkStart w:id="14" w:name="_Toc179715756"/>
      <w:r>
        <w:rPr>
          <w:rFonts w:hint="eastAsia" w:ascii="宋体" w:hAnsi="宋体"/>
          <w:sz w:val="32"/>
          <w:szCs w:val="32"/>
          <w:lang w:val="en-US" w:eastAsia="zh-CN"/>
        </w:rPr>
        <w:t xml:space="preserve">六  </w:t>
      </w:r>
      <w:r>
        <w:rPr>
          <w:rFonts w:hint="eastAsia" w:ascii="宋体" w:hAnsi="宋体"/>
          <w:sz w:val="32"/>
          <w:szCs w:val="32"/>
        </w:rPr>
        <w:t>法定代表人身份证明</w:t>
      </w:r>
      <w:bookmarkEnd w:id="12"/>
      <w:bookmarkEnd w:id="13"/>
      <w:bookmarkEnd w:id="14"/>
    </w:p>
    <w:p>
      <w:pPr>
        <w:spacing w:line="400" w:lineRule="exact"/>
        <w:rPr>
          <w:rFonts w:ascii="宋体" w:hAnsi="宋体"/>
          <w:sz w:val="32"/>
          <w:szCs w:val="32"/>
        </w:rPr>
      </w:pPr>
      <w:r>
        <w:rPr>
          <w:rFonts w:ascii="宋体" w:hAnsi="宋体"/>
          <w:sz w:val="32"/>
          <w:szCs w:val="32"/>
        </w:rPr>
        <w:t xml:space="preserve"> </w:t>
      </w:r>
    </w:p>
    <w:p>
      <w:pPr>
        <w:topLinePunct/>
        <w:spacing w:line="600" w:lineRule="exact"/>
        <w:ind w:firstLine="420" w:firstLineChars="200"/>
        <w:rPr>
          <w:rFonts w:ascii="宋体" w:hAnsi="宋体"/>
          <w:bCs/>
          <w:szCs w:val="21"/>
          <w:u w:val="single"/>
        </w:rPr>
      </w:pPr>
      <w:r>
        <w:rPr>
          <w:rFonts w:hint="eastAsia" w:ascii="宋体" w:hAnsi="宋体"/>
          <w:bCs/>
          <w:szCs w:val="21"/>
        </w:rPr>
        <w:t>供应商名称：</w:t>
      </w:r>
      <w:r>
        <w:rPr>
          <w:rFonts w:ascii="宋体" w:hAnsi="宋体"/>
          <w:bCs/>
          <w:szCs w:val="21"/>
          <w:u w:val="single"/>
        </w:rPr>
        <w:t xml:space="preserve">                         </w:t>
      </w:r>
    </w:p>
    <w:p>
      <w:pPr>
        <w:topLinePunct/>
        <w:spacing w:line="600" w:lineRule="exact"/>
        <w:ind w:firstLine="420" w:firstLineChars="200"/>
        <w:rPr>
          <w:rFonts w:ascii="宋体" w:hAnsi="宋体"/>
          <w:bCs/>
          <w:szCs w:val="21"/>
        </w:rPr>
      </w:pPr>
      <w:r>
        <w:rPr>
          <w:rFonts w:hint="eastAsia" w:ascii="宋体" w:hAnsi="宋体"/>
          <w:bCs/>
          <w:szCs w:val="21"/>
        </w:rPr>
        <w:t>单位性质：</w:t>
      </w:r>
      <w:r>
        <w:rPr>
          <w:rFonts w:ascii="宋体" w:hAnsi="宋体"/>
          <w:bCs/>
          <w:szCs w:val="21"/>
          <w:u w:val="single"/>
        </w:rPr>
        <w:t xml:space="preserve">                           </w:t>
      </w:r>
    </w:p>
    <w:p>
      <w:pPr>
        <w:topLinePunct/>
        <w:spacing w:line="600" w:lineRule="exact"/>
        <w:ind w:firstLine="420" w:firstLineChars="200"/>
        <w:rPr>
          <w:rFonts w:ascii="宋体" w:hAnsi="宋体"/>
          <w:bCs/>
          <w:szCs w:val="21"/>
        </w:rPr>
      </w:pPr>
      <w:r>
        <w:rPr>
          <w:rFonts w:hint="eastAsia" w:ascii="宋体" w:hAnsi="宋体"/>
          <w:bCs/>
          <w:szCs w:val="21"/>
        </w:rPr>
        <w:t>成立时间：</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p>
    <w:p>
      <w:pPr>
        <w:topLinePunct/>
        <w:spacing w:line="600" w:lineRule="exact"/>
        <w:ind w:firstLine="420" w:firstLineChars="200"/>
        <w:rPr>
          <w:rFonts w:ascii="宋体" w:hAnsi="宋体"/>
          <w:bCs/>
          <w:szCs w:val="21"/>
        </w:rPr>
      </w:pPr>
      <w:r>
        <w:rPr>
          <w:rFonts w:hint="eastAsia" w:ascii="宋体" w:hAnsi="宋体"/>
          <w:bCs/>
          <w:szCs w:val="21"/>
        </w:rPr>
        <w:t>经营期限：</w:t>
      </w:r>
      <w:r>
        <w:rPr>
          <w:rFonts w:ascii="宋体" w:hAnsi="宋体"/>
          <w:bCs/>
          <w:szCs w:val="21"/>
          <w:u w:val="single"/>
        </w:rPr>
        <w:t xml:space="preserve">            </w:t>
      </w:r>
    </w:p>
    <w:p>
      <w:pPr>
        <w:topLinePunct/>
        <w:spacing w:line="600" w:lineRule="exact"/>
        <w:ind w:firstLine="420" w:firstLineChars="200"/>
        <w:rPr>
          <w:rFonts w:ascii="宋体" w:hAnsi="宋体"/>
          <w:bCs/>
          <w:szCs w:val="21"/>
          <w:u w:val="single"/>
        </w:rPr>
      </w:pPr>
      <w:r>
        <w:rPr>
          <w:rFonts w:hint="eastAsia" w:ascii="宋体" w:hAnsi="宋体"/>
          <w:bCs/>
          <w:szCs w:val="21"/>
        </w:rPr>
        <w:t>姓名：</w:t>
      </w:r>
      <w:r>
        <w:rPr>
          <w:rFonts w:ascii="宋体" w:hAnsi="宋体"/>
          <w:bCs/>
          <w:szCs w:val="21"/>
          <w:u w:val="single"/>
        </w:rPr>
        <w:t xml:space="preserve">         </w:t>
      </w:r>
      <w:r>
        <w:rPr>
          <w:rFonts w:hint="eastAsia" w:ascii="宋体" w:hAnsi="宋体"/>
          <w:bCs/>
          <w:szCs w:val="21"/>
        </w:rPr>
        <w:t>性别：</w:t>
      </w:r>
      <w:r>
        <w:rPr>
          <w:rFonts w:ascii="宋体" w:hAnsi="宋体"/>
          <w:bCs/>
          <w:szCs w:val="21"/>
          <w:u w:val="single"/>
        </w:rPr>
        <w:t xml:space="preserve">          </w:t>
      </w:r>
      <w:r>
        <w:rPr>
          <w:rFonts w:hint="eastAsia" w:ascii="宋体" w:hAnsi="宋体"/>
          <w:bCs/>
          <w:szCs w:val="21"/>
        </w:rPr>
        <w:t>年龄：</w:t>
      </w:r>
      <w:r>
        <w:rPr>
          <w:rFonts w:ascii="宋体" w:hAnsi="宋体"/>
          <w:bCs/>
          <w:szCs w:val="21"/>
          <w:u w:val="single"/>
        </w:rPr>
        <w:t xml:space="preserve">         </w:t>
      </w:r>
      <w:r>
        <w:rPr>
          <w:rFonts w:hint="eastAsia" w:ascii="宋体" w:hAnsi="宋体"/>
          <w:bCs/>
          <w:szCs w:val="21"/>
        </w:rPr>
        <w:t>职务：</w:t>
      </w:r>
      <w:r>
        <w:rPr>
          <w:rFonts w:ascii="宋体" w:hAnsi="宋体"/>
          <w:bCs/>
          <w:szCs w:val="21"/>
          <w:u w:val="single"/>
        </w:rPr>
        <w:t xml:space="preserve">         </w:t>
      </w:r>
    </w:p>
    <w:p>
      <w:pPr>
        <w:spacing w:line="600" w:lineRule="exact"/>
        <w:ind w:firstLine="420" w:firstLineChars="200"/>
        <w:rPr>
          <w:rFonts w:ascii="宋体" w:hAnsi="宋体"/>
          <w:bCs/>
          <w:szCs w:val="21"/>
        </w:rPr>
      </w:pPr>
      <w:r>
        <w:rPr>
          <w:rFonts w:hint="eastAsia" w:ascii="宋体" w:hAnsi="宋体"/>
          <w:bCs/>
          <w:szCs w:val="21"/>
        </w:rPr>
        <w:t>系</w:t>
      </w:r>
      <w:r>
        <w:rPr>
          <w:rFonts w:hint="eastAsia" w:ascii="宋体" w:hAnsi="宋体"/>
          <w:bCs/>
          <w:szCs w:val="21"/>
          <w:u w:val="single"/>
        </w:rPr>
        <w:t xml:space="preserve">                   </w:t>
      </w:r>
      <w:r>
        <w:rPr>
          <w:rFonts w:hint="eastAsia" w:ascii="宋体" w:hAnsi="宋体" w:cs="SSJ-PK74820000008-Identity-H"/>
          <w:szCs w:val="21"/>
        </w:rPr>
        <w:t>（供应商名称）的法定代表人。</w:t>
      </w:r>
    </w:p>
    <w:p>
      <w:pPr>
        <w:topLinePunct/>
        <w:spacing w:line="600" w:lineRule="exact"/>
        <w:ind w:firstLine="420" w:firstLineChars="200"/>
        <w:rPr>
          <w:rFonts w:ascii="宋体" w:hAnsi="宋体"/>
          <w:bCs/>
          <w:szCs w:val="21"/>
        </w:rPr>
      </w:pPr>
      <w:r>
        <w:rPr>
          <w:rFonts w:hint="eastAsia" w:ascii="宋体" w:hAnsi="宋体"/>
          <w:bCs/>
          <w:szCs w:val="21"/>
        </w:rPr>
        <w:t>特此证明。</w:t>
      </w:r>
    </w:p>
    <w:p>
      <w:pPr>
        <w:topLinePunct/>
        <w:spacing w:line="440" w:lineRule="exact"/>
        <w:rPr>
          <w:rFonts w:ascii="宋体" w:hAnsi="宋体"/>
          <w:bCs/>
          <w:sz w:val="24"/>
          <w:szCs w:val="24"/>
        </w:rPr>
      </w:pPr>
    </w:p>
    <w:p>
      <w:pPr>
        <w:topLinePunct/>
        <w:spacing w:line="440" w:lineRule="exact"/>
        <w:rPr>
          <w:rFonts w:ascii="宋体" w:hAnsi="宋体"/>
          <w:bCs/>
          <w:sz w:val="24"/>
          <w:szCs w:val="24"/>
        </w:rPr>
      </w:pPr>
    </w:p>
    <w:p>
      <w:pPr>
        <w:topLinePunct/>
        <w:spacing w:line="440" w:lineRule="exact"/>
        <w:rPr>
          <w:rFonts w:ascii="宋体" w:hAnsi="宋体"/>
          <w:bCs/>
          <w:sz w:val="24"/>
          <w:szCs w:val="24"/>
        </w:rPr>
      </w:pPr>
    </w:p>
    <w:p>
      <w:pPr>
        <w:topLinePunct/>
        <w:spacing w:line="440" w:lineRule="exact"/>
        <w:rPr>
          <w:rFonts w:ascii="宋体" w:hAnsi="宋体"/>
          <w:bCs/>
          <w:sz w:val="24"/>
          <w:szCs w:val="24"/>
        </w:rPr>
      </w:pPr>
    </w:p>
    <w:p>
      <w:pPr>
        <w:topLinePunct/>
        <w:spacing w:line="440" w:lineRule="exact"/>
        <w:rPr>
          <w:rFonts w:ascii="宋体" w:hAnsi="宋体"/>
          <w:bCs/>
          <w:sz w:val="24"/>
          <w:szCs w:val="24"/>
        </w:rPr>
      </w:pPr>
    </w:p>
    <w:p>
      <w:pPr>
        <w:topLinePunct/>
        <w:spacing w:line="440" w:lineRule="exact"/>
        <w:rPr>
          <w:rFonts w:ascii="宋体" w:hAnsi="宋体"/>
          <w:bCs/>
          <w:sz w:val="24"/>
          <w:szCs w:val="24"/>
        </w:rPr>
      </w:pPr>
    </w:p>
    <w:p>
      <w:pPr>
        <w:topLinePunct/>
        <w:spacing w:line="440" w:lineRule="exact"/>
        <w:rPr>
          <w:rFonts w:ascii="宋体" w:hAnsi="宋体"/>
          <w:bCs/>
          <w:sz w:val="24"/>
          <w:szCs w:val="24"/>
        </w:rPr>
      </w:pPr>
    </w:p>
    <w:p>
      <w:pPr>
        <w:topLinePunct/>
        <w:spacing w:line="600" w:lineRule="exact"/>
        <w:rPr>
          <w:rFonts w:ascii="宋体" w:hAnsi="宋体"/>
          <w:bCs/>
          <w:szCs w:val="21"/>
        </w:rPr>
      </w:pPr>
      <w:r>
        <w:rPr>
          <w:rFonts w:ascii="宋体" w:hAnsi="宋体"/>
          <w:bCs/>
          <w:sz w:val="24"/>
          <w:szCs w:val="24"/>
        </w:rPr>
        <w:t xml:space="preserve">                            </w:t>
      </w:r>
      <w:r>
        <w:rPr>
          <w:rFonts w:hint="eastAsia" w:ascii="宋体" w:hAnsi="宋体"/>
          <w:bCs/>
          <w:szCs w:val="21"/>
        </w:rPr>
        <w:t>供应商名称：</w:t>
      </w:r>
      <w:r>
        <w:rPr>
          <w:rFonts w:ascii="宋体" w:hAnsi="宋体"/>
          <w:bCs/>
          <w:szCs w:val="21"/>
          <w:u w:val="single"/>
        </w:rPr>
        <w:t xml:space="preserve">                 </w:t>
      </w:r>
      <w:r>
        <w:rPr>
          <w:rFonts w:hint="eastAsia" w:ascii="宋体" w:hAnsi="宋体"/>
          <w:bCs/>
          <w:szCs w:val="21"/>
        </w:rPr>
        <w:t>（盖单位章）</w:t>
      </w:r>
    </w:p>
    <w:p>
      <w:pPr>
        <w:topLinePunct/>
        <w:spacing w:line="600" w:lineRule="exact"/>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p>
    <w:p>
      <w:pPr>
        <w:spacing w:line="440" w:lineRule="exact"/>
        <w:ind w:firstLine="105" w:firstLineChars="50"/>
        <w:rPr>
          <w:rFonts w:ascii="宋体" w:hAnsi="宋体"/>
          <w:b/>
          <w:szCs w:val="21"/>
        </w:rPr>
      </w:pPr>
    </w:p>
    <w:p>
      <w:pPr>
        <w:spacing w:line="440" w:lineRule="exact"/>
        <w:ind w:firstLine="105" w:firstLineChars="50"/>
        <w:rPr>
          <w:rFonts w:ascii="宋体" w:hAnsi="宋体"/>
          <w:b/>
          <w:szCs w:val="21"/>
        </w:rPr>
      </w:pPr>
    </w:p>
    <w:p>
      <w:pPr>
        <w:spacing w:line="440" w:lineRule="exact"/>
        <w:ind w:firstLine="105" w:firstLineChars="50"/>
        <w:rPr>
          <w:rFonts w:ascii="宋体" w:hAnsi="宋体"/>
          <w:b/>
          <w:szCs w:val="21"/>
        </w:rPr>
      </w:pPr>
    </w:p>
    <w:p>
      <w:pPr>
        <w:spacing w:line="440" w:lineRule="exact"/>
        <w:ind w:firstLine="105" w:firstLineChars="50"/>
        <w:rPr>
          <w:rFonts w:ascii="宋体" w:hAnsi="宋体"/>
          <w:b/>
          <w:szCs w:val="21"/>
        </w:rPr>
      </w:pPr>
    </w:p>
    <w:p>
      <w:pPr>
        <w:spacing w:line="440" w:lineRule="exact"/>
        <w:ind w:firstLine="105" w:firstLineChars="50"/>
        <w:rPr>
          <w:rFonts w:ascii="宋体" w:hAnsi="宋体"/>
          <w:b/>
          <w:szCs w:val="21"/>
        </w:rPr>
      </w:pPr>
    </w:p>
    <w:p>
      <w:pPr>
        <w:spacing w:line="440" w:lineRule="exact"/>
        <w:ind w:firstLine="105" w:firstLineChars="50"/>
        <w:rPr>
          <w:rFonts w:ascii="宋体" w:hAnsi="宋体"/>
          <w:b/>
          <w:szCs w:val="21"/>
        </w:rPr>
      </w:pPr>
    </w:p>
    <w:p>
      <w:pPr>
        <w:spacing w:line="440" w:lineRule="exact"/>
        <w:ind w:firstLine="105" w:firstLineChars="50"/>
        <w:rPr>
          <w:rFonts w:ascii="宋体" w:hAnsi="宋体"/>
          <w:b/>
          <w:szCs w:val="21"/>
        </w:rPr>
      </w:pPr>
    </w:p>
    <w:p>
      <w:pPr>
        <w:tabs>
          <w:tab w:val="left" w:pos="5355"/>
        </w:tabs>
        <w:spacing w:line="500" w:lineRule="atLeast"/>
        <w:ind w:right="-15" w:rightChars="-7"/>
        <w:outlineLvl w:val="1"/>
        <w:rPr>
          <w:rFonts w:ascii="宋体" w:hAnsi="宋体"/>
          <w:bCs/>
          <w:szCs w:val="21"/>
        </w:rPr>
      </w:pPr>
    </w:p>
    <w:p>
      <w:pPr>
        <w:tabs>
          <w:tab w:val="left" w:pos="5355"/>
        </w:tabs>
        <w:spacing w:line="500" w:lineRule="atLeast"/>
        <w:ind w:right="-15" w:rightChars="-7"/>
        <w:outlineLvl w:val="1"/>
        <w:rPr>
          <w:rFonts w:ascii="宋体" w:hAnsi="宋体"/>
          <w:bCs/>
          <w:szCs w:val="21"/>
        </w:rPr>
      </w:pPr>
    </w:p>
    <w:p>
      <w:pPr>
        <w:spacing w:line="300" w:lineRule="auto"/>
        <w:rPr>
          <w:rFonts w:ascii="宋体" w:hAnsi="宋体"/>
          <w:b/>
          <w:sz w:val="24"/>
        </w:rPr>
      </w:pPr>
    </w:p>
    <w:p>
      <w:pPr>
        <w:spacing w:line="300" w:lineRule="auto"/>
        <w:ind w:left="420" w:hanging="60"/>
        <w:jc w:val="center"/>
        <w:rPr>
          <w:rFonts w:hint="eastAsia" w:ascii="宋体" w:hAnsi="宋体"/>
          <w:b/>
          <w:bCs/>
          <w:sz w:val="36"/>
          <w:szCs w:val="36"/>
        </w:rPr>
      </w:pPr>
    </w:p>
    <w:p>
      <w:pPr>
        <w:spacing w:line="300" w:lineRule="auto"/>
        <w:ind w:left="420" w:hanging="60"/>
        <w:jc w:val="center"/>
        <w:rPr>
          <w:rFonts w:ascii="宋体" w:hAnsi="宋体"/>
          <w:b/>
          <w:bCs/>
          <w:sz w:val="36"/>
          <w:szCs w:val="36"/>
        </w:rPr>
      </w:pPr>
      <w:r>
        <w:rPr>
          <w:rFonts w:hint="eastAsia" w:ascii="宋体" w:hAnsi="宋体"/>
          <w:b/>
          <w:bCs/>
          <w:sz w:val="36"/>
          <w:szCs w:val="36"/>
        </w:rPr>
        <w:t>法定代表人授权委托书</w:t>
      </w:r>
    </w:p>
    <w:p>
      <w:pPr>
        <w:spacing w:line="360" w:lineRule="auto"/>
        <w:ind w:left="420" w:hanging="420"/>
        <w:rPr>
          <w:rFonts w:ascii="宋体" w:hAnsi="宋体"/>
          <w:sz w:val="24"/>
        </w:rPr>
      </w:pPr>
    </w:p>
    <w:p>
      <w:pPr>
        <w:spacing w:line="360" w:lineRule="auto"/>
        <w:ind w:firstLine="525" w:firstLineChars="250"/>
        <w:rPr>
          <w:rFonts w:ascii="宋体" w:hAnsi="宋体"/>
          <w:szCs w:val="21"/>
        </w:rPr>
      </w:pPr>
      <w:r>
        <w:rPr>
          <w:rFonts w:hint="eastAsia" w:ascii="宋体" w:hAnsi="宋体"/>
          <w:szCs w:val="21"/>
        </w:rPr>
        <w:t>本授权书声明：注册于</w:t>
      </w:r>
      <w:r>
        <w:rPr>
          <w:rFonts w:hint="eastAsia" w:ascii="宋体" w:hAnsi="宋体"/>
          <w:szCs w:val="21"/>
          <w:u w:val="single"/>
        </w:rPr>
        <w:t>（地址）</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的在下面签字的</w:t>
      </w:r>
      <w:r>
        <w:rPr>
          <w:rFonts w:hint="eastAsia" w:ascii="宋体" w:hAnsi="宋体"/>
          <w:szCs w:val="21"/>
          <w:u w:val="single"/>
        </w:rPr>
        <w:t>（法定代表人姓名、职务）</w:t>
      </w:r>
      <w:r>
        <w:rPr>
          <w:rFonts w:hint="eastAsia" w:ascii="宋体" w:hAnsi="宋体"/>
          <w:szCs w:val="21"/>
        </w:rPr>
        <w:t>代表本公司授权</w:t>
      </w:r>
      <w:r>
        <w:rPr>
          <w:rFonts w:hint="eastAsia" w:ascii="宋体" w:hAnsi="宋体"/>
          <w:szCs w:val="21"/>
          <w:u w:val="single"/>
        </w:rPr>
        <w:t>（单位名称）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为本公司的合法代理人，代表我公司全权办理对</w:t>
      </w:r>
      <w:r>
        <w:rPr>
          <w:rFonts w:hint="eastAsia" w:ascii="宋体" w:hAnsi="宋体"/>
          <w:szCs w:val="21"/>
          <w:u w:val="single"/>
        </w:rPr>
        <w:t>（项目名称及项目编号）</w:t>
      </w:r>
      <w:r>
        <w:rPr>
          <w:rFonts w:hint="eastAsia" w:ascii="宋体" w:hAnsi="宋体"/>
          <w:szCs w:val="21"/>
        </w:rPr>
        <w:t>项目的投标、谈判、签约等具体工作，并签署全部有关的文件、协议及合同。</w:t>
      </w:r>
    </w:p>
    <w:p>
      <w:pPr>
        <w:spacing w:line="360" w:lineRule="auto"/>
        <w:ind w:firstLine="570"/>
        <w:rPr>
          <w:rFonts w:ascii="宋体" w:hAnsi="宋体"/>
          <w:szCs w:val="21"/>
        </w:rPr>
      </w:pPr>
      <w:r>
        <w:rPr>
          <w:rFonts w:hint="eastAsia" w:ascii="宋体" w:hAnsi="宋体"/>
          <w:szCs w:val="21"/>
        </w:rPr>
        <w:t>我公司对被授权人的上述经济活动负全部责任。</w:t>
      </w:r>
    </w:p>
    <w:p>
      <w:pPr>
        <w:spacing w:line="360" w:lineRule="auto"/>
        <w:ind w:firstLine="570"/>
        <w:rPr>
          <w:rFonts w:ascii="宋体" w:hAnsi="宋体"/>
          <w:szCs w:val="21"/>
        </w:rPr>
      </w:pPr>
      <w:r>
        <w:rPr>
          <w:rFonts w:hint="eastAsia" w:ascii="宋体" w:hAnsi="宋体"/>
          <w:szCs w:val="21"/>
        </w:rPr>
        <w:t>在撤消授权的书面通知前，本授权书一直有效。被授权人签署的所有文件（在授权书有效期内签署的）不因授权的撤消而失效。</w:t>
      </w:r>
    </w:p>
    <w:p>
      <w:pPr>
        <w:spacing w:line="360" w:lineRule="auto"/>
        <w:ind w:firstLine="570"/>
        <w:rPr>
          <w:rFonts w:ascii="宋体" w:hAnsi="宋体"/>
          <w:szCs w:val="21"/>
        </w:rPr>
      </w:pPr>
    </w:p>
    <w:p>
      <w:pPr>
        <w:spacing w:line="360" w:lineRule="auto"/>
        <w:rPr>
          <w:rFonts w:ascii="宋体" w:hAnsi="宋体"/>
          <w:szCs w:val="21"/>
          <w:u w:val="single"/>
        </w:rPr>
      </w:pPr>
      <w:r>
        <w:rPr>
          <w:rFonts w:hint="eastAsia" w:ascii="宋体" w:hAnsi="宋体"/>
          <w:szCs w:val="21"/>
        </w:rPr>
        <w:t>被授权代表签名：</w:t>
      </w:r>
      <w:r>
        <w:rPr>
          <w:rFonts w:hint="eastAsia" w:ascii="宋体" w:hAnsi="宋体"/>
          <w:szCs w:val="21"/>
          <w:u w:val="single"/>
        </w:rPr>
        <w:t xml:space="preserve">                  </w:t>
      </w:r>
      <w:r>
        <w:rPr>
          <w:rFonts w:hint="eastAsia" w:ascii="宋体" w:hAnsi="宋体"/>
          <w:szCs w:val="21"/>
        </w:rPr>
        <w:t xml:space="preserve">     供应商法定代表人签字或盖章：</w:t>
      </w:r>
      <w:r>
        <w:rPr>
          <w:rFonts w:hint="eastAsia" w:ascii="宋体" w:hAnsi="宋体"/>
          <w:szCs w:val="21"/>
          <w:u w:val="single"/>
        </w:rPr>
        <w:t xml:space="preserve">           </w:t>
      </w:r>
    </w:p>
    <w:p>
      <w:pPr>
        <w:spacing w:line="360" w:lineRule="auto"/>
        <w:ind w:firstLine="630" w:firstLineChars="300"/>
        <w:rPr>
          <w:rFonts w:ascii="宋体" w:hAnsi="宋体"/>
          <w:szCs w:val="21"/>
          <w:u w:val="single"/>
        </w:rPr>
      </w:pPr>
      <w:r>
        <w:rPr>
          <w:rFonts w:hint="eastAsia" w:ascii="宋体" w:hAnsi="宋体"/>
          <w:szCs w:val="21"/>
        </w:rPr>
        <w:t>职  务：</w:t>
      </w:r>
      <w:r>
        <w:rPr>
          <w:rFonts w:hint="eastAsia" w:ascii="宋体" w:hAnsi="宋体"/>
          <w:szCs w:val="21"/>
          <w:u w:val="single"/>
        </w:rPr>
        <w:t xml:space="preserve">                  </w:t>
      </w:r>
      <w:r>
        <w:rPr>
          <w:rFonts w:hint="eastAsia" w:ascii="宋体" w:hAnsi="宋体"/>
          <w:szCs w:val="21"/>
        </w:rPr>
        <w:t xml:space="preserve">              职  务：</w:t>
      </w:r>
      <w:r>
        <w:rPr>
          <w:rFonts w:hint="eastAsia" w:ascii="宋体" w:hAnsi="宋体"/>
          <w:szCs w:val="21"/>
          <w:bdr w:val="single" w:color="auto" w:sz="4" w:space="0"/>
        </w:rPr>
        <w:t xml:space="preserve"> </w:t>
      </w:r>
      <w:r>
        <w:rPr>
          <w:rFonts w:hint="eastAsia" w:ascii="宋体" w:hAnsi="宋体"/>
          <w:szCs w:val="21"/>
          <w:u w:val="single"/>
          <w:bdr w:val="single" w:color="auto" w:sz="4" w:space="0"/>
        </w:rPr>
        <w:t xml:space="preserve">                       </w:t>
      </w:r>
    </w:p>
    <w:p>
      <w:pPr>
        <w:spacing w:line="360" w:lineRule="auto"/>
        <w:ind w:firstLine="630" w:firstLineChars="300"/>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pPr>
        <w:spacing w:line="300" w:lineRule="auto"/>
        <w:ind w:firstLine="630" w:firstLineChars="300"/>
        <w:rPr>
          <w:rFonts w:ascii="宋体" w:hAnsi="宋体"/>
          <w:szCs w:val="21"/>
          <w:u w:val="single"/>
        </w:rPr>
      </w:pPr>
    </w:p>
    <w:tbl>
      <w:tblPr>
        <w:tblStyle w:val="5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71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8" w:hRule="atLeast"/>
          <w:jc w:val="center"/>
        </w:trPr>
        <w:tc>
          <w:tcPr>
            <w:tcW w:w="5718" w:type="dxa"/>
            <w:vAlign w:val="center"/>
          </w:tcPr>
          <w:p>
            <w:pPr>
              <w:spacing w:line="300" w:lineRule="auto"/>
              <w:rPr>
                <w:rFonts w:ascii="宋体" w:hAnsi="宋体"/>
                <w:szCs w:val="21"/>
              </w:rPr>
            </w:pPr>
            <w:r>
              <w:rPr>
                <w:rFonts w:hint="eastAsia" w:ascii="宋体" w:hAnsi="宋体"/>
                <w:szCs w:val="21"/>
              </w:rPr>
              <w:t>被授权代表身份证复印件粘贴处</w:t>
            </w:r>
          </w:p>
        </w:tc>
      </w:tr>
    </w:tbl>
    <w:p>
      <w:pPr>
        <w:spacing w:line="300" w:lineRule="auto"/>
        <w:rPr>
          <w:rFonts w:ascii="宋体" w:hAnsi="宋体"/>
          <w:szCs w:val="21"/>
          <w:u w:val="single"/>
        </w:rPr>
      </w:pPr>
      <w:r>
        <w:rPr>
          <w:rFonts w:hint="eastAsia" w:ascii="宋体" w:hAnsi="宋体"/>
          <w:szCs w:val="21"/>
        </w:rPr>
        <w:t>供应商名称及公章：</w:t>
      </w:r>
    </w:p>
    <w:p>
      <w:pPr>
        <w:spacing w:line="300" w:lineRule="auto"/>
        <w:rPr>
          <w:rFonts w:ascii="宋体" w:hAnsi="宋体"/>
          <w:szCs w:val="21"/>
        </w:rPr>
      </w:pPr>
    </w:p>
    <w:p>
      <w:pPr>
        <w:spacing w:line="300" w:lineRule="auto"/>
        <w:ind w:firstLine="5040" w:firstLineChars="2400"/>
        <w:rPr>
          <w:rFonts w:ascii="宋体" w:hAnsi="宋体"/>
          <w:szCs w:val="21"/>
          <w:u w:val="single"/>
        </w:rPr>
      </w:pPr>
    </w:p>
    <w:p>
      <w:pPr>
        <w:spacing w:line="300" w:lineRule="auto"/>
        <w:ind w:firstLine="4725" w:firstLineChars="2250"/>
        <w:rPr>
          <w:rFonts w:ascii="宋体" w:hAnsi="宋体"/>
          <w:szCs w:val="21"/>
          <w:u w:val="single"/>
        </w:rPr>
      </w:pPr>
      <w:r>
        <w:rPr>
          <w:rFonts w:hint="eastAsia" w:ascii="宋体" w:hAnsi="宋体"/>
          <w:szCs w:val="21"/>
        </w:rPr>
        <w:t>年     月     日</w:t>
      </w:r>
    </w:p>
    <w:p>
      <w:pPr>
        <w:spacing w:line="360" w:lineRule="auto"/>
        <w:rPr>
          <w:rFonts w:ascii="宋体" w:hAnsi="宋体"/>
          <w:b/>
          <w:szCs w:val="21"/>
        </w:rPr>
      </w:pPr>
      <w:r>
        <w:rPr>
          <w:rFonts w:hint="eastAsia" w:ascii="宋体" w:hAnsi="宋体"/>
          <w:b/>
          <w:szCs w:val="21"/>
        </w:rPr>
        <w:t>说明：供应商应准备与竞争性磋商文件正本一致的“法定代表人授权委托书”复印件各一份，以备开标会场查验，否则，竞争性磋商代理机构有权拒绝其进入开标会场。</w:t>
      </w:r>
    </w:p>
    <w:p>
      <w:pPr>
        <w:spacing w:line="360" w:lineRule="auto"/>
        <w:rPr>
          <w:rFonts w:ascii="宋体" w:hAnsi="宋体"/>
          <w:b/>
          <w:szCs w:val="21"/>
        </w:rPr>
      </w:pPr>
    </w:p>
    <w:p>
      <w:pPr>
        <w:tabs>
          <w:tab w:val="left" w:pos="3060"/>
        </w:tabs>
        <w:spacing w:line="440" w:lineRule="exact"/>
        <w:rPr>
          <w:rFonts w:ascii="宋体" w:hAnsi="宋体"/>
          <w:b/>
          <w:szCs w:val="21"/>
        </w:rPr>
      </w:pPr>
    </w:p>
    <w:p>
      <w:pPr>
        <w:pStyle w:val="19"/>
      </w:pPr>
    </w:p>
    <w:p>
      <w:pPr>
        <w:pStyle w:val="19"/>
      </w:pPr>
    </w:p>
    <w:p>
      <w:pPr>
        <w:spacing w:line="440" w:lineRule="exact"/>
        <w:rPr>
          <w:rFonts w:hint="eastAsia" w:ascii="宋体" w:hAnsi="宋体" w:eastAsia="宋体"/>
          <w:sz w:val="24"/>
          <w:szCs w:val="24"/>
          <w:lang w:eastAsia="zh-CN"/>
        </w:rPr>
      </w:pPr>
      <w:r>
        <w:rPr>
          <w:rFonts w:hint="eastAsia" w:ascii="宋体" w:hAnsi="宋体"/>
          <w:b/>
          <w:szCs w:val="21"/>
          <w:lang w:val="en-US" w:eastAsia="zh-CN"/>
        </w:rPr>
        <w:t xml:space="preserve"> </w:t>
      </w:r>
    </w:p>
    <w:p>
      <w:pPr>
        <w:jc w:val="center"/>
        <w:rPr>
          <w:rFonts w:hint="eastAsia" w:ascii="宋体" w:hAnsi="宋体"/>
          <w:b/>
          <w:sz w:val="36"/>
          <w:szCs w:val="36"/>
        </w:rPr>
      </w:pP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lang w:val="en-US" w:eastAsia="zh-CN"/>
        </w:rPr>
        <w:t xml:space="preserve">七  </w:t>
      </w:r>
      <w:r>
        <w:rPr>
          <w:rFonts w:hint="eastAsia" w:ascii="宋体" w:hAnsi="宋体"/>
          <w:b/>
          <w:sz w:val="36"/>
          <w:szCs w:val="36"/>
        </w:rPr>
        <w:t>资格证明文件声明的函</w:t>
      </w:r>
    </w:p>
    <w:p>
      <w:pPr>
        <w:spacing w:line="360" w:lineRule="auto"/>
        <w:jc w:val="center"/>
        <w:rPr>
          <w:rFonts w:ascii="宋体" w:hAnsi="宋体"/>
          <w:b/>
          <w:bCs/>
          <w:sz w:val="36"/>
        </w:rPr>
      </w:pPr>
    </w:p>
    <w:p>
      <w:pPr>
        <w:pStyle w:val="25"/>
        <w:spacing w:line="360" w:lineRule="auto"/>
        <w:rPr>
          <w:rFonts w:hint="eastAsia" w:hAnsi="宋体" w:eastAsia="宋体"/>
          <w:b/>
          <w:bCs/>
          <w:szCs w:val="21"/>
          <w:lang w:eastAsia="zh-CN"/>
        </w:rPr>
      </w:pPr>
      <w:r>
        <w:rPr>
          <w:rFonts w:hint="eastAsia" w:hAnsi="宋体"/>
          <w:b/>
          <w:spacing w:val="4"/>
          <w:szCs w:val="21"/>
        </w:rPr>
        <w:t>致：</w:t>
      </w:r>
      <w:r>
        <w:rPr>
          <w:rFonts w:hint="eastAsia" w:hAnsi="宋体"/>
          <w:b/>
          <w:bCs/>
          <w:spacing w:val="4"/>
          <w:szCs w:val="21"/>
        </w:rPr>
        <w:t xml:space="preserve"> </w:t>
      </w:r>
      <w:r>
        <w:rPr>
          <w:rFonts w:hint="eastAsia" w:hAnsi="宋体"/>
          <w:b/>
          <w:bCs/>
          <w:spacing w:val="4"/>
          <w:szCs w:val="21"/>
          <w:lang w:eastAsia="zh-CN"/>
        </w:rPr>
        <w:t>江苏万源工程咨询有限公司</w:t>
      </w:r>
    </w:p>
    <w:p>
      <w:pPr>
        <w:spacing w:line="360" w:lineRule="auto"/>
        <w:ind w:firstLine="600"/>
        <w:rPr>
          <w:rFonts w:ascii="宋体" w:hAnsi="宋体"/>
          <w:szCs w:val="21"/>
        </w:rPr>
      </w:pPr>
      <w:r>
        <w:rPr>
          <w:rFonts w:hint="eastAsia" w:ascii="宋体" w:hAnsi="宋体"/>
          <w:szCs w:val="21"/>
        </w:rPr>
        <w:t>关于贵方</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日（项目编号：            ）的投标邀请</w:t>
      </w:r>
      <w:r>
        <w:rPr>
          <w:rFonts w:ascii="宋体" w:hAnsi="宋体"/>
          <w:szCs w:val="21"/>
        </w:rPr>
        <w:t>,</w:t>
      </w:r>
      <w:r>
        <w:rPr>
          <w:rFonts w:hint="eastAsia" w:ascii="宋体" w:hAnsi="宋体"/>
          <w:szCs w:val="21"/>
        </w:rPr>
        <w:t>本签字人</w:t>
      </w:r>
      <w:r>
        <w:rPr>
          <w:rFonts w:hint="eastAsia" w:ascii="宋体" w:hAnsi="宋体"/>
          <w:szCs w:val="21"/>
          <w:u w:val="single"/>
        </w:rPr>
        <w:t xml:space="preserve">            </w:t>
      </w:r>
      <w:r>
        <w:rPr>
          <w:rFonts w:hint="eastAsia" w:ascii="宋体" w:hAnsi="宋体"/>
          <w:szCs w:val="21"/>
        </w:rPr>
        <w:t>（授权代表）愿意参加投标</w:t>
      </w:r>
      <w:r>
        <w:rPr>
          <w:rFonts w:ascii="宋体" w:hAnsi="宋体"/>
          <w:szCs w:val="21"/>
        </w:rPr>
        <w:t>,</w:t>
      </w:r>
      <w:r>
        <w:rPr>
          <w:rFonts w:hint="eastAsia" w:ascii="宋体" w:hAnsi="宋体"/>
          <w:szCs w:val="21"/>
        </w:rPr>
        <w:t>提供货物需求一览表中规定的</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r>
        <w:rPr>
          <w:rFonts w:hint="eastAsia" w:ascii="宋体" w:hAnsi="宋体"/>
          <w:szCs w:val="21"/>
        </w:rPr>
        <w:t>货物</w:t>
      </w:r>
      <w:r>
        <w:rPr>
          <w:rFonts w:ascii="宋体" w:hAnsi="宋体"/>
          <w:szCs w:val="21"/>
        </w:rPr>
        <w:t>)</w:t>
      </w:r>
      <w:r>
        <w:rPr>
          <w:rFonts w:hint="eastAsia" w:ascii="宋体" w:hAnsi="宋体"/>
          <w:szCs w:val="21"/>
        </w:rPr>
        <w:t>并证明提交的资格证明文件和说明是准确的和真实的。</w:t>
      </w:r>
    </w:p>
    <w:p>
      <w:pPr>
        <w:spacing w:line="360" w:lineRule="auto"/>
        <w:ind w:firstLine="630" w:firstLineChars="300"/>
        <w:rPr>
          <w:rFonts w:ascii="宋体" w:hAnsi="宋体"/>
          <w:szCs w:val="21"/>
        </w:rPr>
      </w:pPr>
      <w:r>
        <w:rPr>
          <w:rFonts w:hint="eastAsia" w:ascii="宋体" w:hAnsi="宋体"/>
          <w:szCs w:val="21"/>
        </w:rPr>
        <w:t>本公司（企业）具备《中华人民共和国政府采购法》第二十二条资格条件，并已清楚招标文件的要求及有关文件规定。本公司（企业）的法定代表人或单位负责人与本项目其他供应商的法定代表人或单位负责人不为同一人且与其他供应商之间不存在直接控股、管理关系。并承诺在本次招标采购活动中，如有违法、违规、弄虚作假行为，所造成的损失、不良后果及法律责任，一律由我公司（企业）承担。以下资质证明文件的复印件需加盖鲜章装订在投标文件中。</w:t>
      </w:r>
    </w:p>
    <w:p>
      <w:pPr>
        <w:numPr>
          <w:ilvl w:val="0"/>
          <w:numId w:val="0"/>
        </w:numPr>
        <w:spacing w:beforeLines="50"/>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具有独立承担民事责任的能力：</w:t>
      </w:r>
      <w:r>
        <w:rPr>
          <w:rFonts w:hint="eastAsia" w:ascii="宋体" w:hAnsi="宋体" w:cs="宋体"/>
          <w:szCs w:val="21"/>
          <w:lang w:eastAsia="zh-CN"/>
        </w:rPr>
        <w:t>具有独立承担民事责任的能力（本项目允许分公司投标，分公司投标的需提供总公司对分公司的专项授权原件及总公司和分公司营业执照复印件加盖公章）</w:t>
      </w:r>
      <w:r>
        <w:rPr>
          <w:rFonts w:hint="eastAsia" w:ascii="宋体" w:hAnsi="宋体" w:cs="宋体"/>
          <w:szCs w:val="21"/>
        </w:rPr>
        <w:t>；</w:t>
      </w:r>
    </w:p>
    <w:p>
      <w:pPr>
        <w:numPr>
          <w:ilvl w:val="0"/>
          <w:numId w:val="0"/>
        </w:numPr>
        <w:spacing w:beforeLines="50"/>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xml:space="preserve">具有良好的商业信誉和健全的财务会计制度： </w:t>
      </w:r>
      <w:r>
        <w:rPr>
          <w:rFonts w:hint="eastAsia" w:ascii="宋体" w:hAnsi="宋体" w:cs="宋体"/>
          <w:szCs w:val="21"/>
          <w:lang w:eastAsia="zh-CN"/>
        </w:rPr>
        <w:t>具有良好的商业信誉和健全的财务会计制度：提供2019或2020年度经审计的财务状况报告材料或或基本开户银行出具的资信证明（新成立企业可根据自身情况酌情递交相关材料）</w:t>
      </w:r>
      <w:r>
        <w:rPr>
          <w:rFonts w:hint="eastAsia" w:ascii="宋体" w:hAnsi="宋体" w:cs="宋体"/>
          <w:szCs w:val="21"/>
        </w:rPr>
        <w:t>。</w:t>
      </w:r>
    </w:p>
    <w:p>
      <w:pPr>
        <w:numPr>
          <w:ilvl w:val="0"/>
          <w:numId w:val="0"/>
        </w:numPr>
        <w:spacing w:beforeLines="50"/>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具有履行合同所必需的设备和专业技术能力： 具体要求：提供具备履行合同所必需的设备和专业能力的资料或承诺函。</w:t>
      </w:r>
    </w:p>
    <w:p>
      <w:pPr>
        <w:numPr>
          <w:ilvl w:val="0"/>
          <w:numId w:val="0"/>
        </w:numPr>
        <w:spacing w:beforeLines="50"/>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xml:space="preserve">具有依法缴纳税收和社会保障资金的良好记录：具体要求：提供2020年1月至今任意3个月的依法缴纳税收和社会保障资金或的有效证明材料(不需要缴纳税收或社保资金的供应商须提供相应证明文件)； </w:t>
      </w:r>
    </w:p>
    <w:p>
      <w:pPr>
        <w:numPr>
          <w:ilvl w:val="0"/>
          <w:numId w:val="0"/>
        </w:numPr>
        <w:spacing w:beforeLines="50"/>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参加政府采购活动前三年内，在经营活动中没有重大违法记录： 提供参加政府采购活动前3年内在经营活动中没有重大违法记录的书面声明；</w:t>
      </w:r>
    </w:p>
    <w:p>
      <w:pPr>
        <w:numPr>
          <w:ilvl w:val="0"/>
          <w:numId w:val="0"/>
        </w:numPr>
        <w:spacing w:line="34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供应商信用信息：供应商需自行承诺“未在“信用中国”网站上及中国政府采购网上被列入失信被执行人、重大税收违法案件当事人名单、政府采购严重违法失信行为记录名单，如有被列入的情况，将视为无效投标；</w:t>
      </w:r>
    </w:p>
    <w:p>
      <w:pPr>
        <w:spacing w:beforeLines="50"/>
        <w:ind w:firstLine="420"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竞争性磋商保证金已缴纳证明。</w:t>
      </w:r>
    </w:p>
    <w:p>
      <w:pPr>
        <w:spacing w:line="360" w:lineRule="auto"/>
        <w:rPr>
          <w:rFonts w:ascii="宋体" w:hAnsi="宋体"/>
          <w:szCs w:val="21"/>
        </w:rPr>
      </w:pPr>
    </w:p>
    <w:p>
      <w:pPr>
        <w:widowControl/>
        <w:spacing w:line="360" w:lineRule="auto"/>
        <w:rPr>
          <w:rFonts w:ascii="宋体" w:hAnsi="宋体"/>
          <w:szCs w:val="21"/>
        </w:rPr>
      </w:pPr>
      <w:r>
        <w:rPr>
          <w:rFonts w:hint="eastAsia" w:ascii="宋体" w:hAnsi="宋体"/>
          <w:szCs w:val="21"/>
        </w:rPr>
        <w:t>单位名称（</w:t>
      </w:r>
      <w:r>
        <w:rPr>
          <w:rFonts w:hint="eastAsia" w:ascii="宋体" w:hAnsi="宋体"/>
          <w:bCs/>
          <w:szCs w:val="21"/>
        </w:rPr>
        <w:t>盖单位章</w:t>
      </w:r>
      <w:r>
        <w:rPr>
          <w:rFonts w:hint="eastAsia" w:ascii="宋体" w:hAnsi="宋体"/>
          <w:szCs w:val="21"/>
        </w:rPr>
        <w:t>）：</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授权签署本“资格文件”代表：</w:t>
      </w:r>
    </w:p>
    <w:p>
      <w:pPr>
        <w:widowControl/>
        <w:spacing w:line="360" w:lineRule="auto"/>
        <w:rPr>
          <w:rFonts w:ascii="宋体" w:hAnsi="宋体"/>
          <w:szCs w:val="21"/>
        </w:rPr>
      </w:pPr>
      <w:r>
        <w:rPr>
          <w:rFonts w:hint="eastAsia" w:ascii="宋体" w:hAnsi="宋体"/>
          <w:szCs w:val="21"/>
        </w:rPr>
        <w:t>名称：</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签字：</w:t>
      </w:r>
      <w:r>
        <w:rPr>
          <w:rFonts w:ascii="宋体" w:hAnsi="宋体"/>
          <w:szCs w:val="21"/>
          <w:u w:val="single"/>
        </w:rPr>
        <w:t xml:space="preserve">                  </w:t>
      </w:r>
    </w:p>
    <w:p>
      <w:pPr>
        <w:widowControl/>
        <w:spacing w:line="360" w:lineRule="auto"/>
        <w:rPr>
          <w:rFonts w:ascii="宋体" w:hAnsi="宋体"/>
          <w:szCs w:val="21"/>
        </w:rPr>
      </w:pPr>
      <w:r>
        <w:rPr>
          <w:rFonts w:hint="eastAsia" w:ascii="宋体" w:hAnsi="宋体"/>
          <w:szCs w:val="21"/>
        </w:rPr>
        <w:t>地址：</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签字人姓名、职务</w:t>
      </w:r>
      <w:r>
        <w:rPr>
          <w:rFonts w:ascii="宋体" w:hAnsi="宋体"/>
          <w:szCs w:val="21"/>
        </w:rPr>
        <w:t>（</w:t>
      </w:r>
      <w:r>
        <w:rPr>
          <w:rFonts w:hint="eastAsia" w:ascii="宋体" w:hAnsi="宋体"/>
          <w:szCs w:val="21"/>
        </w:rPr>
        <w:t>印刷体</w:t>
      </w:r>
      <w:r>
        <w:rPr>
          <w:rFonts w:ascii="宋体" w:hAnsi="宋体"/>
          <w:szCs w:val="21"/>
        </w:rPr>
        <w:t>）</w:t>
      </w:r>
    </w:p>
    <w:p>
      <w:pPr>
        <w:widowControl/>
        <w:spacing w:line="360" w:lineRule="auto"/>
        <w:rPr>
          <w:rFonts w:ascii="宋体" w:hAnsi="宋体"/>
          <w:szCs w:val="21"/>
        </w:rPr>
      </w:pPr>
      <w:r>
        <w:rPr>
          <w:rFonts w:hint="eastAsia" w:ascii="宋体" w:hAnsi="宋体"/>
          <w:szCs w:val="21"/>
        </w:rPr>
        <w:t>传真：</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邮编：</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电话：</w:t>
      </w:r>
      <w:r>
        <w:rPr>
          <w:rFonts w:ascii="宋体" w:hAnsi="宋体"/>
          <w:szCs w:val="21"/>
          <w:u w:val="single"/>
        </w:rPr>
        <w:t xml:space="preserve">                  </w:t>
      </w:r>
    </w:p>
    <w:p>
      <w:pPr>
        <w:tabs>
          <w:tab w:val="left" w:pos="3060"/>
        </w:tabs>
        <w:spacing w:line="440" w:lineRule="exact"/>
        <w:ind w:firstLine="5040" w:firstLineChars="2400"/>
        <w:rPr>
          <w:rFonts w:ascii="宋体" w:hAnsi="宋体"/>
          <w:b/>
          <w:szCs w:val="21"/>
        </w:rPr>
      </w:pPr>
      <w:r>
        <w:rPr>
          <w:rFonts w:hint="eastAsia" w:ascii="宋体" w:hAnsi="宋体"/>
          <w:szCs w:val="21"/>
        </w:rPr>
        <w:t>年     月     日</w:t>
      </w:r>
    </w:p>
    <w:p>
      <w:pPr>
        <w:tabs>
          <w:tab w:val="left" w:pos="3060"/>
        </w:tabs>
        <w:spacing w:line="440" w:lineRule="exact"/>
        <w:rPr>
          <w:rFonts w:ascii="宋体" w:hAnsi="宋体"/>
          <w:b/>
          <w:szCs w:val="21"/>
        </w:rPr>
      </w:pPr>
    </w:p>
    <w:bookmarkEnd w:id="11"/>
    <w:p>
      <w:pPr>
        <w:spacing w:line="360" w:lineRule="auto"/>
        <w:ind w:right="74" w:firstLine="420" w:firstLineChars="200"/>
        <w:rPr>
          <w:rFonts w:ascii="宋体" w:hAnsi="宋体"/>
          <w:szCs w:val="21"/>
        </w:rPr>
      </w:pPr>
      <w:r>
        <w:rPr>
          <w:rFonts w:hint="eastAsia" w:ascii="宋体" w:hAnsi="宋体"/>
          <w:szCs w:val="21"/>
        </w:rPr>
        <w:t xml:space="preserve"> </w:t>
      </w:r>
    </w:p>
    <w:p>
      <w:pPr>
        <w:spacing w:line="360" w:lineRule="auto"/>
        <w:ind w:right="74" w:firstLine="480" w:firstLineChars="200"/>
        <w:rPr>
          <w:rFonts w:ascii="宋体" w:hAnsi="宋体"/>
          <w:sz w:val="24"/>
          <w:szCs w:val="24"/>
        </w:rPr>
      </w:pPr>
    </w:p>
    <w:p>
      <w:pPr>
        <w:spacing w:line="360" w:lineRule="auto"/>
        <w:ind w:right="74" w:firstLine="420" w:firstLineChars="200"/>
        <w:rPr>
          <w:rFonts w:ascii="宋体" w:hAnsi="宋体"/>
          <w:szCs w:val="21"/>
        </w:rPr>
      </w:pPr>
    </w:p>
    <w:p>
      <w:pPr>
        <w:pStyle w:val="25"/>
        <w:spacing w:line="360" w:lineRule="auto"/>
        <w:rPr>
          <w:rFonts w:hAnsi="宋体"/>
          <w:b/>
          <w:spacing w:val="4"/>
          <w:szCs w:val="21"/>
        </w:rPr>
      </w:pPr>
    </w:p>
    <w:p>
      <w:pPr>
        <w:adjustRightInd w:val="0"/>
        <w:snapToGrid w:val="0"/>
        <w:spacing w:before="120" w:beforeLines="50" w:after="120" w:afterLines="50" w:line="360" w:lineRule="auto"/>
        <w:jc w:val="center"/>
        <w:rPr>
          <w:b/>
          <w:sz w:val="36"/>
          <w:szCs w:val="36"/>
        </w:rPr>
      </w:pPr>
      <w:r>
        <w:rPr>
          <w:rFonts w:hint="eastAsia"/>
          <w:b/>
          <w:sz w:val="36"/>
          <w:szCs w:val="36"/>
        </w:rPr>
        <w:t>八、投标服务的详细情况及技术服务方案</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主要内容应包括但不限于以下内容（格式自定）：</w:t>
      </w:r>
    </w:p>
    <w:p>
      <w:pPr>
        <w:numPr>
          <w:ilvl w:val="0"/>
          <w:numId w:val="6"/>
        </w:numPr>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产品质量</w:t>
      </w:r>
    </w:p>
    <w:p>
      <w:pPr>
        <w:numPr>
          <w:ilvl w:val="0"/>
          <w:numId w:val="6"/>
        </w:numPr>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售后服务方案</w:t>
      </w:r>
    </w:p>
    <w:p>
      <w:pPr>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3、业绩</w:t>
      </w:r>
    </w:p>
    <w:p>
      <w:pPr>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4、</w:t>
      </w:r>
      <w:r>
        <w:rPr>
          <w:rFonts w:hint="eastAsia" w:ascii="宋体" w:hAnsi="宋体"/>
          <w:color w:val="auto"/>
          <w:sz w:val="24"/>
        </w:rPr>
        <w:t>供应商认为对投标有利的其他资料</w:t>
      </w:r>
    </w:p>
    <w:p>
      <w:pPr>
        <w:pStyle w:val="25"/>
        <w:spacing w:line="360" w:lineRule="auto"/>
        <w:rPr>
          <w:rFonts w:hAnsi="宋体"/>
          <w:b/>
          <w:spacing w:val="4"/>
          <w:szCs w:val="21"/>
        </w:rPr>
      </w:pPr>
    </w:p>
    <w:p>
      <w:pPr>
        <w:pStyle w:val="25"/>
        <w:spacing w:line="360" w:lineRule="auto"/>
        <w:ind w:firstLine="438" w:firstLineChars="200"/>
        <w:rPr>
          <w:rFonts w:hint="eastAsia" w:hAnsi="宋体" w:eastAsia="宋体"/>
          <w:sz w:val="24"/>
          <w:szCs w:val="24"/>
          <w:lang w:eastAsia="zh-CN"/>
        </w:rPr>
      </w:pPr>
      <w:r>
        <w:rPr>
          <w:rFonts w:hint="eastAsia" w:hAnsi="宋体"/>
          <w:b/>
          <w:spacing w:val="4"/>
          <w:szCs w:val="21"/>
          <w:lang w:val="en-US" w:eastAsia="zh-CN"/>
        </w:rPr>
        <w:t xml:space="preserve"> </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abs>
          <w:tab w:val="left" w:pos="5355"/>
        </w:tabs>
        <w:spacing w:line="500" w:lineRule="atLeast"/>
        <w:ind w:right="-15" w:rightChars="-7"/>
        <w:jc w:val="center"/>
        <w:rPr>
          <w:rFonts w:ascii="宋体" w:hAnsi="宋体"/>
          <w:b/>
          <w:bCs/>
          <w:sz w:val="36"/>
          <w:szCs w:val="36"/>
        </w:rPr>
      </w:pPr>
      <w:r>
        <w:rPr>
          <w:rFonts w:ascii="宋体" w:hAnsi="宋体"/>
          <w:b/>
          <w:szCs w:val="21"/>
        </w:rPr>
        <w:br w:type="page"/>
      </w:r>
    </w:p>
    <w:p>
      <w:pPr>
        <w:spacing w:line="440" w:lineRule="exact"/>
        <w:ind w:firstLine="2530" w:firstLineChars="700"/>
        <w:rPr>
          <w:b/>
          <w:color w:val="000000" w:themeColor="text1"/>
          <w:sz w:val="36"/>
          <w:szCs w:val="36"/>
        </w:rPr>
      </w:pPr>
      <w:r>
        <w:rPr>
          <w:rFonts w:hint="eastAsia"/>
          <w:b/>
          <w:color w:val="000000" w:themeColor="text1"/>
          <w:sz w:val="36"/>
          <w:szCs w:val="36"/>
          <w:lang w:val="en-US" w:eastAsia="zh-CN"/>
        </w:rPr>
        <w:t>九</w:t>
      </w:r>
      <w:r>
        <w:rPr>
          <w:rFonts w:hint="eastAsia"/>
          <w:b/>
          <w:color w:val="000000" w:themeColor="text1"/>
          <w:sz w:val="36"/>
          <w:szCs w:val="36"/>
        </w:rPr>
        <w:t xml:space="preserve"> 有关政策的承诺函</w:t>
      </w:r>
    </w:p>
    <w:p>
      <w:pPr>
        <w:rPr>
          <w:rFonts w:ascii="宋体" w:hAnsi="宋体"/>
          <w:b/>
          <w:color w:val="000000" w:themeColor="text1"/>
          <w:sz w:val="24"/>
        </w:rPr>
      </w:pPr>
    </w:p>
    <w:p>
      <w:pPr>
        <w:rPr>
          <w:rFonts w:ascii="宋体" w:hAnsi="宋体"/>
          <w:b/>
          <w:color w:val="000000" w:themeColor="text1"/>
          <w:sz w:val="24"/>
        </w:rPr>
      </w:pPr>
    </w:p>
    <w:p>
      <w:pPr>
        <w:rPr>
          <w:b/>
          <w:color w:val="000000" w:themeColor="text1"/>
          <w:sz w:val="24"/>
        </w:rPr>
      </w:pPr>
      <w:r>
        <w:rPr>
          <w:rFonts w:hint="eastAsia" w:ascii="宋体" w:hAnsi="宋体"/>
          <w:b/>
          <w:color w:val="000000" w:themeColor="text1"/>
          <w:sz w:val="24"/>
          <w:lang w:eastAsia="zh-CN"/>
        </w:rPr>
        <w:t>江苏万源工程咨询有限公司</w:t>
      </w:r>
      <w:r>
        <w:rPr>
          <w:rFonts w:hint="eastAsia"/>
          <w:b/>
          <w:color w:val="000000" w:themeColor="text1"/>
          <w:sz w:val="24"/>
        </w:rPr>
        <w:t>：</w:t>
      </w:r>
    </w:p>
    <w:p>
      <w:pPr>
        <w:snapToGrid w:val="0"/>
        <w:spacing w:before="120" w:beforeLines="50" w:line="360" w:lineRule="auto"/>
        <w:ind w:firstLine="600" w:firstLineChars="250"/>
        <w:rPr>
          <w:rFonts w:ascii="宋体" w:hAnsi="宋体"/>
          <w:color w:val="000000" w:themeColor="text1"/>
          <w:sz w:val="24"/>
        </w:rPr>
      </w:pPr>
      <w:r>
        <w:rPr>
          <w:rFonts w:hint="eastAsia" w:ascii="宋体" w:hAnsi="宋体"/>
          <w:color w:val="000000" w:themeColor="text1"/>
          <w:sz w:val="24"/>
        </w:rPr>
        <w:t>关于贵单位</w:t>
      </w:r>
      <w:r>
        <w:rPr>
          <w:rFonts w:hint="eastAsia" w:ascii="宋体" w:hAnsi="宋体"/>
          <w:color w:val="000000" w:themeColor="text1"/>
          <w:sz w:val="24"/>
          <w:u w:val="single"/>
        </w:rPr>
        <w:t>　　</w:t>
      </w:r>
      <w:r>
        <w:rPr>
          <w:rFonts w:hint="eastAsia" w:ascii="宋体" w:hAnsi="宋体"/>
          <w:color w:val="000000" w:themeColor="text1"/>
          <w:sz w:val="24"/>
        </w:rPr>
        <w:t>年</w:t>
      </w:r>
      <w:r>
        <w:rPr>
          <w:rFonts w:hint="eastAsia" w:ascii="宋体" w:hAnsi="宋体"/>
          <w:color w:val="000000" w:themeColor="text1"/>
          <w:sz w:val="24"/>
          <w:u w:val="single"/>
        </w:rPr>
        <w:t>　　</w:t>
      </w:r>
      <w:r>
        <w:rPr>
          <w:rFonts w:hint="eastAsia" w:ascii="宋体" w:hAnsi="宋体"/>
          <w:color w:val="000000" w:themeColor="text1"/>
          <w:sz w:val="24"/>
        </w:rPr>
        <w:t>月</w:t>
      </w:r>
      <w:r>
        <w:rPr>
          <w:rFonts w:hint="eastAsia" w:ascii="宋体" w:hAnsi="宋体"/>
          <w:color w:val="000000" w:themeColor="text1"/>
          <w:sz w:val="24"/>
          <w:u w:val="single"/>
        </w:rPr>
        <w:t>　　</w:t>
      </w:r>
      <w:r>
        <w:rPr>
          <w:rFonts w:hint="eastAsia" w:ascii="宋体" w:hAnsi="宋体"/>
          <w:color w:val="000000" w:themeColor="text1"/>
          <w:sz w:val="24"/>
        </w:rPr>
        <w:t>日发布</w:t>
      </w:r>
      <w:r>
        <w:rPr>
          <w:rFonts w:hint="eastAsia" w:ascii="宋体"/>
          <w:bCs/>
          <w:color w:val="000000" w:themeColor="text1"/>
          <w:sz w:val="24"/>
          <w:u w:val="single"/>
        </w:rPr>
        <w:t xml:space="preserve">                项目</w:t>
      </w:r>
      <w:r>
        <w:rPr>
          <w:rFonts w:hint="eastAsia" w:ascii="宋体" w:hAnsi="宋体"/>
          <w:color w:val="000000" w:themeColor="text1"/>
          <w:sz w:val="24"/>
        </w:rPr>
        <w:t>（项目编号：</w:t>
      </w:r>
      <w:r>
        <w:rPr>
          <w:rFonts w:hint="eastAsia" w:ascii="宋体" w:hAnsi="宋体"/>
          <w:bCs/>
          <w:color w:val="000000" w:themeColor="text1"/>
          <w:sz w:val="24"/>
          <w:u w:val="single"/>
        </w:rPr>
        <w:t xml:space="preserve">                   </w:t>
      </w:r>
      <w:r>
        <w:rPr>
          <w:rFonts w:hint="eastAsia" w:ascii="宋体" w:hAnsi="宋体"/>
          <w:color w:val="000000" w:themeColor="text1"/>
          <w:sz w:val="24"/>
        </w:rPr>
        <w:t>）的采购公告，本公司（企业）愿意参加投标，并承诺：</w:t>
      </w:r>
    </w:p>
    <w:p>
      <w:pPr>
        <w:snapToGrid w:val="0"/>
        <w:spacing w:before="120" w:beforeLines="50" w:line="360" w:lineRule="auto"/>
        <w:ind w:firstLine="600" w:firstLineChars="250"/>
        <w:rPr>
          <w:bCs/>
          <w:color w:val="000000" w:themeColor="text1"/>
          <w:sz w:val="24"/>
        </w:rPr>
      </w:pPr>
      <w:r>
        <w:rPr>
          <w:rFonts w:hint="eastAsia"/>
          <w:bCs/>
          <w:color w:val="000000" w:themeColor="text1"/>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color w:val="000000" w:themeColor="text1"/>
          <w:sz w:val="24"/>
        </w:rPr>
        <w:t>否则，由此所造成的损失、不良后果及法律责任，一律由我公司（企业）承担。</w:t>
      </w:r>
    </w:p>
    <w:p>
      <w:pPr>
        <w:spacing w:line="360" w:lineRule="auto"/>
        <w:ind w:firstLine="420"/>
        <w:rPr>
          <w:color w:val="000000" w:themeColor="text1"/>
          <w:sz w:val="24"/>
        </w:rPr>
      </w:pP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供应商名称（公章）：</w:t>
      </w:r>
    </w:p>
    <w:p>
      <w:pPr>
        <w:adjustRightInd w:val="0"/>
        <w:snapToGrid w:val="0"/>
        <w:spacing w:line="360" w:lineRule="auto"/>
        <w:ind w:firstLine="480" w:firstLineChars="200"/>
        <w:rPr>
          <w:rFonts w:ascii="宋体" w:hAnsi="宋体"/>
          <w:color w:val="000000" w:themeColor="text1"/>
          <w:sz w:val="24"/>
        </w:rPr>
      </w:pPr>
    </w:p>
    <w:p>
      <w:pPr>
        <w:adjustRightInd w:val="0"/>
        <w:snapToGrid w:val="0"/>
        <w:spacing w:line="360" w:lineRule="auto"/>
        <w:ind w:firstLine="480" w:firstLineChars="200"/>
        <w:rPr>
          <w:color w:val="000000" w:themeColor="text1"/>
          <w:sz w:val="24"/>
        </w:rPr>
      </w:pPr>
      <w:r>
        <w:rPr>
          <w:rFonts w:hint="eastAsia"/>
          <w:color w:val="000000" w:themeColor="text1"/>
          <w:sz w:val="24"/>
        </w:rPr>
        <w:t>法定代表人或其授权代表签名：</w:t>
      </w:r>
    </w:p>
    <w:p>
      <w:pPr>
        <w:ind w:firstLine="480" w:firstLineChars="200"/>
        <w:rPr>
          <w:color w:val="000000" w:themeColor="text1"/>
          <w:sz w:val="24"/>
        </w:rPr>
      </w:pPr>
    </w:p>
    <w:p>
      <w:pPr>
        <w:spacing w:line="360" w:lineRule="auto"/>
        <w:ind w:firstLine="480" w:firstLineChars="200"/>
        <w:rPr>
          <w:color w:val="000000" w:themeColor="text1"/>
          <w:sz w:val="24"/>
        </w:rPr>
      </w:pPr>
      <w:r>
        <w:rPr>
          <w:rFonts w:hint="eastAsia"/>
          <w:color w:val="000000" w:themeColor="text1"/>
          <w:sz w:val="24"/>
        </w:rPr>
        <w:t xml:space="preserve">日    期：   </w:t>
      </w: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rFonts w:hint="eastAsia"/>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r>
        <w:rPr>
          <w:rFonts w:hint="eastAsia"/>
          <w:b/>
          <w:color w:val="000000" w:themeColor="text1"/>
          <w:sz w:val="36"/>
          <w:szCs w:val="36"/>
        </w:rPr>
        <w:t>十 政策适用性说明（如有）</w:t>
      </w:r>
    </w:p>
    <w:p>
      <w:pPr>
        <w:autoSpaceDE w:val="0"/>
        <w:autoSpaceDN w:val="0"/>
        <w:adjustRightInd w:val="0"/>
        <w:spacing w:line="260" w:lineRule="exact"/>
        <w:ind w:firstLine="480" w:firstLineChars="200"/>
        <w:jc w:val="left"/>
        <w:rPr>
          <w:rFonts w:ascii="宋体" w:hAnsi="宋体"/>
          <w:color w:val="000000" w:themeColor="text1"/>
          <w:sz w:val="24"/>
        </w:rPr>
      </w:pPr>
      <w:r>
        <w:rPr>
          <w:rFonts w:hint="eastAsia" w:ascii="宋体" w:hAnsi="宋体"/>
          <w:color w:val="000000" w:themeColor="text1"/>
          <w:sz w:val="24"/>
        </w:rPr>
        <w:t>按照政府采购有关政策的要求，在本次的技术方案中，采用符合中小企业扶持政策、节能产品、环保标志产品、能源效率标识产品政策，介绍说明如下：</w:t>
      </w:r>
    </w:p>
    <w:tbl>
      <w:tblPr>
        <w:tblStyle w:val="50"/>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小型、微型企业产品</w:t>
            </w:r>
          </w:p>
        </w:tc>
        <w:tc>
          <w:tcPr>
            <w:tcW w:w="2249"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产品名称</w:t>
            </w:r>
          </w:p>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（品牌、型号）</w:t>
            </w:r>
          </w:p>
        </w:tc>
        <w:tc>
          <w:tcPr>
            <w:tcW w:w="1826"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制造商</w:t>
            </w:r>
          </w:p>
        </w:tc>
        <w:tc>
          <w:tcPr>
            <w:tcW w:w="1614"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制造商企业类型</w:t>
            </w:r>
          </w:p>
        </w:tc>
        <w:tc>
          <w:tcPr>
            <w:tcW w:w="1304"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金额</w:t>
            </w:r>
          </w:p>
        </w:tc>
        <w:tc>
          <w:tcPr>
            <w:tcW w:w="1487"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rPr>
            </w:pPr>
          </w:p>
        </w:tc>
        <w:tc>
          <w:tcPr>
            <w:tcW w:w="1304" w:type="dxa"/>
            <w:vAlign w:val="center"/>
          </w:tcPr>
          <w:p>
            <w:pPr>
              <w:tabs>
                <w:tab w:val="left" w:pos="1260"/>
              </w:tabs>
              <w:spacing w:line="260" w:lineRule="exact"/>
              <w:jc w:val="center"/>
              <w:rPr>
                <w:rFonts w:ascii="宋体" w:hAnsi="宋体" w:cs="Times New Roman"/>
                <w:color w:val="000000" w:themeColor="text1"/>
                <w:sz w:val="24"/>
                <w:szCs w:val="22"/>
              </w:rPr>
            </w:pPr>
          </w:p>
        </w:tc>
        <w:tc>
          <w:tcPr>
            <w:tcW w:w="1487" w:type="dxa"/>
            <w:vAlign w:val="center"/>
          </w:tcPr>
          <w:p>
            <w:pPr>
              <w:tabs>
                <w:tab w:val="left" w:pos="1260"/>
              </w:tabs>
              <w:spacing w:line="260" w:lineRule="exact"/>
              <w:jc w:val="center"/>
              <w:rPr>
                <w:rFonts w:ascii="宋体" w:hAnsi="宋体" w:cs="Times New Roman"/>
                <w:color w:val="000000" w:themeColor="text1"/>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rPr>
            </w:pPr>
          </w:p>
        </w:tc>
        <w:tc>
          <w:tcPr>
            <w:tcW w:w="1304" w:type="dxa"/>
            <w:vAlign w:val="center"/>
          </w:tcPr>
          <w:p>
            <w:pPr>
              <w:tabs>
                <w:tab w:val="left" w:pos="1260"/>
              </w:tabs>
              <w:spacing w:line="260" w:lineRule="exact"/>
              <w:jc w:val="center"/>
              <w:rPr>
                <w:rFonts w:ascii="宋体" w:hAnsi="宋体" w:cs="Times New Roman"/>
                <w:color w:val="000000" w:themeColor="text1"/>
                <w:sz w:val="24"/>
                <w:szCs w:val="22"/>
              </w:rPr>
            </w:pPr>
          </w:p>
        </w:tc>
        <w:tc>
          <w:tcPr>
            <w:tcW w:w="1487" w:type="dxa"/>
            <w:vAlign w:val="center"/>
          </w:tcPr>
          <w:p>
            <w:pPr>
              <w:tabs>
                <w:tab w:val="left" w:pos="1260"/>
              </w:tabs>
              <w:spacing w:line="260" w:lineRule="exact"/>
              <w:jc w:val="center"/>
              <w:rPr>
                <w:rFonts w:ascii="宋体" w:hAnsi="宋体" w:cs="Times New Roman"/>
                <w:color w:val="000000" w:themeColor="text1"/>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rPr>
            </w:pPr>
          </w:p>
        </w:tc>
        <w:tc>
          <w:tcPr>
            <w:tcW w:w="1304" w:type="dxa"/>
            <w:vAlign w:val="center"/>
          </w:tcPr>
          <w:p>
            <w:pPr>
              <w:tabs>
                <w:tab w:val="left" w:pos="1260"/>
              </w:tabs>
              <w:spacing w:line="260" w:lineRule="exact"/>
              <w:jc w:val="center"/>
              <w:rPr>
                <w:rFonts w:ascii="宋体" w:hAnsi="宋体" w:cs="Times New Roman"/>
                <w:color w:val="000000" w:themeColor="text1"/>
                <w:sz w:val="24"/>
                <w:szCs w:val="22"/>
              </w:rPr>
            </w:pPr>
          </w:p>
        </w:tc>
        <w:tc>
          <w:tcPr>
            <w:tcW w:w="1487" w:type="dxa"/>
            <w:vAlign w:val="center"/>
          </w:tcPr>
          <w:p>
            <w:pPr>
              <w:tabs>
                <w:tab w:val="left" w:pos="1260"/>
              </w:tabs>
              <w:spacing w:line="260" w:lineRule="exact"/>
              <w:jc w:val="center"/>
              <w:rPr>
                <w:rFonts w:ascii="宋体" w:hAnsi="宋体" w:cs="Times New Roman"/>
                <w:color w:val="000000" w:themeColor="text1"/>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rPr>
            </w:pPr>
          </w:p>
        </w:tc>
        <w:tc>
          <w:tcPr>
            <w:tcW w:w="8480" w:type="dxa"/>
            <w:gridSpan w:val="5"/>
            <w:vAlign w:val="center"/>
          </w:tcPr>
          <w:p>
            <w:pPr>
              <w:tabs>
                <w:tab w:val="left" w:pos="1260"/>
              </w:tabs>
              <w:spacing w:line="260" w:lineRule="exact"/>
              <w:ind w:left="-86" w:leftChars="-41" w:right="-71" w:rightChars="-34"/>
              <w:jc w:val="left"/>
              <w:rPr>
                <w:rFonts w:ascii="宋体" w:hAnsi="宋体" w:cs="Times New Roman"/>
                <w:color w:val="000000" w:themeColor="text1"/>
                <w:sz w:val="24"/>
                <w:szCs w:val="22"/>
              </w:rPr>
            </w:pPr>
            <w:r>
              <w:rPr>
                <w:rFonts w:hint="eastAsia" w:ascii="宋体" w:hAnsi="宋体" w:cs="Times New Roman"/>
                <w:color w:val="000000" w:themeColor="text1"/>
                <w:sz w:val="24"/>
                <w:szCs w:val="22"/>
              </w:rPr>
              <w:t>行    业：</w:t>
            </w:r>
            <w:r>
              <w:rPr>
                <w:rFonts w:hint="eastAsia" w:ascii="宋体" w:hAnsi="宋体" w:cs="Times New Roman"/>
                <w:color w:val="000000" w:themeColor="text1"/>
                <w:sz w:val="24"/>
                <w:szCs w:val="22"/>
                <w:u w:val="single"/>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u w:val="single"/>
              </w:rPr>
            </w:pPr>
            <w:r>
              <w:rPr>
                <w:rFonts w:hint="eastAsia" w:ascii="宋体" w:hAnsi="宋体" w:cs="Times New Roman"/>
                <w:color w:val="000000" w:themeColor="text1"/>
                <w:sz w:val="24"/>
                <w:szCs w:val="22"/>
              </w:rPr>
              <w:t>营业收入（万元）：</w:t>
            </w:r>
            <w:r>
              <w:rPr>
                <w:rFonts w:hint="eastAsia" w:ascii="宋体" w:hAnsi="宋体" w:cs="Times New Roman"/>
                <w:color w:val="000000" w:themeColor="text1"/>
                <w:sz w:val="24"/>
                <w:szCs w:val="22"/>
                <w:u w:val="single"/>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u w:val="single"/>
              </w:rPr>
            </w:pPr>
            <w:r>
              <w:rPr>
                <w:rFonts w:hint="eastAsia" w:ascii="宋体" w:hAnsi="宋体" w:cs="Times New Roman"/>
                <w:color w:val="000000" w:themeColor="text1"/>
                <w:sz w:val="24"/>
                <w:szCs w:val="22"/>
              </w:rPr>
              <w:t>资产总额：（万元）：</w:t>
            </w:r>
            <w:r>
              <w:rPr>
                <w:rFonts w:hint="eastAsia" w:ascii="宋体" w:hAnsi="宋体" w:cs="Times New Roman"/>
                <w:color w:val="000000" w:themeColor="text1"/>
                <w:sz w:val="24"/>
                <w:szCs w:val="22"/>
                <w:u w:val="single"/>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rPr>
            </w:pPr>
            <w:r>
              <w:rPr>
                <w:rFonts w:hint="eastAsia" w:ascii="宋体" w:hAnsi="宋体" w:cs="Times New Roman"/>
                <w:color w:val="000000" w:themeColor="text1"/>
                <w:sz w:val="24"/>
                <w:szCs w:val="22"/>
              </w:rPr>
              <w:t>从业人员（人）：</w:t>
            </w:r>
            <w:r>
              <w:rPr>
                <w:rFonts w:hint="eastAsia" w:ascii="宋体" w:hAnsi="宋体" w:cs="Times New Roman"/>
                <w:color w:val="000000" w:themeColor="text1"/>
                <w:sz w:val="24"/>
                <w:szCs w:val="22"/>
                <w:u w:val="single"/>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rPr>
            </w:pPr>
            <w:r>
              <w:rPr>
                <w:rFonts w:hint="eastAsia" w:ascii="宋体" w:hAnsi="宋体" w:cs="Times New Roman"/>
                <w:color w:val="000000" w:themeColor="text1"/>
                <w:sz w:val="24"/>
                <w:szCs w:val="22"/>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类别</w:t>
            </w:r>
          </w:p>
        </w:tc>
        <w:tc>
          <w:tcPr>
            <w:tcW w:w="2249"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主要产品/技术名称</w:t>
            </w:r>
          </w:p>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（规格型号、注册商标）</w:t>
            </w:r>
          </w:p>
        </w:tc>
        <w:tc>
          <w:tcPr>
            <w:tcW w:w="1826"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制造商/开发商</w:t>
            </w:r>
          </w:p>
        </w:tc>
        <w:tc>
          <w:tcPr>
            <w:tcW w:w="1614"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认证证书编号</w:t>
            </w:r>
          </w:p>
        </w:tc>
        <w:tc>
          <w:tcPr>
            <w:tcW w:w="2791" w:type="dxa"/>
            <w:gridSpan w:val="2"/>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节能产品</w:t>
            </w:r>
          </w:p>
        </w:tc>
        <w:tc>
          <w:tcPr>
            <w:tcW w:w="2249" w:type="dxa"/>
            <w:vAlign w:val="center"/>
          </w:tcPr>
          <w:p>
            <w:pPr>
              <w:tabs>
                <w:tab w:val="left" w:pos="1260"/>
              </w:tabs>
              <w:spacing w:line="260" w:lineRule="exact"/>
              <w:jc w:val="center"/>
              <w:rPr>
                <w:rFonts w:ascii="宋体" w:hAnsi="宋体" w:cs="Times New Roman"/>
                <w:color w:val="000000" w:themeColor="text1"/>
                <w:sz w:val="24"/>
                <w:szCs w:val="22"/>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第</w:t>
            </w:r>
            <w:r>
              <w:rPr>
                <w:rFonts w:hint="eastAsia" w:ascii="宋体" w:hAnsi="宋体" w:cs="Times New Roman"/>
                <w:color w:val="000000" w:themeColor="text1"/>
                <w:sz w:val="24"/>
                <w:szCs w:val="22"/>
                <w:u w:val="single"/>
              </w:rPr>
              <w:t>　</w:t>
            </w:r>
            <w:r>
              <w:rPr>
                <w:rFonts w:hint="eastAsia" w:ascii="宋体" w:hAnsi="宋体" w:cs="Times New Roman"/>
                <w:color w:val="000000" w:themeColor="text1"/>
                <w:sz w:val="24"/>
                <w:szCs w:val="22"/>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宋体" w:hAnsi="宋体" w:cs="Times New Roman"/>
                <w:color w:val="000000" w:themeColor="text1"/>
                <w:sz w:val="24"/>
                <w:szCs w:val="22"/>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第</w:t>
            </w:r>
            <w:r>
              <w:rPr>
                <w:rFonts w:hint="eastAsia" w:ascii="宋体" w:hAnsi="宋体" w:cs="Times New Roman"/>
                <w:color w:val="000000" w:themeColor="text1"/>
                <w:sz w:val="24"/>
                <w:szCs w:val="22"/>
                <w:u w:val="single"/>
              </w:rPr>
              <w:t>　</w:t>
            </w:r>
            <w:r>
              <w:rPr>
                <w:rFonts w:hint="eastAsia" w:ascii="宋体" w:hAnsi="宋体" w:cs="Times New Roman"/>
                <w:color w:val="000000" w:themeColor="text1"/>
                <w:sz w:val="24"/>
                <w:szCs w:val="22"/>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宋体" w:hAnsi="宋体" w:cs="Times New Roman"/>
                <w:color w:val="000000" w:themeColor="text1"/>
                <w:sz w:val="24"/>
                <w:szCs w:val="22"/>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第</w:t>
            </w:r>
            <w:r>
              <w:rPr>
                <w:rFonts w:hint="eastAsia" w:ascii="宋体" w:hAnsi="宋体" w:cs="Times New Roman"/>
                <w:color w:val="000000" w:themeColor="text1"/>
                <w:sz w:val="24"/>
                <w:szCs w:val="22"/>
                <w:u w:val="single"/>
              </w:rPr>
              <w:t>　</w:t>
            </w:r>
            <w:r>
              <w:rPr>
                <w:rFonts w:hint="eastAsia" w:ascii="宋体" w:hAnsi="宋体" w:cs="Times New Roman"/>
                <w:color w:val="000000" w:themeColor="text1"/>
                <w:sz w:val="24"/>
                <w:szCs w:val="22"/>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环保标志产品</w:t>
            </w:r>
          </w:p>
        </w:tc>
        <w:tc>
          <w:tcPr>
            <w:tcW w:w="2249" w:type="dxa"/>
            <w:vAlign w:val="center"/>
          </w:tcPr>
          <w:p>
            <w:pPr>
              <w:tabs>
                <w:tab w:val="left" w:pos="1260"/>
              </w:tabs>
              <w:spacing w:line="260" w:lineRule="exact"/>
              <w:jc w:val="center"/>
              <w:rPr>
                <w:rFonts w:ascii="宋体" w:hAnsi="宋体" w:cs="Times New Roman"/>
                <w:color w:val="000000" w:themeColor="text1"/>
                <w:sz w:val="24"/>
                <w:szCs w:val="22"/>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第</w:t>
            </w:r>
            <w:r>
              <w:rPr>
                <w:rFonts w:hint="eastAsia" w:ascii="宋体" w:hAnsi="宋体" w:cs="Times New Roman"/>
                <w:color w:val="000000" w:themeColor="text1"/>
                <w:sz w:val="24"/>
                <w:szCs w:val="22"/>
                <w:u w:val="single"/>
              </w:rPr>
              <w:t>　</w:t>
            </w:r>
            <w:r>
              <w:rPr>
                <w:rFonts w:hint="eastAsia" w:ascii="宋体" w:hAnsi="宋体" w:cs="Times New Roman"/>
                <w:color w:val="000000" w:themeColor="text1"/>
                <w:sz w:val="24"/>
                <w:szCs w:val="22"/>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第</w:t>
            </w:r>
            <w:r>
              <w:rPr>
                <w:rFonts w:hint="eastAsia" w:ascii="宋体" w:hAnsi="宋体" w:cs="Times New Roman"/>
                <w:color w:val="000000" w:themeColor="text1"/>
                <w:sz w:val="24"/>
                <w:szCs w:val="22"/>
                <w:u w:val="single"/>
              </w:rPr>
              <w:t>　</w:t>
            </w:r>
            <w:r>
              <w:rPr>
                <w:rFonts w:hint="eastAsia" w:ascii="宋体" w:hAnsi="宋体" w:cs="Times New Roman"/>
                <w:color w:val="000000" w:themeColor="text1"/>
                <w:sz w:val="24"/>
                <w:szCs w:val="22"/>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第</w:t>
            </w:r>
            <w:r>
              <w:rPr>
                <w:rFonts w:hint="eastAsia" w:ascii="宋体" w:hAnsi="宋体" w:cs="Times New Roman"/>
                <w:color w:val="000000" w:themeColor="text1"/>
                <w:sz w:val="24"/>
                <w:szCs w:val="22"/>
                <w:u w:val="single"/>
              </w:rPr>
              <w:t>　</w:t>
            </w:r>
            <w:r>
              <w:rPr>
                <w:rFonts w:hint="eastAsia" w:ascii="宋体" w:hAnsi="宋体" w:cs="Times New Roman"/>
                <w:color w:val="000000" w:themeColor="text1"/>
                <w:sz w:val="24"/>
                <w:szCs w:val="22"/>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rPr>
            </w:pPr>
            <w:r>
              <w:rPr>
                <w:rFonts w:hint="eastAsia" w:ascii="宋体" w:hAnsi="宋体" w:cs="Times New Roman"/>
                <w:color w:val="000000" w:themeColor="text1"/>
                <w:sz w:val="24"/>
                <w:szCs w:val="22"/>
              </w:rPr>
              <w:t>说明</w:t>
            </w:r>
          </w:p>
        </w:tc>
        <w:tc>
          <w:tcPr>
            <w:tcW w:w="8480" w:type="dxa"/>
            <w:gridSpan w:val="5"/>
            <w:vAlign w:val="center"/>
          </w:tcPr>
          <w:p>
            <w:pPr>
              <w:tabs>
                <w:tab w:val="left" w:pos="1260"/>
              </w:tabs>
              <w:spacing w:line="260" w:lineRule="exact"/>
              <w:rPr>
                <w:rFonts w:ascii="宋体" w:hAnsi="宋体" w:cs="Times New Roman"/>
                <w:color w:val="000000" w:themeColor="text1"/>
                <w:sz w:val="24"/>
                <w:szCs w:val="22"/>
              </w:rPr>
            </w:pPr>
          </w:p>
        </w:tc>
      </w:tr>
    </w:tbl>
    <w:p>
      <w:pPr>
        <w:tabs>
          <w:tab w:val="left" w:pos="360"/>
          <w:tab w:val="left" w:pos="993"/>
        </w:tabs>
        <w:spacing w:line="360" w:lineRule="exact"/>
        <w:ind w:firstLine="480" w:firstLineChars="200"/>
        <w:rPr>
          <w:rFonts w:ascii="宋体" w:hAnsi="宋体"/>
          <w:color w:val="000000" w:themeColor="text1"/>
          <w:sz w:val="24"/>
        </w:rPr>
      </w:pPr>
      <w:r>
        <w:rPr>
          <w:rFonts w:hint="eastAsia" w:ascii="宋体" w:hAnsi="宋体"/>
          <w:color w:val="000000" w:themeColor="text1"/>
          <w:sz w:val="24"/>
        </w:rPr>
        <w:t>备注：</w:t>
      </w:r>
      <w:r>
        <w:rPr>
          <w:rFonts w:hint="eastAsia" w:ascii="宋体" w:hAnsi="宋体"/>
          <w:color w:val="000000" w:themeColor="text1"/>
          <w:sz w:val="24"/>
        </w:rPr>
        <w:tab/>
      </w:r>
    </w:p>
    <w:p>
      <w:pPr>
        <w:tabs>
          <w:tab w:val="left" w:pos="426"/>
          <w:tab w:val="left" w:pos="567"/>
        </w:tabs>
        <w:wordWrap w:val="0"/>
        <w:spacing w:line="360" w:lineRule="exact"/>
        <w:ind w:firstLine="480" w:firstLineChars="200"/>
        <w:rPr>
          <w:rFonts w:ascii="宋体" w:hAnsi="宋体"/>
          <w:color w:val="000000" w:themeColor="text1"/>
          <w:sz w:val="24"/>
        </w:rPr>
      </w:pPr>
      <w:r>
        <w:rPr>
          <w:rFonts w:hint="eastAsia" w:ascii="宋体" w:hAnsi="宋体"/>
          <w:color w:val="000000" w:themeColor="text1"/>
          <w:sz w:val="24"/>
        </w:rPr>
        <w:t>1.制造商为小型或微型企业时才需要填“制造商企业类型”栏，填写内容为“小型”或“微型”；</w:t>
      </w:r>
    </w:p>
    <w:p>
      <w:pPr>
        <w:tabs>
          <w:tab w:val="left" w:pos="426"/>
          <w:tab w:val="left" w:pos="567"/>
        </w:tabs>
        <w:wordWrap w:val="0"/>
        <w:spacing w:line="360" w:lineRule="exact"/>
        <w:ind w:firstLine="480" w:firstLineChars="200"/>
        <w:rPr>
          <w:rFonts w:ascii="宋体" w:hAnsi="宋体"/>
          <w:color w:val="000000" w:themeColor="text1"/>
          <w:sz w:val="24"/>
        </w:rPr>
      </w:pPr>
      <w:r>
        <w:rPr>
          <w:rFonts w:hint="eastAsia" w:ascii="宋体" w:hAnsi="宋体"/>
          <w:color w:val="000000" w:themeColor="text1"/>
          <w:sz w:val="24"/>
        </w:rPr>
        <w:t>2.“节能产品、环保标志产品”是属于国家行业主管部门颁布的清单目录中的产品，须填写认证证书编号，并在“清单”栏中填写属于“第</w:t>
      </w:r>
      <w:r>
        <w:rPr>
          <w:rFonts w:hint="eastAsia" w:ascii="宋体" w:hAnsi="宋体"/>
          <w:color w:val="000000" w:themeColor="text1"/>
          <w:sz w:val="24"/>
          <w:u w:val="single"/>
        </w:rPr>
        <w:t>　</w:t>
      </w:r>
      <w:r>
        <w:rPr>
          <w:rFonts w:hint="eastAsia" w:ascii="宋体" w:hAnsi="宋体"/>
          <w:color w:val="000000" w:themeColor="text1"/>
          <w:sz w:val="24"/>
        </w:rPr>
        <w:t>期清单”的产品（产品被列入多期清单的，</w:t>
      </w:r>
      <w:r>
        <w:rPr>
          <w:rFonts w:hint="eastAsia" w:ascii="宋体" w:hAnsi="宋体"/>
          <w:b/>
          <w:color w:val="000000" w:themeColor="text1"/>
          <w:sz w:val="24"/>
        </w:rPr>
        <w:t>以最新一期为准</w:t>
      </w:r>
      <w:r>
        <w:rPr>
          <w:rFonts w:hint="eastAsia" w:ascii="宋体" w:hAnsi="宋体"/>
          <w:color w:val="000000" w:themeColor="text1"/>
          <w:sz w:val="24"/>
        </w:rPr>
        <w:t>），同时提供有效期内的证书复印件以及下述文件（均为复印件，加盖供应商公章）：</w:t>
      </w:r>
    </w:p>
    <w:p>
      <w:pPr>
        <w:tabs>
          <w:tab w:val="left" w:pos="567"/>
          <w:tab w:val="left" w:pos="993"/>
        </w:tabs>
        <w:wordWrap w:val="0"/>
        <w:spacing w:line="360" w:lineRule="exact"/>
        <w:ind w:firstLine="480" w:firstLineChars="200"/>
        <w:rPr>
          <w:rFonts w:ascii="宋体" w:hAnsi="宋体"/>
          <w:color w:val="000000" w:themeColor="text1"/>
          <w:sz w:val="24"/>
        </w:rPr>
      </w:pPr>
      <w:r>
        <w:rPr>
          <w:rFonts w:hint="eastAsia" w:ascii="宋体" w:hAnsi="宋体"/>
          <w:color w:val="000000" w:themeColor="text1"/>
          <w:sz w:val="24"/>
        </w:rPr>
        <w:t>1.1属于“节能产品政府采购清单</w:t>
      </w:r>
      <w:r>
        <w:rPr>
          <w:rFonts w:ascii="宋体" w:hAnsi="宋体"/>
          <w:color w:val="000000" w:themeColor="text1"/>
          <w:sz w:val="24"/>
        </w:rPr>
        <w:t>”</w:t>
      </w:r>
      <w:r>
        <w:rPr>
          <w:rFonts w:hint="eastAsia" w:ascii="宋体" w:hAnsi="宋体"/>
          <w:color w:val="000000" w:themeColor="text1"/>
          <w:sz w:val="24"/>
        </w:rPr>
        <w:t>中品目的产品，提供</w:t>
      </w:r>
      <w:r>
        <w:rPr>
          <w:rFonts w:ascii="宋体" w:hAnsi="宋体"/>
          <w:color w:val="000000" w:themeColor="text1"/>
          <w:sz w:val="24"/>
        </w:rPr>
        <w:t>“</w:t>
      </w:r>
      <w:r>
        <w:rPr>
          <w:rFonts w:hint="eastAsia" w:ascii="宋体" w:hAnsi="宋体"/>
          <w:color w:val="000000" w:themeColor="text1"/>
          <w:sz w:val="24"/>
        </w:rPr>
        <w:t>节能产品政府采购清单（第___期）”中投标产品所在清单页并加盖供应商公章，节能清单在中华人民共和国财政部网站、中国政府采购网、国家发展改革委网站和中国质量认证中心网站上发布；</w:t>
      </w:r>
    </w:p>
    <w:p>
      <w:pPr>
        <w:tabs>
          <w:tab w:val="left" w:pos="567"/>
          <w:tab w:val="left" w:pos="993"/>
        </w:tabs>
        <w:wordWrap w:val="0"/>
        <w:spacing w:line="360" w:lineRule="exact"/>
        <w:ind w:firstLine="480" w:firstLineChars="200"/>
        <w:rPr>
          <w:rFonts w:ascii="宋体" w:hAnsi="宋体"/>
          <w:color w:val="000000" w:themeColor="text1"/>
          <w:sz w:val="24"/>
        </w:rPr>
      </w:pPr>
      <w:r>
        <w:rPr>
          <w:rFonts w:hint="eastAsia" w:ascii="宋体" w:hAnsi="宋体"/>
          <w:color w:val="000000" w:themeColor="text1"/>
          <w:sz w:val="24"/>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spacing w:line="360" w:lineRule="exact"/>
        <w:ind w:firstLine="496" w:firstLineChars="200"/>
        <w:rPr>
          <w:rFonts w:ascii="宋体" w:hAnsi="宋体"/>
          <w:color w:val="000000" w:themeColor="text1"/>
          <w:sz w:val="24"/>
          <w:u w:val="single"/>
        </w:rPr>
      </w:pPr>
      <w:r>
        <w:rPr>
          <w:rFonts w:hint="eastAsia" w:ascii="宋体" w:hAnsi="宋体"/>
          <w:color w:val="000000" w:themeColor="text1"/>
          <w:spacing w:val="4"/>
          <w:sz w:val="24"/>
        </w:rPr>
        <w:t>供应商名称（</w:t>
      </w:r>
      <w:r>
        <w:rPr>
          <w:rFonts w:hint="eastAsia" w:ascii="宋体" w:hAnsi="宋体"/>
          <w:color w:val="000000" w:themeColor="text1"/>
          <w:sz w:val="24"/>
        </w:rPr>
        <w:t>单位盖</w:t>
      </w:r>
      <w:r>
        <w:rPr>
          <w:rFonts w:hint="eastAsia" w:ascii="宋体" w:hAnsi="宋体"/>
          <w:color w:val="000000" w:themeColor="text1"/>
          <w:spacing w:val="4"/>
          <w:sz w:val="24"/>
        </w:rPr>
        <w:t>公章）：</w:t>
      </w:r>
    </w:p>
    <w:p>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 xml:space="preserve">法定代表人或供应商授权代表（签名或盖章）：        </w:t>
      </w:r>
    </w:p>
    <w:p>
      <w:pPr>
        <w:spacing w:line="360" w:lineRule="exact"/>
        <w:ind w:firstLine="496" w:firstLineChars="200"/>
        <w:rPr>
          <w:b/>
          <w:color w:val="000000" w:themeColor="text1"/>
          <w:sz w:val="36"/>
          <w:szCs w:val="36"/>
        </w:rPr>
      </w:pPr>
      <w:r>
        <w:rPr>
          <w:rFonts w:hint="eastAsia" w:ascii="宋体" w:hAnsi="宋体"/>
          <w:color w:val="000000" w:themeColor="text1"/>
          <w:spacing w:val="4"/>
          <w:sz w:val="24"/>
        </w:rPr>
        <w:t>日   期：</w:t>
      </w:r>
    </w:p>
    <w:p>
      <w:pPr>
        <w:adjustRightInd w:val="0"/>
        <w:snapToGrid w:val="0"/>
        <w:spacing w:before="120" w:beforeLines="50" w:after="120" w:afterLines="50" w:line="360" w:lineRule="auto"/>
        <w:ind w:firstLine="2168" w:firstLineChars="600"/>
        <w:rPr>
          <w:rFonts w:hint="eastAsia"/>
          <w:b/>
          <w:color w:val="000000" w:themeColor="text1"/>
          <w:sz w:val="36"/>
          <w:szCs w:val="36"/>
        </w:rPr>
      </w:pPr>
    </w:p>
    <w:p>
      <w:pPr>
        <w:adjustRightInd w:val="0"/>
        <w:snapToGrid w:val="0"/>
        <w:spacing w:before="120" w:beforeLines="50" w:after="120" w:afterLines="50" w:line="360" w:lineRule="auto"/>
        <w:ind w:firstLine="2168" w:firstLineChars="600"/>
        <w:rPr>
          <w:rFonts w:hint="eastAsia"/>
          <w:b/>
          <w:color w:val="000000" w:themeColor="text1"/>
          <w:sz w:val="36"/>
          <w:szCs w:val="36"/>
        </w:rPr>
      </w:pPr>
    </w:p>
    <w:p>
      <w:pPr>
        <w:adjustRightInd w:val="0"/>
        <w:snapToGrid w:val="0"/>
        <w:spacing w:before="120" w:beforeLines="50" w:after="120" w:afterLines="50" w:line="360" w:lineRule="auto"/>
        <w:ind w:firstLine="2168" w:firstLineChars="600"/>
        <w:rPr>
          <w:b/>
          <w:color w:val="000000" w:themeColor="text1"/>
          <w:sz w:val="36"/>
          <w:szCs w:val="36"/>
        </w:rPr>
      </w:pPr>
      <w:r>
        <w:rPr>
          <w:rFonts w:hint="eastAsia"/>
          <w:b/>
          <w:color w:val="000000" w:themeColor="text1"/>
          <w:sz w:val="36"/>
          <w:szCs w:val="36"/>
        </w:rPr>
        <w:t>十</w:t>
      </w:r>
      <w:r>
        <w:rPr>
          <w:rFonts w:hint="eastAsia"/>
          <w:b/>
          <w:color w:val="000000" w:themeColor="text1"/>
          <w:sz w:val="36"/>
          <w:szCs w:val="36"/>
          <w:lang w:val="en-US" w:eastAsia="zh-CN"/>
        </w:rPr>
        <w:t>一</w:t>
      </w:r>
      <w:r>
        <w:rPr>
          <w:rFonts w:hint="eastAsia"/>
          <w:b/>
          <w:color w:val="000000" w:themeColor="text1"/>
          <w:sz w:val="36"/>
          <w:szCs w:val="36"/>
        </w:rPr>
        <w:t xml:space="preserve">  中小企业声明函</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2.本公司参加</w:t>
      </w:r>
      <w:r>
        <w:rPr>
          <w:rFonts w:hint="eastAsia" w:ascii="宋体" w:hAnsi="宋体"/>
          <w:color w:val="000000" w:themeColor="text1"/>
          <w:sz w:val="24"/>
          <w:u w:val="single"/>
        </w:rPr>
        <w:t xml:space="preserve">     (采购人单位名称)    </w:t>
      </w:r>
      <w:r>
        <w:rPr>
          <w:rFonts w:hint="eastAsia" w:ascii="宋体" w:hAnsi="宋体"/>
          <w:color w:val="000000" w:themeColor="text1"/>
          <w:sz w:val="24"/>
        </w:rPr>
        <w:t>的</w:t>
      </w:r>
      <w:r>
        <w:rPr>
          <w:rFonts w:hint="eastAsia" w:ascii="宋体" w:hAnsi="宋体"/>
          <w:color w:val="000000" w:themeColor="text1"/>
          <w:sz w:val="24"/>
          <w:u w:val="single"/>
        </w:rPr>
        <w:t xml:space="preserve">   (项目名称)      </w:t>
      </w:r>
      <w:r>
        <w:rPr>
          <w:rFonts w:hint="eastAsia" w:ascii="宋体" w:hAnsi="宋体"/>
          <w:color w:val="000000" w:themeColor="text1"/>
          <w:sz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r>
        <w:rPr>
          <w:rFonts w:hint="eastAsia" w:ascii="宋体" w:hAnsi="宋体"/>
          <w:color w:val="000000" w:themeColor="text1"/>
          <w:sz w:val="24"/>
        </w:rPr>
        <w:t xml:space="preserve">                              供应商名称（单位盖</w:t>
      </w:r>
      <w:r>
        <w:rPr>
          <w:rFonts w:hint="eastAsia"/>
          <w:color w:val="000000" w:themeColor="text1"/>
          <w:spacing w:val="4"/>
          <w:sz w:val="24"/>
        </w:rPr>
        <w:t>公章</w:t>
      </w:r>
      <w:r>
        <w:rPr>
          <w:rFonts w:hint="eastAsia" w:ascii="宋体" w:hAnsi="宋体"/>
          <w:color w:val="000000" w:themeColor="text1"/>
          <w:sz w:val="24"/>
        </w:rPr>
        <w:t>）：</w:t>
      </w:r>
    </w:p>
    <w:p>
      <w:pPr>
        <w:spacing w:line="360" w:lineRule="auto"/>
        <w:ind w:firstLine="480" w:firstLineChars="200"/>
        <w:jc w:val="center"/>
        <w:rPr>
          <w:rFonts w:ascii="宋体" w:hAnsi="宋体"/>
          <w:color w:val="000000" w:themeColor="text1"/>
          <w:sz w:val="24"/>
        </w:rPr>
      </w:pPr>
      <w:r>
        <w:rPr>
          <w:rFonts w:hint="eastAsia" w:ascii="宋体" w:hAnsi="宋体"/>
          <w:color w:val="000000" w:themeColor="text1"/>
          <w:sz w:val="24"/>
        </w:rPr>
        <w:t xml:space="preserve">                  日 期：</w:t>
      </w:r>
    </w:p>
    <w:p>
      <w:pPr>
        <w:spacing w:line="360" w:lineRule="auto"/>
        <w:ind w:firstLine="420" w:firstLineChars="200"/>
        <w:jc w:val="center"/>
        <w:rPr>
          <w:rFonts w:ascii="宋体" w:hAnsi="宋体"/>
          <w:color w:val="000000" w:themeColor="text1"/>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rPr>
          <w:b/>
          <w:color w:val="000000" w:themeColor="text1"/>
          <w:sz w:val="36"/>
          <w:szCs w:val="36"/>
        </w:rPr>
      </w:pPr>
    </w:p>
    <w:p/>
    <w:p>
      <w:pPr>
        <w:adjustRightInd w:val="0"/>
        <w:snapToGrid w:val="0"/>
        <w:spacing w:before="120" w:beforeLines="50" w:after="120" w:afterLines="50" w:line="360" w:lineRule="auto"/>
        <w:ind w:firstLine="1928" w:firstLineChars="600"/>
        <w:rPr>
          <w:rFonts w:hint="eastAsia"/>
          <w:b/>
          <w:color w:val="000000" w:themeColor="text1"/>
          <w:sz w:val="32"/>
          <w:szCs w:val="32"/>
        </w:rPr>
      </w:pPr>
      <w:r>
        <w:rPr>
          <w:rFonts w:hint="eastAsia"/>
          <w:b/>
          <w:color w:val="000000" w:themeColor="text1"/>
          <w:sz w:val="32"/>
          <w:szCs w:val="32"/>
        </w:rPr>
        <w:t xml:space="preserve"> </w:t>
      </w:r>
    </w:p>
    <w:p>
      <w:pPr>
        <w:adjustRightInd w:val="0"/>
        <w:snapToGrid w:val="0"/>
        <w:spacing w:before="120" w:beforeLines="50" w:after="120" w:afterLines="50" w:line="360" w:lineRule="auto"/>
        <w:ind w:firstLine="1928" w:firstLineChars="600"/>
        <w:rPr>
          <w:rFonts w:hint="eastAsia"/>
          <w:b/>
          <w:color w:val="000000" w:themeColor="text1"/>
          <w:sz w:val="32"/>
          <w:szCs w:val="32"/>
        </w:rPr>
      </w:pPr>
    </w:p>
    <w:p>
      <w:pPr>
        <w:adjustRightInd w:val="0"/>
        <w:snapToGrid w:val="0"/>
        <w:spacing w:before="120" w:beforeLines="50" w:after="120" w:afterLines="50" w:line="360" w:lineRule="auto"/>
        <w:ind w:firstLine="1928" w:firstLineChars="600"/>
        <w:rPr>
          <w:b/>
          <w:color w:val="000000" w:themeColor="text1"/>
          <w:sz w:val="32"/>
          <w:szCs w:val="32"/>
        </w:rPr>
      </w:pPr>
      <w:r>
        <w:rPr>
          <w:b/>
          <w:color w:val="000000" w:themeColor="text1"/>
          <w:sz w:val="32"/>
          <w:szCs w:val="32"/>
        </w:rPr>
        <w:t>残疾人福利性单位声明函</w:t>
      </w:r>
    </w:p>
    <w:p>
      <w:pPr>
        <w:pStyle w:val="313"/>
        <w:spacing w:line="360" w:lineRule="auto"/>
        <w:jc w:val="center"/>
        <w:rPr>
          <w:rFonts w:ascii="宋体" w:hAnsi="宋体"/>
          <w:b/>
          <w:color w:val="000000" w:themeColor="text1"/>
          <w:spacing w:val="6"/>
          <w:sz w:val="28"/>
          <w:szCs w:val="28"/>
        </w:rPr>
      </w:pPr>
    </w:p>
    <w:p>
      <w:pPr>
        <w:pStyle w:val="313"/>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3"/>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本单位对上述声明的真实性负责。如有虚假，将依法承担相应责任。</w:t>
      </w:r>
    </w:p>
    <w:p>
      <w:pPr>
        <w:pStyle w:val="313"/>
        <w:spacing w:line="360" w:lineRule="auto"/>
        <w:ind w:firstLine="504" w:firstLineChars="200"/>
        <w:rPr>
          <w:rFonts w:ascii="宋体" w:hAnsi="宋体"/>
          <w:color w:val="000000" w:themeColor="text1"/>
          <w:spacing w:val="6"/>
          <w:sz w:val="24"/>
        </w:rPr>
      </w:pPr>
    </w:p>
    <w:p>
      <w:pPr>
        <w:pStyle w:val="313"/>
        <w:tabs>
          <w:tab w:val="left" w:pos="4860"/>
        </w:tabs>
        <w:spacing w:line="360" w:lineRule="auto"/>
        <w:ind w:right="1560" w:firstLine="504" w:firstLineChars="200"/>
        <w:jc w:val="center"/>
        <w:rPr>
          <w:rFonts w:ascii="宋体" w:hAnsi="宋体"/>
          <w:color w:val="000000" w:themeColor="text1"/>
          <w:spacing w:val="6"/>
          <w:sz w:val="24"/>
        </w:rPr>
      </w:pPr>
      <w:r>
        <w:rPr>
          <w:rFonts w:hint="eastAsia" w:ascii="宋体" w:hAnsi="宋体"/>
          <w:color w:val="000000" w:themeColor="text1"/>
          <w:spacing w:val="6"/>
          <w:sz w:val="24"/>
        </w:rPr>
        <w:t xml:space="preserve">              </w:t>
      </w:r>
    </w:p>
    <w:p>
      <w:pPr>
        <w:pStyle w:val="313"/>
        <w:tabs>
          <w:tab w:val="left" w:pos="4860"/>
        </w:tabs>
        <w:spacing w:line="360" w:lineRule="auto"/>
        <w:ind w:right="1560" w:firstLine="504" w:firstLineChars="200"/>
        <w:jc w:val="right"/>
        <w:rPr>
          <w:rFonts w:ascii="宋体" w:hAnsi="宋体"/>
          <w:color w:val="000000" w:themeColor="text1"/>
          <w:spacing w:val="6"/>
          <w:sz w:val="24"/>
        </w:rPr>
      </w:pPr>
      <w:r>
        <w:rPr>
          <w:rFonts w:hint="eastAsia" w:ascii="宋体" w:hAnsi="宋体"/>
          <w:color w:val="000000" w:themeColor="text1"/>
          <w:spacing w:val="6"/>
          <w:sz w:val="24"/>
        </w:rPr>
        <w:t xml:space="preserve">                    </w:t>
      </w:r>
    </w:p>
    <w:p>
      <w:pPr>
        <w:adjustRightInd w:val="0"/>
        <w:snapToGrid w:val="0"/>
        <w:spacing w:before="120" w:beforeLines="50" w:after="120" w:afterLines="50" w:line="360" w:lineRule="auto"/>
        <w:jc w:val="right"/>
        <w:rPr>
          <w:b/>
          <w:color w:val="000000" w:themeColor="text1"/>
          <w:sz w:val="36"/>
          <w:szCs w:val="36"/>
        </w:rPr>
      </w:pPr>
      <w:r>
        <w:rPr>
          <w:rFonts w:hint="eastAsia" w:ascii="宋体" w:hAnsi="宋体"/>
          <w:color w:val="000000" w:themeColor="text1"/>
          <w:sz w:val="24"/>
        </w:rPr>
        <w:t>日期：</w:t>
      </w:r>
      <w:r>
        <w:rPr>
          <w:rFonts w:hint="eastAsia" w:ascii="宋体" w:hAnsi="宋体" w:cs="Arial"/>
          <w:color w:val="000000" w:themeColor="text1"/>
          <w:sz w:val="24"/>
        </w:rPr>
        <w:t>20  年   月   日</w:t>
      </w: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spacing w:line="440" w:lineRule="exact"/>
        <w:jc w:val="center"/>
        <w:rPr>
          <w:rFonts w:hint="eastAsia"/>
          <w:b/>
          <w:color w:val="000000" w:themeColor="text1"/>
          <w:sz w:val="36"/>
          <w:szCs w:val="36"/>
        </w:rPr>
      </w:pPr>
    </w:p>
    <w:p>
      <w:pPr>
        <w:spacing w:line="440" w:lineRule="exact"/>
        <w:jc w:val="center"/>
        <w:rPr>
          <w:rFonts w:hint="eastAsia"/>
          <w:b/>
          <w:color w:val="000000" w:themeColor="text1"/>
          <w:sz w:val="36"/>
          <w:szCs w:val="36"/>
        </w:rPr>
      </w:pPr>
    </w:p>
    <w:p>
      <w:pPr>
        <w:spacing w:line="440" w:lineRule="exact"/>
        <w:jc w:val="center"/>
        <w:rPr>
          <w:rFonts w:hint="eastAsia"/>
          <w:b/>
          <w:color w:val="000000" w:themeColor="text1"/>
          <w:sz w:val="36"/>
          <w:szCs w:val="36"/>
        </w:rPr>
      </w:pPr>
    </w:p>
    <w:p>
      <w:pPr>
        <w:spacing w:line="440" w:lineRule="exact"/>
        <w:jc w:val="center"/>
        <w:rPr>
          <w:b/>
          <w:color w:val="000000" w:themeColor="text1"/>
          <w:sz w:val="36"/>
          <w:szCs w:val="36"/>
        </w:rPr>
      </w:pPr>
      <w:r>
        <w:rPr>
          <w:rFonts w:hint="eastAsia"/>
          <w:b/>
          <w:color w:val="000000" w:themeColor="text1"/>
          <w:sz w:val="36"/>
          <w:szCs w:val="36"/>
        </w:rPr>
        <w:t>十</w:t>
      </w:r>
      <w:r>
        <w:rPr>
          <w:rFonts w:hint="eastAsia"/>
          <w:b/>
          <w:color w:val="000000" w:themeColor="text1"/>
          <w:sz w:val="36"/>
          <w:szCs w:val="36"/>
          <w:lang w:val="en-US" w:eastAsia="zh-CN"/>
        </w:rPr>
        <w:t>二</w:t>
      </w:r>
      <w:r>
        <w:rPr>
          <w:rFonts w:hint="eastAsia"/>
          <w:b/>
          <w:color w:val="000000" w:themeColor="text1"/>
          <w:sz w:val="36"/>
          <w:szCs w:val="36"/>
        </w:rPr>
        <w:t xml:space="preserve">  参加政府采购活动前3年内在经营活动中没有重大违法记录的书面声明</w:t>
      </w:r>
    </w:p>
    <w:p>
      <w:pPr>
        <w:spacing w:line="240" w:lineRule="atLeast"/>
        <w:rPr>
          <w:rFonts w:ascii="宋体" w:hAnsi="宋体" w:cs="宋体"/>
          <w:b/>
          <w:color w:val="000000" w:themeColor="text1"/>
          <w:szCs w:val="21"/>
        </w:rPr>
      </w:pPr>
    </w:p>
    <w:p>
      <w:pPr>
        <w:spacing w:line="360" w:lineRule="auto"/>
        <w:jc w:val="center"/>
        <w:rPr>
          <w:rFonts w:ascii="宋体" w:hAnsi="宋体" w:cs="宋体"/>
          <w:b/>
          <w:color w:val="000000" w:themeColor="text1"/>
          <w:sz w:val="28"/>
          <w:szCs w:val="28"/>
        </w:rPr>
      </w:pPr>
    </w:p>
    <w:p>
      <w:pPr>
        <w:spacing w:line="360" w:lineRule="auto"/>
        <w:jc w:val="center"/>
        <w:rPr>
          <w:rFonts w:ascii="宋体" w:hAnsi="宋体" w:cs="宋体"/>
          <w:b/>
          <w:color w:val="000000" w:themeColor="text1"/>
          <w:sz w:val="28"/>
          <w:szCs w:val="28"/>
        </w:rPr>
      </w:pPr>
    </w:p>
    <w:p>
      <w:pPr>
        <w:spacing w:line="360" w:lineRule="auto"/>
        <w:jc w:val="center"/>
        <w:rPr>
          <w:rFonts w:ascii="宋体" w:hAnsi="宋体" w:cs="宋体"/>
          <w:b/>
          <w:color w:val="000000" w:themeColor="text1"/>
          <w:sz w:val="32"/>
          <w:szCs w:val="28"/>
        </w:rPr>
      </w:pPr>
      <w:r>
        <w:rPr>
          <w:rFonts w:hint="eastAsia" w:ascii="宋体" w:hAnsi="宋体" w:cs="宋体"/>
          <w:b/>
          <w:color w:val="000000" w:themeColor="text1"/>
          <w:sz w:val="32"/>
          <w:szCs w:val="28"/>
        </w:rPr>
        <w:t>无重大违法记录的声明函</w:t>
      </w: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u w:val="single"/>
        </w:rPr>
      </w:pPr>
      <w:r>
        <w:rPr>
          <w:rFonts w:hint="eastAsia" w:ascii="宋体" w:hAnsi="宋体" w:cs="宋体"/>
          <w:color w:val="000000" w:themeColor="text1"/>
          <w:szCs w:val="21"/>
        </w:rPr>
        <w:t>致：</w:t>
      </w:r>
      <w:r>
        <w:rPr>
          <w:rFonts w:hint="eastAsia" w:ascii="宋体" w:hAnsi="宋体" w:cs="宋体"/>
          <w:color w:val="000000" w:themeColor="text1"/>
          <w:szCs w:val="21"/>
          <w:u w:val="single"/>
        </w:rPr>
        <w:t xml:space="preserve">   （采购人）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u w:val="single"/>
        </w:rPr>
        <w:t xml:space="preserve">      （供应商全称）            </w:t>
      </w:r>
      <w:r>
        <w:rPr>
          <w:rFonts w:hint="eastAsia" w:ascii="宋体" w:hAnsi="宋体" w:cs="宋体"/>
          <w:color w:val="000000" w:themeColor="text1"/>
          <w:szCs w:val="21"/>
        </w:rPr>
        <w:t>，参加贵单位组织的项目编号为：    ，项目名称：的政府采购活动，在此郑重声明：我单位在参加本项目政府采购活动前3年内在经营活动中未因违法经营受到刑事处罚或者责令停产停业、吊销许可证或者执照、较大数额罚款等行政处罚。</w:t>
      </w:r>
    </w:p>
    <w:p>
      <w:pPr>
        <w:spacing w:line="360" w:lineRule="auto"/>
        <w:ind w:firstLine="420" w:firstLineChars="200"/>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jc w:val="right"/>
        <w:rPr>
          <w:rFonts w:ascii="宋体" w:hAnsi="宋体" w:cs="宋体"/>
          <w:color w:val="000000" w:themeColor="text1"/>
          <w:szCs w:val="21"/>
        </w:rPr>
      </w:pPr>
      <w:r>
        <w:rPr>
          <w:rFonts w:hint="eastAsia" w:ascii="宋体" w:hAnsi="宋体" w:cs="宋体"/>
          <w:color w:val="000000" w:themeColor="text1"/>
          <w:szCs w:val="21"/>
        </w:rPr>
        <w:t>投标供应商：（公章）</w:t>
      </w:r>
    </w:p>
    <w:p>
      <w:pPr>
        <w:spacing w:line="240" w:lineRule="atLeast"/>
        <w:jc w:val="right"/>
        <w:rPr>
          <w:rFonts w:ascii="宋体" w:hAnsi="宋体" w:cs="宋体"/>
          <w:b/>
          <w:color w:val="000000" w:themeColor="text1"/>
          <w:szCs w:val="21"/>
        </w:rPr>
      </w:pPr>
      <w:r>
        <w:rPr>
          <w:rFonts w:hint="eastAsia" w:ascii="宋体" w:hAnsi="宋体" w:cs="宋体"/>
          <w:color w:val="000000" w:themeColor="text1"/>
          <w:szCs w:val="21"/>
        </w:rPr>
        <w:t>声明时间：</w:t>
      </w:r>
    </w:p>
    <w:p>
      <w:pPr>
        <w:spacing w:line="240" w:lineRule="atLeast"/>
        <w:rPr>
          <w:rFonts w:ascii="宋体" w:hAnsi="宋体" w:cs="宋体"/>
          <w:b/>
          <w:color w:val="000000" w:themeColor="text1"/>
          <w:szCs w:val="21"/>
        </w:rPr>
      </w:pPr>
    </w:p>
    <w:p>
      <w:pPr>
        <w:spacing w:line="240" w:lineRule="atLeast"/>
        <w:rPr>
          <w:rFonts w:ascii="宋体" w:hAnsi="宋体" w:cs="宋体"/>
          <w:b/>
          <w:color w:val="000000" w:themeColor="text1"/>
          <w:szCs w:val="21"/>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rPr>
          <w:b/>
          <w:color w:val="000000" w:themeColor="text1"/>
          <w:sz w:val="36"/>
          <w:szCs w:val="36"/>
        </w:rPr>
      </w:pPr>
    </w:p>
    <w:p>
      <w:pPr>
        <w:adjustRightInd w:val="0"/>
        <w:snapToGrid w:val="0"/>
        <w:spacing w:before="120" w:beforeLines="50" w:after="120" w:afterLines="50" w:line="360" w:lineRule="auto"/>
        <w:rPr>
          <w:b/>
          <w:color w:val="000000" w:themeColor="text1"/>
          <w:sz w:val="36"/>
          <w:szCs w:val="36"/>
        </w:rPr>
      </w:pPr>
    </w:p>
    <w:p>
      <w:pPr>
        <w:adjustRightInd w:val="0"/>
        <w:snapToGrid w:val="0"/>
        <w:spacing w:before="120" w:beforeLines="50" w:after="120" w:afterLines="50" w:line="360" w:lineRule="auto"/>
        <w:rPr>
          <w:b/>
          <w:color w:val="000000" w:themeColor="text1"/>
          <w:sz w:val="36"/>
          <w:szCs w:val="36"/>
        </w:rPr>
      </w:pPr>
    </w:p>
    <w:p>
      <w:pPr>
        <w:adjustRightInd w:val="0"/>
        <w:snapToGrid w:val="0"/>
        <w:spacing w:before="120" w:beforeLines="50" w:after="120" w:afterLines="50" w:line="360" w:lineRule="auto"/>
        <w:rPr>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p>
    <w:p>
      <w:pPr>
        <w:adjustRightInd w:val="0"/>
        <w:snapToGrid w:val="0"/>
        <w:spacing w:before="120" w:beforeLines="50" w:after="120" w:afterLines="50" w:line="360" w:lineRule="auto"/>
        <w:jc w:val="center"/>
        <w:rPr>
          <w:rFonts w:hint="eastAsia"/>
          <w:b/>
          <w:color w:val="000000" w:themeColor="text1"/>
          <w:sz w:val="36"/>
          <w:szCs w:val="36"/>
        </w:rPr>
      </w:pPr>
    </w:p>
    <w:p>
      <w:pPr>
        <w:adjustRightInd w:val="0"/>
        <w:snapToGrid w:val="0"/>
        <w:spacing w:before="120" w:beforeLines="50" w:after="120" w:afterLines="50" w:line="360" w:lineRule="auto"/>
        <w:jc w:val="center"/>
        <w:rPr>
          <w:b/>
          <w:color w:val="000000" w:themeColor="text1"/>
          <w:sz w:val="36"/>
          <w:szCs w:val="36"/>
        </w:rPr>
      </w:pPr>
      <w:r>
        <w:rPr>
          <w:rFonts w:hint="eastAsia"/>
          <w:b/>
          <w:color w:val="000000" w:themeColor="text1"/>
          <w:sz w:val="36"/>
          <w:szCs w:val="36"/>
        </w:rPr>
        <w:t>十</w:t>
      </w:r>
      <w:r>
        <w:rPr>
          <w:rFonts w:hint="eastAsia"/>
          <w:b/>
          <w:color w:val="000000" w:themeColor="text1"/>
          <w:sz w:val="36"/>
          <w:szCs w:val="36"/>
          <w:lang w:val="en-US" w:eastAsia="zh-CN"/>
        </w:rPr>
        <w:t xml:space="preserve">三  </w:t>
      </w:r>
      <w:r>
        <w:rPr>
          <w:rFonts w:hint="eastAsia"/>
          <w:b/>
          <w:color w:val="000000" w:themeColor="text1"/>
          <w:sz w:val="36"/>
          <w:szCs w:val="36"/>
        </w:rPr>
        <w:t>制造商中小企业声明函</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w:t>
      </w:r>
      <w:r>
        <w:rPr>
          <w:rFonts w:ascii="宋体" w:hAnsi="宋体"/>
          <w:color w:val="000000" w:themeColor="text1"/>
          <w:sz w:val="24"/>
        </w:rPr>
        <w:t>[2011]181</w:t>
      </w:r>
      <w:r>
        <w:rPr>
          <w:rFonts w:hint="eastAsia" w:ascii="宋体" w:hAnsi="宋体"/>
          <w:color w:val="000000" w:themeColor="text1"/>
          <w:sz w:val="24"/>
        </w:rPr>
        <w:t>号）的规定和《工业和信息化部、国家统计局、国家发展和改革委员会、财政部关于印发中小企业划型标准规定的通知》（工信部联企业</w:t>
      </w:r>
      <w:r>
        <w:rPr>
          <w:rFonts w:ascii="宋体" w:hAnsi="宋体"/>
          <w:color w:val="000000" w:themeColor="text1"/>
          <w:sz w:val="24"/>
        </w:rPr>
        <w:t xml:space="preserve">[2011]300 </w:t>
      </w:r>
      <w:r>
        <w:rPr>
          <w:rFonts w:hint="eastAsia" w:ascii="宋体" w:hAnsi="宋体"/>
          <w:color w:val="000000" w:themeColor="text1"/>
          <w:sz w:val="24"/>
        </w:rPr>
        <w:t>号）规定的划分标准：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第四条第</w:t>
      </w:r>
      <w:r>
        <w:rPr>
          <w:rFonts w:hint="eastAsia" w:ascii="宋体" w:hAnsi="宋体"/>
          <w:color w:val="000000" w:themeColor="text1"/>
          <w:sz w:val="24"/>
          <w:u w:val="single"/>
        </w:rPr>
        <w:t xml:space="preserve">       </w:t>
      </w:r>
      <w:r>
        <w:rPr>
          <w:rFonts w:hint="eastAsia" w:ascii="宋体" w:hAnsi="宋体"/>
          <w:color w:val="000000" w:themeColor="text1"/>
          <w:sz w:val="24"/>
        </w:rPr>
        <w:t>项行业，本公司为（请填写：中型、小型、微型）企业。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r>
        <w:rPr>
          <w:rFonts w:hint="eastAsia" w:ascii="宋体" w:hAnsi="宋体"/>
          <w:color w:val="000000" w:themeColor="text1"/>
          <w:sz w:val="24"/>
        </w:rPr>
        <w:t xml:space="preserve">          企业名称（单位盖</w:t>
      </w:r>
      <w:r>
        <w:rPr>
          <w:rFonts w:hint="eastAsia"/>
          <w:color w:val="000000" w:themeColor="text1"/>
          <w:spacing w:val="4"/>
          <w:sz w:val="24"/>
        </w:rPr>
        <w:t>公章</w:t>
      </w:r>
      <w:r>
        <w:rPr>
          <w:rFonts w:hint="eastAsia" w:ascii="宋体" w:hAnsi="宋体"/>
          <w:color w:val="000000" w:themeColor="text1"/>
          <w:sz w:val="24"/>
        </w:rPr>
        <w:t>）：</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中小企业声明函注意事项：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4．供应商中小企业标准：零售业：从业人员</w:t>
      </w:r>
      <w:r>
        <w:rPr>
          <w:rFonts w:ascii="宋体" w:hAnsi="宋体"/>
          <w:color w:val="000000" w:themeColor="text1"/>
          <w:sz w:val="24"/>
        </w:rPr>
        <w:t>300</w:t>
      </w:r>
      <w:r>
        <w:rPr>
          <w:rFonts w:hint="eastAsia" w:ascii="宋体" w:hAnsi="宋体"/>
          <w:color w:val="000000" w:themeColor="text1"/>
          <w:sz w:val="24"/>
        </w:rPr>
        <w:t>人以下或营业收入</w:t>
      </w:r>
      <w:r>
        <w:rPr>
          <w:rFonts w:ascii="宋体" w:hAnsi="宋体"/>
          <w:color w:val="000000" w:themeColor="text1"/>
          <w:sz w:val="24"/>
        </w:rPr>
        <w:t>20000</w:t>
      </w:r>
      <w:r>
        <w:rPr>
          <w:rFonts w:hint="eastAsia" w:ascii="宋体" w:hAnsi="宋体"/>
          <w:color w:val="000000" w:themeColor="text1"/>
          <w:sz w:val="24"/>
        </w:rPr>
        <w:t>万元以下的为中小微型企业。其中，从业人员</w:t>
      </w:r>
      <w:r>
        <w:rPr>
          <w:rFonts w:ascii="宋体" w:hAnsi="宋体"/>
          <w:color w:val="000000" w:themeColor="text1"/>
          <w:sz w:val="24"/>
        </w:rPr>
        <w:t>50</w:t>
      </w:r>
      <w:r>
        <w:rPr>
          <w:rFonts w:hint="eastAsia" w:ascii="宋体" w:hAnsi="宋体"/>
          <w:color w:val="000000" w:themeColor="text1"/>
          <w:sz w:val="24"/>
        </w:rPr>
        <w:t>人及以上，且营业收入</w:t>
      </w:r>
      <w:r>
        <w:rPr>
          <w:rFonts w:ascii="宋体" w:hAnsi="宋体"/>
          <w:color w:val="000000" w:themeColor="text1"/>
          <w:sz w:val="24"/>
        </w:rPr>
        <w:t>500</w:t>
      </w:r>
      <w:r>
        <w:rPr>
          <w:rFonts w:hint="eastAsia" w:ascii="宋体" w:hAnsi="宋体"/>
          <w:color w:val="000000" w:themeColor="text1"/>
          <w:sz w:val="24"/>
        </w:rPr>
        <w:t>万元及以上的为中型企业；从业人员</w:t>
      </w:r>
      <w:r>
        <w:rPr>
          <w:rFonts w:ascii="宋体" w:hAnsi="宋体"/>
          <w:color w:val="000000" w:themeColor="text1"/>
          <w:sz w:val="24"/>
        </w:rPr>
        <w:t>10</w:t>
      </w:r>
      <w:r>
        <w:rPr>
          <w:rFonts w:hint="eastAsia" w:ascii="宋体" w:hAnsi="宋体"/>
          <w:color w:val="000000" w:themeColor="text1"/>
          <w:sz w:val="24"/>
        </w:rPr>
        <w:t>人及以上，且营业收入</w:t>
      </w:r>
      <w:r>
        <w:rPr>
          <w:rFonts w:ascii="宋体" w:hAnsi="宋体"/>
          <w:color w:val="000000" w:themeColor="text1"/>
          <w:sz w:val="24"/>
        </w:rPr>
        <w:t>100</w:t>
      </w:r>
      <w:r>
        <w:rPr>
          <w:rFonts w:hint="eastAsia" w:ascii="宋体" w:hAnsi="宋体"/>
          <w:color w:val="000000" w:themeColor="text1"/>
          <w:sz w:val="24"/>
        </w:rPr>
        <w:t>万元及以上的为小型企业；从业人员</w:t>
      </w:r>
      <w:r>
        <w:rPr>
          <w:rFonts w:ascii="宋体" w:hAnsi="宋体"/>
          <w:color w:val="000000" w:themeColor="text1"/>
          <w:sz w:val="24"/>
        </w:rPr>
        <w:t>10</w:t>
      </w:r>
      <w:r>
        <w:rPr>
          <w:rFonts w:hint="eastAsia" w:ascii="宋体" w:hAnsi="宋体"/>
          <w:color w:val="000000" w:themeColor="text1"/>
          <w:sz w:val="24"/>
        </w:rPr>
        <w:t>人以下或营业收入</w:t>
      </w:r>
      <w:r>
        <w:rPr>
          <w:rFonts w:ascii="宋体" w:hAnsi="宋体"/>
          <w:color w:val="000000" w:themeColor="text1"/>
          <w:sz w:val="24"/>
        </w:rPr>
        <w:t>100</w:t>
      </w:r>
      <w:r>
        <w:rPr>
          <w:rFonts w:hint="eastAsia" w:ascii="宋体" w:hAnsi="宋体"/>
          <w:color w:val="000000" w:themeColor="text1"/>
          <w:sz w:val="24"/>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5.制造商中小企业标准：工业（含制造业）：从业人员</w:t>
      </w:r>
      <w:r>
        <w:rPr>
          <w:rFonts w:ascii="宋体" w:hAnsi="宋体"/>
          <w:color w:val="000000" w:themeColor="text1"/>
          <w:sz w:val="24"/>
        </w:rPr>
        <w:t>1000</w:t>
      </w:r>
      <w:r>
        <w:rPr>
          <w:rFonts w:hint="eastAsia" w:ascii="宋体" w:hAnsi="宋体"/>
          <w:color w:val="000000" w:themeColor="text1"/>
          <w:sz w:val="24"/>
        </w:rPr>
        <w:t>人以下或营业收入</w:t>
      </w:r>
      <w:r>
        <w:rPr>
          <w:rFonts w:ascii="宋体" w:hAnsi="宋体"/>
          <w:color w:val="000000" w:themeColor="text1"/>
          <w:sz w:val="24"/>
        </w:rPr>
        <w:t>40000</w:t>
      </w:r>
      <w:r>
        <w:rPr>
          <w:rFonts w:hint="eastAsia" w:ascii="宋体" w:hAnsi="宋体"/>
          <w:color w:val="000000" w:themeColor="text1"/>
          <w:sz w:val="24"/>
        </w:rPr>
        <w:t>万元以下的为中小微型企业。其中，从业人员</w:t>
      </w:r>
      <w:r>
        <w:rPr>
          <w:rFonts w:ascii="宋体" w:hAnsi="宋体"/>
          <w:color w:val="000000" w:themeColor="text1"/>
          <w:sz w:val="24"/>
        </w:rPr>
        <w:t>300</w:t>
      </w:r>
      <w:r>
        <w:rPr>
          <w:rFonts w:hint="eastAsia" w:ascii="宋体" w:hAnsi="宋体"/>
          <w:color w:val="000000" w:themeColor="text1"/>
          <w:sz w:val="24"/>
        </w:rPr>
        <w:t>人及以上，且营业收入</w:t>
      </w:r>
      <w:r>
        <w:rPr>
          <w:rFonts w:ascii="宋体" w:hAnsi="宋体"/>
          <w:color w:val="000000" w:themeColor="text1"/>
          <w:sz w:val="24"/>
        </w:rPr>
        <w:t>2000</w:t>
      </w:r>
      <w:r>
        <w:rPr>
          <w:rFonts w:hint="eastAsia" w:ascii="宋体" w:hAnsi="宋体"/>
          <w:color w:val="000000" w:themeColor="text1"/>
          <w:sz w:val="24"/>
        </w:rPr>
        <w:t>万元及以上的为中型企业；从业人员</w:t>
      </w:r>
      <w:r>
        <w:rPr>
          <w:rFonts w:ascii="宋体" w:hAnsi="宋体"/>
          <w:color w:val="000000" w:themeColor="text1"/>
          <w:sz w:val="24"/>
        </w:rPr>
        <w:t>20</w:t>
      </w:r>
      <w:r>
        <w:rPr>
          <w:rFonts w:hint="eastAsia" w:ascii="宋体" w:hAnsi="宋体"/>
          <w:color w:val="000000" w:themeColor="text1"/>
          <w:sz w:val="24"/>
        </w:rPr>
        <w:t>人及以上，且营业收入</w:t>
      </w:r>
      <w:r>
        <w:rPr>
          <w:rFonts w:ascii="宋体" w:hAnsi="宋体"/>
          <w:color w:val="000000" w:themeColor="text1"/>
          <w:sz w:val="24"/>
        </w:rPr>
        <w:t>300</w:t>
      </w:r>
      <w:r>
        <w:rPr>
          <w:rFonts w:hint="eastAsia" w:ascii="宋体" w:hAnsi="宋体"/>
          <w:color w:val="000000" w:themeColor="text1"/>
          <w:sz w:val="24"/>
        </w:rPr>
        <w:t>万元及以上的为小型企业；从业人员</w:t>
      </w:r>
      <w:r>
        <w:rPr>
          <w:rFonts w:ascii="宋体" w:hAnsi="宋体"/>
          <w:color w:val="000000" w:themeColor="text1"/>
          <w:sz w:val="24"/>
        </w:rPr>
        <w:t>20</w:t>
      </w:r>
      <w:r>
        <w:rPr>
          <w:rFonts w:hint="eastAsia" w:ascii="宋体" w:hAnsi="宋体"/>
          <w:color w:val="000000" w:themeColor="text1"/>
          <w:sz w:val="24"/>
        </w:rPr>
        <w:t>人以下或营业收入</w:t>
      </w:r>
      <w:r>
        <w:rPr>
          <w:rFonts w:ascii="宋体" w:hAnsi="宋体"/>
          <w:color w:val="000000" w:themeColor="text1"/>
          <w:sz w:val="24"/>
        </w:rPr>
        <w:t>300</w:t>
      </w:r>
      <w:r>
        <w:rPr>
          <w:rFonts w:hint="eastAsia" w:ascii="宋体" w:hAnsi="宋体"/>
          <w:color w:val="000000" w:themeColor="text1"/>
          <w:sz w:val="24"/>
        </w:rPr>
        <w:t>万元以下的为微型企业。</w:t>
      </w:r>
    </w:p>
    <w:p>
      <w:pPr>
        <w:adjustRightInd w:val="0"/>
        <w:snapToGrid w:val="0"/>
        <w:spacing w:before="120" w:beforeLines="50" w:after="120" w:afterLines="50" w:line="360" w:lineRule="auto"/>
        <w:ind w:firstLine="480" w:firstLineChars="200"/>
        <w:rPr>
          <w:color w:val="000000" w:themeColor="text1"/>
          <w:sz w:val="24"/>
        </w:rPr>
      </w:pPr>
      <w:r>
        <w:rPr>
          <w:rFonts w:hint="eastAsia" w:ascii="宋体" w:hAnsi="宋体"/>
          <w:color w:val="000000" w:themeColor="text1"/>
          <w:sz w:val="24"/>
        </w:rPr>
        <w:t>6.关于企业从业人员的认定，供应商应该真实填写（格式自拟）。</w:t>
      </w:r>
    </w:p>
    <w:p>
      <w:pPr>
        <w:ind w:firstLine="198" w:firstLineChars="82"/>
        <w:rPr>
          <w:rFonts w:ascii="仿宋" w:hAnsi="仿宋" w:eastAsia="仿宋"/>
          <w:b/>
          <w:color w:val="000000" w:themeColor="text1"/>
          <w:sz w:val="24"/>
          <w:szCs w:val="32"/>
        </w:rPr>
      </w:pPr>
    </w:p>
    <w:p>
      <w:pPr>
        <w:ind w:firstLine="198" w:firstLineChars="82"/>
        <w:rPr>
          <w:rFonts w:ascii="宋体" w:hAnsi="宋体"/>
          <w:b/>
          <w:bCs/>
          <w:sz w:val="32"/>
        </w:rPr>
      </w:pPr>
      <w:r>
        <w:rPr>
          <w:rFonts w:hint="eastAsia" w:asciiTheme="minorEastAsia" w:hAnsiTheme="minorEastAsia" w:cstheme="minorEastAsia"/>
          <w:b/>
          <w:color w:val="000000" w:themeColor="text1"/>
          <w:sz w:val="24"/>
          <w:szCs w:val="32"/>
        </w:rPr>
        <w:t>注：招标文件中要求提交的资料未列出相应格式的，须自拟格式。</w:t>
      </w:r>
    </w:p>
    <w:p>
      <w:pPr>
        <w:tabs>
          <w:tab w:val="left" w:pos="5355"/>
        </w:tabs>
        <w:spacing w:line="500" w:lineRule="atLeast"/>
        <w:ind w:right="-15" w:rightChars="-7"/>
        <w:jc w:val="center"/>
        <w:rPr>
          <w:rFonts w:ascii="宋体" w:hAnsi="宋体"/>
          <w:b/>
          <w:bCs/>
          <w:sz w:val="36"/>
          <w:szCs w:val="36"/>
        </w:rPr>
      </w:pPr>
    </w:p>
    <w:p>
      <w:pPr>
        <w:snapToGrid w:val="0"/>
        <w:spacing w:line="360" w:lineRule="auto"/>
        <w:ind w:right="101" w:rightChars="48"/>
        <w:jc w:val="right"/>
        <w:rPr>
          <w:rFonts w:ascii="宋体" w:hAnsi="宋体"/>
          <w:bCs/>
          <w:sz w:val="24"/>
          <w:szCs w:val="24"/>
        </w:rPr>
      </w:pPr>
    </w:p>
    <w:sectPr>
      <w:pgSz w:w="11907" w:h="16840"/>
      <w:pgMar w:top="1134" w:right="1361" w:bottom="1134" w:left="146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楷体">
    <w:altName w:val="黑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SimSun-Identity-H">
    <w:altName w:val="黑体"/>
    <w:panose1 w:val="00000000000000000000"/>
    <w:charset w:val="86"/>
    <w:family w:val="auto"/>
    <w:pitch w:val="default"/>
    <w:sig w:usb0="00000000" w:usb1="00000000" w:usb2="00000010" w:usb3="00000000" w:csb0="00040000" w:csb1="00000000"/>
  </w:font>
  <w:font w:name="Time New Roma">
    <w:altName w:val="Times New Roman"/>
    <w:panose1 w:val="00000000000000000000"/>
    <w:charset w:val="00"/>
    <w:family w:val="roman"/>
    <w:pitch w:val="default"/>
    <w:sig w:usb0="00000000" w:usb1="00000000" w:usb2="00000000" w:usb3="00000000" w:csb0="00040001" w:csb1="00000000"/>
  </w:font>
  <w:font w:name="SSJ-PK74820000008-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r>
      <w:rPr>
        <w:rFonts w:hint="eastAsia"/>
      </w:rPr>
      <w:t xml:space="preserve"> </w:t>
    </w:r>
  </w:p>
  <w:p>
    <w:pPr>
      <w:pStyle w:val="3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rPr>
        <w:sz w:val="18"/>
      </w:rPr>
      <w:pict>
        <v:shape id="_x0000_s4104" o:spid="_x0000_s410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22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25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rPr>
        <w:rFonts w:ascii="宋体" w:hAnsi="宋体"/>
        <w:spacing w:val="4"/>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Bdr>
        <w:bottom w:val="none" w:color="auto" w:sz="0" w:space="1"/>
      </w:pBdr>
      <w:jc w:val="both"/>
      <w:rPr>
        <w:rFonts w:ascii="宋体" w:hAnsi="宋体"/>
        <w:sz w:val="21"/>
        <w:szCs w:val="21"/>
      </w:rPr>
    </w:pPr>
    <w:r>
      <w:rPr>
        <w:rFonts w:hint="eastAsia" w:ascii="隶书" w:eastAsia="隶书"/>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04EDF"/>
    <w:multiLevelType w:val="singleLevel"/>
    <w:tmpl w:val="C9804EDF"/>
    <w:lvl w:ilvl="0" w:tentative="0">
      <w:start w:val="1"/>
      <w:numFmt w:val="decimal"/>
      <w:suff w:val="nothing"/>
      <w:lvlText w:val="%1、"/>
      <w:lvlJc w:val="left"/>
    </w:lvl>
  </w:abstractNum>
  <w:abstractNum w:abstractNumId="1">
    <w:nsid w:val="F9C6202D"/>
    <w:multiLevelType w:val="singleLevel"/>
    <w:tmpl w:val="F9C6202D"/>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pStyle w:val="234"/>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05A30E1"/>
    <w:multiLevelType w:val="multilevel"/>
    <w:tmpl w:val="305A30E1"/>
    <w:lvl w:ilvl="0" w:tentative="0">
      <w:start w:val="1"/>
      <w:numFmt w:val="ideographDigital"/>
      <w:lvlText w:val="（%1）"/>
      <w:lvlJc w:val="left"/>
      <w:pPr>
        <w:ind w:left="516"/>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00"/>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220"/>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940"/>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60"/>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80"/>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00"/>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820"/>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540"/>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4">
    <w:nsid w:val="594A626A"/>
    <w:multiLevelType w:val="singleLevel"/>
    <w:tmpl w:val="594A626A"/>
    <w:lvl w:ilvl="0" w:tentative="0">
      <w:start w:val="2"/>
      <w:numFmt w:val="decimal"/>
      <w:suff w:val="nothing"/>
      <w:lvlText w:val="（%1）"/>
      <w:lvlJc w:val="left"/>
    </w:lvl>
  </w:abstractNum>
  <w:abstractNum w:abstractNumId="5">
    <w:nsid w:val="7C180131"/>
    <w:multiLevelType w:val="singleLevel"/>
    <w:tmpl w:val="7C180131"/>
    <w:lvl w:ilvl="0" w:tentative="0">
      <w:start w:val="1"/>
      <w:numFmt w:val="decimal"/>
      <w:suff w:val="nothing"/>
      <w:lvlText w:val="%1）"/>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19E8"/>
    <w:rsid w:val="00021A21"/>
    <w:rsid w:val="00024057"/>
    <w:rsid w:val="00025749"/>
    <w:rsid w:val="00033908"/>
    <w:rsid w:val="00036015"/>
    <w:rsid w:val="000362D9"/>
    <w:rsid w:val="00051481"/>
    <w:rsid w:val="00061F33"/>
    <w:rsid w:val="0006348E"/>
    <w:rsid w:val="000664D8"/>
    <w:rsid w:val="00066845"/>
    <w:rsid w:val="00067860"/>
    <w:rsid w:val="00074555"/>
    <w:rsid w:val="0007460B"/>
    <w:rsid w:val="0007769B"/>
    <w:rsid w:val="00083C0F"/>
    <w:rsid w:val="00086E85"/>
    <w:rsid w:val="00097B64"/>
    <w:rsid w:val="000A067A"/>
    <w:rsid w:val="000A1F15"/>
    <w:rsid w:val="000A39E8"/>
    <w:rsid w:val="000B2053"/>
    <w:rsid w:val="000C0F10"/>
    <w:rsid w:val="000C39AC"/>
    <w:rsid w:val="000C4271"/>
    <w:rsid w:val="000C5EDD"/>
    <w:rsid w:val="000C744D"/>
    <w:rsid w:val="000D2DCB"/>
    <w:rsid w:val="000E1019"/>
    <w:rsid w:val="000E36EB"/>
    <w:rsid w:val="000F09D4"/>
    <w:rsid w:val="000F1558"/>
    <w:rsid w:val="000F156C"/>
    <w:rsid w:val="000F17F0"/>
    <w:rsid w:val="000F3C17"/>
    <w:rsid w:val="000F72E4"/>
    <w:rsid w:val="0010468E"/>
    <w:rsid w:val="00104C6C"/>
    <w:rsid w:val="001106F8"/>
    <w:rsid w:val="001142E8"/>
    <w:rsid w:val="00116B8C"/>
    <w:rsid w:val="001178FB"/>
    <w:rsid w:val="00124644"/>
    <w:rsid w:val="00126CE5"/>
    <w:rsid w:val="00131AE9"/>
    <w:rsid w:val="0013698C"/>
    <w:rsid w:val="001371AD"/>
    <w:rsid w:val="00142C9B"/>
    <w:rsid w:val="00147EC3"/>
    <w:rsid w:val="001519EC"/>
    <w:rsid w:val="00156D48"/>
    <w:rsid w:val="00160742"/>
    <w:rsid w:val="00165A1B"/>
    <w:rsid w:val="00172A27"/>
    <w:rsid w:val="00173FB8"/>
    <w:rsid w:val="0017707F"/>
    <w:rsid w:val="00182E71"/>
    <w:rsid w:val="00182ED2"/>
    <w:rsid w:val="00186B2B"/>
    <w:rsid w:val="00190404"/>
    <w:rsid w:val="00193459"/>
    <w:rsid w:val="001964EB"/>
    <w:rsid w:val="001A5028"/>
    <w:rsid w:val="001A6AA0"/>
    <w:rsid w:val="001A773B"/>
    <w:rsid w:val="001B0A35"/>
    <w:rsid w:val="001C2131"/>
    <w:rsid w:val="001C35AE"/>
    <w:rsid w:val="001C693E"/>
    <w:rsid w:val="001C7DE3"/>
    <w:rsid w:val="001D048E"/>
    <w:rsid w:val="001D1952"/>
    <w:rsid w:val="001D2544"/>
    <w:rsid w:val="001D3FDD"/>
    <w:rsid w:val="001D76C9"/>
    <w:rsid w:val="001D7AD1"/>
    <w:rsid w:val="001D7D17"/>
    <w:rsid w:val="001E47BC"/>
    <w:rsid w:val="001E4DDE"/>
    <w:rsid w:val="001E68E6"/>
    <w:rsid w:val="001F2E07"/>
    <w:rsid w:val="001F2E5A"/>
    <w:rsid w:val="001F45A5"/>
    <w:rsid w:val="001F60CB"/>
    <w:rsid w:val="001F7750"/>
    <w:rsid w:val="001F7DC1"/>
    <w:rsid w:val="002021F6"/>
    <w:rsid w:val="00203BA1"/>
    <w:rsid w:val="00206E72"/>
    <w:rsid w:val="0020734E"/>
    <w:rsid w:val="00217F9C"/>
    <w:rsid w:val="00221618"/>
    <w:rsid w:val="002261C2"/>
    <w:rsid w:val="00233D23"/>
    <w:rsid w:val="00240A9B"/>
    <w:rsid w:val="00241B28"/>
    <w:rsid w:val="0024357D"/>
    <w:rsid w:val="00243A56"/>
    <w:rsid w:val="00244FF0"/>
    <w:rsid w:val="002502BC"/>
    <w:rsid w:val="00252BE2"/>
    <w:rsid w:val="00260F95"/>
    <w:rsid w:val="002614B3"/>
    <w:rsid w:val="002629B3"/>
    <w:rsid w:val="00267770"/>
    <w:rsid w:val="002678FA"/>
    <w:rsid w:val="00271B63"/>
    <w:rsid w:val="00273C73"/>
    <w:rsid w:val="0027792A"/>
    <w:rsid w:val="00284EC7"/>
    <w:rsid w:val="0028703D"/>
    <w:rsid w:val="0028716F"/>
    <w:rsid w:val="002914D5"/>
    <w:rsid w:val="00296AB0"/>
    <w:rsid w:val="002A0EDF"/>
    <w:rsid w:val="002A18D4"/>
    <w:rsid w:val="002A518C"/>
    <w:rsid w:val="002A70A8"/>
    <w:rsid w:val="002A79D9"/>
    <w:rsid w:val="002B21B9"/>
    <w:rsid w:val="002B6944"/>
    <w:rsid w:val="002B7F5A"/>
    <w:rsid w:val="002C2BF1"/>
    <w:rsid w:val="002C3E13"/>
    <w:rsid w:val="002C4CFF"/>
    <w:rsid w:val="002D003A"/>
    <w:rsid w:val="002D1AB6"/>
    <w:rsid w:val="002D7261"/>
    <w:rsid w:val="002D7C5C"/>
    <w:rsid w:val="002E015F"/>
    <w:rsid w:val="002E119A"/>
    <w:rsid w:val="002E3C2F"/>
    <w:rsid w:val="002E5A31"/>
    <w:rsid w:val="002F7C1D"/>
    <w:rsid w:val="003033F8"/>
    <w:rsid w:val="00304D2A"/>
    <w:rsid w:val="00312C16"/>
    <w:rsid w:val="00317566"/>
    <w:rsid w:val="0031765D"/>
    <w:rsid w:val="003272E4"/>
    <w:rsid w:val="00337159"/>
    <w:rsid w:val="00342CD5"/>
    <w:rsid w:val="00345DAC"/>
    <w:rsid w:val="0034628A"/>
    <w:rsid w:val="0035318B"/>
    <w:rsid w:val="003534EB"/>
    <w:rsid w:val="00356622"/>
    <w:rsid w:val="003633CC"/>
    <w:rsid w:val="003644A1"/>
    <w:rsid w:val="00366B99"/>
    <w:rsid w:val="00367B08"/>
    <w:rsid w:val="00370A3C"/>
    <w:rsid w:val="0037194E"/>
    <w:rsid w:val="00372A8A"/>
    <w:rsid w:val="003738E4"/>
    <w:rsid w:val="00380AD2"/>
    <w:rsid w:val="003855F4"/>
    <w:rsid w:val="00394703"/>
    <w:rsid w:val="0039603F"/>
    <w:rsid w:val="00396460"/>
    <w:rsid w:val="003A2096"/>
    <w:rsid w:val="003A2CCF"/>
    <w:rsid w:val="003A3CEB"/>
    <w:rsid w:val="003A62DA"/>
    <w:rsid w:val="003B00E3"/>
    <w:rsid w:val="003B384A"/>
    <w:rsid w:val="003B3FC8"/>
    <w:rsid w:val="003B6B58"/>
    <w:rsid w:val="003B7589"/>
    <w:rsid w:val="003C1FEC"/>
    <w:rsid w:val="003C25DC"/>
    <w:rsid w:val="003C2DAB"/>
    <w:rsid w:val="003C38A5"/>
    <w:rsid w:val="003C43B3"/>
    <w:rsid w:val="003C4ADB"/>
    <w:rsid w:val="003D34A5"/>
    <w:rsid w:val="003D7B53"/>
    <w:rsid w:val="003E05ED"/>
    <w:rsid w:val="003E51A9"/>
    <w:rsid w:val="003F3E95"/>
    <w:rsid w:val="003F7CED"/>
    <w:rsid w:val="004022CD"/>
    <w:rsid w:val="00403C22"/>
    <w:rsid w:val="0040467C"/>
    <w:rsid w:val="00404B9A"/>
    <w:rsid w:val="00404EBE"/>
    <w:rsid w:val="00414735"/>
    <w:rsid w:val="0041625A"/>
    <w:rsid w:val="004167E4"/>
    <w:rsid w:val="004204D5"/>
    <w:rsid w:val="0042245D"/>
    <w:rsid w:val="00423F2B"/>
    <w:rsid w:val="00425487"/>
    <w:rsid w:val="0042661D"/>
    <w:rsid w:val="00431750"/>
    <w:rsid w:val="00432397"/>
    <w:rsid w:val="00433A56"/>
    <w:rsid w:val="00435E26"/>
    <w:rsid w:val="00436850"/>
    <w:rsid w:val="0044629E"/>
    <w:rsid w:val="004600AA"/>
    <w:rsid w:val="00460DC8"/>
    <w:rsid w:val="00467D7E"/>
    <w:rsid w:val="00472A79"/>
    <w:rsid w:val="0047324C"/>
    <w:rsid w:val="00474786"/>
    <w:rsid w:val="004812E2"/>
    <w:rsid w:val="00483134"/>
    <w:rsid w:val="00484991"/>
    <w:rsid w:val="00487261"/>
    <w:rsid w:val="00487E0B"/>
    <w:rsid w:val="00493122"/>
    <w:rsid w:val="00493A85"/>
    <w:rsid w:val="00494646"/>
    <w:rsid w:val="004A017C"/>
    <w:rsid w:val="004A282C"/>
    <w:rsid w:val="004A3757"/>
    <w:rsid w:val="004A70F7"/>
    <w:rsid w:val="004B7086"/>
    <w:rsid w:val="004C1812"/>
    <w:rsid w:val="004C355C"/>
    <w:rsid w:val="004C4FE0"/>
    <w:rsid w:val="004C7491"/>
    <w:rsid w:val="004D28F3"/>
    <w:rsid w:val="004D5F65"/>
    <w:rsid w:val="004E1946"/>
    <w:rsid w:val="004F34F1"/>
    <w:rsid w:val="004F6FB0"/>
    <w:rsid w:val="005060CE"/>
    <w:rsid w:val="00510DEA"/>
    <w:rsid w:val="00511BD5"/>
    <w:rsid w:val="00514EBF"/>
    <w:rsid w:val="00516FE8"/>
    <w:rsid w:val="00517844"/>
    <w:rsid w:val="00520454"/>
    <w:rsid w:val="00524794"/>
    <w:rsid w:val="00524AAC"/>
    <w:rsid w:val="00524AC0"/>
    <w:rsid w:val="00525B73"/>
    <w:rsid w:val="00536200"/>
    <w:rsid w:val="005371B0"/>
    <w:rsid w:val="005429B8"/>
    <w:rsid w:val="005443CD"/>
    <w:rsid w:val="005452E8"/>
    <w:rsid w:val="005459D6"/>
    <w:rsid w:val="00553DF3"/>
    <w:rsid w:val="00554A98"/>
    <w:rsid w:val="0055698B"/>
    <w:rsid w:val="00561935"/>
    <w:rsid w:val="00567913"/>
    <w:rsid w:val="00571EFF"/>
    <w:rsid w:val="005734D2"/>
    <w:rsid w:val="00573B01"/>
    <w:rsid w:val="00574368"/>
    <w:rsid w:val="00576A39"/>
    <w:rsid w:val="00577C3A"/>
    <w:rsid w:val="005877D3"/>
    <w:rsid w:val="00595EB9"/>
    <w:rsid w:val="005A172B"/>
    <w:rsid w:val="005A19CB"/>
    <w:rsid w:val="005A1AF0"/>
    <w:rsid w:val="005A2081"/>
    <w:rsid w:val="005A6E4B"/>
    <w:rsid w:val="005B0A3E"/>
    <w:rsid w:val="005B1045"/>
    <w:rsid w:val="005B229C"/>
    <w:rsid w:val="005B2B1D"/>
    <w:rsid w:val="005B7FDC"/>
    <w:rsid w:val="005C4FDD"/>
    <w:rsid w:val="005C64A1"/>
    <w:rsid w:val="005C7978"/>
    <w:rsid w:val="005D0B6B"/>
    <w:rsid w:val="005D1919"/>
    <w:rsid w:val="005D2010"/>
    <w:rsid w:val="005D403C"/>
    <w:rsid w:val="005E4883"/>
    <w:rsid w:val="005F4C21"/>
    <w:rsid w:val="005F7127"/>
    <w:rsid w:val="005F750A"/>
    <w:rsid w:val="006001B1"/>
    <w:rsid w:val="00601D7F"/>
    <w:rsid w:val="006069A9"/>
    <w:rsid w:val="00610716"/>
    <w:rsid w:val="00610B37"/>
    <w:rsid w:val="00611332"/>
    <w:rsid w:val="0061777B"/>
    <w:rsid w:val="00625164"/>
    <w:rsid w:val="006304E3"/>
    <w:rsid w:val="006320D6"/>
    <w:rsid w:val="006367FA"/>
    <w:rsid w:val="00640F7D"/>
    <w:rsid w:val="00651A43"/>
    <w:rsid w:val="00652C4D"/>
    <w:rsid w:val="00653789"/>
    <w:rsid w:val="00655409"/>
    <w:rsid w:val="0065548E"/>
    <w:rsid w:val="0065664C"/>
    <w:rsid w:val="0065722E"/>
    <w:rsid w:val="0066344D"/>
    <w:rsid w:val="00670167"/>
    <w:rsid w:val="00670CD9"/>
    <w:rsid w:val="006712CB"/>
    <w:rsid w:val="006830D6"/>
    <w:rsid w:val="00683BE7"/>
    <w:rsid w:val="00685B8B"/>
    <w:rsid w:val="00691E08"/>
    <w:rsid w:val="006953EB"/>
    <w:rsid w:val="006A6490"/>
    <w:rsid w:val="006B151C"/>
    <w:rsid w:val="006B214E"/>
    <w:rsid w:val="006B2E17"/>
    <w:rsid w:val="006B3C14"/>
    <w:rsid w:val="006B4270"/>
    <w:rsid w:val="006C6F28"/>
    <w:rsid w:val="006D21E7"/>
    <w:rsid w:val="006D3E1C"/>
    <w:rsid w:val="006D5580"/>
    <w:rsid w:val="006E2B13"/>
    <w:rsid w:val="006E3CA2"/>
    <w:rsid w:val="006E48E0"/>
    <w:rsid w:val="006E797C"/>
    <w:rsid w:val="006F05EA"/>
    <w:rsid w:val="006F0C11"/>
    <w:rsid w:val="006F21E5"/>
    <w:rsid w:val="006F26C6"/>
    <w:rsid w:val="006F3A56"/>
    <w:rsid w:val="006F58DA"/>
    <w:rsid w:val="00701FCC"/>
    <w:rsid w:val="007036E4"/>
    <w:rsid w:val="007037A7"/>
    <w:rsid w:val="00705D90"/>
    <w:rsid w:val="0070753A"/>
    <w:rsid w:val="00714043"/>
    <w:rsid w:val="007217BB"/>
    <w:rsid w:val="0072210E"/>
    <w:rsid w:val="00722CB3"/>
    <w:rsid w:val="00730BC8"/>
    <w:rsid w:val="0073107A"/>
    <w:rsid w:val="0073698F"/>
    <w:rsid w:val="0075050B"/>
    <w:rsid w:val="00752EE8"/>
    <w:rsid w:val="00762E28"/>
    <w:rsid w:val="007642F6"/>
    <w:rsid w:val="0076715E"/>
    <w:rsid w:val="007702F0"/>
    <w:rsid w:val="00770E38"/>
    <w:rsid w:val="0077286F"/>
    <w:rsid w:val="007778A7"/>
    <w:rsid w:val="00782EEE"/>
    <w:rsid w:val="007861DC"/>
    <w:rsid w:val="00787314"/>
    <w:rsid w:val="00791A40"/>
    <w:rsid w:val="00794267"/>
    <w:rsid w:val="007972AB"/>
    <w:rsid w:val="007A0B40"/>
    <w:rsid w:val="007A253E"/>
    <w:rsid w:val="007A266C"/>
    <w:rsid w:val="007A3778"/>
    <w:rsid w:val="007A7C06"/>
    <w:rsid w:val="007B066C"/>
    <w:rsid w:val="007B3DDF"/>
    <w:rsid w:val="007B533C"/>
    <w:rsid w:val="007C4CCC"/>
    <w:rsid w:val="007C5ED1"/>
    <w:rsid w:val="007C6AC0"/>
    <w:rsid w:val="007C7A23"/>
    <w:rsid w:val="007D12D6"/>
    <w:rsid w:val="007D287C"/>
    <w:rsid w:val="007D7B8A"/>
    <w:rsid w:val="007E226B"/>
    <w:rsid w:val="007F1676"/>
    <w:rsid w:val="00803DC0"/>
    <w:rsid w:val="0081461C"/>
    <w:rsid w:val="00815568"/>
    <w:rsid w:val="008225DA"/>
    <w:rsid w:val="00825186"/>
    <w:rsid w:val="0082669E"/>
    <w:rsid w:val="008303A9"/>
    <w:rsid w:val="008310BE"/>
    <w:rsid w:val="008323F3"/>
    <w:rsid w:val="00833947"/>
    <w:rsid w:val="00834E60"/>
    <w:rsid w:val="008367A9"/>
    <w:rsid w:val="008368AC"/>
    <w:rsid w:val="00840434"/>
    <w:rsid w:val="0084089A"/>
    <w:rsid w:val="00841068"/>
    <w:rsid w:val="0084125C"/>
    <w:rsid w:val="0084728C"/>
    <w:rsid w:val="00850055"/>
    <w:rsid w:val="008513CD"/>
    <w:rsid w:val="008552E5"/>
    <w:rsid w:val="00855623"/>
    <w:rsid w:val="00855727"/>
    <w:rsid w:val="008568C5"/>
    <w:rsid w:val="008602AF"/>
    <w:rsid w:val="008633C1"/>
    <w:rsid w:val="008665F0"/>
    <w:rsid w:val="00867C58"/>
    <w:rsid w:val="00870629"/>
    <w:rsid w:val="008768AC"/>
    <w:rsid w:val="00881B42"/>
    <w:rsid w:val="008916F6"/>
    <w:rsid w:val="008A290F"/>
    <w:rsid w:val="008A37A8"/>
    <w:rsid w:val="008A4CE4"/>
    <w:rsid w:val="008A6169"/>
    <w:rsid w:val="008A6BB0"/>
    <w:rsid w:val="008A71F3"/>
    <w:rsid w:val="008B0E5A"/>
    <w:rsid w:val="008B23E7"/>
    <w:rsid w:val="008B280C"/>
    <w:rsid w:val="008B3CB5"/>
    <w:rsid w:val="008C4A54"/>
    <w:rsid w:val="008C4CC6"/>
    <w:rsid w:val="008D58C1"/>
    <w:rsid w:val="008E03BA"/>
    <w:rsid w:val="008E37EA"/>
    <w:rsid w:val="008E57AC"/>
    <w:rsid w:val="008F03FE"/>
    <w:rsid w:val="008F36E2"/>
    <w:rsid w:val="008F3753"/>
    <w:rsid w:val="008F6D1E"/>
    <w:rsid w:val="00901E41"/>
    <w:rsid w:val="00902242"/>
    <w:rsid w:val="00903780"/>
    <w:rsid w:val="00904073"/>
    <w:rsid w:val="00906786"/>
    <w:rsid w:val="0090710C"/>
    <w:rsid w:val="00910421"/>
    <w:rsid w:val="0091253E"/>
    <w:rsid w:val="00913892"/>
    <w:rsid w:val="009140C6"/>
    <w:rsid w:val="009150A4"/>
    <w:rsid w:val="009154A0"/>
    <w:rsid w:val="00922C19"/>
    <w:rsid w:val="009235F3"/>
    <w:rsid w:val="00924779"/>
    <w:rsid w:val="00927873"/>
    <w:rsid w:val="009324F1"/>
    <w:rsid w:val="009370AB"/>
    <w:rsid w:val="00943CF4"/>
    <w:rsid w:val="00947D38"/>
    <w:rsid w:val="00952C1E"/>
    <w:rsid w:val="009643D4"/>
    <w:rsid w:val="00964B19"/>
    <w:rsid w:val="0096703B"/>
    <w:rsid w:val="00975A69"/>
    <w:rsid w:val="009766FA"/>
    <w:rsid w:val="00983875"/>
    <w:rsid w:val="00985359"/>
    <w:rsid w:val="009912F8"/>
    <w:rsid w:val="009954BE"/>
    <w:rsid w:val="00995A6B"/>
    <w:rsid w:val="009A31CF"/>
    <w:rsid w:val="009A469B"/>
    <w:rsid w:val="009B5499"/>
    <w:rsid w:val="009B722A"/>
    <w:rsid w:val="009C348A"/>
    <w:rsid w:val="009D7173"/>
    <w:rsid w:val="009E02A4"/>
    <w:rsid w:val="009E50A7"/>
    <w:rsid w:val="009E5BA5"/>
    <w:rsid w:val="009E5C3E"/>
    <w:rsid w:val="009E5EB5"/>
    <w:rsid w:val="009F1495"/>
    <w:rsid w:val="009F2559"/>
    <w:rsid w:val="009F4B79"/>
    <w:rsid w:val="009F6D32"/>
    <w:rsid w:val="00A00866"/>
    <w:rsid w:val="00A10ED9"/>
    <w:rsid w:val="00A12C87"/>
    <w:rsid w:val="00A2273E"/>
    <w:rsid w:val="00A26B80"/>
    <w:rsid w:val="00A321D7"/>
    <w:rsid w:val="00A46CDA"/>
    <w:rsid w:val="00A50B68"/>
    <w:rsid w:val="00A511CD"/>
    <w:rsid w:val="00A54C54"/>
    <w:rsid w:val="00A55F0D"/>
    <w:rsid w:val="00A579C8"/>
    <w:rsid w:val="00A65419"/>
    <w:rsid w:val="00A658DC"/>
    <w:rsid w:val="00A71190"/>
    <w:rsid w:val="00A73F41"/>
    <w:rsid w:val="00A766AD"/>
    <w:rsid w:val="00A805D8"/>
    <w:rsid w:val="00A829BB"/>
    <w:rsid w:val="00A84906"/>
    <w:rsid w:val="00A855C3"/>
    <w:rsid w:val="00A856ED"/>
    <w:rsid w:val="00A96360"/>
    <w:rsid w:val="00A97FF4"/>
    <w:rsid w:val="00AA16FB"/>
    <w:rsid w:val="00AA2F26"/>
    <w:rsid w:val="00AB0D45"/>
    <w:rsid w:val="00AB40C9"/>
    <w:rsid w:val="00AB78B9"/>
    <w:rsid w:val="00AC3174"/>
    <w:rsid w:val="00AC344C"/>
    <w:rsid w:val="00AD075F"/>
    <w:rsid w:val="00AD25EC"/>
    <w:rsid w:val="00AD4923"/>
    <w:rsid w:val="00AD7548"/>
    <w:rsid w:val="00AE001B"/>
    <w:rsid w:val="00AE2079"/>
    <w:rsid w:val="00AE4121"/>
    <w:rsid w:val="00AE6100"/>
    <w:rsid w:val="00AF098C"/>
    <w:rsid w:val="00AF31C5"/>
    <w:rsid w:val="00AF4742"/>
    <w:rsid w:val="00AF4EF8"/>
    <w:rsid w:val="00B0161A"/>
    <w:rsid w:val="00B04150"/>
    <w:rsid w:val="00B13D98"/>
    <w:rsid w:val="00B13E9C"/>
    <w:rsid w:val="00B270E0"/>
    <w:rsid w:val="00B27865"/>
    <w:rsid w:val="00B317C2"/>
    <w:rsid w:val="00B31A88"/>
    <w:rsid w:val="00B32F0B"/>
    <w:rsid w:val="00B33376"/>
    <w:rsid w:val="00B35201"/>
    <w:rsid w:val="00B4107A"/>
    <w:rsid w:val="00B41A6F"/>
    <w:rsid w:val="00B41F2E"/>
    <w:rsid w:val="00B426A5"/>
    <w:rsid w:val="00B44267"/>
    <w:rsid w:val="00B46271"/>
    <w:rsid w:val="00B51B95"/>
    <w:rsid w:val="00B539E4"/>
    <w:rsid w:val="00B54A84"/>
    <w:rsid w:val="00B65718"/>
    <w:rsid w:val="00B67F00"/>
    <w:rsid w:val="00B85A4B"/>
    <w:rsid w:val="00B87A2A"/>
    <w:rsid w:val="00B90FBA"/>
    <w:rsid w:val="00B95CEF"/>
    <w:rsid w:val="00B97A47"/>
    <w:rsid w:val="00BA6825"/>
    <w:rsid w:val="00BA7D89"/>
    <w:rsid w:val="00BA7D95"/>
    <w:rsid w:val="00BB1DC0"/>
    <w:rsid w:val="00BC5992"/>
    <w:rsid w:val="00BC729A"/>
    <w:rsid w:val="00BD01B6"/>
    <w:rsid w:val="00BD1E3D"/>
    <w:rsid w:val="00BE77AF"/>
    <w:rsid w:val="00BF4418"/>
    <w:rsid w:val="00C01D6B"/>
    <w:rsid w:val="00C01EFC"/>
    <w:rsid w:val="00C029AF"/>
    <w:rsid w:val="00C14322"/>
    <w:rsid w:val="00C14F51"/>
    <w:rsid w:val="00C20045"/>
    <w:rsid w:val="00C22DA0"/>
    <w:rsid w:val="00C23147"/>
    <w:rsid w:val="00C23B85"/>
    <w:rsid w:val="00C35129"/>
    <w:rsid w:val="00C3687E"/>
    <w:rsid w:val="00C37D96"/>
    <w:rsid w:val="00C4047D"/>
    <w:rsid w:val="00C532DA"/>
    <w:rsid w:val="00C54AA8"/>
    <w:rsid w:val="00C54BE3"/>
    <w:rsid w:val="00C610BB"/>
    <w:rsid w:val="00C61988"/>
    <w:rsid w:val="00C65E26"/>
    <w:rsid w:val="00C662AA"/>
    <w:rsid w:val="00C66826"/>
    <w:rsid w:val="00C7350C"/>
    <w:rsid w:val="00C76DEB"/>
    <w:rsid w:val="00C80192"/>
    <w:rsid w:val="00C82D3A"/>
    <w:rsid w:val="00C84FF7"/>
    <w:rsid w:val="00C85E46"/>
    <w:rsid w:val="00C8636C"/>
    <w:rsid w:val="00C90BF9"/>
    <w:rsid w:val="00C944FF"/>
    <w:rsid w:val="00C974A5"/>
    <w:rsid w:val="00C97D6E"/>
    <w:rsid w:val="00CA4046"/>
    <w:rsid w:val="00CA4560"/>
    <w:rsid w:val="00CB7CB2"/>
    <w:rsid w:val="00CC724B"/>
    <w:rsid w:val="00CD150B"/>
    <w:rsid w:val="00CD1722"/>
    <w:rsid w:val="00CD31AE"/>
    <w:rsid w:val="00CD4F55"/>
    <w:rsid w:val="00CD530F"/>
    <w:rsid w:val="00CE4A2D"/>
    <w:rsid w:val="00CE4D0D"/>
    <w:rsid w:val="00CE58CA"/>
    <w:rsid w:val="00CF1EDC"/>
    <w:rsid w:val="00CF2608"/>
    <w:rsid w:val="00CF779E"/>
    <w:rsid w:val="00D05EE1"/>
    <w:rsid w:val="00D071CC"/>
    <w:rsid w:val="00D07DA2"/>
    <w:rsid w:val="00D1162D"/>
    <w:rsid w:val="00D1375C"/>
    <w:rsid w:val="00D14400"/>
    <w:rsid w:val="00D27337"/>
    <w:rsid w:val="00D30643"/>
    <w:rsid w:val="00D33BE0"/>
    <w:rsid w:val="00D40012"/>
    <w:rsid w:val="00D50ECE"/>
    <w:rsid w:val="00D517CF"/>
    <w:rsid w:val="00D60C93"/>
    <w:rsid w:val="00D64933"/>
    <w:rsid w:val="00D66A63"/>
    <w:rsid w:val="00D70BDE"/>
    <w:rsid w:val="00D71BB5"/>
    <w:rsid w:val="00D72021"/>
    <w:rsid w:val="00D73AED"/>
    <w:rsid w:val="00D80665"/>
    <w:rsid w:val="00D82683"/>
    <w:rsid w:val="00D845E6"/>
    <w:rsid w:val="00D84BB3"/>
    <w:rsid w:val="00D915A3"/>
    <w:rsid w:val="00D946B5"/>
    <w:rsid w:val="00DA08C8"/>
    <w:rsid w:val="00DA0B23"/>
    <w:rsid w:val="00DA18D2"/>
    <w:rsid w:val="00DA240B"/>
    <w:rsid w:val="00DA32A0"/>
    <w:rsid w:val="00DA3F3D"/>
    <w:rsid w:val="00DA65B7"/>
    <w:rsid w:val="00DA7C7A"/>
    <w:rsid w:val="00DC32FB"/>
    <w:rsid w:val="00DC603E"/>
    <w:rsid w:val="00DD0947"/>
    <w:rsid w:val="00DD0C6E"/>
    <w:rsid w:val="00DD5C19"/>
    <w:rsid w:val="00DD734B"/>
    <w:rsid w:val="00DE0872"/>
    <w:rsid w:val="00DE1A36"/>
    <w:rsid w:val="00DF52F7"/>
    <w:rsid w:val="00E0019D"/>
    <w:rsid w:val="00E007A5"/>
    <w:rsid w:val="00E00A84"/>
    <w:rsid w:val="00E0129A"/>
    <w:rsid w:val="00E02EC2"/>
    <w:rsid w:val="00E05A8E"/>
    <w:rsid w:val="00E05D0C"/>
    <w:rsid w:val="00E112E3"/>
    <w:rsid w:val="00E211B6"/>
    <w:rsid w:val="00E25289"/>
    <w:rsid w:val="00E2644E"/>
    <w:rsid w:val="00E270FF"/>
    <w:rsid w:val="00E32388"/>
    <w:rsid w:val="00E3407B"/>
    <w:rsid w:val="00E346CD"/>
    <w:rsid w:val="00E34AC3"/>
    <w:rsid w:val="00E45851"/>
    <w:rsid w:val="00E5030D"/>
    <w:rsid w:val="00E52678"/>
    <w:rsid w:val="00E61A4D"/>
    <w:rsid w:val="00E6232E"/>
    <w:rsid w:val="00E6327F"/>
    <w:rsid w:val="00E635CA"/>
    <w:rsid w:val="00E6400A"/>
    <w:rsid w:val="00E65EE6"/>
    <w:rsid w:val="00E70373"/>
    <w:rsid w:val="00E70983"/>
    <w:rsid w:val="00E720E2"/>
    <w:rsid w:val="00E7245D"/>
    <w:rsid w:val="00E728FD"/>
    <w:rsid w:val="00E72C57"/>
    <w:rsid w:val="00E75FC4"/>
    <w:rsid w:val="00E87839"/>
    <w:rsid w:val="00E90D93"/>
    <w:rsid w:val="00E91B5E"/>
    <w:rsid w:val="00E95C75"/>
    <w:rsid w:val="00E97D79"/>
    <w:rsid w:val="00EA29F7"/>
    <w:rsid w:val="00EA44E5"/>
    <w:rsid w:val="00EB1A6C"/>
    <w:rsid w:val="00EB4DC0"/>
    <w:rsid w:val="00EB4DF2"/>
    <w:rsid w:val="00EB5250"/>
    <w:rsid w:val="00EC06C8"/>
    <w:rsid w:val="00EC0BCF"/>
    <w:rsid w:val="00EC23E3"/>
    <w:rsid w:val="00EC244E"/>
    <w:rsid w:val="00EC313A"/>
    <w:rsid w:val="00EC33B9"/>
    <w:rsid w:val="00EC5A91"/>
    <w:rsid w:val="00EC77D4"/>
    <w:rsid w:val="00ED2425"/>
    <w:rsid w:val="00ED3305"/>
    <w:rsid w:val="00ED37F2"/>
    <w:rsid w:val="00ED39F2"/>
    <w:rsid w:val="00EE08DF"/>
    <w:rsid w:val="00EF0237"/>
    <w:rsid w:val="00EF715A"/>
    <w:rsid w:val="00F01094"/>
    <w:rsid w:val="00F020B7"/>
    <w:rsid w:val="00F04D29"/>
    <w:rsid w:val="00F21678"/>
    <w:rsid w:val="00F3052C"/>
    <w:rsid w:val="00F3135C"/>
    <w:rsid w:val="00F3201E"/>
    <w:rsid w:val="00F34192"/>
    <w:rsid w:val="00F37C87"/>
    <w:rsid w:val="00F41FC5"/>
    <w:rsid w:val="00F5239F"/>
    <w:rsid w:val="00F53634"/>
    <w:rsid w:val="00F575FB"/>
    <w:rsid w:val="00F60933"/>
    <w:rsid w:val="00F6165E"/>
    <w:rsid w:val="00F639F9"/>
    <w:rsid w:val="00F6669F"/>
    <w:rsid w:val="00F72193"/>
    <w:rsid w:val="00F73F87"/>
    <w:rsid w:val="00F74C06"/>
    <w:rsid w:val="00F75E0F"/>
    <w:rsid w:val="00F8080D"/>
    <w:rsid w:val="00F92185"/>
    <w:rsid w:val="00F9447F"/>
    <w:rsid w:val="00FA0909"/>
    <w:rsid w:val="00FA5805"/>
    <w:rsid w:val="00FB58BB"/>
    <w:rsid w:val="00FB60E3"/>
    <w:rsid w:val="00FC0DB6"/>
    <w:rsid w:val="00FC2E3C"/>
    <w:rsid w:val="00FC4922"/>
    <w:rsid w:val="00FD36ED"/>
    <w:rsid w:val="00FD4D30"/>
    <w:rsid w:val="00FD5360"/>
    <w:rsid w:val="00FE0EC6"/>
    <w:rsid w:val="00FE3309"/>
    <w:rsid w:val="00FF4D4E"/>
    <w:rsid w:val="017554E0"/>
    <w:rsid w:val="019416CC"/>
    <w:rsid w:val="01CA1BFC"/>
    <w:rsid w:val="01E51A31"/>
    <w:rsid w:val="022516E7"/>
    <w:rsid w:val="023B31B5"/>
    <w:rsid w:val="023C35FE"/>
    <w:rsid w:val="023D6DA3"/>
    <w:rsid w:val="02451435"/>
    <w:rsid w:val="0269340D"/>
    <w:rsid w:val="029E0CDB"/>
    <w:rsid w:val="02A90BD5"/>
    <w:rsid w:val="02DC4FB0"/>
    <w:rsid w:val="02EC7F54"/>
    <w:rsid w:val="0318686E"/>
    <w:rsid w:val="032B053F"/>
    <w:rsid w:val="03462191"/>
    <w:rsid w:val="03632FF4"/>
    <w:rsid w:val="038127B7"/>
    <w:rsid w:val="03AD5615"/>
    <w:rsid w:val="03CB4F70"/>
    <w:rsid w:val="03E57F0B"/>
    <w:rsid w:val="04167BBA"/>
    <w:rsid w:val="042E7B38"/>
    <w:rsid w:val="044B6C0C"/>
    <w:rsid w:val="047428F8"/>
    <w:rsid w:val="04870984"/>
    <w:rsid w:val="04986517"/>
    <w:rsid w:val="049E5D36"/>
    <w:rsid w:val="04A13AFF"/>
    <w:rsid w:val="04A85EA2"/>
    <w:rsid w:val="04D50D63"/>
    <w:rsid w:val="05344141"/>
    <w:rsid w:val="05A46688"/>
    <w:rsid w:val="05B01562"/>
    <w:rsid w:val="06030943"/>
    <w:rsid w:val="064829DB"/>
    <w:rsid w:val="06696649"/>
    <w:rsid w:val="06982B71"/>
    <w:rsid w:val="06A073CB"/>
    <w:rsid w:val="06D249C0"/>
    <w:rsid w:val="06E573E1"/>
    <w:rsid w:val="06E83923"/>
    <w:rsid w:val="06F57692"/>
    <w:rsid w:val="06FD0C77"/>
    <w:rsid w:val="071376BA"/>
    <w:rsid w:val="071C1AB9"/>
    <w:rsid w:val="07917CA9"/>
    <w:rsid w:val="07DF3A37"/>
    <w:rsid w:val="07F6721E"/>
    <w:rsid w:val="082038E6"/>
    <w:rsid w:val="083500C2"/>
    <w:rsid w:val="0841229E"/>
    <w:rsid w:val="0857273B"/>
    <w:rsid w:val="085C54B9"/>
    <w:rsid w:val="085D4644"/>
    <w:rsid w:val="08F81079"/>
    <w:rsid w:val="090F4F6F"/>
    <w:rsid w:val="091B377D"/>
    <w:rsid w:val="093431FC"/>
    <w:rsid w:val="094265D3"/>
    <w:rsid w:val="094A3481"/>
    <w:rsid w:val="09AF00DF"/>
    <w:rsid w:val="09EA589E"/>
    <w:rsid w:val="0A036A7D"/>
    <w:rsid w:val="0A314E36"/>
    <w:rsid w:val="0A53678A"/>
    <w:rsid w:val="0A7A1923"/>
    <w:rsid w:val="0A964463"/>
    <w:rsid w:val="0B204A3B"/>
    <w:rsid w:val="0B3A5C42"/>
    <w:rsid w:val="0B7061D0"/>
    <w:rsid w:val="0B822786"/>
    <w:rsid w:val="0BA431A7"/>
    <w:rsid w:val="0BBA0BCE"/>
    <w:rsid w:val="0BE67F18"/>
    <w:rsid w:val="0BEC359B"/>
    <w:rsid w:val="0BFE01B6"/>
    <w:rsid w:val="0C090C8C"/>
    <w:rsid w:val="0C15151C"/>
    <w:rsid w:val="0C3F457A"/>
    <w:rsid w:val="0C9F46C4"/>
    <w:rsid w:val="0CCB0A0B"/>
    <w:rsid w:val="0D597149"/>
    <w:rsid w:val="0DBA2892"/>
    <w:rsid w:val="0DE13B1F"/>
    <w:rsid w:val="0DEF4DCB"/>
    <w:rsid w:val="0E064F10"/>
    <w:rsid w:val="0E3E79DA"/>
    <w:rsid w:val="0E7F6253"/>
    <w:rsid w:val="0EC82A4F"/>
    <w:rsid w:val="0EE80D86"/>
    <w:rsid w:val="0F3F502D"/>
    <w:rsid w:val="0F3F5F11"/>
    <w:rsid w:val="0F936861"/>
    <w:rsid w:val="0FA00FEE"/>
    <w:rsid w:val="0FCD487B"/>
    <w:rsid w:val="0FFF425B"/>
    <w:rsid w:val="100A6610"/>
    <w:rsid w:val="100F63CF"/>
    <w:rsid w:val="1080431F"/>
    <w:rsid w:val="10863CAA"/>
    <w:rsid w:val="10BB6702"/>
    <w:rsid w:val="10BF2E39"/>
    <w:rsid w:val="10E82A49"/>
    <w:rsid w:val="110C65B3"/>
    <w:rsid w:val="11113826"/>
    <w:rsid w:val="11146D91"/>
    <w:rsid w:val="114917E9"/>
    <w:rsid w:val="11FA35B6"/>
    <w:rsid w:val="12165216"/>
    <w:rsid w:val="122D21C5"/>
    <w:rsid w:val="123E7E6A"/>
    <w:rsid w:val="126B3818"/>
    <w:rsid w:val="128F7902"/>
    <w:rsid w:val="12A44024"/>
    <w:rsid w:val="13156419"/>
    <w:rsid w:val="13270D7A"/>
    <w:rsid w:val="134E2616"/>
    <w:rsid w:val="137333F8"/>
    <w:rsid w:val="13817677"/>
    <w:rsid w:val="13D95901"/>
    <w:rsid w:val="14143CAA"/>
    <w:rsid w:val="1457366A"/>
    <w:rsid w:val="14977CD7"/>
    <w:rsid w:val="14AE4079"/>
    <w:rsid w:val="14C4358B"/>
    <w:rsid w:val="14F578F6"/>
    <w:rsid w:val="14F74A2C"/>
    <w:rsid w:val="14FA181D"/>
    <w:rsid w:val="14FA7AD2"/>
    <w:rsid w:val="151C18EF"/>
    <w:rsid w:val="154D15C6"/>
    <w:rsid w:val="155B0D1A"/>
    <w:rsid w:val="1585667C"/>
    <w:rsid w:val="15A43368"/>
    <w:rsid w:val="15B61A01"/>
    <w:rsid w:val="15C75E4B"/>
    <w:rsid w:val="16252961"/>
    <w:rsid w:val="16321ADC"/>
    <w:rsid w:val="16490226"/>
    <w:rsid w:val="16A17D2C"/>
    <w:rsid w:val="16C24D6C"/>
    <w:rsid w:val="16C7495D"/>
    <w:rsid w:val="16F115CB"/>
    <w:rsid w:val="16F63B67"/>
    <w:rsid w:val="16F9452F"/>
    <w:rsid w:val="17010410"/>
    <w:rsid w:val="17281CC7"/>
    <w:rsid w:val="1733712E"/>
    <w:rsid w:val="173B5475"/>
    <w:rsid w:val="17707100"/>
    <w:rsid w:val="178121E5"/>
    <w:rsid w:val="17D710BA"/>
    <w:rsid w:val="17D92F71"/>
    <w:rsid w:val="17F50908"/>
    <w:rsid w:val="1812470B"/>
    <w:rsid w:val="1841381A"/>
    <w:rsid w:val="187F72BD"/>
    <w:rsid w:val="18AC4909"/>
    <w:rsid w:val="18EF495E"/>
    <w:rsid w:val="191D6504"/>
    <w:rsid w:val="19A51990"/>
    <w:rsid w:val="19BC545C"/>
    <w:rsid w:val="19CA5FB8"/>
    <w:rsid w:val="19CF7EE4"/>
    <w:rsid w:val="19DA1AF8"/>
    <w:rsid w:val="1A152D35"/>
    <w:rsid w:val="1A1B2E95"/>
    <w:rsid w:val="1A722FA1"/>
    <w:rsid w:val="1B00162B"/>
    <w:rsid w:val="1B0E7956"/>
    <w:rsid w:val="1B155FFD"/>
    <w:rsid w:val="1B2B24C4"/>
    <w:rsid w:val="1B3C7F2F"/>
    <w:rsid w:val="1B853633"/>
    <w:rsid w:val="1B8B1502"/>
    <w:rsid w:val="1B8D15D9"/>
    <w:rsid w:val="1B9C1144"/>
    <w:rsid w:val="1BA677D2"/>
    <w:rsid w:val="1BB824B6"/>
    <w:rsid w:val="1BC40925"/>
    <w:rsid w:val="1BD73B3C"/>
    <w:rsid w:val="1BEE7EDE"/>
    <w:rsid w:val="1C5513B9"/>
    <w:rsid w:val="1CA62F10"/>
    <w:rsid w:val="1CBB7632"/>
    <w:rsid w:val="1CE83979"/>
    <w:rsid w:val="1D345FF7"/>
    <w:rsid w:val="1D7141C8"/>
    <w:rsid w:val="1D740B97"/>
    <w:rsid w:val="1DAE090C"/>
    <w:rsid w:val="1DF24332"/>
    <w:rsid w:val="1E450E81"/>
    <w:rsid w:val="1E79088D"/>
    <w:rsid w:val="1EAB7FEC"/>
    <w:rsid w:val="1EF075D2"/>
    <w:rsid w:val="1F31003B"/>
    <w:rsid w:val="1F46477E"/>
    <w:rsid w:val="1F87238C"/>
    <w:rsid w:val="1FED62B9"/>
    <w:rsid w:val="1FF416E6"/>
    <w:rsid w:val="1FFA02BA"/>
    <w:rsid w:val="201310DF"/>
    <w:rsid w:val="201E42FE"/>
    <w:rsid w:val="202E3B31"/>
    <w:rsid w:val="20456786"/>
    <w:rsid w:val="204B6589"/>
    <w:rsid w:val="20BC5287"/>
    <w:rsid w:val="20E52109"/>
    <w:rsid w:val="20F35F01"/>
    <w:rsid w:val="21664758"/>
    <w:rsid w:val="21862A8E"/>
    <w:rsid w:val="21890DEC"/>
    <w:rsid w:val="21A16137"/>
    <w:rsid w:val="21B45681"/>
    <w:rsid w:val="21E62809"/>
    <w:rsid w:val="21F17470"/>
    <w:rsid w:val="22073431"/>
    <w:rsid w:val="224A024D"/>
    <w:rsid w:val="228C453A"/>
    <w:rsid w:val="22AB6FED"/>
    <w:rsid w:val="22E73BCC"/>
    <w:rsid w:val="231F137F"/>
    <w:rsid w:val="23333DD5"/>
    <w:rsid w:val="23497554"/>
    <w:rsid w:val="235561A2"/>
    <w:rsid w:val="235F43AF"/>
    <w:rsid w:val="23B00E19"/>
    <w:rsid w:val="23C87719"/>
    <w:rsid w:val="23CC311F"/>
    <w:rsid w:val="23E10810"/>
    <w:rsid w:val="24216C06"/>
    <w:rsid w:val="24457069"/>
    <w:rsid w:val="24482291"/>
    <w:rsid w:val="24533EA6"/>
    <w:rsid w:val="248F43F7"/>
    <w:rsid w:val="24A06639"/>
    <w:rsid w:val="24EB0BA1"/>
    <w:rsid w:val="251804BC"/>
    <w:rsid w:val="252C160A"/>
    <w:rsid w:val="254C40BE"/>
    <w:rsid w:val="2598673B"/>
    <w:rsid w:val="25C7548D"/>
    <w:rsid w:val="25FA14E8"/>
    <w:rsid w:val="26100D2C"/>
    <w:rsid w:val="26395C0E"/>
    <w:rsid w:val="263E71B2"/>
    <w:rsid w:val="26462C12"/>
    <w:rsid w:val="266F3D50"/>
    <w:rsid w:val="266F679F"/>
    <w:rsid w:val="267F3631"/>
    <w:rsid w:val="268B69B9"/>
    <w:rsid w:val="26BE651E"/>
    <w:rsid w:val="26D838DE"/>
    <w:rsid w:val="26E32241"/>
    <w:rsid w:val="272D211D"/>
    <w:rsid w:val="272F1908"/>
    <w:rsid w:val="27773EC7"/>
    <w:rsid w:val="278B23EE"/>
    <w:rsid w:val="27A374F7"/>
    <w:rsid w:val="27BC7E91"/>
    <w:rsid w:val="28083210"/>
    <w:rsid w:val="281954D5"/>
    <w:rsid w:val="281D7322"/>
    <w:rsid w:val="28224978"/>
    <w:rsid w:val="282E547B"/>
    <w:rsid w:val="28CB1A15"/>
    <w:rsid w:val="28E43D70"/>
    <w:rsid w:val="2911245C"/>
    <w:rsid w:val="29814856"/>
    <w:rsid w:val="29CA7E62"/>
    <w:rsid w:val="29D12BA6"/>
    <w:rsid w:val="29D76730"/>
    <w:rsid w:val="2A470BC4"/>
    <w:rsid w:val="2A5A71A5"/>
    <w:rsid w:val="2A847B4D"/>
    <w:rsid w:val="2A8C2E8D"/>
    <w:rsid w:val="2A997AF3"/>
    <w:rsid w:val="2ABA26B9"/>
    <w:rsid w:val="2ABF0AFF"/>
    <w:rsid w:val="2AD66349"/>
    <w:rsid w:val="2AD87CE5"/>
    <w:rsid w:val="2B5272A1"/>
    <w:rsid w:val="2BBD43D2"/>
    <w:rsid w:val="2BE73336"/>
    <w:rsid w:val="2BE83F94"/>
    <w:rsid w:val="2BFF06BF"/>
    <w:rsid w:val="2C0F50D6"/>
    <w:rsid w:val="2C202DF2"/>
    <w:rsid w:val="2C7A6B96"/>
    <w:rsid w:val="2CA554E2"/>
    <w:rsid w:val="2CAE5ED9"/>
    <w:rsid w:val="2CC41485"/>
    <w:rsid w:val="2CCE420F"/>
    <w:rsid w:val="2CF823C8"/>
    <w:rsid w:val="2D4700B4"/>
    <w:rsid w:val="2DB904D7"/>
    <w:rsid w:val="2DD0685E"/>
    <w:rsid w:val="2DE066BE"/>
    <w:rsid w:val="2E296A4A"/>
    <w:rsid w:val="2E3E316C"/>
    <w:rsid w:val="2E4D7A56"/>
    <w:rsid w:val="2E601123"/>
    <w:rsid w:val="2E6B0065"/>
    <w:rsid w:val="2E860C31"/>
    <w:rsid w:val="2E88587B"/>
    <w:rsid w:val="2ED645E4"/>
    <w:rsid w:val="2F0D2540"/>
    <w:rsid w:val="2F1808D1"/>
    <w:rsid w:val="2F37379B"/>
    <w:rsid w:val="2F6E12E0"/>
    <w:rsid w:val="2F8E699C"/>
    <w:rsid w:val="2FAE72F7"/>
    <w:rsid w:val="2FE1250F"/>
    <w:rsid w:val="30157305"/>
    <w:rsid w:val="301C5E70"/>
    <w:rsid w:val="302855E6"/>
    <w:rsid w:val="30A91F61"/>
    <w:rsid w:val="30AA4E6E"/>
    <w:rsid w:val="30F300B8"/>
    <w:rsid w:val="31031FFA"/>
    <w:rsid w:val="31152915"/>
    <w:rsid w:val="31201F48"/>
    <w:rsid w:val="31A359FC"/>
    <w:rsid w:val="31B60226"/>
    <w:rsid w:val="31C224E3"/>
    <w:rsid w:val="321E433C"/>
    <w:rsid w:val="322D6BDB"/>
    <w:rsid w:val="329C1497"/>
    <w:rsid w:val="331A6809"/>
    <w:rsid w:val="337D6929"/>
    <w:rsid w:val="33814F8D"/>
    <w:rsid w:val="338E3E00"/>
    <w:rsid w:val="33F73CD2"/>
    <w:rsid w:val="341217B9"/>
    <w:rsid w:val="34332B1A"/>
    <w:rsid w:val="34432ACD"/>
    <w:rsid w:val="344910DE"/>
    <w:rsid w:val="346A49FF"/>
    <w:rsid w:val="34DD5936"/>
    <w:rsid w:val="34E66245"/>
    <w:rsid w:val="34EB0C52"/>
    <w:rsid w:val="34F11041"/>
    <w:rsid w:val="34F17604"/>
    <w:rsid w:val="34FC77FE"/>
    <w:rsid w:val="351612BF"/>
    <w:rsid w:val="35171595"/>
    <w:rsid w:val="35366BDD"/>
    <w:rsid w:val="35657F7B"/>
    <w:rsid w:val="35681DDC"/>
    <w:rsid w:val="3569702C"/>
    <w:rsid w:val="35740C40"/>
    <w:rsid w:val="35AA3319"/>
    <w:rsid w:val="35B516AA"/>
    <w:rsid w:val="35C07A3B"/>
    <w:rsid w:val="35C90760"/>
    <w:rsid w:val="35D16D9D"/>
    <w:rsid w:val="35E05D71"/>
    <w:rsid w:val="36173CCD"/>
    <w:rsid w:val="362B4B6B"/>
    <w:rsid w:val="36366780"/>
    <w:rsid w:val="3647586B"/>
    <w:rsid w:val="36CF607A"/>
    <w:rsid w:val="36DB5E9C"/>
    <w:rsid w:val="370522D0"/>
    <w:rsid w:val="373C022C"/>
    <w:rsid w:val="374765BD"/>
    <w:rsid w:val="375955DE"/>
    <w:rsid w:val="37712C84"/>
    <w:rsid w:val="37BD5302"/>
    <w:rsid w:val="37F84368"/>
    <w:rsid w:val="38684FBD"/>
    <w:rsid w:val="387D1C48"/>
    <w:rsid w:val="38C05F24"/>
    <w:rsid w:val="38CC54BF"/>
    <w:rsid w:val="38CF2F36"/>
    <w:rsid w:val="390E5F29"/>
    <w:rsid w:val="396665B7"/>
    <w:rsid w:val="39796984"/>
    <w:rsid w:val="3A0A7478"/>
    <w:rsid w:val="3A332488"/>
    <w:rsid w:val="3A3E409C"/>
    <w:rsid w:val="3A756774"/>
    <w:rsid w:val="3AC01DD3"/>
    <w:rsid w:val="3ACE3D0B"/>
    <w:rsid w:val="3AF14EA2"/>
    <w:rsid w:val="3B1B51BC"/>
    <w:rsid w:val="3B250937"/>
    <w:rsid w:val="3B5B49C8"/>
    <w:rsid w:val="3B7B6796"/>
    <w:rsid w:val="3B7C2623"/>
    <w:rsid w:val="3B904F7A"/>
    <w:rsid w:val="3C1037F3"/>
    <w:rsid w:val="3C184105"/>
    <w:rsid w:val="3C1973AF"/>
    <w:rsid w:val="3C8744F2"/>
    <w:rsid w:val="3C9F4B00"/>
    <w:rsid w:val="3CBF2E36"/>
    <w:rsid w:val="3CD009C6"/>
    <w:rsid w:val="3D07484C"/>
    <w:rsid w:val="3D3929B1"/>
    <w:rsid w:val="3D755AE7"/>
    <w:rsid w:val="3D8C258A"/>
    <w:rsid w:val="3D9C66ED"/>
    <w:rsid w:val="3DAE0540"/>
    <w:rsid w:val="3DB868D1"/>
    <w:rsid w:val="3DEF0FAA"/>
    <w:rsid w:val="3E0F72E0"/>
    <w:rsid w:val="3E1A5671"/>
    <w:rsid w:val="3E5C719E"/>
    <w:rsid w:val="3E9B4E97"/>
    <w:rsid w:val="3E9F23A7"/>
    <w:rsid w:val="3ED226DF"/>
    <w:rsid w:val="3EEA13A2"/>
    <w:rsid w:val="3F343387"/>
    <w:rsid w:val="3F537ADD"/>
    <w:rsid w:val="3F7E02FA"/>
    <w:rsid w:val="3F9B0446"/>
    <w:rsid w:val="3FCB54A2"/>
    <w:rsid w:val="3FD54D5D"/>
    <w:rsid w:val="40150A40"/>
    <w:rsid w:val="40405179"/>
    <w:rsid w:val="40450D03"/>
    <w:rsid w:val="405E310E"/>
    <w:rsid w:val="407F6814"/>
    <w:rsid w:val="408515C1"/>
    <w:rsid w:val="408F7AA9"/>
    <w:rsid w:val="40D667EF"/>
    <w:rsid w:val="40DC06F8"/>
    <w:rsid w:val="40FD2E2B"/>
    <w:rsid w:val="41454163"/>
    <w:rsid w:val="41491186"/>
    <w:rsid w:val="415E1BCB"/>
    <w:rsid w:val="417A37DF"/>
    <w:rsid w:val="41891B15"/>
    <w:rsid w:val="41E71CAB"/>
    <w:rsid w:val="41EA5032"/>
    <w:rsid w:val="42A82B3C"/>
    <w:rsid w:val="42C84B9C"/>
    <w:rsid w:val="43135704"/>
    <w:rsid w:val="431E1515"/>
    <w:rsid w:val="432418B7"/>
    <w:rsid w:val="4335452E"/>
    <w:rsid w:val="437E7BEF"/>
    <w:rsid w:val="43C260F1"/>
    <w:rsid w:val="43CC187C"/>
    <w:rsid w:val="43D600CA"/>
    <w:rsid w:val="43E71EF6"/>
    <w:rsid w:val="43F4090A"/>
    <w:rsid w:val="43FF6C9B"/>
    <w:rsid w:val="44133245"/>
    <w:rsid w:val="44605A3B"/>
    <w:rsid w:val="44732BBD"/>
    <w:rsid w:val="44856701"/>
    <w:rsid w:val="44B71CCD"/>
    <w:rsid w:val="44BD7D77"/>
    <w:rsid w:val="44DF70C2"/>
    <w:rsid w:val="44EE0B22"/>
    <w:rsid w:val="44EE3F0E"/>
    <w:rsid w:val="452A4D8E"/>
    <w:rsid w:val="45386B94"/>
    <w:rsid w:val="45625CC9"/>
    <w:rsid w:val="45633479"/>
    <w:rsid w:val="457341BB"/>
    <w:rsid w:val="45813680"/>
    <w:rsid w:val="459B1F40"/>
    <w:rsid w:val="45B93FD5"/>
    <w:rsid w:val="45DD622C"/>
    <w:rsid w:val="463E4FCC"/>
    <w:rsid w:val="4649335D"/>
    <w:rsid w:val="467F72FE"/>
    <w:rsid w:val="46F30A24"/>
    <w:rsid w:val="46F40112"/>
    <w:rsid w:val="475F716A"/>
    <w:rsid w:val="47672390"/>
    <w:rsid w:val="477B5904"/>
    <w:rsid w:val="478F124A"/>
    <w:rsid w:val="47993F84"/>
    <w:rsid w:val="47A45B98"/>
    <w:rsid w:val="47DA0270"/>
    <w:rsid w:val="47EA2B32"/>
    <w:rsid w:val="47F84394"/>
    <w:rsid w:val="480E511F"/>
    <w:rsid w:val="489965C7"/>
    <w:rsid w:val="48D00A78"/>
    <w:rsid w:val="48D21B96"/>
    <w:rsid w:val="48D723A0"/>
    <w:rsid w:val="48E74146"/>
    <w:rsid w:val="48EA2DA0"/>
    <w:rsid w:val="48F5643E"/>
    <w:rsid w:val="490B63E4"/>
    <w:rsid w:val="494C6E4D"/>
    <w:rsid w:val="498C34BA"/>
    <w:rsid w:val="49B8385C"/>
    <w:rsid w:val="49DA6D11"/>
    <w:rsid w:val="49E038CF"/>
    <w:rsid w:val="49F23306"/>
    <w:rsid w:val="4A0301EE"/>
    <w:rsid w:val="4A56143A"/>
    <w:rsid w:val="4A5B700A"/>
    <w:rsid w:val="4A664CBB"/>
    <w:rsid w:val="4ACE50AE"/>
    <w:rsid w:val="4AD915B9"/>
    <w:rsid w:val="4ADC40E1"/>
    <w:rsid w:val="4B293881"/>
    <w:rsid w:val="4B55273A"/>
    <w:rsid w:val="4B5F5053"/>
    <w:rsid w:val="4B6156F6"/>
    <w:rsid w:val="4B8B517E"/>
    <w:rsid w:val="4B8B5541"/>
    <w:rsid w:val="4B96350F"/>
    <w:rsid w:val="4BB266B6"/>
    <w:rsid w:val="4BBA6E45"/>
    <w:rsid w:val="4BE305B1"/>
    <w:rsid w:val="4C0D2254"/>
    <w:rsid w:val="4C3B4333"/>
    <w:rsid w:val="4C632C63"/>
    <w:rsid w:val="4C7C21F4"/>
    <w:rsid w:val="4C9F0D97"/>
    <w:rsid w:val="4D051C38"/>
    <w:rsid w:val="4D0D5ECC"/>
    <w:rsid w:val="4D4A3E5A"/>
    <w:rsid w:val="4D524AEA"/>
    <w:rsid w:val="4D696611"/>
    <w:rsid w:val="4DEA5F62"/>
    <w:rsid w:val="4E0A4298"/>
    <w:rsid w:val="4E781049"/>
    <w:rsid w:val="4E99456D"/>
    <w:rsid w:val="4E9C2841"/>
    <w:rsid w:val="4ED4117A"/>
    <w:rsid w:val="4F061E4A"/>
    <w:rsid w:val="4F105D44"/>
    <w:rsid w:val="4F134503"/>
    <w:rsid w:val="4F166669"/>
    <w:rsid w:val="4F400A92"/>
    <w:rsid w:val="4F505910"/>
    <w:rsid w:val="4F6F20D3"/>
    <w:rsid w:val="4F7F703D"/>
    <w:rsid w:val="4F912E1A"/>
    <w:rsid w:val="4FCC3EF9"/>
    <w:rsid w:val="4FE81FAA"/>
    <w:rsid w:val="50015394"/>
    <w:rsid w:val="501442ED"/>
    <w:rsid w:val="50267BAC"/>
    <w:rsid w:val="505605DA"/>
    <w:rsid w:val="509300FA"/>
    <w:rsid w:val="50AC0FE9"/>
    <w:rsid w:val="50D506F4"/>
    <w:rsid w:val="50DC291C"/>
    <w:rsid w:val="50EE0567"/>
    <w:rsid w:val="50F25547"/>
    <w:rsid w:val="50FF5B4E"/>
    <w:rsid w:val="51091AC1"/>
    <w:rsid w:val="512344AA"/>
    <w:rsid w:val="514527E1"/>
    <w:rsid w:val="51511A5E"/>
    <w:rsid w:val="517A073C"/>
    <w:rsid w:val="517A4EB9"/>
    <w:rsid w:val="51A03705"/>
    <w:rsid w:val="51F11AC8"/>
    <w:rsid w:val="52333A11"/>
    <w:rsid w:val="527F63E8"/>
    <w:rsid w:val="52AC62AE"/>
    <w:rsid w:val="52B0523E"/>
    <w:rsid w:val="52DC5F09"/>
    <w:rsid w:val="52E12FED"/>
    <w:rsid w:val="52E84FA6"/>
    <w:rsid w:val="52EB3A96"/>
    <w:rsid w:val="53211D72"/>
    <w:rsid w:val="53467B37"/>
    <w:rsid w:val="536B7904"/>
    <w:rsid w:val="536F7ECB"/>
    <w:rsid w:val="53FA3C53"/>
    <w:rsid w:val="543A6551"/>
    <w:rsid w:val="547575ED"/>
    <w:rsid w:val="547D09A9"/>
    <w:rsid w:val="548825BE"/>
    <w:rsid w:val="55286AAB"/>
    <w:rsid w:val="554B088F"/>
    <w:rsid w:val="555B666F"/>
    <w:rsid w:val="556861DB"/>
    <w:rsid w:val="55970BAE"/>
    <w:rsid w:val="55B84EAE"/>
    <w:rsid w:val="55CD4E53"/>
    <w:rsid w:val="55D03B14"/>
    <w:rsid w:val="560F58BD"/>
    <w:rsid w:val="56357F80"/>
    <w:rsid w:val="5670465C"/>
    <w:rsid w:val="56830795"/>
    <w:rsid w:val="56BC6CDA"/>
    <w:rsid w:val="56D148BB"/>
    <w:rsid w:val="56E83021"/>
    <w:rsid w:val="56EF7D0A"/>
    <w:rsid w:val="571D14B6"/>
    <w:rsid w:val="57716F30"/>
    <w:rsid w:val="579E49F1"/>
    <w:rsid w:val="57AD0DA8"/>
    <w:rsid w:val="580C7901"/>
    <w:rsid w:val="5820679B"/>
    <w:rsid w:val="58224F28"/>
    <w:rsid w:val="584F166F"/>
    <w:rsid w:val="5863030F"/>
    <w:rsid w:val="592616D2"/>
    <w:rsid w:val="593E6DEE"/>
    <w:rsid w:val="59473E05"/>
    <w:rsid w:val="5985657F"/>
    <w:rsid w:val="59A74EE6"/>
    <w:rsid w:val="59C36C59"/>
    <w:rsid w:val="59E517BD"/>
    <w:rsid w:val="59F8754E"/>
    <w:rsid w:val="5A090A85"/>
    <w:rsid w:val="5A0A51C8"/>
    <w:rsid w:val="5A116689"/>
    <w:rsid w:val="5A1631D9"/>
    <w:rsid w:val="5A4178A0"/>
    <w:rsid w:val="5A4F4638"/>
    <w:rsid w:val="5A6A649A"/>
    <w:rsid w:val="5A6F23D3"/>
    <w:rsid w:val="5AD226F8"/>
    <w:rsid w:val="5AF9704F"/>
    <w:rsid w:val="5B386687"/>
    <w:rsid w:val="5B5C4988"/>
    <w:rsid w:val="5BD501FE"/>
    <w:rsid w:val="5C171E7F"/>
    <w:rsid w:val="5C57280E"/>
    <w:rsid w:val="5C774F1F"/>
    <w:rsid w:val="5C82071E"/>
    <w:rsid w:val="5C942059"/>
    <w:rsid w:val="5CA841D7"/>
    <w:rsid w:val="5CB702A9"/>
    <w:rsid w:val="5CE37942"/>
    <w:rsid w:val="5D6D188C"/>
    <w:rsid w:val="5D7F516C"/>
    <w:rsid w:val="5DB402AB"/>
    <w:rsid w:val="5DEC17E0"/>
    <w:rsid w:val="5E3E7738"/>
    <w:rsid w:val="5E5E18DF"/>
    <w:rsid w:val="5E764F84"/>
    <w:rsid w:val="5E827139"/>
    <w:rsid w:val="5EAD75B7"/>
    <w:rsid w:val="5EC6003F"/>
    <w:rsid w:val="5F010CDF"/>
    <w:rsid w:val="5F2B1033"/>
    <w:rsid w:val="5F7B5752"/>
    <w:rsid w:val="5F95312B"/>
    <w:rsid w:val="5FAE2505"/>
    <w:rsid w:val="5FD43F95"/>
    <w:rsid w:val="60537A8B"/>
    <w:rsid w:val="605B3923"/>
    <w:rsid w:val="60E90CD3"/>
    <w:rsid w:val="60EB6D55"/>
    <w:rsid w:val="60FE69AF"/>
    <w:rsid w:val="612331F4"/>
    <w:rsid w:val="61775374"/>
    <w:rsid w:val="61E324A5"/>
    <w:rsid w:val="61ED0836"/>
    <w:rsid w:val="61EE40B9"/>
    <w:rsid w:val="62090118"/>
    <w:rsid w:val="622F012D"/>
    <w:rsid w:val="62693030"/>
    <w:rsid w:val="62EC7967"/>
    <w:rsid w:val="62F60501"/>
    <w:rsid w:val="63483071"/>
    <w:rsid w:val="634D652C"/>
    <w:rsid w:val="63C0512F"/>
    <w:rsid w:val="63EC1A04"/>
    <w:rsid w:val="64066816"/>
    <w:rsid w:val="640F4B4E"/>
    <w:rsid w:val="643D6E01"/>
    <w:rsid w:val="64415D50"/>
    <w:rsid w:val="64483102"/>
    <w:rsid w:val="64517266"/>
    <w:rsid w:val="64A5552C"/>
    <w:rsid w:val="64CA6860"/>
    <w:rsid w:val="6529243E"/>
    <w:rsid w:val="654301AA"/>
    <w:rsid w:val="6567306B"/>
    <w:rsid w:val="65A93AD5"/>
    <w:rsid w:val="65B456E9"/>
    <w:rsid w:val="65EF386C"/>
    <w:rsid w:val="661528F6"/>
    <w:rsid w:val="6623356B"/>
    <w:rsid w:val="664D3B44"/>
    <w:rsid w:val="66AA3380"/>
    <w:rsid w:val="66AD1184"/>
    <w:rsid w:val="670F7F24"/>
    <w:rsid w:val="67643F02"/>
    <w:rsid w:val="67650933"/>
    <w:rsid w:val="679B4F74"/>
    <w:rsid w:val="67ED1536"/>
    <w:rsid w:val="68131B81"/>
    <w:rsid w:val="686676F6"/>
    <w:rsid w:val="68C2756A"/>
    <w:rsid w:val="68CC58FB"/>
    <w:rsid w:val="68F71FC3"/>
    <w:rsid w:val="6928481F"/>
    <w:rsid w:val="697D5588"/>
    <w:rsid w:val="6985092D"/>
    <w:rsid w:val="69B703EF"/>
    <w:rsid w:val="69E870A9"/>
    <w:rsid w:val="69ED3D7B"/>
    <w:rsid w:val="6A300506"/>
    <w:rsid w:val="6A3141EB"/>
    <w:rsid w:val="6A3264C7"/>
    <w:rsid w:val="6A360751"/>
    <w:rsid w:val="6A512387"/>
    <w:rsid w:val="6A7327B4"/>
    <w:rsid w:val="6AA85F06"/>
    <w:rsid w:val="6AAA4E8C"/>
    <w:rsid w:val="6ABC4791"/>
    <w:rsid w:val="6AE466AB"/>
    <w:rsid w:val="6B0B3C2C"/>
    <w:rsid w:val="6B213BD1"/>
    <w:rsid w:val="6B776EB7"/>
    <w:rsid w:val="6B822971"/>
    <w:rsid w:val="6BBF6DD1"/>
    <w:rsid w:val="6BCD0008"/>
    <w:rsid w:val="6BCE176C"/>
    <w:rsid w:val="6C1E7495"/>
    <w:rsid w:val="6C342795"/>
    <w:rsid w:val="6C445601"/>
    <w:rsid w:val="6C5C00D6"/>
    <w:rsid w:val="6C6867FF"/>
    <w:rsid w:val="6CAA66C0"/>
    <w:rsid w:val="6CC87FAF"/>
    <w:rsid w:val="6CE258F3"/>
    <w:rsid w:val="6CF14725"/>
    <w:rsid w:val="6D1137C0"/>
    <w:rsid w:val="6D2B3C26"/>
    <w:rsid w:val="6D3622F2"/>
    <w:rsid w:val="6D400349"/>
    <w:rsid w:val="6D6B60C9"/>
    <w:rsid w:val="6DCD3501"/>
    <w:rsid w:val="6DF8337A"/>
    <w:rsid w:val="6E8C501E"/>
    <w:rsid w:val="6F483FA1"/>
    <w:rsid w:val="6F8805DB"/>
    <w:rsid w:val="6FA50EEC"/>
    <w:rsid w:val="700233CF"/>
    <w:rsid w:val="70314199"/>
    <w:rsid w:val="70373443"/>
    <w:rsid w:val="70593DDE"/>
    <w:rsid w:val="7071059E"/>
    <w:rsid w:val="70926ADD"/>
    <w:rsid w:val="70A370D3"/>
    <w:rsid w:val="70DB3DF7"/>
    <w:rsid w:val="70EF55D6"/>
    <w:rsid w:val="7111358D"/>
    <w:rsid w:val="712B7768"/>
    <w:rsid w:val="716746C1"/>
    <w:rsid w:val="71B45728"/>
    <w:rsid w:val="71BE49AA"/>
    <w:rsid w:val="71DD36E7"/>
    <w:rsid w:val="71E865E8"/>
    <w:rsid w:val="72080E61"/>
    <w:rsid w:val="72166357"/>
    <w:rsid w:val="724C7A91"/>
    <w:rsid w:val="72695111"/>
    <w:rsid w:val="727D19A5"/>
    <w:rsid w:val="728342AA"/>
    <w:rsid w:val="72A0357A"/>
    <w:rsid w:val="72D31ED0"/>
    <w:rsid w:val="73106C9C"/>
    <w:rsid w:val="73454153"/>
    <w:rsid w:val="735018BD"/>
    <w:rsid w:val="73675E06"/>
    <w:rsid w:val="73FD2CDB"/>
    <w:rsid w:val="74024AF9"/>
    <w:rsid w:val="742F6DB7"/>
    <w:rsid w:val="74860B88"/>
    <w:rsid w:val="749F55EB"/>
    <w:rsid w:val="756736AF"/>
    <w:rsid w:val="75A44310"/>
    <w:rsid w:val="75C429A1"/>
    <w:rsid w:val="75CB6F88"/>
    <w:rsid w:val="75D4705E"/>
    <w:rsid w:val="75E64D79"/>
    <w:rsid w:val="75FC6AF9"/>
    <w:rsid w:val="76596F92"/>
    <w:rsid w:val="765C3ABF"/>
    <w:rsid w:val="767D5622"/>
    <w:rsid w:val="76B44281"/>
    <w:rsid w:val="76BD418C"/>
    <w:rsid w:val="76CE4F21"/>
    <w:rsid w:val="76D52484"/>
    <w:rsid w:val="76E319D4"/>
    <w:rsid w:val="76E322CB"/>
    <w:rsid w:val="77036E20"/>
    <w:rsid w:val="77663D4F"/>
    <w:rsid w:val="776F6C9C"/>
    <w:rsid w:val="77CE269B"/>
    <w:rsid w:val="77DB7231"/>
    <w:rsid w:val="78054D74"/>
    <w:rsid w:val="7813273E"/>
    <w:rsid w:val="7839266C"/>
    <w:rsid w:val="785C5783"/>
    <w:rsid w:val="78612F70"/>
    <w:rsid w:val="78663B14"/>
    <w:rsid w:val="7867141A"/>
    <w:rsid w:val="787F0AF4"/>
    <w:rsid w:val="78816115"/>
    <w:rsid w:val="78C20E1F"/>
    <w:rsid w:val="78C728B3"/>
    <w:rsid w:val="78DC572B"/>
    <w:rsid w:val="78FB07ED"/>
    <w:rsid w:val="78FD3D56"/>
    <w:rsid w:val="79035A3D"/>
    <w:rsid w:val="79144F31"/>
    <w:rsid w:val="79234E3A"/>
    <w:rsid w:val="793A2903"/>
    <w:rsid w:val="7980482E"/>
    <w:rsid w:val="79B77FBE"/>
    <w:rsid w:val="79DB57D8"/>
    <w:rsid w:val="79EB0B5B"/>
    <w:rsid w:val="79ED2696"/>
    <w:rsid w:val="79F353B5"/>
    <w:rsid w:val="7A07119D"/>
    <w:rsid w:val="7A236B91"/>
    <w:rsid w:val="7A516B65"/>
    <w:rsid w:val="7A722914"/>
    <w:rsid w:val="7A780498"/>
    <w:rsid w:val="7B074467"/>
    <w:rsid w:val="7B1E2BDC"/>
    <w:rsid w:val="7B5679AA"/>
    <w:rsid w:val="7BD67FB8"/>
    <w:rsid w:val="7C00467F"/>
    <w:rsid w:val="7C0D4848"/>
    <w:rsid w:val="7C2B0D47"/>
    <w:rsid w:val="7C70603A"/>
    <w:rsid w:val="7C945587"/>
    <w:rsid w:val="7CD66D3F"/>
    <w:rsid w:val="7D1B284D"/>
    <w:rsid w:val="7D744D0D"/>
    <w:rsid w:val="7D952D95"/>
    <w:rsid w:val="7DBD2D76"/>
    <w:rsid w:val="7DF12AA8"/>
    <w:rsid w:val="7E847026"/>
    <w:rsid w:val="7E952391"/>
    <w:rsid w:val="7EAC276A"/>
    <w:rsid w:val="7ECD2CD4"/>
    <w:rsid w:val="7ECD5A97"/>
    <w:rsid w:val="7F242C23"/>
    <w:rsid w:val="7F612F43"/>
    <w:rsid w:val="7F735E70"/>
    <w:rsid w:val="7F802D44"/>
    <w:rsid w:val="7F810803"/>
    <w:rsid w:val="7FC06324"/>
    <w:rsid w:val="7FDF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0"/>
    <w:qFormat/>
    <w:uiPriority w:val="0"/>
    <w:pPr>
      <w:keepNext/>
      <w:jc w:val="center"/>
      <w:outlineLvl w:val="0"/>
    </w:pPr>
    <w:rPr>
      <w:rFonts w:ascii="Verdana" w:hAnsi="Verdana"/>
      <w:kern w:val="0"/>
      <w:sz w:val="20"/>
      <w:lang w:eastAsia="en-US"/>
    </w:rPr>
  </w:style>
  <w:style w:type="paragraph" w:styleId="4">
    <w:name w:val="heading 2"/>
    <w:basedOn w:val="1"/>
    <w:next w:val="1"/>
    <w:link w:val="26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6"/>
    <w:qFormat/>
    <w:uiPriority w:val="0"/>
    <w:pPr>
      <w:keepNext/>
      <w:spacing w:line="460" w:lineRule="exact"/>
      <w:outlineLvl w:val="2"/>
    </w:pPr>
    <w:rPr>
      <w:rFonts w:ascii="宋体" w:hAnsi="宋体"/>
      <w:b/>
      <w:bCs/>
      <w:sz w:val="30"/>
      <w:szCs w:val="24"/>
    </w:rPr>
  </w:style>
  <w:style w:type="paragraph" w:styleId="6">
    <w:name w:val="heading 4"/>
    <w:basedOn w:val="1"/>
    <w:next w:val="1"/>
    <w:link w:val="285"/>
    <w:qFormat/>
    <w:uiPriority w:val="0"/>
    <w:pPr>
      <w:keepNext/>
      <w:spacing w:line="460" w:lineRule="exact"/>
      <w:outlineLvl w:val="3"/>
    </w:pPr>
    <w:rPr>
      <w:rFonts w:ascii="宋体" w:hAnsi="宋体"/>
      <w:sz w:val="24"/>
      <w:szCs w:val="24"/>
    </w:rPr>
  </w:style>
  <w:style w:type="paragraph" w:styleId="7">
    <w:name w:val="heading 5"/>
    <w:basedOn w:val="1"/>
    <w:next w:val="1"/>
    <w:link w:val="302"/>
    <w:qFormat/>
    <w:uiPriority w:val="0"/>
    <w:pPr>
      <w:keepNext/>
      <w:keepLines/>
      <w:spacing w:before="280" w:after="290" w:line="376" w:lineRule="auto"/>
      <w:outlineLvl w:val="4"/>
    </w:pPr>
    <w:rPr>
      <w:b/>
      <w:bCs/>
      <w:sz w:val="28"/>
      <w:szCs w:val="28"/>
    </w:rPr>
  </w:style>
  <w:style w:type="paragraph" w:styleId="8">
    <w:name w:val="heading 6"/>
    <w:basedOn w:val="1"/>
    <w:next w:val="1"/>
    <w:link w:val="28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279"/>
    <w:qFormat/>
    <w:uiPriority w:val="0"/>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282"/>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24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2520" w:leftChars="1200"/>
    </w:pPr>
  </w:style>
  <w:style w:type="paragraph" w:styleId="14">
    <w:name w:val="Normal Indent"/>
    <w:basedOn w:val="1"/>
    <w:qFormat/>
    <w:uiPriority w:val="0"/>
    <w:pPr>
      <w:ind w:firstLine="420" w:firstLineChars="200"/>
    </w:pPr>
  </w:style>
  <w:style w:type="paragraph" w:styleId="15">
    <w:name w:val="List Bullet"/>
    <w:basedOn w:val="1"/>
    <w:qFormat/>
    <w:uiPriority w:val="0"/>
    <w:pPr>
      <w:tabs>
        <w:tab w:val="left" w:pos="840"/>
      </w:tabs>
      <w:adjustRightInd w:val="0"/>
      <w:spacing w:beforeLines="50" w:line="360" w:lineRule="auto"/>
      <w:ind w:left="840" w:hanging="360"/>
      <w:textAlignment w:val="baseline"/>
    </w:pPr>
    <w:rPr>
      <w:rFonts w:ascii="仿宋_GB2312" w:hAnsi="宋体" w:eastAsia="仿宋_GB2312"/>
      <w:color w:val="000000"/>
      <w:sz w:val="28"/>
    </w:rPr>
  </w:style>
  <w:style w:type="paragraph" w:styleId="16">
    <w:name w:val="Document Map"/>
    <w:basedOn w:val="1"/>
    <w:link w:val="267"/>
    <w:qFormat/>
    <w:uiPriority w:val="0"/>
    <w:pPr>
      <w:shd w:val="clear" w:color="auto" w:fill="000080"/>
    </w:pPr>
    <w:rPr>
      <w:szCs w:val="24"/>
    </w:rPr>
  </w:style>
  <w:style w:type="paragraph" w:styleId="17">
    <w:name w:val="Body Text 3"/>
    <w:basedOn w:val="1"/>
    <w:link w:val="275"/>
    <w:qFormat/>
    <w:uiPriority w:val="0"/>
    <w:rPr>
      <w:sz w:val="24"/>
      <w:szCs w:val="24"/>
    </w:rPr>
  </w:style>
  <w:style w:type="paragraph" w:styleId="18">
    <w:name w:val="List Bullet 3"/>
    <w:basedOn w:val="1"/>
    <w:qFormat/>
    <w:uiPriority w:val="0"/>
    <w:pPr>
      <w:tabs>
        <w:tab w:val="left" w:pos="933"/>
      </w:tabs>
      <w:ind w:left="933" w:hanging="360"/>
    </w:pPr>
  </w:style>
  <w:style w:type="paragraph" w:styleId="19">
    <w:name w:val="Body Text"/>
    <w:basedOn w:val="1"/>
    <w:link w:val="245"/>
    <w:qFormat/>
    <w:uiPriority w:val="0"/>
    <w:pPr>
      <w:spacing w:after="120"/>
    </w:pPr>
  </w:style>
  <w:style w:type="paragraph" w:styleId="20">
    <w:name w:val="Body Text Indent"/>
    <w:basedOn w:val="1"/>
    <w:link w:val="280"/>
    <w:qFormat/>
    <w:uiPriority w:val="0"/>
    <w:pPr>
      <w:ind w:firstLine="601" w:firstLineChars="200"/>
    </w:pPr>
    <w:rPr>
      <w:rFonts w:eastAsia="仿宋_GB2312"/>
      <w:b/>
      <w:bCs/>
      <w:sz w:val="30"/>
    </w:rPr>
  </w:style>
  <w:style w:type="paragraph" w:styleId="21">
    <w:name w:val="List 2"/>
    <w:basedOn w:val="1"/>
    <w:qFormat/>
    <w:uiPriority w:val="0"/>
    <w:pPr>
      <w:ind w:left="100" w:leftChars="200" w:hanging="200" w:hangingChars="200"/>
    </w:pPr>
    <w:rPr>
      <w:szCs w:val="24"/>
    </w:rPr>
  </w:style>
  <w:style w:type="paragraph" w:styleId="22">
    <w:name w:val="List Continue"/>
    <w:basedOn w:val="1"/>
    <w:qFormat/>
    <w:uiPriority w:val="0"/>
    <w:pPr>
      <w:spacing w:after="120"/>
      <w:ind w:left="420" w:leftChars="200"/>
    </w:pPr>
    <w:rPr>
      <w:szCs w:val="24"/>
    </w:r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link w:val="258"/>
    <w:qFormat/>
    <w:uiPriority w:val="0"/>
    <w:rPr>
      <w:rFonts w:ascii="宋体" w:hAnsi="Courier New"/>
    </w:rPr>
  </w:style>
  <w:style w:type="paragraph" w:styleId="26">
    <w:name w:val="toc 8"/>
    <w:basedOn w:val="1"/>
    <w:next w:val="1"/>
    <w:qFormat/>
    <w:uiPriority w:val="0"/>
    <w:pPr>
      <w:ind w:left="2940" w:leftChars="1400"/>
    </w:pPr>
  </w:style>
  <w:style w:type="paragraph" w:styleId="27">
    <w:name w:val="Date"/>
    <w:basedOn w:val="1"/>
    <w:next w:val="1"/>
    <w:link w:val="265"/>
    <w:qFormat/>
    <w:uiPriority w:val="0"/>
    <w:pPr>
      <w:ind w:left="100" w:leftChars="2500"/>
    </w:pPr>
    <w:rPr>
      <w:rFonts w:eastAsia="长城楷体"/>
      <w:spacing w:val="4"/>
      <w:sz w:val="28"/>
      <w:szCs w:val="24"/>
    </w:rPr>
  </w:style>
  <w:style w:type="paragraph" w:styleId="28">
    <w:name w:val="Body Text Indent 2"/>
    <w:basedOn w:val="1"/>
    <w:link w:val="257"/>
    <w:qFormat/>
    <w:uiPriority w:val="0"/>
    <w:pPr>
      <w:spacing w:after="120" w:line="480" w:lineRule="auto"/>
      <w:ind w:left="420" w:leftChars="200"/>
    </w:pPr>
  </w:style>
  <w:style w:type="paragraph" w:styleId="29">
    <w:name w:val="Balloon Text"/>
    <w:basedOn w:val="1"/>
    <w:link w:val="287"/>
    <w:qFormat/>
    <w:uiPriority w:val="0"/>
    <w:rPr>
      <w:sz w:val="18"/>
      <w:szCs w:val="18"/>
    </w:rPr>
  </w:style>
  <w:style w:type="paragraph" w:styleId="30">
    <w:name w:val="footer"/>
    <w:basedOn w:val="1"/>
    <w:link w:val="249"/>
    <w:qFormat/>
    <w:uiPriority w:val="0"/>
    <w:pPr>
      <w:tabs>
        <w:tab w:val="center" w:pos="4153"/>
        <w:tab w:val="right" w:pos="8306"/>
      </w:tabs>
      <w:snapToGrid w:val="0"/>
      <w:jc w:val="left"/>
    </w:pPr>
    <w:rPr>
      <w:sz w:val="18"/>
      <w:szCs w:val="18"/>
    </w:rPr>
  </w:style>
  <w:style w:type="paragraph" w:styleId="31">
    <w:name w:val="header"/>
    <w:basedOn w:val="1"/>
    <w:link w:val="293"/>
    <w:qFormat/>
    <w:uiPriority w:val="99"/>
    <w:pPr>
      <w:pBdr>
        <w:bottom w:val="single" w:color="auto" w:sz="6" w:space="1"/>
      </w:pBdr>
      <w:tabs>
        <w:tab w:val="center" w:pos="4153"/>
        <w:tab w:val="right" w:pos="8306"/>
      </w:tabs>
      <w:snapToGrid w:val="0"/>
      <w:jc w:val="center"/>
    </w:pPr>
    <w:rPr>
      <w:sz w:val="18"/>
      <w:szCs w:val="18"/>
    </w:rPr>
  </w:style>
  <w:style w:type="paragraph" w:styleId="32">
    <w:name w:val="Signature"/>
    <w:basedOn w:val="1"/>
    <w:link w:val="252"/>
    <w:qFormat/>
    <w:uiPriority w:val="0"/>
    <w:pPr>
      <w:ind w:left="100" w:leftChars="2100"/>
    </w:pPr>
    <w:rPr>
      <w:szCs w:val="24"/>
    </w:rPr>
  </w:style>
  <w:style w:type="paragraph" w:styleId="33">
    <w:name w:val="toc 1"/>
    <w:basedOn w:val="1"/>
    <w:next w:val="1"/>
    <w:qFormat/>
    <w:uiPriority w:val="0"/>
  </w:style>
  <w:style w:type="paragraph" w:styleId="34">
    <w:name w:val="List Continue 4"/>
    <w:basedOn w:val="1"/>
    <w:qFormat/>
    <w:uiPriority w:val="0"/>
    <w:pPr>
      <w:spacing w:after="120"/>
      <w:ind w:left="1680" w:leftChars="800"/>
    </w:pPr>
    <w:rPr>
      <w:szCs w:val="24"/>
    </w:rPr>
  </w:style>
  <w:style w:type="paragraph" w:styleId="35">
    <w:name w:val="toc 4"/>
    <w:basedOn w:val="1"/>
    <w:next w:val="1"/>
    <w:qFormat/>
    <w:uiPriority w:val="0"/>
    <w:pPr>
      <w:ind w:left="1260" w:leftChars="600"/>
    </w:pPr>
  </w:style>
  <w:style w:type="paragraph" w:styleId="36">
    <w:name w:val="List"/>
    <w:basedOn w:val="1"/>
    <w:qFormat/>
    <w:uiPriority w:val="0"/>
    <w:pPr>
      <w:ind w:left="200" w:hanging="200" w:hangingChars="200"/>
    </w:pPr>
    <w:rPr>
      <w:szCs w:val="24"/>
    </w:rPr>
  </w:style>
  <w:style w:type="paragraph" w:styleId="37">
    <w:name w:val="toc 6"/>
    <w:basedOn w:val="1"/>
    <w:next w:val="1"/>
    <w:qFormat/>
    <w:uiPriority w:val="0"/>
    <w:pPr>
      <w:ind w:left="2100" w:leftChars="1000"/>
    </w:pPr>
  </w:style>
  <w:style w:type="paragraph" w:styleId="38">
    <w:name w:val="List 5"/>
    <w:basedOn w:val="1"/>
    <w:qFormat/>
    <w:uiPriority w:val="0"/>
    <w:pPr>
      <w:ind w:left="100" w:leftChars="800" w:hanging="200" w:hangingChars="200"/>
    </w:pPr>
    <w:rPr>
      <w:szCs w:val="24"/>
    </w:rPr>
  </w:style>
  <w:style w:type="paragraph" w:styleId="39">
    <w:name w:val="Body Text Indent 3"/>
    <w:basedOn w:val="1"/>
    <w:link w:val="261"/>
    <w:qFormat/>
    <w:uiPriority w:val="0"/>
    <w:pPr>
      <w:spacing w:after="120"/>
      <w:ind w:left="420" w:leftChars="200"/>
    </w:pPr>
    <w:rPr>
      <w:sz w:val="16"/>
      <w:szCs w:val="16"/>
    </w:rPr>
  </w:style>
  <w:style w:type="paragraph" w:styleId="40">
    <w:name w:val="toc 2"/>
    <w:basedOn w:val="1"/>
    <w:next w:val="1"/>
    <w:qFormat/>
    <w:uiPriority w:val="0"/>
    <w:pPr>
      <w:ind w:left="420" w:leftChars="200"/>
    </w:pPr>
  </w:style>
  <w:style w:type="paragraph" w:styleId="41">
    <w:name w:val="toc 9"/>
    <w:basedOn w:val="1"/>
    <w:next w:val="1"/>
    <w:qFormat/>
    <w:uiPriority w:val="0"/>
    <w:pPr>
      <w:ind w:left="3360" w:leftChars="1600"/>
    </w:pPr>
  </w:style>
  <w:style w:type="paragraph" w:styleId="42">
    <w:name w:val="Body Text 2"/>
    <w:basedOn w:val="1"/>
    <w:link w:val="250"/>
    <w:qFormat/>
    <w:uiPriority w:val="0"/>
    <w:pPr>
      <w:spacing w:after="120" w:line="480" w:lineRule="auto"/>
    </w:pPr>
  </w:style>
  <w:style w:type="paragraph" w:styleId="43">
    <w:name w:val="List 4"/>
    <w:basedOn w:val="1"/>
    <w:qFormat/>
    <w:uiPriority w:val="0"/>
    <w:pPr>
      <w:ind w:left="100" w:leftChars="600" w:hanging="200" w:hangingChars="200"/>
    </w:pPr>
    <w:rPr>
      <w:szCs w:val="24"/>
    </w:rPr>
  </w:style>
  <w:style w:type="paragraph" w:styleId="44">
    <w:name w:val="List Continue 2"/>
    <w:basedOn w:val="1"/>
    <w:qFormat/>
    <w:uiPriority w:val="0"/>
    <w:pPr>
      <w:spacing w:after="120"/>
      <w:ind w:left="840" w:leftChars="400"/>
    </w:pPr>
    <w:rPr>
      <w:szCs w:val="24"/>
    </w:r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6">
    <w:name w:val="List Continue 3"/>
    <w:basedOn w:val="1"/>
    <w:qFormat/>
    <w:uiPriority w:val="0"/>
    <w:pPr>
      <w:spacing w:after="120"/>
      <w:ind w:left="1260" w:leftChars="600"/>
    </w:pPr>
    <w:rPr>
      <w:szCs w:val="24"/>
    </w:rPr>
  </w:style>
  <w:style w:type="paragraph" w:styleId="47">
    <w:name w:val="index 1"/>
    <w:basedOn w:val="1"/>
    <w:next w:val="1"/>
    <w:qFormat/>
    <w:uiPriority w:val="0"/>
    <w:pPr>
      <w:spacing w:line="360" w:lineRule="auto"/>
      <w:ind w:left="542" w:hanging="542" w:hangingChars="257"/>
      <w:jc w:val="center"/>
    </w:pPr>
    <w:rPr>
      <w:rFonts w:ascii="宋体" w:hAnsi="宋体"/>
      <w:b/>
      <w:bCs/>
      <w:color w:val="000000"/>
      <w:szCs w:val="21"/>
    </w:rPr>
  </w:style>
  <w:style w:type="paragraph" w:styleId="48">
    <w:name w:val="Body Text First Indent"/>
    <w:basedOn w:val="19"/>
    <w:link w:val="264"/>
    <w:qFormat/>
    <w:uiPriority w:val="0"/>
    <w:pPr>
      <w:ind w:firstLine="420" w:firstLineChars="100"/>
    </w:pPr>
    <w:rPr>
      <w:szCs w:val="24"/>
    </w:rPr>
  </w:style>
  <w:style w:type="paragraph" w:styleId="49">
    <w:name w:val="Body Text First Indent 2"/>
    <w:basedOn w:val="20"/>
    <w:link w:val="263"/>
    <w:qFormat/>
    <w:uiPriority w:val="0"/>
    <w:pPr>
      <w:spacing w:after="120"/>
      <w:ind w:left="420" w:leftChars="200" w:firstLine="420"/>
    </w:pPr>
    <w:rPr>
      <w:sz w:val="21"/>
      <w:szCs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qFormat/>
    <w:uiPriority w:val="0"/>
    <w:rPr>
      <w:color w:val="2FA4E7"/>
      <w:u w:val="none"/>
    </w:rPr>
  </w:style>
  <w:style w:type="character" w:styleId="56">
    <w:name w:val="Emphasis"/>
    <w:qFormat/>
    <w:uiPriority w:val="0"/>
    <w:rPr>
      <w:rFonts w:ascii="Arial" w:hAnsi="Arial"/>
      <w:b/>
      <w:spacing w:val="-10"/>
      <w:sz w:val="18"/>
    </w:rPr>
  </w:style>
  <w:style w:type="character" w:styleId="57">
    <w:name w:val="line number"/>
    <w:basedOn w:val="52"/>
    <w:qFormat/>
    <w:uiPriority w:val="0"/>
  </w:style>
  <w:style w:type="character" w:styleId="58">
    <w:name w:val="HTML Definition"/>
    <w:basedOn w:val="52"/>
    <w:semiHidden/>
    <w:unhideWhenUsed/>
    <w:qFormat/>
    <w:uiPriority w:val="99"/>
  </w:style>
  <w:style w:type="character" w:styleId="59">
    <w:name w:val="HTML Typewriter"/>
    <w:basedOn w:val="52"/>
    <w:semiHidden/>
    <w:unhideWhenUsed/>
    <w:qFormat/>
    <w:uiPriority w:val="99"/>
    <w:rPr>
      <w:rFonts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semiHidden/>
    <w:unhideWhenUsed/>
    <w:qFormat/>
    <w:uiPriority w:val="99"/>
  </w:style>
  <w:style w:type="character" w:styleId="62">
    <w:name w:val="Hyperlink"/>
    <w:basedOn w:val="52"/>
    <w:qFormat/>
    <w:uiPriority w:val="0"/>
    <w:rPr>
      <w:color w:val="2FA4E7"/>
      <w:u w:val="none"/>
    </w:rPr>
  </w:style>
  <w:style w:type="character" w:styleId="63">
    <w:name w:val="HTML Code"/>
    <w:basedOn w:val="52"/>
    <w:unhideWhenUsed/>
    <w:qFormat/>
    <w:uiPriority w:val="99"/>
    <w:rPr>
      <w:rFonts w:ascii="Menlo" w:hAnsi="Menlo" w:eastAsia="Menlo" w:cs="Menlo"/>
      <w:color w:val="DD1144"/>
      <w:sz w:val="14"/>
      <w:szCs w:val="14"/>
      <w:bdr w:val="single" w:color="E1E1E8" w:sz="4" w:space="0"/>
      <w:shd w:val="clear" w:color="auto" w:fill="F7F7F9"/>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HTML Keyboard"/>
    <w:basedOn w:val="52"/>
    <w:semiHidden/>
    <w:unhideWhenUsed/>
    <w:qFormat/>
    <w:uiPriority w:val="99"/>
    <w:rPr>
      <w:rFonts w:hint="default" w:ascii="monospace" w:hAnsi="monospace" w:eastAsia="monospace" w:cs="monospace"/>
      <w:sz w:val="20"/>
    </w:rPr>
  </w:style>
  <w:style w:type="character" w:styleId="67">
    <w:name w:val="HTML Sample"/>
    <w:basedOn w:val="52"/>
    <w:semiHidden/>
    <w:unhideWhenUsed/>
    <w:qFormat/>
    <w:uiPriority w:val="99"/>
    <w:rPr>
      <w:rFonts w:hint="default" w:ascii="monospace" w:hAnsi="monospace" w:eastAsia="monospace" w:cs="monospace"/>
    </w:rPr>
  </w:style>
  <w:style w:type="paragraph" w:customStyle="1" w:styleId="6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69">
    <w:name w:val="表格文字"/>
    <w:basedOn w:val="20"/>
    <w:qFormat/>
    <w:uiPriority w:val="0"/>
    <w:pPr>
      <w:spacing w:before="20" w:after="20"/>
      <w:ind w:firstLine="0" w:firstLineChars="0"/>
    </w:pPr>
    <w:rPr>
      <w:rFonts w:ascii="Century Gothic" w:hAnsi="Century Gothic" w:eastAsia="宋体"/>
      <w:b w:val="0"/>
      <w:bCs w:val="0"/>
      <w:sz w:val="20"/>
    </w:rPr>
  </w:style>
  <w:style w:type="paragraph" w:customStyle="1" w:styleId="70">
    <w:name w:val="参考文献、索引标题"/>
    <w:basedOn w:val="1"/>
    <w:next w:val="1"/>
    <w:qFormat/>
    <w:uiPriority w:val="0"/>
    <w:pPr>
      <w:widowControl/>
      <w:shd w:val="clear" w:color="FFFFFF" w:fill="FFFFFF"/>
      <w:spacing w:before="640" w:after="200"/>
      <w:jc w:val="center"/>
      <w:outlineLvl w:val="0"/>
    </w:pPr>
    <w:rPr>
      <w:rFonts w:ascii="黑体" w:eastAsia="黑体"/>
      <w:kern w:val="0"/>
    </w:rPr>
  </w:style>
  <w:style w:type="paragraph" w:customStyle="1" w:styleId="71">
    <w:name w:val="样式 样式 标题 5 + 段前: 5 磅 段后: 5 磅 行距: 单倍行距 + 五号"/>
    <w:basedOn w:val="72"/>
    <w:qFormat/>
    <w:uiPriority w:val="0"/>
    <w:pPr>
      <w:tabs>
        <w:tab w:val="left" w:pos="2580"/>
      </w:tabs>
    </w:pPr>
    <w:rPr>
      <w:sz w:val="21"/>
      <w:szCs w:val="21"/>
    </w:rPr>
  </w:style>
  <w:style w:type="paragraph" w:customStyle="1" w:styleId="72">
    <w:name w:val="样式 标题 5 + 段前: 5 磅 段后: 5 磅 行距: 单倍行距"/>
    <w:basedOn w:val="7"/>
    <w:qFormat/>
    <w:uiPriority w:val="0"/>
    <w:pPr>
      <w:tabs>
        <w:tab w:val="left" w:pos="2580"/>
      </w:tabs>
      <w:adjustRightInd w:val="0"/>
      <w:spacing w:before="100" w:after="100" w:line="240" w:lineRule="auto"/>
      <w:ind w:left="2580" w:hanging="420"/>
      <w:jc w:val="left"/>
      <w:textAlignment w:val="baseline"/>
    </w:pPr>
    <w:rPr>
      <w:kern w:val="0"/>
    </w:rPr>
  </w:style>
  <w:style w:type="paragraph" w:customStyle="1" w:styleId="73">
    <w:name w:val="页眉 New New New New"/>
    <w:basedOn w:val="74"/>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rPr>
  </w:style>
  <w:style w:type="paragraph" w:customStyle="1" w:styleId="76">
    <w:name w:val="表格内容"/>
    <w:basedOn w:val="14"/>
    <w:qFormat/>
    <w:uiPriority w:val="0"/>
    <w:pPr>
      <w:spacing w:afterLines="50"/>
      <w:ind w:firstLine="0" w:firstLineChars="0"/>
    </w:pPr>
    <w:rPr>
      <w:rFonts w:ascii="宋体" w:hAnsi="宋体"/>
      <w:szCs w:val="24"/>
    </w:rPr>
  </w:style>
  <w:style w:type="paragraph" w:customStyle="1" w:styleId="77">
    <w:name w:val="font15"/>
    <w:basedOn w:val="1"/>
    <w:qFormat/>
    <w:uiPriority w:val="0"/>
    <w:pPr>
      <w:widowControl/>
      <w:spacing w:before="100" w:beforeAutospacing="1" w:after="100" w:afterAutospacing="1"/>
      <w:jc w:val="left"/>
    </w:pPr>
    <w:rPr>
      <w:color w:val="000000"/>
      <w:kern w:val="0"/>
      <w:sz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9">
    <w:name w:val="页眉 New New New New New New New New New New New New"/>
    <w:basedOn w:val="80"/>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IBM 正文"/>
    <w:basedOn w:val="1"/>
    <w:qFormat/>
    <w:uiPriority w:val="0"/>
    <w:pPr>
      <w:autoSpaceDE w:val="0"/>
      <w:autoSpaceDN w:val="0"/>
      <w:adjustRightInd w:val="0"/>
      <w:spacing w:line="360" w:lineRule="exact"/>
      <w:textAlignment w:val="baseline"/>
    </w:pPr>
    <w:rPr>
      <w:sz w:val="24"/>
    </w:rPr>
  </w:style>
  <w:style w:type="paragraph" w:customStyle="1" w:styleId="8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4">
    <w:name w:val="一级条标题"/>
    <w:next w:val="1"/>
    <w:qFormat/>
    <w:uiPriority w:val="0"/>
    <w:pPr>
      <w:tabs>
        <w:tab w:val="left" w:pos="1740"/>
      </w:tabs>
      <w:ind w:left="1740" w:hanging="420"/>
      <w:outlineLvl w:val="2"/>
    </w:pPr>
    <w:rPr>
      <w:rFonts w:ascii="Times New Roman" w:hAnsi="Times New Roman" w:eastAsia="黑体" w:cs="Times New Roman"/>
      <w:sz w:val="21"/>
      <w:lang w:val="en-US" w:eastAsia="zh-CN" w:bidi="ar-SA"/>
    </w:rPr>
  </w:style>
  <w:style w:type="paragraph" w:customStyle="1" w:styleId="85">
    <w:name w:val="普通正文"/>
    <w:basedOn w:val="1"/>
    <w:qFormat/>
    <w:uiPriority w:val="0"/>
    <w:pPr>
      <w:ind w:firstLine="640" w:firstLineChars="200"/>
    </w:pPr>
    <w:rPr>
      <w:rFonts w:ascii="仿宋_GB2312" w:eastAsia="仿宋_GB2312"/>
      <w:sz w:val="32"/>
      <w:szCs w:val="32"/>
    </w:rPr>
  </w:style>
  <w:style w:type="paragraph" w:customStyle="1" w:styleId="86">
    <w:name w:val="页眉 New New New New New New New New New New New New New New New"/>
    <w:basedOn w:val="87"/>
    <w:qFormat/>
    <w:uiPriority w:val="0"/>
    <w:pPr>
      <w:pBdr>
        <w:bottom w:val="single" w:color="auto" w:sz="6" w:space="1"/>
      </w:pBdr>
      <w:tabs>
        <w:tab w:val="center" w:pos="4153"/>
        <w:tab w:val="right" w:pos="8306"/>
      </w:tabs>
      <w:snapToGrid w:val="0"/>
      <w:jc w:val="center"/>
    </w:pPr>
    <w:rPr>
      <w:sz w:val="18"/>
      <w:szCs w:val="18"/>
    </w:rPr>
  </w:style>
  <w:style w:type="paragraph" w:customStyle="1" w:styleId="8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图例"/>
    <w:basedOn w:val="1"/>
    <w:qFormat/>
    <w:uiPriority w:val="0"/>
    <w:pPr>
      <w:spacing w:before="120" w:after="120" w:line="360" w:lineRule="auto"/>
      <w:jc w:val="center"/>
    </w:pPr>
    <w:rPr>
      <w:rFonts w:eastAsia="仿宋_GB2312"/>
      <w:b/>
      <w:sz w:val="24"/>
    </w:rPr>
  </w:style>
  <w:style w:type="paragraph" w:customStyle="1" w:styleId="89">
    <w:name w:val="页脚 New New New New New New New New New New New New"/>
    <w:basedOn w:val="90"/>
    <w:qFormat/>
    <w:uiPriority w:val="0"/>
    <w:pPr>
      <w:tabs>
        <w:tab w:val="center" w:pos="4153"/>
        <w:tab w:val="right" w:pos="8306"/>
      </w:tabs>
      <w:snapToGrid w:val="0"/>
      <w:jc w:val="left"/>
    </w:pPr>
    <w:rPr>
      <w:sz w:val="18"/>
      <w:szCs w:val="18"/>
    </w:rPr>
  </w:style>
  <w:style w:type="paragraph" w:customStyle="1" w:styleId="90">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92">
    <w:name w:val="Char Char Char Char Char Char Char Char Char Char Char Char Char"/>
    <w:basedOn w:val="1"/>
    <w:qFormat/>
    <w:uiPriority w:val="0"/>
    <w:pPr>
      <w:adjustRightInd w:val="0"/>
      <w:spacing w:line="360" w:lineRule="auto"/>
    </w:pPr>
    <w:rPr>
      <w:kern w:val="0"/>
      <w:sz w:val="24"/>
    </w:rPr>
  </w:style>
  <w:style w:type="paragraph" w:customStyle="1" w:styleId="93">
    <w:name w:val="样式 标题 2 + 宋体 五号 行距: 单倍行距"/>
    <w:basedOn w:val="4"/>
    <w:qFormat/>
    <w:uiPriority w:val="0"/>
    <w:pPr>
      <w:tabs>
        <w:tab w:val="left" w:pos="1320"/>
      </w:tabs>
      <w:adjustRightInd w:val="0"/>
      <w:spacing w:line="240" w:lineRule="auto"/>
      <w:ind w:left="1320" w:hanging="420" w:firstLineChars="200"/>
      <w:jc w:val="left"/>
      <w:textAlignment w:val="baseline"/>
    </w:pPr>
    <w:rPr>
      <w:rFonts w:ascii="宋体" w:hAnsi="宋体" w:eastAsia="宋体"/>
      <w:kern w:val="0"/>
      <w:sz w:val="21"/>
      <w:szCs w:val="21"/>
    </w:rPr>
  </w:style>
  <w:style w:type="paragraph" w:customStyle="1" w:styleId="9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20"/>
    </w:rPr>
  </w:style>
  <w:style w:type="paragraph" w:customStyle="1" w:styleId="95">
    <w:name w:val="缩进正文"/>
    <w:basedOn w:val="1"/>
    <w:qFormat/>
    <w:uiPriority w:val="0"/>
    <w:pPr>
      <w:spacing w:line="360" w:lineRule="exact"/>
      <w:jc w:val="right"/>
    </w:pPr>
    <w:rPr>
      <w:bCs/>
      <w:sz w:val="24"/>
      <w:szCs w:val="24"/>
    </w:rPr>
  </w:style>
  <w:style w:type="paragraph" w:customStyle="1" w:styleId="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7">
    <w:name w:val="font7"/>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9">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00">
    <w:name w:val="页眉 New"/>
    <w:basedOn w:val="101"/>
    <w:qFormat/>
    <w:uiPriority w:val="0"/>
    <w:pPr>
      <w:pBdr>
        <w:bottom w:val="single" w:color="auto" w:sz="6" w:space="1"/>
      </w:pBdr>
      <w:tabs>
        <w:tab w:val="center" w:pos="4153"/>
        <w:tab w:val="right" w:pos="8306"/>
      </w:tabs>
      <w:snapToGrid w:val="0"/>
      <w:jc w:val="center"/>
    </w:pPr>
    <w:rPr>
      <w:sz w:val="18"/>
      <w:szCs w:val="18"/>
    </w:rPr>
  </w:style>
  <w:style w:type="paragraph" w:customStyle="1" w:styleId="10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103">
    <w:name w:val="默认段落字体 Para Char Char Char Char111"/>
    <w:basedOn w:val="1"/>
    <w:qFormat/>
    <w:uiPriority w:val="0"/>
    <w:rPr>
      <w:szCs w:val="24"/>
    </w:rPr>
  </w:style>
  <w:style w:type="paragraph" w:customStyle="1" w:styleId="104">
    <w:name w:val="font11"/>
    <w:basedOn w:val="1"/>
    <w:qFormat/>
    <w:uiPriority w:val="0"/>
    <w:pPr>
      <w:widowControl/>
      <w:spacing w:before="100" w:beforeAutospacing="1" w:after="100" w:afterAutospacing="1"/>
      <w:jc w:val="left"/>
    </w:pPr>
    <w:rPr>
      <w:color w:val="FF0000"/>
      <w:kern w:val="0"/>
      <w:sz w:val="20"/>
    </w:rPr>
  </w:style>
  <w:style w:type="paragraph" w:customStyle="1" w:styleId="10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06">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7">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
    <w:name w:val="样式3"/>
    <w:basedOn w:val="4"/>
    <w:qFormat/>
    <w:uiPriority w:val="0"/>
    <w:pPr>
      <w:tabs>
        <w:tab w:val="left" w:pos="1320"/>
      </w:tabs>
      <w:adjustRightInd w:val="0"/>
      <w:spacing w:beforeLines="50" w:afterLines="50" w:line="240" w:lineRule="auto"/>
      <w:ind w:left="1320" w:hanging="420" w:firstLineChars="200"/>
      <w:jc w:val="left"/>
      <w:textAlignment w:val="baseline"/>
    </w:pPr>
    <w:rPr>
      <w:rFonts w:ascii="宋体" w:hAnsi="宋体" w:eastAsia="宋体"/>
      <w:b w:val="0"/>
      <w:bCs w:val="0"/>
      <w:kern w:val="0"/>
      <w:sz w:val="21"/>
      <w:szCs w:val="21"/>
    </w:rPr>
  </w:style>
  <w:style w:type="paragraph" w:customStyle="1" w:styleId="110">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color w:val="FF0000"/>
      <w:kern w:val="0"/>
      <w:sz w:val="20"/>
    </w:rPr>
  </w:style>
  <w:style w:type="paragraph" w:customStyle="1" w:styleId="113">
    <w:name w:val="页眉 New New New"/>
    <w:basedOn w:val="114"/>
    <w:qFormat/>
    <w:uiPriority w:val="0"/>
    <w:pPr>
      <w:pBdr>
        <w:bottom w:val="single" w:color="auto" w:sz="6" w:space="1"/>
      </w:pBdr>
      <w:tabs>
        <w:tab w:val="center" w:pos="4153"/>
        <w:tab w:val="right" w:pos="8306"/>
      </w:tabs>
      <w:snapToGrid w:val="0"/>
      <w:jc w:val="center"/>
    </w:pPr>
    <w:rPr>
      <w:sz w:val="18"/>
      <w:szCs w:val="18"/>
    </w:rPr>
  </w:style>
  <w:style w:type="paragraph" w:customStyle="1" w:styleId="11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font9"/>
    <w:basedOn w:val="1"/>
    <w:qFormat/>
    <w:uiPriority w:val="0"/>
    <w:pPr>
      <w:widowControl/>
      <w:spacing w:before="100" w:beforeAutospacing="1" w:after="100" w:afterAutospacing="1"/>
      <w:jc w:val="left"/>
    </w:pPr>
    <w:rPr>
      <w:kern w:val="0"/>
      <w:sz w:val="20"/>
    </w:rPr>
  </w:style>
  <w:style w:type="paragraph" w:customStyle="1" w:styleId="1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rPr>
  </w:style>
  <w:style w:type="paragraph" w:customStyle="1" w:styleId="117">
    <w:name w:val="标准小四"/>
    <w:basedOn w:val="1"/>
    <w:qFormat/>
    <w:uiPriority w:val="0"/>
    <w:pPr>
      <w:spacing w:beforeLines="50" w:line="360" w:lineRule="auto"/>
      <w:ind w:firstLine="480"/>
    </w:pPr>
    <w:rPr>
      <w:rFonts w:ascii="Arial" w:hAnsi="Arial" w:cs="宋体"/>
      <w:sz w:val="24"/>
    </w:rPr>
  </w:style>
  <w:style w:type="paragraph" w:customStyle="1" w:styleId="118">
    <w:name w:val="font13"/>
    <w:basedOn w:val="1"/>
    <w:qFormat/>
    <w:uiPriority w:val="0"/>
    <w:pPr>
      <w:widowControl/>
      <w:spacing w:before="100" w:beforeAutospacing="1" w:after="100" w:afterAutospacing="1"/>
      <w:jc w:val="left"/>
    </w:pPr>
    <w:rPr>
      <w:b/>
      <w:bCs/>
      <w:color w:val="FF0000"/>
      <w:kern w:val="0"/>
      <w:sz w:val="20"/>
    </w:rPr>
  </w:style>
  <w:style w:type="paragraph" w:customStyle="1" w:styleId="11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color w:val="FF0000"/>
      <w:kern w:val="0"/>
      <w:sz w:val="20"/>
    </w:rPr>
  </w:style>
  <w:style w:type="paragraph" w:customStyle="1" w:styleId="12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2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123">
    <w:name w:val="Char Char Char Char Char Char Char"/>
    <w:basedOn w:val="16"/>
    <w:qFormat/>
    <w:uiPriority w:val="0"/>
    <w:rPr>
      <w:rFonts w:ascii="Tahoma" w:hAnsi="Tahoma"/>
      <w:sz w:val="24"/>
    </w:rPr>
  </w:style>
  <w:style w:type="paragraph" w:customStyle="1" w:styleId="12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126">
    <w:name w:val="图中文字"/>
    <w:basedOn w:val="1"/>
    <w:qFormat/>
    <w:uiPriority w:val="0"/>
    <w:pPr>
      <w:adjustRightInd w:val="0"/>
      <w:snapToGrid w:val="0"/>
      <w:spacing w:line="0" w:lineRule="atLeast"/>
      <w:jc w:val="center"/>
    </w:pPr>
    <w:rPr>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color w:val="FF0000"/>
      <w:kern w:val="0"/>
      <w:sz w:val="20"/>
    </w:rPr>
  </w:style>
  <w:style w:type="paragraph" w:customStyle="1" w:styleId="128">
    <w:name w:val="样式"/>
    <w:basedOn w:val="1"/>
    <w:qFormat/>
    <w:uiPriority w:val="0"/>
    <w:pPr>
      <w:adjustRightInd w:val="0"/>
      <w:spacing w:line="360" w:lineRule="atLeast"/>
      <w:jc w:val="left"/>
      <w:textAlignment w:val="baseline"/>
    </w:pPr>
    <w:rPr>
      <w:kern w:val="0"/>
      <w:sz w:val="24"/>
      <w:szCs w:val="24"/>
    </w:rPr>
  </w:style>
  <w:style w:type="paragraph" w:customStyle="1" w:styleId="129">
    <w:name w:val="标准段落"/>
    <w:basedOn w:val="1"/>
    <w:qFormat/>
    <w:uiPriority w:val="0"/>
    <w:pPr>
      <w:autoSpaceDN w:val="0"/>
      <w:spacing w:line="360" w:lineRule="auto"/>
      <w:ind w:firstLine="480"/>
    </w:pPr>
    <w:rPr>
      <w:sz w:val="24"/>
      <w:szCs w:val="24"/>
    </w:rPr>
  </w:style>
  <w:style w:type="paragraph" w:customStyle="1" w:styleId="130">
    <w:name w:val="页眉 New New New New New New New New New New New New New New"/>
    <w:basedOn w:val="131"/>
    <w:qFormat/>
    <w:uiPriority w:val="0"/>
    <w:pPr>
      <w:pBdr>
        <w:bottom w:val="single" w:color="auto" w:sz="6" w:space="1"/>
      </w:pBdr>
      <w:tabs>
        <w:tab w:val="center" w:pos="4153"/>
        <w:tab w:val="right" w:pos="8306"/>
      </w:tabs>
      <w:snapToGrid w:val="0"/>
      <w:jc w:val="center"/>
    </w:pPr>
    <w:rPr>
      <w:sz w:val="18"/>
      <w:szCs w:val="18"/>
    </w:rPr>
  </w:style>
  <w:style w:type="paragraph" w:customStyle="1" w:styleId="13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rPr>
  </w:style>
  <w:style w:type="paragraph" w:customStyle="1" w:styleId="133">
    <w:name w:val="页脚 New New New New New New New New"/>
    <w:basedOn w:val="134"/>
    <w:qFormat/>
    <w:uiPriority w:val="0"/>
    <w:pPr>
      <w:tabs>
        <w:tab w:val="center" w:pos="4153"/>
        <w:tab w:val="right" w:pos="8306"/>
      </w:tabs>
      <w:snapToGrid w:val="0"/>
      <w:jc w:val="left"/>
    </w:pPr>
    <w:rPr>
      <w:sz w:val="18"/>
      <w:szCs w:val="18"/>
    </w:rPr>
  </w:style>
  <w:style w:type="paragraph" w:customStyle="1" w:styleId="13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6">
    <w:name w:val="xl79"/>
    <w:basedOn w:val="1"/>
    <w:qFormat/>
    <w:uiPriority w:val="0"/>
    <w:pPr>
      <w:widowControl/>
      <w:pBdr>
        <w:top w:val="single" w:color="000000"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FF0000"/>
      <w:kern w:val="0"/>
      <w:sz w:val="20"/>
    </w:rPr>
  </w:style>
  <w:style w:type="paragraph" w:customStyle="1" w:styleId="13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页眉 New New New New New New"/>
    <w:basedOn w:val="124"/>
    <w:qFormat/>
    <w:uiPriority w:val="0"/>
    <w:pPr>
      <w:pBdr>
        <w:bottom w:val="single" w:color="auto" w:sz="6" w:space="1"/>
      </w:pBdr>
      <w:tabs>
        <w:tab w:val="center" w:pos="4153"/>
        <w:tab w:val="right" w:pos="8306"/>
      </w:tabs>
      <w:snapToGrid w:val="0"/>
      <w:jc w:val="center"/>
    </w:pPr>
    <w:rPr>
      <w:sz w:val="18"/>
      <w:szCs w:val="18"/>
    </w:rPr>
  </w:style>
  <w:style w:type="paragraph" w:customStyle="1" w:styleId="140">
    <w:name w:val="标准正文"/>
    <w:basedOn w:val="20"/>
    <w:qFormat/>
    <w:uiPriority w:val="0"/>
    <w:pPr>
      <w:spacing w:before="60" w:after="60" w:line="360" w:lineRule="auto"/>
      <w:ind w:firstLine="482" w:firstLineChars="0"/>
    </w:pPr>
    <w:rPr>
      <w:rFonts w:eastAsia="宋体"/>
      <w:b w:val="0"/>
      <w:bCs w:val="0"/>
      <w:sz w:val="24"/>
    </w:rPr>
  </w:style>
  <w:style w:type="paragraph" w:customStyle="1" w:styleId="141">
    <w:name w:val="页眉 New New New New New"/>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42">
    <w:name w:val="font14"/>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43">
    <w:name w:val="页脚 New New New New New New New New New New"/>
    <w:basedOn w:val="131"/>
    <w:qFormat/>
    <w:uiPriority w:val="0"/>
    <w:pPr>
      <w:tabs>
        <w:tab w:val="center" w:pos="4153"/>
        <w:tab w:val="right" w:pos="8306"/>
      </w:tabs>
      <w:snapToGrid w:val="0"/>
      <w:jc w:val="left"/>
    </w:pPr>
    <w:rPr>
      <w:sz w:val="18"/>
      <w:szCs w:val="18"/>
    </w:rPr>
  </w:style>
  <w:style w:type="paragraph" w:customStyle="1" w:styleId="144">
    <w:name w:val="xl74"/>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Cs w:val="21"/>
    </w:rPr>
  </w:style>
  <w:style w:type="paragraph" w:customStyle="1" w:styleId="145">
    <w:name w:val="xl72"/>
    <w:basedOn w:val="1"/>
    <w:qFormat/>
    <w:uiPriority w:val="0"/>
    <w:pPr>
      <w:widowControl/>
      <w:pBdr>
        <w:top w:val="single" w:color="000000" w:sz="4" w:space="0"/>
        <w:bottom w:val="single" w:color="auto" w:sz="4" w:space="0"/>
      </w:pBdr>
      <w:spacing w:before="100" w:beforeAutospacing="1" w:after="100" w:afterAutospacing="1"/>
      <w:jc w:val="center"/>
    </w:pPr>
    <w:rPr>
      <w:rFonts w:eastAsia="Arial Unicode MS"/>
      <w:kern w:val="0"/>
      <w:szCs w:val="21"/>
    </w:rPr>
  </w:style>
  <w:style w:type="paragraph" w:customStyle="1" w:styleId="146">
    <w:name w:val="Char Char Char Char Char Char"/>
    <w:basedOn w:val="1"/>
    <w:qFormat/>
    <w:uiPriority w:val="0"/>
    <w:rPr>
      <w:rFonts w:ascii="Tahoma" w:hAnsi="Tahoma"/>
      <w:sz w:val="24"/>
    </w:rPr>
  </w:style>
  <w:style w:type="paragraph" w:customStyle="1" w:styleId="147">
    <w:name w:val="页脚 New New New New New New New"/>
    <w:basedOn w:val="148"/>
    <w:qFormat/>
    <w:uiPriority w:val="0"/>
    <w:pPr>
      <w:tabs>
        <w:tab w:val="center" w:pos="4153"/>
        <w:tab w:val="right" w:pos="8306"/>
      </w:tabs>
      <w:snapToGrid w:val="0"/>
      <w:jc w:val="left"/>
    </w:pPr>
    <w:rPr>
      <w:sz w:val="18"/>
      <w:szCs w:val="18"/>
    </w:rPr>
  </w:style>
  <w:style w:type="paragraph" w:customStyle="1" w:styleId="14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
    <w:basedOn w:val="1"/>
    <w:qFormat/>
    <w:uiPriority w:val="0"/>
    <w:rPr>
      <w:rFonts w:ascii="Tahoma" w:hAnsi="Tahoma" w:cs="仿宋_GB2312"/>
      <w:sz w:val="24"/>
    </w:rPr>
  </w:style>
  <w:style w:type="paragraph" w:customStyle="1" w:styleId="150">
    <w:name w:val="三级条标题"/>
    <w:basedOn w:val="151"/>
    <w:next w:val="1"/>
    <w:qFormat/>
    <w:uiPriority w:val="0"/>
    <w:pPr>
      <w:tabs>
        <w:tab w:val="left" w:pos="360"/>
      </w:tabs>
      <w:outlineLvl w:val="4"/>
    </w:pPr>
  </w:style>
  <w:style w:type="paragraph" w:customStyle="1" w:styleId="151">
    <w:name w:val="二级条标题"/>
    <w:basedOn w:val="84"/>
    <w:next w:val="1"/>
    <w:qFormat/>
    <w:uiPriority w:val="0"/>
    <w:pPr>
      <w:tabs>
        <w:tab w:val="left" w:pos="360"/>
        <w:tab w:val="clear" w:pos="1740"/>
      </w:tabs>
      <w:ind w:left="0" w:firstLine="0"/>
      <w:outlineLvl w:val="3"/>
    </w:pPr>
  </w:style>
  <w:style w:type="paragraph" w:customStyle="1" w:styleId="152">
    <w:name w:val="Char Char Char"/>
    <w:basedOn w:val="1"/>
    <w:qFormat/>
    <w:uiPriority w:val="0"/>
    <w:rPr>
      <w:rFonts w:ascii="Tahoma" w:hAnsi="Tahoma"/>
      <w:sz w:val="24"/>
    </w:rPr>
  </w:style>
  <w:style w:type="paragraph" w:customStyle="1" w:styleId="153">
    <w:name w:val="页脚 New New New New New New New New New"/>
    <w:basedOn w:val="154"/>
    <w:qFormat/>
    <w:uiPriority w:val="0"/>
    <w:pPr>
      <w:tabs>
        <w:tab w:val="center" w:pos="4153"/>
        <w:tab w:val="right" w:pos="8306"/>
      </w:tabs>
      <w:snapToGrid w:val="0"/>
      <w:jc w:val="left"/>
    </w:pPr>
    <w:rPr>
      <w:sz w:val="18"/>
      <w:szCs w:val="18"/>
    </w:rPr>
  </w:style>
  <w:style w:type="paragraph" w:customStyle="1" w:styleId="15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无间隔1"/>
    <w:link w:val="254"/>
    <w:qFormat/>
    <w:uiPriority w:val="0"/>
    <w:rPr>
      <w:rFonts w:ascii="Calibri" w:hAnsi="Calibri" w:eastAsia="宋体" w:cs="Times New Roman"/>
      <w:sz w:val="22"/>
      <w:szCs w:val="22"/>
      <w:lang w:val="en-US" w:eastAsia="zh-CN" w:bidi="ar-SA"/>
    </w:rPr>
  </w:style>
  <w:style w:type="paragraph" w:customStyle="1" w:styleId="156">
    <w:name w:val="页脚 New New New New New"/>
    <w:basedOn w:val="157"/>
    <w:qFormat/>
    <w:uiPriority w:val="0"/>
    <w:pPr>
      <w:tabs>
        <w:tab w:val="center" w:pos="4153"/>
        <w:tab w:val="right" w:pos="8306"/>
      </w:tabs>
      <w:snapToGrid w:val="0"/>
      <w:jc w:val="left"/>
    </w:pPr>
    <w:rPr>
      <w:sz w:val="18"/>
      <w:szCs w:val="18"/>
    </w:rPr>
  </w:style>
  <w:style w:type="paragraph" w:customStyle="1" w:styleId="15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59">
    <w:name w:val="正文表标题"/>
    <w:next w:val="160"/>
    <w:qFormat/>
    <w:uiPriority w:val="0"/>
    <w:pPr>
      <w:tabs>
        <w:tab w:val="left" w:pos="3940"/>
      </w:tabs>
      <w:ind w:left="3940" w:hanging="420"/>
      <w:jc w:val="center"/>
    </w:pPr>
    <w:rPr>
      <w:rFonts w:ascii="黑体" w:hAnsi="Times New Roman" w:eastAsia="黑体" w:cs="Times New Roman"/>
      <w:sz w:val="21"/>
      <w:lang w:val="en-US" w:eastAsia="zh-CN" w:bidi="ar-SA"/>
    </w:rPr>
  </w:style>
  <w:style w:type="paragraph" w:customStyle="1" w:styleId="1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样式 正文（首行缩进两字） + 首行缩进:  2 字符 段前: 0.5 行 段后: 0.5 行"/>
    <w:basedOn w:val="14"/>
    <w:qFormat/>
    <w:uiPriority w:val="0"/>
    <w:pPr>
      <w:spacing w:beforeLines="50" w:afterLines="50"/>
      <w:ind w:firstLine="480"/>
    </w:pPr>
    <w:rPr>
      <w:rFonts w:cs="宋体"/>
      <w:sz w:val="24"/>
    </w:rPr>
  </w:style>
  <w:style w:type="paragraph" w:customStyle="1" w:styleId="162">
    <w:name w:val="xl76"/>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6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rPr>
  </w:style>
  <w:style w:type="paragraph" w:customStyle="1" w:styleId="164">
    <w:name w:val="页眉 New New New New New New New New New New New New New"/>
    <w:basedOn w:val="165"/>
    <w:qFormat/>
    <w:uiPriority w:val="0"/>
    <w:pPr>
      <w:pBdr>
        <w:bottom w:val="single" w:color="auto" w:sz="6" w:space="1"/>
      </w:pBdr>
      <w:tabs>
        <w:tab w:val="center" w:pos="4153"/>
        <w:tab w:val="right" w:pos="8306"/>
      </w:tabs>
      <w:snapToGrid w:val="0"/>
      <w:jc w:val="center"/>
    </w:pPr>
    <w:rPr>
      <w:sz w:val="18"/>
      <w:szCs w:val="18"/>
    </w:rPr>
  </w:style>
  <w:style w:type="paragraph" w:customStyle="1" w:styleId="165">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脚 New New New New New New"/>
    <w:basedOn w:val="167"/>
    <w:qFormat/>
    <w:uiPriority w:val="0"/>
    <w:pPr>
      <w:tabs>
        <w:tab w:val="center" w:pos="4153"/>
        <w:tab w:val="right" w:pos="8306"/>
      </w:tabs>
      <w:snapToGrid w:val="0"/>
      <w:jc w:val="left"/>
    </w:pPr>
    <w:rPr>
      <w:sz w:val="18"/>
      <w:szCs w:val="18"/>
    </w:rPr>
  </w:style>
  <w:style w:type="paragraph" w:customStyle="1" w:styleId="16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Char Char Char1 Char Char Char Char"/>
    <w:basedOn w:val="1"/>
    <w:qFormat/>
    <w:uiPriority w:val="0"/>
    <w:pPr>
      <w:widowControl/>
      <w:spacing w:after="160" w:line="240" w:lineRule="exact"/>
      <w:jc w:val="left"/>
    </w:pPr>
    <w:rPr>
      <w:rFonts w:ascii="Verdana" w:hAnsi="Verdana"/>
    </w:rPr>
  </w:style>
  <w:style w:type="paragraph" w:customStyle="1" w:styleId="16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70">
    <w:name w:val="Preformatted"/>
    <w:basedOn w:val="1"/>
    <w:qFormat/>
    <w:uiPriority w:val="0"/>
    <w:pPr>
      <w:tabs>
        <w:tab w:val="left" w:pos="0"/>
        <w:tab w:val="left" w:pos="959"/>
        <w:tab w:val="left" w:pos="1425"/>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71">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2">
    <w:name w:val="TOC 标题1"/>
    <w:basedOn w:val="3"/>
    <w:next w:val="1"/>
    <w:qFormat/>
    <w:uiPriority w:val="0"/>
    <w:pPr>
      <w:keepLines/>
      <w:widowControl/>
      <w:spacing w:before="480" w:line="276" w:lineRule="auto"/>
      <w:jc w:val="left"/>
      <w:outlineLvl w:val="9"/>
    </w:pPr>
    <w:rPr>
      <w:rFonts w:ascii="Cambria" w:hAnsi="Cambria"/>
      <w:b/>
      <w:bCs/>
      <w:color w:val="365F91"/>
      <w:sz w:val="28"/>
      <w:szCs w:val="28"/>
    </w:rPr>
  </w:style>
  <w:style w:type="paragraph" w:customStyle="1" w:styleId="173">
    <w:name w:val="页眉 New New New New New New New New"/>
    <w:basedOn w:val="167"/>
    <w:qFormat/>
    <w:uiPriority w:val="0"/>
    <w:pPr>
      <w:pBdr>
        <w:bottom w:val="single" w:color="auto" w:sz="6" w:space="1"/>
      </w:pBdr>
      <w:tabs>
        <w:tab w:val="center" w:pos="4153"/>
        <w:tab w:val="right" w:pos="8306"/>
      </w:tabs>
      <w:snapToGrid w:val="0"/>
      <w:jc w:val="center"/>
    </w:pPr>
    <w:rPr>
      <w:sz w:val="18"/>
      <w:szCs w:val="18"/>
    </w:rPr>
  </w:style>
  <w:style w:type="paragraph" w:customStyle="1" w:styleId="174">
    <w:name w:val="样式 标题 4 + 黑体 Char"/>
    <w:basedOn w:val="6"/>
    <w:qFormat/>
    <w:uiPriority w:val="0"/>
    <w:pPr>
      <w:keepLines/>
      <w:tabs>
        <w:tab w:val="left" w:pos="1350"/>
        <w:tab w:val="left" w:pos="1695"/>
      </w:tabs>
      <w:spacing w:before="280" w:after="290" w:line="376" w:lineRule="auto"/>
      <w:ind w:left="1350" w:hanging="720"/>
    </w:pPr>
    <w:rPr>
      <w:rFonts w:ascii="黑体" w:hAnsi="黑体" w:eastAsia="黑体"/>
      <w:b/>
      <w:bCs/>
      <w:sz w:val="28"/>
      <w:szCs w:val="28"/>
    </w:rPr>
  </w:style>
  <w:style w:type="paragraph" w:customStyle="1" w:styleId="175">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76">
    <w:name w:val="列项——（一级）"/>
    <w:qFormat/>
    <w:uiPriority w:val="0"/>
    <w:pPr>
      <w:widowControl w:val="0"/>
      <w:tabs>
        <w:tab w:val="left" w:pos="3420"/>
      </w:tabs>
      <w:jc w:val="both"/>
    </w:pPr>
    <w:rPr>
      <w:rFonts w:ascii="宋体" w:hAnsi="宋体" w:eastAsia="宋体" w:cs="Times New Roman"/>
      <w:snapToGrid w:val="0"/>
      <w:kern w:val="2"/>
      <w:sz w:val="18"/>
      <w:szCs w:val="18"/>
      <w:lang w:val="en-US" w:eastAsia="zh-CN" w:bidi="ar-SA"/>
    </w:rPr>
  </w:style>
  <w:style w:type="paragraph" w:customStyle="1" w:styleId="177">
    <w:name w:val="页眉 New New New New New New New New New New New New New New New New"/>
    <w:basedOn w:val="90"/>
    <w:qFormat/>
    <w:uiPriority w:val="0"/>
    <w:pPr>
      <w:pBdr>
        <w:bottom w:val="single" w:color="auto" w:sz="6" w:space="1"/>
      </w:pBdr>
      <w:tabs>
        <w:tab w:val="center" w:pos="4153"/>
        <w:tab w:val="right" w:pos="8306"/>
      </w:tabs>
      <w:snapToGrid w:val="0"/>
      <w:jc w:val="center"/>
    </w:pPr>
    <w:rPr>
      <w:sz w:val="18"/>
      <w:szCs w:val="18"/>
    </w:rPr>
  </w:style>
  <w:style w:type="paragraph" w:customStyle="1" w:styleId="17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79">
    <w:name w:val="font12"/>
    <w:basedOn w:val="1"/>
    <w:qFormat/>
    <w:uiPriority w:val="0"/>
    <w:pPr>
      <w:widowControl/>
      <w:spacing w:before="100" w:beforeAutospacing="1" w:after="100" w:afterAutospacing="1"/>
      <w:jc w:val="left"/>
    </w:pPr>
    <w:rPr>
      <w:b/>
      <w:bCs/>
      <w:kern w:val="0"/>
      <w:sz w:val="20"/>
    </w:rPr>
  </w:style>
  <w:style w:type="paragraph" w:customStyle="1" w:styleId="18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181">
    <w:name w:val="black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8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rPr>
  </w:style>
  <w:style w:type="paragraph" w:customStyle="1" w:styleId="183">
    <w:name w:val="xl71"/>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1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0000"/>
      <w:kern w:val="0"/>
      <w:sz w:val="20"/>
    </w:rPr>
  </w:style>
  <w:style w:type="paragraph" w:customStyle="1" w:styleId="185">
    <w:name w:val="È±Ê¡ÎÄ±¾"/>
    <w:basedOn w:val="1"/>
    <w:qFormat/>
    <w:uiPriority w:val="0"/>
    <w:pPr>
      <w:widowControl/>
      <w:overflowPunct w:val="0"/>
      <w:autoSpaceDE w:val="0"/>
      <w:autoSpaceDN w:val="0"/>
      <w:adjustRightInd w:val="0"/>
      <w:spacing w:before="20" w:after="20" w:line="400" w:lineRule="exact"/>
      <w:ind w:firstLine="504"/>
      <w:jc w:val="left"/>
      <w:textAlignment w:val="baseline"/>
    </w:pPr>
    <w:rPr>
      <w:kern w:val="0"/>
      <w:sz w:val="24"/>
    </w:rPr>
  </w:style>
  <w:style w:type="paragraph" w:customStyle="1" w:styleId="186">
    <w:name w:val="简单回函地址"/>
    <w:basedOn w:val="1"/>
    <w:qFormat/>
    <w:uiPriority w:val="0"/>
    <w:rPr>
      <w:szCs w:val="24"/>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88">
    <w:name w:val="页眉 New New New New New New New New New New New"/>
    <w:basedOn w:val="154"/>
    <w:qFormat/>
    <w:uiPriority w:val="0"/>
    <w:pPr>
      <w:pBdr>
        <w:bottom w:val="single" w:color="auto" w:sz="6" w:space="1"/>
      </w:pBdr>
      <w:tabs>
        <w:tab w:val="center" w:pos="4153"/>
        <w:tab w:val="right" w:pos="8306"/>
      </w:tabs>
      <w:snapToGrid w:val="0"/>
      <w:jc w:val="center"/>
    </w:pPr>
    <w:rPr>
      <w:sz w:val="18"/>
      <w:szCs w:val="18"/>
    </w:rPr>
  </w:style>
  <w:style w:type="paragraph" w:customStyle="1" w:styleId="189">
    <w:name w:val="页脚 New New New New"/>
    <w:basedOn w:val="124"/>
    <w:qFormat/>
    <w:uiPriority w:val="0"/>
    <w:pPr>
      <w:tabs>
        <w:tab w:val="center" w:pos="4153"/>
        <w:tab w:val="right" w:pos="8306"/>
      </w:tabs>
      <w:snapToGrid w:val="0"/>
      <w:jc w:val="left"/>
    </w:pPr>
    <w:rPr>
      <w:sz w:val="18"/>
      <w:szCs w:val="18"/>
    </w:rPr>
  </w:style>
  <w:style w:type="paragraph" w:customStyle="1" w:styleId="190">
    <w:name w:val="Char1"/>
    <w:basedOn w:val="1"/>
    <w:qFormat/>
    <w:uiPriority w:val="0"/>
    <w:rPr>
      <w:rFonts w:ascii="仿宋_GB2312" w:eastAsia="仿宋_GB2312"/>
      <w:b/>
      <w:sz w:val="32"/>
      <w:szCs w:val="32"/>
    </w:rPr>
  </w:style>
  <w:style w:type="paragraph" w:customStyle="1" w:styleId="1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9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0"/>
    </w:rPr>
  </w:style>
  <w:style w:type="paragraph" w:customStyle="1" w:styleId="19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4">
    <w:name w:val="12blk"/>
    <w:basedOn w:val="1"/>
    <w:qFormat/>
    <w:uiPriority w:val="0"/>
    <w:pPr>
      <w:widowControl/>
      <w:spacing w:before="100" w:beforeAutospacing="1" w:after="100" w:afterAutospacing="1" w:line="295" w:lineRule="auto"/>
      <w:jc w:val="left"/>
    </w:pPr>
    <w:rPr>
      <w:rFonts w:ascii="ˎ̥" w:hAnsi="ˎ̥" w:cs="宋体"/>
      <w:color w:val="000000"/>
      <w:kern w:val="0"/>
      <w:sz w:val="24"/>
      <w:szCs w:val="24"/>
    </w:rPr>
  </w:style>
  <w:style w:type="paragraph" w:customStyle="1" w:styleId="19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color w:val="FF0000"/>
      <w:kern w:val="0"/>
      <w:sz w:val="20"/>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8">
    <w:name w:val="Char Char Char Char Char Char Char Char Char Char"/>
    <w:basedOn w:val="1"/>
    <w:qFormat/>
    <w:uiPriority w:val="0"/>
    <w:pPr>
      <w:widowControl/>
      <w:snapToGrid w:val="0"/>
      <w:spacing w:before="120" w:after="160" w:line="360" w:lineRule="auto"/>
      <w:ind w:right="-360"/>
      <w:jc w:val="left"/>
    </w:pPr>
    <w:rPr>
      <w:sz w:val="24"/>
      <w:szCs w:val="24"/>
    </w:rPr>
  </w:style>
  <w:style w:type="paragraph" w:customStyle="1" w:styleId="199">
    <w:name w:val="标一"/>
    <w:basedOn w:val="3"/>
    <w:qFormat/>
    <w:uiPriority w:val="0"/>
    <w:pPr>
      <w:keepLines/>
      <w:snapToGrid w:val="0"/>
      <w:spacing w:line="420" w:lineRule="exact"/>
      <w:jc w:val="both"/>
    </w:pPr>
    <w:rPr>
      <w:rFonts w:ascii="宋体" w:hAnsi="宋体"/>
      <w:sz w:val="24"/>
      <w:szCs w:val="24"/>
    </w:rPr>
  </w:style>
  <w:style w:type="paragraph" w:customStyle="1" w:styleId="2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01">
    <w:name w:val="页脚 New New New New New New New New New New New"/>
    <w:basedOn w:val="87"/>
    <w:qFormat/>
    <w:uiPriority w:val="0"/>
    <w:pPr>
      <w:tabs>
        <w:tab w:val="center" w:pos="4153"/>
        <w:tab w:val="right" w:pos="8306"/>
      </w:tabs>
      <w:snapToGrid w:val="0"/>
      <w:jc w:val="left"/>
    </w:pPr>
    <w:rPr>
      <w:sz w:val="18"/>
      <w:szCs w:val="18"/>
    </w:rPr>
  </w:style>
  <w:style w:type="paragraph" w:customStyle="1" w:styleId="202">
    <w:name w:val="xl84"/>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03">
    <w:name w:val="PP 行"/>
    <w:basedOn w:val="32"/>
    <w:qFormat/>
    <w:uiPriority w:val="0"/>
  </w:style>
  <w:style w:type="paragraph" w:customStyle="1" w:styleId="204">
    <w:name w:val="xl73"/>
    <w:basedOn w:val="1"/>
    <w:qFormat/>
    <w:uiPriority w:val="0"/>
    <w:pPr>
      <w:widowControl/>
      <w:pBdr>
        <w:top w:val="single" w:color="000000" w:sz="4" w:space="0"/>
        <w:bottom w:val="single" w:color="auto" w:sz="4" w:space="0"/>
        <w:right w:val="single" w:color="000000" w:sz="4" w:space="0"/>
      </w:pBdr>
      <w:spacing w:before="100" w:beforeAutospacing="1" w:after="100" w:afterAutospacing="1"/>
      <w:jc w:val="center"/>
    </w:pPr>
    <w:rPr>
      <w:rFonts w:eastAsia="Arial Unicode MS"/>
      <w:kern w:val="0"/>
      <w:szCs w:val="21"/>
    </w:rPr>
  </w:style>
  <w:style w:type="paragraph" w:customStyle="1" w:styleId="20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rPr>
  </w:style>
  <w:style w:type="paragraph" w:customStyle="1" w:styleId="206">
    <w:name w:val="页脚 New New New"/>
    <w:basedOn w:val="74"/>
    <w:qFormat/>
    <w:uiPriority w:val="0"/>
    <w:pPr>
      <w:tabs>
        <w:tab w:val="center" w:pos="4153"/>
        <w:tab w:val="right" w:pos="8306"/>
      </w:tabs>
      <w:snapToGrid w:val="0"/>
      <w:jc w:val="left"/>
    </w:pPr>
    <w:rPr>
      <w:sz w:val="18"/>
      <w:szCs w:val="18"/>
    </w:rPr>
  </w:style>
  <w:style w:type="paragraph" w:customStyle="1" w:styleId="20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00"/>
      <w:kern w:val="0"/>
      <w:sz w:val="20"/>
    </w:rPr>
  </w:style>
  <w:style w:type="paragraph" w:customStyle="1" w:styleId="20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rPr>
  </w:style>
  <w:style w:type="paragraph" w:customStyle="1" w:styleId="209">
    <w:name w:val="页脚 New"/>
    <w:basedOn w:val="210"/>
    <w:qFormat/>
    <w:uiPriority w:val="0"/>
    <w:pPr>
      <w:tabs>
        <w:tab w:val="center" w:pos="4153"/>
        <w:tab w:val="right" w:pos="8306"/>
      </w:tabs>
      <w:snapToGrid w:val="0"/>
      <w:jc w:val="left"/>
    </w:pPr>
    <w:rPr>
      <w:sz w:val="18"/>
      <w:szCs w:val="18"/>
    </w:rPr>
  </w:style>
  <w:style w:type="paragraph" w:customStyle="1" w:styleId="2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12">
    <w:name w:val="页眉 New New New New New New New"/>
    <w:basedOn w:val="157"/>
    <w:qFormat/>
    <w:uiPriority w:val="0"/>
    <w:pPr>
      <w:pBdr>
        <w:bottom w:val="single" w:color="auto" w:sz="6" w:space="1"/>
      </w:pBdr>
      <w:tabs>
        <w:tab w:val="center" w:pos="4153"/>
        <w:tab w:val="right" w:pos="8306"/>
      </w:tabs>
      <w:snapToGrid w:val="0"/>
      <w:jc w:val="center"/>
    </w:pPr>
    <w:rPr>
      <w:sz w:val="18"/>
      <w:szCs w:val="18"/>
    </w:rPr>
  </w:style>
  <w:style w:type="paragraph" w:customStyle="1" w:styleId="213">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14">
    <w:name w:val="页眉 New New"/>
    <w:basedOn w:val="210"/>
    <w:qFormat/>
    <w:uiPriority w:val="0"/>
    <w:pPr>
      <w:pBdr>
        <w:bottom w:val="single" w:color="auto" w:sz="6" w:space="1"/>
      </w:pBdr>
      <w:tabs>
        <w:tab w:val="center" w:pos="4153"/>
        <w:tab w:val="right" w:pos="8306"/>
      </w:tabs>
      <w:snapToGrid w:val="0"/>
      <w:jc w:val="center"/>
    </w:pPr>
    <w:rPr>
      <w:sz w:val="18"/>
      <w:szCs w:val="18"/>
    </w:rPr>
  </w:style>
  <w:style w:type="paragraph" w:customStyle="1" w:styleId="215">
    <w:name w:val="页眉 New New New New New New New New New New"/>
    <w:basedOn w:val="134"/>
    <w:qFormat/>
    <w:uiPriority w:val="0"/>
    <w:pPr>
      <w:pBdr>
        <w:bottom w:val="single" w:color="auto" w:sz="6" w:space="1"/>
      </w:pBdr>
      <w:tabs>
        <w:tab w:val="center" w:pos="4153"/>
        <w:tab w:val="right" w:pos="8306"/>
      </w:tabs>
      <w:snapToGrid w:val="0"/>
      <w:jc w:val="center"/>
    </w:pPr>
    <w:rPr>
      <w:sz w:val="18"/>
      <w:szCs w:val="18"/>
    </w:rPr>
  </w:style>
  <w:style w:type="paragraph" w:customStyle="1" w:styleId="216">
    <w:name w:val="章标题"/>
    <w:next w:val="160"/>
    <w:qFormat/>
    <w:uiPriority w:val="0"/>
    <w:pPr>
      <w:tabs>
        <w:tab w:val="left" w:pos="1200"/>
      </w:tabs>
      <w:spacing w:beforeLines="50" w:afterLines="50"/>
      <w:ind w:left="1200" w:hanging="420"/>
      <w:jc w:val="both"/>
      <w:outlineLvl w:val="1"/>
    </w:pPr>
    <w:rPr>
      <w:rFonts w:ascii="黑体" w:hAnsi="Times New Roman" w:eastAsia="黑体" w:cs="Times New Roman"/>
      <w:sz w:val="21"/>
      <w:lang w:val="en-US" w:eastAsia="zh-CN" w:bidi="ar-SA"/>
    </w:rPr>
  </w:style>
  <w:style w:type="paragraph" w:customStyle="1" w:styleId="217">
    <w:name w:val="Char2"/>
    <w:basedOn w:val="1"/>
    <w:qFormat/>
    <w:uiPriority w:val="0"/>
    <w:pPr>
      <w:widowControl/>
      <w:spacing w:after="160" w:line="240" w:lineRule="exact"/>
      <w:jc w:val="left"/>
    </w:pPr>
    <w:rPr>
      <w:rFonts w:ascii="Verdana" w:hAnsi="Verdana"/>
      <w:kern w:val="0"/>
      <w:sz w:val="20"/>
      <w:lang w:eastAsia="en-US"/>
    </w:rPr>
  </w:style>
  <w:style w:type="paragraph" w:customStyle="1" w:styleId="218">
    <w:name w:val="样式 标题 4"/>
    <w:basedOn w:val="6"/>
    <w:qFormat/>
    <w:uiPriority w:val="0"/>
    <w:pPr>
      <w:keepLines/>
      <w:tabs>
        <w:tab w:val="left" w:pos="0"/>
        <w:tab w:val="left" w:pos="2253"/>
      </w:tabs>
      <w:spacing w:before="100" w:beforeAutospacing="1" w:after="100" w:afterAutospacing="1" w:line="0" w:lineRule="atLeast"/>
    </w:pPr>
    <w:rPr>
      <w:rFonts w:ascii="Arial" w:hAnsi="Arial" w:eastAsia="黑体"/>
      <w:b/>
      <w:bCs/>
      <w:sz w:val="28"/>
      <w:szCs w:val="30"/>
    </w:rPr>
  </w:style>
  <w:style w:type="paragraph" w:customStyle="1" w:styleId="21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2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21">
    <w:name w:val="Char11"/>
    <w:basedOn w:val="1"/>
    <w:qFormat/>
    <w:uiPriority w:val="0"/>
    <w:rPr>
      <w:rFonts w:ascii="仿宋_GB2312" w:eastAsia="仿宋_GB2312"/>
      <w:b/>
      <w:sz w:val="32"/>
      <w:szCs w:val="32"/>
    </w:rPr>
  </w:style>
  <w:style w:type="paragraph" w:customStyle="1" w:styleId="222">
    <w:name w:val="样式 样式 标题1 + 行距: 单倍行距 + 段前: 7.8 磅 段后: 7.8 磅"/>
    <w:basedOn w:val="1"/>
    <w:qFormat/>
    <w:uiPriority w:val="0"/>
    <w:pPr>
      <w:jc w:val="left"/>
    </w:pPr>
    <w:rPr>
      <w:b/>
      <w:bCs/>
      <w:sz w:val="24"/>
      <w:szCs w:val="24"/>
    </w:rPr>
  </w:style>
  <w:style w:type="paragraph" w:customStyle="1" w:styleId="22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224">
    <w:name w:val="样式 正文缩进 + 首行缩进:  2 字符 Char Char Char Char Char"/>
    <w:basedOn w:val="14"/>
    <w:link w:val="296"/>
    <w:qFormat/>
    <w:uiPriority w:val="0"/>
    <w:pPr>
      <w:spacing w:line="360" w:lineRule="auto"/>
      <w:ind w:firstLine="480"/>
    </w:pPr>
    <w:rPr>
      <w:rFonts w:cs="隶书"/>
      <w:sz w:val="24"/>
      <w:szCs w:val="24"/>
    </w:rPr>
  </w:style>
  <w:style w:type="paragraph" w:customStyle="1" w:styleId="22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20"/>
    </w:rPr>
  </w:style>
  <w:style w:type="paragraph" w:customStyle="1" w:styleId="22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227">
    <w:name w:val="页眉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228">
    <w:name w:val="样式 加粗 居中"/>
    <w:basedOn w:val="1"/>
    <w:qFormat/>
    <w:uiPriority w:val="0"/>
    <w:pPr>
      <w:jc w:val="center"/>
    </w:pPr>
    <w:rPr>
      <w:rFonts w:eastAsia="黑体"/>
      <w:b/>
      <w:sz w:val="48"/>
      <w:szCs w:val="24"/>
    </w:rPr>
  </w:style>
  <w:style w:type="paragraph" w:customStyle="1" w:styleId="229">
    <w:name w:val="附录一级条标题"/>
    <w:basedOn w:val="1"/>
    <w:next w:val="160"/>
    <w:qFormat/>
    <w:uiPriority w:val="0"/>
    <w:pPr>
      <w:widowControl/>
      <w:tabs>
        <w:tab w:val="left" w:pos="2160"/>
      </w:tabs>
      <w:wordWrap w:val="0"/>
      <w:overflowPunct w:val="0"/>
      <w:autoSpaceDE w:val="0"/>
      <w:autoSpaceDN w:val="0"/>
      <w:ind w:left="2160" w:hanging="360"/>
      <w:textAlignment w:val="baseline"/>
      <w:outlineLvl w:val="2"/>
    </w:pPr>
    <w:rPr>
      <w:rFonts w:ascii="黑体" w:eastAsia="黑体"/>
      <w:kern w:val="21"/>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231">
    <w:name w:val="Char Char Char1"/>
    <w:basedOn w:val="1"/>
    <w:qFormat/>
    <w:uiPriority w:val="0"/>
    <w:rPr>
      <w:rFonts w:ascii="Tahoma" w:hAnsi="Tahoma"/>
      <w:sz w:val="24"/>
    </w:rPr>
  </w:style>
  <w:style w:type="paragraph" w:customStyle="1" w:styleId="2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rPr>
  </w:style>
  <w:style w:type="paragraph" w:customStyle="1" w:styleId="233">
    <w:name w:val="页脚 New New"/>
    <w:basedOn w:val="114"/>
    <w:qFormat/>
    <w:uiPriority w:val="0"/>
    <w:pPr>
      <w:tabs>
        <w:tab w:val="center" w:pos="4153"/>
        <w:tab w:val="right" w:pos="8306"/>
      </w:tabs>
      <w:snapToGrid w:val="0"/>
      <w:jc w:val="left"/>
    </w:pPr>
    <w:rPr>
      <w:sz w:val="18"/>
      <w:szCs w:val="18"/>
    </w:rPr>
  </w:style>
  <w:style w:type="paragraph" w:customStyle="1" w:styleId="234">
    <w:name w:val="项目排列"/>
    <w:basedOn w:val="1"/>
    <w:qFormat/>
    <w:uiPriority w:val="0"/>
    <w:pPr>
      <w:numPr>
        <w:ilvl w:val="0"/>
        <w:numId w:val="1"/>
      </w:numPr>
      <w:tabs>
        <w:tab w:val="clear" w:pos="900"/>
      </w:tabs>
      <w:spacing w:beforeLines="50" w:afterLines="50" w:line="300" w:lineRule="auto"/>
      <w:ind w:left="350" w:leftChars="200" w:hanging="150" w:hangingChars="150"/>
    </w:pPr>
    <w:rPr>
      <w:sz w:val="24"/>
      <w:szCs w:val="24"/>
    </w:rPr>
  </w:style>
  <w:style w:type="paragraph" w:customStyle="1" w:styleId="235">
    <w:name w:val="font8"/>
    <w:basedOn w:val="1"/>
    <w:qFormat/>
    <w:uiPriority w:val="0"/>
    <w:pPr>
      <w:widowControl/>
      <w:spacing w:before="100" w:beforeAutospacing="1" w:after="100" w:afterAutospacing="1"/>
      <w:jc w:val="left"/>
    </w:pPr>
    <w:rPr>
      <w:rFonts w:ascii="宋体" w:hAnsi="宋体" w:cs="宋体"/>
      <w:kern w:val="0"/>
      <w:sz w:val="20"/>
    </w:rPr>
  </w:style>
  <w:style w:type="paragraph" w:customStyle="1" w:styleId="236">
    <w:name w:val="Char Char1 Char Char Char Char Char Char Char"/>
    <w:basedOn w:val="1"/>
    <w:qFormat/>
    <w:uiPriority w:val="0"/>
    <w:pPr>
      <w:adjustRightInd w:val="0"/>
      <w:spacing w:line="360" w:lineRule="auto"/>
    </w:pPr>
    <w:rPr>
      <w:kern w:val="0"/>
      <w:sz w:val="24"/>
    </w:rPr>
  </w:style>
  <w:style w:type="paragraph" w:customStyle="1" w:styleId="23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00"/>
      <w:kern w:val="0"/>
      <w:sz w:val="20"/>
    </w:rPr>
  </w:style>
  <w:style w:type="paragraph" w:customStyle="1" w:styleId="238">
    <w:name w:val="xl82"/>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3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241">
    <w:name w:val="列出段落1"/>
    <w:basedOn w:val="87"/>
    <w:qFormat/>
    <w:uiPriority w:val="0"/>
    <w:pPr>
      <w:ind w:firstLine="420" w:firstLineChars="200"/>
    </w:pPr>
    <w:rPr>
      <w:rFonts w:ascii="Calibri" w:hAnsi="Calibri"/>
      <w:szCs w:val="22"/>
    </w:rPr>
  </w:style>
  <w:style w:type="paragraph" w:customStyle="1" w:styleId="24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rPr>
  </w:style>
  <w:style w:type="character" w:customStyle="1" w:styleId="243">
    <w:name w:val="jbox-icon-question"/>
    <w:basedOn w:val="52"/>
    <w:qFormat/>
    <w:uiPriority w:val="0"/>
  </w:style>
  <w:style w:type="character" w:customStyle="1" w:styleId="244">
    <w:name w:val="标题 9 Char"/>
    <w:link w:val="11"/>
    <w:qFormat/>
    <w:uiPriority w:val="0"/>
    <w:rPr>
      <w:rFonts w:ascii="Arial" w:hAnsi="Arial" w:eastAsia="黑体"/>
      <w:kern w:val="2"/>
      <w:sz w:val="21"/>
      <w:szCs w:val="21"/>
      <w:lang w:val="en-US" w:eastAsia="zh-CN" w:bidi="ar-SA"/>
    </w:rPr>
  </w:style>
  <w:style w:type="character" w:customStyle="1" w:styleId="245">
    <w:name w:val="正文文本 Char"/>
    <w:link w:val="19"/>
    <w:qFormat/>
    <w:uiPriority w:val="0"/>
    <w:rPr>
      <w:rFonts w:eastAsia="宋体"/>
      <w:kern w:val="2"/>
      <w:sz w:val="21"/>
      <w:lang w:val="en-US" w:eastAsia="zh-CN" w:bidi="ar-SA"/>
    </w:rPr>
  </w:style>
  <w:style w:type="character" w:customStyle="1" w:styleId="246">
    <w:name w:val="标题 3 Char"/>
    <w:link w:val="5"/>
    <w:qFormat/>
    <w:uiPriority w:val="0"/>
    <w:rPr>
      <w:rFonts w:ascii="宋体" w:hAnsi="宋体" w:eastAsia="宋体"/>
      <w:b/>
      <w:bCs/>
      <w:kern w:val="2"/>
      <w:sz w:val="30"/>
      <w:szCs w:val="24"/>
      <w:lang w:val="en-US" w:eastAsia="zh-CN" w:bidi="ar-SA"/>
    </w:rPr>
  </w:style>
  <w:style w:type="character" w:customStyle="1" w:styleId="247">
    <w:name w:val="样式 标题 4 + 黑体 Char Char Char"/>
    <w:qFormat/>
    <w:uiPriority w:val="0"/>
    <w:rPr>
      <w:rFonts w:ascii="黑体" w:hAnsi="黑体" w:eastAsia="黑体"/>
      <w:b/>
      <w:bCs/>
      <w:kern w:val="2"/>
      <w:sz w:val="28"/>
      <w:szCs w:val="28"/>
      <w:lang w:val="en-US" w:eastAsia="zh-CN" w:bidi="ar-SA"/>
    </w:rPr>
  </w:style>
  <w:style w:type="character" w:customStyle="1" w:styleId="248">
    <w:name w:val="正文（首行缩进两字） Char1"/>
    <w:qFormat/>
    <w:uiPriority w:val="0"/>
    <w:rPr>
      <w:rFonts w:eastAsia="宋体"/>
      <w:kern w:val="2"/>
      <w:sz w:val="21"/>
      <w:lang w:val="en-US" w:eastAsia="zh-CN" w:bidi="ar-SA"/>
    </w:rPr>
  </w:style>
  <w:style w:type="character" w:customStyle="1" w:styleId="249">
    <w:name w:val="页脚 Char"/>
    <w:link w:val="30"/>
    <w:qFormat/>
    <w:uiPriority w:val="0"/>
    <w:rPr>
      <w:rFonts w:eastAsia="宋体"/>
      <w:kern w:val="2"/>
      <w:sz w:val="18"/>
      <w:szCs w:val="18"/>
      <w:lang w:val="en-US" w:eastAsia="zh-CN" w:bidi="ar-SA"/>
    </w:rPr>
  </w:style>
  <w:style w:type="character" w:customStyle="1" w:styleId="250">
    <w:name w:val="正文文本 2 Char"/>
    <w:link w:val="42"/>
    <w:qFormat/>
    <w:uiPriority w:val="0"/>
    <w:rPr>
      <w:kern w:val="2"/>
      <w:sz w:val="21"/>
    </w:rPr>
  </w:style>
  <w:style w:type="character" w:customStyle="1" w:styleId="251">
    <w:name w:val="表文"/>
    <w:qFormat/>
    <w:uiPriority w:val="0"/>
    <w:rPr>
      <w:rFonts w:ascii="Arial" w:hAnsi="Arial" w:eastAsia="宋体"/>
      <w:spacing w:val="0"/>
      <w:kern w:val="0"/>
      <w:sz w:val="21"/>
      <w:szCs w:val="18"/>
      <w:vertAlign w:val="baseline"/>
    </w:rPr>
  </w:style>
  <w:style w:type="character" w:customStyle="1" w:styleId="252">
    <w:name w:val="签名 Char"/>
    <w:link w:val="32"/>
    <w:qFormat/>
    <w:uiPriority w:val="0"/>
    <w:rPr>
      <w:rFonts w:eastAsia="宋体"/>
      <w:kern w:val="2"/>
      <w:sz w:val="21"/>
      <w:szCs w:val="24"/>
      <w:lang w:val="en-US" w:eastAsia="zh-CN" w:bidi="ar-SA"/>
    </w:rPr>
  </w:style>
  <w:style w:type="character" w:customStyle="1" w:styleId="253">
    <w:name w:val="jbox-icon-loading"/>
    <w:basedOn w:val="52"/>
    <w:qFormat/>
    <w:uiPriority w:val="0"/>
  </w:style>
  <w:style w:type="character" w:customStyle="1" w:styleId="254">
    <w:name w:val="无间隔 Char"/>
    <w:link w:val="155"/>
    <w:qFormat/>
    <w:uiPriority w:val="0"/>
    <w:rPr>
      <w:rFonts w:ascii="Calibri" w:hAnsi="Calibri"/>
      <w:sz w:val="22"/>
      <w:szCs w:val="22"/>
      <w:lang w:val="en-US" w:eastAsia="zh-CN" w:bidi="ar-SA"/>
    </w:rPr>
  </w:style>
  <w:style w:type="character" w:customStyle="1" w:styleId="255">
    <w:name w:val="项目排列 Char Char"/>
    <w:qFormat/>
    <w:uiPriority w:val="0"/>
    <w:rPr>
      <w:rFonts w:eastAsia="宋体"/>
      <w:kern w:val="2"/>
      <w:sz w:val="24"/>
      <w:szCs w:val="24"/>
      <w:lang w:val="en-US" w:eastAsia="zh-CN" w:bidi="ar-SA"/>
    </w:rPr>
  </w:style>
  <w:style w:type="character" w:customStyle="1" w:styleId="256">
    <w:name w:val="qianlan12j251"/>
    <w:qFormat/>
    <w:uiPriority w:val="0"/>
    <w:rPr>
      <w:rFonts w:hint="default" w:ascii="ˎ̥" w:hAnsi="ˎ̥"/>
      <w:color w:val="8EB3FF"/>
      <w:sz w:val="24"/>
      <w:szCs w:val="24"/>
      <w:u w:val="none"/>
    </w:rPr>
  </w:style>
  <w:style w:type="character" w:customStyle="1" w:styleId="257">
    <w:name w:val="正文文本缩进 2 Char"/>
    <w:link w:val="28"/>
    <w:qFormat/>
    <w:uiPriority w:val="0"/>
    <w:rPr>
      <w:rFonts w:eastAsia="宋体"/>
      <w:kern w:val="2"/>
      <w:sz w:val="21"/>
      <w:lang w:val="en-US" w:eastAsia="zh-CN" w:bidi="ar-SA"/>
    </w:rPr>
  </w:style>
  <w:style w:type="character" w:customStyle="1" w:styleId="258">
    <w:name w:val="纯文本 Char"/>
    <w:link w:val="25"/>
    <w:qFormat/>
    <w:uiPriority w:val="0"/>
    <w:rPr>
      <w:rFonts w:ascii="宋体" w:hAnsi="Courier New" w:eastAsia="宋体"/>
      <w:kern w:val="2"/>
      <w:sz w:val="21"/>
      <w:lang w:val="en-US" w:eastAsia="zh-CN" w:bidi="ar-SA"/>
    </w:rPr>
  </w:style>
  <w:style w:type="character" w:customStyle="1" w:styleId="259">
    <w:name w:val="maywed421"/>
    <w:qFormat/>
    <w:uiPriority w:val="0"/>
    <w:rPr>
      <w:color w:val="366FB6"/>
      <w:u w:val="none"/>
    </w:rPr>
  </w:style>
  <w:style w:type="character" w:customStyle="1" w:styleId="260">
    <w:name w:val="Char Char9"/>
    <w:qFormat/>
    <w:uiPriority w:val="0"/>
    <w:rPr>
      <w:kern w:val="2"/>
      <w:sz w:val="21"/>
    </w:rPr>
  </w:style>
  <w:style w:type="character" w:customStyle="1" w:styleId="261">
    <w:name w:val="正文文本缩进 3 Char"/>
    <w:link w:val="39"/>
    <w:qFormat/>
    <w:uiPriority w:val="0"/>
    <w:rPr>
      <w:rFonts w:eastAsia="宋体"/>
      <w:kern w:val="2"/>
      <w:sz w:val="16"/>
      <w:szCs w:val="16"/>
      <w:lang w:val="en-US" w:eastAsia="zh-CN" w:bidi="ar-SA"/>
    </w:rPr>
  </w:style>
  <w:style w:type="character" w:customStyle="1" w:styleId="262">
    <w:name w:val="标题 2 Char"/>
    <w:link w:val="4"/>
    <w:qFormat/>
    <w:uiPriority w:val="0"/>
    <w:rPr>
      <w:rFonts w:ascii="Arial" w:hAnsi="Arial" w:eastAsia="黑体"/>
      <w:b/>
      <w:bCs/>
      <w:kern w:val="2"/>
      <w:sz w:val="32"/>
      <w:szCs w:val="32"/>
      <w:lang w:val="en-US" w:eastAsia="zh-CN" w:bidi="ar-SA"/>
    </w:rPr>
  </w:style>
  <w:style w:type="character" w:customStyle="1" w:styleId="263">
    <w:name w:val="正文首行缩进 2 Char"/>
    <w:link w:val="49"/>
    <w:qFormat/>
    <w:uiPriority w:val="0"/>
    <w:rPr>
      <w:rFonts w:eastAsia="仿宋_GB2312"/>
      <w:b/>
      <w:bCs/>
      <w:kern w:val="2"/>
      <w:sz w:val="21"/>
      <w:szCs w:val="24"/>
    </w:rPr>
  </w:style>
  <w:style w:type="character" w:customStyle="1" w:styleId="264">
    <w:name w:val="正文首行缩进 Char"/>
    <w:link w:val="48"/>
    <w:qFormat/>
    <w:uiPriority w:val="0"/>
    <w:rPr>
      <w:rFonts w:eastAsia="宋体"/>
      <w:kern w:val="2"/>
      <w:sz w:val="21"/>
      <w:szCs w:val="24"/>
      <w:lang w:val="en-US" w:eastAsia="zh-CN" w:bidi="ar-SA"/>
    </w:rPr>
  </w:style>
  <w:style w:type="character" w:customStyle="1" w:styleId="265">
    <w:name w:val="日期 Char"/>
    <w:link w:val="27"/>
    <w:qFormat/>
    <w:uiPriority w:val="0"/>
    <w:rPr>
      <w:rFonts w:eastAsia="长城楷体"/>
      <w:spacing w:val="4"/>
      <w:kern w:val="2"/>
      <w:sz w:val="28"/>
      <w:szCs w:val="24"/>
      <w:lang w:val="en-US" w:eastAsia="zh-CN" w:bidi="ar-SA"/>
    </w:rPr>
  </w:style>
  <w:style w:type="character" w:customStyle="1" w:styleId="266">
    <w:name w:val="jbox-icon-info"/>
    <w:basedOn w:val="52"/>
    <w:qFormat/>
    <w:uiPriority w:val="0"/>
  </w:style>
  <w:style w:type="character" w:customStyle="1" w:styleId="267">
    <w:name w:val="文档结构图 Char"/>
    <w:link w:val="16"/>
    <w:qFormat/>
    <w:uiPriority w:val="0"/>
    <w:rPr>
      <w:rFonts w:eastAsia="宋体"/>
      <w:kern w:val="2"/>
      <w:sz w:val="21"/>
      <w:szCs w:val="24"/>
      <w:lang w:val="en-US" w:eastAsia="zh-CN" w:bidi="ar-SA"/>
    </w:rPr>
  </w:style>
  <w:style w:type="character" w:customStyle="1" w:styleId="268">
    <w:name w:val="style31"/>
    <w:qFormat/>
    <w:uiPriority w:val="0"/>
    <w:rPr>
      <w:color w:val="000000"/>
      <w:sz w:val="24"/>
      <w:szCs w:val="24"/>
    </w:rPr>
  </w:style>
  <w:style w:type="character" w:customStyle="1" w:styleId="269">
    <w:name w:val="jbox-icon-none"/>
    <w:basedOn w:val="52"/>
    <w:qFormat/>
    <w:uiPriority w:val="0"/>
    <w:rPr>
      <w:vanish/>
    </w:rPr>
  </w:style>
  <w:style w:type="character" w:customStyle="1" w:styleId="270">
    <w:name w:val="Char Char12"/>
    <w:qFormat/>
    <w:uiPriority w:val="0"/>
    <w:rPr>
      <w:rFonts w:eastAsia="仿宋_GB2312"/>
      <w:b/>
      <w:bCs/>
      <w:kern w:val="2"/>
      <w:sz w:val="30"/>
    </w:rPr>
  </w:style>
  <w:style w:type="character" w:customStyle="1" w:styleId="271">
    <w:name w:val="jbox-icon-success"/>
    <w:basedOn w:val="52"/>
    <w:qFormat/>
    <w:uiPriority w:val="0"/>
  </w:style>
  <w:style w:type="character" w:customStyle="1" w:styleId="272">
    <w:name w:val="Char Char1"/>
    <w:qFormat/>
    <w:uiPriority w:val="0"/>
    <w:rPr>
      <w:rFonts w:eastAsia="宋体"/>
      <w:kern w:val="2"/>
      <w:sz w:val="21"/>
      <w:lang w:val="en-US" w:eastAsia="zh-CN" w:bidi="ar-SA"/>
    </w:rPr>
  </w:style>
  <w:style w:type="character" w:customStyle="1" w:styleId="273">
    <w:name w:val="textcontents"/>
    <w:basedOn w:val="52"/>
    <w:qFormat/>
    <w:uiPriority w:val="0"/>
  </w:style>
  <w:style w:type="character" w:customStyle="1" w:styleId="274">
    <w:name w:val="font-12"/>
    <w:basedOn w:val="52"/>
    <w:qFormat/>
    <w:uiPriority w:val="0"/>
  </w:style>
  <w:style w:type="character" w:customStyle="1" w:styleId="275">
    <w:name w:val="正文文本 3 Char"/>
    <w:link w:val="17"/>
    <w:qFormat/>
    <w:uiPriority w:val="0"/>
    <w:rPr>
      <w:rFonts w:eastAsia="宋体"/>
      <w:kern w:val="2"/>
      <w:sz w:val="24"/>
      <w:szCs w:val="24"/>
      <w:lang w:val="en-US" w:eastAsia="zh-CN" w:bidi="ar-SA"/>
    </w:rPr>
  </w:style>
  <w:style w:type="character" w:customStyle="1" w:styleId="276">
    <w:name w:val="标题 1 字符"/>
    <w:link w:val="3"/>
    <w:qFormat/>
    <w:uiPriority w:val="0"/>
    <w:rPr>
      <w:rFonts w:ascii="Verdana" w:hAnsi="Verdana"/>
      <w:kern w:val="0"/>
      <w:sz w:val="20"/>
      <w:lang w:eastAsia="en-US"/>
    </w:rPr>
  </w:style>
  <w:style w:type="character" w:customStyle="1" w:styleId="277">
    <w:name w:val="jbox-icon-error"/>
    <w:basedOn w:val="52"/>
    <w:qFormat/>
    <w:uiPriority w:val="0"/>
  </w:style>
  <w:style w:type="character" w:customStyle="1" w:styleId="278">
    <w:name w:val="foot_text1"/>
    <w:qFormat/>
    <w:uiPriority w:val="0"/>
    <w:rPr>
      <w:color w:val="999999"/>
      <w:sz w:val="18"/>
      <w:szCs w:val="18"/>
    </w:rPr>
  </w:style>
  <w:style w:type="character" w:customStyle="1" w:styleId="279">
    <w:name w:val="标题 7 Char"/>
    <w:link w:val="9"/>
    <w:qFormat/>
    <w:uiPriority w:val="0"/>
    <w:rPr>
      <w:rFonts w:eastAsia="宋体"/>
      <w:b/>
      <w:bCs/>
      <w:kern w:val="2"/>
      <w:sz w:val="24"/>
      <w:szCs w:val="24"/>
      <w:lang w:val="en-US" w:eastAsia="zh-CN" w:bidi="ar-SA"/>
    </w:rPr>
  </w:style>
  <w:style w:type="character" w:customStyle="1" w:styleId="280">
    <w:name w:val="正文文本缩进 Char"/>
    <w:link w:val="20"/>
    <w:qFormat/>
    <w:uiPriority w:val="0"/>
    <w:rPr>
      <w:rFonts w:eastAsia="仿宋_GB2312"/>
      <w:b/>
      <w:bCs/>
      <w:kern w:val="2"/>
      <w:sz w:val="30"/>
    </w:rPr>
  </w:style>
  <w:style w:type="character" w:customStyle="1" w:styleId="281">
    <w:name w:val="标题 6 Char"/>
    <w:link w:val="8"/>
    <w:qFormat/>
    <w:uiPriority w:val="0"/>
    <w:rPr>
      <w:rFonts w:ascii="Arial" w:hAnsi="Arial" w:eastAsia="黑体"/>
      <w:b/>
      <w:bCs/>
      <w:kern w:val="2"/>
      <w:sz w:val="24"/>
      <w:szCs w:val="24"/>
      <w:lang w:val="en-US" w:eastAsia="zh-CN" w:bidi="ar-SA"/>
    </w:rPr>
  </w:style>
  <w:style w:type="character" w:customStyle="1" w:styleId="282">
    <w:name w:val="标题 8 Char"/>
    <w:link w:val="10"/>
    <w:qFormat/>
    <w:uiPriority w:val="0"/>
    <w:rPr>
      <w:rFonts w:ascii="Arial" w:hAnsi="Arial" w:eastAsia="黑体"/>
      <w:kern w:val="2"/>
      <w:sz w:val="24"/>
      <w:szCs w:val="24"/>
      <w:lang w:val="en-US" w:eastAsia="zh-CN" w:bidi="ar-SA"/>
    </w:rPr>
  </w:style>
  <w:style w:type="character" w:customStyle="1" w:styleId="283">
    <w:name w:val="12blk1"/>
    <w:qFormat/>
    <w:uiPriority w:val="0"/>
    <w:rPr>
      <w:rFonts w:hint="default" w:ascii="ˎ̥" w:hAnsi="ˎ̥"/>
      <w:color w:val="000000"/>
      <w:sz w:val="24"/>
      <w:szCs w:val="24"/>
      <w:u w:val="none"/>
    </w:rPr>
  </w:style>
  <w:style w:type="character" w:customStyle="1" w:styleId="284">
    <w:name w:val="正文首行缩进 Char2"/>
    <w:qFormat/>
    <w:uiPriority w:val="0"/>
    <w:rPr>
      <w:rFonts w:hint="eastAsia" w:ascii="楷体_GB2312" w:eastAsia="楷体_GB2312"/>
      <w:kern w:val="2"/>
      <w:sz w:val="28"/>
      <w:szCs w:val="24"/>
      <w:lang w:val="en-US" w:eastAsia="zh-CN" w:bidi="ar-SA"/>
    </w:rPr>
  </w:style>
  <w:style w:type="character" w:customStyle="1" w:styleId="285">
    <w:name w:val="标题 4 Char"/>
    <w:link w:val="6"/>
    <w:qFormat/>
    <w:uiPriority w:val="0"/>
    <w:rPr>
      <w:rFonts w:ascii="宋体" w:hAnsi="宋体" w:eastAsia="宋体"/>
      <w:kern w:val="2"/>
      <w:sz w:val="24"/>
      <w:szCs w:val="24"/>
      <w:lang w:val="en-US" w:eastAsia="zh-CN" w:bidi="ar-SA"/>
    </w:rPr>
  </w:style>
  <w:style w:type="character" w:customStyle="1" w:styleId="286">
    <w:name w:val="Heading 3 Char"/>
    <w:qFormat/>
    <w:uiPriority w:val="0"/>
    <w:rPr>
      <w:rFonts w:ascii="宋体" w:hAnsi="宋体" w:eastAsia="宋体"/>
      <w:b/>
      <w:bCs/>
      <w:color w:val="000000"/>
      <w:kern w:val="2"/>
      <w:sz w:val="24"/>
      <w:szCs w:val="24"/>
      <w:lang w:val="en-US" w:eastAsia="zh-CN" w:bidi="ar-SA"/>
    </w:rPr>
  </w:style>
  <w:style w:type="character" w:customStyle="1" w:styleId="287">
    <w:name w:val="批注框文本 Char"/>
    <w:link w:val="29"/>
    <w:qFormat/>
    <w:uiPriority w:val="0"/>
    <w:rPr>
      <w:rFonts w:eastAsia="宋体"/>
      <w:kern w:val="2"/>
      <w:sz w:val="18"/>
      <w:szCs w:val="18"/>
      <w:lang w:val="en-US" w:eastAsia="zh-CN" w:bidi="ar-SA"/>
    </w:rPr>
  </w:style>
  <w:style w:type="character" w:customStyle="1" w:styleId="288">
    <w:name w:val="font21"/>
    <w:basedOn w:val="52"/>
    <w:qFormat/>
    <w:uiPriority w:val="0"/>
    <w:rPr>
      <w:rFonts w:hint="default" w:ascii="Times New Roman" w:hAnsi="Times New Roman" w:cs="Times New Roman"/>
      <w:b/>
      <w:color w:val="000000"/>
      <w:sz w:val="22"/>
      <w:szCs w:val="22"/>
      <w:u w:val="none"/>
    </w:rPr>
  </w:style>
  <w:style w:type="character" w:customStyle="1" w:styleId="289">
    <w:name w:val="hei16b"/>
    <w:basedOn w:val="52"/>
    <w:qFormat/>
    <w:uiPriority w:val="0"/>
  </w:style>
  <w:style w:type="character" w:customStyle="1" w:styleId="290">
    <w:name w:val="jbox-icon"/>
    <w:basedOn w:val="52"/>
    <w:qFormat/>
    <w:uiPriority w:val="0"/>
  </w:style>
  <w:style w:type="character" w:customStyle="1" w:styleId="291">
    <w:name w:val="font1"/>
    <w:qFormat/>
    <w:uiPriority w:val="0"/>
    <w:rPr>
      <w:sz w:val="18"/>
      <w:szCs w:val="18"/>
    </w:rPr>
  </w:style>
  <w:style w:type="character" w:customStyle="1" w:styleId="292">
    <w:name w:val="标题 3 Char Char"/>
    <w:qFormat/>
    <w:uiPriority w:val="0"/>
    <w:rPr>
      <w:rFonts w:eastAsia="黑体"/>
      <w:b/>
      <w:bCs/>
      <w:kern w:val="2"/>
      <w:sz w:val="32"/>
      <w:szCs w:val="32"/>
      <w:lang w:val="en-US" w:eastAsia="zh-CN"/>
    </w:rPr>
  </w:style>
  <w:style w:type="character" w:customStyle="1" w:styleId="293">
    <w:name w:val="页眉 Char"/>
    <w:link w:val="31"/>
    <w:qFormat/>
    <w:uiPriority w:val="99"/>
    <w:rPr>
      <w:rFonts w:eastAsia="宋体"/>
      <w:kern w:val="2"/>
      <w:sz w:val="18"/>
      <w:szCs w:val="18"/>
      <w:lang w:val="en-US" w:eastAsia="zh-CN" w:bidi="ar-SA"/>
    </w:rPr>
  </w:style>
  <w:style w:type="character" w:customStyle="1" w:styleId="294">
    <w:name w:val="unnamed11"/>
    <w:qFormat/>
    <w:uiPriority w:val="0"/>
    <w:rPr>
      <w:color w:val="666666"/>
      <w:sz w:val="18"/>
      <w:szCs w:val="18"/>
    </w:rPr>
  </w:style>
  <w:style w:type="character" w:customStyle="1" w:styleId="295">
    <w:name w:val="普通正文 Char Char"/>
    <w:qFormat/>
    <w:uiPriority w:val="0"/>
    <w:rPr>
      <w:rFonts w:eastAsia="仿宋_GB2312"/>
      <w:kern w:val="21"/>
      <w:sz w:val="28"/>
      <w:lang w:val="en-US" w:eastAsia="zh-CN" w:bidi="ar-SA"/>
    </w:rPr>
  </w:style>
  <w:style w:type="character" w:customStyle="1" w:styleId="296">
    <w:name w:val="样式 正文缩进 + 首行缩进:  2 字符 Char Char Char Char Char Char Char"/>
    <w:link w:val="224"/>
    <w:qFormat/>
    <w:uiPriority w:val="0"/>
    <w:rPr>
      <w:rFonts w:eastAsia="宋体" w:cs="隶书"/>
      <w:kern w:val="2"/>
      <w:sz w:val="24"/>
      <w:szCs w:val="24"/>
      <w:lang w:val="en-US" w:eastAsia="zh-CN" w:bidi="ar-SA"/>
    </w:rPr>
  </w:style>
  <w:style w:type="character" w:customStyle="1" w:styleId="297">
    <w:name w:val="font01"/>
    <w:qFormat/>
    <w:uiPriority w:val="0"/>
    <w:rPr>
      <w:rFonts w:hint="eastAsia" w:ascii="新宋体" w:hAnsi="新宋体" w:eastAsia="新宋体" w:cs="新宋体"/>
      <w:b/>
      <w:color w:val="000000"/>
      <w:sz w:val="22"/>
      <w:szCs w:val="22"/>
      <w:u w:val="none"/>
    </w:rPr>
  </w:style>
  <w:style w:type="character" w:customStyle="1" w:styleId="298">
    <w:name w:val="param_td12"/>
    <w:basedOn w:val="52"/>
    <w:qFormat/>
    <w:uiPriority w:val="0"/>
  </w:style>
  <w:style w:type="character" w:customStyle="1" w:styleId="299">
    <w:name w:val="标题 1 Char Char Char"/>
    <w:qFormat/>
    <w:uiPriority w:val="0"/>
    <w:rPr>
      <w:rFonts w:eastAsia="宋体"/>
      <w:kern w:val="2"/>
      <w:sz w:val="32"/>
      <w:lang w:val="en-US" w:eastAsia="zh-CN" w:bidi="ar-SA"/>
    </w:rPr>
  </w:style>
  <w:style w:type="character" w:customStyle="1" w:styleId="300">
    <w:name w:val="Char Char13"/>
    <w:qFormat/>
    <w:uiPriority w:val="0"/>
    <w:rPr>
      <w:rFonts w:eastAsia="长城楷体"/>
      <w:spacing w:val="4"/>
      <w:kern w:val="2"/>
      <w:sz w:val="28"/>
      <w:szCs w:val="24"/>
    </w:rPr>
  </w:style>
  <w:style w:type="character" w:customStyle="1" w:styleId="301">
    <w:name w:val="jbox-icon-warning"/>
    <w:basedOn w:val="52"/>
    <w:qFormat/>
    <w:uiPriority w:val="0"/>
  </w:style>
  <w:style w:type="character" w:customStyle="1" w:styleId="302">
    <w:name w:val="标题 5 Char"/>
    <w:link w:val="7"/>
    <w:qFormat/>
    <w:uiPriority w:val="0"/>
    <w:rPr>
      <w:rFonts w:eastAsia="宋体"/>
      <w:b/>
      <w:bCs/>
      <w:kern w:val="2"/>
      <w:sz w:val="28"/>
      <w:szCs w:val="28"/>
      <w:lang w:val="en-US" w:eastAsia="zh-CN" w:bidi="ar-SA"/>
    </w:rPr>
  </w:style>
  <w:style w:type="character" w:customStyle="1" w:styleId="303">
    <w:name w:val="hui3"/>
    <w:qFormat/>
    <w:uiPriority w:val="0"/>
    <w:rPr>
      <w:color w:val="333333"/>
    </w:rPr>
  </w:style>
  <w:style w:type="character" w:customStyle="1" w:styleId="304">
    <w:name w:val="样式 小四"/>
    <w:qFormat/>
    <w:uiPriority w:val="0"/>
    <w:rPr>
      <w:sz w:val="28"/>
      <w:szCs w:val="28"/>
    </w:rPr>
  </w:style>
  <w:style w:type="paragraph" w:customStyle="1" w:styleId="305">
    <w:name w:val="Table Paragraph"/>
    <w:basedOn w:val="1"/>
    <w:qFormat/>
    <w:uiPriority w:val="1"/>
    <w:rPr>
      <w:rFonts w:ascii="宋体" w:hAnsi="宋体" w:cs="宋体"/>
      <w:lang w:val="zh-CN" w:bidi="zh-CN"/>
    </w:rPr>
  </w:style>
  <w:style w:type="paragraph" w:styleId="306">
    <w:name w:val="List Paragraph"/>
    <w:basedOn w:val="1"/>
    <w:qFormat/>
    <w:uiPriority w:val="1"/>
    <w:pPr>
      <w:ind w:left="988" w:firstLine="480"/>
    </w:pPr>
    <w:rPr>
      <w:rFonts w:ascii="宋体" w:hAnsi="宋体" w:cs="宋体"/>
      <w:lang w:val="zh-CN" w:bidi="zh-CN"/>
    </w:rPr>
  </w:style>
  <w:style w:type="character" w:customStyle="1" w:styleId="307">
    <w:name w:val="font51"/>
    <w:basedOn w:val="52"/>
    <w:qFormat/>
    <w:uiPriority w:val="0"/>
    <w:rPr>
      <w:rFonts w:hint="default" w:ascii="Calibri" w:hAnsi="Calibri" w:cs="Calibri"/>
      <w:color w:val="000000"/>
      <w:sz w:val="20"/>
      <w:szCs w:val="20"/>
      <w:u w:val="none"/>
    </w:rPr>
  </w:style>
  <w:style w:type="character" w:customStyle="1" w:styleId="308">
    <w:name w:val="font41"/>
    <w:basedOn w:val="52"/>
    <w:qFormat/>
    <w:uiPriority w:val="0"/>
    <w:rPr>
      <w:rFonts w:hint="default" w:ascii="Calibri" w:hAnsi="Calibri" w:cs="Calibri"/>
      <w:color w:val="000000"/>
      <w:sz w:val="20"/>
      <w:szCs w:val="20"/>
      <w:u w:val="none"/>
    </w:rPr>
  </w:style>
  <w:style w:type="character" w:customStyle="1" w:styleId="309">
    <w:name w:val="font101"/>
    <w:basedOn w:val="52"/>
    <w:qFormat/>
    <w:uiPriority w:val="0"/>
    <w:rPr>
      <w:rFonts w:hint="eastAsia" w:ascii="宋体" w:hAnsi="宋体" w:eastAsia="宋体" w:cs="宋体"/>
      <w:color w:val="000000"/>
      <w:sz w:val="20"/>
      <w:szCs w:val="20"/>
      <w:u w:val="none"/>
    </w:rPr>
  </w:style>
  <w:style w:type="character" w:customStyle="1" w:styleId="310">
    <w:name w:val="标题 1 Char"/>
    <w:link w:val="3"/>
    <w:qFormat/>
    <w:uiPriority w:val="0"/>
    <w:rPr>
      <w:rFonts w:ascii="Verdana" w:hAnsi="Verdana"/>
      <w:kern w:val="0"/>
      <w:sz w:val="20"/>
      <w:lang w:eastAsia="en-US"/>
    </w:rPr>
  </w:style>
  <w:style w:type="character" w:customStyle="1" w:styleId="311">
    <w:name w:val="font81"/>
    <w:basedOn w:val="52"/>
    <w:qFormat/>
    <w:uiPriority w:val="0"/>
    <w:rPr>
      <w:rFonts w:hint="default" w:ascii="Calibri" w:hAnsi="Calibri" w:cs="Calibri"/>
      <w:color w:val="000000"/>
      <w:sz w:val="22"/>
      <w:szCs w:val="22"/>
      <w:u w:val="none"/>
    </w:rPr>
  </w:style>
  <w:style w:type="character" w:customStyle="1" w:styleId="312">
    <w:name w:val="font31"/>
    <w:basedOn w:val="52"/>
    <w:qFormat/>
    <w:uiPriority w:val="0"/>
    <w:rPr>
      <w:rFonts w:hint="eastAsia" w:ascii="宋体" w:hAnsi="宋体" w:eastAsia="宋体" w:cs="宋体"/>
      <w:color w:val="000000"/>
      <w:sz w:val="22"/>
      <w:szCs w:val="22"/>
      <w:u w:val="none"/>
    </w:rPr>
  </w:style>
  <w:style w:type="paragraph" w:customStyle="1" w:styleId="313">
    <w:name w:val="Normal_22"/>
    <w:qFormat/>
    <w:uiPriority w:val="0"/>
    <w:rPr>
      <w:rFonts w:ascii="Times New Roman" w:hAnsi="Times New Roman" w:eastAsia="宋体" w:cs="Times New Roman"/>
      <w:sz w:val="21"/>
      <w:lang w:val="en-US" w:eastAsia="zh-CN" w:bidi="ar-SA"/>
    </w:rPr>
  </w:style>
  <w:style w:type="paragraph" w:customStyle="1" w:styleId="314">
    <w:name w:val="表格"/>
    <w:basedOn w:val="1"/>
    <w:qFormat/>
    <w:uiPriority w:val="0"/>
    <w:pPr>
      <w:widowControl/>
      <w:jc w:val="left"/>
      <w:textAlignment w:val="center"/>
    </w:pPr>
    <w:rPr>
      <w:rFonts w:hint="eastAsia" w:ascii="宋体" w:hAnsi="宋体" w:eastAsia="宋体" w:cs="Times New Roman"/>
      <w:bCs/>
      <w:color w:val="00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4104" textRotate="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27144</Words>
  <Characters>5601</Characters>
  <Lines>46</Lines>
  <Paragraphs>65</Paragraphs>
  <TotalTime>4</TotalTime>
  <ScaleCrop>false</ScaleCrop>
  <LinksUpToDate>false</LinksUpToDate>
  <CharactersWithSpaces>32680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2020-10-14T12:23:00Z</dcterms:created>
  <dc:creator>YUFENG-CAU</dc:creator>
  <cp:lastModifiedBy>流光</cp:lastModifiedBy>
  <cp:lastPrinted>2020-11-25T02:56:00Z</cp:lastPrinted>
  <dcterms:modified xsi:type="dcterms:W3CDTF">2021-09-09T04:28:25Z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892FC309A9A44FFF86A9DE4D3EAD0CDE</vt:lpwstr>
  </property>
</Properties>
</file>