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cs="Arial"/>
          <w:b/>
          <w:bCs/>
          <w:sz w:val="32"/>
        </w:rPr>
      </w:pPr>
      <w:r>
        <w:drawing>
          <wp:inline distT="0" distB="0" distL="114300" distR="114300">
            <wp:extent cx="5159375" cy="8497570"/>
            <wp:effectExtent l="0" t="0" r="31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159375" cy="8497570"/>
                    </a:xfrm>
                    <a:prstGeom prst="rect">
                      <a:avLst/>
                    </a:prstGeom>
                    <a:noFill/>
                    <a:ln>
                      <a:noFill/>
                    </a:ln>
                  </pic:spPr>
                </pic:pic>
              </a:graphicData>
            </a:graphic>
          </wp:inline>
        </w:drawing>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谈判公告</w:t>
      </w: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谈判供应商须知</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第三章  供应商谈判须知正文部分</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第四章  谈判工程量清单及要求</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第五章  铜仁市政府采购合同（参考文本）</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第六章  响应文件格式</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第七章、其他材料</w:t>
      </w:r>
    </w:p>
    <w:p>
      <w:pPr>
        <w:numPr>
          <w:ilvl w:val="0"/>
          <w:numId w:val="0"/>
        </w:numPr>
        <w:spacing w:line="360" w:lineRule="auto"/>
        <w:jc w:val="both"/>
        <w:rPr>
          <w:rFonts w:hint="eastAsia" w:ascii="宋体" w:hAnsi="宋体"/>
          <w:b/>
          <w:bCs w:val="0"/>
          <w:sz w:val="28"/>
          <w:szCs w:val="28"/>
          <w:lang w:val="en-US" w:eastAsia="zh-CN"/>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1" w:firstLineChars="100"/>
        <w:jc w:val="center"/>
        <w:textAlignment w:val="auto"/>
        <w:outlineLvl w:val="9"/>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项目概况</w:t>
      </w:r>
    </w:p>
    <w:p>
      <w:pPr>
        <w:keepNext w:val="0"/>
        <w:keepLines w:val="0"/>
        <w:pageBreakBefore w:val="0"/>
        <w:kinsoku/>
        <w:wordWrap/>
        <w:overflowPunct/>
        <w:topLinePunct w:val="0"/>
        <w:bidi w:val="0"/>
        <w:spacing w:line="400" w:lineRule="exact"/>
        <w:ind w:firstLine="480" w:firstLineChars="200"/>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宽坪乡保卫村2021年茶叶烘干房建设项目招标的潜在投标人应在全国公共资源交易平台（贵州省·铜仁市）获取招标文件，并于</w:t>
      </w:r>
      <w:r>
        <w:rPr>
          <w:rFonts w:hint="eastAsia" w:ascii="宋体" w:hAnsi="宋体" w:cstheme="minorBidi"/>
          <w:kern w:val="2"/>
          <w:sz w:val="24"/>
          <w:szCs w:val="22"/>
          <w:lang w:val="en-US" w:eastAsia="zh-CN" w:bidi="ar-SA"/>
        </w:rPr>
        <w:t> 2021年09月27日14点30分</w:t>
      </w:r>
      <w:r>
        <w:rPr>
          <w:rFonts w:hint="eastAsia" w:ascii="宋体" w:hAnsi="宋体" w:eastAsiaTheme="minorEastAsia" w:cstheme="minorBidi"/>
          <w:kern w:val="2"/>
          <w:sz w:val="24"/>
          <w:szCs w:val="22"/>
          <w:lang w:val="en-US" w:eastAsia="zh-CN" w:bidi="ar-SA"/>
        </w:rPr>
        <w:t>（北京时间）前递交投标文件。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一、项目基本情况</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项目编号：GZBL-CG21-A(2021-115号)</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项目名称：宽坪乡保卫村2021年茶叶烘干房建设项目</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预算金额：150.00万元</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最高限价（如有）：150.00万元</w:t>
      </w:r>
    </w:p>
    <w:p>
      <w:pPr>
        <w:keepNext w:val="0"/>
        <w:keepLines w:val="0"/>
        <w:pageBreakBefore w:val="0"/>
        <w:kinsoku/>
        <w:wordWrap/>
        <w:overflowPunct/>
        <w:topLinePunct w:val="0"/>
        <w:bidi w:val="0"/>
        <w:spacing w:line="400" w:lineRule="exact"/>
        <w:jc w:val="left"/>
        <w:textAlignment w:val="auto"/>
        <w:outlineLvl w:val="0"/>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采购需求：新建生产车间800㎡；</w:t>
      </w:r>
      <w:r>
        <w:rPr>
          <w:rFonts w:hint="eastAsia" w:ascii="宋体" w:hAnsi="宋体" w:cstheme="minorBidi"/>
          <w:kern w:val="2"/>
          <w:sz w:val="24"/>
          <w:szCs w:val="22"/>
          <w:lang w:val="en-US" w:eastAsia="zh-CN" w:bidi="ar-SA"/>
        </w:rPr>
        <w:t>详见采购需求。</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合同履行期限：详见竞争性谈判采购文件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本项目不接受联合体投标。</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二、申请人的资格要求：</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一、供应商属于企业法人、其他组织或自</w:t>
      </w:r>
      <w:bookmarkStart w:id="348" w:name="_GoBack"/>
      <w:bookmarkEnd w:id="348"/>
      <w:r>
        <w:rPr>
          <w:rFonts w:hint="eastAsia" w:ascii="宋体" w:hAnsi="宋体" w:eastAsiaTheme="minorEastAsia" w:cstheme="minorBidi"/>
          <w:kern w:val="2"/>
          <w:sz w:val="24"/>
          <w:szCs w:val="22"/>
          <w:lang w:val="en-US" w:eastAsia="zh-CN" w:bidi="ar-SA"/>
        </w:rPr>
        <w:t>然人</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（一）符合政府采购法第二十二条规定，提供政府采购法实施条例第十七条规定资料。</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1.具有独立承担民事责任的能力：提供法人或其他组织的营业执照等证明文件，或自然人身份证明；</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2.具有良好的商业信誉和健全的财务会计制度：</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具体要求：供应商是法人的，提供2019年度或2020年度经审计的财务报告，附会计师事务所的营业执照及执业证书。或提供基本开户银行出具的资信证明。部分其他组织和自然人，没有经审计的财务报告，可以提供银行出具的资信证明（复印件加盖公章）</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3.具有履行合同所必需的设备和专业技术能力：</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具体要求：提供具备履行合同所必需的设备和专业技术能力的证明材料；</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4.具有依法缴纳税收和社会保障资金的良好记录：</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具体要求：提供2021年连续三个月依法缴纳税收和社会保障资金的有效证明材料，复印件或扫描件加盖公章；</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5.参加本次政府采购活动前三年内，在经营活动中没有违法违规记录：</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提供参加政府采购活动前3年内在经营活动中没有重大违法记录的书面声明（格式文件自拟）；</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法律、行政法规规定的其他条件：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6.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（二）本项目所需特殊行业资质或要求</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特殊资格要求：1.本次招标要求投标人须具备市政公用工程施工总承包叁级及以上资质，并在人员、设备、资金等方面具有相应的施工能力，且还应具备有效的安全生产许可证；2.本次招标要求投标人拟派项目负责人（项目经理）须具备建筑工程专业贰级及以上注册建造师及安全员B证，具备有效的安全生产考核合格证书。</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符合法律法规规定的其他条件；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本项目不接受联合体。</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b/>
          <w:bCs/>
          <w:kern w:val="2"/>
          <w:sz w:val="24"/>
          <w:szCs w:val="22"/>
          <w:lang w:val="en-US" w:eastAsia="zh-CN" w:bidi="ar-SA"/>
        </w:rPr>
        <w:t>在开标评标时，投标供应商需提供以下资料</w:t>
      </w:r>
      <w:r>
        <w:rPr>
          <w:rFonts w:hint="eastAsia" w:ascii="宋体" w:hAnsi="宋体" w:eastAsiaTheme="minorEastAsia" w:cstheme="minorBidi"/>
          <w:kern w:val="2"/>
          <w:sz w:val="24"/>
          <w:szCs w:val="22"/>
          <w:lang w:val="en-US" w:eastAsia="zh-CN" w:bidi="ar-SA"/>
        </w:rPr>
        <w:t>；</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1.有效的营业执照（三证合一）复印件；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2.法定代表人出席开标会的出示法定代表人身份证明及身份证原件；委托代理人出席开标会的出示授权委托书和身份证原件；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3.参加政府采购活动近3年内在经营活动中没有重大违法记录的书面声明。；</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4.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5.投标保证金凭证；</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三、获取招标文件</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时间： 2021 年09月23日至2021年09月26日（提供期限自本公告发布之日起不得少于3个工作日），每天上午09:00至12:00，下午12:00至17:00（北京时间，法定节假日除外）　</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地点：铜仁市公共资源交易中心思南分中心</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方式：网上购买</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注：投标人应随时登录贵州省政府采购网或铜仁市公共资源交易中心网（交易平台）查看、处理采购人发出的文件澄清、补充、更正等通知内容，如因投标人未及时上网查询导致的后果，由投标人自己承担。</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四、提交投标文件截止时间、开标时间和地点</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cstheme="minorBidi"/>
          <w:kern w:val="2"/>
          <w:sz w:val="24"/>
          <w:szCs w:val="22"/>
          <w:lang w:val="en-US" w:eastAsia="zh-CN" w:bidi="ar-SA"/>
        </w:rPr>
        <w:t> 2021年09月27日14点30分</w:t>
      </w:r>
      <w:r>
        <w:rPr>
          <w:rFonts w:hint="eastAsia" w:ascii="宋体" w:hAnsi="宋体" w:eastAsiaTheme="minorEastAsia" w:cstheme="minorBidi"/>
          <w:kern w:val="2"/>
          <w:sz w:val="24"/>
          <w:szCs w:val="22"/>
          <w:lang w:val="en-US" w:eastAsia="zh-CN" w:bidi="ar-SA"/>
        </w:rPr>
        <w:t>（北京时间）</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地点：铜仁市公共资源交易中心思南分中心</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五、公告期限</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自本公告发布之日起3个工作日。</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六、其他补充事宜</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（1）投标保证金额（元）:5000.00</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（2）投标保证金交纳时间:同投标截止时间</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3）投标保证金交纳方式:电汇、转账、电子保函等非现金形式，具体缴退流程见全国公共资源交易平台（贵州省.铜仁市），点击首页--办事指南--保证金缴退，自行缴纳保证金；或者采用《投标保证金保函》（电子保函）提交（具体操作方式见铜仁市公共资源交易中心首页--办事指南--政府采购--常见问题解答--《投标电子保函申请操作步骤》）。</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（4） 开户银行及帐号</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单位名称: 铜仁市公共资源交易中心思南分中心</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开户银行: 贵州银行股份有限公司思南支行</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帐  号: 0611001200000065</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七、对本次招标提出询问，请按以下方式联系。</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1.采购人信息</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1、采购人信息</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采购单位名称：思南县宽坪苗族土家族乡人民政府</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项目联系人：袁红勇</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联系电话：15908566214</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2、代理机构</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代理全称：贵州百利招标有限公司</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联  系  人：殷一平</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联系方式：18485417045</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3.项目联系方式</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项目联系人：殷一平</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联系方式：18485417045</w:t>
      </w:r>
    </w:p>
    <w:p>
      <w:pPr>
        <w:keepNext w:val="0"/>
        <w:keepLines w:val="0"/>
        <w:pageBreakBefore w:val="0"/>
        <w:kinsoku/>
        <w:wordWrap/>
        <w:overflowPunct/>
        <w:topLinePunct w:val="0"/>
        <w:bidi w:val="0"/>
        <w:spacing w:line="400" w:lineRule="exact"/>
        <w:jc w:val="left"/>
        <w:textAlignment w:val="auto"/>
        <w:outlineLvl w:val="0"/>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      </w:t>
      </w:r>
    </w:p>
    <w:p>
      <w:pPr>
        <w:pStyle w:val="21"/>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hAnsi="宋体"/>
          <w:b/>
          <w:sz w:val="36"/>
        </w:rPr>
      </w:pPr>
    </w:p>
    <w:p>
      <w:pPr>
        <w:rPr>
          <w:rFonts w:hint="eastAsia" w:hAnsi="宋体"/>
          <w:b/>
          <w:sz w:val="36"/>
        </w:rPr>
      </w:pPr>
      <w:r>
        <w:rPr>
          <w:rFonts w:hint="eastAsia" w:hAnsi="宋体"/>
          <w:b/>
          <w:sz w:val="36"/>
        </w:rPr>
        <w:br w:type="page"/>
      </w:r>
    </w:p>
    <w:p>
      <w:pPr>
        <w:pStyle w:val="21"/>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bidi w:val="0"/>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4"/>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lang w:eastAsia="zh-CN"/>
              </w:rPr>
              <w:t>宽坪乡保卫村2021年茶叶烘干房建设项目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采购人名称：</w:t>
            </w:r>
            <w:r>
              <w:rPr>
                <w:rFonts w:hint="eastAsia" w:ascii="宋体" w:hAnsi="宋体"/>
                <w:sz w:val="24"/>
                <w:u w:val="single"/>
                <w:lang w:eastAsia="zh-CN"/>
              </w:rPr>
              <w:t xml:space="preserve">思南县宽坪苗族土家族乡人民政府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采购人地址：</w:t>
            </w:r>
            <w:r>
              <w:rPr>
                <w:rFonts w:hint="eastAsia" w:ascii="宋体" w:hAnsi="宋体"/>
                <w:sz w:val="24"/>
                <w:u w:val="single"/>
              </w:rPr>
              <w:t>贵州省铜仁市思南县宽坪苗族土家族乡八一社区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Theme="minorEastAsia"/>
                <w:sz w:val="24"/>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eastAsia="zh-CN"/>
              </w:rPr>
              <w:t>宽坪乡保卫村2021年茶叶烘干房建设项目</w:t>
            </w:r>
            <w:r>
              <w:rPr>
                <w:rFonts w:hint="eastAsia" w:ascii="宋体" w:hAnsi="宋体"/>
                <w:sz w:val="24"/>
                <w:u w:val="single"/>
              </w:rPr>
              <w:t>采购</w:t>
            </w:r>
            <w:r>
              <w:rPr>
                <w:rFonts w:hint="eastAsia" w:ascii="宋体" w:hAnsi="宋体"/>
                <w:sz w:val="24"/>
                <w:u w:val="single"/>
                <w:lang w:val="en-US" w:eastAsia="zh-CN"/>
              </w:rPr>
              <w:t>施工及相关服务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lang w:val="en-US" w:eastAsia="zh-CN"/>
              </w:rPr>
              <w:t>GZBL</w:t>
            </w:r>
            <w:r>
              <w:rPr>
                <w:rFonts w:hint="eastAsia" w:ascii="宋体" w:hAnsi="宋体"/>
                <w:sz w:val="24"/>
              </w:rPr>
              <w:t>-CG21-A(2021-</w:t>
            </w:r>
            <w:r>
              <w:rPr>
                <w:rFonts w:hint="eastAsia" w:ascii="宋体" w:hAnsi="宋体"/>
                <w:sz w:val="24"/>
                <w:lang w:val="en-US" w:eastAsia="zh-CN"/>
              </w:rPr>
              <w:t>115</w:t>
            </w:r>
            <w:r>
              <w:rPr>
                <w:rFonts w:hint="eastAsia" w:ascii="宋体" w:hAnsi="宋体"/>
                <w:sz w:val="24"/>
              </w:rPr>
              <w:t>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150.00万元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响应文件递交地址：铜仁市公共资源交易中心思南分中心开标室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lang w:val="en-US" w:eastAsia="zh-CN"/>
              </w:rPr>
              <w:t>接收人：</w:t>
            </w:r>
            <w:r>
              <w:rPr>
                <w:rFonts w:hint="eastAsia" w:ascii="宋体" w:hAnsi="宋体" w:eastAsiaTheme="minorEastAsia" w:cstheme="minorBidi"/>
                <w:kern w:val="2"/>
                <w:sz w:val="24"/>
                <w:szCs w:val="22"/>
                <w:lang w:val="en-US" w:eastAsia="zh-CN" w:bidi="ar-SA"/>
              </w:rPr>
              <w:t>贵州百利招标有限公司</w:t>
            </w:r>
            <w:r>
              <w:rPr>
                <w:rFonts w:hint="eastAsia" w:ascii="宋体" w:hAnsi="宋体" w:cstheme="minorBidi"/>
                <w:kern w:val="2"/>
                <w:sz w:val="24"/>
                <w:szCs w:val="22"/>
                <w:lang w:val="en-US" w:eastAsia="zh-CN" w:bidi="ar-SA"/>
              </w:rPr>
              <w:t>工作人员</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w:t>
            </w:r>
            <w:r>
              <w:rPr>
                <w:rFonts w:hint="eastAsia" w:ascii="宋体" w:hAnsi="宋体" w:eastAsia="宋体" w:cs="Times New Roman"/>
                <w:kern w:val="2"/>
                <w:sz w:val="24"/>
                <w:szCs w:val="22"/>
                <w:lang w:val="en-US" w:eastAsia="zh-CN" w:bidi="ar-SA"/>
              </w:rPr>
              <w:t>2021年</w:t>
            </w:r>
            <w:r>
              <w:rPr>
                <w:rFonts w:hint="eastAsia" w:ascii="宋体" w:hAnsi="宋体" w:cs="Times New Roman"/>
                <w:kern w:val="2"/>
                <w:sz w:val="24"/>
                <w:szCs w:val="22"/>
                <w:lang w:val="en-US" w:eastAsia="zh-CN" w:bidi="ar-SA"/>
              </w:rPr>
              <w:t>09</w:t>
            </w:r>
            <w:r>
              <w:rPr>
                <w:rFonts w:hint="eastAsia" w:ascii="宋体" w:hAnsi="宋体" w:eastAsia="宋体" w:cs="Times New Roman"/>
                <w:kern w:val="2"/>
                <w:sz w:val="24"/>
                <w:szCs w:val="22"/>
                <w:lang w:val="en-US" w:eastAsia="zh-CN" w:bidi="ar-SA"/>
              </w:rPr>
              <w:t>月</w:t>
            </w:r>
            <w:r>
              <w:rPr>
                <w:rFonts w:hint="eastAsia" w:cs="Times New Roman"/>
                <w:kern w:val="2"/>
                <w:sz w:val="24"/>
                <w:szCs w:val="22"/>
                <w:lang w:val="en-US" w:eastAsia="zh-CN" w:bidi="ar-SA"/>
              </w:rPr>
              <w:t>27</w:t>
            </w:r>
            <w:r>
              <w:rPr>
                <w:rFonts w:hint="eastAsia" w:ascii="宋体" w:hAnsi="宋体" w:eastAsia="宋体" w:cs="Times New Roman"/>
                <w:kern w:val="2"/>
                <w:sz w:val="24"/>
                <w:szCs w:val="22"/>
                <w:lang w:val="en-US" w:eastAsia="zh-CN" w:bidi="ar-SA"/>
              </w:rPr>
              <w:t>日</w:t>
            </w:r>
            <w:r>
              <w:rPr>
                <w:rFonts w:hint="eastAsia" w:ascii="宋体" w:hAnsi="宋体" w:cs="Times New Roman"/>
                <w:kern w:val="2"/>
                <w:sz w:val="24"/>
                <w:szCs w:val="22"/>
                <w:lang w:val="en-US" w:eastAsia="zh-CN" w:bidi="ar-SA"/>
              </w:rPr>
              <w:t>14</w:t>
            </w:r>
            <w:r>
              <w:rPr>
                <w:rFonts w:hint="eastAsia" w:ascii="宋体" w:hAnsi="宋体" w:eastAsia="宋体" w:cs="Times New Roman"/>
                <w:kern w:val="2"/>
                <w:sz w:val="24"/>
                <w:szCs w:val="22"/>
                <w:lang w:val="en-US" w:eastAsia="zh-CN" w:bidi="ar-SA"/>
              </w:rPr>
              <w:t>点</w:t>
            </w:r>
            <w:r>
              <w:rPr>
                <w:rFonts w:hint="eastAsia" w:ascii="宋体" w:hAnsi="宋体" w:cs="Times New Roman"/>
                <w:kern w:val="2"/>
                <w:sz w:val="24"/>
                <w:szCs w:val="22"/>
                <w:lang w:val="en-US" w:eastAsia="zh-CN" w:bidi="ar-SA"/>
              </w:rPr>
              <w:t>30</w:t>
            </w:r>
            <w:r>
              <w:rPr>
                <w:rFonts w:hint="eastAsia" w:ascii="宋体" w:hAnsi="宋体" w:eastAsia="宋体" w:cs="Times New Roman"/>
                <w:kern w:val="2"/>
                <w:sz w:val="24"/>
                <w:szCs w:val="22"/>
                <w:lang w:val="en-US" w:eastAsia="zh-CN" w:bidi="ar-SA"/>
              </w:rPr>
              <w:t>分</w:t>
            </w:r>
            <w:r>
              <w:rPr>
                <w:rFonts w:hint="eastAsia" w:ascii="宋体" w:hAnsi="宋体"/>
                <w:sz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5000</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谈判代理服务费标准及收取方式：</w:t>
            </w:r>
          </w:p>
          <w:p>
            <w:pPr>
              <w:keepNext w:val="0"/>
              <w:keepLines w:val="0"/>
              <w:suppressLineNumbers w:val="0"/>
              <w:spacing w:before="0" w:beforeAutospacing="0" w:after="0" w:afterAutospacing="0" w:line="240" w:lineRule="auto"/>
              <w:ind w:left="1" w:right="0" w:firstLine="480" w:firstLineChars="200"/>
              <w:rPr>
                <w:rFonts w:hint="default" w:ascii="宋体" w:hAnsi="宋体" w:eastAsiaTheme="minorEastAsia"/>
                <w:sz w:val="24"/>
                <w:lang w:val="en-US" w:eastAsia="zh-CN"/>
              </w:rPr>
            </w:pPr>
            <w:r>
              <w:rPr>
                <w:rFonts w:hint="eastAsia" w:ascii="宋体" w:hAnsi="宋体"/>
                <w:sz w:val="24"/>
                <w:lang w:val="en-US" w:eastAsia="zh-CN"/>
              </w:rPr>
              <w:t>招标代理服务费：</w:t>
            </w:r>
            <w:r>
              <w:rPr>
                <w:rFonts w:hint="eastAsia" w:ascii="宋体" w:hAnsi="宋体"/>
                <w:sz w:val="24"/>
              </w:rPr>
              <w:t>国家 [2002]1980号文件规定的收费标准向中标供应商收取中标服务费，以中标价为基数。</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1205" w:firstLineChars="500"/>
        <w:jc w:val="both"/>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81"/>
        <w:gridCol w:w="1235"/>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6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both"/>
              <w:textAlignment w:val="auto"/>
              <w:rPr>
                <w:rFonts w:hint="eastAsia" w:ascii="宋体" w:hAnsi="宋体"/>
                <w:sz w:val="24"/>
              </w:rPr>
            </w:pPr>
            <w:r>
              <w:rPr>
                <w:rFonts w:hint="eastAsia" w:ascii="宋体" w:hAnsi="宋体"/>
                <w:sz w:val="24"/>
              </w:rPr>
              <w:t>3</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6080" w:type="dxa"/>
            <w:tcBorders>
              <w:top w:val="single" w:color="auto" w:sz="4" w:space="0"/>
              <w:left w:val="single" w:color="auto" w:sz="4" w:space="0"/>
              <w:bottom w:val="single" w:color="auto" w:sz="4" w:space="0"/>
              <w:right w:val="single" w:color="auto" w:sz="4" w:space="0"/>
            </w:tcBorders>
            <w:vAlign w:val="top"/>
          </w:tcPr>
          <w:p>
            <w:pPr>
              <w:pStyle w:val="22"/>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应当具备《中华人民共和国政府采购法》第二十二条第一款规定的条件，提供下列材料：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（一）符合政府采购法第二十二条规定，提供政府采购法实施条例第十七条规定资料。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1.具有独立承担民事责任的能力：提供法人或其他组织的营业执照等证明文件，或自然人身份证明；</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具体要求：供应商是法人的，提供2019年度或2020年度经审计的财务报告，附会计师事务所的营业执照及执业证书。或提供基本开户银行出具的资信证明。部分其他组织和自然人，没有经审计的财务报告，可以提供银行出具的资信证明（复印件加盖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具体要求：提供具备履行合同所必需的设备和专业技术能力的证明材料；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4.具有依法缴纳税收和社会保障资金的良好记录：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具体要求：提供2021年连续三个月依法缴纳税收和社会保障资金的有效证明材料，复印件或扫描件加盖公章；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5.参加本次政府采购活动前三年内，在经营活动中没有违法违规记录：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提供参加政府采购活动前3年内在经营活动中没有重大违法记录的书面声明（格式文件详见投标文件范本）；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（二）本项目所需特殊行业资质或要求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rPr>
            </w:pPr>
            <w:r>
              <w:rPr>
                <w:rFonts w:hint="eastAsia" w:ascii="宋体" w:hAnsi="宋体" w:cs="宋体"/>
                <w:sz w:val="24"/>
                <w:szCs w:val="24"/>
                <w:lang w:val="en-US" w:eastAsia="zh-CN"/>
              </w:rPr>
              <w:t>特殊资格要求：1.本次招标要求投标人须具备市政公用工程施工总承包叁级及以上资质，并在人员、设备、资金等方面具有相应的施工能力，且还应具备有效的安全生产许可证；2.本次招标要求投标人拟派项目负责人（项目经理）须具备建筑工程专业贰级及以上注册建造师及安全员B证，具备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12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6080" w:type="dxa"/>
            <w:tcBorders>
              <w:top w:val="single" w:color="auto" w:sz="4" w:space="0"/>
              <w:left w:val="single" w:color="auto" w:sz="4" w:space="0"/>
              <w:bottom w:val="single" w:color="auto" w:sz="4" w:space="0"/>
              <w:right w:val="single" w:color="auto" w:sz="4" w:space="0"/>
            </w:tcBorders>
            <w:vAlign w:val="top"/>
          </w:tcPr>
          <w:p>
            <w:pPr>
              <w:pStyle w:val="13"/>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6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rPr>
              <w:t>日历</w:t>
            </w:r>
            <w:r>
              <w:rPr>
                <w:rFonts w:hint="eastAsia" w:ascii="宋体" w:hAnsi="宋体"/>
                <w:sz w:val="24"/>
                <w:lang w:val="en-US" w:eastAsia="zh-CN"/>
              </w:rPr>
              <w:t>天</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12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12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60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hint="eastAsia" w:ascii="宋体" w:hAnsi="宋体" w:eastAsia="宋体"/>
          <w:sz w:val="24"/>
          <w:szCs w:val="24"/>
        </w:rPr>
      </w:pP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（90%至94%）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（0.94至0.90）</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SimSun-Identity-H"/>
                <w:kern w:val="0"/>
                <w:sz w:val="24"/>
                <w:lang w:val="en-US" w:eastAsia="zh-CN"/>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r>
              <w:rPr>
                <w:rFonts w:hint="eastAsia" w:ascii="宋体" w:hAnsi="宋体" w:cs="SimSun-Identity-H"/>
                <w:kern w:val="0"/>
                <w:sz w:val="24"/>
                <w:lang w:val="en-US" w:eastAsia="zh-CN"/>
              </w:rPr>
              <w:t xml:space="preserve">     </w:t>
            </w:r>
          </w:p>
          <w:p>
            <w:pPr>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SimSun-Identity-H"/>
                <w:kern w:val="0"/>
                <w:sz w:val="24"/>
              </w:rPr>
            </w:pPr>
            <w:r>
              <w:rPr>
                <w:rFonts w:hint="eastAsia" w:ascii="宋体" w:hAnsi="宋体" w:cs="SimSun-Identity-H"/>
                <w:kern w:val="0"/>
                <w:sz w:val="24"/>
              </w:rPr>
              <w:t>未足额缴纳投标保证金的风险</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textAlignment w:val="auto"/>
              <w:rPr>
                <w:rFonts w:hint="default" w:ascii="宋体" w:hAnsi="宋体"/>
                <w:sz w:val="24"/>
              </w:rPr>
            </w:pPr>
            <w:r>
              <w:rPr>
                <w:rFonts w:hint="eastAsia" w:ascii="宋体" w:hAnsi="宋体" w:cs="SimSun-Identity-H"/>
                <w:kern w:val="0"/>
                <w:sz w:val="24"/>
              </w:rPr>
              <w:t xml:space="preserve"> 供应商因中小企业认定失败造成投标保证金缴交不足的，应自行承担报价资格被取消的风险。</w:t>
            </w:r>
          </w:p>
        </w:tc>
      </w:tr>
    </w:tbl>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p>
      <w:pPr>
        <w:keepNext w:val="0"/>
        <w:keepLines w:val="0"/>
        <w:pageBreakBefore w:val="0"/>
        <w:kinsoku/>
        <w:wordWrap/>
        <w:overflowPunct/>
        <w:topLinePunct w:val="0"/>
        <w:autoSpaceDE/>
        <w:autoSpaceDN/>
        <w:bidi w:val="0"/>
        <w:adjustRightInd/>
        <w:snapToGrid/>
        <w:spacing w:line="400" w:lineRule="exact"/>
        <w:ind w:firstLine="723" w:firstLineChars="300"/>
        <w:jc w:val="both"/>
        <w:textAlignment w:val="auto"/>
        <w:outlineLvl w:val="0"/>
        <w:rPr>
          <w:rFonts w:hint="eastAsia" w:ascii="宋体" w:hAnsi="宋体"/>
          <w:b/>
          <w:bCs/>
          <w:sz w:val="24"/>
          <w:u w:val="single"/>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0" w:name="_Toc66198171"/>
      <w:bookmarkStart w:id="1" w:name="_Toc268599008"/>
    </w:p>
    <w:bookmarkEnd w:id="0"/>
    <w:bookmarkEnd w:id="1"/>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int="eastAsia" w:hAnsi="宋体"/>
          <w:b/>
          <w:sz w:val="32"/>
          <w:szCs w:val="32"/>
          <w:lang w:eastAsia="zh-CN"/>
        </w:rPr>
      </w:pPr>
    </w:p>
    <w:p>
      <w:pPr>
        <w:rPr>
          <w:rFonts w:hint="eastAsia" w:hAnsi="宋体"/>
          <w:b/>
          <w:sz w:val="36"/>
          <w:szCs w:val="36"/>
          <w:lang w:eastAsia="zh-CN"/>
        </w:rPr>
      </w:pPr>
      <w:r>
        <w:rPr>
          <w:rFonts w:hint="eastAsia" w:hAnsi="宋体"/>
          <w:b/>
          <w:sz w:val="36"/>
          <w:szCs w:val="36"/>
          <w:lang w:eastAsia="zh-CN"/>
        </w:rPr>
        <w:br w:type="page"/>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工程</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2.1 “采购人”系</w:t>
      </w:r>
      <w:r>
        <w:rPr>
          <w:rFonts w:hint="eastAsia" w:ascii="宋体" w:hAnsi="宋体"/>
          <w:sz w:val="24"/>
          <w:lang w:eastAsia="zh-CN"/>
        </w:rPr>
        <w:t>思南县宽坪苗族土家族乡人民政府</w:t>
      </w:r>
      <w:r>
        <w:rPr>
          <w:rFonts w:hint="eastAsia" w:ascii="宋体" w:hAnsi="宋体"/>
          <w:sz w:val="24"/>
        </w:rPr>
        <w:t>。是采购活动当事人之一，负责项目的整体规划、技术方案可行性设计论证与实施，作为合同采购方(用户)的主体承担质疑回复、履行合同、验收等义务。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2.3 “采购代理机构”系</w:t>
      </w:r>
      <w:r>
        <w:rPr>
          <w:rFonts w:hint="eastAsia" w:ascii="宋体" w:hAnsi="宋体"/>
          <w:sz w:val="24"/>
          <w:lang w:val="en-US" w:eastAsia="zh-CN"/>
        </w:rPr>
        <w:t>贵州百利招标有限公司</w:t>
      </w:r>
      <w:r>
        <w:rPr>
          <w:rFonts w:hint="eastAsia" w:ascii="宋体" w:hAnsi="宋体"/>
          <w:sz w:val="24"/>
        </w:rPr>
        <w:t>。交易中心是整个采购活动的组织者，依法负责编制和发布招标文件，对招标文件拥有最终的解释权。交易中心不以任何身份出任评委会成员。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w:t>
      </w:r>
      <w:r>
        <w:rPr>
          <w:rFonts w:hint="eastAsia" w:hAnsi="宋体"/>
          <w:sz w:val="24"/>
        </w:rPr>
        <w:t>“工程”系指谈判文件规定成交供应商须承担的土建施工、修缮、景观建设、改造，绿化工程等</w:t>
      </w:r>
      <w:r>
        <w:rPr>
          <w:rFonts w:hint="eastAsia" w:hAnsi="宋体"/>
          <w:sz w:val="24"/>
          <w:lang w:eastAsia="zh-CN"/>
        </w:rPr>
        <w:t>。</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谈判响应供应商具备《中华人民共和国政府采购法》第二十二条第一款规定的条件，应提供以下材料：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（5）具备法律、行政法规规定的其他条件的证明材料。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4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val="en-US" w:eastAsia="zh-CN"/>
        </w:rPr>
        <w:t xml:space="preserve"> </w:t>
      </w:r>
      <w:r>
        <w:rPr>
          <w:rFonts w:hAnsi="宋体"/>
          <w:sz w:val="24"/>
        </w:rPr>
        <w:t>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 xml:space="preserve"> </w:t>
      </w:r>
      <w:r>
        <w:rPr>
          <w:rFonts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5"/>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lang w:eastAsia="zh-CN"/>
        </w:rPr>
      </w:pPr>
    </w:p>
    <w:p>
      <w:pPr>
        <w:rPr>
          <w:rFonts w:hint="eastAsia" w:hAnsi="宋体"/>
          <w:b/>
          <w:sz w:val="32"/>
          <w:szCs w:val="32"/>
          <w:lang w:eastAsia="zh-CN"/>
        </w:rPr>
      </w:pPr>
      <w:r>
        <w:rPr>
          <w:rFonts w:hint="eastAsia" w:hAnsi="宋体"/>
          <w:b/>
          <w:sz w:val="32"/>
          <w:szCs w:val="32"/>
          <w:lang w:eastAsia="zh-CN"/>
        </w:rPr>
        <w:br w:type="page"/>
      </w:r>
    </w:p>
    <w:p>
      <w:pPr>
        <w:pStyle w:val="25"/>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175"/>
        <w:jc w:val="center"/>
        <w:textAlignment w:val="auto"/>
        <w:outlineLvl w:val="0"/>
        <w:rPr>
          <w:rFonts w:hint="eastAsia"/>
          <w:b/>
          <w:sz w:val="24"/>
          <w:lang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562" w:firstLineChars="175"/>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sz w:val="24"/>
          <w:lang w:eastAsia="zh-CN"/>
        </w:rPr>
      </w:pPr>
      <w:r>
        <w:rPr>
          <w:rFonts w:hint="eastAsia" w:hAnsi="宋体"/>
          <w:sz w:val="24"/>
          <w:lang w:val="en-US" w:eastAsia="zh-CN"/>
        </w:rPr>
        <w:t xml:space="preserve">  </w:t>
      </w: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szCs w:val="24"/>
          <w:lang w:eastAsia="zh-CN"/>
        </w:rPr>
      </w:pPr>
      <w:r>
        <w:rPr>
          <w:rFonts w:hint="eastAsia" w:hAnsi="宋体"/>
          <w:sz w:val="24"/>
          <w:szCs w:val="24"/>
          <w:lang w:eastAsia="zh-CN"/>
        </w:rPr>
        <w:t>10</w:t>
      </w:r>
      <w:r>
        <w:rPr>
          <w:rFonts w:hAnsi="宋体"/>
          <w:sz w:val="24"/>
          <w:szCs w:val="24"/>
        </w:rPr>
        <w:t>.1</w:t>
      </w:r>
      <w:r>
        <w:rPr>
          <w:rFonts w:hint="eastAsia" w:hAnsi="宋体"/>
          <w:sz w:val="24"/>
          <w:szCs w:val="24"/>
          <w:lang w:eastAsia="zh-CN"/>
        </w:rPr>
        <w:t>谈判响应文件应包括下列部分：</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cs="宋体"/>
          <w:sz w:val="24"/>
          <w:szCs w:val="24"/>
          <w:lang w:eastAsia="zh-CN"/>
        </w:rPr>
        <w:t>谈判</w:t>
      </w:r>
      <w:r>
        <w:rPr>
          <w:rFonts w:hint="eastAsia" w:ascii="宋体" w:hAnsi="宋体" w:eastAsia="宋体" w:cs="宋体"/>
          <w:sz w:val="24"/>
          <w:szCs w:val="24"/>
          <w:lang w:eastAsia="zh-CN"/>
        </w:rPr>
        <w:t>响应声明函</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报价一览表</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sz w:val="24"/>
          <w:szCs w:val="24"/>
          <w:lang w:val="en-US"/>
        </w:rPr>
      </w:pPr>
      <w:r>
        <w:rPr>
          <w:rFonts w:hint="eastAsia" w:ascii="宋体" w:hAnsi="宋体" w:eastAsia="宋体" w:cs="宋体"/>
          <w:sz w:val="24"/>
          <w:szCs w:val="24"/>
          <w:lang w:eastAsia="zh-CN"/>
        </w:rPr>
        <w:t>工程量清单报价表</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技术规格偏离表</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商务条款偏离表</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资格的声明函</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法定代表人授权书</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资质声明函</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售后服务承诺及方案</w:t>
      </w:r>
    </w:p>
    <w:p>
      <w:pPr>
        <w:pStyle w:val="27"/>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中小企业声明函</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·登录公共资源电子交易系统（www.trizy.cn）</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val="en-US" w:eastAsia="zh-CN"/>
        </w:rPr>
      </w:pP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封袋口密封处必须加盖骑缝章并注明 “开标时启封”的字样。</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w:t>
      </w:r>
      <w:r>
        <w:rPr>
          <w:rFonts w:hint="eastAsia" w:hAnsi="宋体"/>
          <w:sz w:val="24"/>
          <w:lang w:eastAsia="zh-CN"/>
        </w:rPr>
        <w:t>工程</w:t>
      </w:r>
      <w:r>
        <w:rPr>
          <w:rFonts w:hAnsi="宋体"/>
          <w:sz w:val="24"/>
        </w:rPr>
        <w:t>符合谈判文件要求的技术响应文件，该文件可以是文字资料、图纸和数据，并须提供</w:t>
      </w:r>
      <w:r>
        <w:rPr>
          <w:rFonts w:hint="eastAsia" w:hAnsi="宋体"/>
          <w:sz w:val="24"/>
          <w:lang w:eastAsia="zh-CN"/>
        </w:rPr>
        <w:t>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装订</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5"/>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投标文件（正、副本）内容均须按页码顺序装订成册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p>
    <w:p>
      <w:pPr>
        <w:rPr>
          <w:rFonts w:hint="eastAsia" w:hAnsi="宋体"/>
          <w:b/>
          <w:sz w:val="32"/>
          <w:szCs w:val="32"/>
          <w:lang w:eastAsia="zh-CN"/>
        </w:rPr>
      </w:pPr>
      <w:r>
        <w:rPr>
          <w:rFonts w:hint="eastAsia" w:hAnsi="宋体"/>
          <w:b/>
          <w:sz w:val="32"/>
          <w:szCs w:val="32"/>
          <w:lang w:eastAsia="zh-CN"/>
        </w:rPr>
        <w:br w:type="page"/>
      </w:r>
    </w:p>
    <w:p>
      <w:pPr>
        <w:pStyle w:val="25"/>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评标时，需审查以下资质文件原件</w:t>
      </w:r>
      <w:r>
        <w:rPr>
          <w:rFonts w:hint="eastAsia" w:hAnsi="宋体"/>
          <w:sz w:val="24"/>
          <w:lang w:val="en-US" w:eastAsia="zh-CN"/>
        </w:rPr>
        <w:t>或复印件</w:t>
      </w:r>
      <w:r>
        <w:rPr>
          <w:rFonts w:hint="eastAsia" w:hAnsi="宋体"/>
          <w:sz w:val="24"/>
        </w:rPr>
        <w:t>：</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1.有效的营业执照（三证合一）复印件；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2.法定代表人出席开标会的出示法定代表人身份证明及身份证原件；委托代理人出席开标会的出示授权委托书和身份证原件；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3.参加政府采购活动近3年内在经营活动中没有重大违法记录的书面声明。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4.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lang w:val="en-US" w:eastAsia="zh-CN"/>
        </w:rPr>
      </w:pPr>
      <w:r>
        <w:rPr>
          <w:rFonts w:hint="eastAsia" w:ascii="宋体" w:hAnsi="宋体"/>
          <w:sz w:val="24"/>
          <w:lang w:val="en-US" w:eastAsia="zh-CN"/>
        </w:rPr>
        <w:t>5.投标保证金凭证；</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4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4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p>
    <w:p>
      <w:pPr>
        <w:keepNext w:val="0"/>
        <w:keepLines w:val="0"/>
        <w:pageBreakBefore w:val="0"/>
        <w:widowControl w:val="0"/>
        <w:numPr>
          <w:ilvl w:val="0"/>
          <w:numId w:val="4"/>
        </w:numPr>
        <w:kinsoku/>
        <w:wordWrap/>
        <w:overflowPunct/>
        <w:topLinePunct w:val="0"/>
        <w:autoSpaceDE/>
        <w:autoSpaceDN/>
        <w:bidi w:val="0"/>
        <w:adjustRightInd/>
        <w:spacing w:line="440" w:lineRule="exact"/>
        <w:ind w:right="0" w:rightChars="0"/>
        <w:jc w:val="center"/>
        <w:textAlignment w:val="auto"/>
        <w:outlineLvl w:val="0"/>
        <w:rPr>
          <w:rFonts w:hint="eastAsia" w:hAnsi="宋体"/>
          <w:b/>
          <w:sz w:val="32"/>
          <w:szCs w:val="32"/>
        </w:rPr>
      </w:pPr>
      <w:r>
        <w:rPr>
          <w:rFonts w:hint="eastAsia" w:hAnsi="宋体"/>
          <w:b/>
          <w:sz w:val="32"/>
          <w:szCs w:val="32"/>
          <w:lang w:eastAsia="zh-CN"/>
        </w:rPr>
        <w:t>成交与签订</w:t>
      </w:r>
      <w:r>
        <w:rPr>
          <w:rFonts w:hint="eastAsia" w:hAnsi="宋体"/>
          <w:b/>
          <w:sz w:val="32"/>
          <w:szCs w:val="32"/>
        </w:rPr>
        <w:t>合同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outlineLvl w:val="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谈判程序及成交标准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b/>
          <w:sz w:val="24"/>
        </w:rPr>
      </w:pPr>
      <w:r>
        <w:rPr>
          <w:rFonts w:hint="eastAsia" w:ascii="宋体" w:hAnsi="宋体" w:cs="宋体"/>
          <w:sz w:val="24"/>
          <w:lang w:val="en-US" w:eastAsia="zh-CN"/>
        </w:rPr>
        <w:t>20.1</w:t>
      </w:r>
      <w:r>
        <w:rPr>
          <w:rFonts w:hint="eastAsia" w:ascii="宋体" w:hAnsi="宋体" w:cs="宋体"/>
          <w:sz w:val="24"/>
        </w:rPr>
        <w:t>本次采购采用竞争性谈判方式进行，谈判小组由采购人代表和有关专家共三人以上单数组成，谈判小组可以视情况，要求投标人在规定时间内，进行</w:t>
      </w:r>
      <w:r>
        <w:rPr>
          <w:rFonts w:hint="eastAsia" w:ascii="宋体" w:hAnsi="宋体" w:cs="宋体"/>
          <w:sz w:val="24"/>
          <w:lang w:eastAsia="zh-CN"/>
        </w:rPr>
        <w:t>二</w:t>
      </w:r>
      <w:r>
        <w:rPr>
          <w:rFonts w:hint="eastAsia" w:ascii="宋体" w:hAnsi="宋体" w:cs="宋体"/>
          <w:sz w:val="24"/>
        </w:rPr>
        <w:t>次报价（含投标报价），以投标人最后的一轮有效报价为准，超出规定时间没有进行最后报价的投标人，视为放弃最后报价，以其前一次报价为准。</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spacing w:line="360" w:lineRule="auto"/>
        <w:jc w:val="center"/>
        <w:outlineLvl w:val="0"/>
        <w:rPr>
          <w:rFonts w:hint="eastAsia" w:ascii="宋体" w:hAnsi="宋体"/>
          <w:b/>
          <w:bCs/>
          <w:sz w:val="30"/>
          <w:szCs w:val="30"/>
        </w:rPr>
      </w:pPr>
      <w:r>
        <w:rPr>
          <w:rFonts w:hint="eastAsia" w:ascii="宋体"/>
          <w:sz w:val="24"/>
          <w:szCs w:val="24"/>
          <w:lang w:val="en-US" w:eastAsia="zh-CN"/>
        </w:rPr>
        <w:t>招标代理服务费：国家 [2002]1980号文件规定的收费标准向中标供应商收取中标服务费，以中标价为基数。</w:t>
      </w:r>
    </w:p>
    <w:p>
      <w:pPr>
        <w:spacing w:line="360" w:lineRule="auto"/>
        <w:outlineLvl w:val="0"/>
        <w:rPr>
          <w:rFonts w:hint="eastAsia" w:ascii="宋体" w:hAnsi="宋体"/>
          <w:b/>
          <w:bCs/>
          <w:sz w:val="30"/>
          <w:szCs w:val="30"/>
        </w:rPr>
      </w:pPr>
    </w:p>
    <w:p>
      <w:pPr>
        <w:spacing w:line="360" w:lineRule="auto"/>
        <w:jc w:val="center"/>
        <w:outlineLvl w:val="0"/>
        <w:rPr>
          <w:rFonts w:hint="eastAsia" w:ascii="宋体" w:hAnsi="宋体"/>
          <w:b/>
          <w:bCs/>
          <w:sz w:val="36"/>
          <w:szCs w:val="36"/>
        </w:rPr>
      </w:pPr>
      <w:r>
        <w:rPr>
          <w:rFonts w:hint="eastAsia" w:ascii="宋体" w:hAnsi="宋体"/>
          <w:b/>
          <w:bCs/>
          <w:sz w:val="36"/>
          <w:szCs w:val="36"/>
        </w:rPr>
        <w:br w:type="column"/>
      </w: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w:t>
      </w:r>
      <w:r>
        <w:rPr>
          <w:rFonts w:hint="eastAsia" w:ascii="宋体" w:hAnsi="宋体"/>
          <w:b/>
          <w:bCs/>
          <w:sz w:val="36"/>
          <w:szCs w:val="36"/>
          <w:lang w:eastAsia="zh-CN"/>
        </w:rPr>
        <w:t>工程量清单</w:t>
      </w:r>
      <w:r>
        <w:rPr>
          <w:rFonts w:hint="eastAsia" w:ascii="宋体" w:hAnsi="宋体"/>
          <w:b/>
          <w:bCs/>
          <w:sz w:val="36"/>
          <w:szCs w:val="36"/>
        </w:rPr>
        <w:t>及要求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1.厂房建设（含室内水电安装）：</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（1）生产车间800㎡；</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（2）生产管理用房15m²；</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（3）生产管理用房水电16.64m²；</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（4）化粪池工程2m3；</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2.室外电力工程（包含室外315KVA变压器及从变压器牵到厂房的主要电缆）</w:t>
      </w:r>
    </w:p>
    <w:p>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3.机器设备（含铝芯120电线线路等配套材料、安装费用）（详见概算表）</w:t>
      </w:r>
    </w:p>
    <w:tbl>
      <w:tblPr>
        <w:tblStyle w:val="14"/>
        <w:tblW w:w="8760" w:type="dxa"/>
        <w:tblInd w:w="93" w:type="dxa"/>
        <w:tblLayout w:type="autofit"/>
        <w:tblCellMar>
          <w:top w:w="0" w:type="dxa"/>
          <w:left w:w="108" w:type="dxa"/>
          <w:bottom w:w="0" w:type="dxa"/>
          <w:right w:w="108" w:type="dxa"/>
        </w:tblCellMar>
      </w:tblPr>
      <w:tblGrid>
        <w:gridCol w:w="463"/>
        <w:gridCol w:w="863"/>
        <w:gridCol w:w="1490"/>
        <w:gridCol w:w="1589"/>
        <w:gridCol w:w="850"/>
        <w:gridCol w:w="850"/>
        <w:gridCol w:w="1001"/>
        <w:gridCol w:w="1038"/>
        <w:gridCol w:w="616"/>
      </w:tblGrid>
      <w:tr>
        <w:tblPrEx>
          <w:tblCellMar>
            <w:top w:w="0" w:type="dxa"/>
            <w:left w:w="108" w:type="dxa"/>
            <w:bottom w:w="0" w:type="dxa"/>
            <w:right w:w="108" w:type="dxa"/>
          </w:tblCellMar>
        </w:tblPrEx>
        <w:trPr>
          <w:trHeight w:val="660" w:hRule="atLeast"/>
        </w:trPr>
        <w:tc>
          <w:tcPr>
            <w:tcW w:w="8760"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color w:val="auto"/>
                <w:kern w:val="0"/>
                <w:szCs w:val="21"/>
                <w:lang w:val="en-US" w:eastAsia="zh-CN" w:bidi="ar"/>
              </w:rPr>
              <w:t>宽坪乡保卫村2021年茶叶烘干设备建设项目投资概算表</w:t>
            </w:r>
          </w:p>
        </w:tc>
      </w:tr>
      <w:tr>
        <w:tblPrEx>
          <w:tblCellMar>
            <w:top w:w="0" w:type="dxa"/>
            <w:left w:w="108" w:type="dxa"/>
            <w:bottom w:w="0" w:type="dxa"/>
            <w:right w:w="108" w:type="dxa"/>
          </w:tblCellMar>
        </w:tblPrEx>
        <w:trPr>
          <w:trHeight w:val="660"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项目属性</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金额（万元）</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CellMar>
            <w:top w:w="0" w:type="dxa"/>
            <w:left w:w="108" w:type="dxa"/>
            <w:bottom w:w="0" w:type="dxa"/>
            <w:right w:w="108" w:type="dxa"/>
          </w:tblCellMar>
        </w:tblPrEx>
        <w:trPr>
          <w:trHeight w:val="385"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机器设备</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茶叶滚筒杀青机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80型(电能带动)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r>
              <w:rPr>
                <w:rFonts w:hint="eastAsia" w:ascii="仿宋" w:hAnsi="仿宋" w:eastAsia="仿宋" w:cs="仿宋"/>
                <w:color w:val="auto"/>
                <w:sz w:val="20"/>
                <w:szCs w:val="20"/>
                <w:lang w:val="en-US" w:eastAsia="zh-CN"/>
              </w:rPr>
              <w:t>含铝芯120电线线路等配套材料、安装费用</w:t>
            </w: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理条机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16槽（多功能）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揉捻机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55型（变频）</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五斗烘焙机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5-20型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茶叶萎凋槽</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3-98型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茶叶烘焙机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6-91型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茶叶提香机</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16层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冷库</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立方米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电光分析天平</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1544125c</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重金属检测仪</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5574fhy</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385"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4"/>
                <w:szCs w:val="24"/>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全智能农残检测仪</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5-1625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u w:val="none"/>
              </w:rPr>
            </w:pPr>
          </w:p>
        </w:tc>
        <w:tc>
          <w:tcPr>
            <w:tcW w:w="6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i w:val="0"/>
                <w:iCs w:val="0"/>
                <w:color w:val="auto"/>
                <w:sz w:val="20"/>
                <w:szCs w:val="20"/>
                <w:u w:val="none"/>
              </w:rPr>
            </w:pPr>
          </w:p>
        </w:tc>
      </w:tr>
      <w:tr>
        <w:tblPrEx>
          <w:tblCellMar>
            <w:top w:w="0" w:type="dxa"/>
            <w:left w:w="108" w:type="dxa"/>
            <w:bottom w:w="0" w:type="dxa"/>
            <w:right w:w="108" w:type="dxa"/>
          </w:tblCellMar>
        </w:tblPrEx>
        <w:trPr>
          <w:trHeight w:val="6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default"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eastAsia" w:ascii="宋体" w:hAnsi="宋体" w:eastAsia="宋体" w:cs="宋体"/>
                <w:i w:val="0"/>
                <w:iCs w:val="0"/>
                <w:color w:val="auto"/>
                <w:sz w:val="24"/>
                <w:szCs w:val="24"/>
                <w:u w:val="none"/>
              </w:rPr>
            </w:pPr>
          </w:p>
        </w:tc>
      </w:tr>
    </w:tbl>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bidi="ar"/>
        </w:rPr>
      </w:pPr>
    </w:p>
    <w:p>
      <w:pPr>
        <w:pageBreakBefore w:val="0"/>
        <w:widowControl/>
        <w:kinsoku/>
        <w:wordWrap/>
        <w:overflowPunct/>
        <w:topLinePunct w:val="0"/>
        <w:autoSpaceDE/>
        <w:autoSpaceDN/>
        <w:bidi w:val="0"/>
        <w:spacing w:line="300" w:lineRule="exact"/>
        <w:jc w:val="center"/>
        <w:textAlignment w:val="center"/>
        <w:rPr>
          <w:rFonts w:hint="eastAsia" w:ascii="宋体" w:hAnsi="宋体" w:eastAsia="宋体" w:cs="宋体"/>
          <w:b/>
          <w:color w:val="auto"/>
          <w:kern w:val="0"/>
          <w:szCs w:val="21"/>
          <w:lang w:eastAsia="zh-CN" w:bidi="ar"/>
        </w:rPr>
      </w:pPr>
      <w:r>
        <w:rPr>
          <w:rFonts w:hint="eastAsia" w:ascii="宋体" w:hAnsi="宋体" w:eastAsia="宋体" w:cs="宋体"/>
          <w:b/>
          <w:color w:val="auto"/>
          <w:kern w:val="0"/>
          <w:szCs w:val="21"/>
          <w:lang w:bidi="ar"/>
        </w:rPr>
        <w:t>新建标准厂房</w:t>
      </w:r>
      <w:r>
        <w:rPr>
          <w:rFonts w:hint="eastAsia" w:ascii="宋体" w:hAnsi="宋体" w:eastAsia="宋体" w:cs="宋体"/>
          <w:b/>
          <w:color w:val="auto"/>
          <w:kern w:val="0"/>
          <w:szCs w:val="21"/>
          <w:lang w:eastAsia="zh-CN" w:bidi="ar"/>
        </w:rPr>
        <w:t>技术方案</w:t>
      </w:r>
    </w:p>
    <w:tbl>
      <w:tblPr>
        <w:tblStyle w:val="14"/>
        <w:tblpPr w:leftFromText="180" w:rightFromText="180" w:vertAnchor="text" w:horzAnchor="page" w:tblpX="1837" w:tblpY="34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1"/>
        <w:gridCol w:w="3872"/>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b/>
                <w:color w:val="auto"/>
                <w:szCs w:val="21"/>
              </w:rPr>
            </w:pPr>
            <w:r>
              <w:rPr>
                <w:rFonts w:hint="eastAsia" w:ascii="宋体" w:hAnsi="宋体" w:cs="宋体"/>
                <w:b/>
                <w:color w:val="auto"/>
                <w:kern w:val="0"/>
                <w:szCs w:val="21"/>
                <w:lang w:bidi="ar"/>
              </w:rPr>
              <w:t>项目</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b/>
                <w:color w:val="auto"/>
                <w:szCs w:val="21"/>
              </w:rPr>
            </w:pPr>
            <w:r>
              <w:rPr>
                <w:rFonts w:hint="eastAsia" w:ascii="宋体" w:hAnsi="宋体" w:cs="宋体"/>
                <w:b/>
                <w:color w:val="auto"/>
                <w:kern w:val="0"/>
                <w:szCs w:val="21"/>
                <w:lang w:bidi="ar"/>
              </w:rPr>
              <w:t>主要指标</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b/>
                <w:color w:val="auto"/>
                <w:szCs w:val="21"/>
              </w:rPr>
            </w:pPr>
            <w:r>
              <w:rPr>
                <w:rFonts w:hint="eastAsia" w:ascii="宋体" w:hAnsi="宋体" w:cs="宋体"/>
                <w:b/>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结构形式</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门式钢架结构</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主要材质</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Q235B 、Q345B</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H型钢、C型钢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kern w:val="0"/>
                <w:szCs w:val="21"/>
                <w:lang w:bidi="ar"/>
              </w:rPr>
            </w:pP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kern w:val="0"/>
                <w:szCs w:val="21"/>
                <w:lang w:bidi="ar"/>
              </w:rPr>
            </w:pP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6"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center"/>
              <w:rPr>
                <w:rFonts w:hint="eastAsia" w:ascii="宋体" w:hAnsi="宋体" w:cs="宋体"/>
                <w:color w:val="auto"/>
                <w:szCs w:val="21"/>
              </w:rPr>
            </w:pPr>
            <w:r>
              <w:rPr>
                <w:rFonts w:hint="eastAsia" w:ascii="宋体" w:hAnsi="宋体" w:cs="宋体"/>
                <w:color w:val="auto"/>
                <w:kern w:val="0"/>
                <w:szCs w:val="21"/>
                <w:lang w:bidi="ar"/>
              </w:rPr>
              <w:t>辅材</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出厂合格证为准</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高强螺栓、普通螺栓、撑杆、隅撑及连接板、彩钢瓦等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基础型式</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柱下独立基础、地面圈梁</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室内地面做法</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钢筋混凝土地面</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檐口高度</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米</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层数</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1层</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跨数</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双连跨</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双坡双跨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跨度</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单跨20米</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屋面形式</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双坡，人字坡</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屋面结构</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单层彩钢瓦+50MM保温层</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女儿墙</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做女儿墙</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墙面结构</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双层压型钢板复合保温隔热墙体，离地面1.</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米砖墙</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普通单墙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门</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普通转闸门</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窗</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铝合金窗户</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给排水</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内天沟、直径110pvc落水管排水</w:t>
            </w:r>
          </w:p>
        </w:tc>
        <w:tc>
          <w:tcPr>
            <w:tcW w:w="329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1631"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建筑尺寸与面积</w:t>
            </w:r>
          </w:p>
        </w:tc>
        <w:tc>
          <w:tcPr>
            <w:tcW w:w="3872"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长</w:t>
            </w:r>
            <w:r>
              <w:rPr>
                <w:rFonts w:hint="eastAsia" w:ascii="宋体" w:hAnsi="宋体" w:cs="宋体"/>
                <w:color w:val="auto"/>
                <w:kern w:val="0"/>
                <w:szCs w:val="21"/>
                <w:lang w:val="en-US" w:eastAsia="zh-CN" w:bidi="ar"/>
              </w:rPr>
              <w:t>40</w:t>
            </w:r>
            <w:r>
              <w:rPr>
                <w:rFonts w:hint="eastAsia" w:ascii="宋体" w:hAnsi="宋体" w:cs="宋体"/>
                <w:color w:val="auto"/>
                <w:kern w:val="0"/>
                <w:szCs w:val="21"/>
                <w:lang w:bidi="ar"/>
              </w:rPr>
              <w:t>米、宽</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0米，面积</w:t>
            </w:r>
            <w:r>
              <w:rPr>
                <w:rFonts w:hint="eastAsia" w:ascii="宋体" w:hAnsi="宋体" w:cs="宋体"/>
                <w:color w:val="auto"/>
                <w:kern w:val="0"/>
                <w:szCs w:val="21"/>
                <w:lang w:val="en-US" w:eastAsia="zh-CN" w:bidi="ar"/>
              </w:rPr>
              <w:t>800</w:t>
            </w:r>
            <w:r>
              <w:rPr>
                <w:rFonts w:hint="eastAsia" w:ascii="宋体" w:hAnsi="宋体" w:cs="宋体"/>
                <w:color w:val="auto"/>
                <w:kern w:val="0"/>
                <w:szCs w:val="21"/>
                <w:lang w:bidi="ar"/>
              </w:rPr>
              <w:t>㎡</w:t>
            </w:r>
          </w:p>
        </w:tc>
        <w:tc>
          <w:tcPr>
            <w:tcW w:w="329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center"/>
              <w:rPr>
                <w:rFonts w:hint="eastAsia" w:ascii="宋体" w:hAnsi="宋体" w:cs="宋体"/>
                <w:color w:val="auto"/>
                <w:szCs w:val="21"/>
              </w:rPr>
            </w:pPr>
            <w:r>
              <w:rPr>
                <w:rFonts w:hint="eastAsia" w:ascii="宋体" w:hAnsi="宋体" w:cs="宋体"/>
                <w:color w:val="auto"/>
                <w:kern w:val="0"/>
                <w:szCs w:val="21"/>
                <w:lang w:bidi="ar"/>
              </w:rPr>
              <w:t>以现场实际测量为准</w:t>
            </w:r>
          </w:p>
        </w:tc>
      </w:tr>
    </w:tbl>
    <w:p>
      <w:pPr>
        <w:pStyle w:val="21"/>
        <w:rPr>
          <w:rFonts w:hint="eastAsia" w:hAnsi="宋体"/>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rPr>
          <w:rFonts w:hint="eastAsia" w:ascii="宋体" w:hAnsi="宋体"/>
          <w:sz w:val="24"/>
        </w:rPr>
      </w:pPr>
    </w:p>
    <w:p>
      <w:pPr>
        <w:rPr>
          <w:rFonts w:ascii="宋体" w:hAnsi="宋体"/>
          <w:b/>
          <w:bCs/>
          <w:sz w:val="36"/>
          <w:szCs w:val="36"/>
        </w:rPr>
      </w:pPr>
      <w:bookmarkStart w:id="2" w:name="_Toc268599010"/>
      <w:r>
        <w:rPr>
          <w:rFonts w:ascii="宋体" w:hAnsi="宋体"/>
          <w:b/>
          <w:bCs/>
          <w:sz w:val="36"/>
          <w:szCs w:val="36"/>
        </w:rPr>
        <w:br w:type="page"/>
      </w: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2"/>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 w:name="_Toc246996997"/>
      <w:bookmarkStart w:id="4" w:name="_Toc296602499"/>
      <w:bookmarkStart w:id="5" w:name="_Toc246996254"/>
      <w:bookmarkStart w:id="6" w:name="_Toc184635098"/>
      <w:bookmarkStart w:id="7" w:name="_Toc247085769"/>
      <w:bookmarkStart w:id="8" w:name="_Toc268599011"/>
      <w:r>
        <w:rPr>
          <w:rFonts w:hint="eastAsia" w:ascii="宋体" w:hAnsi="宋体" w:eastAsia="宋体" w:cs="宋体"/>
          <w:b/>
          <w:sz w:val="24"/>
          <w:szCs w:val="24"/>
        </w:rPr>
        <w:t>1. 一般约定</w:t>
      </w:r>
      <w:bookmarkEnd w:id="3"/>
      <w:bookmarkEnd w:id="4"/>
      <w:bookmarkEnd w:id="5"/>
      <w:bookmarkEnd w:id="6"/>
      <w:bookmarkEnd w:id="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 w:name="_Toc247085770"/>
      <w:bookmarkStart w:id="10" w:name="_Toc246996255"/>
      <w:bookmarkStart w:id="11" w:name="_Toc246996998"/>
      <w:bookmarkStart w:id="12" w:name="_Toc296602500"/>
      <w:r>
        <w:rPr>
          <w:rFonts w:hint="eastAsia" w:ascii="宋体" w:hAnsi="宋体" w:eastAsia="宋体" w:cs="宋体"/>
          <w:b/>
          <w:sz w:val="24"/>
          <w:szCs w:val="24"/>
        </w:rPr>
        <w:t>1.1 词语定义</w:t>
      </w:r>
      <w:bookmarkEnd w:id="9"/>
      <w:bookmarkEnd w:id="10"/>
      <w:bookmarkEnd w:id="11"/>
      <w:bookmarkEnd w:id="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 w:name="_Toc246996999"/>
      <w:bookmarkStart w:id="14" w:name="_Toc296602501"/>
      <w:bookmarkStart w:id="15" w:name="_Toc246996256"/>
      <w:bookmarkStart w:id="16" w:name="_Toc247085771"/>
      <w:r>
        <w:rPr>
          <w:rFonts w:hint="eastAsia" w:ascii="宋体" w:hAnsi="宋体" w:eastAsia="宋体" w:cs="宋体"/>
          <w:b/>
          <w:sz w:val="24"/>
          <w:szCs w:val="24"/>
        </w:rPr>
        <w:t>1.2 语言文字</w:t>
      </w:r>
      <w:bookmarkEnd w:id="13"/>
      <w:bookmarkEnd w:id="14"/>
      <w:bookmarkEnd w:id="15"/>
      <w:bookmarkEnd w:id="1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7" w:name="_Toc247085772"/>
      <w:bookmarkStart w:id="18" w:name="_Toc246996257"/>
      <w:bookmarkStart w:id="19" w:name="_Toc246997000"/>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96602502"/>
      <w:r>
        <w:rPr>
          <w:rFonts w:hint="eastAsia" w:ascii="宋体" w:hAnsi="宋体" w:eastAsia="宋体" w:cs="宋体"/>
          <w:b/>
          <w:sz w:val="24"/>
          <w:szCs w:val="24"/>
        </w:rPr>
        <w:t>1.3 法律</w:t>
      </w:r>
      <w:bookmarkEnd w:id="17"/>
      <w:bookmarkEnd w:id="18"/>
      <w:bookmarkEnd w:id="19"/>
      <w:bookmarkEnd w:id="2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 w:name="_Toc246996258"/>
      <w:bookmarkStart w:id="22" w:name="_Toc247085773"/>
      <w:bookmarkStart w:id="23" w:name="_Toc296602503"/>
      <w:bookmarkStart w:id="24" w:name="_Toc246997001"/>
      <w:r>
        <w:rPr>
          <w:rFonts w:hint="eastAsia" w:ascii="宋体" w:hAnsi="宋体" w:eastAsia="宋体" w:cs="宋体"/>
          <w:b/>
          <w:sz w:val="24"/>
          <w:szCs w:val="24"/>
        </w:rPr>
        <w:t>1.4 合同文件的优先顺序</w:t>
      </w:r>
      <w:bookmarkEnd w:id="21"/>
      <w:bookmarkEnd w:id="22"/>
      <w:bookmarkEnd w:id="23"/>
      <w:bookmarkEnd w:id="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 w:name="_Toc246997002"/>
      <w:bookmarkStart w:id="26" w:name="_Toc296602504"/>
      <w:bookmarkStart w:id="27" w:name="_Toc247085774"/>
      <w:bookmarkStart w:id="28" w:name="_Toc246996259"/>
      <w:r>
        <w:rPr>
          <w:rFonts w:hint="eastAsia" w:ascii="宋体" w:hAnsi="宋体" w:eastAsia="宋体" w:cs="宋体"/>
          <w:b/>
          <w:sz w:val="24"/>
          <w:szCs w:val="24"/>
        </w:rPr>
        <w:t>1.5 合同协议书</w:t>
      </w:r>
      <w:bookmarkEnd w:id="25"/>
      <w:bookmarkEnd w:id="26"/>
      <w:bookmarkEnd w:id="27"/>
      <w:bookmarkEnd w:id="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 w:name="_Toc247085775"/>
      <w:bookmarkStart w:id="30" w:name="_Toc296602505"/>
      <w:bookmarkStart w:id="31" w:name="_Toc246996260"/>
      <w:bookmarkStart w:id="32" w:name="_Toc246997003"/>
      <w:r>
        <w:rPr>
          <w:rFonts w:hint="eastAsia" w:ascii="宋体" w:hAnsi="宋体" w:eastAsia="宋体" w:cs="宋体"/>
          <w:b/>
          <w:sz w:val="24"/>
          <w:szCs w:val="24"/>
        </w:rPr>
        <w:t>1.6 图纸和承包人文件</w:t>
      </w:r>
      <w:bookmarkEnd w:id="29"/>
      <w:bookmarkEnd w:id="30"/>
      <w:bookmarkEnd w:id="31"/>
      <w:bookmarkEnd w:id="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 w:name="_Toc247085776"/>
      <w:bookmarkStart w:id="34" w:name="_Toc246996261"/>
      <w:bookmarkStart w:id="35" w:name="_Toc296602506"/>
      <w:bookmarkStart w:id="36" w:name="_Toc246997004"/>
      <w:r>
        <w:rPr>
          <w:rFonts w:hint="eastAsia" w:ascii="宋体" w:hAnsi="宋体" w:eastAsia="宋体" w:cs="宋体"/>
          <w:b/>
          <w:sz w:val="24"/>
          <w:szCs w:val="24"/>
        </w:rPr>
        <w:t>1.7 联络</w:t>
      </w:r>
      <w:bookmarkEnd w:id="33"/>
      <w:bookmarkEnd w:id="34"/>
      <w:bookmarkEnd w:id="35"/>
      <w:bookmarkEnd w:id="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7" w:name="_Toc184635099"/>
      <w:bookmarkStart w:id="38" w:name="_Toc246997006"/>
      <w:bookmarkStart w:id="39" w:name="_Toc247085778"/>
      <w:bookmarkStart w:id="40" w:name="_Toc246996263"/>
      <w:bookmarkStart w:id="41" w:name="_Toc296602507"/>
      <w:r>
        <w:rPr>
          <w:rFonts w:hint="eastAsia" w:ascii="宋体" w:hAnsi="宋体" w:eastAsia="宋体" w:cs="宋体"/>
          <w:b/>
          <w:sz w:val="24"/>
          <w:szCs w:val="24"/>
        </w:rPr>
        <w:t>2. 发包人义务</w:t>
      </w:r>
      <w:bookmarkEnd w:id="37"/>
      <w:bookmarkEnd w:id="38"/>
      <w:bookmarkEnd w:id="39"/>
      <w:bookmarkEnd w:id="40"/>
      <w:bookmarkEnd w:id="41"/>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2" w:name="_Toc246996264"/>
      <w:bookmarkStart w:id="43" w:name="_Toc246997007"/>
      <w:bookmarkStart w:id="44" w:name="_Toc247085779"/>
      <w:bookmarkStart w:id="45" w:name="_Toc296602508"/>
      <w:r>
        <w:rPr>
          <w:rFonts w:hint="eastAsia" w:ascii="宋体" w:hAnsi="宋体" w:eastAsia="宋体" w:cs="宋体"/>
          <w:b/>
          <w:sz w:val="24"/>
          <w:szCs w:val="24"/>
        </w:rPr>
        <w:t>2.1 遵守法律</w:t>
      </w:r>
      <w:bookmarkEnd w:id="42"/>
      <w:bookmarkEnd w:id="43"/>
      <w:bookmarkEnd w:id="44"/>
      <w:bookmarkEnd w:id="4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6" w:name="_Toc246996265"/>
      <w:bookmarkStart w:id="47" w:name="_Toc246997008"/>
      <w:bookmarkStart w:id="48" w:name="_Toc296602509"/>
      <w:bookmarkStart w:id="49" w:name="_Toc247085780"/>
      <w:r>
        <w:rPr>
          <w:rFonts w:hint="eastAsia" w:ascii="宋体" w:hAnsi="宋体" w:eastAsia="宋体" w:cs="宋体"/>
          <w:b/>
          <w:sz w:val="24"/>
          <w:szCs w:val="24"/>
        </w:rPr>
        <w:t>2.2 发出开工通知</w:t>
      </w:r>
      <w:bookmarkEnd w:id="46"/>
      <w:bookmarkEnd w:id="47"/>
      <w:bookmarkEnd w:id="48"/>
      <w:bookmarkEnd w:id="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0" w:name="_Toc247085781"/>
      <w:bookmarkStart w:id="51" w:name="_Toc246996266"/>
      <w:bookmarkStart w:id="52" w:name="_Toc296602510"/>
      <w:bookmarkStart w:id="53" w:name="_Toc246997009"/>
      <w:r>
        <w:rPr>
          <w:rFonts w:hint="eastAsia" w:ascii="宋体" w:hAnsi="宋体" w:eastAsia="宋体" w:cs="宋体"/>
          <w:b/>
          <w:sz w:val="24"/>
          <w:szCs w:val="24"/>
        </w:rPr>
        <w:t>2.3 提供施工场地</w:t>
      </w:r>
      <w:bookmarkEnd w:id="50"/>
      <w:bookmarkEnd w:id="51"/>
      <w:bookmarkEnd w:id="52"/>
      <w:bookmarkEnd w:id="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4" w:name="_Toc246997010"/>
      <w:bookmarkStart w:id="55" w:name="_Toc247085782"/>
      <w:bookmarkStart w:id="56" w:name="_Toc246996267"/>
      <w:bookmarkStart w:id="57" w:name="_Toc296602511"/>
      <w:r>
        <w:rPr>
          <w:rFonts w:hint="eastAsia" w:ascii="宋体" w:hAnsi="宋体" w:eastAsia="宋体" w:cs="宋体"/>
          <w:b/>
          <w:sz w:val="24"/>
          <w:szCs w:val="24"/>
        </w:rPr>
        <w:t>2.4 协助承包人办理证件和批件</w:t>
      </w:r>
      <w:bookmarkEnd w:id="54"/>
      <w:bookmarkEnd w:id="55"/>
      <w:bookmarkEnd w:id="56"/>
      <w:bookmarkEnd w:id="5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8" w:name="_Toc246997011"/>
      <w:bookmarkStart w:id="59" w:name="_Toc246996268"/>
      <w:bookmarkStart w:id="60" w:name="_Toc296602512"/>
      <w:bookmarkStart w:id="61" w:name="_Toc247085783"/>
      <w:r>
        <w:rPr>
          <w:rFonts w:hint="eastAsia" w:ascii="宋体" w:hAnsi="宋体" w:eastAsia="宋体" w:cs="宋体"/>
          <w:b/>
          <w:sz w:val="24"/>
          <w:szCs w:val="24"/>
        </w:rPr>
        <w:t>2.5 组织设计交底</w:t>
      </w:r>
      <w:bookmarkEnd w:id="58"/>
      <w:bookmarkEnd w:id="59"/>
      <w:bookmarkEnd w:id="60"/>
      <w:bookmarkEnd w:id="6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2" w:name="_Toc246997012"/>
      <w:bookmarkStart w:id="63" w:name="_Toc246996269"/>
      <w:bookmarkStart w:id="64" w:name="_Toc296602513"/>
      <w:bookmarkStart w:id="65" w:name="_Toc247085784"/>
      <w:r>
        <w:rPr>
          <w:rFonts w:hint="eastAsia" w:ascii="宋体" w:hAnsi="宋体" w:eastAsia="宋体" w:cs="宋体"/>
          <w:b/>
          <w:sz w:val="24"/>
          <w:szCs w:val="24"/>
        </w:rPr>
        <w:t>2.6 支付合同价款</w:t>
      </w:r>
      <w:bookmarkEnd w:id="62"/>
      <w:bookmarkEnd w:id="63"/>
      <w:bookmarkEnd w:id="64"/>
      <w:bookmarkEnd w:id="6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6" w:name="_Toc246997013"/>
      <w:bookmarkStart w:id="67" w:name="_Toc296602514"/>
      <w:bookmarkStart w:id="68" w:name="_Toc247085785"/>
      <w:bookmarkStart w:id="69" w:name="_Toc246996270"/>
      <w:r>
        <w:rPr>
          <w:rFonts w:hint="eastAsia" w:ascii="宋体" w:hAnsi="宋体" w:eastAsia="宋体" w:cs="宋体"/>
          <w:b/>
          <w:sz w:val="24"/>
          <w:szCs w:val="24"/>
        </w:rPr>
        <w:t>2.7 组织竣工验收</w:t>
      </w:r>
      <w:bookmarkEnd w:id="66"/>
      <w:bookmarkEnd w:id="67"/>
      <w:bookmarkEnd w:id="68"/>
      <w:bookmarkEnd w:id="6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0" w:name="_Toc246997014"/>
      <w:bookmarkStart w:id="71" w:name="_Toc246996271"/>
      <w:bookmarkStart w:id="72" w:name="_Toc247085786"/>
      <w:bookmarkStart w:id="73" w:name="_Toc296602515"/>
      <w:r>
        <w:rPr>
          <w:rFonts w:hint="eastAsia" w:ascii="宋体" w:hAnsi="宋体" w:eastAsia="宋体" w:cs="宋体"/>
          <w:b/>
          <w:sz w:val="24"/>
          <w:szCs w:val="24"/>
        </w:rPr>
        <w:t>2.8 其他义务</w:t>
      </w:r>
      <w:bookmarkEnd w:id="70"/>
      <w:bookmarkEnd w:id="71"/>
      <w:bookmarkEnd w:id="72"/>
      <w:bookmarkEnd w:id="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4" w:name="_Toc296602516"/>
      <w:bookmarkStart w:id="75" w:name="_Toc247085787"/>
      <w:bookmarkStart w:id="76" w:name="_Toc184635100"/>
      <w:bookmarkStart w:id="77" w:name="_Toc246997015"/>
      <w:bookmarkStart w:id="78" w:name="_Toc246996272"/>
      <w:r>
        <w:rPr>
          <w:rFonts w:hint="eastAsia" w:ascii="宋体" w:hAnsi="宋体" w:eastAsia="宋体" w:cs="宋体"/>
          <w:b/>
          <w:sz w:val="24"/>
          <w:szCs w:val="24"/>
        </w:rPr>
        <w:t>3. 监理人</w:t>
      </w:r>
      <w:bookmarkEnd w:id="74"/>
      <w:bookmarkEnd w:id="75"/>
      <w:bookmarkEnd w:id="76"/>
      <w:bookmarkEnd w:id="77"/>
      <w:bookmarkEnd w:id="7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9" w:name="_Toc296602517"/>
      <w:bookmarkStart w:id="80" w:name="_Toc247085788"/>
      <w:bookmarkStart w:id="81" w:name="_Toc246997016"/>
      <w:bookmarkStart w:id="82" w:name="_Toc246996273"/>
      <w:r>
        <w:rPr>
          <w:rFonts w:hint="eastAsia" w:ascii="宋体" w:hAnsi="宋体" w:eastAsia="宋体" w:cs="宋体"/>
          <w:b/>
          <w:sz w:val="24"/>
          <w:szCs w:val="24"/>
        </w:rPr>
        <w:t>3.1 监理人的职责和权力</w:t>
      </w:r>
      <w:bookmarkEnd w:id="79"/>
      <w:bookmarkEnd w:id="80"/>
      <w:bookmarkEnd w:id="81"/>
      <w:bookmarkEnd w:id="8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3" w:name="_Toc246997017"/>
      <w:bookmarkStart w:id="84" w:name="_Toc247085789"/>
      <w:bookmarkStart w:id="85" w:name="_Toc246996274"/>
      <w:bookmarkStart w:id="86" w:name="_Toc296602518"/>
      <w:r>
        <w:rPr>
          <w:rFonts w:hint="eastAsia" w:ascii="宋体" w:hAnsi="宋体" w:eastAsia="宋体" w:cs="宋体"/>
          <w:b/>
          <w:sz w:val="24"/>
          <w:szCs w:val="24"/>
        </w:rPr>
        <w:t>3.2 总监理工程师</w:t>
      </w:r>
      <w:bookmarkEnd w:id="83"/>
      <w:bookmarkEnd w:id="84"/>
      <w:bookmarkEnd w:id="85"/>
      <w:bookmarkEnd w:id="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7" w:name="_Toc247085790"/>
      <w:bookmarkStart w:id="88" w:name="_Toc246996275"/>
      <w:bookmarkStart w:id="89" w:name="_Toc246997018"/>
      <w:bookmarkStart w:id="90" w:name="_Toc296602519"/>
      <w:r>
        <w:rPr>
          <w:rFonts w:hint="eastAsia" w:ascii="宋体" w:hAnsi="宋体" w:eastAsia="宋体" w:cs="宋体"/>
          <w:b/>
          <w:sz w:val="24"/>
          <w:szCs w:val="24"/>
        </w:rPr>
        <w:t>3.3 监理人员</w:t>
      </w:r>
      <w:bookmarkEnd w:id="87"/>
      <w:bookmarkEnd w:id="88"/>
      <w:bookmarkEnd w:id="89"/>
      <w:bookmarkEnd w:id="9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1" w:name="_Toc247085791"/>
      <w:bookmarkStart w:id="92" w:name="_Toc246996276"/>
      <w:bookmarkStart w:id="93" w:name="_Toc296602520"/>
      <w:bookmarkStart w:id="94" w:name="_Toc246997019"/>
      <w:r>
        <w:rPr>
          <w:rFonts w:hint="eastAsia" w:ascii="宋体" w:hAnsi="宋体" w:eastAsia="宋体" w:cs="宋体"/>
          <w:b/>
          <w:sz w:val="24"/>
          <w:szCs w:val="24"/>
        </w:rPr>
        <w:t>3.4 监理人的指示</w:t>
      </w:r>
      <w:bookmarkEnd w:id="91"/>
      <w:bookmarkEnd w:id="92"/>
      <w:bookmarkEnd w:id="93"/>
      <w:bookmarkEnd w:id="9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5" w:name="_Toc247085792"/>
      <w:bookmarkStart w:id="96" w:name="_Toc296602521"/>
      <w:bookmarkStart w:id="97" w:name="_Toc246997020"/>
      <w:bookmarkStart w:id="98" w:name="_Toc246996277"/>
      <w:r>
        <w:rPr>
          <w:rFonts w:hint="eastAsia" w:ascii="宋体" w:hAnsi="宋体" w:eastAsia="宋体" w:cs="宋体"/>
          <w:b/>
          <w:sz w:val="24"/>
          <w:szCs w:val="24"/>
        </w:rPr>
        <w:t>3.5 商定或确定</w:t>
      </w:r>
      <w:bookmarkEnd w:id="95"/>
      <w:bookmarkEnd w:id="96"/>
      <w:bookmarkEnd w:id="97"/>
      <w:bookmarkEnd w:id="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9" w:name="_Toc247085793"/>
      <w:bookmarkStart w:id="100" w:name="_Toc246997021"/>
      <w:bookmarkStart w:id="101" w:name="_Toc246996278"/>
      <w:bookmarkStart w:id="102" w:name="_Toc184635101"/>
      <w:bookmarkStart w:id="103" w:name="_Toc296602522"/>
      <w:r>
        <w:rPr>
          <w:rFonts w:hint="eastAsia" w:ascii="宋体" w:hAnsi="宋体" w:eastAsia="宋体" w:cs="宋体"/>
          <w:b/>
          <w:sz w:val="24"/>
          <w:szCs w:val="24"/>
        </w:rPr>
        <w:t>4. 承包人</w:t>
      </w:r>
      <w:bookmarkEnd w:id="99"/>
      <w:bookmarkEnd w:id="100"/>
      <w:bookmarkEnd w:id="101"/>
      <w:bookmarkEnd w:id="102"/>
      <w:bookmarkEnd w:id="10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4" w:name="_Toc247085794"/>
      <w:bookmarkStart w:id="105" w:name="_Toc246997022"/>
      <w:bookmarkStart w:id="106" w:name="_Toc296602523"/>
      <w:bookmarkStart w:id="107" w:name="_Toc246996279"/>
      <w:r>
        <w:rPr>
          <w:rFonts w:hint="eastAsia" w:ascii="宋体" w:hAnsi="宋体" w:eastAsia="宋体" w:cs="宋体"/>
          <w:b/>
          <w:sz w:val="24"/>
          <w:szCs w:val="24"/>
        </w:rPr>
        <w:t>4.1 承包人的一般义务</w:t>
      </w:r>
      <w:bookmarkEnd w:id="104"/>
      <w:bookmarkEnd w:id="105"/>
      <w:bookmarkEnd w:id="106"/>
      <w:bookmarkEnd w:id="107"/>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8" w:name="_Toc247085795"/>
      <w:bookmarkStart w:id="109" w:name="_Toc296602524"/>
      <w:bookmarkStart w:id="110" w:name="_Toc246996280"/>
      <w:bookmarkStart w:id="111" w:name="_Toc246997023"/>
      <w:r>
        <w:rPr>
          <w:rFonts w:hint="eastAsia" w:ascii="宋体" w:hAnsi="宋体" w:eastAsia="宋体" w:cs="宋体"/>
          <w:b/>
          <w:sz w:val="24"/>
          <w:szCs w:val="24"/>
        </w:rPr>
        <w:t>4.2 履约担保</w:t>
      </w:r>
      <w:bookmarkEnd w:id="108"/>
      <w:bookmarkEnd w:id="109"/>
      <w:bookmarkEnd w:id="110"/>
      <w:bookmarkEnd w:id="1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2" w:name="_Toc247085797"/>
      <w:bookmarkStart w:id="113" w:name="_Toc246996282"/>
      <w:bookmarkStart w:id="114" w:name="_Toc296602525"/>
      <w:bookmarkStart w:id="115" w:name="_Toc246997025"/>
      <w:r>
        <w:rPr>
          <w:rFonts w:hint="eastAsia" w:ascii="宋体" w:hAnsi="宋体" w:eastAsia="宋体" w:cs="宋体"/>
          <w:b/>
          <w:sz w:val="24"/>
          <w:szCs w:val="24"/>
        </w:rPr>
        <w:t>4.3 承包人项目经理</w:t>
      </w:r>
      <w:bookmarkEnd w:id="112"/>
      <w:bookmarkEnd w:id="113"/>
      <w:bookmarkEnd w:id="114"/>
      <w:bookmarkEnd w:id="1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6" w:name="_Toc247085798"/>
      <w:bookmarkStart w:id="117" w:name="_Toc246997026"/>
      <w:bookmarkStart w:id="118" w:name="_Toc296602526"/>
      <w:bookmarkStart w:id="119" w:name="_Toc246996283"/>
      <w:r>
        <w:rPr>
          <w:rFonts w:hint="eastAsia" w:ascii="宋体" w:hAnsi="宋体" w:eastAsia="宋体" w:cs="宋体"/>
          <w:b/>
          <w:sz w:val="24"/>
          <w:szCs w:val="24"/>
        </w:rPr>
        <w:t>4.4 工程价款应专款专用</w:t>
      </w:r>
      <w:bookmarkEnd w:id="116"/>
      <w:bookmarkEnd w:id="117"/>
      <w:bookmarkEnd w:id="118"/>
      <w:bookmarkEnd w:id="1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20" w:name="_Toc246996284"/>
      <w:bookmarkStart w:id="121" w:name="_Toc246997027"/>
      <w:bookmarkStart w:id="122" w:name="_Toc24708579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296602527"/>
      <w:r>
        <w:rPr>
          <w:rFonts w:hint="eastAsia" w:ascii="宋体" w:hAnsi="宋体" w:eastAsia="宋体" w:cs="宋体"/>
          <w:b/>
          <w:sz w:val="24"/>
          <w:szCs w:val="24"/>
        </w:rPr>
        <w:t>4.5 不利物质条件</w:t>
      </w:r>
      <w:bookmarkEnd w:id="1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4" w:name="_Toc144974636"/>
      <w:bookmarkStart w:id="125" w:name="_Toc179632686"/>
      <w:bookmarkStart w:id="126" w:name="_Toc152042446"/>
      <w:bookmarkStart w:id="127" w:name="_Toc152045668"/>
      <w:bookmarkStart w:id="128" w:name="_Toc296602528"/>
      <w:r>
        <w:rPr>
          <w:rFonts w:hint="eastAsia" w:ascii="宋体" w:hAnsi="宋体" w:eastAsia="宋体" w:cs="宋体"/>
          <w:b/>
          <w:sz w:val="24"/>
          <w:szCs w:val="24"/>
        </w:rPr>
        <w:t xml:space="preserve">5. </w:t>
      </w:r>
      <w:bookmarkEnd w:id="124"/>
      <w:bookmarkEnd w:id="125"/>
      <w:bookmarkEnd w:id="126"/>
      <w:bookmarkEnd w:id="127"/>
      <w:r>
        <w:rPr>
          <w:rFonts w:hint="eastAsia" w:ascii="宋体" w:hAnsi="宋体" w:eastAsia="宋体" w:cs="宋体"/>
          <w:b/>
          <w:sz w:val="24"/>
          <w:szCs w:val="24"/>
        </w:rPr>
        <w:t>施工控制网</w:t>
      </w:r>
      <w:bookmarkEnd w:id="1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29"/>
      <w:r>
        <w:rPr>
          <w:rFonts w:hint="eastAsia" w:ascii="宋体" w:hAnsi="宋体" w:eastAsia="宋体" w:cs="宋体"/>
          <w:b/>
          <w:sz w:val="24"/>
          <w:szCs w:val="24"/>
        </w:rPr>
        <w:t>6. 工期</w:t>
      </w:r>
      <w:bookmarkEnd w:id="12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0" w:name="_Toc296602530"/>
      <w:bookmarkStart w:id="131" w:name="_Toc152045682"/>
      <w:bookmarkStart w:id="132" w:name="_Toc152042460"/>
      <w:bookmarkStart w:id="133" w:name="_Toc144974650"/>
      <w:bookmarkStart w:id="134" w:name="_Toc179632700"/>
      <w:r>
        <w:rPr>
          <w:rFonts w:hint="eastAsia" w:ascii="宋体" w:hAnsi="宋体" w:eastAsia="宋体" w:cs="宋体"/>
          <w:b/>
          <w:sz w:val="24"/>
          <w:szCs w:val="24"/>
        </w:rPr>
        <w:t>6.1 进度计划</w:t>
      </w:r>
      <w:bookmarkEnd w:id="13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1"/>
    <w:bookmarkEnd w:id="132"/>
    <w:bookmarkEnd w:id="133"/>
    <w:bookmarkEnd w:id="134"/>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1"/>
      <w:r>
        <w:rPr>
          <w:rFonts w:hint="eastAsia" w:ascii="宋体" w:hAnsi="宋体" w:eastAsia="宋体" w:cs="宋体"/>
          <w:b/>
          <w:sz w:val="24"/>
          <w:szCs w:val="24"/>
        </w:rPr>
        <w:t>6.2 工程实施</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2"/>
      <w:r>
        <w:rPr>
          <w:rFonts w:hint="eastAsia" w:ascii="宋体" w:hAnsi="宋体" w:eastAsia="宋体" w:cs="宋体"/>
          <w:b/>
          <w:sz w:val="24"/>
          <w:szCs w:val="24"/>
        </w:rPr>
        <w:t>6.3 发包人引起的工期延误</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3"/>
      <w:r>
        <w:rPr>
          <w:rFonts w:hint="eastAsia" w:ascii="宋体" w:hAnsi="宋体" w:eastAsia="宋体" w:cs="宋体"/>
          <w:b/>
          <w:sz w:val="24"/>
          <w:szCs w:val="24"/>
        </w:rPr>
        <w:t>6.4 异常恶劣的气候条件</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96602534"/>
      <w:r>
        <w:rPr>
          <w:rFonts w:hint="eastAsia" w:ascii="宋体" w:hAnsi="宋体" w:eastAsia="宋体" w:cs="宋体"/>
          <w:b/>
          <w:sz w:val="24"/>
          <w:szCs w:val="24"/>
        </w:rPr>
        <w:t>6.5 承包人引起的工期延误</w:t>
      </w:r>
      <w:bookmarkEnd w:id="13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20"/>
    <w:bookmarkEnd w:id="121"/>
    <w:bookmarkEnd w:id="122"/>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9" w:name="_Toc184635110"/>
      <w:bookmarkStart w:id="140" w:name="_Toc246997034"/>
      <w:bookmarkStart w:id="141" w:name="_Toc247085806"/>
      <w:bookmarkStart w:id="142" w:name="_Toc296602535"/>
      <w:bookmarkStart w:id="143" w:name="_Toc246996291"/>
      <w:r>
        <w:rPr>
          <w:rFonts w:hint="eastAsia" w:ascii="宋体" w:hAnsi="宋体" w:eastAsia="宋体" w:cs="宋体"/>
          <w:b/>
          <w:sz w:val="24"/>
          <w:szCs w:val="24"/>
        </w:rPr>
        <w:t>7. 工程质量</w:t>
      </w:r>
      <w:bookmarkEnd w:id="139"/>
      <w:bookmarkEnd w:id="140"/>
      <w:bookmarkEnd w:id="141"/>
      <w:bookmarkEnd w:id="142"/>
      <w:bookmarkEnd w:id="14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4" w:name="_Toc296602536"/>
      <w:bookmarkStart w:id="145" w:name="_Toc247085807"/>
      <w:bookmarkStart w:id="146" w:name="_Toc246996292"/>
      <w:bookmarkStart w:id="147" w:name="_Toc246997035"/>
      <w:r>
        <w:rPr>
          <w:rFonts w:hint="eastAsia" w:ascii="宋体" w:hAnsi="宋体" w:eastAsia="宋体" w:cs="宋体"/>
          <w:b/>
          <w:sz w:val="24"/>
          <w:szCs w:val="24"/>
        </w:rPr>
        <w:t>7.1 工程质量要求</w:t>
      </w:r>
      <w:bookmarkEnd w:id="144"/>
      <w:bookmarkEnd w:id="145"/>
      <w:bookmarkEnd w:id="146"/>
      <w:bookmarkEnd w:id="14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8" w:name="_Toc247085808"/>
      <w:bookmarkStart w:id="149" w:name="_Toc296602537"/>
      <w:bookmarkStart w:id="150" w:name="_Toc246997036"/>
      <w:bookmarkStart w:id="151" w:name="_Toc246996293"/>
      <w:r>
        <w:rPr>
          <w:rFonts w:hint="eastAsia" w:ascii="宋体" w:hAnsi="宋体" w:eastAsia="宋体" w:cs="宋体"/>
          <w:b/>
          <w:sz w:val="24"/>
          <w:szCs w:val="24"/>
        </w:rPr>
        <w:t>7.2 监理人的质量检查</w:t>
      </w:r>
      <w:bookmarkEnd w:id="148"/>
      <w:bookmarkEnd w:id="149"/>
      <w:bookmarkEnd w:id="150"/>
      <w:bookmarkEnd w:id="15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2" w:name="_Toc246997037"/>
      <w:bookmarkStart w:id="153" w:name="_Toc296602538"/>
      <w:bookmarkStart w:id="154" w:name="_Toc247085809"/>
      <w:bookmarkStart w:id="155" w:name="_Toc246996294"/>
      <w:r>
        <w:rPr>
          <w:rFonts w:hint="eastAsia" w:ascii="宋体" w:hAnsi="宋体" w:eastAsia="宋体" w:cs="宋体"/>
          <w:b/>
          <w:sz w:val="24"/>
          <w:szCs w:val="24"/>
        </w:rPr>
        <w:t>7.3 工程隐蔽部位覆盖前的检查</w:t>
      </w:r>
      <w:bookmarkEnd w:id="152"/>
      <w:bookmarkEnd w:id="153"/>
      <w:bookmarkEnd w:id="154"/>
      <w:bookmarkEnd w:id="15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6" w:name="_Toc247085810"/>
      <w:bookmarkStart w:id="157" w:name="_Toc246997038"/>
      <w:bookmarkStart w:id="158" w:name="_Toc296602539"/>
      <w:bookmarkStart w:id="159" w:name="_Toc246996295"/>
      <w:r>
        <w:rPr>
          <w:rFonts w:hint="eastAsia" w:ascii="宋体" w:hAnsi="宋体" w:eastAsia="宋体" w:cs="宋体"/>
          <w:b/>
          <w:sz w:val="24"/>
          <w:szCs w:val="24"/>
        </w:rPr>
        <w:t>7.4 清除不合格工程</w:t>
      </w:r>
      <w:bookmarkEnd w:id="156"/>
      <w:bookmarkEnd w:id="157"/>
      <w:bookmarkEnd w:id="158"/>
      <w:bookmarkEnd w:id="15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0" w:name="_Toc246997039"/>
      <w:bookmarkStart w:id="161" w:name="_Toc246996296"/>
      <w:bookmarkStart w:id="162" w:name="_Toc296602540"/>
      <w:bookmarkStart w:id="163" w:name="_Toc247085811"/>
      <w:r>
        <w:rPr>
          <w:rFonts w:hint="eastAsia" w:ascii="宋体" w:hAnsi="宋体" w:eastAsia="宋体" w:cs="宋体"/>
          <w:b/>
          <w:sz w:val="24"/>
          <w:szCs w:val="24"/>
        </w:rPr>
        <w:t>8. 试验和检验</w:t>
      </w:r>
      <w:bookmarkEnd w:id="160"/>
      <w:bookmarkEnd w:id="161"/>
      <w:bookmarkEnd w:id="162"/>
      <w:bookmarkEnd w:id="16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1"/>
      <w:r>
        <w:rPr>
          <w:rFonts w:hint="eastAsia" w:ascii="宋体" w:hAnsi="宋体" w:eastAsia="宋体" w:cs="宋体"/>
          <w:b/>
          <w:sz w:val="24"/>
          <w:szCs w:val="24"/>
        </w:rPr>
        <w:t>8.1 材料、工程设备和工程的试验和检验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296602542"/>
      <w:r>
        <w:rPr>
          <w:rFonts w:hint="eastAsia" w:ascii="宋体" w:hAnsi="宋体" w:eastAsia="宋体" w:cs="宋体"/>
          <w:b/>
          <w:sz w:val="24"/>
          <w:szCs w:val="24"/>
        </w:rPr>
        <w:t>8.2 现场材料试验</w:t>
      </w:r>
      <w:bookmarkEnd w:id="16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6" w:name="_Toc246996297"/>
      <w:bookmarkStart w:id="167" w:name="_Toc247085812"/>
      <w:bookmarkStart w:id="168" w:name="_Toc296602543"/>
      <w:bookmarkStart w:id="169" w:name="_Toc246997040"/>
      <w:bookmarkStart w:id="170" w:name="_Toc184635112"/>
      <w:r>
        <w:rPr>
          <w:rFonts w:hint="eastAsia" w:ascii="宋体" w:hAnsi="宋体" w:eastAsia="宋体" w:cs="宋体"/>
          <w:b/>
          <w:sz w:val="24"/>
          <w:szCs w:val="24"/>
        </w:rPr>
        <w:t>9. 变更</w:t>
      </w:r>
      <w:bookmarkEnd w:id="166"/>
      <w:bookmarkEnd w:id="167"/>
      <w:bookmarkEnd w:id="168"/>
      <w:bookmarkEnd w:id="169"/>
      <w:bookmarkEnd w:id="17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1" w:name="_Toc296602544"/>
      <w:bookmarkStart w:id="172" w:name="_Toc246997041"/>
      <w:bookmarkStart w:id="173" w:name="_Toc247085813"/>
      <w:bookmarkStart w:id="174" w:name="_Toc246996298"/>
      <w:r>
        <w:rPr>
          <w:rFonts w:hint="eastAsia" w:ascii="宋体" w:hAnsi="宋体" w:eastAsia="宋体" w:cs="宋体"/>
          <w:b/>
          <w:sz w:val="24"/>
          <w:szCs w:val="24"/>
        </w:rPr>
        <w:t>9.1 变更权</w:t>
      </w:r>
      <w:bookmarkEnd w:id="171"/>
      <w:bookmarkEnd w:id="172"/>
      <w:bookmarkEnd w:id="173"/>
      <w:bookmarkEnd w:id="17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5" w:name="_Toc246996299"/>
      <w:bookmarkStart w:id="176" w:name="_Toc246997042"/>
      <w:bookmarkStart w:id="177" w:name="_Toc296602545"/>
      <w:bookmarkStart w:id="178" w:name="_Toc247085814"/>
      <w:r>
        <w:rPr>
          <w:rFonts w:hint="eastAsia" w:ascii="宋体" w:hAnsi="宋体" w:eastAsia="宋体" w:cs="宋体"/>
          <w:b/>
          <w:sz w:val="24"/>
          <w:szCs w:val="24"/>
        </w:rPr>
        <w:t>9.2 变更程序</w:t>
      </w:r>
      <w:bookmarkEnd w:id="175"/>
      <w:bookmarkEnd w:id="176"/>
      <w:bookmarkEnd w:id="177"/>
      <w:bookmarkEnd w:id="17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9" w:name="_Toc246996300"/>
      <w:bookmarkStart w:id="180" w:name="_Toc247085815"/>
      <w:bookmarkStart w:id="181" w:name="_Toc296602546"/>
      <w:bookmarkStart w:id="182" w:name="_Toc246997043"/>
      <w:r>
        <w:rPr>
          <w:rFonts w:hint="eastAsia" w:ascii="宋体" w:hAnsi="宋体" w:eastAsia="宋体" w:cs="宋体"/>
          <w:b/>
          <w:sz w:val="24"/>
          <w:szCs w:val="24"/>
        </w:rPr>
        <w:t>9.3 变更的估价原则</w:t>
      </w:r>
      <w:bookmarkEnd w:id="179"/>
      <w:bookmarkEnd w:id="180"/>
      <w:bookmarkEnd w:id="181"/>
      <w:bookmarkEnd w:id="18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3" w:name="_Toc247085816"/>
      <w:bookmarkStart w:id="184" w:name="_Toc246997044"/>
      <w:bookmarkStart w:id="185" w:name="_Toc296602547"/>
      <w:bookmarkStart w:id="186" w:name="_Toc246996301"/>
      <w:r>
        <w:rPr>
          <w:rFonts w:hint="eastAsia" w:ascii="宋体" w:hAnsi="宋体" w:eastAsia="宋体" w:cs="宋体"/>
          <w:b/>
          <w:sz w:val="24"/>
          <w:szCs w:val="24"/>
        </w:rPr>
        <w:t>9.4 暂列金额</w:t>
      </w:r>
      <w:bookmarkEnd w:id="183"/>
      <w:bookmarkEnd w:id="184"/>
      <w:bookmarkEnd w:id="185"/>
      <w:bookmarkEnd w:id="1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7" w:name="_Toc246997045"/>
      <w:bookmarkStart w:id="188" w:name="_Toc246996302"/>
      <w:bookmarkStart w:id="189" w:name="_Toc247085817"/>
      <w:bookmarkStart w:id="190" w:name="_Toc296602548"/>
      <w:r>
        <w:rPr>
          <w:rFonts w:hint="eastAsia" w:ascii="宋体" w:hAnsi="宋体" w:eastAsia="宋体" w:cs="宋体"/>
          <w:b/>
          <w:sz w:val="24"/>
          <w:szCs w:val="24"/>
        </w:rPr>
        <w:t>9.5 计日工</w:t>
      </w:r>
      <w:bookmarkEnd w:id="187"/>
      <w:bookmarkEnd w:id="188"/>
      <w:bookmarkEnd w:id="189"/>
      <w:bookmarkEnd w:id="19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1" w:name="_Toc247085819"/>
      <w:bookmarkStart w:id="192" w:name="_Toc296602549"/>
      <w:bookmarkStart w:id="193" w:name="_Toc184635114"/>
      <w:bookmarkStart w:id="194" w:name="_Toc246997047"/>
      <w:bookmarkStart w:id="195" w:name="_Toc246996304"/>
      <w:r>
        <w:rPr>
          <w:rFonts w:hint="eastAsia" w:ascii="宋体" w:hAnsi="宋体" w:eastAsia="宋体" w:cs="宋体"/>
          <w:b/>
          <w:sz w:val="24"/>
          <w:szCs w:val="24"/>
        </w:rPr>
        <w:t>10. 计量与支付</w:t>
      </w:r>
      <w:bookmarkEnd w:id="191"/>
      <w:bookmarkEnd w:id="192"/>
      <w:bookmarkEnd w:id="193"/>
      <w:bookmarkEnd w:id="194"/>
      <w:bookmarkEnd w:id="19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6" w:name="_Toc247085820"/>
      <w:bookmarkStart w:id="197" w:name="_Toc246996305"/>
      <w:bookmarkStart w:id="198" w:name="_Toc296602550"/>
      <w:bookmarkStart w:id="199" w:name="_Toc246997048"/>
      <w:r>
        <w:rPr>
          <w:rFonts w:hint="eastAsia" w:ascii="宋体" w:hAnsi="宋体" w:eastAsia="宋体" w:cs="宋体"/>
          <w:b/>
          <w:sz w:val="24"/>
          <w:szCs w:val="24"/>
        </w:rPr>
        <w:t>10.1 计量</w:t>
      </w:r>
      <w:bookmarkEnd w:id="196"/>
      <w:bookmarkEnd w:id="197"/>
      <w:bookmarkEnd w:id="198"/>
      <w:bookmarkEnd w:id="19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0" w:name="_Toc296602551"/>
      <w:bookmarkStart w:id="201" w:name="_Toc247085821"/>
      <w:bookmarkStart w:id="202" w:name="_Toc246997049"/>
      <w:bookmarkStart w:id="203" w:name="_Toc246996306"/>
      <w:r>
        <w:rPr>
          <w:rFonts w:hint="eastAsia" w:ascii="宋体" w:hAnsi="宋体" w:eastAsia="宋体" w:cs="宋体"/>
          <w:b/>
          <w:sz w:val="24"/>
          <w:szCs w:val="24"/>
        </w:rPr>
        <w:t>10.2 预付款</w:t>
      </w:r>
      <w:bookmarkEnd w:id="200"/>
      <w:bookmarkEnd w:id="201"/>
      <w:bookmarkEnd w:id="202"/>
      <w:bookmarkEnd w:id="20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4" w:name="_Toc246997050"/>
      <w:bookmarkStart w:id="205" w:name="_Toc296602552"/>
      <w:bookmarkStart w:id="206" w:name="_Toc247085822"/>
      <w:bookmarkStart w:id="207" w:name="_Toc246996307"/>
      <w:r>
        <w:rPr>
          <w:rFonts w:hint="eastAsia" w:ascii="宋体" w:hAnsi="宋体" w:eastAsia="宋体" w:cs="宋体"/>
          <w:b/>
          <w:sz w:val="24"/>
          <w:szCs w:val="24"/>
        </w:rPr>
        <w:t>10.3 工程进度付款</w:t>
      </w:r>
      <w:bookmarkEnd w:id="204"/>
      <w:bookmarkEnd w:id="205"/>
      <w:bookmarkEnd w:id="206"/>
      <w:bookmarkEnd w:id="20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8" w:name="_Toc247085823"/>
      <w:bookmarkStart w:id="209" w:name="_Toc296602553"/>
      <w:bookmarkStart w:id="210" w:name="_Toc246996308"/>
      <w:bookmarkStart w:id="211" w:name="_Toc246997051"/>
      <w:r>
        <w:rPr>
          <w:rFonts w:hint="eastAsia" w:ascii="宋体" w:hAnsi="宋体" w:eastAsia="宋体" w:cs="宋体"/>
          <w:b/>
          <w:sz w:val="24"/>
          <w:szCs w:val="24"/>
        </w:rPr>
        <w:t>10.4 质量保证金</w:t>
      </w:r>
      <w:bookmarkEnd w:id="208"/>
      <w:bookmarkEnd w:id="209"/>
      <w:bookmarkEnd w:id="210"/>
      <w:bookmarkEnd w:id="211"/>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2" w:name="_Toc246997052"/>
      <w:bookmarkStart w:id="213" w:name="_Toc246996309"/>
      <w:bookmarkStart w:id="214" w:name="_Toc247085824"/>
      <w:bookmarkStart w:id="215" w:name="_Toc296602554"/>
      <w:r>
        <w:rPr>
          <w:rFonts w:hint="eastAsia" w:ascii="宋体" w:hAnsi="宋体" w:eastAsia="宋体" w:cs="宋体"/>
          <w:b/>
          <w:sz w:val="24"/>
          <w:szCs w:val="24"/>
        </w:rPr>
        <w:t>10.5 竣工结算</w:t>
      </w:r>
      <w:bookmarkEnd w:id="212"/>
      <w:bookmarkEnd w:id="213"/>
      <w:bookmarkEnd w:id="214"/>
      <w:bookmarkEnd w:id="2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6" w:name="_Toc246996310"/>
      <w:bookmarkStart w:id="217" w:name="_Toc246997053"/>
      <w:bookmarkStart w:id="218" w:name="_Toc296602555"/>
      <w:bookmarkStart w:id="219" w:name="_Toc247085825"/>
      <w:r>
        <w:rPr>
          <w:rFonts w:hint="eastAsia" w:ascii="宋体" w:hAnsi="宋体" w:eastAsia="宋体" w:cs="宋体"/>
          <w:b/>
          <w:sz w:val="24"/>
          <w:szCs w:val="24"/>
        </w:rPr>
        <w:t>10.6 付款延误</w:t>
      </w:r>
      <w:bookmarkEnd w:id="216"/>
      <w:bookmarkEnd w:id="217"/>
      <w:bookmarkEnd w:id="218"/>
      <w:bookmarkEnd w:id="2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0" w:name="_Toc184635115"/>
      <w:bookmarkStart w:id="221" w:name="_Toc246997054"/>
      <w:bookmarkStart w:id="222" w:name="_Toc296602556"/>
      <w:bookmarkStart w:id="223" w:name="_Toc247085826"/>
      <w:bookmarkStart w:id="224" w:name="_Toc246996311"/>
      <w:r>
        <w:rPr>
          <w:rFonts w:hint="eastAsia" w:ascii="宋体" w:hAnsi="宋体" w:eastAsia="宋体" w:cs="宋体"/>
          <w:b/>
          <w:sz w:val="24"/>
          <w:szCs w:val="24"/>
        </w:rPr>
        <w:t>11. 竣工验收</w:t>
      </w:r>
      <w:bookmarkEnd w:id="220"/>
      <w:bookmarkEnd w:id="221"/>
      <w:bookmarkEnd w:id="222"/>
      <w:bookmarkEnd w:id="223"/>
      <w:bookmarkEnd w:id="22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5" w:name="_Toc296602557"/>
      <w:bookmarkStart w:id="226" w:name="_Toc247085827"/>
      <w:bookmarkStart w:id="227" w:name="_Toc246996312"/>
      <w:bookmarkStart w:id="228" w:name="_Toc246997055"/>
      <w:r>
        <w:rPr>
          <w:rFonts w:hint="eastAsia" w:ascii="宋体" w:hAnsi="宋体" w:eastAsia="宋体" w:cs="宋体"/>
          <w:b/>
          <w:sz w:val="24"/>
          <w:szCs w:val="24"/>
        </w:rPr>
        <w:t>11.1 竣工验收的含义</w:t>
      </w:r>
      <w:bookmarkEnd w:id="22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96602558"/>
      <w:r>
        <w:rPr>
          <w:rFonts w:hint="eastAsia" w:ascii="宋体" w:hAnsi="宋体" w:eastAsia="宋体" w:cs="宋体"/>
          <w:b/>
          <w:sz w:val="24"/>
          <w:szCs w:val="24"/>
        </w:rPr>
        <w:t>11.2 竣工验收申请报告</w:t>
      </w:r>
      <w:bookmarkEnd w:id="226"/>
      <w:bookmarkEnd w:id="227"/>
      <w:bookmarkEnd w:id="228"/>
      <w:bookmarkEnd w:id="2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0" w:name="_Toc246996313"/>
      <w:bookmarkStart w:id="231" w:name="_Toc246997056"/>
      <w:bookmarkStart w:id="232" w:name="_Toc296602559"/>
      <w:bookmarkStart w:id="233" w:name="_Toc247085828"/>
      <w:r>
        <w:rPr>
          <w:rFonts w:hint="eastAsia" w:ascii="宋体" w:hAnsi="宋体" w:eastAsia="宋体" w:cs="宋体"/>
          <w:b/>
          <w:sz w:val="24"/>
          <w:szCs w:val="24"/>
        </w:rPr>
        <w:t>11.3 竣工和验收</w:t>
      </w:r>
      <w:bookmarkEnd w:id="230"/>
      <w:bookmarkEnd w:id="231"/>
      <w:bookmarkEnd w:id="232"/>
      <w:bookmarkEnd w:id="23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4" w:name="_Toc296602560"/>
      <w:bookmarkStart w:id="235" w:name="_Toc246997057"/>
      <w:bookmarkStart w:id="236" w:name="_Toc247085829"/>
      <w:bookmarkStart w:id="237" w:name="_Toc246996314"/>
      <w:r>
        <w:rPr>
          <w:rFonts w:hint="eastAsia" w:ascii="宋体" w:hAnsi="宋体" w:eastAsia="宋体" w:cs="宋体"/>
          <w:b/>
          <w:sz w:val="24"/>
          <w:szCs w:val="24"/>
        </w:rPr>
        <w:t>11.4 试运行</w:t>
      </w:r>
      <w:bookmarkEnd w:id="234"/>
      <w:bookmarkEnd w:id="235"/>
      <w:bookmarkEnd w:id="236"/>
      <w:bookmarkEnd w:id="2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8" w:name="_Toc247085830"/>
      <w:bookmarkStart w:id="239" w:name="_Toc246996315"/>
      <w:bookmarkStart w:id="240" w:name="_Toc296602561"/>
      <w:bookmarkStart w:id="241" w:name="_Toc246997058"/>
      <w:r>
        <w:rPr>
          <w:rFonts w:hint="eastAsia" w:ascii="宋体" w:hAnsi="宋体" w:eastAsia="宋体" w:cs="宋体"/>
          <w:b/>
          <w:sz w:val="24"/>
          <w:szCs w:val="24"/>
        </w:rPr>
        <w:t>11.5 竣工清场</w:t>
      </w:r>
      <w:bookmarkEnd w:id="238"/>
      <w:bookmarkEnd w:id="239"/>
      <w:bookmarkEnd w:id="240"/>
      <w:bookmarkEnd w:id="2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2" w:name="_Toc296602562"/>
      <w:bookmarkStart w:id="243" w:name="_Toc246996316"/>
      <w:bookmarkStart w:id="244" w:name="_Toc247085831"/>
      <w:bookmarkStart w:id="245" w:name="_Toc246997059"/>
      <w:bookmarkStart w:id="246" w:name="_Toc184635116"/>
      <w:r>
        <w:rPr>
          <w:rFonts w:hint="eastAsia" w:ascii="宋体" w:hAnsi="宋体" w:eastAsia="宋体" w:cs="宋体"/>
          <w:b/>
          <w:sz w:val="24"/>
          <w:szCs w:val="24"/>
        </w:rPr>
        <w:t>12. 缺陷责任与保修责任</w:t>
      </w:r>
      <w:bookmarkEnd w:id="242"/>
      <w:bookmarkEnd w:id="243"/>
      <w:bookmarkEnd w:id="244"/>
      <w:bookmarkEnd w:id="245"/>
      <w:bookmarkEnd w:id="24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7" w:name="_Toc246997060"/>
      <w:bookmarkStart w:id="248" w:name="_Toc246996317"/>
      <w:bookmarkStart w:id="249" w:name="_Toc296602563"/>
      <w:bookmarkStart w:id="250" w:name="_Toc247085832"/>
      <w:r>
        <w:rPr>
          <w:rFonts w:hint="eastAsia" w:ascii="宋体" w:hAnsi="宋体" w:eastAsia="宋体" w:cs="宋体"/>
          <w:b/>
          <w:sz w:val="24"/>
          <w:szCs w:val="24"/>
        </w:rPr>
        <w:t>12.1 缺陷责任</w:t>
      </w:r>
      <w:bookmarkEnd w:id="247"/>
      <w:bookmarkEnd w:id="248"/>
      <w:bookmarkEnd w:id="249"/>
      <w:bookmarkEnd w:id="2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1" w:name="_Toc296602564"/>
      <w:bookmarkStart w:id="252" w:name="_Toc247085833"/>
      <w:bookmarkStart w:id="253" w:name="_Toc246996318"/>
      <w:bookmarkStart w:id="254" w:name="_Toc246997061"/>
      <w:r>
        <w:rPr>
          <w:rFonts w:hint="eastAsia" w:ascii="宋体" w:hAnsi="宋体" w:eastAsia="宋体" w:cs="宋体"/>
          <w:b/>
          <w:sz w:val="24"/>
          <w:szCs w:val="24"/>
        </w:rPr>
        <w:t>12.2 保修责任</w:t>
      </w:r>
      <w:bookmarkEnd w:id="251"/>
      <w:bookmarkEnd w:id="252"/>
      <w:bookmarkEnd w:id="253"/>
      <w:bookmarkEnd w:id="2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5" w:name="_Toc184635117"/>
      <w:bookmarkStart w:id="256" w:name="_Toc246996319"/>
      <w:bookmarkStart w:id="257" w:name="_Toc247085834"/>
      <w:bookmarkStart w:id="258" w:name="_Toc2469970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96602565"/>
      <w:r>
        <w:rPr>
          <w:rFonts w:hint="eastAsia" w:ascii="宋体" w:hAnsi="宋体" w:eastAsia="宋体" w:cs="宋体"/>
          <w:b/>
          <w:sz w:val="24"/>
          <w:szCs w:val="24"/>
        </w:rPr>
        <w:t>13. 保险</w:t>
      </w:r>
      <w:bookmarkEnd w:id="255"/>
      <w:bookmarkEnd w:id="256"/>
      <w:bookmarkEnd w:id="257"/>
      <w:bookmarkEnd w:id="258"/>
      <w:bookmarkEnd w:id="25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0" w:name="_Toc246996320"/>
      <w:bookmarkStart w:id="261" w:name="_Toc247085835"/>
      <w:bookmarkStart w:id="262" w:name="_Toc296602566"/>
      <w:bookmarkStart w:id="263" w:name="_Toc246997063"/>
      <w:r>
        <w:rPr>
          <w:rFonts w:hint="eastAsia" w:ascii="宋体" w:hAnsi="宋体" w:eastAsia="宋体" w:cs="宋体"/>
          <w:b/>
          <w:sz w:val="24"/>
          <w:szCs w:val="24"/>
        </w:rPr>
        <w:t>13.1 保险范围</w:t>
      </w:r>
      <w:bookmarkEnd w:id="260"/>
      <w:bookmarkEnd w:id="261"/>
      <w:bookmarkEnd w:id="262"/>
      <w:bookmarkEnd w:id="2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64" w:name="_Toc246996321"/>
      <w:bookmarkStart w:id="265" w:name="_Toc246997064"/>
      <w:bookmarkStart w:id="266" w:name="_Toc247085836"/>
      <w:r>
        <w:rPr>
          <w:rFonts w:hint="eastAsia" w:ascii="宋体" w:hAnsi="宋体" w:eastAsia="宋体" w:cs="宋体"/>
          <w:sz w:val="24"/>
          <w:szCs w:val="24"/>
        </w:rPr>
        <w:t xml:space="preserve"> </w:t>
      </w:r>
      <w:bookmarkStart w:id="267" w:name="_Toc296602567"/>
      <w:bookmarkStart w:id="268" w:name="_Toc450569923"/>
      <w:r>
        <w:rPr>
          <w:rFonts w:hint="eastAsia" w:ascii="宋体" w:hAnsi="宋体" w:eastAsia="宋体" w:cs="宋体"/>
          <w:sz w:val="24"/>
          <w:szCs w:val="24"/>
        </w:rPr>
        <w:t>13.2 未办理保险</w:t>
      </w:r>
      <w:bookmarkEnd w:id="264"/>
      <w:bookmarkEnd w:id="265"/>
      <w:bookmarkEnd w:id="266"/>
      <w:bookmarkEnd w:id="267"/>
      <w:bookmarkEnd w:id="2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9"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9"/>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70" w:name="_Toc247514180"/>
      <w:bookmarkStart w:id="271" w:name="_Toc271821895"/>
      <w:bookmarkStart w:id="272" w:name="_Toc247527781"/>
      <w:bookmarkStart w:id="273" w:name="_Toc296602568"/>
      <w:bookmarkStart w:id="274" w:name="_Toc246997065"/>
      <w:bookmarkStart w:id="275" w:name="_Toc247085837"/>
      <w:bookmarkStart w:id="276" w:name="_Toc184635119"/>
      <w:bookmarkStart w:id="277" w:name="_Toc246996322"/>
      <w:r>
        <w:rPr>
          <w:rFonts w:hint="eastAsia" w:ascii="宋体" w:hAnsi="宋体" w:eastAsia="宋体" w:cs="宋体"/>
          <w:b/>
          <w:sz w:val="24"/>
          <w:szCs w:val="24"/>
        </w:rPr>
        <w:t>14. 不可抗力</w:t>
      </w:r>
      <w:bookmarkEnd w:id="270"/>
      <w:bookmarkEnd w:id="271"/>
      <w:bookmarkEnd w:id="272"/>
      <w:bookmarkEnd w:id="273"/>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78" w:name="_Toc247514181"/>
      <w:bookmarkStart w:id="279" w:name="_Toc271821896"/>
      <w:bookmarkStart w:id="280" w:name="_Toc296602569"/>
      <w:bookmarkStart w:id="281" w:name="_Toc450569924"/>
      <w:bookmarkStart w:id="282" w:name="_Toc247527782"/>
      <w:r>
        <w:rPr>
          <w:rFonts w:hint="eastAsia" w:ascii="宋体" w:hAnsi="宋体" w:eastAsia="宋体" w:cs="宋体"/>
          <w:sz w:val="24"/>
          <w:szCs w:val="24"/>
        </w:rPr>
        <w:t>14.1 不可抗力的确认</w:t>
      </w:r>
      <w:bookmarkEnd w:id="278"/>
      <w:bookmarkEnd w:id="279"/>
      <w:bookmarkEnd w:id="280"/>
      <w:bookmarkEnd w:id="281"/>
      <w:bookmarkEnd w:id="28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3" w:name="_Toc296602570"/>
      <w:bookmarkStart w:id="284" w:name="_Toc450569925"/>
      <w:bookmarkStart w:id="285" w:name="_Toc247514182"/>
      <w:bookmarkStart w:id="286" w:name="_Toc271821897"/>
      <w:bookmarkStart w:id="287" w:name="_Toc247527783"/>
      <w:r>
        <w:rPr>
          <w:rFonts w:hint="eastAsia" w:ascii="宋体" w:hAnsi="宋体" w:eastAsia="宋体" w:cs="宋体"/>
          <w:sz w:val="24"/>
          <w:szCs w:val="24"/>
        </w:rPr>
        <w:t>14.2 不可抗力的通知</w:t>
      </w:r>
      <w:bookmarkEnd w:id="283"/>
      <w:bookmarkEnd w:id="284"/>
      <w:bookmarkEnd w:id="285"/>
      <w:bookmarkEnd w:id="286"/>
      <w:bookmarkEnd w:id="28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8" w:name="_Toc271821898"/>
      <w:bookmarkStart w:id="289" w:name="_Toc247527784"/>
      <w:bookmarkStart w:id="290" w:name="_Toc450569926"/>
      <w:bookmarkStart w:id="291" w:name="_Toc247514183"/>
      <w:bookmarkStart w:id="292" w:name="_Toc296602571"/>
      <w:r>
        <w:rPr>
          <w:rFonts w:hint="eastAsia" w:ascii="宋体" w:hAnsi="宋体" w:eastAsia="宋体" w:cs="宋体"/>
          <w:sz w:val="24"/>
          <w:szCs w:val="24"/>
        </w:rPr>
        <w:t>14.3 不可抗力后果及其处理</w:t>
      </w:r>
      <w:bookmarkEnd w:id="288"/>
      <w:bookmarkEnd w:id="289"/>
      <w:bookmarkEnd w:id="290"/>
      <w:bookmarkEnd w:id="291"/>
      <w:bookmarkEnd w:id="29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3" w:name="_Toc296602572"/>
      <w:r>
        <w:rPr>
          <w:rFonts w:hint="eastAsia" w:ascii="宋体" w:hAnsi="宋体" w:eastAsia="宋体" w:cs="宋体"/>
          <w:b/>
          <w:sz w:val="24"/>
          <w:szCs w:val="24"/>
        </w:rPr>
        <w:t>15. 违约</w:t>
      </w:r>
      <w:bookmarkEnd w:id="274"/>
      <w:bookmarkEnd w:id="275"/>
      <w:bookmarkEnd w:id="276"/>
      <w:bookmarkEnd w:id="277"/>
      <w:bookmarkEnd w:id="293"/>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4" w:name="_Toc246996323"/>
      <w:bookmarkStart w:id="295" w:name="_Toc450569927"/>
      <w:bookmarkStart w:id="296" w:name="_Toc296602573"/>
      <w:bookmarkStart w:id="297" w:name="_Toc247085838"/>
      <w:bookmarkStart w:id="298" w:name="_Toc246997066"/>
      <w:r>
        <w:rPr>
          <w:rFonts w:hint="eastAsia" w:ascii="宋体" w:hAnsi="宋体" w:eastAsia="宋体" w:cs="宋体"/>
          <w:sz w:val="24"/>
          <w:szCs w:val="24"/>
        </w:rPr>
        <w:t>15.1 承包人违约</w:t>
      </w:r>
      <w:bookmarkEnd w:id="294"/>
      <w:bookmarkEnd w:id="295"/>
      <w:bookmarkEnd w:id="296"/>
      <w:bookmarkEnd w:id="297"/>
      <w:bookmarkEnd w:id="2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9" w:name="_Toc246997067"/>
      <w:bookmarkStart w:id="300" w:name="_Toc296602574"/>
      <w:bookmarkStart w:id="301" w:name="_Toc247085839"/>
      <w:bookmarkStart w:id="302" w:name="_Toc450569928"/>
      <w:bookmarkStart w:id="303" w:name="_Toc246996324"/>
      <w:r>
        <w:rPr>
          <w:rFonts w:hint="eastAsia" w:ascii="宋体" w:hAnsi="宋体" w:eastAsia="宋体" w:cs="宋体"/>
          <w:sz w:val="24"/>
          <w:szCs w:val="24"/>
        </w:rPr>
        <w:t>15.2 发包人违约</w:t>
      </w:r>
      <w:bookmarkEnd w:id="299"/>
      <w:bookmarkEnd w:id="300"/>
      <w:bookmarkEnd w:id="301"/>
      <w:bookmarkEnd w:id="302"/>
      <w:bookmarkEnd w:id="30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4" w:name="_Toc246996326"/>
      <w:bookmarkStart w:id="305" w:name="_Toc247085841"/>
      <w:bookmarkStart w:id="306" w:name="_Toc246997069"/>
      <w:bookmarkStart w:id="307" w:name="_Toc296602575"/>
      <w:bookmarkStart w:id="308" w:name="_Toc184635120"/>
      <w:r>
        <w:rPr>
          <w:rFonts w:hint="eastAsia" w:ascii="宋体" w:hAnsi="宋体" w:eastAsia="宋体" w:cs="宋体"/>
          <w:b/>
          <w:sz w:val="24"/>
          <w:szCs w:val="24"/>
        </w:rPr>
        <w:t>16. 索赔</w:t>
      </w:r>
      <w:bookmarkEnd w:id="304"/>
      <w:bookmarkEnd w:id="305"/>
      <w:bookmarkEnd w:id="306"/>
      <w:bookmarkEnd w:id="307"/>
      <w:bookmarkEnd w:id="308"/>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09" w:name="_Toc246997070"/>
      <w:bookmarkStart w:id="310" w:name="_Toc247085842"/>
      <w:bookmarkStart w:id="311" w:name="_Toc450569929"/>
      <w:bookmarkStart w:id="312" w:name="_Toc246996327"/>
      <w:bookmarkStart w:id="313" w:name="_Toc296602576"/>
      <w:r>
        <w:rPr>
          <w:rFonts w:hint="eastAsia" w:ascii="宋体" w:hAnsi="宋体" w:eastAsia="宋体" w:cs="宋体"/>
          <w:sz w:val="24"/>
          <w:szCs w:val="24"/>
        </w:rPr>
        <w:t>16.1 承包人索赔的提出</w:t>
      </w:r>
      <w:bookmarkEnd w:id="309"/>
      <w:bookmarkEnd w:id="310"/>
      <w:bookmarkEnd w:id="311"/>
      <w:bookmarkEnd w:id="312"/>
      <w:bookmarkEnd w:id="31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4" w:name="_Toc450569930"/>
      <w:bookmarkStart w:id="315" w:name="_Toc296602577"/>
      <w:bookmarkStart w:id="316" w:name="_Toc246996328"/>
      <w:bookmarkStart w:id="317" w:name="_Toc246997071"/>
      <w:bookmarkStart w:id="318" w:name="_Toc247085843"/>
      <w:r>
        <w:rPr>
          <w:rFonts w:hint="eastAsia" w:ascii="宋体" w:hAnsi="宋体" w:eastAsia="宋体" w:cs="宋体"/>
          <w:sz w:val="24"/>
          <w:szCs w:val="24"/>
        </w:rPr>
        <w:t>16.2 承包人索赔处理程序</w:t>
      </w:r>
      <w:bookmarkEnd w:id="314"/>
      <w:bookmarkEnd w:id="315"/>
      <w:bookmarkEnd w:id="316"/>
      <w:bookmarkEnd w:id="317"/>
      <w:bookmarkEnd w:id="3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9" w:name="_Toc247085844"/>
      <w:bookmarkStart w:id="320" w:name="_Toc246997072"/>
      <w:bookmarkStart w:id="321" w:name="_Toc246996329"/>
      <w:bookmarkStart w:id="322" w:name="_Toc296602578"/>
      <w:bookmarkStart w:id="323" w:name="_Toc450569931"/>
      <w:r>
        <w:rPr>
          <w:rFonts w:hint="eastAsia" w:ascii="宋体" w:hAnsi="宋体" w:eastAsia="宋体" w:cs="宋体"/>
          <w:sz w:val="24"/>
          <w:szCs w:val="24"/>
        </w:rPr>
        <w:t>16.3 承包人提出索赔的期限</w:t>
      </w:r>
      <w:bookmarkEnd w:id="319"/>
      <w:bookmarkEnd w:id="320"/>
      <w:bookmarkEnd w:id="321"/>
      <w:bookmarkEnd w:id="322"/>
      <w:bookmarkEnd w:id="3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4" w:name="_Toc450569932"/>
      <w:bookmarkStart w:id="325" w:name="_Toc296602579"/>
      <w:r>
        <w:rPr>
          <w:rFonts w:hint="eastAsia" w:ascii="宋体" w:hAnsi="宋体" w:eastAsia="宋体" w:cs="宋体"/>
          <w:sz w:val="24"/>
          <w:szCs w:val="24"/>
        </w:rPr>
        <w:t>16.4 发包人索赔的提出</w:t>
      </w:r>
      <w:bookmarkEnd w:id="324"/>
      <w:bookmarkEnd w:id="32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6" w:name="_Toc450569933"/>
      <w:bookmarkStart w:id="327" w:name="_Toc296602580"/>
      <w:r>
        <w:rPr>
          <w:rFonts w:hint="eastAsia" w:ascii="宋体" w:hAnsi="宋体" w:eastAsia="宋体" w:cs="宋体"/>
          <w:sz w:val="24"/>
          <w:szCs w:val="24"/>
        </w:rPr>
        <w:t>16.5 发包人索赔处理程序</w:t>
      </w:r>
      <w:bookmarkEnd w:id="326"/>
      <w:bookmarkEnd w:id="3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8" w:name="_Toc184635121"/>
      <w:bookmarkStart w:id="329" w:name="_Toc247085846"/>
      <w:bookmarkStart w:id="330" w:name="_Toc246996331"/>
      <w:bookmarkStart w:id="331" w:name="_Toc296602581"/>
      <w:bookmarkStart w:id="332" w:name="_Toc246997074"/>
      <w:r>
        <w:rPr>
          <w:rFonts w:hint="eastAsia" w:ascii="宋体" w:hAnsi="宋体" w:eastAsia="宋体" w:cs="宋体"/>
          <w:b/>
          <w:sz w:val="24"/>
          <w:szCs w:val="24"/>
        </w:rPr>
        <w:t>17. 争议的解决</w:t>
      </w:r>
      <w:bookmarkEnd w:id="328"/>
      <w:bookmarkEnd w:id="329"/>
      <w:bookmarkEnd w:id="330"/>
      <w:bookmarkEnd w:id="331"/>
      <w:bookmarkEnd w:id="332"/>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3" w:name="_Toc246997075"/>
      <w:bookmarkStart w:id="334" w:name="_Toc450569934"/>
      <w:bookmarkStart w:id="335" w:name="_Toc296602582"/>
      <w:bookmarkStart w:id="336" w:name="_Toc246996332"/>
      <w:bookmarkStart w:id="337" w:name="_Toc247085847"/>
      <w:r>
        <w:rPr>
          <w:rFonts w:hint="eastAsia" w:ascii="宋体" w:hAnsi="宋体" w:eastAsia="宋体" w:cs="宋体"/>
          <w:sz w:val="24"/>
          <w:szCs w:val="24"/>
        </w:rPr>
        <w:t>17.1 争议的解决方式</w:t>
      </w:r>
      <w:bookmarkEnd w:id="333"/>
      <w:bookmarkEnd w:id="334"/>
      <w:bookmarkEnd w:id="335"/>
      <w:bookmarkEnd w:id="336"/>
      <w:bookmarkEnd w:id="3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8" w:name="_Toc246996333"/>
      <w:bookmarkStart w:id="339" w:name="_Toc247085848"/>
      <w:bookmarkStart w:id="340" w:name="_Toc296602583"/>
      <w:bookmarkStart w:id="341" w:name="_Toc450569935"/>
      <w:bookmarkStart w:id="342" w:name="_Toc246997076"/>
      <w:r>
        <w:rPr>
          <w:rFonts w:hint="eastAsia" w:ascii="宋体" w:hAnsi="宋体" w:eastAsia="宋体" w:cs="宋体"/>
          <w:sz w:val="24"/>
          <w:szCs w:val="24"/>
        </w:rPr>
        <w:t>17.2 友好解决</w:t>
      </w:r>
      <w:bookmarkEnd w:id="338"/>
      <w:bookmarkEnd w:id="339"/>
      <w:bookmarkEnd w:id="340"/>
      <w:bookmarkEnd w:id="341"/>
      <w:bookmarkEnd w:id="34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4"/>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43" w:name="_Toc246996334"/>
      <w:bookmarkStart w:id="344" w:name="_Toc246997077"/>
      <w:bookmarkStart w:id="345" w:name="_Toc450569936"/>
      <w:bookmarkStart w:id="346" w:name="_Toc296602584"/>
      <w:bookmarkStart w:id="347" w:name="_Toc247085849"/>
      <w:r>
        <w:rPr>
          <w:rFonts w:hint="eastAsia" w:ascii="宋体" w:hAnsi="宋体" w:eastAsia="宋体" w:cs="宋体"/>
          <w:sz w:val="24"/>
          <w:szCs w:val="24"/>
        </w:rPr>
        <w:t>17.3 争议评审</w:t>
      </w:r>
      <w:bookmarkEnd w:id="343"/>
      <w:bookmarkEnd w:id="344"/>
      <w:bookmarkEnd w:id="345"/>
      <w:bookmarkEnd w:id="346"/>
      <w:bookmarkEnd w:id="34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hint="eastAsia" w:ascii="宋体" w:hAnsi="宋体" w:eastAsia="宋体" w:cs="宋体"/>
          <w:sz w:val="24"/>
          <w:szCs w:val="24"/>
        </w:rPr>
      </w:pP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8"/>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宽坪乡保卫村2021年茶叶烘干房建设项目</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响</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应</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文</w:t>
      </w:r>
    </w:p>
    <w:p>
      <w:pPr>
        <w:spacing w:line="480" w:lineRule="auto"/>
        <w:jc w:val="center"/>
        <w:rPr>
          <w:rFonts w:hint="eastAsia" w:ascii="宋体" w:hAnsi="宋体" w:cs="宋体" w:eastAsiaTheme="minorEastAsia"/>
          <w:b/>
          <w:bCs w:val="0"/>
          <w:color w:val="000000"/>
          <w:sz w:val="36"/>
          <w:szCs w:val="36"/>
          <w:lang w:eastAsia="zh-CN"/>
        </w:rPr>
      </w:pPr>
      <w:r>
        <w:rPr>
          <w:rFonts w:hint="eastAsia" w:ascii="宋体" w:hAnsi="宋体" w:cs="宋体"/>
          <w:b/>
          <w:bCs w:val="0"/>
          <w:color w:val="000000"/>
          <w:sz w:val="36"/>
          <w:szCs w:val="36"/>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rFonts w:hint="eastAsia"/>
          <w:b/>
          <w:bCs/>
          <w:sz w:val="32"/>
          <w:lang w:eastAsia="zh-CN"/>
        </w:rPr>
      </w:pPr>
    </w:p>
    <w:p>
      <w:pPr>
        <w:pStyle w:val="6"/>
        <w:snapToGrid w:val="0"/>
        <w:spacing w:line="360" w:lineRule="auto"/>
        <w:ind w:firstLine="883" w:firstLineChars="275"/>
        <w:jc w:val="center"/>
        <w:rPr>
          <w:rFonts w:hint="eastAsia"/>
          <w:b/>
          <w:bCs/>
          <w:sz w:val="32"/>
          <w:lang w:eastAsia="zh-CN"/>
        </w:rPr>
      </w:pPr>
    </w:p>
    <w:p>
      <w:pPr>
        <w:spacing w:line="360" w:lineRule="auto"/>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谈判</w:t>
      </w:r>
      <w:r>
        <w:rPr>
          <w:rFonts w:hint="eastAsia" w:ascii="宋体" w:hAnsi="宋体"/>
          <w:b/>
          <w:sz w:val="36"/>
        </w:rPr>
        <w:t>响应声明函</w:t>
      </w:r>
    </w:p>
    <w:p>
      <w:pPr>
        <w:pStyle w:val="9"/>
        <w:spacing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cstheme="minorEastAsia"/>
          <w:color w:val="000000"/>
          <w:sz w:val="24"/>
          <w:szCs w:val="24"/>
          <w:lang w:val="en-US" w:eastAsia="zh-CN"/>
        </w:rPr>
        <w:t xml:space="preserve"> </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rPr>
          <w:rFonts w:hint="eastAsia" w:ascii="宋体" w:hAnsi="宋体"/>
          <w:b/>
          <w:sz w:val="32"/>
        </w:rPr>
      </w:pPr>
    </w:p>
    <w:p>
      <w:pPr>
        <w:spacing w:line="72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招标编号：</w:t>
      </w:r>
      <w:r>
        <w:rPr>
          <w:rFonts w:hint="eastAsia" w:asciiTheme="minorEastAsia" w:hAnsiTheme="minorEastAsia" w:cstheme="minorEastAsia"/>
          <w:color w:val="000000"/>
          <w:sz w:val="24"/>
          <w:szCs w:val="24"/>
          <w:lang w:eastAsia="zh-CN"/>
        </w:rPr>
        <w:t>宽坪乡保卫村2021年茶叶烘干房建设项目</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GZBL-CG21-A(2021-115号)</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4"/>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Style w:val="3"/>
        <w:jc w:val="both"/>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pStyle w:val="3"/>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工程造价专业人员业务水平等级资格章或注册造价师资格章；</w:t>
      </w:r>
      <w:r>
        <w:rPr>
          <w:rFonts w:hint="eastAsia" w:ascii="宋体" w:hAnsi="宋体"/>
          <w:b/>
          <w:sz w:val="24"/>
        </w:rPr>
        <w:t>）</w:t>
      </w:r>
    </w:p>
    <w:p>
      <w:pPr>
        <w:spacing w:line="360" w:lineRule="auto"/>
        <w:rPr>
          <w:rFonts w:hint="eastAsia" w:ascii="宋体" w:hAnsi="宋体"/>
          <w:b/>
          <w:sz w:val="32"/>
        </w:rPr>
      </w:pPr>
    </w:p>
    <w:p>
      <w:pPr>
        <w:spacing w:line="360" w:lineRule="auto"/>
        <w:jc w:val="center"/>
        <w:rPr>
          <w:rFonts w:ascii="宋体" w:hAnsi="宋体"/>
          <w:b/>
          <w:sz w:val="32"/>
        </w:rPr>
        <w:sectPr>
          <w:headerReference r:id="rId3" w:type="default"/>
          <w:footerReference r:id="rId4" w:type="default"/>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4"/>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9"/>
        <w:spacing w:line="360" w:lineRule="auto"/>
        <w:jc w:val="center"/>
        <w:rPr>
          <w:rFonts w:hint="eastAsia"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9"/>
        <w:spacing w:line="360" w:lineRule="auto"/>
        <w:rPr>
          <w:rFonts w:hint="eastAsia" w:hAnsi="宋体"/>
          <w:color w:val="000000"/>
          <w:sz w:val="24"/>
          <w:szCs w:val="24"/>
        </w:rPr>
      </w:pPr>
      <w:r>
        <w:rPr>
          <w:rFonts w:hint="eastAsia" w:hAnsi="宋体"/>
          <w:color w:val="000000"/>
          <w:sz w:val="24"/>
          <w:szCs w:val="24"/>
        </w:rPr>
        <w:t xml:space="preserve">投标人名称：           </w:t>
      </w:r>
    </w:p>
    <w:p>
      <w:pPr>
        <w:pStyle w:val="9"/>
        <w:spacing w:line="360" w:lineRule="auto"/>
        <w:rPr>
          <w:rFonts w:hint="eastAsia" w:hAnsi="宋体"/>
          <w:color w:val="000000"/>
          <w:sz w:val="24"/>
          <w:szCs w:val="24"/>
        </w:rPr>
      </w:pPr>
      <w:r>
        <w:rPr>
          <w:rFonts w:hint="eastAsia" w:hAnsi="宋体"/>
          <w:color w:val="000000"/>
          <w:sz w:val="24"/>
          <w:szCs w:val="24"/>
        </w:rPr>
        <w:t>招标编号：</w:t>
      </w:r>
    </w:p>
    <w:tbl>
      <w:tblPr>
        <w:tblStyle w:val="14"/>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9"/>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文件条目号</w:t>
            </w:r>
          </w:p>
        </w:tc>
        <w:tc>
          <w:tcPr>
            <w:tcW w:w="2118" w:type="dxa"/>
            <w:vAlign w:val="top"/>
          </w:tcPr>
          <w:p>
            <w:pPr>
              <w:pStyle w:val="9"/>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文件商务要求</w:t>
            </w:r>
          </w:p>
        </w:tc>
        <w:tc>
          <w:tcPr>
            <w:tcW w:w="2118" w:type="dxa"/>
            <w:vAlign w:val="top"/>
          </w:tcPr>
          <w:p>
            <w:pPr>
              <w:pStyle w:val="9"/>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文件商务响应</w:t>
            </w:r>
          </w:p>
        </w:tc>
        <w:tc>
          <w:tcPr>
            <w:tcW w:w="1245" w:type="dxa"/>
            <w:vAlign w:val="top"/>
          </w:tcPr>
          <w:p>
            <w:pPr>
              <w:pStyle w:val="9"/>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9"/>
              <w:keepNext w:val="0"/>
              <w:keepLines w:val="0"/>
              <w:suppressLineNumbers w:val="0"/>
              <w:spacing w:before="0" w:beforeAutospacing="0" w:after="0" w:afterAutospacing="0" w:line="400" w:lineRule="exact"/>
              <w:ind w:left="0" w:right="0"/>
              <w:rPr>
                <w:rFonts w:hint="eastAsia" w:hAnsi="宋体"/>
                <w:color w:val="000000"/>
                <w:sz w:val="24"/>
                <w:szCs w:val="24"/>
              </w:rPr>
            </w:pPr>
          </w:p>
        </w:tc>
      </w:tr>
    </w:tbl>
    <w:p>
      <w:pPr>
        <w:pStyle w:val="9"/>
        <w:spacing w:line="360" w:lineRule="auto"/>
        <w:jc w:val="center"/>
        <w:rPr>
          <w:rFonts w:hint="eastAsia" w:hAnsi="宋体"/>
          <w:b/>
          <w:color w:val="000000"/>
          <w:sz w:val="24"/>
          <w:szCs w:val="24"/>
        </w:rPr>
      </w:pPr>
    </w:p>
    <w:p>
      <w:pPr>
        <w:pStyle w:val="9"/>
        <w:spacing w:line="360" w:lineRule="auto"/>
        <w:jc w:val="center"/>
        <w:rPr>
          <w:rFonts w:hint="eastAsia" w:hAnsi="宋体"/>
          <w:b/>
          <w:color w:val="000000"/>
          <w:sz w:val="24"/>
          <w:szCs w:val="24"/>
        </w:rPr>
      </w:pPr>
    </w:p>
    <w:p>
      <w:pPr>
        <w:pStyle w:val="9"/>
        <w:spacing w:line="360" w:lineRule="auto"/>
        <w:jc w:val="center"/>
        <w:rPr>
          <w:rFonts w:hint="eastAsia" w:hAnsi="宋体"/>
          <w:b/>
          <w:color w:val="000000"/>
          <w:sz w:val="24"/>
          <w:szCs w:val="24"/>
        </w:rPr>
      </w:pPr>
    </w:p>
    <w:p>
      <w:pPr>
        <w:pStyle w:val="9"/>
        <w:spacing w:line="360" w:lineRule="auto"/>
        <w:jc w:val="both"/>
        <w:rPr>
          <w:rFonts w:hint="eastAsia" w:hAnsi="宋体"/>
          <w:b/>
          <w:color w:val="000000"/>
          <w:sz w:val="24"/>
          <w:szCs w:val="24"/>
        </w:rPr>
      </w:pPr>
    </w:p>
    <w:p>
      <w:pPr>
        <w:pStyle w:val="9"/>
        <w:spacing w:line="360" w:lineRule="auto"/>
        <w:rPr>
          <w:rFonts w:hint="eastAsia" w:hAnsi="宋体"/>
          <w:b/>
          <w:color w:val="000000"/>
          <w:sz w:val="24"/>
          <w:szCs w:val="24"/>
        </w:rPr>
      </w:pPr>
    </w:p>
    <w:p>
      <w:pPr>
        <w:pStyle w:val="9"/>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（项目编号）政府谈判邀请，本签字人愿意参加谈判，提供谈判文件“采购</w:t>
      </w:r>
      <w:r>
        <w:rPr>
          <w:rFonts w:hint="eastAsia" w:asciiTheme="minorEastAsia" w:hAnsiTheme="minorEastAsia" w:cstheme="minorEastAsia"/>
          <w:sz w:val="24"/>
          <w:szCs w:val="24"/>
          <w:lang w:eastAsia="zh-CN"/>
        </w:rPr>
        <w:t>服务</w:t>
      </w:r>
      <w:r>
        <w:rPr>
          <w:rFonts w:hint="eastAsia" w:asciiTheme="minorEastAsia" w:hAnsiTheme="minorEastAsia" w:eastAsiaTheme="minorEastAsia" w:cstheme="minorEastAsia"/>
          <w:sz w:val="24"/>
          <w:szCs w:val="24"/>
        </w:rPr>
        <w:t>及要求”中规定的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（合同包/品目号）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（货物名称），并证明提交的下列文件和说明是准确的和真实的。</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1．本签字人确认资格文件中的说明以及响应文件中所有提交的文件和材料是真实的、准确的。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2．我方的资格声明正本一份，副本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份，随响应文件一同递交。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谈判响应供应商代表签字：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8"/>
          <w:szCs w:val="28"/>
        </w:rPr>
        <w:t xml:space="preserve">      </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spacing w:line="360" w:lineRule="auto"/>
        <w:ind w:firstLine="720" w:firstLineChars="300"/>
        <w:rPr>
          <w:rFonts w:hint="eastAsia" w:asciiTheme="minorEastAsia" w:hAnsiTheme="minorEastAsia" w:eastAsiaTheme="minorEastAsia" w:cstheme="minorEastAsia"/>
          <w:color w:val="000000"/>
          <w:sz w:val="24"/>
          <w:szCs w:val="24"/>
        </w:rPr>
      </w:pPr>
    </w:p>
    <w:p>
      <w:pPr>
        <w:pStyle w:val="9"/>
        <w:spacing w:line="360" w:lineRule="auto"/>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（1）工商营业执照副本；</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（2）税务登记证；（三证合一的，可不提供）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（3）组织机构代码证；（三证合一的，可不提供）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（4）法定代表人身份证或委托代理人持授权委托书及法人代表身份证、代理人身份证；</w:t>
      </w:r>
    </w:p>
    <w:p>
      <w:pPr>
        <w:autoSpaceDE w:val="0"/>
        <w:autoSpaceDN w:val="0"/>
        <w:adjustRightInd w:val="0"/>
        <w:spacing w:line="480" w:lineRule="exact"/>
        <w:ind w:right="560"/>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
          <w:bCs/>
          <w:sz w:val="28"/>
          <w:szCs w:val="28"/>
        </w:rPr>
      </w:pP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360" w:lineRule="auto"/>
        <w:jc w:val="center"/>
        <w:rPr>
          <w:rStyle w:val="15"/>
          <w:rFonts w:hint="eastAsia" w:ascii="宋体" w:hAnsi="宋体"/>
          <w:b/>
          <w:spacing w:val="6"/>
          <w:sz w:val="28"/>
          <w:szCs w:val="28"/>
          <w:lang w:val="en-US" w:eastAsia="zh-CN" w:bidi="ar-SA"/>
        </w:rPr>
      </w:pPr>
      <w:r>
        <w:rPr>
          <w:rStyle w:val="15"/>
          <w:rFonts w:ascii="宋体" w:hAnsi="宋体"/>
          <w:b/>
          <w:spacing w:val="6"/>
          <w:sz w:val="28"/>
          <w:szCs w:val="28"/>
          <w:lang w:val="en-US" w:eastAsia="zh-CN" w:bidi="ar-SA"/>
        </w:rPr>
        <w:t>残疾人福利性单位声明函</w:t>
      </w:r>
    </w:p>
    <w:p>
      <w:pPr>
        <w:pStyle w:val="29"/>
        <w:bidi w:val="0"/>
        <w:spacing w:line="360" w:lineRule="auto"/>
        <w:jc w:val="center"/>
        <w:rPr>
          <w:rStyle w:val="15"/>
          <w:rFonts w:ascii="宋体" w:hAnsi="宋体"/>
          <w:b/>
          <w:spacing w:val="6"/>
          <w:sz w:val="28"/>
          <w:szCs w:val="28"/>
          <w:lang w:val="en-US" w:eastAsia="zh-CN" w:bidi="ar-SA"/>
        </w:rPr>
      </w:pPr>
    </w:p>
    <w:p>
      <w:pPr>
        <w:pStyle w:val="29"/>
        <w:bidi w:val="0"/>
        <w:spacing w:line="588" w:lineRule="exact"/>
        <w:ind w:firstLine="504" w:firstLineChars="200"/>
        <w:rPr>
          <w:rStyle w:val="15"/>
          <w:rFonts w:ascii="宋体" w:hAnsi="宋体"/>
          <w:spacing w:val="6"/>
          <w:sz w:val="24"/>
          <w:szCs w:val="24"/>
          <w:lang w:val="en-US" w:eastAsia="zh-CN" w:bidi="ar-SA"/>
        </w:rPr>
      </w:pPr>
      <w:r>
        <w:rPr>
          <w:rStyle w:val="15"/>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bidi w:val="0"/>
        <w:spacing w:line="588" w:lineRule="exact"/>
        <w:ind w:firstLine="504" w:firstLineChars="200"/>
        <w:rPr>
          <w:rStyle w:val="15"/>
          <w:rFonts w:ascii="宋体" w:hAnsi="宋体"/>
          <w:spacing w:val="6"/>
          <w:sz w:val="24"/>
          <w:szCs w:val="24"/>
          <w:lang w:val="en-US" w:eastAsia="zh-CN" w:bidi="ar-SA"/>
        </w:rPr>
      </w:pPr>
      <w:r>
        <w:rPr>
          <w:rStyle w:val="15"/>
          <w:rFonts w:hint="eastAsia" w:ascii="宋体" w:hAnsi="宋体"/>
          <w:spacing w:val="6"/>
          <w:sz w:val="24"/>
          <w:szCs w:val="24"/>
          <w:lang w:val="en-US" w:eastAsia="zh-CN" w:bidi="ar-SA"/>
        </w:rPr>
        <w:t>本单位对上述声明的真实性负责。如有虚假，将依法承担相应责任。</w:t>
      </w:r>
    </w:p>
    <w:p>
      <w:pPr>
        <w:pStyle w:val="29"/>
        <w:bidi w:val="0"/>
        <w:spacing w:line="360" w:lineRule="auto"/>
        <w:ind w:firstLine="504" w:firstLineChars="200"/>
        <w:rPr>
          <w:rStyle w:val="15"/>
          <w:rFonts w:ascii="宋体" w:hAnsi="宋体"/>
          <w:color w:val="993300"/>
          <w:spacing w:val="6"/>
          <w:sz w:val="24"/>
          <w:lang w:val="en-US" w:eastAsia="zh-CN" w:bidi="ar-SA"/>
        </w:rPr>
      </w:pPr>
    </w:p>
    <w:p>
      <w:pPr>
        <w:pStyle w:val="29"/>
        <w:tabs>
          <w:tab w:val="left" w:pos="4860"/>
        </w:tabs>
        <w:bidi w:val="0"/>
        <w:spacing w:line="360" w:lineRule="auto"/>
        <w:ind w:right="1560" w:firstLine="504" w:firstLineChars="200"/>
        <w:jc w:val="center"/>
        <w:rPr>
          <w:rStyle w:val="15"/>
          <w:rFonts w:ascii="宋体" w:hAnsi="宋体"/>
          <w:spacing w:val="6"/>
          <w:sz w:val="24"/>
          <w:lang w:val="en-US" w:eastAsia="zh-CN" w:bidi="ar-SA"/>
        </w:rPr>
      </w:pPr>
      <w:r>
        <w:rPr>
          <w:rStyle w:val="15"/>
          <w:rFonts w:hint="eastAsia" w:ascii="宋体" w:hAnsi="宋体"/>
          <w:spacing w:val="6"/>
          <w:sz w:val="24"/>
          <w:lang w:val="en-US" w:eastAsia="zh-CN" w:bidi="ar-SA"/>
        </w:rPr>
        <w:t xml:space="preserve">              </w:t>
      </w:r>
    </w:p>
    <w:p>
      <w:pPr>
        <w:pStyle w:val="29"/>
        <w:tabs>
          <w:tab w:val="left" w:pos="4860"/>
        </w:tabs>
        <w:bidi w:val="0"/>
        <w:spacing w:line="360" w:lineRule="auto"/>
        <w:ind w:right="1560" w:firstLine="504" w:firstLineChars="200"/>
        <w:jc w:val="center"/>
        <w:rPr>
          <w:rStyle w:val="15"/>
          <w:rFonts w:ascii="宋体" w:hAnsi="宋体"/>
          <w:spacing w:val="6"/>
          <w:sz w:val="24"/>
          <w:lang w:val="en-US" w:eastAsia="zh-CN" w:bidi="ar-SA"/>
        </w:rPr>
      </w:pPr>
      <w:r>
        <w:rPr>
          <w:rStyle w:val="15"/>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5"/>
          <w:rFonts w:hint="eastAsia" w:ascii="宋体" w:hAnsi="宋体" w:cs="Arial"/>
          <w:sz w:val="24"/>
          <w:lang w:val="en-US" w:eastAsia="zh-CN" w:bidi="ar-SA"/>
        </w:rPr>
      </w:pPr>
      <w:r>
        <w:rPr>
          <w:rStyle w:val="15"/>
          <w:rFonts w:hint="eastAsia" w:ascii="宋体" w:hAnsi="宋体"/>
          <w:sz w:val="24"/>
          <w:lang w:val="en-US" w:eastAsia="zh-CN" w:bidi="ar-SA"/>
        </w:rPr>
        <w:t>日期：</w:t>
      </w:r>
      <w:r>
        <w:rPr>
          <w:rStyle w:val="15"/>
          <w:rFonts w:hint="eastAsia" w:ascii="宋体" w:hAnsi="宋体" w:cs="Arial"/>
          <w:sz w:val="24"/>
          <w:lang w:val="en-US" w:eastAsia="zh-CN" w:bidi="ar-SA"/>
        </w:rPr>
        <w:t>20  年   月   日</w:t>
      </w: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right"/>
        <w:rPr>
          <w:rStyle w:val="15"/>
          <w:rFonts w:hint="eastAsia" w:ascii="宋体" w:hAnsi="宋体" w:cs="Arial"/>
          <w:sz w:val="24"/>
          <w:lang w:val="en-US" w:eastAsia="zh-CN" w:bidi="ar-SA"/>
        </w:rPr>
      </w:pPr>
    </w:p>
    <w:p>
      <w:pPr>
        <w:adjustRightInd w:val="0"/>
        <w:snapToGrid w:val="0"/>
        <w:spacing w:beforeLines="50" w:afterLines="50" w:line="360" w:lineRule="auto"/>
        <w:jc w:val="both"/>
        <w:rPr>
          <w:rStyle w:val="15"/>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spacing w:line="360" w:lineRule="auto"/>
        <w:jc w:val="center"/>
        <w:outlineLvl w:val="0"/>
        <w:rPr>
          <w:rFonts w:hint="eastAsia" w:ascii="宋体" w:hAnsi="宋体"/>
          <w:b/>
          <w:bCs/>
          <w:sz w:val="36"/>
          <w:szCs w:val="36"/>
        </w:rPr>
      </w:pPr>
      <w:r>
        <w:rPr>
          <w:rFonts w:hint="eastAsia" w:ascii="宋体" w:hAnsi="宋体"/>
          <w:b/>
          <w:bCs/>
          <w:sz w:val="36"/>
          <w:szCs w:val="36"/>
          <w:lang w:val="en-US" w:eastAsia="zh-CN"/>
        </w:rPr>
        <w:t>七、</w:t>
      </w:r>
      <w:r>
        <w:rPr>
          <w:rFonts w:hint="eastAsia" w:ascii="宋体" w:hAnsi="宋体"/>
          <w:b/>
          <w:bCs/>
          <w:sz w:val="36"/>
          <w:szCs w:val="36"/>
        </w:rPr>
        <w:t>其他材料</w:t>
      </w:r>
    </w:p>
    <w:p>
      <w:pPr>
        <w:jc w:val="center"/>
        <w:rPr>
          <w:rFonts w:hint="eastAsia"/>
          <w:sz w:val="24"/>
          <w:szCs w:val="24"/>
        </w:rPr>
      </w:pPr>
      <w:r>
        <w:rPr>
          <w:rFonts w:hint="eastAsia"/>
          <w:sz w:val="24"/>
          <w:szCs w:val="24"/>
        </w:rPr>
        <w:t>投标供应商认为需要提供的其他证明材料，格式自拟</w:t>
      </w:r>
    </w:p>
    <w:p>
      <w:pPr>
        <w:numPr>
          <w:ilvl w:val="0"/>
          <w:numId w:val="5"/>
        </w:numPr>
        <w:rPr>
          <w:rFonts w:hint="eastAsia"/>
          <w:sz w:val="24"/>
          <w:szCs w:val="24"/>
        </w:rPr>
      </w:pPr>
      <w:r>
        <w:rPr>
          <w:rFonts w:hint="eastAsia"/>
          <w:sz w:val="24"/>
          <w:szCs w:val="24"/>
        </w:rPr>
        <w:t xml:space="preserve">投标保证金 </w:t>
      </w:r>
    </w:p>
    <w:p>
      <w:pPr>
        <w:numPr>
          <w:ilvl w:val="0"/>
          <w:numId w:val="5"/>
        </w:numPr>
        <w:rPr>
          <w:sz w:val="24"/>
          <w:szCs w:val="24"/>
        </w:rPr>
      </w:pPr>
      <w:r>
        <w:rPr>
          <w:rFonts w:hint="eastAsia"/>
          <w:sz w:val="24"/>
          <w:szCs w:val="24"/>
        </w:rPr>
        <w:t>人员、</w:t>
      </w:r>
    </w:p>
    <w:p>
      <w:pPr>
        <w:numPr>
          <w:ilvl w:val="0"/>
          <w:numId w:val="5"/>
        </w:numPr>
        <w:rPr>
          <w:sz w:val="24"/>
          <w:szCs w:val="24"/>
        </w:rPr>
      </w:pPr>
      <w:r>
        <w:rPr>
          <w:rFonts w:hint="eastAsia"/>
          <w:sz w:val="24"/>
          <w:szCs w:val="24"/>
        </w:rPr>
        <w:t xml:space="preserve">…… </w:t>
      </w:r>
    </w:p>
    <w:p>
      <w:pPr>
        <w:spacing w:line="360" w:lineRule="auto"/>
        <w:ind w:firstLine="435"/>
        <w:rPr>
          <w:rFonts w:ascii="宋体" w:hAnsi="宋体"/>
          <w:sz w:val="24"/>
          <w:szCs w:val="24"/>
        </w:rPr>
      </w:pP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60</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60</w:t>
    </w:r>
    <w:r>
      <w:rPr>
        <w:rFonts w:ascii="宋体" w:hAnsi="宋体"/>
      </w:rPr>
      <w:fldChar w:fldCharType="end"/>
    </w:r>
    <w:r>
      <w:rPr>
        <w:rStyle w:val="18"/>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97</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97</w:t>
    </w:r>
    <w:r>
      <w:rPr>
        <w:rFonts w:ascii="宋体" w:hAnsi="宋体"/>
      </w:rPr>
      <w:fldChar w:fldCharType="end"/>
    </w:r>
    <w:r>
      <w:rPr>
        <w:rStyle w:val="18"/>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03F52"/>
    <w:multiLevelType w:val="singleLevel"/>
    <w:tmpl w:val="BD503F52"/>
    <w:lvl w:ilvl="0" w:tentative="0">
      <w:start w:val="1"/>
      <w:numFmt w:val="decimal"/>
      <w:suff w:val="nothing"/>
      <w:lvlText w:val="%1、"/>
      <w:lvlJc w:val="left"/>
    </w:lvl>
  </w:abstractNum>
  <w:abstractNum w:abstractNumId="1">
    <w:nsid w:val="DB10D18C"/>
    <w:multiLevelType w:val="singleLevel"/>
    <w:tmpl w:val="DB10D18C"/>
    <w:lvl w:ilvl="0" w:tentative="0">
      <w:start w:val="3"/>
      <w:numFmt w:val="chineseCounting"/>
      <w:suff w:val="nothing"/>
      <w:lvlText w:val="%1、"/>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E837DD"/>
    <w:multiLevelType w:val="singleLevel"/>
    <w:tmpl w:val="59E837DD"/>
    <w:lvl w:ilvl="0" w:tentative="0">
      <w:start w:val="6"/>
      <w:numFmt w:val="chineseCounting"/>
      <w:suff w:val="nothing"/>
      <w:lvlText w:val="%1、"/>
      <w:lvlJc w:val="left"/>
    </w:lvl>
  </w:abstractNum>
  <w:abstractNum w:abstractNumId="4">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49217A3"/>
    <w:rsid w:val="085F3A07"/>
    <w:rsid w:val="08EA3594"/>
    <w:rsid w:val="0DC81468"/>
    <w:rsid w:val="0F5869D0"/>
    <w:rsid w:val="10491CC4"/>
    <w:rsid w:val="132E0C71"/>
    <w:rsid w:val="13623309"/>
    <w:rsid w:val="158244D2"/>
    <w:rsid w:val="1A8704EC"/>
    <w:rsid w:val="1A94733B"/>
    <w:rsid w:val="1C9D20D0"/>
    <w:rsid w:val="1CE16C05"/>
    <w:rsid w:val="1E3F2E53"/>
    <w:rsid w:val="243B0290"/>
    <w:rsid w:val="25F3119D"/>
    <w:rsid w:val="27E7758A"/>
    <w:rsid w:val="27FB5A8F"/>
    <w:rsid w:val="281828B6"/>
    <w:rsid w:val="285D3BBB"/>
    <w:rsid w:val="28D531A9"/>
    <w:rsid w:val="2AD83524"/>
    <w:rsid w:val="2E1C648C"/>
    <w:rsid w:val="352A215E"/>
    <w:rsid w:val="35E47A81"/>
    <w:rsid w:val="37F96322"/>
    <w:rsid w:val="3A3417B7"/>
    <w:rsid w:val="3A350F5F"/>
    <w:rsid w:val="3AF84CD2"/>
    <w:rsid w:val="3B740AEF"/>
    <w:rsid w:val="42CE5F42"/>
    <w:rsid w:val="468839B0"/>
    <w:rsid w:val="4D8A08D6"/>
    <w:rsid w:val="57F62695"/>
    <w:rsid w:val="58EC53F0"/>
    <w:rsid w:val="5AA10FB1"/>
    <w:rsid w:val="61F50BF7"/>
    <w:rsid w:val="624C43BE"/>
    <w:rsid w:val="64552F2F"/>
    <w:rsid w:val="67E21C5B"/>
    <w:rsid w:val="6BE5697A"/>
    <w:rsid w:val="6E0A0B59"/>
    <w:rsid w:val="6E3F5236"/>
    <w:rsid w:val="6E9A5852"/>
    <w:rsid w:val="72AB522E"/>
    <w:rsid w:val="73137394"/>
    <w:rsid w:val="73DE445E"/>
    <w:rsid w:val="763349E4"/>
    <w:rsid w:val="76CE5F0A"/>
    <w:rsid w:val="7935395D"/>
    <w:rsid w:val="79954E94"/>
    <w:rsid w:val="79CD5378"/>
    <w:rsid w:val="7A8A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Char Char Char Char Char Char"/>
    <w:basedOn w:val="1"/>
    <w:link w:val="15"/>
    <w:qFormat/>
    <w:uiPriority w:val="0"/>
    <w:rPr>
      <w:rFonts w:ascii="Times New Roman" w:hAnsi="Times New Roman"/>
      <w:szCs w:val="24"/>
    </w:rPr>
  </w:style>
  <w:style w:type="character" w:styleId="17">
    <w:name w:val="Strong"/>
    <w:basedOn w:val="15"/>
    <w:qFormat/>
    <w:uiPriority w:val="0"/>
    <w:rPr>
      <w:b/>
    </w:rPr>
  </w:style>
  <w:style w:type="character" w:styleId="18">
    <w:name w:val="page number"/>
    <w:basedOn w:val="15"/>
    <w:qFormat/>
    <w:uiPriority w:val="0"/>
  </w:style>
  <w:style w:type="character" w:styleId="19">
    <w:name w:val="Hyperlink"/>
    <w:qFormat/>
    <w:uiPriority w:val="0"/>
    <w:rPr>
      <w:color w:val="0000FF"/>
      <w:u w:val="single"/>
    </w:rPr>
  </w:style>
  <w:style w:type="character" w:styleId="20">
    <w:name w:val="annotation reference"/>
    <w:basedOn w:val="15"/>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2">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3">
    <w:name w:val=" Char Char Char Char Char Char Char"/>
    <w:basedOn w:val="1"/>
    <w:qFormat/>
    <w:uiPriority w:val="0"/>
    <w:rPr>
      <w:rFonts w:ascii="Times New Roman" w:hAnsi="Times New Roman"/>
      <w:szCs w:val="24"/>
    </w:rPr>
  </w:style>
  <w:style w:type="paragraph" w:customStyle="1" w:styleId="24">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5">
    <w:name w:val="样式3"/>
    <w:basedOn w:val="9"/>
    <w:qFormat/>
    <w:uiPriority w:val="0"/>
    <w:pPr>
      <w:spacing w:line="0" w:lineRule="atLeast"/>
      <w:outlineLvl w:val="0"/>
    </w:pPr>
    <w:rPr>
      <w:sz w:val="28"/>
    </w:rPr>
  </w:style>
  <w:style w:type="paragraph" w:customStyle="1" w:styleId="26">
    <w:name w:val="p0"/>
    <w:basedOn w:val="1"/>
    <w:qFormat/>
    <w:uiPriority w:val="0"/>
    <w:pPr>
      <w:widowControl/>
    </w:pPr>
    <w:rPr>
      <w:kern w:val="0"/>
      <w:szCs w:val="21"/>
    </w:rPr>
  </w:style>
  <w:style w:type="paragraph" w:customStyle="1" w:styleId="2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28">
    <w:name w:val="p141"/>
    <w:qFormat/>
    <w:uiPriority w:val="0"/>
    <w:rPr>
      <w:sz w:val="21"/>
      <w:szCs w:val="21"/>
    </w:rPr>
  </w:style>
  <w:style w:type="paragraph" w:customStyle="1" w:styleId="29">
    <w:name w:val="Normal_22"/>
    <w:qFormat/>
    <w:uiPriority w:val="0"/>
    <w:rPr>
      <w:rFonts w:ascii="Times New Roman" w:hAnsi="Times New Roman" w:eastAsia="宋体" w:cs="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人生若只如初见</cp:lastModifiedBy>
  <dcterms:modified xsi:type="dcterms:W3CDTF">2021-09-22T03:06:55Z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37C0CB43371F4EE2B2A536E5A5057751</vt:lpwstr>
  </property>
</Properties>
</file>