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中标（成交）结果公告</w:t>
      </w:r>
      <w:bookmarkEnd w:id="0"/>
      <w:bookmarkEnd w:id="1"/>
    </w:p>
    <w:p>
      <w:pPr>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一、</w:t>
      </w:r>
      <w:r>
        <w:rPr>
          <w:rFonts w:hint="eastAsia" w:ascii="黑体" w:hAnsi="黑体" w:eastAsia="黑体"/>
          <w:sz w:val="28"/>
          <w:szCs w:val="28"/>
        </w:rPr>
        <w:t>项目编号：TRZFCG-2021-</w:t>
      </w:r>
      <w:r>
        <w:rPr>
          <w:rFonts w:hint="eastAsia" w:ascii="黑体" w:hAnsi="黑体" w:eastAsia="黑体"/>
          <w:sz w:val="28"/>
          <w:szCs w:val="28"/>
          <w:lang w:val="en-US" w:eastAsia="zh-CN"/>
        </w:rPr>
        <w:t>101</w:t>
      </w:r>
    </w:p>
    <w:p>
      <w:pPr>
        <w:pageBreakBefore w:val="0"/>
        <w:widowControl w:val="0"/>
        <w:numPr>
          <w:ilvl w:val="0"/>
          <w:numId w:val="0"/>
        </w:numPr>
        <w:kinsoku/>
        <w:wordWrap/>
        <w:overflowPunct/>
        <w:topLinePunct w:val="0"/>
        <w:autoSpaceDE/>
        <w:autoSpaceDN/>
        <w:bidi w:val="0"/>
        <w:adjustRightInd/>
        <w:snapToGrid/>
        <w:ind w:left="1960" w:leftChars="0" w:hanging="1960" w:hangingChars="700"/>
        <w:textAlignment w:val="auto"/>
        <w:rPr>
          <w:rFonts w:hint="eastAsia" w:ascii="黑体" w:hAnsi="黑体" w:eastAsia="黑体"/>
          <w:sz w:val="28"/>
          <w:szCs w:val="28"/>
          <w:lang w:eastAsia="zh-CN"/>
        </w:rPr>
      </w:pPr>
      <w:r>
        <w:rPr>
          <w:rFonts w:hint="eastAsia" w:ascii="黑体" w:hAnsi="黑体" w:eastAsia="黑体"/>
          <w:sz w:val="28"/>
          <w:szCs w:val="28"/>
          <w:lang w:val="en-US" w:eastAsia="zh-CN"/>
        </w:rPr>
        <w:t>二、</w:t>
      </w:r>
      <w:r>
        <w:rPr>
          <w:rFonts w:hint="eastAsia" w:ascii="黑体" w:hAnsi="黑体" w:eastAsia="黑体"/>
          <w:sz w:val="28"/>
          <w:szCs w:val="28"/>
        </w:rPr>
        <w:t>项目名称：</w:t>
      </w:r>
      <w:r>
        <w:rPr>
          <w:rFonts w:hint="eastAsia" w:ascii="黑体" w:hAnsi="黑体" w:eastAsia="黑体" w:cs="黑体"/>
          <w:b w:val="0"/>
          <w:bCs/>
          <w:color w:val="000000"/>
          <w:sz w:val="28"/>
          <w:szCs w:val="28"/>
          <w:lang w:eastAsia="zh-CN"/>
        </w:rPr>
        <w:t>铜仁市人民医院门诊医技楼增设扶梯及儿童医院至门诊室外廊医用电梯采购及安装工程</w:t>
      </w:r>
    </w:p>
    <w:p>
      <w:pPr>
        <w:pageBreakBefore w:val="0"/>
        <w:widowControl w:val="0"/>
        <w:numPr>
          <w:ilvl w:val="0"/>
          <w:numId w:val="0"/>
        </w:numPr>
        <w:kinsoku/>
        <w:wordWrap/>
        <w:overflowPunct/>
        <w:topLinePunct w:val="0"/>
        <w:autoSpaceDE/>
        <w:autoSpaceDN/>
        <w:bidi w:val="0"/>
        <w:adjustRightInd/>
        <w:snapToGrid/>
        <w:ind w:leftChars="0"/>
        <w:textAlignment w:val="auto"/>
        <w:rPr>
          <w:rFonts w:ascii="黑体" w:hAnsi="黑体" w:eastAsia="黑体"/>
          <w:sz w:val="28"/>
          <w:szCs w:val="28"/>
        </w:rPr>
      </w:pPr>
      <w:r>
        <w:rPr>
          <w:rFonts w:hint="eastAsia" w:ascii="黑体" w:hAnsi="黑体" w:eastAsia="黑体"/>
          <w:sz w:val="28"/>
          <w:szCs w:val="28"/>
        </w:rPr>
        <w:t>三、中标（成交）信息</w:t>
      </w:r>
    </w:p>
    <w:p>
      <w:pPr>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供应商名称：</w:t>
      </w:r>
      <w:bookmarkStart w:id="14" w:name="_GoBack"/>
      <w:r>
        <w:rPr>
          <w:rFonts w:hint="eastAsia" w:ascii="仿宋" w:hAnsi="仿宋" w:eastAsia="仿宋"/>
          <w:sz w:val="28"/>
          <w:szCs w:val="28"/>
          <w:lang w:val="en-US" w:eastAsia="zh-CN"/>
        </w:rPr>
        <w:t>贵州昌晶伟电梯工程有限公司</w:t>
      </w:r>
      <w:bookmarkEnd w:id="14"/>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供应商地址：贵州省贵阳市南明区玉厂路263号同欣苑B栋（B）1单元2层2号[遵义社区]</w:t>
      </w:r>
    </w:p>
    <w:p>
      <w:pPr>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lang w:val="en-US" w:eastAsia="zh-CN"/>
        </w:rPr>
        <w:t>3312000元</w:t>
      </w:r>
    </w:p>
    <w:p>
      <w:pPr>
        <w:pageBreakBefore w:val="0"/>
        <w:widowControl w:val="0"/>
        <w:kinsoku/>
        <w:wordWrap/>
        <w:overflowPunct/>
        <w:topLinePunct w:val="0"/>
        <w:autoSpaceDE/>
        <w:autoSpaceDN/>
        <w:bidi w:val="0"/>
        <w:adjustRightInd/>
        <w:snapToGrid/>
        <w:textAlignment w:val="auto"/>
        <w:rPr>
          <w:rFonts w:ascii="黑体" w:hAnsi="黑体" w:eastAsia="黑体"/>
          <w:sz w:val="28"/>
          <w:szCs w:val="28"/>
        </w:rPr>
      </w:pPr>
      <w:r>
        <w:rPr>
          <w:rFonts w:hint="eastAsia" w:ascii="黑体" w:hAnsi="黑体" w:eastAsia="黑体"/>
          <w:sz w:val="28"/>
          <w:szCs w:val="28"/>
        </w:rPr>
        <w:t>四、主要标的信息</w:t>
      </w:r>
    </w:p>
    <w:tbl>
      <w:tblPr>
        <w:tblStyle w:val="10"/>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60" w:type="dxa"/>
          </w:tcPr>
          <w:p>
            <w:pPr>
              <w:pageBreakBefore w:val="0"/>
              <w:widowControl w:val="0"/>
              <w:kinsoku/>
              <w:wordWrap/>
              <w:overflowPunct/>
              <w:topLinePunct w:val="0"/>
              <w:autoSpaceDE/>
              <w:autoSpaceDN/>
              <w:bidi w:val="0"/>
              <w:adjustRightInd/>
              <w:snapToGrid/>
              <w:jc w:val="center"/>
              <w:textAlignment w:val="auto"/>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8360" w:type="dxa"/>
          </w:tcPr>
          <w:p>
            <w:pPr>
              <w:pageBreakBefore w:val="0"/>
              <w:widowControl w:val="0"/>
              <w:numPr>
                <w:ilvl w:val="0"/>
                <w:numId w:val="0"/>
              </w:numPr>
              <w:kinsoku/>
              <w:wordWrap/>
              <w:overflowPunct/>
              <w:topLinePunct w:val="0"/>
              <w:autoSpaceDE/>
              <w:autoSpaceDN/>
              <w:bidi w:val="0"/>
              <w:adjustRightInd/>
              <w:snapToGrid/>
              <w:ind w:left="1960" w:hanging="1960" w:hangingChars="700"/>
              <w:jc w:val="left"/>
              <w:textAlignment w:val="auto"/>
              <w:rPr>
                <w:rFonts w:hint="eastAsia" w:ascii="仿宋" w:hAnsi="仿宋" w:eastAsia="仿宋"/>
                <w:kern w:val="0"/>
                <w:sz w:val="28"/>
                <w:szCs w:val="28"/>
              </w:rPr>
            </w:pPr>
            <w:r>
              <w:rPr>
                <w:rFonts w:hint="eastAsia" w:ascii="仿宋" w:hAnsi="仿宋" w:eastAsia="仿宋"/>
                <w:kern w:val="0"/>
                <w:sz w:val="28"/>
                <w:szCs w:val="28"/>
              </w:rPr>
              <w:t>名称：</w:t>
            </w:r>
            <w:r>
              <w:rPr>
                <w:rFonts w:hint="eastAsia" w:ascii="黑体" w:hAnsi="黑体" w:eastAsia="黑体" w:cs="黑体"/>
                <w:b w:val="0"/>
                <w:bCs/>
                <w:color w:val="000000"/>
                <w:sz w:val="28"/>
                <w:szCs w:val="28"/>
                <w:lang w:eastAsia="zh-CN"/>
              </w:rPr>
              <w:t>铜仁市人民医院门诊医技楼增设扶梯及儿童医院至门诊室外廊医用电梯采购及安装工程</w:t>
            </w:r>
          </w:p>
          <w:p>
            <w:pPr>
              <w:pageBreakBefore w:val="0"/>
              <w:widowControl w:val="0"/>
              <w:kinsoku/>
              <w:wordWrap/>
              <w:overflowPunct/>
              <w:topLinePunct w:val="0"/>
              <w:autoSpaceDE/>
              <w:autoSpaceDN/>
              <w:bidi w:val="0"/>
              <w:adjustRightInd/>
              <w:snapToGrid/>
              <w:textAlignment w:val="auto"/>
              <w:rPr>
                <w:rFonts w:hint="eastAsia" w:ascii="仿宋" w:hAnsi="仿宋" w:eastAsia="仿宋"/>
                <w:kern w:val="0"/>
                <w:sz w:val="28"/>
                <w:szCs w:val="28"/>
                <w:lang w:val="en-US" w:eastAsia="zh-CN"/>
              </w:rPr>
            </w:pPr>
            <w:r>
              <w:rPr>
                <w:rFonts w:hint="eastAsia" w:ascii="仿宋" w:hAnsi="仿宋" w:eastAsia="仿宋"/>
                <w:kern w:val="0"/>
                <w:sz w:val="28"/>
                <w:szCs w:val="28"/>
              </w:rPr>
              <w:t>品牌（如有）：</w:t>
            </w:r>
            <w:r>
              <w:rPr>
                <w:rFonts w:hint="eastAsia" w:ascii="仿宋" w:hAnsi="仿宋" w:eastAsia="仿宋"/>
                <w:kern w:val="0"/>
                <w:sz w:val="28"/>
                <w:szCs w:val="28"/>
                <w:lang w:val="en-US" w:eastAsia="zh-CN"/>
              </w:rPr>
              <w:t>迅达</w:t>
            </w:r>
          </w:p>
          <w:p>
            <w:pPr>
              <w:pageBreakBefore w:val="0"/>
              <w:widowControl w:val="0"/>
              <w:kinsoku/>
              <w:wordWrap/>
              <w:overflowPunct/>
              <w:topLinePunct w:val="0"/>
              <w:autoSpaceDE/>
              <w:autoSpaceDN/>
              <w:bidi w:val="0"/>
              <w:adjustRightInd/>
              <w:snapToGrid/>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规格型号：</w:t>
            </w:r>
            <w:r>
              <w:rPr>
                <w:rFonts w:hint="eastAsia" w:ascii="仿宋" w:hAnsi="仿宋" w:eastAsia="仿宋"/>
                <w:kern w:val="0"/>
                <w:sz w:val="28"/>
                <w:szCs w:val="28"/>
                <w:lang w:val="en-US" w:eastAsia="zh-CN"/>
              </w:rPr>
              <w:t>电梯、扶梯</w:t>
            </w:r>
          </w:p>
          <w:p>
            <w:pPr>
              <w:pageBreakBefore w:val="0"/>
              <w:widowControl w:val="0"/>
              <w:kinsoku/>
              <w:wordWrap/>
              <w:overflowPunct/>
              <w:topLinePunct w:val="0"/>
              <w:autoSpaceDE/>
              <w:autoSpaceDN/>
              <w:bidi w:val="0"/>
              <w:adjustRightInd/>
              <w:snapToGrid/>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数量：</w:t>
            </w:r>
            <w:r>
              <w:rPr>
                <w:rFonts w:hint="eastAsia" w:ascii="仿宋" w:hAnsi="仿宋" w:eastAsia="仿宋"/>
                <w:kern w:val="0"/>
                <w:sz w:val="28"/>
                <w:szCs w:val="28"/>
                <w:lang w:val="en-US" w:eastAsia="zh-CN"/>
              </w:rPr>
              <w:t>一批</w:t>
            </w:r>
          </w:p>
          <w:p>
            <w:pPr>
              <w:pageBreakBefore w:val="0"/>
              <w:widowControl w:val="0"/>
              <w:kinsoku/>
              <w:wordWrap/>
              <w:overflowPunct/>
              <w:topLinePunct w:val="0"/>
              <w:autoSpaceDE/>
              <w:autoSpaceDN/>
              <w:bidi w:val="0"/>
              <w:adjustRightInd/>
              <w:snapToGrid/>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单价：</w:t>
            </w:r>
            <w:r>
              <w:rPr>
                <w:rFonts w:hint="eastAsia" w:ascii="仿宋" w:hAnsi="仿宋" w:eastAsia="仿宋"/>
                <w:sz w:val="28"/>
                <w:szCs w:val="28"/>
                <w:lang w:val="en-US" w:eastAsia="zh-CN"/>
              </w:rPr>
              <w:t>3312000元</w:t>
            </w:r>
          </w:p>
        </w:tc>
      </w:tr>
    </w:tbl>
    <w:p>
      <w:pPr>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kern w:val="0"/>
          <w:sz w:val="28"/>
          <w:szCs w:val="28"/>
          <w:lang w:eastAsia="zh-CN"/>
        </w:rPr>
      </w:pPr>
      <w:r>
        <w:rPr>
          <w:rFonts w:hint="eastAsia" w:ascii="黑体" w:hAnsi="黑体" w:eastAsia="黑体"/>
          <w:sz w:val="28"/>
          <w:szCs w:val="28"/>
        </w:rPr>
        <w:t>评审专家名单：</w:t>
      </w:r>
      <w:r>
        <w:rPr>
          <w:rFonts w:hint="eastAsia" w:ascii="黑体" w:hAnsi="黑体" w:eastAsia="黑体"/>
          <w:sz w:val="28"/>
          <w:szCs w:val="28"/>
          <w:lang w:val="en-US" w:eastAsia="zh-CN"/>
        </w:rPr>
        <w:t>王平和、石再刚、钟丽芳、陈坤福、杨黔源（业主专家）</w:t>
      </w:r>
      <w:r>
        <w:rPr>
          <w:rFonts w:hint="eastAsia" w:ascii="黑体" w:hAnsi="黑体" w:eastAsia="黑体"/>
          <w:sz w:val="28"/>
          <w:szCs w:val="28"/>
          <w:lang w:eastAsia="zh-CN"/>
        </w:rPr>
        <w:t>。</w:t>
      </w:r>
    </w:p>
    <w:p>
      <w:pPr>
        <w:pageBreakBefore w:val="0"/>
        <w:widowControl w:val="0"/>
        <w:kinsoku/>
        <w:wordWrap/>
        <w:overflowPunct/>
        <w:topLinePunct w:val="0"/>
        <w:autoSpaceDE/>
        <w:autoSpaceDN/>
        <w:bidi w:val="0"/>
        <w:adjustRightInd/>
        <w:snapToGrid/>
        <w:textAlignment w:val="auto"/>
        <w:rPr>
          <w:rFonts w:hint="eastAsia" w:ascii="黑体" w:hAnsi="黑体" w:eastAsia="黑体"/>
          <w:sz w:val="28"/>
          <w:szCs w:val="28"/>
          <w:lang w:eastAsia="zh-CN"/>
        </w:rPr>
      </w:pPr>
      <w:r>
        <w:rPr>
          <w:rFonts w:hint="eastAsia" w:ascii="黑体" w:hAnsi="黑体" w:eastAsia="黑体"/>
          <w:sz w:val="28"/>
          <w:szCs w:val="28"/>
        </w:rPr>
        <w:t>六、代理服务收费标准及金额：</w:t>
      </w:r>
      <w:r>
        <w:rPr>
          <w:rFonts w:hint="eastAsia" w:ascii="黑体" w:hAnsi="黑体" w:eastAsia="黑体"/>
          <w:sz w:val="28"/>
          <w:szCs w:val="28"/>
          <w:lang w:eastAsia="zh-CN"/>
        </w:rPr>
        <w:t>无</w:t>
      </w:r>
    </w:p>
    <w:p>
      <w:pPr>
        <w:pageBreakBefore w:val="0"/>
        <w:widowControl w:val="0"/>
        <w:kinsoku/>
        <w:wordWrap/>
        <w:overflowPunct/>
        <w:topLinePunct w:val="0"/>
        <w:autoSpaceDE/>
        <w:autoSpaceDN/>
        <w:bidi w:val="0"/>
        <w:adjustRightInd/>
        <w:snapToGrid/>
        <w:textAlignment w:val="auto"/>
        <w:rPr>
          <w:rFonts w:ascii="黑体" w:hAnsi="黑体" w:eastAsia="黑体"/>
          <w:sz w:val="28"/>
          <w:szCs w:val="28"/>
        </w:rPr>
      </w:pPr>
      <w:r>
        <w:rPr>
          <w:rFonts w:hint="eastAsia" w:ascii="黑体" w:hAnsi="黑体" w:eastAsia="黑体"/>
          <w:sz w:val="28"/>
          <w:szCs w:val="28"/>
        </w:rPr>
        <w:t>七、公告期限</w:t>
      </w:r>
    </w:p>
    <w:p>
      <w:pPr>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ageBreakBefore w:val="0"/>
        <w:widowControl w:val="0"/>
        <w:numPr>
          <w:ilvl w:val="0"/>
          <w:numId w:val="2"/>
        </w:numPr>
        <w:kinsoku/>
        <w:wordWrap/>
        <w:overflowPunct/>
        <w:topLinePunct w:val="0"/>
        <w:autoSpaceDE/>
        <w:autoSpaceDN/>
        <w:bidi w:val="0"/>
        <w:adjustRightInd/>
        <w:snapToGrid/>
        <w:textAlignment w:val="auto"/>
        <w:rPr>
          <w:rFonts w:hint="eastAsia" w:ascii="黑体" w:hAnsi="黑体" w:eastAsia="黑体" w:cs="仿宋"/>
          <w:sz w:val="28"/>
          <w:szCs w:val="28"/>
        </w:rPr>
      </w:pPr>
      <w:r>
        <w:rPr>
          <w:rFonts w:hint="eastAsia" w:ascii="黑体" w:hAnsi="黑体" w:eastAsia="黑体" w:cs="仿宋"/>
          <w:sz w:val="28"/>
          <w:szCs w:val="28"/>
        </w:rPr>
        <w:t>其他补充事宜</w:t>
      </w:r>
    </w:p>
    <w:p>
      <w:pPr>
        <w:pStyle w:val="5"/>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采购日期: 2021-07-10</w:t>
      </w:r>
    </w:p>
    <w:p>
      <w:pPr>
        <w:pStyle w:val="5"/>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定标日期: 2021-07-10</w:t>
      </w:r>
    </w:p>
    <w:p>
      <w:pPr>
        <w:pStyle w:val="5"/>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评审时间: 2021-07-30</w:t>
      </w:r>
    </w:p>
    <w:p>
      <w:pPr>
        <w:pStyle w:val="5"/>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评审地点: 铜仁市公共服务中心四楼</w:t>
      </w:r>
    </w:p>
    <w:p>
      <w:pPr>
        <w:pStyle w:val="5"/>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公告媒体: 贵州省政府采购网、全国公共资源交易平台（贵州省·铜仁市）</w:t>
      </w:r>
    </w:p>
    <w:p>
      <w:pPr>
        <w:pStyle w:val="5"/>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项目用途、简要技术要求及合同履行日期: 详见招标文件</w:t>
      </w:r>
    </w:p>
    <w:p>
      <w:pPr>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书面推荐供应商参加采购活动的采购人和评审专家推荐意见（如有）: 据本项目招标文件规定，评标委员会推荐</w:t>
      </w:r>
      <w:r>
        <w:rPr>
          <w:rFonts w:hint="eastAsia" w:ascii="仿宋" w:hAnsi="仿宋" w:eastAsia="仿宋"/>
          <w:b/>
          <w:bCs/>
          <w:sz w:val="28"/>
          <w:szCs w:val="28"/>
          <w:lang w:val="en-US" w:eastAsia="zh-CN"/>
        </w:rPr>
        <w:t>贵州昌晶伟电梯工程有限公司</w:t>
      </w:r>
      <w:r>
        <w:rPr>
          <w:rFonts w:hint="eastAsia" w:ascii="仿宋" w:hAnsi="仿宋" w:eastAsia="仿宋" w:cs="Times New Roman"/>
          <w:kern w:val="2"/>
          <w:sz w:val="28"/>
          <w:szCs w:val="28"/>
          <w:lang w:val="en-US" w:eastAsia="zh-CN" w:bidi="ar-SA"/>
        </w:rPr>
        <w:t>为本项目中标候选供应商。</w:t>
      </w:r>
    </w:p>
    <w:p>
      <w:pPr>
        <w:pageBreakBefore w:val="0"/>
        <w:widowControl w:val="0"/>
        <w:kinsoku/>
        <w:wordWrap/>
        <w:overflowPunct/>
        <w:topLinePunct w:val="0"/>
        <w:autoSpaceDE/>
        <w:autoSpaceDN/>
        <w:bidi w:val="0"/>
        <w:adjustRightInd/>
        <w:snapToGrid/>
        <w:spacing w:line="52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pageBreakBefore w:val="0"/>
        <w:widowControl w:val="0"/>
        <w:kinsoku/>
        <w:wordWrap/>
        <w:overflowPunct/>
        <w:topLinePunct w:val="0"/>
        <w:autoSpaceDE/>
        <w:autoSpaceDN/>
        <w:bidi w:val="0"/>
        <w:adjustRightInd/>
        <w:snapToGrid/>
        <w:spacing w:before="0" w:after="0" w:line="520" w:lineRule="exact"/>
        <w:ind w:firstLine="700" w:firstLineChars="250"/>
        <w:textAlignment w:val="auto"/>
        <w:rPr>
          <w:rFonts w:ascii="仿宋" w:hAnsi="仿宋" w:eastAsia="仿宋" w:cs="宋体"/>
          <w:b w:val="0"/>
          <w:sz w:val="28"/>
          <w:szCs w:val="28"/>
        </w:rPr>
      </w:pPr>
      <w:bookmarkStart w:id="2" w:name="_Toc35393810"/>
      <w:bookmarkStart w:id="3" w:name="_Toc28359100"/>
      <w:bookmarkStart w:id="4" w:name="_Toc28359023"/>
      <w:bookmarkStart w:id="5" w:name="_Toc35393641"/>
      <w:r>
        <w:rPr>
          <w:rFonts w:hint="eastAsia" w:ascii="仿宋" w:hAnsi="仿宋" w:eastAsia="仿宋" w:cs="宋体"/>
          <w:b w:val="0"/>
          <w:sz w:val="28"/>
          <w:szCs w:val="28"/>
        </w:rPr>
        <w:t>1.采购人信息</w:t>
      </w:r>
      <w:bookmarkEnd w:id="2"/>
      <w:bookmarkEnd w:id="3"/>
      <w:bookmarkEnd w:id="4"/>
      <w:bookmarkEnd w:id="5"/>
    </w:p>
    <w:p>
      <w:pPr>
        <w:pageBreakBefore w:val="0"/>
        <w:widowControl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铜仁市人民医院</w:t>
      </w:r>
    </w:p>
    <w:p>
      <w:pPr>
        <w:pageBreakBefore w:val="0"/>
        <w:widowControl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铜仁市人民医院</w:t>
      </w:r>
    </w:p>
    <w:p>
      <w:pPr>
        <w:pageBreakBefore w:val="0"/>
        <w:widowControl w:val="0"/>
        <w:kinsoku/>
        <w:wordWrap/>
        <w:overflowPunct/>
        <w:topLinePunct w:val="0"/>
        <w:autoSpaceDE/>
        <w:autoSpaceDN/>
        <w:bidi w:val="0"/>
        <w:adjustRightInd/>
        <w:snapToGrid/>
        <w:spacing w:line="52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lang w:val="en-US" w:eastAsia="zh-CN"/>
        </w:rPr>
        <w:t>13765670333</w:t>
      </w:r>
    </w:p>
    <w:p>
      <w:pPr>
        <w:pStyle w:val="4"/>
        <w:pageBreakBefore w:val="0"/>
        <w:widowControl w:val="0"/>
        <w:kinsoku/>
        <w:wordWrap/>
        <w:overflowPunct/>
        <w:topLinePunct w:val="0"/>
        <w:autoSpaceDE/>
        <w:autoSpaceDN/>
        <w:bidi w:val="0"/>
        <w:adjustRightInd/>
        <w:snapToGrid/>
        <w:spacing w:before="0" w:after="0" w:line="520" w:lineRule="exact"/>
        <w:ind w:firstLine="840" w:firstLineChars="300"/>
        <w:textAlignment w:val="auto"/>
        <w:rPr>
          <w:rFonts w:ascii="仿宋" w:hAnsi="仿宋" w:eastAsia="仿宋" w:cs="宋体"/>
          <w:b w:val="0"/>
          <w:sz w:val="28"/>
          <w:szCs w:val="28"/>
        </w:rPr>
      </w:pPr>
      <w:bookmarkStart w:id="6" w:name="_Toc35393642"/>
      <w:bookmarkStart w:id="7" w:name="_Toc35393811"/>
      <w:bookmarkStart w:id="8" w:name="_Toc28359024"/>
      <w:bookmarkStart w:id="9" w:name="_Toc28359101"/>
      <w:r>
        <w:rPr>
          <w:rFonts w:hint="eastAsia" w:ascii="仿宋" w:hAnsi="仿宋" w:eastAsia="仿宋" w:cs="宋体"/>
          <w:b w:val="0"/>
          <w:sz w:val="28"/>
          <w:szCs w:val="28"/>
        </w:rPr>
        <w:t>2.采购代理机构信息（如有）</w:t>
      </w:r>
      <w:bookmarkEnd w:id="6"/>
      <w:bookmarkEnd w:id="7"/>
      <w:bookmarkEnd w:id="8"/>
      <w:bookmarkEnd w:id="9"/>
    </w:p>
    <w:p>
      <w:pPr>
        <w:pageBreakBefore w:val="0"/>
        <w:widowControl w:val="0"/>
        <w:kinsoku/>
        <w:wordWrap/>
        <w:overflowPunct/>
        <w:topLinePunct w:val="0"/>
        <w:autoSpaceDE/>
        <w:autoSpaceDN/>
        <w:bidi w:val="0"/>
        <w:adjustRightInd/>
        <w:snapToGrid/>
        <w:spacing w:line="52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铜仁市公共资源交易中心</w:t>
      </w:r>
    </w:p>
    <w:p>
      <w:pPr>
        <w:pageBreakBefore w:val="0"/>
        <w:widowControl w:val="0"/>
        <w:kinsoku/>
        <w:wordWrap/>
        <w:overflowPunct/>
        <w:topLinePunct w:val="0"/>
        <w:autoSpaceDE/>
        <w:autoSpaceDN/>
        <w:bidi w:val="0"/>
        <w:adjustRightInd/>
        <w:snapToGrid/>
        <w:spacing w:line="52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铜仁市公共服务中心四楼</w:t>
      </w:r>
    </w:p>
    <w:p>
      <w:pPr>
        <w:pageBreakBefore w:val="0"/>
        <w:widowControl w:val="0"/>
        <w:kinsoku/>
        <w:wordWrap/>
        <w:overflowPunct/>
        <w:topLinePunct w:val="0"/>
        <w:autoSpaceDE/>
        <w:autoSpaceDN/>
        <w:bidi w:val="0"/>
        <w:adjustRightInd/>
        <w:snapToGrid/>
        <w:spacing w:line="52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0856-39129</w:t>
      </w:r>
      <w:r>
        <w:rPr>
          <w:rFonts w:hint="eastAsia" w:ascii="仿宋" w:hAnsi="仿宋" w:eastAsia="仿宋"/>
          <w:sz w:val="28"/>
          <w:szCs w:val="28"/>
          <w:u w:val="single"/>
          <w:lang w:val="en-US" w:eastAsia="zh-CN"/>
        </w:rPr>
        <w:t>33</w:t>
      </w:r>
      <w:r>
        <w:rPr>
          <w:rFonts w:hint="eastAsia" w:ascii="仿宋" w:hAnsi="仿宋" w:eastAsia="仿宋"/>
          <w:sz w:val="28"/>
          <w:szCs w:val="28"/>
        </w:rPr>
        <w:t xml:space="preserve"> </w:t>
      </w:r>
    </w:p>
    <w:p>
      <w:pPr>
        <w:pStyle w:val="4"/>
        <w:pageBreakBefore w:val="0"/>
        <w:widowControl w:val="0"/>
        <w:kinsoku/>
        <w:wordWrap/>
        <w:overflowPunct/>
        <w:topLinePunct w:val="0"/>
        <w:autoSpaceDE/>
        <w:autoSpaceDN/>
        <w:bidi w:val="0"/>
        <w:adjustRightInd/>
        <w:snapToGrid/>
        <w:spacing w:before="0" w:after="0" w:line="520" w:lineRule="exact"/>
        <w:ind w:firstLine="840" w:firstLineChars="300"/>
        <w:textAlignment w:val="auto"/>
        <w:rPr>
          <w:rFonts w:ascii="仿宋" w:hAnsi="仿宋" w:eastAsia="仿宋" w:cs="宋体"/>
          <w:b w:val="0"/>
          <w:sz w:val="28"/>
          <w:szCs w:val="28"/>
        </w:rPr>
      </w:pPr>
      <w:bookmarkStart w:id="10" w:name="_Toc28359025"/>
      <w:bookmarkStart w:id="11" w:name="_Toc35393812"/>
      <w:bookmarkStart w:id="12" w:name="_Toc2835910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景象</w:t>
      </w:r>
    </w:p>
    <w:p>
      <w:pPr>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0856-39129</w:t>
      </w:r>
      <w:r>
        <w:rPr>
          <w:rFonts w:hint="eastAsia" w:ascii="仿宋" w:hAnsi="仿宋" w:eastAsia="仿宋"/>
          <w:sz w:val="28"/>
          <w:szCs w:val="28"/>
          <w:u w:val="single"/>
          <w:lang w:val="en-US" w:eastAsia="zh-CN"/>
        </w:rPr>
        <w:t>33</w:t>
      </w:r>
      <w:r>
        <w:rPr>
          <w:rFonts w:hint="eastAsia" w:ascii="仿宋" w:hAnsi="仿宋" w:eastAsia="仿宋"/>
          <w:sz w:val="28"/>
          <w:szCs w:val="28"/>
        </w:rPr>
        <w:t xml:space="preserve"> </w:t>
      </w:r>
    </w:p>
    <w:p>
      <w:pPr>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lang w:val="en-US" w:eastAsia="zh-CN"/>
        </w:rPr>
      </w:pPr>
      <w:r>
        <w:rPr>
          <w:rFonts w:hint="eastAsia" w:ascii="黑体" w:hAnsi="黑体" w:eastAsia="黑体" w:cs="宋体"/>
          <w:kern w:val="0"/>
          <w:sz w:val="28"/>
          <w:szCs w:val="28"/>
        </w:rPr>
        <w:t>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F39CC"/>
    <w:multiLevelType w:val="singleLevel"/>
    <w:tmpl w:val="605F39CC"/>
    <w:lvl w:ilvl="0" w:tentative="0">
      <w:start w:val="5"/>
      <w:numFmt w:val="chineseCounting"/>
      <w:suff w:val="nothing"/>
      <w:lvlText w:val="%1、"/>
      <w:lvlJc w:val="left"/>
      <w:rPr>
        <w:rFonts w:hint="eastAsia" w:ascii="黑体" w:hAnsi="黑体" w:eastAsia="黑体" w:cs="黑体"/>
      </w:rPr>
    </w:lvl>
  </w:abstractNum>
  <w:abstractNum w:abstractNumId="1">
    <w:nsid w:val="6375397E"/>
    <w:multiLevelType w:val="singleLevel"/>
    <w:tmpl w:val="6375397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B423234"/>
    <w:rsid w:val="0CE312FE"/>
    <w:rsid w:val="0E046D3B"/>
    <w:rsid w:val="0E8D6543"/>
    <w:rsid w:val="10366BA9"/>
    <w:rsid w:val="11D702E6"/>
    <w:rsid w:val="11EC76CE"/>
    <w:rsid w:val="12933485"/>
    <w:rsid w:val="14691EA0"/>
    <w:rsid w:val="1473234A"/>
    <w:rsid w:val="153A4497"/>
    <w:rsid w:val="15A83C9B"/>
    <w:rsid w:val="15E67984"/>
    <w:rsid w:val="15FF7EAD"/>
    <w:rsid w:val="16032C35"/>
    <w:rsid w:val="16245444"/>
    <w:rsid w:val="166E62D4"/>
    <w:rsid w:val="17977B0B"/>
    <w:rsid w:val="1803463D"/>
    <w:rsid w:val="18206AAD"/>
    <w:rsid w:val="196E10D6"/>
    <w:rsid w:val="19754DFF"/>
    <w:rsid w:val="197A170C"/>
    <w:rsid w:val="19B126EA"/>
    <w:rsid w:val="1AE516E0"/>
    <w:rsid w:val="1B71575D"/>
    <w:rsid w:val="1CE32679"/>
    <w:rsid w:val="1D08187C"/>
    <w:rsid w:val="1D4B04E3"/>
    <w:rsid w:val="1DE56B98"/>
    <w:rsid w:val="1DF34E13"/>
    <w:rsid w:val="1E610F02"/>
    <w:rsid w:val="1F1B3B75"/>
    <w:rsid w:val="1F7114FB"/>
    <w:rsid w:val="208C3241"/>
    <w:rsid w:val="21672CD8"/>
    <w:rsid w:val="220D5599"/>
    <w:rsid w:val="22AC3869"/>
    <w:rsid w:val="23C116FA"/>
    <w:rsid w:val="245705AB"/>
    <w:rsid w:val="24AE6659"/>
    <w:rsid w:val="25452EC9"/>
    <w:rsid w:val="25C43A85"/>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1E20689"/>
    <w:rsid w:val="31E96479"/>
    <w:rsid w:val="327D62FA"/>
    <w:rsid w:val="32B847D5"/>
    <w:rsid w:val="34592268"/>
    <w:rsid w:val="36CA2F0D"/>
    <w:rsid w:val="374C4969"/>
    <w:rsid w:val="39BE7447"/>
    <w:rsid w:val="3A736B25"/>
    <w:rsid w:val="3B4045C6"/>
    <w:rsid w:val="3B4833D4"/>
    <w:rsid w:val="3B844107"/>
    <w:rsid w:val="3C0954C5"/>
    <w:rsid w:val="3CBA2CBF"/>
    <w:rsid w:val="3D6C3A0E"/>
    <w:rsid w:val="3DA967CE"/>
    <w:rsid w:val="3E5F280E"/>
    <w:rsid w:val="3F212C57"/>
    <w:rsid w:val="402A7F4B"/>
    <w:rsid w:val="40633216"/>
    <w:rsid w:val="417332B9"/>
    <w:rsid w:val="421C25E2"/>
    <w:rsid w:val="429F23B6"/>
    <w:rsid w:val="42EC5D39"/>
    <w:rsid w:val="43A86AD7"/>
    <w:rsid w:val="441B56A8"/>
    <w:rsid w:val="45626558"/>
    <w:rsid w:val="462F4DE1"/>
    <w:rsid w:val="46414A0C"/>
    <w:rsid w:val="469A0D00"/>
    <w:rsid w:val="46E73CA1"/>
    <w:rsid w:val="484336A7"/>
    <w:rsid w:val="488D1CCB"/>
    <w:rsid w:val="49F93F8B"/>
    <w:rsid w:val="4A170773"/>
    <w:rsid w:val="4B0B45FD"/>
    <w:rsid w:val="4B361BAC"/>
    <w:rsid w:val="4BEA0D82"/>
    <w:rsid w:val="4CCC50B7"/>
    <w:rsid w:val="4D174CC1"/>
    <w:rsid w:val="4D1E2E9F"/>
    <w:rsid w:val="4D2836BC"/>
    <w:rsid w:val="4EBA68CD"/>
    <w:rsid w:val="4F430181"/>
    <w:rsid w:val="4FDD3EFE"/>
    <w:rsid w:val="50217A30"/>
    <w:rsid w:val="504351C9"/>
    <w:rsid w:val="5083623F"/>
    <w:rsid w:val="50E4596C"/>
    <w:rsid w:val="512220F5"/>
    <w:rsid w:val="51DC38D2"/>
    <w:rsid w:val="51F504E1"/>
    <w:rsid w:val="52C15E15"/>
    <w:rsid w:val="53FC4271"/>
    <w:rsid w:val="54097E0B"/>
    <w:rsid w:val="550C2ADB"/>
    <w:rsid w:val="566038F8"/>
    <w:rsid w:val="56C43AA2"/>
    <w:rsid w:val="572F06A0"/>
    <w:rsid w:val="580E0FF8"/>
    <w:rsid w:val="597A0962"/>
    <w:rsid w:val="59EF77AB"/>
    <w:rsid w:val="5A4C4D62"/>
    <w:rsid w:val="5A82516F"/>
    <w:rsid w:val="5B23666E"/>
    <w:rsid w:val="5B380549"/>
    <w:rsid w:val="5C770418"/>
    <w:rsid w:val="5DDF5A80"/>
    <w:rsid w:val="5E201D8E"/>
    <w:rsid w:val="5FB038B9"/>
    <w:rsid w:val="5FD33680"/>
    <w:rsid w:val="5FD9450E"/>
    <w:rsid w:val="60E1450F"/>
    <w:rsid w:val="61157615"/>
    <w:rsid w:val="61FF4104"/>
    <w:rsid w:val="62627818"/>
    <w:rsid w:val="632D21DF"/>
    <w:rsid w:val="63D6127C"/>
    <w:rsid w:val="644B5E65"/>
    <w:rsid w:val="64AA3FFD"/>
    <w:rsid w:val="65364694"/>
    <w:rsid w:val="661D5C9F"/>
    <w:rsid w:val="67CE4B37"/>
    <w:rsid w:val="67F014ED"/>
    <w:rsid w:val="68BD54E2"/>
    <w:rsid w:val="69645C10"/>
    <w:rsid w:val="6A436FDB"/>
    <w:rsid w:val="6A980C3A"/>
    <w:rsid w:val="6D126A8C"/>
    <w:rsid w:val="6D925039"/>
    <w:rsid w:val="6E567335"/>
    <w:rsid w:val="6E756AD7"/>
    <w:rsid w:val="6F2515FC"/>
    <w:rsid w:val="70394A29"/>
    <w:rsid w:val="704F59CF"/>
    <w:rsid w:val="710A120D"/>
    <w:rsid w:val="7231629D"/>
    <w:rsid w:val="727379DD"/>
    <w:rsid w:val="72CF5F18"/>
    <w:rsid w:val="73A705A5"/>
    <w:rsid w:val="75F21332"/>
    <w:rsid w:val="76192F7E"/>
    <w:rsid w:val="76CE7859"/>
    <w:rsid w:val="76D22001"/>
    <w:rsid w:val="770779D4"/>
    <w:rsid w:val="776B4E5C"/>
    <w:rsid w:val="782C3294"/>
    <w:rsid w:val="783B09F0"/>
    <w:rsid w:val="788B7599"/>
    <w:rsid w:val="789323B5"/>
    <w:rsid w:val="78E81348"/>
    <w:rsid w:val="7923348D"/>
    <w:rsid w:val="79832F77"/>
    <w:rsid w:val="7AA75AA1"/>
    <w:rsid w:val="7BAD1451"/>
    <w:rsid w:val="7BC66DB5"/>
    <w:rsid w:val="7C1D3972"/>
    <w:rsid w:val="7C861F1D"/>
    <w:rsid w:val="7DEE4D76"/>
    <w:rsid w:val="7E2D5AD7"/>
    <w:rsid w:val="7E915458"/>
    <w:rsid w:val="7EC034BA"/>
    <w:rsid w:val="7F8017DB"/>
    <w:rsid w:val="7FF60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Plain Text"/>
    <w:basedOn w:val="1"/>
    <w:qFormat/>
    <w:uiPriority w:val="0"/>
    <w:rPr>
      <w:rFonts w:ascii="宋体" w:hAnsi="Courier New"/>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style>
  <w:style w:type="character" w:styleId="13">
    <w:name w:val="FollowedHyperlink"/>
    <w:basedOn w:val="11"/>
    <w:unhideWhenUsed/>
    <w:qFormat/>
    <w:uiPriority w:val="0"/>
    <w:rPr>
      <w:color w:val="333333"/>
      <w:u w:val="none"/>
    </w:rPr>
  </w:style>
  <w:style w:type="character" w:styleId="14">
    <w:name w:val="Emphasis"/>
    <w:basedOn w:val="11"/>
    <w:qFormat/>
    <w:uiPriority w:val="20"/>
  </w:style>
  <w:style w:type="character" w:styleId="15">
    <w:name w:val="HTML Definition"/>
    <w:basedOn w:val="11"/>
    <w:semiHidden/>
    <w:unhideWhenUsed/>
    <w:qFormat/>
    <w:uiPriority w:val="0"/>
  </w:style>
  <w:style w:type="character" w:styleId="16">
    <w:name w:val="HTML Acronym"/>
    <w:basedOn w:val="11"/>
    <w:semiHidden/>
    <w:unhideWhenUsed/>
    <w:qFormat/>
    <w:uiPriority w:val="0"/>
  </w:style>
  <w:style w:type="character" w:styleId="17">
    <w:name w:val="HTML Variable"/>
    <w:basedOn w:val="11"/>
    <w:semiHidden/>
    <w:unhideWhenUsed/>
    <w:qFormat/>
    <w:uiPriority w:val="0"/>
  </w:style>
  <w:style w:type="character" w:styleId="18">
    <w:name w:val="Hyperlink"/>
    <w:basedOn w:val="11"/>
    <w:unhideWhenUsed/>
    <w:qFormat/>
    <w:uiPriority w:val="99"/>
    <w:rPr>
      <w:color w:val="0000FF"/>
      <w:u w:val="single"/>
    </w:rPr>
  </w:style>
  <w:style w:type="character" w:styleId="19">
    <w:name w:val="HTML Code"/>
    <w:basedOn w:val="11"/>
    <w:semiHidden/>
    <w:unhideWhenUsed/>
    <w:qFormat/>
    <w:uiPriority w:val="0"/>
    <w:rPr>
      <w:rFonts w:ascii="Courier New" w:hAnsi="Courier New"/>
      <w:sz w:val="20"/>
    </w:rPr>
  </w:style>
  <w:style w:type="character" w:styleId="20">
    <w:name w:val="HTML Cite"/>
    <w:basedOn w:val="11"/>
    <w:semiHidden/>
    <w:unhideWhenUsed/>
    <w:qFormat/>
    <w:uiPriority w:val="0"/>
    <w:rPr>
      <w:u w:val="none"/>
    </w:rPr>
  </w:style>
  <w:style w:type="character" w:customStyle="1" w:styleId="21">
    <w:name w:val="apple-converted-space"/>
    <w:basedOn w:val="11"/>
    <w:qFormat/>
    <w:uiPriority w:val="0"/>
  </w:style>
  <w:style w:type="character" w:customStyle="1" w:styleId="22">
    <w:name w:val="help-inline"/>
    <w:basedOn w:val="11"/>
    <w:qFormat/>
    <w:uiPriority w:val="0"/>
  </w:style>
  <w:style w:type="character" w:customStyle="1" w:styleId="23">
    <w:name w:val="页眉 Char"/>
    <w:basedOn w:val="11"/>
    <w:link w:val="7"/>
    <w:semiHidden/>
    <w:qFormat/>
    <w:uiPriority w:val="99"/>
    <w:rPr>
      <w:sz w:val="18"/>
      <w:szCs w:val="18"/>
    </w:rPr>
  </w:style>
  <w:style w:type="character" w:customStyle="1" w:styleId="24">
    <w:name w:val="页脚 Char"/>
    <w:basedOn w:val="11"/>
    <w:link w:val="6"/>
    <w:semiHidden/>
    <w:qFormat/>
    <w:uiPriority w:val="99"/>
    <w:rPr>
      <w:sz w:val="18"/>
      <w:szCs w:val="18"/>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 w:type="paragraph" w:customStyle="1" w:styleId="26">
    <w:name w:val="_Style 15"/>
    <w:basedOn w:val="1"/>
    <w:next w:val="1"/>
    <w:qFormat/>
    <w:uiPriority w:val="0"/>
    <w:pPr>
      <w:pBdr>
        <w:top w:val="single" w:color="auto" w:sz="6" w:space="1"/>
      </w:pBdr>
      <w:jc w:val="center"/>
    </w:pPr>
    <w:rPr>
      <w:rFonts w:ascii="Arial" w:eastAsia="宋体"/>
      <w:vanish/>
      <w:sz w:val="16"/>
    </w:rPr>
  </w:style>
  <w:style w:type="character" w:customStyle="1" w:styleId="27">
    <w:name w:val="hover3"/>
    <w:basedOn w:val="11"/>
    <w:qFormat/>
    <w:uiPriority w:val="0"/>
    <w:rPr>
      <w:color w:val="0063BA"/>
    </w:rPr>
  </w:style>
  <w:style w:type="character" w:customStyle="1" w:styleId="28">
    <w:name w:val="margin_right202"/>
    <w:basedOn w:val="11"/>
    <w:qFormat/>
    <w:uiPriority w:val="0"/>
  </w:style>
  <w:style w:type="character" w:customStyle="1" w:styleId="29">
    <w:name w:val="before"/>
    <w:basedOn w:val="11"/>
    <w:qFormat/>
    <w:uiPriority w:val="0"/>
    <w:rPr>
      <w:shd w:val="clear" w:fill="E22323"/>
    </w:rPr>
  </w:style>
  <w:style w:type="character" w:customStyle="1" w:styleId="30">
    <w:name w:val="active5"/>
    <w:basedOn w:val="11"/>
    <w:qFormat/>
    <w:uiPriority w:val="0"/>
    <w:rPr>
      <w:color w:val="FFFFFF"/>
      <w:shd w:val="clear" w:fill="E22323"/>
    </w:rPr>
  </w:style>
  <w:style w:type="character" w:customStyle="1" w:styleId="31">
    <w:name w:val="active6"/>
    <w:basedOn w:val="11"/>
    <w:qFormat/>
    <w:uiPriority w:val="0"/>
    <w:rPr>
      <w:color w:val="FFFFFF"/>
      <w:shd w:val="clear" w:fill="E22323"/>
    </w:rPr>
  </w:style>
  <w:style w:type="character" w:customStyle="1" w:styleId="32">
    <w:name w:val="hover"/>
    <w:basedOn w:val="11"/>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2021-08-02T01:19:41Z</cp:lastPrinted>
  <dcterms:modified xsi:type="dcterms:W3CDTF">2021-08-02T02:14:57Z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7C6C0E2927E54E4480AC6AB39780C502</vt:lpwstr>
  </property>
</Properties>
</file>