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560" w:lineRule="exact"/>
        <w:ind w:left="1964" w:leftChars="266" w:hanging="1405" w:hangingChars="500"/>
        <w:rPr>
          <w:rFonts w:hint="default" w:asciiTheme="minorEastAsia" w:hAnsiTheme="minorEastAsia" w:cstheme="minorEastAsia"/>
          <w:b/>
          <w:bCs w:val="0"/>
          <w:color w:val="000000"/>
          <w:sz w:val="28"/>
          <w:szCs w:val="28"/>
          <w:lang w:val="en-US" w:eastAsia="zh-CN"/>
        </w:rPr>
      </w:pPr>
      <w:r>
        <w:rPr>
          <w:rFonts w:hint="eastAsia" w:asciiTheme="minorEastAsia" w:hAnsiTheme="minorEastAsia" w:cstheme="minorEastAsia"/>
          <w:b/>
          <w:bCs w:val="0"/>
          <w:color w:val="000000"/>
          <w:sz w:val="28"/>
          <w:szCs w:val="28"/>
        </w:rPr>
        <w:t>招标项目：</w:t>
      </w:r>
      <w:r>
        <w:rPr>
          <w:rFonts w:hint="eastAsia" w:asciiTheme="minorEastAsia" w:hAnsiTheme="minorEastAsia" w:cstheme="minorEastAsia"/>
          <w:b/>
          <w:bCs w:val="0"/>
          <w:color w:val="000000"/>
          <w:sz w:val="28"/>
          <w:szCs w:val="28"/>
          <w:lang w:eastAsia="zh-CN"/>
        </w:rPr>
        <w:t>铜仁</w:t>
      </w:r>
      <w:r>
        <w:rPr>
          <w:rFonts w:hint="eastAsia" w:asciiTheme="minorEastAsia" w:hAnsiTheme="minorEastAsia" w:cstheme="minorEastAsia"/>
          <w:b/>
          <w:bCs w:val="0"/>
          <w:color w:val="000000"/>
          <w:sz w:val="28"/>
          <w:szCs w:val="28"/>
          <w:lang w:val="en-US" w:eastAsia="zh-CN"/>
        </w:rPr>
        <w:t>幼儿师范高等专科学校附属幼儿园基础设施建设</w:t>
      </w:r>
    </w:p>
    <w:p>
      <w:pPr>
        <w:pStyle w:val="10"/>
        <w:spacing w:line="560" w:lineRule="exact"/>
        <w:ind w:firstLine="562" w:firstLineChars="200"/>
        <w:rPr>
          <w:rFonts w:hint="default" w:asciiTheme="minorEastAsia" w:hAnsiTheme="minorEastAsia" w:eastAsiaTheme="minorEastAsia" w:cstheme="minorEastAsia"/>
          <w:b/>
          <w:bCs w:val="0"/>
          <w:color w:val="000000"/>
          <w:sz w:val="28"/>
          <w:szCs w:val="28"/>
          <w:lang w:val="en-US" w:eastAsia="zh-CN"/>
        </w:rPr>
      </w:pPr>
      <w:r>
        <w:rPr>
          <w:rFonts w:hint="eastAsia" w:asciiTheme="minorEastAsia" w:hAnsiTheme="minorEastAsia" w:cstheme="minorEastAsia"/>
          <w:b/>
          <w:bCs w:val="0"/>
          <w:color w:val="000000"/>
          <w:sz w:val="28"/>
          <w:szCs w:val="28"/>
        </w:rPr>
        <w:t>招标编号：</w:t>
      </w:r>
      <w:r>
        <w:rPr>
          <w:rFonts w:hint="eastAsia" w:asciiTheme="minorEastAsia" w:hAnsiTheme="minorEastAsia" w:cstheme="minorEastAsia"/>
          <w:b/>
          <w:bCs w:val="0"/>
          <w:color w:val="000000"/>
          <w:sz w:val="28"/>
          <w:szCs w:val="28"/>
          <w:lang w:eastAsia="zh-CN"/>
        </w:rPr>
        <w:t>TRZFCG-2021-059</w:t>
      </w:r>
    </w:p>
    <w:p>
      <w:pPr>
        <w:pStyle w:val="10"/>
        <w:spacing w:line="560" w:lineRule="exact"/>
        <w:rPr>
          <w:rFonts w:hint="eastAsia" w:asciiTheme="minorEastAsia" w:hAnsiTheme="minorEastAsia" w:cstheme="minorEastAsia"/>
          <w:b/>
          <w:bCs w:val="0"/>
          <w:color w:val="000000"/>
          <w:sz w:val="28"/>
          <w:szCs w:val="28"/>
        </w:rPr>
      </w:pPr>
      <w:r>
        <w:rPr>
          <w:rFonts w:hint="eastAsia" w:asciiTheme="minorEastAsia" w:hAnsiTheme="minorEastAsia" w:cstheme="minorEastAsia"/>
          <w:b/>
          <w:bCs w:val="0"/>
          <w:color w:val="000000"/>
          <w:sz w:val="28"/>
          <w:szCs w:val="28"/>
        </w:rPr>
        <w:t xml:space="preserve">    招标方式：竞争性谈判</w:t>
      </w:r>
    </w:p>
    <w:p>
      <w:pPr>
        <w:pStyle w:val="10"/>
        <w:spacing w:line="560" w:lineRule="exact"/>
        <w:rPr>
          <w:rFonts w:asciiTheme="minorEastAsia" w:hAnsiTheme="minorEastAsia" w:cstheme="minorEastAsia"/>
          <w:b/>
          <w:bCs w:val="0"/>
          <w:color w:val="000000"/>
          <w:sz w:val="28"/>
          <w:szCs w:val="28"/>
        </w:rPr>
      </w:pPr>
      <w:r>
        <w:rPr>
          <w:rFonts w:hint="eastAsia" w:asciiTheme="minorEastAsia" w:hAnsiTheme="minorEastAsia" w:cstheme="minorEastAsia"/>
          <w:b/>
          <w:bCs w:val="0"/>
          <w:color w:val="000000"/>
          <w:sz w:val="28"/>
          <w:szCs w:val="28"/>
        </w:rPr>
        <w:t xml:space="preserve">    项目类别：</w:t>
      </w:r>
      <w:r>
        <w:rPr>
          <w:rFonts w:hint="eastAsia" w:asciiTheme="minorEastAsia" w:hAnsiTheme="minorEastAsia" w:cstheme="minorEastAsia"/>
          <w:b/>
          <w:bCs w:val="0"/>
          <w:color w:val="000000"/>
          <w:sz w:val="28"/>
          <w:szCs w:val="28"/>
          <w:lang w:eastAsia="zh-CN"/>
        </w:rPr>
        <w:t>工程</w:t>
      </w:r>
      <w:r>
        <w:rPr>
          <w:rFonts w:hint="eastAsia" w:asciiTheme="minorEastAsia" w:hAnsiTheme="minorEastAsia" w:cstheme="minorEastAsia"/>
          <w:b/>
          <w:bCs w:val="0"/>
          <w:color w:val="000000"/>
          <w:sz w:val="28"/>
          <w:szCs w:val="28"/>
        </w:rPr>
        <w:t>类</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8"/>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numPr>
          <w:ilvl w:val="0"/>
          <w:numId w:val="2"/>
        </w:numPr>
        <w:spacing w:line="360" w:lineRule="auto"/>
        <w:rPr>
          <w:rFonts w:ascii="宋体" w:hAnsi="宋体"/>
          <w:b/>
          <w:sz w:val="28"/>
          <w:szCs w:val="28"/>
        </w:rPr>
      </w:pPr>
      <w:r>
        <w:rPr>
          <w:rFonts w:hint="eastAsia" w:ascii="宋体" w:hAnsi="宋体"/>
          <w:b/>
          <w:sz w:val="28"/>
          <w:szCs w:val="28"/>
        </w:rPr>
        <w:t>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4"/>
          <w:szCs w:val="24"/>
          <w:lang w:eastAsia="zh-CN"/>
        </w:rPr>
        <w:t>铜仁幼儿师范高等专科学校</w:t>
      </w:r>
      <w:r>
        <w:rPr>
          <w:rFonts w:hint="eastAsia" w:hAnsi="宋体"/>
          <w:color w:val="000000"/>
          <w:sz w:val="24"/>
          <w:szCs w:val="24"/>
        </w:rPr>
        <w:t>委托，对</w:t>
      </w:r>
      <w:r>
        <w:rPr>
          <w:rFonts w:hint="eastAsia" w:asciiTheme="minorEastAsia" w:hAnsiTheme="minorEastAsia" w:cstheme="minorEastAsia"/>
          <w:b/>
          <w:color w:val="000000"/>
          <w:sz w:val="24"/>
          <w:szCs w:val="24"/>
          <w:lang w:eastAsia="zh-CN"/>
        </w:rPr>
        <w:t>铜仁幼儿师范高等专科学校附属幼儿园基础设施建设</w:t>
      </w:r>
      <w:r>
        <w:rPr>
          <w:rFonts w:hint="eastAsia" w:hAnsi="宋体"/>
          <w:color w:val="000000"/>
          <w:sz w:val="24"/>
          <w:szCs w:val="24"/>
        </w:rPr>
        <w:t>采用</w:t>
      </w:r>
      <w:r>
        <w:rPr>
          <w:rFonts w:hint="eastAsia" w:asciiTheme="minorEastAsia" w:hAnsiTheme="minorEastAsia" w:cstheme="minorEastAsia"/>
          <w:b/>
          <w:color w:val="000000"/>
          <w:sz w:val="24"/>
          <w:szCs w:val="24"/>
          <w:lang w:eastAsia="zh-CN"/>
        </w:rPr>
        <w:t>竞争性谈判</w:t>
      </w:r>
      <w:r>
        <w:rPr>
          <w:rFonts w:hint="eastAsia" w:hAnsi="宋体"/>
          <w:color w:val="000000"/>
          <w:sz w:val="24"/>
          <w:szCs w:val="24"/>
        </w:rPr>
        <w:t>的方式进行采购，欢迎具备投标资质条件的供货商参加投标。</w:t>
      </w:r>
    </w:p>
    <w:p>
      <w:pPr>
        <w:pStyle w:val="10"/>
        <w:keepNext w:val="0"/>
        <w:keepLines w:val="0"/>
        <w:pageBreakBefore w:val="0"/>
        <w:numPr>
          <w:ilvl w:val="0"/>
          <w:numId w:val="3"/>
        </w:numPr>
        <w:kinsoku/>
        <w:wordWrap/>
        <w:overflowPunct/>
        <w:topLinePunct w:val="0"/>
        <w:autoSpaceDE/>
        <w:autoSpaceDN/>
        <w:bidi w:val="0"/>
        <w:spacing w:line="520" w:lineRule="exact"/>
        <w:ind w:right="0" w:rightChars="0" w:firstLine="482" w:firstLineChars="200"/>
        <w:textAlignment w:val="auto"/>
        <w:rPr>
          <w:rFonts w:hint="eastAsia" w:asciiTheme="minorEastAsia" w:hAnsiTheme="minorEastAsia" w:cstheme="minorEastAsia"/>
          <w:b/>
          <w:color w:val="000000"/>
          <w:sz w:val="24"/>
          <w:szCs w:val="24"/>
        </w:rPr>
      </w:pPr>
      <w:r>
        <w:rPr>
          <w:rFonts w:hint="eastAsia" w:hAnsi="宋体"/>
          <w:b/>
          <w:color w:val="000000"/>
          <w:sz w:val="24"/>
          <w:szCs w:val="24"/>
        </w:rPr>
        <w:t>项目名称：</w:t>
      </w:r>
      <w:r>
        <w:rPr>
          <w:rFonts w:hint="eastAsia" w:asciiTheme="minorEastAsia" w:hAnsiTheme="minorEastAsia" w:cstheme="minorEastAsia"/>
          <w:b/>
          <w:color w:val="000000"/>
          <w:sz w:val="24"/>
          <w:szCs w:val="24"/>
          <w:lang w:eastAsia="zh-CN"/>
        </w:rPr>
        <w:t>铜仁幼儿师范高等专科学校附属幼儿园基础设施建设</w:t>
      </w:r>
    </w:p>
    <w:p>
      <w:pPr>
        <w:pStyle w:val="10"/>
        <w:keepNext w:val="0"/>
        <w:keepLines w:val="0"/>
        <w:pageBreakBefore w:val="0"/>
        <w:kinsoku/>
        <w:wordWrap/>
        <w:overflowPunct/>
        <w:topLinePunct w:val="0"/>
        <w:autoSpaceDE/>
        <w:autoSpaceDN/>
        <w:bidi w:val="0"/>
        <w:spacing w:line="520" w:lineRule="exact"/>
        <w:ind w:right="0" w:rightChars="0"/>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w:t>
      </w:r>
      <w:r>
        <w:rPr>
          <w:rFonts w:hint="eastAsia" w:hAnsi="宋体"/>
          <w:b/>
          <w:color w:val="000000"/>
          <w:sz w:val="24"/>
          <w:szCs w:val="24"/>
          <w:lang w:val="en-US" w:eastAsia="zh-CN"/>
        </w:rPr>
        <w:t>2、</w:t>
      </w:r>
      <w:r>
        <w:rPr>
          <w:rFonts w:hint="eastAsia" w:hAnsi="宋体"/>
          <w:b/>
          <w:color w:val="000000"/>
          <w:sz w:val="24"/>
          <w:szCs w:val="24"/>
        </w:rPr>
        <w:t>项目编号：</w:t>
      </w:r>
      <w:r>
        <w:rPr>
          <w:rFonts w:hint="eastAsia" w:hAnsi="宋体"/>
          <w:b/>
          <w:color w:val="000000"/>
          <w:sz w:val="24"/>
          <w:szCs w:val="24"/>
          <w:lang w:eastAsia="zh-CN"/>
        </w:rPr>
        <w:t>TRZFCG-2021-059</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szCs w:val="24"/>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3、报名时间:</w:t>
      </w:r>
      <w:r>
        <w:rPr>
          <w:rFonts w:hint="eastAsia" w:ascii="宋体" w:hAnsi="宋体"/>
          <w:color w:val="000000"/>
          <w:sz w:val="24"/>
          <w:szCs w:val="24"/>
        </w:rPr>
        <w:t xml:space="preserve"> </w:t>
      </w:r>
      <w:r>
        <w:rPr>
          <w:rFonts w:hint="eastAsia" w:ascii="宋体" w:hAnsi="宋体" w:cs="宋体"/>
          <w:color w:val="000000"/>
          <w:sz w:val="24"/>
          <w:szCs w:val="24"/>
          <w:shd w:val="clear" w:color="auto" w:fill="FFFFFF"/>
        </w:rPr>
        <w:t>202</w:t>
      </w: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 xml:space="preserve"> 8 </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27</w:t>
      </w:r>
      <w:r>
        <w:rPr>
          <w:rFonts w:hint="eastAsia" w:ascii="宋体" w:hAnsi="宋体" w:cs="宋体"/>
          <w:color w:val="000000"/>
          <w:sz w:val="24"/>
          <w:szCs w:val="24"/>
          <w:shd w:val="clear" w:color="auto" w:fill="FFFFFF"/>
        </w:rPr>
        <w:t>日</w:t>
      </w:r>
      <w:r>
        <w:rPr>
          <w:rFonts w:hint="eastAsia" w:ascii="宋体" w:hAnsi="宋体" w:cs="宋体"/>
          <w:color w:val="000000"/>
          <w:sz w:val="24"/>
          <w:szCs w:val="24"/>
          <w:shd w:val="clear" w:color="auto" w:fill="FFFFFF"/>
          <w:lang w:val="en-US" w:eastAsia="zh-CN"/>
        </w:rPr>
        <w:t>09:00</w:t>
      </w:r>
      <w:r>
        <w:rPr>
          <w:rFonts w:hint="eastAsia" w:ascii="宋体" w:hAnsi="宋体" w:cs="宋体"/>
          <w:color w:val="000000"/>
          <w:sz w:val="24"/>
          <w:szCs w:val="24"/>
          <w:shd w:val="clear" w:color="auto" w:fill="FFFFFF"/>
        </w:rPr>
        <w:t>至202</w:t>
      </w: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8</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31 </w:t>
      </w:r>
      <w:r>
        <w:rPr>
          <w:rFonts w:hint="eastAsia" w:ascii="宋体" w:hAnsi="宋体" w:cs="宋体"/>
          <w:color w:val="000000"/>
          <w:sz w:val="24"/>
          <w:szCs w:val="24"/>
          <w:shd w:val="clear" w:color="auto" w:fill="FFFFFF"/>
        </w:rPr>
        <w:t>日17：00</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color w:val="000000"/>
          <w:sz w:val="24"/>
          <w:szCs w:val="24"/>
        </w:rPr>
      </w:pPr>
      <w:r>
        <w:rPr>
          <w:rFonts w:hint="eastAsia" w:ascii="宋体" w:hAnsi="宋体"/>
          <w:b/>
          <w:color w:val="000000"/>
          <w:sz w:val="24"/>
          <w:szCs w:val="24"/>
        </w:rPr>
        <w:t>4、报名地点：</w:t>
      </w:r>
      <w:r>
        <w:rPr>
          <w:rFonts w:hint="eastAsia" w:ascii="宋体" w:hAnsi="宋体"/>
          <w:color w:val="000000"/>
          <w:sz w:val="24"/>
          <w:szCs w:val="24"/>
        </w:rPr>
        <w:t>铜仁市公共资源交易中心官方网址（jyzx.trs.gov.cn）</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30</w:t>
      </w:r>
      <w:r>
        <w:rPr>
          <w:rFonts w:hint="eastAsia" w:ascii="宋体" w:hAnsi="宋体"/>
          <w:b/>
          <w:color w:val="000000"/>
          <w:sz w:val="24"/>
        </w:rPr>
        <w:t>天。</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r>
        <w:rPr>
          <w:rFonts w:hint="eastAsia"/>
          <w:b/>
          <w:color w:val="000000"/>
          <w:sz w:val="24"/>
          <w:szCs w:val="24"/>
        </w:rPr>
        <w:t>招标文件地点及联系方式</w:t>
      </w:r>
    </w:p>
    <w:p>
      <w:pPr>
        <w:pStyle w:val="10"/>
        <w:keepNext w:val="0"/>
        <w:keepLines w:val="0"/>
        <w:pageBreakBefore w:val="0"/>
        <w:kinsoku/>
        <w:wordWrap/>
        <w:overflowPunct/>
        <w:topLinePunct w:val="0"/>
        <w:autoSpaceDE/>
        <w:autoSpaceDN/>
        <w:bidi w:val="0"/>
        <w:spacing w:line="520" w:lineRule="exact"/>
        <w:ind w:right="0" w:rightChars="0" w:firstLine="840" w:firstLineChars="350"/>
        <w:textAlignment w:val="auto"/>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10"/>
        <w:keepNext w:val="0"/>
        <w:keepLines w:val="0"/>
        <w:pageBreakBefore w:val="0"/>
        <w:kinsoku/>
        <w:wordWrap/>
        <w:overflowPunct/>
        <w:topLinePunct w:val="0"/>
        <w:autoSpaceDE/>
        <w:autoSpaceDN/>
        <w:bidi w:val="0"/>
        <w:spacing w:line="520" w:lineRule="exact"/>
        <w:ind w:right="0" w:rightChars="0"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w:t>
      </w:r>
      <w:r>
        <w:rPr>
          <w:rFonts w:hint="eastAsia" w:hAnsi="宋体" w:cs="宋体"/>
          <w:color w:val="000000"/>
          <w:sz w:val="24"/>
          <w:szCs w:val="24"/>
          <w:shd w:val="clear" w:color="auto" w:fill="FFFFFF"/>
        </w:rPr>
        <w:t>0856-39129</w:t>
      </w:r>
      <w:r>
        <w:rPr>
          <w:rFonts w:hint="eastAsia" w:hAnsi="宋体" w:cs="宋体"/>
          <w:color w:val="000000"/>
          <w:sz w:val="24"/>
          <w:szCs w:val="24"/>
          <w:shd w:val="clear" w:color="auto" w:fill="FFFFFF"/>
          <w:lang w:val="en-US" w:eastAsia="zh-CN"/>
        </w:rPr>
        <w:t>33</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10"/>
        <w:keepNext w:val="0"/>
        <w:keepLines w:val="0"/>
        <w:pageBreakBefore w:val="0"/>
        <w:kinsoku/>
        <w:wordWrap/>
        <w:overflowPunct/>
        <w:topLinePunct w:val="0"/>
        <w:autoSpaceDE/>
        <w:autoSpaceDN/>
        <w:bidi w:val="0"/>
        <w:spacing w:line="520" w:lineRule="exact"/>
        <w:ind w:right="0" w:rightChars="0" w:firstLine="361" w:firstLineChars="150"/>
        <w:jc w:val="left"/>
        <w:textAlignment w:val="auto"/>
        <w:rPr>
          <w:rFonts w:hint="eastAsia" w:hAnsi="宋体"/>
          <w:b/>
          <w:color w:val="000000"/>
          <w:sz w:val="24"/>
          <w:szCs w:val="24"/>
        </w:rPr>
      </w:pPr>
      <w:r>
        <w:rPr>
          <w:rFonts w:hint="eastAsia" w:hAnsi="宋体"/>
          <w:b/>
          <w:color w:val="000000"/>
          <w:sz w:val="24"/>
          <w:szCs w:val="24"/>
        </w:rPr>
        <w:t xml:space="preserve"> 9、开评标时须提供的资质资料：</w:t>
      </w:r>
    </w:p>
    <w:p>
      <w:pPr>
        <w:pStyle w:val="10"/>
        <w:keepNext w:val="0"/>
        <w:keepLines w:val="0"/>
        <w:pageBreakBefore w:val="0"/>
        <w:kinsoku/>
        <w:wordWrap/>
        <w:overflowPunct/>
        <w:topLinePunct w:val="0"/>
        <w:autoSpaceDE/>
        <w:autoSpaceDN/>
        <w:bidi w:val="0"/>
        <w:spacing w:line="520" w:lineRule="exact"/>
        <w:ind w:right="0" w:rightChars="0" w:firstLine="361" w:firstLineChars="150"/>
        <w:jc w:val="left"/>
        <w:textAlignment w:val="auto"/>
        <w:rPr>
          <w:rFonts w:hint="default" w:hAnsi="宋体" w:eastAsiaTheme="minorEastAsia"/>
          <w:b/>
          <w:color w:val="000000"/>
          <w:sz w:val="24"/>
          <w:szCs w:val="24"/>
          <w:lang w:val="en-US" w:eastAsia="zh-CN"/>
        </w:rPr>
      </w:pPr>
      <w:r>
        <w:rPr>
          <w:rFonts w:hint="eastAsia" w:hAnsi="宋体"/>
          <w:b/>
          <w:color w:val="000000"/>
          <w:sz w:val="24"/>
          <w:szCs w:val="24"/>
          <w:lang w:val="en-US" w:eastAsia="zh-CN"/>
        </w:rPr>
        <w:t xml:space="preserve">    符合政府采购法第22条相关规定</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（1）工商营业执照副本（复印件</w:t>
      </w:r>
      <w:r>
        <w:rPr>
          <w:rFonts w:hint="eastAsia" w:hAnsi="宋体"/>
          <w:color w:val="000000"/>
          <w:sz w:val="24"/>
          <w:szCs w:val="24"/>
          <w:lang w:eastAsia="zh-CN"/>
        </w:rPr>
        <w:t>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kinsoku/>
        <w:wordWrap/>
        <w:overflowPunct/>
        <w:topLinePunct w:val="0"/>
        <w:autoSpaceDE/>
        <w:autoSpaceDN/>
        <w:bidi w:val="0"/>
        <w:spacing w:line="520" w:lineRule="exact"/>
        <w:ind w:right="0" w:rightChars="0" w:firstLine="720" w:firstLineChars="300"/>
        <w:jc w:val="left"/>
        <w:textAlignment w:val="auto"/>
        <w:rPr>
          <w:rFonts w:hAnsi="宋体"/>
          <w:color w:val="000000"/>
          <w:sz w:val="24"/>
          <w:szCs w:val="24"/>
        </w:rPr>
      </w:pPr>
      <w:r>
        <w:rPr>
          <w:rFonts w:hint="eastAsia" w:hAnsi="宋体"/>
          <w:color w:val="FF0000"/>
          <w:sz w:val="24"/>
          <w:szCs w:val="24"/>
        </w:rPr>
        <w:t>（注：三证合一的只提工商供营业执照副本）</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r>
        <w:rPr>
          <w:rFonts w:hint="eastAsia" w:hAnsi="宋体"/>
          <w:color w:val="FF0000"/>
          <w:sz w:val="24"/>
          <w:szCs w:val="24"/>
          <w:lang w:eastAsia="zh-CN"/>
        </w:rPr>
        <w:t>（</w:t>
      </w:r>
      <w:r>
        <w:rPr>
          <w:rFonts w:hAnsi="宋体"/>
          <w:color w:val="FF0000"/>
          <w:sz w:val="24"/>
        </w:rPr>
        <w:t>开标时，投标文件开启之前，对投标人的投标人身份（需出示法定代表人身份证原件或委托代理人持授权委托书并出示代理人身份证原件）进行核查</w:t>
      </w:r>
      <w:r>
        <w:rPr>
          <w:rFonts w:hint="eastAsia" w:hAnsi="宋体"/>
          <w:color w:val="FF0000"/>
          <w:sz w:val="24"/>
          <w:lang w:eastAsia="zh-CN"/>
        </w:rPr>
        <w:t>）</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20" w:lineRule="exact"/>
        <w:ind w:right="0" w:rightChars="0" w:firstLine="590" w:firstLineChars="246"/>
        <w:textAlignment w:val="auto"/>
        <w:rPr>
          <w:rFonts w:hint="eastAsia"/>
          <w:color w:val="auto"/>
          <w:sz w:val="24"/>
        </w:rPr>
      </w:pPr>
      <w:r>
        <w:rPr>
          <w:rFonts w:hint="eastAsia" w:hAnsi="宋体" w:cs="宋体"/>
          <w:bCs/>
          <w:color w:val="000000"/>
          <w:sz w:val="24"/>
          <w:szCs w:val="24"/>
        </w:rPr>
        <w:t>（5</w:t>
      </w:r>
      <w:r>
        <w:rPr>
          <w:rFonts w:hint="eastAsia" w:hAnsi="宋体" w:cs="宋体"/>
          <w:bCs/>
          <w:color w:val="auto"/>
          <w:sz w:val="24"/>
          <w:szCs w:val="24"/>
        </w:rPr>
        <w:t>）</w:t>
      </w:r>
      <w:r>
        <w:rPr>
          <w:rFonts w:hint="eastAsia"/>
          <w:color w:val="auto"/>
          <w:sz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w:t>
      </w:r>
      <w:r>
        <w:rPr>
          <w:rFonts w:hint="eastAsia"/>
          <w:color w:val="auto"/>
          <w:sz w:val="24"/>
          <w:lang w:eastAsia="zh-CN"/>
        </w:rPr>
        <w:t>和</w:t>
      </w:r>
      <w:r>
        <w:rPr>
          <w:rFonts w:hint="eastAsia"/>
          <w:color w:val="auto"/>
          <w:sz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olor w:val="auto"/>
          <w:sz w:val="24"/>
        </w:rPr>
        <w:t>http://www.ccgp.gov.cn/search/cr/</w:t>
      </w:r>
      <w:r>
        <w:rPr>
          <w:rFonts w:hint="eastAsia"/>
          <w:color w:val="auto"/>
          <w:sz w:val="24"/>
        </w:rPr>
        <w:fldChar w:fldCharType="end"/>
      </w:r>
      <w:r>
        <w:rPr>
          <w:rFonts w:hint="eastAsia"/>
          <w:color w:val="auto"/>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spacing w:line="560" w:lineRule="exact"/>
        <w:ind w:firstLine="480" w:firstLineChars="200"/>
        <w:rPr>
          <w:rFonts w:hint="eastAsia"/>
          <w:b w:val="0"/>
          <w:bCs w:val="0"/>
          <w:color w:val="auto"/>
        </w:rPr>
      </w:pPr>
      <w:r>
        <w:rPr>
          <w:rFonts w:hint="eastAsia" w:ascii="宋体" w:hAnsi="宋体"/>
          <w:b w:val="0"/>
          <w:bCs w:val="0"/>
          <w:color w:val="auto"/>
          <w:sz w:val="24"/>
          <w:shd w:val="clear" w:color="auto" w:fill="FFFFFF"/>
          <w:lang w:eastAsia="zh-CN"/>
        </w:rPr>
        <w:t>（</w:t>
      </w:r>
      <w:r>
        <w:rPr>
          <w:rFonts w:hint="eastAsia" w:ascii="宋体" w:hAnsi="宋体"/>
          <w:b w:val="0"/>
          <w:bCs w:val="0"/>
          <w:color w:val="auto"/>
          <w:sz w:val="24"/>
          <w:shd w:val="clear" w:color="auto" w:fill="FFFFFF"/>
          <w:lang w:val="en-US" w:eastAsia="zh-CN"/>
        </w:rPr>
        <w:t>6</w:t>
      </w:r>
      <w:r>
        <w:rPr>
          <w:rFonts w:hint="eastAsia" w:ascii="宋体" w:hAnsi="宋体"/>
          <w:b w:val="0"/>
          <w:bCs w:val="0"/>
          <w:color w:val="auto"/>
          <w:sz w:val="24"/>
          <w:shd w:val="clear" w:color="auto" w:fill="FFFFFF"/>
          <w:lang w:eastAsia="zh-CN"/>
        </w:rPr>
        <w:t>）提供2019或2020年度经会计师事务所或审计机构审计的财务会计报表（新成立的企业可提供基本开户银行出具的资信证明）；</w:t>
      </w:r>
    </w:p>
    <w:p>
      <w:pPr>
        <w:pStyle w:val="29"/>
        <w:numPr>
          <w:ilvl w:val="0"/>
          <w:numId w:val="0"/>
        </w:numPr>
        <w:spacing w:line="400" w:lineRule="exact"/>
        <w:ind w:left="420" w:leftChars="0"/>
        <w:rPr>
          <w:rFonts w:hint="eastAsia"/>
          <w:b w:val="0"/>
          <w:bCs w:val="0"/>
          <w:color w:val="auto"/>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rPr>
        <w:t>具有履行合同所必需的设备和专业技术能力</w:t>
      </w:r>
      <w:r>
        <w:rPr>
          <w:rFonts w:hint="eastAsia" w:asciiTheme="minorEastAsia" w:hAnsiTheme="minorEastAsia" w:cstheme="minorEastAsia"/>
          <w:b w:val="0"/>
          <w:bCs w:val="0"/>
          <w:color w:val="auto"/>
          <w:sz w:val="24"/>
          <w:szCs w:val="24"/>
          <w:lang w:eastAsia="zh-CN"/>
        </w:rPr>
        <w:t>证明材料或承诺书；</w:t>
      </w: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Fonts w:hint="eastAsia"/>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w:t>
      </w:r>
      <w:r>
        <w:rPr>
          <w:rFonts w:hint="eastAsia" w:ascii="宋体" w:hAnsi="宋体"/>
          <w:b w:val="0"/>
          <w:bCs w:val="0"/>
          <w:color w:val="auto"/>
          <w:sz w:val="24"/>
          <w:szCs w:val="24"/>
        </w:rPr>
        <w:t>有依法缴纳税收和社会保障资金的良好记录</w:t>
      </w:r>
      <w:r>
        <w:rPr>
          <w:rFonts w:hint="eastAsia" w:ascii="宋体" w:hAnsi="宋体"/>
          <w:b w:val="0"/>
          <w:bCs w:val="0"/>
          <w:color w:val="auto"/>
          <w:sz w:val="24"/>
          <w:szCs w:val="24"/>
          <w:lang w:eastAsia="zh-CN"/>
        </w:rPr>
        <w:t>证明材料</w:t>
      </w:r>
      <w:r>
        <w:rPr>
          <w:rFonts w:hint="eastAsia" w:ascii="宋体" w:hAnsi="宋体"/>
          <w:b w:val="0"/>
          <w:bCs w:val="0"/>
          <w:color w:val="auto"/>
          <w:sz w:val="24"/>
        </w:rPr>
        <w:t>；</w:t>
      </w:r>
      <w:r>
        <w:rPr>
          <w:rStyle w:val="20"/>
          <w:rFonts w:hint="eastAsia" w:ascii="宋体" w:hAnsi="宋体" w:cs="Times New Roman"/>
          <w:sz w:val="24"/>
          <w:szCs w:val="24"/>
          <w:lang w:eastAsia="zh-CN"/>
        </w:rPr>
        <w:t>（提供近</w:t>
      </w:r>
      <w:r>
        <w:rPr>
          <w:rStyle w:val="20"/>
          <w:rFonts w:hint="eastAsia" w:ascii="宋体" w:hAnsi="宋体" w:cs="Times New Roman"/>
          <w:sz w:val="24"/>
          <w:szCs w:val="24"/>
          <w:lang w:val="en-US" w:eastAsia="zh-CN"/>
        </w:rPr>
        <w:t>1</w:t>
      </w:r>
      <w:r>
        <w:rPr>
          <w:rStyle w:val="20"/>
          <w:rFonts w:hint="eastAsia" w:ascii="宋体" w:hAnsi="宋体" w:cs="Times New Roman"/>
          <w:sz w:val="24"/>
          <w:szCs w:val="24"/>
          <w:lang w:eastAsia="zh-CN"/>
        </w:rPr>
        <w:t>年内任意</w:t>
      </w:r>
      <w:r>
        <w:rPr>
          <w:rStyle w:val="20"/>
          <w:rFonts w:hint="eastAsia" w:ascii="宋体" w:hAnsi="宋体" w:cs="Times New Roman"/>
          <w:color w:val="0000FF"/>
          <w:sz w:val="24"/>
          <w:szCs w:val="24"/>
          <w:lang w:val="en-US" w:eastAsia="zh-CN"/>
        </w:rPr>
        <w:t>1</w:t>
      </w:r>
      <w:r>
        <w:rPr>
          <w:rStyle w:val="20"/>
          <w:rFonts w:hint="eastAsia" w:ascii="宋体" w:hAnsi="宋体" w:cs="Times New Roman"/>
          <w:color w:val="0000FF"/>
          <w:sz w:val="24"/>
          <w:szCs w:val="24"/>
          <w:lang w:eastAsia="zh-CN"/>
        </w:rPr>
        <w:t>个月</w:t>
      </w:r>
      <w:r>
        <w:rPr>
          <w:rStyle w:val="20"/>
          <w:rFonts w:hint="eastAsia" w:ascii="宋体" w:hAnsi="宋体" w:cs="Times New Roman"/>
          <w:sz w:val="24"/>
          <w:szCs w:val="24"/>
          <w:lang w:eastAsia="zh-CN"/>
        </w:rPr>
        <w:t>的</w:t>
      </w:r>
      <w:r>
        <w:rPr>
          <w:rStyle w:val="20"/>
          <w:rFonts w:hint="eastAsia" w:ascii="宋体" w:hAnsi="宋体" w:eastAsia="宋体" w:cs="Times New Roman"/>
          <w:sz w:val="24"/>
          <w:szCs w:val="24"/>
        </w:rPr>
        <w:t>缴纳税收和</w:t>
      </w:r>
      <w:r>
        <w:rPr>
          <w:rStyle w:val="20"/>
          <w:rFonts w:hint="eastAsia" w:ascii="宋体" w:hAnsi="宋体" w:cs="Times New Roman"/>
          <w:sz w:val="24"/>
          <w:szCs w:val="24"/>
          <w:lang w:eastAsia="zh-CN"/>
        </w:rPr>
        <w:t>缴纳</w:t>
      </w:r>
      <w:r>
        <w:rPr>
          <w:rStyle w:val="20"/>
          <w:rFonts w:hint="eastAsia" w:ascii="宋体" w:hAnsi="宋体" w:eastAsia="宋体" w:cs="Times New Roman"/>
          <w:sz w:val="24"/>
          <w:szCs w:val="24"/>
        </w:rPr>
        <w:t>社会保障资金</w:t>
      </w:r>
      <w:r>
        <w:rPr>
          <w:rStyle w:val="20"/>
          <w:rFonts w:hint="eastAsia" w:ascii="宋体" w:hAnsi="宋体" w:cs="Times New Roman"/>
          <w:sz w:val="24"/>
          <w:szCs w:val="24"/>
          <w:lang w:eastAsia="zh-CN"/>
        </w:rPr>
        <w:t>的证明材料）</w:t>
      </w:r>
    </w:p>
    <w:p>
      <w:pPr>
        <w:pStyle w:val="10"/>
        <w:keepNext w:val="0"/>
        <w:keepLines w:val="0"/>
        <w:pageBreakBefore w:val="0"/>
        <w:kinsoku/>
        <w:wordWrap/>
        <w:overflowPunct/>
        <w:topLinePunct w:val="0"/>
        <w:autoSpaceDE/>
        <w:autoSpaceDN/>
        <w:bidi w:val="0"/>
        <w:spacing w:line="520" w:lineRule="exact"/>
        <w:ind w:right="0" w:rightChars="0" w:firstLine="480" w:firstLineChars="200"/>
        <w:textAlignment w:val="auto"/>
        <w:rPr>
          <w:rFonts w:hint="eastAsia"/>
          <w:color w:val="auto"/>
          <w:sz w:val="24"/>
          <w:lang w:eastAsia="zh-CN"/>
        </w:rPr>
      </w:pPr>
      <w:r>
        <w:rPr>
          <w:rFonts w:hint="eastAsia"/>
          <w:color w:val="auto"/>
          <w:sz w:val="24"/>
          <w:lang w:eastAsia="zh-CN"/>
        </w:rPr>
        <w:t>特殊要求：</w:t>
      </w:r>
    </w:p>
    <w:p>
      <w:pPr>
        <w:pStyle w:val="10"/>
        <w:keepNext w:val="0"/>
        <w:keepLines w:val="0"/>
        <w:pageBreakBefore w:val="0"/>
        <w:kinsoku/>
        <w:wordWrap/>
        <w:overflowPunct/>
        <w:topLinePunct w:val="0"/>
        <w:autoSpaceDE/>
        <w:autoSpaceDN/>
        <w:bidi w:val="0"/>
        <w:spacing w:line="520" w:lineRule="exact"/>
        <w:ind w:right="0" w:rightChars="0" w:firstLine="480" w:firstLineChars="200"/>
        <w:textAlignment w:val="auto"/>
        <w:rPr>
          <w:rFonts w:hint="eastAsia"/>
          <w:color w:val="auto"/>
          <w:sz w:val="24"/>
          <w:lang w:eastAsia="zh-CN"/>
        </w:rPr>
      </w:pPr>
      <w:r>
        <w:rPr>
          <w:rFonts w:hint="eastAsia"/>
          <w:color w:val="auto"/>
          <w:sz w:val="24"/>
          <w:lang w:eastAsia="zh-CN"/>
        </w:rPr>
        <w:t>（</w:t>
      </w:r>
      <w:r>
        <w:rPr>
          <w:rFonts w:hint="eastAsia"/>
          <w:color w:val="auto"/>
          <w:sz w:val="24"/>
          <w:lang w:val="en-US" w:eastAsia="zh-CN"/>
        </w:rPr>
        <w:t>9</w:t>
      </w:r>
      <w:r>
        <w:rPr>
          <w:rFonts w:hint="eastAsia"/>
          <w:color w:val="auto"/>
          <w:sz w:val="24"/>
          <w:lang w:eastAsia="zh-CN"/>
        </w:rPr>
        <w:t>）建筑总承包</w:t>
      </w:r>
      <w:r>
        <w:rPr>
          <w:rFonts w:hint="eastAsia"/>
          <w:color w:val="auto"/>
          <w:sz w:val="24"/>
          <w:lang w:val="en-US" w:eastAsia="zh-CN"/>
        </w:rPr>
        <w:t>二</w:t>
      </w:r>
      <w:r>
        <w:rPr>
          <w:rFonts w:hint="eastAsia"/>
          <w:color w:val="auto"/>
          <w:sz w:val="24"/>
          <w:lang w:eastAsia="zh-CN"/>
        </w:rPr>
        <w:t>级及以上资质；人员配置：需配备项目负责人，具备</w:t>
      </w:r>
      <w:r>
        <w:rPr>
          <w:rFonts w:hint="eastAsia"/>
          <w:color w:val="auto"/>
          <w:sz w:val="24"/>
          <w:lang w:val="en-US" w:eastAsia="zh-CN"/>
        </w:rPr>
        <w:t>国家注册</w:t>
      </w:r>
      <w:r>
        <w:rPr>
          <w:rFonts w:hint="eastAsia"/>
          <w:color w:val="auto"/>
          <w:sz w:val="24"/>
          <w:lang w:eastAsia="zh-CN"/>
        </w:rPr>
        <w:t>二级建筑建造师资格</w:t>
      </w:r>
      <w:r>
        <w:rPr>
          <w:rFonts w:hint="eastAsia"/>
          <w:color w:val="auto"/>
          <w:sz w:val="24"/>
          <w:lang w:val="en-US" w:eastAsia="zh-CN"/>
        </w:rPr>
        <w:t>及工程师职称</w:t>
      </w:r>
      <w:r>
        <w:rPr>
          <w:rFonts w:hint="eastAsia"/>
          <w:color w:val="auto"/>
          <w:sz w:val="24"/>
          <w:lang w:eastAsia="zh-CN"/>
        </w:rPr>
        <w:t>，技术负责人工程师及以上职称，需配备施工员、质量员、安全员、材料员、资料员。</w:t>
      </w:r>
    </w:p>
    <w:p>
      <w:pPr>
        <w:pStyle w:val="10"/>
        <w:keepNext w:val="0"/>
        <w:keepLines w:val="0"/>
        <w:pageBreakBefore w:val="0"/>
        <w:kinsoku/>
        <w:wordWrap/>
        <w:overflowPunct/>
        <w:topLinePunct w:val="0"/>
        <w:autoSpaceDE/>
        <w:autoSpaceDN/>
        <w:bidi w:val="0"/>
        <w:spacing w:line="520" w:lineRule="exact"/>
        <w:ind w:right="0" w:rightChars="0" w:firstLine="480" w:firstLineChars="200"/>
        <w:textAlignment w:val="auto"/>
        <w:rPr>
          <w:rFonts w:hint="default"/>
          <w:color w:val="auto"/>
          <w:sz w:val="24"/>
          <w:lang w:val="en-US" w:eastAsia="zh-CN"/>
        </w:rPr>
      </w:pPr>
      <w:r>
        <w:rPr>
          <w:rFonts w:hint="eastAsia"/>
          <w:color w:val="auto"/>
          <w:sz w:val="24"/>
          <w:lang w:val="en-US" w:eastAsia="zh-CN"/>
        </w:rPr>
        <w:t>（10）有效的安全生产许可证。</w:t>
      </w:r>
    </w:p>
    <w:p>
      <w:pPr>
        <w:pStyle w:val="10"/>
        <w:keepNext w:val="0"/>
        <w:keepLines w:val="0"/>
        <w:pageBreakBefore w:val="0"/>
        <w:kinsoku/>
        <w:wordWrap/>
        <w:overflowPunct/>
        <w:topLinePunct w:val="0"/>
        <w:autoSpaceDE/>
        <w:autoSpaceDN/>
        <w:bidi w:val="0"/>
        <w:spacing w:line="520" w:lineRule="exact"/>
        <w:ind w:right="0" w:rightChars="0" w:firstLine="480" w:firstLineChars="200"/>
        <w:textAlignment w:val="auto"/>
        <w:rPr>
          <w:rFonts w:hint="eastAsia"/>
          <w:color w:val="auto"/>
          <w:sz w:val="24"/>
          <w:lang w:val="en-US" w:eastAsia="zh-CN"/>
        </w:rPr>
      </w:pPr>
      <w:r>
        <w:rPr>
          <w:rFonts w:hint="eastAsia"/>
          <w:color w:val="auto"/>
          <w:sz w:val="24"/>
          <w:lang w:val="en-US" w:eastAsia="zh-CN"/>
        </w:rPr>
        <w:t>10、投标保证金：2万元人民币</w:t>
      </w:r>
    </w:p>
    <w:p>
      <w:pPr>
        <w:pStyle w:val="10"/>
        <w:keepNext w:val="0"/>
        <w:keepLines w:val="0"/>
        <w:pageBreakBefore w:val="0"/>
        <w:kinsoku/>
        <w:wordWrap/>
        <w:overflowPunct/>
        <w:topLinePunct w:val="0"/>
        <w:autoSpaceDE/>
        <w:autoSpaceDN/>
        <w:bidi w:val="0"/>
        <w:spacing w:line="520" w:lineRule="exact"/>
        <w:ind w:right="0" w:rightChars="0" w:firstLine="480" w:firstLineChars="200"/>
        <w:textAlignment w:val="auto"/>
      </w:pPr>
      <w:r>
        <w:rPr>
          <w:rFonts w:hint="eastAsia"/>
          <w:color w:val="auto"/>
          <w:sz w:val="24"/>
          <w:lang w:val="en-US" w:eastAsia="zh-CN"/>
        </w:rPr>
        <w:t>投标保证金交纳方式:采用银行转账、电汇形式提交具体缴退流程见铜仁市公共资源交易中心网站（jyzx.trs.gov.cn），点击首页-办事指南-保证金缴退，自行缴纳保证金；或者采用《投标保证金保函》（电子保函</w:t>
      </w:r>
      <w:r>
        <w:rPr>
          <w:rFonts w:ascii="宋体" w:hAnsi="宋体" w:eastAsia="宋体" w:cs="宋体"/>
          <w:sz w:val="24"/>
          <w:szCs w:val="24"/>
        </w:rPr>
        <w:t>）提交（具体操作方式见铜仁市公共资源交易中心首页——办事指南——政府采购——常见问题解答——《投标电子保函申请操作步骤》）</w:t>
      </w:r>
    </w:p>
    <w:p>
      <w:pPr>
        <w:pStyle w:val="10"/>
        <w:keepNext w:val="0"/>
        <w:keepLines w:val="0"/>
        <w:pageBreakBefore w:val="0"/>
        <w:kinsoku/>
        <w:wordWrap/>
        <w:overflowPunct/>
        <w:topLinePunct w:val="0"/>
        <w:autoSpaceDE/>
        <w:autoSpaceDN/>
        <w:bidi w:val="0"/>
        <w:spacing w:line="520" w:lineRule="exact"/>
        <w:ind w:right="0" w:rightChars="0" w:firstLine="481"/>
        <w:jc w:val="left"/>
        <w:textAlignment w:val="auto"/>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10"/>
        <w:keepNext w:val="0"/>
        <w:keepLines w:val="0"/>
        <w:pageBreakBefore w:val="0"/>
        <w:kinsoku/>
        <w:wordWrap/>
        <w:overflowPunct/>
        <w:topLinePunct w:val="0"/>
        <w:autoSpaceDE/>
        <w:autoSpaceDN/>
        <w:bidi w:val="0"/>
        <w:spacing w:line="520" w:lineRule="exact"/>
        <w:ind w:right="0" w:rightChars="0"/>
        <w:jc w:val="left"/>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开 户 行：工行贵州铜仁分行九龙支行</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帐    号：2408060119200041734</w:t>
      </w:r>
    </w:p>
    <w:p>
      <w:pPr>
        <w:pStyle w:val="10"/>
        <w:keepNext w:val="0"/>
        <w:keepLines w:val="0"/>
        <w:pageBreakBefore w:val="0"/>
        <w:kinsoku/>
        <w:wordWrap/>
        <w:overflowPunct/>
        <w:topLinePunct w:val="0"/>
        <w:autoSpaceDE/>
        <w:autoSpaceDN/>
        <w:bidi w:val="0"/>
        <w:spacing w:line="520" w:lineRule="exact"/>
        <w:ind w:right="0" w:rightChars="0" w:firstLine="480" w:firstLineChars="20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11、采购预算 ：1998000元（最高限价1998000元）   </w:t>
      </w:r>
    </w:p>
    <w:p>
      <w:pPr>
        <w:pStyle w:val="10"/>
        <w:keepNext w:val="0"/>
        <w:keepLines w:val="0"/>
        <w:pageBreakBefore w:val="0"/>
        <w:kinsoku/>
        <w:wordWrap/>
        <w:overflowPunct/>
        <w:topLinePunct w:val="0"/>
        <w:autoSpaceDE/>
        <w:autoSpaceDN/>
        <w:bidi w:val="0"/>
        <w:spacing w:line="520" w:lineRule="exact"/>
        <w:ind w:right="0" w:rightChars="0"/>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 xml:space="preserve">    12、 谈判时间：2021年9 月1日09：30时</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bCs/>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13、谈判地点：铜仁市公共服务中心四楼（铜仁市碧江区川硐教育园区麒龙国际旁）</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hint="eastAsia" w:ascii="宋体" w:hAnsi="宋体" w:cs="宋体"/>
          <w:color w:val="000000"/>
          <w:sz w:val="24"/>
          <w:szCs w:val="24"/>
          <w:shd w:val="clear" w:color="auto" w:fill="FFFFFF"/>
        </w:rPr>
      </w:pPr>
      <w:r>
        <w:rPr>
          <w:rFonts w:hint="eastAsia" w:ascii="宋体" w:hAnsi="宋体"/>
          <w:color w:val="000000"/>
          <w:sz w:val="24"/>
        </w:rPr>
        <w:t>联系电话：</w:t>
      </w:r>
      <w:r>
        <w:rPr>
          <w:rFonts w:hint="eastAsia" w:ascii="宋体" w:hAnsi="宋体" w:cs="宋体"/>
          <w:color w:val="000000"/>
          <w:sz w:val="24"/>
          <w:szCs w:val="24"/>
          <w:shd w:val="clear" w:color="auto" w:fill="FFFFFF"/>
        </w:rPr>
        <w:t>0856-</w:t>
      </w:r>
      <w:r>
        <w:rPr>
          <w:rFonts w:hint="eastAsia" w:ascii="宋体" w:hAnsi="宋体" w:cs="宋体"/>
          <w:color w:val="000000"/>
          <w:sz w:val="24"/>
          <w:szCs w:val="24"/>
          <w:shd w:val="clear" w:color="auto" w:fill="FFFFFF"/>
          <w:lang w:eastAsia="zh-CN"/>
        </w:rPr>
        <w:t>39129</w:t>
      </w:r>
      <w:r>
        <w:rPr>
          <w:rFonts w:hint="eastAsia" w:ascii="宋体" w:hAnsi="宋体" w:cs="宋体"/>
          <w:color w:val="000000"/>
          <w:sz w:val="24"/>
          <w:szCs w:val="24"/>
          <w:shd w:val="clear" w:color="auto" w:fill="FFFFFF"/>
          <w:lang w:val="en-US" w:eastAsia="zh-CN"/>
        </w:rPr>
        <w:t>33</w:t>
      </w:r>
      <w:r>
        <w:rPr>
          <w:rFonts w:hint="eastAsia" w:ascii="宋体" w:hAnsi="宋体" w:cs="宋体"/>
          <w:color w:val="000000"/>
          <w:sz w:val="24"/>
          <w:szCs w:val="24"/>
          <w:shd w:val="clear" w:color="auto" w:fill="FFFFFF"/>
        </w:rPr>
        <w:t xml:space="preserve"> </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ascii="宋体" w:hAnsi="宋体"/>
          <w:sz w:val="24"/>
        </w:rPr>
      </w:pPr>
      <w:r>
        <w:rPr>
          <w:rFonts w:hint="eastAsia" w:ascii="宋体" w:hAnsi="宋体"/>
          <w:sz w:val="24"/>
        </w:rPr>
        <w:t>联 系 人：</w:t>
      </w:r>
      <w:r>
        <w:rPr>
          <w:rFonts w:hint="eastAsia" w:ascii="宋体" w:hAnsi="宋体"/>
          <w:sz w:val="24"/>
          <w:lang w:eastAsia="zh-CN"/>
        </w:rPr>
        <w:t>景象</w:t>
      </w:r>
      <w:r>
        <w:rPr>
          <w:rFonts w:hint="eastAsia" w:ascii="宋体" w:hAnsi="宋体"/>
          <w:sz w:val="24"/>
        </w:rPr>
        <w:t xml:space="preserve">  </w:t>
      </w:r>
    </w:p>
    <w:p>
      <w:pPr>
        <w:keepNext w:val="0"/>
        <w:keepLines w:val="0"/>
        <w:pageBreakBefore w:val="0"/>
        <w:numPr>
          <w:ilvl w:val="0"/>
          <w:numId w:val="0"/>
        </w:numPr>
        <w:kinsoku/>
        <w:wordWrap/>
        <w:overflowPunct/>
        <w:topLinePunct w:val="0"/>
        <w:autoSpaceDE/>
        <w:autoSpaceDN/>
        <w:bidi w:val="0"/>
        <w:spacing w:line="520" w:lineRule="exact"/>
        <w:ind w:left="-9" w:leftChars="0" w:right="0" w:rightChars="0" w:firstLine="9" w:firstLineChars="0"/>
        <w:textAlignment w:val="auto"/>
        <w:rPr>
          <w:rFonts w:ascii="宋体" w:hAnsi="宋体"/>
          <w:sz w:val="24"/>
        </w:rPr>
      </w:pPr>
      <w:r>
        <w:rPr>
          <w:rFonts w:hint="eastAsia" w:ascii="宋体" w:hAnsi="宋体"/>
          <w:sz w:val="24"/>
          <w:lang w:val="en-US" w:eastAsia="zh-CN"/>
        </w:rPr>
        <w:t xml:space="preserve">    14、</w:t>
      </w:r>
      <w:r>
        <w:rPr>
          <w:rFonts w:hint="eastAsia" w:ascii="宋体" w:hAnsi="宋体"/>
          <w:sz w:val="24"/>
        </w:rPr>
        <w:t>采购人地点及联系方式</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sz w:val="24"/>
        </w:rPr>
        <w:t>联系地址:</w:t>
      </w:r>
      <w:r>
        <w:rPr>
          <w:rFonts w:hint="eastAsia" w:ascii="宋体" w:hAnsi="宋体"/>
          <w:sz w:val="24"/>
          <w:lang w:eastAsia="zh-CN"/>
        </w:rPr>
        <w:t>铜仁幼儿师范高等专科学校</w:t>
      </w:r>
    </w:p>
    <w:p>
      <w:pPr>
        <w:keepNext w:val="0"/>
        <w:keepLines w:val="0"/>
        <w:pageBreakBefore w:val="0"/>
        <w:kinsoku/>
        <w:wordWrap/>
        <w:overflowPunct/>
        <w:topLinePunct w:val="0"/>
        <w:autoSpaceDE/>
        <w:autoSpaceDN/>
        <w:bidi w:val="0"/>
        <w:spacing w:line="520" w:lineRule="exact"/>
        <w:ind w:right="0" w:rightChars="0"/>
        <w:textAlignment w:val="auto"/>
        <w:rPr>
          <w:rFonts w:hint="eastAsia" w:ascii="宋体" w:hAnsi="宋体"/>
          <w:sz w:val="24"/>
          <w:lang w:val="en-US" w:eastAsia="zh-CN"/>
        </w:rPr>
      </w:pP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sz w:val="24"/>
          <w:lang w:val="en-US" w:eastAsia="zh-CN"/>
        </w:rPr>
        <w:t xml:space="preserve">  项目联系人:陈老师</w:t>
      </w:r>
    </w:p>
    <w:p>
      <w:pPr>
        <w:keepNext w:val="0"/>
        <w:keepLines w:val="0"/>
        <w:pageBreakBefore w:val="0"/>
        <w:kinsoku/>
        <w:wordWrap/>
        <w:overflowPunct/>
        <w:topLinePunct w:val="0"/>
        <w:autoSpaceDE/>
        <w:autoSpaceDN/>
        <w:bidi w:val="0"/>
        <w:spacing w:line="520" w:lineRule="exact"/>
        <w:ind w:right="0" w:rightChars="0"/>
        <w:textAlignment w:val="auto"/>
        <w:rPr>
          <w:rFonts w:hint="default" w:ascii="宋体" w:hAnsi="宋体"/>
          <w:sz w:val="24"/>
          <w:lang w:val="en-US" w:eastAsia="zh-CN"/>
        </w:rPr>
      </w:pPr>
      <w:r>
        <w:rPr>
          <w:rFonts w:hint="eastAsia" w:ascii="宋体" w:hAnsi="宋体"/>
          <w:sz w:val="24"/>
          <w:lang w:val="en-US" w:eastAsia="zh-CN"/>
        </w:rPr>
        <w:t xml:space="preserve">       联系电话:18083208542</w:t>
      </w:r>
    </w:p>
    <w:p>
      <w:pPr>
        <w:keepNext w:val="0"/>
        <w:keepLines w:val="0"/>
        <w:pageBreakBefore w:val="0"/>
        <w:kinsoku/>
        <w:wordWrap/>
        <w:overflowPunct/>
        <w:topLinePunct w:val="0"/>
        <w:autoSpaceDE/>
        <w:autoSpaceDN/>
        <w:bidi w:val="0"/>
        <w:spacing w:line="520" w:lineRule="exact"/>
        <w:ind w:left="-391" w:leftChars="-186" w:right="0" w:rightChars="0" w:firstLine="480" w:firstLineChars="200"/>
        <w:textAlignment w:val="auto"/>
        <w:rPr>
          <w:rFonts w:ascii="宋体" w:hAnsi="宋体"/>
          <w:color w:val="FF0000"/>
          <w:sz w:val="24"/>
        </w:rPr>
      </w:pPr>
      <w:r>
        <w:rPr>
          <w:rFonts w:hint="eastAsia" w:ascii="宋体" w:hAnsi="宋体"/>
          <w:color w:val="FF0000"/>
          <w:sz w:val="24"/>
          <w:lang w:val="en-US" w:eastAsia="zh-CN"/>
        </w:rPr>
        <w:t xml:space="preserve">    </w:t>
      </w: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16、（财务科）保证金</w:t>
      </w:r>
      <w:r>
        <w:rPr>
          <w:rFonts w:hint="eastAsia" w:ascii="宋体" w:hAnsi="宋体"/>
          <w:color w:val="FF0000"/>
          <w:sz w:val="24"/>
          <w:lang w:eastAsia="zh-CN"/>
        </w:rPr>
        <w:t>咨询电话</w:t>
      </w:r>
      <w:r>
        <w:rPr>
          <w:rFonts w:hint="eastAsia" w:ascii="宋体" w:hAnsi="宋体"/>
          <w:color w:val="FF0000"/>
          <w:sz w:val="24"/>
        </w:rPr>
        <w:t>：0856-3910364</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9"/>
        <w:keepNext w:val="0"/>
        <w:keepLines w:val="0"/>
        <w:pageBreakBefore w:val="0"/>
        <w:kinsoku/>
        <w:wordWrap/>
        <w:overflowPunct/>
        <w:topLinePunct w:val="0"/>
        <w:autoSpaceDE/>
        <w:autoSpaceDN/>
        <w:bidi w:val="0"/>
        <w:spacing w:line="520" w:lineRule="exact"/>
        <w:ind w:right="0" w:rightChars="0"/>
        <w:textAlignment w:val="auto"/>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inorEastAsia" w:hAnsiTheme="minorEastAsia" w:cstheme="minorEastAsia"/>
          <w:color w:val="FF0000"/>
          <w:sz w:val="24"/>
          <w:szCs w:val="24"/>
        </w:rPr>
        <w:t>（http://www.ccgp-guizhou.gov.cn/ ）或铜仁市公共资源交易中心网（jyzx.trs.gov.cn）“政府采购信息发布平台”查看、处理采购人发出的文件澄清、补充、更正公告等通知内容，如因投标人未及时上网查询导致的后果，由投标人自己承担。</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宋体" w:hAnsi="宋体"/>
          <w:b/>
          <w:bCs/>
          <w:sz w:val="24"/>
        </w:rPr>
      </w:pPr>
    </w:p>
    <w:p>
      <w:pPr>
        <w:keepNext w:val="0"/>
        <w:keepLines w:val="0"/>
        <w:pageBreakBefore w:val="0"/>
        <w:kinsoku/>
        <w:wordWrap/>
        <w:overflowPunct/>
        <w:topLinePunct w:val="0"/>
        <w:autoSpaceDE/>
        <w:autoSpaceDN/>
        <w:bidi w:val="0"/>
        <w:spacing w:line="520" w:lineRule="exact"/>
        <w:ind w:right="0" w:rightChars="0"/>
        <w:jc w:val="center"/>
        <w:textAlignment w:val="auto"/>
        <w:outlineLvl w:val="0"/>
        <w:rPr>
          <w:rFonts w:hint="default" w:ascii="宋体" w:hAnsi="宋体"/>
          <w:b/>
          <w:bCs/>
          <w:sz w:val="30"/>
          <w:szCs w:val="30"/>
          <w:lang w:val="en-US"/>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8月</w:t>
      </w: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both"/>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hAnsi="宋体" w:cstheme="minorBidi"/>
                <w:kern w:val="2"/>
                <w:sz w:val="24"/>
                <w:szCs w:val="22"/>
                <w:u w:val="single"/>
                <w:lang w:val="en-US" w:eastAsia="zh-CN" w:bidi="ar-SA"/>
              </w:rPr>
              <w:t>铜仁幼儿师范高等专科学校附属幼儿园基础设施建设</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p>
          <w:p>
            <w:pPr>
              <w:pStyle w:val="10"/>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Arial" w:hAnsi="Arial" w:cs="Arial"/>
                <w:kern w:val="2"/>
                <w:sz w:val="24"/>
                <w:szCs w:val="22"/>
                <w:lang w:val="en-US" w:eastAsia="zh-CN" w:bidi="ar-SA"/>
              </w:rPr>
              <w:t>铜仁幼儿师范高等专科学校附属幼儿园基础设施建设</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lang w:eastAsia="zh-CN"/>
              </w:rPr>
              <w:t>TRZFCG-2021-059</w:t>
            </w:r>
          </w:p>
          <w:p>
            <w:pPr>
              <w:spacing w:line="400" w:lineRule="exact"/>
              <w:rPr>
                <w:rFonts w:ascii="宋体" w:hAnsi="宋体"/>
                <w:sz w:val="24"/>
                <w:u w:val="single"/>
              </w:rPr>
            </w:pPr>
            <w:r>
              <w:rPr>
                <w:rFonts w:hint="eastAsia" w:ascii="Arial" w:hAnsi="Arial" w:cs="Arial"/>
                <w:sz w:val="24"/>
              </w:rPr>
              <w:t>财政审核控制价（预算价）：</w:t>
            </w:r>
            <w:r>
              <w:rPr>
                <w:rFonts w:hint="eastAsia" w:ascii="宋体" w:hAnsi="宋体"/>
                <w:color w:val="000000"/>
                <w:sz w:val="24"/>
                <w:lang w:val="en-US" w:eastAsia="zh-CN"/>
              </w:rPr>
              <w:t>1998000元（最高限价：1998000元）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宋体" w:hAnsi="宋体"/>
                <w:color w:val="000000"/>
                <w:sz w:val="24"/>
                <w:lang w:val="en-US"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hAnsi="宋体"/>
                <w:color w:val="000000"/>
                <w:sz w:val="24"/>
                <w:szCs w:val="24"/>
              </w:rPr>
              <w:t>铜仁市公共资源交易中心</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ascii="Arial" w:cs="Arial"/>
                <w:sz w:val="24"/>
                <w:lang w:val="en-US" w:eastAsia="zh-CN"/>
              </w:rPr>
              <w:t>2</w:t>
            </w:r>
            <w:r>
              <w:rPr>
                <w:rFonts w:hint="eastAsia" w:ascii="Arial" w:cs="Arial"/>
                <w:b/>
                <w:bCs/>
                <w:sz w:val="24"/>
                <w:lang w:val="en-US" w:eastAsia="zh-CN"/>
              </w:rPr>
              <w:t>万</w:t>
            </w:r>
            <w:r>
              <w:rPr>
                <w:rFonts w:hint="eastAsia" w:hAnsi="宋体"/>
                <w:b/>
                <w:bCs/>
                <w:color w:val="000000"/>
                <w:sz w:val="24"/>
                <w:szCs w:val="24"/>
              </w:rPr>
              <w:t>元</w:t>
            </w:r>
            <w:r>
              <w:rPr>
                <w:rFonts w:ascii="Arial" w:cs="Arial"/>
                <w:sz w:val="24"/>
              </w:rPr>
              <w:t>整</w:t>
            </w:r>
            <w:r>
              <w:rPr>
                <w:rFonts w:hint="eastAsia" w:hAnsi="宋体"/>
                <w:b/>
                <w:bCs/>
                <w:color w:val="000000"/>
                <w:sz w:val="24"/>
                <w:szCs w:val="24"/>
              </w:rPr>
              <w:t>人民币</w:t>
            </w:r>
            <w:r>
              <w:rPr>
                <w:rFonts w:ascii="Arial" w:cs="Arial"/>
                <w:sz w:val="24"/>
              </w:rPr>
              <w:t>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hint="eastAsia" w:ascii="宋体" w:hAnsi="宋体"/>
          <w:b/>
          <w:bCs/>
          <w:sz w:val="24"/>
        </w:rPr>
      </w:pPr>
      <w:r>
        <w:rPr>
          <w:rFonts w:hint="eastAsia" w:ascii="宋体" w:hAnsi="宋体"/>
          <w:b/>
          <w:bCs/>
          <w:sz w:val="24"/>
        </w:rPr>
        <w:br w:type="page"/>
      </w:r>
    </w:p>
    <w:p>
      <w:pPr>
        <w:spacing w:line="400" w:lineRule="exact"/>
        <w:jc w:val="center"/>
        <w:rPr>
          <w:rFonts w:ascii="宋体" w:hAnsi="宋体"/>
          <w:b/>
          <w:bCs/>
          <w:sz w:val="32"/>
          <w:u w:val="single"/>
        </w:rPr>
      </w:pP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697"/>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6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Theme="minorEastAsia"/>
                <w:sz w:val="24"/>
                <w:lang w:eastAsia="zh-CN"/>
              </w:rPr>
            </w:pPr>
            <w:r>
              <w:rPr>
                <w:rFonts w:hint="eastAsia" w:ascii="宋体" w:hAnsi="宋体"/>
                <w:sz w:val="24"/>
              </w:rPr>
              <w:t>谈判代表若不是法定代表人，则必须提供法定代表人对谈判代表的授权书原件及谈判代表的身份证</w:t>
            </w:r>
            <w:r>
              <w:rPr>
                <w:rFonts w:hint="eastAsia" w:ascii="宋体" w:hAnsi="宋体"/>
                <w:sz w:val="24"/>
                <w:lang w:eastAsia="zh-CN"/>
              </w:rPr>
              <w:t>原</w:t>
            </w:r>
            <w:r>
              <w:rPr>
                <w:rFonts w:hint="eastAsia" w:ascii="宋体" w:hAnsi="宋体"/>
                <w:sz w:val="24"/>
              </w:rPr>
              <w:t>件</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6889" w:type="dxa"/>
            <w:tcBorders>
              <w:top w:val="single" w:color="auto" w:sz="4" w:space="0"/>
              <w:left w:val="single" w:color="auto" w:sz="4" w:space="0"/>
              <w:bottom w:val="single" w:color="auto" w:sz="4" w:space="0"/>
              <w:right w:val="single" w:color="auto" w:sz="4" w:space="0"/>
            </w:tcBorders>
          </w:tcPr>
          <w:p>
            <w:pPr>
              <w:pStyle w:val="29"/>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pStyle w:val="10"/>
              <w:ind w:firstLine="480" w:firstLineChars="200"/>
              <w:rPr>
                <w:rFonts w:hint="eastAsia" w:ascii="宋体" w:hAnsi="宋体" w:cs="宋体"/>
                <w:sz w:val="24"/>
                <w:szCs w:val="24"/>
              </w:rPr>
            </w:pPr>
            <w:r>
              <w:rPr>
                <w:rFonts w:hint="eastAsia" w:ascii="宋体" w:hAnsi="宋体" w:cs="宋体"/>
                <w:sz w:val="24"/>
                <w:szCs w:val="24"/>
              </w:rPr>
              <w:t>(六)法律、行政法规规定的其他条件。</w:t>
            </w:r>
          </w:p>
          <w:p>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）特殊要求：建筑总承包</w:t>
            </w:r>
            <w:r>
              <w:rPr>
                <w:rFonts w:hint="eastAsia" w:ascii="宋体" w:hAnsi="宋体" w:cs="宋体"/>
                <w:sz w:val="24"/>
                <w:szCs w:val="24"/>
                <w:lang w:val="en-US" w:eastAsia="zh-CN"/>
              </w:rPr>
              <w:t>二</w:t>
            </w:r>
            <w:r>
              <w:rPr>
                <w:rFonts w:hint="eastAsia" w:ascii="宋体" w:hAnsi="宋体" w:cs="宋体"/>
                <w:sz w:val="24"/>
                <w:szCs w:val="24"/>
                <w:lang w:eastAsia="zh-CN"/>
              </w:rPr>
              <w:t>级及以上资质；人员配置：需配备项目负责人，具备</w:t>
            </w:r>
            <w:r>
              <w:rPr>
                <w:rFonts w:hint="eastAsia" w:ascii="宋体" w:hAnsi="宋体" w:cs="宋体"/>
                <w:sz w:val="24"/>
                <w:szCs w:val="24"/>
                <w:lang w:val="en-US" w:eastAsia="zh-CN"/>
              </w:rPr>
              <w:t>国家注册</w:t>
            </w:r>
            <w:r>
              <w:rPr>
                <w:rFonts w:hint="eastAsia" w:ascii="宋体" w:hAnsi="宋体" w:cs="宋体"/>
                <w:sz w:val="24"/>
                <w:szCs w:val="24"/>
                <w:lang w:eastAsia="zh-CN"/>
              </w:rPr>
              <w:t>二级建筑建造师资格</w:t>
            </w:r>
            <w:r>
              <w:rPr>
                <w:rFonts w:hint="eastAsia" w:ascii="宋体" w:hAnsi="宋体" w:cs="宋体"/>
                <w:sz w:val="24"/>
                <w:szCs w:val="24"/>
                <w:lang w:val="en-US" w:eastAsia="zh-CN"/>
              </w:rPr>
              <w:t>及工程师职称</w:t>
            </w:r>
            <w:r>
              <w:rPr>
                <w:rFonts w:hint="eastAsia" w:ascii="宋体" w:hAnsi="宋体" w:cs="宋体"/>
                <w:sz w:val="24"/>
                <w:szCs w:val="24"/>
                <w:lang w:eastAsia="zh-CN"/>
              </w:rPr>
              <w:t>，技术负责人工程师及以上职称，需配备施工员、质量员、安全员、材料员、资料员。</w:t>
            </w:r>
          </w:p>
          <w:p>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（7）有效的安全生产许可证。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6889" w:type="dxa"/>
            <w:tcBorders>
              <w:top w:val="single" w:color="auto" w:sz="4" w:space="0"/>
              <w:left w:val="single" w:color="auto" w:sz="4" w:space="0"/>
              <w:bottom w:val="single" w:color="auto" w:sz="4" w:space="0"/>
              <w:right w:val="single" w:color="auto" w:sz="4" w:space="0"/>
            </w:tcBorders>
          </w:tcPr>
          <w:p>
            <w:pPr>
              <w:pStyle w:val="17"/>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6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6889"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hint="eastAsia" w:ascii="宋体" w:hAnsi="宋体"/>
          <w:b/>
          <w:sz w:val="24"/>
          <w:u w:val="single"/>
        </w:rPr>
      </w:pPr>
    </w:p>
    <w:p>
      <w:pPr>
        <w:spacing w:line="400" w:lineRule="exact"/>
        <w:ind w:firstLine="1446" w:firstLineChars="600"/>
        <w:rPr>
          <w:rFonts w:hint="eastAsia" w:ascii="宋体" w:hAnsi="宋体"/>
          <w:b/>
          <w:sz w:val="24"/>
          <w:u w:val="single"/>
        </w:rPr>
      </w:pPr>
    </w:p>
    <w:p>
      <w:pPr>
        <w:spacing w:line="400" w:lineRule="exact"/>
        <w:ind w:firstLine="1446" w:firstLineChars="600"/>
        <w:rPr>
          <w:rFonts w:hint="eastAsia"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eastAsia"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default"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lang w:eastAsia="zh-CN"/>
                <w14:textFill>
                  <w14:solidFill>
                    <w14:schemeClr w14:val="tx1"/>
                  </w14:solidFill>
                </w14:textFill>
              </w:rPr>
              <w:t>本项目</w:t>
            </w:r>
            <w:r>
              <w:rPr>
                <w:rFonts w:hint="eastAsia" w:asciiTheme="minorEastAsia" w:hAnsiTheme="minorEastAsia"/>
                <w:color w:val="000000" w:themeColor="text1"/>
                <w:spacing w:val="-4"/>
                <w:sz w:val="24"/>
                <w:szCs w:val="24"/>
                <w14:textFill>
                  <w14:solidFill>
                    <w14:schemeClr w14:val="tx1"/>
                  </w14:solidFill>
                </w14:textFill>
              </w:rPr>
              <w:t>价格扣除：按报价的</w:t>
            </w:r>
            <w:r>
              <w:rPr>
                <w:rFonts w:hint="eastAsia" w:asciiTheme="minorEastAsia" w:hAnsiTheme="minorEastAsia"/>
                <w:color w:val="000000" w:themeColor="text1"/>
                <w:spacing w:val="-4"/>
                <w:sz w:val="24"/>
                <w:szCs w:val="24"/>
                <w:u w:val="single"/>
                <w14:textFill>
                  <w14:solidFill>
                    <w14:schemeClr w14:val="tx1"/>
                  </w14:solidFill>
                </w14:textFill>
              </w:rPr>
              <w:t>（9</w:t>
            </w:r>
            <w:r>
              <w:rPr>
                <w:rFonts w:hint="eastAsia" w:asciiTheme="minorEastAsia" w:hAnsiTheme="minorEastAsia"/>
                <w:color w:val="000000" w:themeColor="text1"/>
                <w:spacing w:val="-4"/>
                <w:sz w:val="24"/>
                <w:szCs w:val="24"/>
                <w:u w:val="single"/>
                <w:lang w:val="en-US" w:eastAsia="zh-CN"/>
                <w14:textFill>
                  <w14:solidFill>
                    <w14:schemeClr w14:val="tx1"/>
                  </w14:solidFill>
                </w14:textFill>
              </w:rPr>
              <w:t>7</w:t>
            </w:r>
            <w:r>
              <w:rPr>
                <w:rFonts w:hint="eastAsia" w:asciiTheme="minorEastAsia" w:hAnsiTheme="minorEastAsia"/>
                <w:color w:val="000000" w:themeColor="text1"/>
                <w:spacing w:val="-4"/>
                <w:sz w:val="24"/>
                <w:szCs w:val="24"/>
                <w:u w:val="single"/>
                <w14:textFill>
                  <w14:solidFill>
                    <w14:schemeClr w14:val="tx1"/>
                  </w14:solidFill>
                </w14:textFill>
              </w:rPr>
              <w:t>%）</w:t>
            </w:r>
            <w:r>
              <w:rPr>
                <w:rFonts w:hint="eastAsia" w:asciiTheme="minorEastAsia" w:hAnsiTheme="minorEastAsia"/>
                <w:color w:val="000000" w:themeColor="text1"/>
                <w:spacing w:val="-4"/>
                <w:sz w:val="24"/>
                <w:szCs w:val="24"/>
                <w14:textFill>
                  <w14:solidFill>
                    <w14:schemeClr w14:val="tx1"/>
                  </w14:solidFill>
                </w14:textFill>
              </w:rPr>
              <w:t>计算评审价</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12" w:firstLineChars="5"/>
              <w:textAlignment w:val="auto"/>
              <w:rPr>
                <w:rFonts w:hint="default" w:asciiTheme="minorEastAsia" w:hAnsiTheme="minorEastAsia"/>
                <w:b/>
                <w:color w:val="000000" w:themeColor="text1"/>
                <w:spacing w:val="-4"/>
                <w:sz w:val="24"/>
                <w:szCs w:val="24"/>
                <w14:textFill>
                  <w14:solidFill>
                    <w14:schemeClr w14:val="tx1"/>
                  </w14:solidFill>
                </w14:textFill>
              </w:rPr>
            </w:pPr>
            <w:r>
              <w:rPr>
                <w:rFonts w:hint="eastAsia" w:asciiTheme="minorEastAsia" w:hAnsiTheme="minorEastAsia"/>
                <w:b/>
                <w:color w:val="000000" w:themeColor="text1"/>
                <w:spacing w:val="-4"/>
                <w:sz w:val="24"/>
                <w:szCs w:val="24"/>
                <w14:textFill>
                  <w14:solidFill>
                    <w14:schemeClr w14:val="tx1"/>
                  </w14:solidFill>
                </w14:textFill>
              </w:rPr>
              <w:t>中型企业：</w:t>
            </w:r>
          </w:p>
          <w:p>
            <w:pPr>
              <w:spacing w:before="60" w:beforeLines="25" w:after="60" w:afterLines="25" w:line="400" w:lineRule="exact"/>
              <w:ind w:firstLine="464" w:firstLineChars="200"/>
              <w:rPr>
                <w:rFonts w:ascii="宋体" w:hAnsi="宋体"/>
                <w:color w:val="000000"/>
                <w:spacing w:val="-4"/>
                <w:sz w:val="24"/>
              </w:rPr>
            </w:pPr>
            <w:r>
              <w:rPr>
                <w:rFonts w:hint="default" w:asciiTheme="minorEastAsia" w:hAnsiTheme="minorEastAsia"/>
                <w:color w:val="000000" w:themeColor="text1"/>
                <w:spacing w:val="-4"/>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p>
            <w:pPr>
              <w:spacing w:before="60" w:beforeLines="25" w:after="60" w:afterLines="25" w:line="400" w:lineRule="exact"/>
              <w:rPr>
                <w:rFonts w:ascii="宋体" w:hAnsi="宋体"/>
                <w:b/>
                <w:sz w:val="24"/>
              </w:rPr>
            </w:pPr>
            <w:r>
              <w:rPr>
                <w:rFonts w:hint="eastAsia" w:ascii="宋体" w:hAnsi="宋体"/>
                <w:b/>
                <w:sz w:val="24"/>
              </w:rPr>
              <w:t xml:space="preserve"> </w:t>
            </w:r>
          </w:p>
          <w:tbl>
            <w:tblPr>
              <w:tblStyle w:val="18"/>
              <w:tblW w:w="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49"/>
              <w:gridCol w:w="1187"/>
              <w:gridCol w:w="101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585" w:type="dxa"/>
                  <w:vMerge w:val="restart"/>
                  <w:tcBorders>
                    <w:left w:val="single" w:color="auto" w:sz="4" w:space="0"/>
                    <w:right w:val="single" w:color="auto" w:sz="4" w:space="0"/>
                  </w:tcBorders>
                  <w:noWrap w:val="0"/>
                  <w:vAlign w:val="center"/>
                </w:tcPr>
                <w:p>
                  <w:pPr>
                    <w:pStyle w:val="57"/>
                    <w:keepNext w:val="0"/>
                    <w:keepLines w:val="0"/>
                    <w:suppressLineNumbers w:val="0"/>
                    <w:tabs>
                      <w:tab w:val="left" w:pos="1260"/>
                    </w:tabs>
                    <w:spacing w:before="156" w:beforeAutospacing="0" w:after="156" w:afterAutospacing="0"/>
                    <w:ind w:left="0" w:right="0"/>
                    <w:jc w:val="center"/>
                    <w:rPr>
                      <w:rFonts w:hint="eastAsia" w:ascii="宋体" w:hAnsi="宋体"/>
                      <w:sz w:val="24"/>
                      <w:lang w:val="en-GB"/>
                    </w:rPr>
                  </w:pPr>
                  <w:r>
                    <w:rPr>
                      <w:rFonts w:hint="eastAsia" w:ascii="宋体" w:hAnsi="宋体"/>
                      <w:sz w:val="24"/>
                      <w:lang w:val="en-GB"/>
                    </w:rPr>
                    <w:t>中小企业扶持政策</w:t>
                  </w:r>
                </w:p>
              </w:tc>
              <w:tc>
                <w:tcPr>
                  <w:tcW w:w="5147" w:type="dxa"/>
                  <w:gridSpan w:val="4"/>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line="360" w:lineRule="auto"/>
                    <w:ind w:left="0" w:right="0"/>
                    <w:rPr>
                      <w:rFonts w:hint="eastAsia" w:ascii="宋体" w:hAnsi="宋体"/>
                      <w:sz w:val="24"/>
                      <w:lang w:val="en-GB"/>
                    </w:rPr>
                  </w:pPr>
                  <w:r>
                    <w:rPr>
                      <w:rFonts w:hint="eastAsia" w:ascii="宋体" w:hAnsi="宋体"/>
                      <w:sz w:val="24"/>
                      <w:lang w:val="en-GB"/>
                    </w:rPr>
                    <w:t>如属所列情形的，请在括号内打“√”：</w:t>
                  </w:r>
                </w:p>
                <w:p>
                  <w:pPr>
                    <w:pStyle w:val="57"/>
                    <w:keepNext w:val="0"/>
                    <w:keepLines w:val="0"/>
                    <w:suppressLineNumbers w:val="0"/>
                    <w:tabs>
                      <w:tab w:val="left" w:pos="1260"/>
                    </w:tabs>
                    <w:spacing w:before="40" w:beforeAutospacing="0" w:after="40" w:afterAutospacing="0" w:line="360" w:lineRule="auto"/>
                    <w:ind w:left="0" w:right="0"/>
                    <w:rPr>
                      <w:rFonts w:hint="eastAsia" w:ascii="宋体" w:hAnsi="宋体"/>
                      <w:sz w:val="24"/>
                    </w:rPr>
                  </w:pPr>
                  <w:r>
                    <w:rPr>
                      <w:rFonts w:hint="eastAsia" w:ascii="宋体" w:hAnsi="宋体"/>
                      <w:sz w:val="24"/>
                    </w:rPr>
                    <w:t>（  ）小型、微型企业投标且全部</w:t>
                  </w:r>
                  <w:r>
                    <w:rPr>
                      <w:rFonts w:hint="eastAsia" w:ascii="宋体" w:hAnsi="宋体"/>
                      <w:sz w:val="24"/>
                      <w:lang w:eastAsia="zh-CN"/>
                    </w:rPr>
                    <w:t>由</w:t>
                  </w:r>
                  <w:r>
                    <w:rPr>
                      <w:rFonts w:hint="eastAsia" w:ascii="宋体" w:hAnsi="宋体"/>
                      <w:sz w:val="24"/>
                    </w:rPr>
                    <w:t>本企业</w:t>
                  </w:r>
                  <w:r>
                    <w:rPr>
                      <w:rFonts w:hint="eastAsia" w:ascii="宋体" w:hAnsi="宋体"/>
                      <w:sz w:val="24"/>
                      <w:lang w:eastAsia="zh-CN"/>
                    </w:rPr>
                    <w:t>承建</w:t>
                  </w:r>
                  <w:r>
                    <w:rPr>
                      <w:rFonts w:hint="eastAsia" w:ascii="宋体" w:hAnsi="宋体"/>
                      <w:sz w:val="24"/>
                    </w:rPr>
                    <w:t>。</w:t>
                  </w:r>
                </w:p>
                <w:p>
                  <w:pPr>
                    <w:pStyle w:val="57"/>
                    <w:keepNext w:val="0"/>
                    <w:keepLines w:val="0"/>
                    <w:suppressLineNumbers w:val="0"/>
                    <w:tabs>
                      <w:tab w:val="left" w:pos="1260"/>
                    </w:tabs>
                    <w:spacing w:before="40" w:beforeAutospacing="0" w:after="40" w:afterAutospacing="0" w:line="360" w:lineRule="auto"/>
                    <w:ind w:left="0" w:right="0"/>
                    <w:rPr>
                      <w:rFonts w:hint="eastAsia" w:ascii="宋体" w:hAnsi="宋体"/>
                      <w:sz w:val="24"/>
                    </w:rPr>
                  </w:pPr>
                  <w:r>
                    <w:rPr>
                      <w:rFonts w:hint="eastAsia" w:ascii="宋体" w:hAnsi="宋体"/>
                      <w:sz w:val="24"/>
                    </w:rPr>
                    <w:t>（  ）小型、微型企业投标且提供其它小型、微型企业</w:t>
                  </w:r>
                  <w:r>
                    <w:rPr>
                      <w:rFonts w:hint="eastAsia" w:ascii="宋体" w:hAnsi="宋体"/>
                      <w:sz w:val="24"/>
                      <w:lang w:eastAsia="zh-CN"/>
                    </w:rPr>
                    <w:t>承建</w:t>
                  </w:r>
                  <w:r>
                    <w:rPr>
                      <w:rFonts w:hint="eastAsia" w:ascii="宋体" w:hAnsi="宋体"/>
                      <w:sz w:val="24"/>
                    </w:rPr>
                    <w:t>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85" w:type="dxa"/>
                  <w:vMerge w:val="continue"/>
                  <w:tcBorders>
                    <w:left w:val="single" w:color="auto" w:sz="4" w:space="0"/>
                    <w:right w:val="single" w:color="auto" w:sz="4" w:space="0"/>
                  </w:tcBorders>
                  <w:noWrap w:val="0"/>
                  <w:vAlign w:val="center"/>
                </w:tcPr>
                <w:p>
                  <w:pPr>
                    <w:pStyle w:val="57"/>
                    <w:keepNext w:val="0"/>
                    <w:keepLines w:val="0"/>
                    <w:widowControl/>
                    <w:suppressLineNumbers w:val="0"/>
                    <w:spacing w:before="0" w:beforeAutospacing="0" w:after="0" w:afterAutospacing="0"/>
                    <w:ind w:left="0" w:right="0"/>
                    <w:jc w:val="left"/>
                    <w:rPr>
                      <w:rFonts w:hint="default" w:ascii="宋体" w:hAnsi="宋体"/>
                      <w:sz w:val="24"/>
                      <w:lang w:val="en-GB"/>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eastAsia" w:ascii="宋体" w:hAnsi="宋体" w:eastAsia="宋体"/>
                      <w:color w:val="FF0000"/>
                      <w:sz w:val="24"/>
                      <w:lang w:val="en-GB" w:eastAsia="zh-CN"/>
                    </w:rPr>
                  </w:pPr>
                  <w:r>
                    <w:rPr>
                      <w:rFonts w:hint="eastAsia" w:ascii="宋体" w:hAnsi="宋体"/>
                      <w:color w:val="FF0000"/>
                      <w:sz w:val="24"/>
                      <w:lang w:val="en-GB" w:eastAsia="zh-CN"/>
                    </w:rPr>
                    <w:t>工程</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eastAsia="zh-CN"/>
                    </w:rPr>
                    <w:t>施工单位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eastAsia="zh-CN"/>
                    </w:rPr>
                    <w:t>施工单位</w:t>
                  </w:r>
                  <w:r>
                    <w:rPr>
                      <w:rFonts w:hint="eastAsia" w:ascii="宋体" w:hAnsi="宋体"/>
                      <w:color w:val="FF0000"/>
                      <w:sz w:val="24"/>
                      <w:lang w:val="en-GB"/>
                    </w:rPr>
                    <w:t>企业类型</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85" w:type="dxa"/>
                  <w:vMerge w:val="continue"/>
                  <w:tcBorders>
                    <w:left w:val="single" w:color="auto" w:sz="4" w:space="0"/>
                    <w:right w:val="single" w:color="auto" w:sz="4" w:space="0"/>
                  </w:tcBorders>
                  <w:noWrap w:val="0"/>
                  <w:vAlign w:val="center"/>
                </w:tcPr>
                <w:p>
                  <w:pPr>
                    <w:pStyle w:val="57"/>
                    <w:keepNext w:val="0"/>
                    <w:keepLines w:val="0"/>
                    <w:widowControl/>
                    <w:suppressLineNumbers w:val="0"/>
                    <w:spacing w:before="0" w:beforeAutospacing="0" w:after="0" w:afterAutospacing="0"/>
                    <w:ind w:left="0" w:right="0"/>
                    <w:jc w:val="left"/>
                    <w:rPr>
                      <w:rFonts w:hint="default" w:ascii="宋体" w:hAnsi="宋体"/>
                      <w:sz w:val="24"/>
                      <w:lang w:val="en-GB"/>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r>
          </w:tbl>
          <w:p>
            <w:pPr>
              <w:spacing w:before="60" w:beforeLines="25" w:after="60"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Theme="minorEastAsia" w:hAnsiTheme="minorEastAsia" w:eastAsiaTheme="minorEastAsia"/>
                <w:color w:val="FF0000"/>
                <w:sz w:val="24"/>
                <w:szCs w:val="24"/>
                <w:lang w:val="en-US" w:eastAsia="zh-CN"/>
              </w:rPr>
            </w:pPr>
            <w:r>
              <w:rPr>
                <w:rFonts w:hint="eastAsia" w:asciiTheme="minorEastAsia" w:hAnsiTheme="minorEastAsia"/>
                <w:color w:val="FF0000"/>
                <w:sz w:val="24"/>
                <w:szCs w:val="24"/>
              </w:rPr>
              <w:t>1</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磋商供应商不符合“工信部联企业[2011]300号”规定的中小企业标准的；</w:t>
            </w:r>
            <w:r>
              <w:rPr>
                <w:rFonts w:hint="eastAsia" w:asciiTheme="minorEastAsia" w:hAnsiTheme="minorEastAsia"/>
                <w:color w:val="FF0000"/>
                <w:sz w:val="24"/>
                <w:szCs w:val="24"/>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2</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响应</w:t>
            </w:r>
            <w:r>
              <w:rPr>
                <w:rFonts w:hint="eastAsia" w:asciiTheme="minorEastAsia" w:hAnsiTheme="minorEastAsia"/>
                <w:color w:val="FF0000"/>
                <w:sz w:val="24"/>
                <w:szCs w:val="24"/>
                <w:lang w:eastAsia="zh-CN"/>
              </w:rPr>
              <w:t>工程项目</w:t>
            </w:r>
            <w:r>
              <w:rPr>
                <w:rFonts w:hint="eastAsia" w:asciiTheme="minorEastAsia" w:hAnsiTheme="minorEastAsia"/>
                <w:color w:val="FF0000"/>
                <w:sz w:val="24"/>
                <w:szCs w:val="24"/>
              </w:rPr>
              <w:t>全部或部分为</w:t>
            </w:r>
            <w:r>
              <w:rPr>
                <w:rFonts w:hint="eastAsia" w:asciiTheme="minorEastAsia" w:hAnsiTheme="minorEastAsia"/>
                <w:color w:val="FF0000"/>
                <w:sz w:val="24"/>
                <w:szCs w:val="24"/>
                <w:lang w:eastAsia="zh-CN"/>
              </w:rPr>
              <w:t>由</w:t>
            </w:r>
            <w:r>
              <w:rPr>
                <w:rFonts w:hint="eastAsia" w:asciiTheme="minorEastAsia" w:hAnsiTheme="minorEastAsia"/>
                <w:color w:val="FF0000"/>
                <w:sz w:val="24"/>
                <w:szCs w:val="24"/>
              </w:rPr>
              <w:t>大型企业</w:t>
            </w:r>
            <w:r>
              <w:rPr>
                <w:rFonts w:hint="eastAsia" w:asciiTheme="minorEastAsia" w:hAnsiTheme="minorEastAsia"/>
                <w:color w:val="FF0000"/>
                <w:sz w:val="24"/>
                <w:szCs w:val="24"/>
                <w:lang w:eastAsia="zh-CN"/>
              </w:rPr>
              <w:t>承建</w:t>
            </w:r>
            <w:r>
              <w:rPr>
                <w:rFonts w:hint="eastAsia" w:asciiTheme="minorEastAsia" w:hAnsiTheme="minorEastAsia"/>
                <w:color w:val="FF0000"/>
                <w:sz w:val="24"/>
                <w:szCs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3</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480" w:firstLineChars="200"/>
              <w:rPr>
                <w:rFonts w:ascii="宋体" w:hAnsi="宋体"/>
                <w:sz w:val="24"/>
              </w:rPr>
            </w:pPr>
            <w:r>
              <w:rPr>
                <w:rFonts w:ascii="宋体" w:hAnsi="宋体" w:eastAsia="宋体" w:cs="宋体"/>
                <w:sz w:val="24"/>
                <w:szCs w:val="24"/>
              </w:rPr>
              <w:t>《关于进一步落实政府采购有关政策的通知》黔财采 〔2014〕15号文件规定：</w:t>
            </w:r>
            <w:r>
              <w:rPr>
                <w:rFonts w:ascii="宋体" w:hAnsi="宋体" w:eastAsia="宋体" w:cs="宋体"/>
                <w:sz w:val="24"/>
                <w:szCs w:val="24"/>
              </w:rPr>
              <w:br w:type="textWrapping"/>
            </w:r>
            <w:r>
              <w:rPr>
                <w:rFonts w:ascii="宋体" w:hAnsi="宋体" w:eastAsia="宋体" w:cs="宋体"/>
                <w:sz w:val="24"/>
                <w:szCs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r>
              <w:rPr>
                <w:rFonts w:ascii="宋体" w:hAnsi="宋体" w:eastAsia="宋体" w:cs="宋体"/>
                <w:sz w:val="24"/>
                <w:szCs w:val="24"/>
              </w:rPr>
              <w:br w:type="textWrapping"/>
            </w:r>
            <w:r>
              <w:rPr>
                <w:rFonts w:ascii="宋体" w:hAnsi="宋体" w:eastAsia="宋体" w:cs="宋体"/>
                <w:sz w:val="24"/>
                <w:szCs w:val="24"/>
              </w:rPr>
              <w:t>少数民族自治区和享受少数民族自治待遇的省份采购政策</w:t>
            </w:r>
            <w:r>
              <w:rPr>
                <w:rFonts w:ascii="宋体" w:hAnsi="宋体" w:eastAsia="宋体" w:cs="宋体"/>
                <w:sz w:val="24"/>
                <w:szCs w:val="24"/>
              </w:rPr>
              <w:br w:type="textWrapping"/>
            </w:r>
            <w:r>
              <w:rPr>
                <w:rFonts w:ascii="宋体" w:hAnsi="宋体" w:eastAsia="宋体" w:cs="宋体"/>
                <w:sz w:val="24"/>
                <w:szCs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r>
        <w:rPr>
          <w:rFonts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both"/>
        <w:rPr>
          <w:rFonts w:hAnsi="宋体"/>
          <w:b/>
          <w:sz w:val="24"/>
        </w:rPr>
      </w:pPr>
      <w:bookmarkStart w:id="347" w:name="_GoBack"/>
      <w:bookmarkEnd w:id="347"/>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w:t>
      </w:r>
      <w:r>
        <w:rPr>
          <w:rFonts w:hint="eastAsia" w:hAnsi="宋体"/>
          <w:sz w:val="24"/>
          <w:lang w:val="en-US" w:eastAsia="zh-CN"/>
        </w:rPr>
        <w:t>工程</w:t>
      </w:r>
      <w:r>
        <w:rPr>
          <w:rFonts w:hAnsi="宋体"/>
          <w:sz w:val="24"/>
        </w:rPr>
        <w:t>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w:t>
      </w:r>
      <w:r>
        <w:rPr>
          <w:rFonts w:hint="eastAsia" w:hAnsi="宋体"/>
          <w:sz w:val="24"/>
          <w:lang w:val="en-US" w:eastAsia="zh-CN"/>
        </w:rPr>
        <w:t>本项目</w:t>
      </w:r>
      <w:r>
        <w:rPr>
          <w:rFonts w:hAnsi="宋体"/>
          <w:sz w:val="24"/>
        </w:rPr>
        <w:t>“</w:t>
      </w:r>
      <w:r>
        <w:rPr>
          <w:rFonts w:hint="eastAsia" w:hAnsi="宋体"/>
          <w:sz w:val="24"/>
          <w:lang w:val="en-US" w:eastAsia="zh-CN"/>
        </w:rPr>
        <w:t>工程</w:t>
      </w:r>
      <w:r>
        <w:rPr>
          <w:rFonts w:hAnsi="宋体"/>
          <w:sz w:val="24"/>
        </w:rPr>
        <w:t>”系指</w:t>
      </w:r>
      <w:r>
        <w:rPr>
          <w:rFonts w:hint="eastAsia" w:hAnsi="宋体"/>
          <w:sz w:val="24"/>
        </w:rPr>
        <w:t>指各种形态和和种类的物品，包括原材料、</w:t>
      </w:r>
      <w:r>
        <w:rPr>
          <w:rFonts w:hint="eastAsia" w:hAnsi="宋体"/>
          <w:sz w:val="24"/>
          <w:lang w:val="en-US" w:eastAsia="zh-CN"/>
        </w:rPr>
        <w:t>货物</w:t>
      </w:r>
      <w:r>
        <w:rPr>
          <w:rFonts w:hint="eastAsia" w:hAnsi="宋体"/>
          <w:sz w:val="24"/>
        </w:rPr>
        <w:t>、设备、产品</w:t>
      </w:r>
      <w:r>
        <w:rPr>
          <w:rFonts w:hint="eastAsia" w:hAnsi="宋体"/>
          <w:sz w:val="24"/>
          <w:lang w:val="en-US" w:eastAsia="zh-CN"/>
        </w:rPr>
        <w:t>以及人工</w:t>
      </w:r>
      <w:r>
        <w:rPr>
          <w:rFonts w:hint="eastAsia" w:hAnsi="宋体"/>
          <w:sz w:val="24"/>
        </w:rPr>
        <w:t>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b w:val="0"/>
          <w:bCs w:val="0"/>
          <w:color w:val="auto"/>
          <w:sz w:val="24"/>
        </w:rPr>
      </w:pPr>
      <w:r>
        <w:rPr>
          <w:rFonts w:hint="eastAsia" w:ascii="宋体" w:hAnsi="宋体"/>
          <w:b w:val="0"/>
          <w:bCs w:val="0"/>
          <w:color w:val="auto"/>
          <w:sz w:val="24"/>
        </w:rPr>
        <w:t>（1）法人或者其他组织的营业执照等证明文件，自然人的身份证明；</w:t>
      </w:r>
    </w:p>
    <w:p>
      <w:pPr>
        <w:spacing w:line="400" w:lineRule="exact"/>
        <w:ind w:firstLine="480"/>
        <w:rPr>
          <w:rFonts w:hint="eastAsia" w:ascii="宋体" w:hAnsi="宋体" w:eastAsiaTheme="minorEastAsia"/>
          <w:b w:val="0"/>
          <w:bCs w:val="0"/>
          <w:color w:val="auto"/>
          <w:sz w:val="24"/>
          <w:lang w:eastAsia="zh-CN"/>
        </w:rPr>
      </w:pPr>
      <w:r>
        <w:rPr>
          <w:rFonts w:hint="eastAsia" w:ascii="宋体" w:hAnsi="宋体"/>
          <w:b w:val="0"/>
          <w:bCs w:val="0"/>
          <w:color w:val="auto"/>
          <w:sz w:val="24"/>
        </w:rPr>
        <w:t>谈判响应供应商是法人或者其他组织的应提供营业执照等证明文件，谈判响应供应商是自然人的应提供有效的自然人身份证明</w:t>
      </w:r>
      <w:r>
        <w:rPr>
          <w:rFonts w:hint="eastAsia" w:ascii="宋体" w:hAnsi="宋体"/>
          <w:b w:val="0"/>
          <w:bCs w:val="0"/>
          <w:color w:val="auto"/>
          <w:sz w:val="24"/>
          <w:lang w:eastAsia="zh-CN"/>
        </w:rPr>
        <w:t>；</w:t>
      </w:r>
    </w:p>
    <w:p>
      <w:pPr>
        <w:spacing w:line="560" w:lineRule="exact"/>
        <w:ind w:firstLine="480" w:firstLineChars="200"/>
        <w:rPr>
          <w:rFonts w:hint="eastAsia"/>
          <w:b w:val="0"/>
          <w:bCs w:val="0"/>
          <w:color w:val="auto"/>
        </w:rPr>
      </w:pPr>
      <w:r>
        <w:rPr>
          <w:rFonts w:hint="eastAsia" w:ascii="宋体" w:hAnsi="宋体"/>
          <w:b w:val="0"/>
          <w:bCs w:val="0"/>
          <w:color w:val="auto"/>
          <w:sz w:val="24"/>
          <w:shd w:val="clear" w:color="auto" w:fill="FFFFFF"/>
          <w:lang w:eastAsia="zh-CN"/>
        </w:rPr>
        <w:t>（</w:t>
      </w:r>
      <w:r>
        <w:rPr>
          <w:rFonts w:hint="eastAsia" w:ascii="宋体" w:hAnsi="宋体"/>
          <w:b w:val="0"/>
          <w:bCs w:val="0"/>
          <w:color w:val="auto"/>
          <w:sz w:val="24"/>
          <w:shd w:val="clear" w:color="auto" w:fill="FFFFFF"/>
          <w:lang w:val="en-US" w:eastAsia="zh-CN"/>
        </w:rPr>
        <w:t>2</w:t>
      </w:r>
      <w:r>
        <w:rPr>
          <w:rFonts w:hint="eastAsia" w:ascii="宋体" w:hAnsi="宋体"/>
          <w:b w:val="0"/>
          <w:bCs w:val="0"/>
          <w:color w:val="auto"/>
          <w:sz w:val="24"/>
          <w:shd w:val="clear" w:color="auto" w:fill="FFFFFF"/>
          <w:lang w:eastAsia="zh-CN"/>
        </w:rPr>
        <w:t>）提供2019或2020年度经会计师事务所或审计机构审计的财务会计报表（新成立的企业可提供基本开户银行出具的资信证明）；</w:t>
      </w:r>
    </w:p>
    <w:p>
      <w:pPr>
        <w:pStyle w:val="29"/>
        <w:numPr>
          <w:numId w:val="0"/>
        </w:numPr>
        <w:spacing w:line="400" w:lineRule="exact"/>
        <w:ind w:left="420" w:leftChars="0"/>
        <w:rPr>
          <w:rFonts w:hint="eastAsia"/>
          <w:b w:val="0"/>
          <w:bCs w:val="0"/>
          <w:color w:val="auto"/>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rPr>
        <w:t>具有履行合同所必需的设备和专业技术能力</w:t>
      </w:r>
      <w:r>
        <w:rPr>
          <w:rFonts w:hint="eastAsia" w:asciiTheme="minorEastAsia" w:hAnsiTheme="minorEastAsia" w:cstheme="minorEastAsia"/>
          <w:b w:val="0"/>
          <w:bCs w:val="0"/>
          <w:color w:val="auto"/>
          <w:sz w:val="24"/>
          <w:szCs w:val="24"/>
          <w:lang w:eastAsia="zh-CN"/>
        </w:rPr>
        <w:t>证明材料或承诺书；</w:t>
      </w: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Fonts w:ascii="宋体" w:hAnsi="宋体"/>
          <w:b w:val="0"/>
          <w:bCs w:val="0"/>
          <w:color w:val="auto"/>
          <w:sz w:val="24"/>
        </w:rPr>
      </w:pPr>
      <w:r>
        <w:rPr>
          <w:rFonts w:hint="eastAsia" w:ascii="宋体" w:hAnsi="宋体"/>
          <w:b w:val="0"/>
          <w:bCs w:val="0"/>
          <w:color w:val="auto"/>
          <w:sz w:val="24"/>
        </w:rPr>
        <w:t>（4）</w:t>
      </w:r>
      <w:r>
        <w:rPr>
          <w:rFonts w:hint="eastAsia" w:ascii="宋体" w:hAnsi="宋体"/>
          <w:b w:val="0"/>
          <w:bCs w:val="0"/>
          <w:color w:val="auto"/>
          <w:sz w:val="24"/>
          <w:szCs w:val="24"/>
        </w:rPr>
        <w:t>有依法缴纳税收和社会保障资金的良好记录</w:t>
      </w:r>
      <w:r>
        <w:rPr>
          <w:rFonts w:hint="eastAsia" w:ascii="宋体" w:hAnsi="宋体"/>
          <w:b w:val="0"/>
          <w:bCs w:val="0"/>
          <w:color w:val="auto"/>
          <w:sz w:val="24"/>
          <w:szCs w:val="24"/>
          <w:lang w:eastAsia="zh-CN"/>
        </w:rPr>
        <w:t>证明材料</w:t>
      </w:r>
      <w:r>
        <w:rPr>
          <w:rFonts w:hint="eastAsia" w:ascii="宋体" w:hAnsi="宋体"/>
          <w:b w:val="0"/>
          <w:bCs w:val="0"/>
          <w:color w:val="auto"/>
          <w:sz w:val="24"/>
        </w:rPr>
        <w:t>；</w:t>
      </w:r>
      <w:r>
        <w:rPr>
          <w:rStyle w:val="20"/>
          <w:rFonts w:hint="eastAsia" w:ascii="宋体" w:hAnsi="宋体" w:cs="Times New Roman"/>
          <w:sz w:val="24"/>
          <w:szCs w:val="24"/>
          <w:lang w:eastAsia="zh-CN"/>
        </w:rPr>
        <w:t>（提供近</w:t>
      </w:r>
      <w:r>
        <w:rPr>
          <w:rStyle w:val="20"/>
          <w:rFonts w:hint="eastAsia" w:ascii="宋体" w:hAnsi="宋体" w:cs="Times New Roman"/>
          <w:sz w:val="24"/>
          <w:szCs w:val="24"/>
          <w:lang w:val="en-US" w:eastAsia="zh-CN"/>
        </w:rPr>
        <w:t>1</w:t>
      </w:r>
      <w:r>
        <w:rPr>
          <w:rStyle w:val="20"/>
          <w:rFonts w:hint="eastAsia" w:ascii="宋体" w:hAnsi="宋体" w:cs="Times New Roman"/>
          <w:sz w:val="24"/>
          <w:szCs w:val="24"/>
          <w:lang w:eastAsia="zh-CN"/>
        </w:rPr>
        <w:t>年内任意</w:t>
      </w:r>
      <w:r>
        <w:rPr>
          <w:rStyle w:val="20"/>
          <w:rFonts w:hint="eastAsia" w:ascii="宋体" w:hAnsi="宋体" w:cs="Times New Roman"/>
          <w:color w:val="0000FF"/>
          <w:sz w:val="24"/>
          <w:szCs w:val="24"/>
          <w:lang w:val="en-US" w:eastAsia="zh-CN"/>
        </w:rPr>
        <w:t>1</w:t>
      </w:r>
      <w:r>
        <w:rPr>
          <w:rStyle w:val="20"/>
          <w:rFonts w:hint="eastAsia" w:ascii="宋体" w:hAnsi="宋体" w:cs="Times New Roman"/>
          <w:color w:val="0000FF"/>
          <w:sz w:val="24"/>
          <w:szCs w:val="24"/>
          <w:lang w:eastAsia="zh-CN"/>
        </w:rPr>
        <w:t>个月</w:t>
      </w:r>
      <w:r>
        <w:rPr>
          <w:rStyle w:val="20"/>
          <w:rFonts w:hint="eastAsia" w:ascii="宋体" w:hAnsi="宋体" w:cs="Times New Roman"/>
          <w:sz w:val="24"/>
          <w:szCs w:val="24"/>
          <w:lang w:eastAsia="zh-CN"/>
        </w:rPr>
        <w:t>的</w:t>
      </w:r>
      <w:r>
        <w:rPr>
          <w:rStyle w:val="20"/>
          <w:rFonts w:hint="eastAsia" w:ascii="宋体" w:hAnsi="宋体" w:eastAsia="宋体" w:cs="Times New Roman"/>
          <w:sz w:val="24"/>
          <w:szCs w:val="24"/>
        </w:rPr>
        <w:t>缴纳税收和</w:t>
      </w:r>
      <w:r>
        <w:rPr>
          <w:rStyle w:val="20"/>
          <w:rFonts w:hint="eastAsia" w:ascii="宋体" w:hAnsi="宋体" w:cs="Times New Roman"/>
          <w:sz w:val="24"/>
          <w:szCs w:val="24"/>
          <w:lang w:eastAsia="zh-CN"/>
        </w:rPr>
        <w:t>缴纳</w:t>
      </w:r>
      <w:r>
        <w:rPr>
          <w:rStyle w:val="20"/>
          <w:rFonts w:hint="eastAsia" w:ascii="宋体" w:hAnsi="宋体" w:eastAsia="宋体" w:cs="Times New Roman"/>
          <w:sz w:val="24"/>
          <w:szCs w:val="24"/>
        </w:rPr>
        <w:t>社会保障资金</w:t>
      </w:r>
      <w:r>
        <w:rPr>
          <w:rStyle w:val="20"/>
          <w:rFonts w:hint="eastAsia" w:ascii="宋体" w:hAnsi="宋体" w:cs="Times New Roman"/>
          <w:sz w:val="24"/>
          <w:szCs w:val="24"/>
          <w:lang w:eastAsia="zh-CN"/>
        </w:rPr>
        <w:t>的证明材料）</w:t>
      </w:r>
    </w:p>
    <w:p>
      <w:pPr>
        <w:spacing w:line="400" w:lineRule="exact"/>
        <w:ind w:firstLine="480" w:firstLineChars="200"/>
        <w:rPr>
          <w:rFonts w:hint="eastAsia" w:ascii="宋体" w:hAnsi="宋体" w:eastAsiaTheme="minorEastAsia"/>
          <w:b w:val="0"/>
          <w:bCs w:val="0"/>
          <w:color w:val="auto"/>
          <w:sz w:val="24"/>
          <w:lang w:eastAsia="zh-CN"/>
        </w:rPr>
      </w:pPr>
      <w:r>
        <w:rPr>
          <w:rFonts w:hint="eastAsia" w:ascii="宋体" w:hAnsi="宋体"/>
          <w:b w:val="0"/>
          <w:bCs w:val="0"/>
          <w:color w:val="auto"/>
          <w:sz w:val="24"/>
        </w:rPr>
        <w:t>（5）参加政府采购活动前3年内在经营活动中没有重大违法记录的书面声明</w:t>
      </w:r>
      <w:r>
        <w:rPr>
          <w:rFonts w:hint="eastAsia" w:ascii="宋体" w:hAnsi="宋体"/>
          <w:b w:val="0"/>
          <w:bCs w:val="0"/>
          <w:color w:val="auto"/>
          <w:sz w:val="24"/>
          <w:szCs w:val="24"/>
          <w:lang w:eastAsia="zh-CN"/>
        </w:rPr>
        <w:t>；</w:t>
      </w:r>
    </w:p>
    <w:p>
      <w:pPr>
        <w:spacing w:line="400" w:lineRule="exact"/>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）特殊要求：建筑总承包</w:t>
      </w:r>
      <w:r>
        <w:rPr>
          <w:rFonts w:hint="eastAsia" w:ascii="宋体" w:hAnsi="宋体"/>
          <w:sz w:val="24"/>
          <w:szCs w:val="24"/>
          <w:lang w:val="en-US" w:eastAsia="zh-CN"/>
        </w:rPr>
        <w:t>二</w:t>
      </w:r>
      <w:r>
        <w:rPr>
          <w:rFonts w:hint="eastAsia" w:ascii="宋体" w:hAnsi="宋体"/>
          <w:sz w:val="24"/>
          <w:szCs w:val="24"/>
          <w:lang w:eastAsia="zh-CN"/>
        </w:rPr>
        <w:t>级及以上资质；人员配置：需配备项目负责人，具备</w:t>
      </w:r>
      <w:r>
        <w:rPr>
          <w:rFonts w:hint="eastAsia" w:ascii="宋体" w:hAnsi="宋体"/>
          <w:sz w:val="24"/>
          <w:szCs w:val="24"/>
          <w:lang w:val="en-US" w:eastAsia="zh-CN"/>
        </w:rPr>
        <w:t>国家注册</w:t>
      </w:r>
      <w:r>
        <w:rPr>
          <w:rFonts w:hint="eastAsia" w:ascii="宋体" w:hAnsi="宋体"/>
          <w:sz w:val="24"/>
          <w:szCs w:val="24"/>
          <w:lang w:eastAsia="zh-CN"/>
        </w:rPr>
        <w:t>二级建筑建造师资格</w:t>
      </w:r>
      <w:r>
        <w:rPr>
          <w:rFonts w:hint="eastAsia" w:ascii="宋体" w:hAnsi="宋体"/>
          <w:sz w:val="24"/>
          <w:szCs w:val="24"/>
          <w:lang w:val="en-US" w:eastAsia="zh-CN"/>
        </w:rPr>
        <w:t>及工程师职称</w:t>
      </w:r>
      <w:r>
        <w:rPr>
          <w:rFonts w:hint="eastAsia" w:ascii="宋体" w:hAnsi="宋体"/>
          <w:sz w:val="24"/>
          <w:szCs w:val="24"/>
          <w:lang w:eastAsia="zh-CN"/>
        </w:rPr>
        <w:t>，技术负责人工程师及以上职称，需配备施工员、质量员、安全员、材料员、资料员。</w:t>
      </w:r>
    </w:p>
    <w:p>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（7）有效的安全生产许可证。</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2"/>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10"/>
        <w:spacing w:line="400" w:lineRule="exact"/>
        <w:jc w:val="left"/>
        <w:rPr>
          <w:rFonts w:hAnsi="宋体"/>
          <w:b/>
          <w:sz w:val="24"/>
        </w:rPr>
      </w:pPr>
      <w:r>
        <w:rPr>
          <w:rFonts w:hAnsi="宋体"/>
          <w:b/>
          <w:sz w:val="24"/>
        </w:rPr>
        <w:t>6.谈判文件的组成</w:t>
      </w:r>
    </w:p>
    <w:p>
      <w:pPr>
        <w:pStyle w:val="10"/>
        <w:spacing w:line="400" w:lineRule="exact"/>
        <w:ind w:firstLine="480" w:firstLineChars="200"/>
        <w:jc w:val="left"/>
        <w:rPr>
          <w:rFonts w:hAnsi="宋体"/>
          <w:sz w:val="24"/>
        </w:rPr>
      </w:pPr>
      <w:r>
        <w:rPr>
          <w:rFonts w:hAnsi="宋体"/>
          <w:sz w:val="24"/>
        </w:rPr>
        <w:t>6.1谈判文件用以阐明所需</w:t>
      </w:r>
      <w:r>
        <w:rPr>
          <w:rFonts w:hint="eastAsia" w:hAnsi="宋体"/>
          <w:sz w:val="24"/>
          <w:lang w:val="en-US" w:eastAsia="zh-CN"/>
        </w:rPr>
        <w:t>工程</w:t>
      </w:r>
      <w:r>
        <w:rPr>
          <w:rFonts w:hAnsi="宋体"/>
          <w:sz w:val="24"/>
        </w:rPr>
        <w:t>及服务、谈判程序和合同格式及条款。谈判文件由下述部分组成：</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w:t>
      </w:r>
      <w:r>
        <w:rPr>
          <w:rFonts w:hint="eastAsia" w:hAnsi="宋体"/>
          <w:sz w:val="24"/>
          <w:lang w:eastAsia="zh-CN"/>
        </w:rPr>
        <w:t>公告</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10"/>
        <w:spacing w:line="400" w:lineRule="exact"/>
        <w:ind w:firstLine="480" w:firstLineChars="200"/>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 xml:space="preserve"> </w:t>
      </w: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ind w:firstLine="360" w:firstLineChars="150"/>
        <w:jc w:val="left"/>
        <w:rPr>
          <w:rFonts w:hAnsi="宋体"/>
          <w:sz w:val="24"/>
        </w:rPr>
      </w:pPr>
      <w:r>
        <w:rPr>
          <w:rFonts w:hint="eastAsia" w:hAnsi="宋体"/>
          <w:sz w:val="24"/>
          <w:lang w:val="en-US" w:eastAsia="zh-CN"/>
        </w:rPr>
        <w:t xml:space="preserve"> </w:t>
      </w: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Ansi="宋体"/>
          <w:b/>
          <w:sz w:val="24"/>
        </w:rPr>
        <w:t>7.</w:t>
      </w:r>
      <w:r>
        <w:rPr>
          <w:rFonts w:hint="eastAsia" w:hAnsi="宋体"/>
          <w:b/>
          <w:sz w:val="24"/>
        </w:rPr>
        <w:t>谈判文件的澄清与修改</w:t>
      </w:r>
    </w:p>
    <w:p>
      <w:pPr>
        <w:pStyle w:val="8"/>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8"/>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Ansi="宋体"/>
          <w:b/>
          <w:sz w:val="24"/>
        </w:rPr>
        <w:t>8.要求</w:t>
      </w:r>
    </w:p>
    <w:p>
      <w:pPr>
        <w:pStyle w:val="10"/>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9.谈判响应文件语言及报价要求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10.2 </w:t>
      </w:r>
      <w:r>
        <w:rPr>
          <w:rFonts w:hint="eastAsia" w:asciiTheme="minorEastAsia" w:hAnsiTheme="minorEastAsia" w:cstheme="minorEastAsia"/>
          <w:sz w:val="24"/>
          <w:szCs w:val="24"/>
          <w:lang w:eastAsia="zh-CN"/>
        </w:rPr>
        <w:t>谈判</w:t>
      </w:r>
      <w:r>
        <w:rPr>
          <w:rFonts w:hint="eastAsia" w:asciiTheme="minorEastAsia" w:hAnsiTheme="minorEastAsia" w:cstheme="minorEastAsia"/>
          <w:sz w:val="24"/>
          <w:szCs w:val="24"/>
        </w:rPr>
        <w:t>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分项报价表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w:t>
      </w:r>
      <w:r>
        <w:rPr>
          <w:rFonts w:hint="eastAsia" w:asciiTheme="minorEastAsia" w:hAnsiTheme="minorEastAsia" w:cstheme="minorEastAsia"/>
          <w:sz w:val="24"/>
          <w:szCs w:val="24"/>
          <w:lang w:val="en-US" w:eastAsia="zh-CN"/>
        </w:rPr>
        <w:t xml:space="preserve"> 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10"/>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10"/>
        <w:spacing w:line="400" w:lineRule="exact"/>
        <w:ind w:firstLine="482" w:firstLineChars="200"/>
        <w:jc w:val="left"/>
        <w:rPr>
          <w:rFonts w:hAnsi="宋体"/>
          <w:b/>
          <w:bCs/>
          <w:color w:val="auto"/>
          <w:sz w:val="24"/>
        </w:rPr>
      </w:pPr>
      <w:r>
        <w:rPr>
          <w:rFonts w:hint="eastAsia" w:hAnsi="宋体"/>
          <w:b/>
          <w:bCs/>
          <w:color w:val="auto"/>
          <w:sz w:val="24"/>
        </w:rPr>
        <w:t>13.</w:t>
      </w:r>
      <w:r>
        <w:rPr>
          <w:rFonts w:hAnsi="宋体"/>
          <w:b/>
          <w:bCs/>
          <w:color w:val="auto"/>
          <w:sz w:val="24"/>
        </w:rPr>
        <w:t>1</w:t>
      </w:r>
      <w:r>
        <w:rPr>
          <w:rFonts w:hint="eastAsia" w:hAnsi="宋体"/>
          <w:b/>
          <w:bCs/>
          <w:color w:val="auto"/>
          <w:sz w:val="24"/>
        </w:rPr>
        <w:t>投标人应将投标文件用密封袋密封，</w:t>
      </w:r>
      <w:r>
        <w:rPr>
          <w:rFonts w:hint="eastAsia" w:hAnsi="宋体"/>
          <w:b/>
          <w:bCs/>
          <w:color w:val="FF0000"/>
          <w:sz w:val="24"/>
        </w:rPr>
        <w:t>正、副本单独封装</w:t>
      </w:r>
      <w:r>
        <w:rPr>
          <w:rFonts w:hint="eastAsia" w:hAnsi="宋体"/>
          <w:b/>
          <w:bCs/>
          <w:color w:val="FF0000"/>
          <w:sz w:val="24"/>
          <w:lang w:eastAsia="zh-CN"/>
        </w:rPr>
        <w:t>或一起封装</w:t>
      </w:r>
      <w:r>
        <w:rPr>
          <w:rFonts w:hint="eastAsia" w:hAnsi="宋体"/>
          <w:b/>
          <w:bCs/>
          <w:color w:val="auto"/>
          <w:sz w:val="24"/>
        </w:rPr>
        <w:t>，投标文件密封袋及正文封面均应注明“正本”“副本”。正副本</w:t>
      </w:r>
      <w:r>
        <w:rPr>
          <w:rFonts w:hint="eastAsia" w:hAnsi="宋体"/>
          <w:b/>
          <w:bCs/>
          <w:color w:val="auto"/>
          <w:sz w:val="24"/>
          <w:lang w:eastAsia="zh-CN"/>
        </w:rPr>
        <w:t>密封袋</w:t>
      </w:r>
      <w:r>
        <w:rPr>
          <w:rFonts w:hint="eastAsia" w:hAnsi="宋体"/>
          <w:b/>
          <w:bCs/>
          <w:color w:val="auto"/>
          <w:sz w:val="24"/>
        </w:rPr>
        <w:t>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32"/>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2"/>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32"/>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32"/>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32"/>
        <w:spacing w:line="400" w:lineRule="exact"/>
        <w:ind w:firstLine="482" w:firstLineChars="200"/>
        <w:jc w:val="center"/>
        <w:outlineLvl w:val="9"/>
        <w:rPr>
          <w:rFonts w:hAnsi="宋体"/>
          <w:b/>
          <w:sz w:val="24"/>
        </w:rPr>
      </w:pPr>
    </w:p>
    <w:p>
      <w:pPr>
        <w:pStyle w:val="32"/>
        <w:spacing w:line="400" w:lineRule="exact"/>
        <w:ind w:firstLine="482" w:firstLineChars="200"/>
        <w:jc w:val="center"/>
        <w:outlineLvl w:val="9"/>
        <w:rPr>
          <w:rFonts w:hAnsi="宋体"/>
          <w:b/>
          <w:sz w:val="24"/>
        </w:rPr>
      </w:pPr>
      <w:r>
        <w:rPr>
          <w:rFonts w:hint="eastAsia" w:hAnsi="宋体"/>
          <w:b/>
          <w:sz w:val="24"/>
        </w:rPr>
        <w:t>四、响应文件的提交</w:t>
      </w:r>
    </w:p>
    <w:p>
      <w:pPr>
        <w:pStyle w:val="32"/>
        <w:spacing w:line="400" w:lineRule="exact"/>
        <w:outlineLvl w:val="9"/>
        <w:rPr>
          <w:rFonts w:hAnsi="宋体"/>
          <w:b/>
          <w:sz w:val="24"/>
        </w:rPr>
      </w:pPr>
      <w:r>
        <w:rPr>
          <w:rFonts w:hint="eastAsia" w:hAnsi="宋体"/>
          <w:b/>
          <w:sz w:val="24"/>
        </w:rPr>
        <w:t>14.响应文件的密封、标记和递交</w:t>
      </w:r>
    </w:p>
    <w:p>
      <w:pPr>
        <w:pStyle w:val="32"/>
        <w:spacing w:line="400" w:lineRule="exact"/>
        <w:ind w:firstLine="480" w:firstLineChars="200"/>
        <w:outlineLvl w:val="9"/>
        <w:rPr>
          <w:rFonts w:hAnsi="宋体"/>
          <w:sz w:val="24"/>
        </w:rPr>
      </w:pPr>
      <w:r>
        <w:rPr>
          <w:rFonts w:hint="eastAsia" w:hAnsi="宋体"/>
          <w:sz w:val="24"/>
        </w:rPr>
        <w:t>14.1 谈判响应供应商应将响应文件正本和副本分别用</w:t>
      </w:r>
      <w:r>
        <w:rPr>
          <w:rFonts w:hint="eastAsia" w:hAnsi="宋体"/>
          <w:sz w:val="24"/>
          <w:lang w:eastAsia="zh-CN"/>
        </w:rPr>
        <w:t>密封袋</w:t>
      </w:r>
      <w:r>
        <w:rPr>
          <w:rFonts w:hint="eastAsia" w:hAnsi="宋体"/>
          <w:sz w:val="24"/>
        </w:rPr>
        <w:t>密封</w:t>
      </w:r>
      <w:r>
        <w:rPr>
          <w:rFonts w:hint="eastAsia" w:hAnsi="宋体"/>
          <w:sz w:val="24"/>
          <w:lang w:eastAsia="zh-CN"/>
        </w:rPr>
        <w:t>或一起封装</w:t>
      </w:r>
      <w:r>
        <w:rPr>
          <w:rFonts w:hint="eastAsia" w:hAnsi="宋体"/>
          <w:sz w:val="24"/>
        </w:rPr>
        <w:t xml:space="preserve">，并标明谈判文件编号、谈判响应供应商名称、采购项目名称及“正本”或“副本”。响应文件未密封可导致其谈判被拒绝。     </w:t>
      </w:r>
    </w:p>
    <w:p>
      <w:pPr>
        <w:pStyle w:val="10"/>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32"/>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32"/>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2"/>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2"/>
        <w:spacing w:line="400" w:lineRule="exact"/>
        <w:ind w:firstLine="480" w:firstLineChars="200"/>
        <w:outlineLvl w:val="9"/>
        <w:rPr>
          <w:rFonts w:hAnsi="宋体"/>
          <w:sz w:val="24"/>
        </w:rPr>
      </w:pPr>
    </w:p>
    <w:p>
      <w:pPr>
        <w:pStyle w:val="32"/>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15.谈判时间</w:t>
      </w:r>
    </w:p>
    <w:p>
      <w:pPr>
        <w:pStyle w:val="10"/>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情况</w:t>
      </w:r>
      <w:r>
        <w:rPr>
          <w:rFonts w:hAnsi="宋体"/>
          <w:color w:val="FF0000"/>
          <w:sz w:val="24"/>
        </w:rPr>
        <w:t>及投标人身份（需出示法定代表人身份证原件或委托代理人持授权委托书并出示代理人身份证原件）进行核查，如未能提供，视为无效投标。</w:t>
      </w:r>
    </w:p>
    <w:p>
      <w:pPr>
        <w:pStyle w:val="10"/>
        <w:spacing w:line="400" w:lineRule="exact"/>
        <w:ind w:firstLine="480" w:firstLineChars="200"/>
        <w:jc w:val="left"/>
        <w:rPr>
          <w:rFonts w:hAnsi="宋体"/>
          <w:color w:val="FF0000"/>
          <w:sz w:val="24"/>
        </w:rPr>
      </w:pPr>
      <w:r>
        <w:rPr>
          <w:rFonts w:hint="eastAsia" w:hAnsi="宋体"/>
          <w:color w:val="auto"/>
          <w:sz w:val="24"/>
        </w:rPr>
        <w:t>17.2评标时，需审查以下资质文件资料：</w:t>
      </w:r>
    </w:p>
    <w:p>
      <w:pPr>
        <w:pStyle w:val="10"/>
        <w:spacing w:line="400" w:lineRule="exact"/>
        <w:ind w:firstLine="475" w:firstLineChars="198"/>
        <w:rPr>
          <w:rFonts w:hAnsi="宋体"/>
          <w:sz w:val="24"/>
        </w:rPr>
      </w:pPr>
      <w:r>
        <w:rPr>
          <w:rFonts w:hint="eastAsia" w:hAnsi="宋体"/>
          <w:sz w:val="24"/>
        </w:rPr>
        <w:t>（1）工商营业执照副本；</w:t>
      </w:r>
      <w:r>
        <w:rPr>
          <w:rFonts w:hint="eastAsia" w:hAnsi="宋体"/>
          <w:color w:val="FF0000"/>
          <w:sz w:val="24"/>
          <w:lang w:eastAsia="zh-CN"/>
        </w:rPr>
        <w:t>（复印件加盖公章）</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rFonts w:hint="eastAsia"/>
          <w:color w:val="auto"/>
          <w:sz w:val="24"/>
          <w:lang w:eastAsia="zh-CN"/>
        </w:rPr>
      </w:pPr>
      <w:r>
        <w:rPr>
          <w:rFonts w:hint="eastAsia" w:hAnsi="宋体"/>
          <w:color w:val="auto"/>
          <w:sz w:val="24"/>
        </w:rPr>
        <w:t>（</w:t>
      </w:r>
      <w:r>
        <w:rPr>
          <w:rFonts w:hint="eastAsia" w:hAnsi="宋体"/>
          <w:color w:val="auto"/>
          <w:sz w:val="24"/>
          <w:lang w:val="en-US" w:eastAsia="zh-CN"/>
        </w:rPr>
        <w:t>5</w:t>
      </w:r>
      <w:r>
        <w:rPr>
          <w:rFonts w:hint="eastAsia" w:hAnsi="宋体"/>
          <w:color w:val="auto"/>
          <w:sz w:val="24"/>
        </w:rPr>
        <w:t>）</w:t>
      </w:r>
      <w:r>
        <w:rPr>
          <w:rFonts w:hint="eastAsia"/>
          <w:color w:val="auto"/>
          <w:sz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w:t>
      </w:r>
      <w:r>
        <w:rPr>
          <w:rFonts w:hint="eastAsia"/>
          <w:color w:val="auto"/>
          <w:sz w:val="24"/>
          <w:lang w:eastAsia="zh-CN"/>
        </w:rPr>
        <w:t>和</w:t>
      </w:r>
      <w:r>
        <w:rPr>
          <w:rFonts w:hint="eastAsia"/>
          <w:color w:val="auto"/>
          <w:sz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olor w:val="auto"/>
          <w:sz w:val="24"/>
        </w:rPr>
        <w:t>http://www.ccgp.gov.cn/search/cr/</w:t>
      </w:r>
      <w:r>
        <w:rPr>
          <w:rFonts w:hint="eastAsia"/>
          <w:color w:val="auto"/>
          <w:sz w:val="24"/>
        </w:rPr>
        <w:fldChar w:fldCharType="end"/>
      </w:r>
      <w:r>
        <w:rPr>
          <w:rFonts w:hint="eastAsia"/>
          <w:color w:val="auto"/>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r>
        <w:rPr>
          <w:rFonts w:hint="eastAsia"/>
          <w:color w:val="auto"/>
          <w:sz w:val="24"/>
          <w:lang w:eastAsia="zh-CN"/>
        </w:rPr>
        <w:t>。</w:t>
      </w:r>
    </w:p>
    <w:p>
      <w:pPr>
        <w:pStyle w:val="10"/>
        <w:spacing w:line="400" w:lineRule="exact"/>
        <w:ind w:firstLine="475" w:firstLineChars="198"/>
        <w:rPr>
          <w:rFonts w:hint="default"/>
          <w:color w:val="FF0000"/>
          <w:sz w:val="24"/>
          <w:lang w:val="en-US" w:eastAsia="zh-CN"/>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w:t>
      </w:r>
      <w:r>
        <w:rPr>
          <w:rFonts w:hint="eastAsia"/>
          <w:color w:val="FF0000"/>
          <w:sz w:val="24"/>
          <w:lang w:val="en-US" w:eastAsia="zh-CN"/>
        </w:rPr>
        <w:t>建筑总承包二级及以上资质并同时具备二级及以上装修资质；人员配置：需配备项目负责人，具备二级建筑建造师和工程师及以上资格，技术负责人工程师及以上职称，需配备施工员、质量员、安全员、材料员、资料员。</w:t>
      </w: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8"/>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8"/>
        <w:snapToGrid w:val="0"/>
        <w:spacing w:line="400" w:lineRule="exact"/>
        <w:ind w:firstLine="0"/>
        <w:outlineLvl w:val="0"/>
        <w:rPr>
          <w:sz w:val="24"/>
          <w:szCs w:val="24"/>
        </w:rPr>
      </w:pPr>
      <w:r>
        <w:rPr>
          <w:rFonts w:hint="eastAsia"/>
          <w:b/>
          <w:sz w:val="24"/>
          <w:szCs w:val="24"/>
        </w:rPr>
        <w:t>18.谈判相应文件的澄清</w:t>
      </w:r>
    </w:p>
    <w:p>
      <w:pPr>
        <w:pStyle w:val="8"/>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2"/>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b/>
          <w:bCs/>
          <w:color w:val="FF0000"/>
          <w:sz w:val="24"/>
        </w:rPr>
      </w:pPr>
      <w:r>
        <w:rPr>
          <w:rFonts w:hint="eastAsia" w:hAnsi="宋体"/>
          <w:b/>
          <w:bCs/>
          <w:color w:val="FF0000"/>
          <w:sz w:val="24"/>
        </w:rPr>
        <w:t>20.成交准则</w:t>
      </w:r>
    </w:p>
    <w:p>
      <w:pPr>
        <w:pStyle w:val="10"/>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10"/>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21</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22.</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both"/>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4"/>
        </w:numPr>
        <w:spacing w:line="360" w:lineRule="auto"/>
        <w:jc w:val="center"/>
        <w:outlineLvl w:val="0"/>
        <w:rPr>
          <w:rFonts w:hint="eastAsia" w:cstheme="minorBidi"/>
          <w:b/>
          <w:bCs/>
          <w:color w:val="0000FF"/>
          <w:kern w:val="2"/>
          <w:sz w:val="24"/>
          <w:szCs w:val="24"/>
          <w:lang w:val="en-US" w:eastAsia="zh-CN" w:bidi="ar-SA"/>
        </w:rPr>
      </w:pPr>
      <w:r>
        <w:rPr>
          <w:rFonts w:hint="eastAsia" w:ascii="宋体" w:hAnsi="宋体"/>
          <w:b/>
          <w:bCs/>
          <w:sz w:val="32"/>
          <w:szCs w:val="32"/>
        </w:rPr>
        <w:t xml:space="preserve"> </w:t>
      </w:r>
      <w:r>
        <w:rPr>
          <w:rFonts w:hint="eastAsia" w:ascii="宋体" w:hAnsi="宋体"/>
          <w:b/>
          <w:bCs/>
          <w:sz w:val="32"/>
          <w:szCs w:val="32"/>
          <w:lang w:eastAsia="zh-CN"/>
        </w:rPr>
        <w:t>采购内容</w:t>
      </w:r>
      <w:r>
        <w:rPr>
          <w:rFonts w:hint="eastAsia" w:ascii="宋体" w:hAnsi="宋体"/>
          <w:b/>
          <w:bCs/>
          <w:sz w:val="32"/>
          <w:szCs w:val="32"/>
        </w:rPr>
        <w:t>及要求</w:t>
      </w:r>
    </w:p>
    <w:p>
      <w:pPr>
        <w:pStyle w:val="27"/>
        <w:numPr>
          <w:ilvl w:val="0"/>
          <w:numId w:val="0"/>
        </w:numPr>
        <w:ind w:leftChars="0"/>
        <w:rPr>
          <w:rFonts w:hint="eastAsia" w:ascii="黑体" w:hAnsi="黑体" w:eastAsia="黑体" w:cs="黑体"/>
          <w:b w:val="0"/>
          <w:bCs w:val="0"/>
          <w:color w:val="0000FF"/>
          <w:kern w:val="2"/>
          <w:sz w:val="32"/>
          <w:szCs w:val="32"/>
          <w:lang w:val="en-US" w:eastAsia="zh-CN" w:bidi="ar-SA"/>
        </w:rPr>
      </w:pPr>
    </w:p>
    <w:p>
      <w:pPr>
        <w:pStyle w:val="28"/>
        <w:keepNext w:val="0"/>
        <w:keepLines w:val="0"/>
        <w:pageBreakBefore w:val="0"/>
        <w:widowControl w:val="0"/>
        <w:numPr>
          <w:ilvl w:val="0"/>
          <w:numId w:val="0"/>
        </w:numPr>
        <w:kinsoku/>
        <w:wordWrap/>
        <w:overflowPunct/>
        <w:topLinePunct w:val="0"/>
        <w:bidi w:val="0"/>
        <w:snapToGrid/>
        <w:spacing w:line="360" w:lineRule="auto"/>
        <w:ind w:left="0" w:leftChars="0" w:right="0" w:rightChars="0" w:firstLine="0" w:firstLineChars="0"/>
        <w:textAlignment w:val="auto"/>
        <w:outlineLvl w:val="9"/>
        <w:rPr>
          <w:rFonts w:hint="eastAsia" w:ascii="黑体" w:hAnsi="黑体" w:eastAsia="黑体" w:cs="黑体"/>
          <w:b w:val="0"/>
          <w:bCs w:val="0"/>
          <w:color w:val="auto"/>
          <w:spacing w:val="-6"/>
          <w:sz w:val="32"/>
          <w:szCs w:val="32"/>
          <w:lang w:eastAsia="zh-CN"/>
        </w:rPr>
      </w:pPr>
      <w:bookmarkStart w:id="1" w:name="_Toc268599010"/>
    </w:p>
    <w:p>
      <w:pPr>
        <w:pStyle w:val="28"/>
        <w:keepNext w:val="0"/>
        <w:keepLines w:val="0"/>
        <w:pageBreakBefore w:val="0"/>
        <w:widowControl w:val="0"/>
        <w:numPr>
          <w:ilvl w:val="0"/>
          <w:numId w:val="0"/>
        </w:numPr>
        <w:kinsoku/>
        <w:wordWrap/>
        <w:overflowPunct/>
        <w:topLinePunct w:val="0"/>
        <w:bidi w:val="0"/>
        <w:snapToGrid/>
        <w:spacing w:line="360" w:lineRule="auto"/>
        <w:ind w:left="0" w:leftChars="0" w:right="0" w:rightChars="0" w:firstLine="0" w:firstLineChars="0"/>
        <w:textAlignment w:val="auto"/>
        <w:outlineLvl w:val="9"/>
        <w:rPr>
          <w:rFonts w:hint="eastAsia"/>
          <w:b/>
          <w:bCs/>
          <w:sz w:val="28"/>
          <w:szCs w:val="28"/>
          <w:lang w:eastAsia="zh-CN"/>
        </w:rPr>
      </w:pPr>
      <w:r>
        <w:rPr>
          <w:rFonts w:hint="eastAsia" w:ascii="黑体" w:hAnsi="黑体" w:eastAsia="黑体" w:cs="黑体"/>
          <w:b w:val="0"/>
          <w:bCs w:val="0"/>
          <w:color w:val="auto"/>
          <w:spacing w:val="-6"/>
          <w:sz w:val="32"/>
          <w:szCs w:val="32"/>
          <w:lang w:eastAsia="zh-CN"/>
        </w:rPr>
        <w:t>铜仁幼儿师范高等专科学校附属幼儿园基础设施建设</w:t>
      </w:r>
      <w:r>
        <w:rPr>
          <w:rFonts w:hint="eastAsia" w:ascii="黑体" w:hAnsi="黑体" w:eastAsia="黑体" w:cs="黑体"/>
          <w:b w:val="0"/>
          <w:bCs w:val="0"/>
          <w:spacing w:val="-6"/>
          <w:kern w:val="2"/>
          <w:sz w:val="32"/>
          <w:szCs w:val="32"/>
          <w:lang w:val="en-US" w:eastAsia="zh-CN" w:bidi="ar-SA"/>
        </w:rPr>
        <w:t>基础设施参数</w:t>
      </w:r>
    </w:p>
    <w:p>
      <w:pPr>
        <w:pStyle w:val="27"/>
        <w:ind w:left="0" w:leftChars="0" w:firstLine="0" w:firstLineChars="0"/>
        <w:rPr>
          <w:rFonts w:hint="eastAsia" w:ascii="宋体" w:hAnsi="宋体"/>
          <w:b/>
          <w:bCs/>
          <w:sz w:val="36"/>
          <w:szCs w:val="36"/>
          <w:lang w:val="en-US" w:eastAsia="zh-CN"/>
        </w:rPr>
      </w:pPr>
    </w:p>
    <w:p>
      <w:pPr>
        <w:pStyle w:val="27"/>
        <w:ind w:left="0" w:leftChars="0" w:firstLine="0" w:firstLineChars="0"/>
        <w:rPr>
          <w:rFonts w:hint="default" w:ascii="宋体" w:hAnsi="宋体"/>
          <w:b/>
          <w:bCs/>
          <w:sz w:val="36"/>
          <w:szCs w:val="36"/>
          <w:lang w:val="en-US" w:eastAsia="zh-CN"/>
        </w:rPr>
      </w:pPr>
      <w:r>
        <w:rPr>
          <w:rFonts w:hint="eastAsia" w:ascii="宋体" w:hAnsi="宋体"/>
          <w:b/>
          <w:bCs/>
          <w:sz w:val="36"/>
          <w:szCs w:val="36"/>
          <w:lang w:val="en-US" w:eastAsia="zh-CN"/>
        </w:rPr>
        <w:t>具体参数，详见附件。</w:t>
      </w:r>
    </w:p>
    <w:p>
      <w:pPr>
        <w:pStyle w:val="27"/>
        <w:ind w:left="0" w:leftChars="0" w:firstLine="0" w:firstLineChars="0"/>
        <w:rPr>
          <w:rFonts w:hint="default" w:ascii="宋体" w:hAnsi="宋体"/>
          <w:b/>
          <w:bCs/>
          <w:sz w:val="36"/>
          <w:szCs w:val="36"/>
          <w:lang w:val="en-US" w:eastAsia="zh-CN"/>
        </w:rPr>
      </w:pPr>
    </w:p>
    <w:p>
      <w:pPr>
        <w:pStyle w:val="27"/>
        <w:ind w:left="0" w:leftChars="0" w:firstLine="0" w:firstLineChars="0"/>
        <w:rPr>
          <w:rFonts w:hint="default" w:ascii="宋体" w:hAnsi="宋体"/>
          <w:b/>
          <w:bCs/>
          <w:sz w:val="36"/>
          <w:szCs w:val="36"/>
          <w:lang w:val="en-US" w:eastAsia="zh-CN"/>
        </w:rPr>
      </w:pPr>
    </w:p>
    <w:p>
      <w:pPr>
        <w:pStyle w:val="27"/>
        <w:ind w:left="0" w:leftChars="0" w:firstLine="0" w:firstLineChars="0"/>
        <w:rPr>
          <w:rFonts w:hint="default" w:ascii="宋体" w:hAnsi="宋体"/>
          <w:b/>
          <w:bCs/>
          <w:sz w:val="36"/>
          <w:szCs w:val="36"/>
          <w:lang w:val="en-US" w:eastAsia="zh-CN"/>
        </w:rPr>
      </w:pPr>
    </w:p>
    <w:p>
      <w:pPr>
        <w:ind w:firstLine="605"/>
        <w:jc w:val="left"/>
        <w:rPr>
          <w:rFonts w:hint="eastAsia" w:ascii="宋体" w:hAnsi="宋体"/>
          <w:b/>
          <w:bCs/>
          <w:color w:val="FF0000"/>
          <w:sz w:val="32"/>
          <w:szCs w:val="32"/>
        </w:rPr>
      </w:pPr>
      <w:r>
        <w:rPr>
          <w:rFonts w:hint="eastAsia" w:ascii="宋体" w:hAnsi="宋体"/>
          <w:b/>
          <w:bCs/>
          <w:color w:val="FF0000"/>
          <w:sz w:val="32"/>
          <w:szCs w:val="32"/>
        </w:rPr>
        <w:t>注</w:t>
      </w:r>
      <w:r>
        <w:rPr>
          <w:rFonts w:hint="eastAsia" w:ascii="宋体" w:hAnsi="宋体"/>
          <w:b/>
          <w:bCs/>
          <w:color w:val="FF0000"/>
          <w:sz w:val="32"/>
          <w:szCs w:val="32"/>
          <w:lang w:eastAsia="zh-CN"/>
        </w:rPr>
        <w:t>：</w:t>
      </w:r>
      <w:r>
        <w:rPr>
          <w:rFonts w:hint="eastAsia" w:ascii="宋体" w:hAnsi="宋体"/>
          <w:b/>
          <w:bCs/>
          <w:color w:val="FF0000"/>
          <w:sz w:val="32"/>
          <w:szCs w:val="32"/>
        </w:rPr>
        <w:t>招标文件论证费和专家评审费由中标人承担</w:t>
      </w:r>
    </w:p>
    <w:p>
      <w:pPr>
        <w:pStyle w:val="10"/>
        <w:rPr>
          <w:rFonts w:hint="eastAsia"/>
          <w:lang w:val="en-US" w:eastAsia="zh-CN"/>
        </w:rPr>
      </w:pPr>
      <w:r>
        <w:rPr>
          <w:rFonts w:hint="eastAsia" w:hAnsi="宋体"/>
          <w:b/>
          <w:bCs/>
          <w:color w:val="FF0000"/>
          <w:sz w:val="32"/>
          <w:szCs w:val="32"/>
          <w:lang w:val="en-US" w:eastAsia="zh-CN"/>
        </w:rPr>
        <w:t xml:space="preserve">        </w:t>
      </w:r>
    </w:p>
    <w:p>
      <w:pPr>
        <w:spacing w:line="360" w:lineRule="auto"/>
        <w:jc w:val="both"/>
      </w:pPr>
      <w:r>
        <w:rPr>
          <w:rFonts w:ascii="宋体" w:hAnsi="宋体"/>
          <w:b/>
          <w:bCs/>
          <w:sz w:val="36"/>
          <w:szCs w:val="36"/>
        </w:rPr>
        <w:br w:type="page"/>
      </w: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47085769"/>
      <w:bookmarkStart w:id="3" w:name="_Toc296602499"/>
      <w:bookmarkStart w:id="4" w:name="_Toc246996254"/>
      <w:bookmarkStart w:id="5" w:name="_Toc246996997"/>
      <w:bookmarkStart w:id="6" w:name="_Toc184635098"/>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7085770"/>
      <w:bookmarkStart w:id="9" w:name="_Toc246996255"/>
      <w:bookmarkStart w:id="10" w:name="_Toc296602500"/>
      <w:bookmarkStart w:id="11" w:name="_Toc246996998"/>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46996256"/>
      <w:bookmarkStart w:id="13" w:name="_Toc246996999"/>
      <w:bookmarkStart w:id="14" w:name="_Toc296602501"/>
      <w:bookmarkStart w:id="15" w:name="_Toc247085771"/>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7085772"/>
      <w:bookmarkStart w:id="17" w:name="_Toc246996257"/>
      <w:bookmarkStart w:id="18" w:name="_Toc246997000"/>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7085773"/>
      <w:bookmarkStart w:id="21" w:name="_Toc296602503"/>
      <w:bookmarkStart w:id="22" w:name="_Toc246996258"/>
      <w:bookmarkStart w:id="23" w:name="_Toc246997001"/>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7085774"/>
      <w:bookmarkStart w:id="25" w:name="_Toc246996259"/>
      <w:bookmarkStart w:id="26" w:name="_Toc296602504"/>
      <w:bookmarkStart w:id="27" w:name="_Toc246997002"/>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46996260"/>
      <w:bookmarkStart w:id="29" w:name="_Toc296602505"/>
      <w:bookmarkStart w:id="30" w:name="_Toc246997003"/>
      <w:bookmarkStart w:id="31" w:name="_Toc247085775"/>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46997004"/>
      <w:bookmarkStart w:id="33" w:name="_Toc296602506"/>
      <w:bookmarkStart w:id="34" w:name="_Toc247085776"/>
      <w:bookmarkStart w:id="35" w:name="_Toc246996261"/>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7085778"/>
      <w:bookmarkStart w:id="37" w:name="_Toc246996263"/>
      <w:bookmarkStart w:id="38" w:name="_Toc246997006"/>
      <w:bookmarkStart w:id="39" w:name="_Toc296602507"/>
      <w:bookmarkStart w:id="40" w:name="_Toc184635099"/>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46996264"/>
      <w:bookmarkStart w:id="42" w:name="_Toc246997007"/>
      <w:bookmarkStart w:id="43" w:name="_Toc296602508"/>
      <w:bookmarkStart w:id="44" w:name="_Toc247085779"/>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46996265"/>
      <w:bookmarkStart w:id="46" w:name="_Toc247085780"/>
      <w:bookmarkStart w:id="47" w:name="_Toc296602509"/>
      <w:bookmarkStart w:id="48" w:name="_Toc246997008"/>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46996266"/>
      <w:bookmarkStart w:id="50" w:name="_Toc296602510"/>
      <w:bookmarkStart w:id="51" w:name="_Toc247085781"/>
      <w:bookmarkStart w:id="52" w:name="_Toc246997009"/>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46996267"/>
      <w:bookmarkStart w:id="54" w:name="_Toc247085782"/>
      <w:bookmarkStart w:id="55" w:name="_Toc296602511"/>
      <w:bookmarkStart w:id="56" w:name="_Toc246997010"/>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46997011"/>
      <w:bookmarkStart w:id="58" w:name="_Toc246996268"/>
      <w:bookmarkStart w:id="59" w:name="_Toc296602512"/>
      <w:bookmarkStart w:id="60" w:name="_Toc247085783"/>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46997012"/>
      <w:bookmarkStart w:id="62" w:name="_Toc247085784"/>
      <w:bookmarkStart w:id="63" w:name="_Toc296602513"/>
      <w:bookmarkStart w:id="64" w:name="_Toc246996269"/>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6996270"/>
      <w:bookmarkStart w:id="66" w:name="_Toc246997013"/>
      <w:bookmarkStart w:id="67" w:name="_Toc247085785"/>
      <w:bookmarkStart w:id="68" w:name="_Toc296602514"/>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7085786"/>
      <w:bookmarkStart w:id="70" w:name="_Toc246996271"/>
      <w:bookmarkStart w:id="71" w:name="_Toc296602515"/>
      <w:bookmarkStart w:id="72" w:name="_Toc246997014"/>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246996272"/>
      <w:bookmarkStart w:id="74" w:name="_Toc296602516"/>
      <w:bookmarkStart w:id="75" w:name="_Toc247085787"/>
      <w:bookmarkStart w:id="76" w:name="_Toc184635100"/>
      <w:bookmarkStart w:id="77" w:name="_Toc246997015"/>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96602517"/>
      <w:bookmarkStart w:id="79" w:name="_Toc247085788"/>
      <w:bookmarkStart w:id="80" w:name="_Toc246997016"/>
      <w:bookmarkStart w:id="81" w:name="_Toc246996273"/>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6996274"/>
      <w:bookmarkStart w:id="83" w:name="_Toc296602518"/>
      <w:bookmarkStart w:id="84" w:name="_Toc246997017"/>
      <w:bookmarkStart w:id="85" w:name="_Toc247085789"/>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7085790"/>
      <w:bookmarkStart w:id="87" w:name="_Toc246996275"/>
      <w:bookmarkStart w:id="88" w:name="_Toc246997018"/>
      <w:bookmarkStart w:id="89" w:name="_Toc296602519"/>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6997019"/>
      <w:bookmarkStart w:id="91" w:name="_Toc296602520"/>
      <w:bookmarkStart w:id="92" w:name="_Toc246996276"/>
      <w:bookmarkStart w:id="93" w:name="_Toc247085791"/>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46997020"/>
      <w:bookmarkStart w:id="95" w:name="_Toc246996277"/>
      <w:bookmarkStart w:id="96" w:name="_Toc247085792"/>
      <w:bookmarkStart w:id="97" w:name="_Toc296602521"/>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7085793"/>
      <w:bookmarkStart w:id="99" w:name="_Toc184635101"/>
      <w:bookmarkStart w:id="100" w:name="_Toc246997021"/>
      <w:bookmarkStart w:id="101" w:name="_Toc296602522"/>
      <w:bookmarkStart w:id="102" w:name="_Toc246996278"/>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96602523"/>
      <w:bookmarkStart w:id="104" w:name="_Toc246996279"/>
      <w:bookmarkStart w:id="105" w:name="_Toc247085794"/>
      <w:bookmarkStart w:id="106" w:name="_Toc246997022"/>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6280"/>
      <w:bookmarkStart w:id="108" w:name="_Toc247085795"/>
      <w:bookmarkStart w:id="109" w:name="_Toc296602524"/>
      <w:bookmarkStart w:id="110" w:name="_Toc246997023"/>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96602525"/>
      <w:bookmarkStart w:id="112" w:name="_Toc246997025"/>
      <w:bookmarkStart w:id="113" w:name="_Toc246996282"/>
      <w:bookmarkStart w:id="114" w:name="_Toc247085797"/>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96602526"/>
      <w:bookmarkStart w:id="116" w:name="_Toc246996283"/>
      <w:bookmarkStart w:id="117" w:name="_Toc247085798"/>
      <w:bookmarkStart w:id="118" w:name="_Toc246997026"/>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7085799"/>
      <w:bookmarkStart w:id="120" w:name="_Toc246997027"/>
      <w:bookmarkStart w:id="121" w:name="_Toc24699628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52042446"/>
      <w:bookmarkStart w:id="124" w:name="_Toc144974636"/>
      <w:bookmarkStart w:id="125" w:name="_Toc179632686"/>
      <w:bookmarkStart w:id="126" w:name="_Toc152045668"/>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52045682"/>
      <w:bookmarkStart w:id="131" w:name="_Toc152042460"/>
      <w:bookmarkStart w:id="132" w:name="_Toc144974650"/>
      <w:bookmarkStart w:id="133" w:name="_Toc179632700"/>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6997034"/>
      <w:bookmarkStart w:id="139" w:name="_Toc296602535"/>
      <w:bookmarkStart w:id="140" w:name="_Toc246996291"/>
      <w:bookmarkStart w:id="141" w:name="_Toc247085806"/>
      <w:bookmarkStart w:id="142" w:name="_Toc184635110"/>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46997035"/>
      <w:bookmarkStart w:id="144" w:name="_Toc246996292"/>
      <w:bookmarkStart w:id="145" w:name="_Toc296602536"/>
      <w:bookmarkStart w:id="146" w:name="_Toc247085807"/>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7085808"/>
      <w:bookmarkStart w:id="148" w:name="_Toc246996293"/>
      <w:bookmarkStart w:id="149" w:name="_Toc246997036"/>
      <w:bookmarkStart w:id="150" w:name="_Toc296602537"/>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96602538"/>
      <w:bookmarkStart w:id="152" w:name="_Toc246997037"/>
      <w:bookmarkStart w:id="153" w:name="_Toc246996294"/>
      <w:bookmarkStart w:id="154" w:name="_Toc247085809"/>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96602539"/>
      <w:bookmarkStart w:id="156" w:name="_Toc247085810"/>
      <w:bookmarkStart w:id="157" w:name="_Toc246997038"/>
      <w:bookmarkStart w:id="158" w:name="_Toc246996295"/>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7039"/>
      <w:bookmarkStart w:id="160" w:name="_Toc296602540"/>
      <w:bookmarkStart w:id="161" w:name="_Toc247085811"/>
      <w:bookmarkStart w:id="162" w:name="_Toc246996296"/>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246997040"/>
      <w:bookmarkStart w:id="166" w:name="_Toc247085812"/>
      <w:bookmarkStart w:id="167" w:name="_Toc246996297"/>
      <w:bookmarkStart w:id="168" w:name="_Toc296602543"/>
      <w:bookmarkStart w:id="169" w:name="_Toc184635112"/>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6997041"/>
      <w:bookmarkStart w:id="171" w:name="_Toc246996298"/>
      <w:bookmarkStart w:id="172" w:name="_Toc296602544"/>
      <w:bookmarkStart w:id="173" w:name="_Toc247085813"/>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7042"/>
      <w:bookmarkStart w:id="176" w:name="_Toc247085814"/>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96602546"/>
      <w:bookmarkStart w:id="179" w:name="_Toc246996300"/>
      <w:bookmarkStart w:id="180" w:name="_Toc246997043"/>
      <w:bookmarkStart w:id="181" w:name="_Toc247085815"/>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46997044"/>
      <w:bookmarkStart w:id="183" w:name="_Toc296602547"/>
      <w:bookmarkStart w:id="184" w:name="_Toc246996301"/>
      <w:bookmarkStart w:id="185" w:name="_Toc247085816"/>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7085817"/>
      <w:bookmarkStart w:id="187" w:name="_Toc296602548"/>
      <w:bookmarkStart w:id="188" w:name="_Toc246997045"/>
      <w:bookmarkStart w:id="189" w:name="_Toc246996302"/>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246997047"/>
      <w:bookmarkStart w:id="191" w:name="_Toc184635114"/>
      <w:bookmarkStart w:id="192" w:name="_Toc246996304"/>
      <w:bookmarkStart w:id="193" w:name="_Toc247085819"/>
      <w:bookmarkStart w:id="194" w:name="_Toc296602549"/>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6305"/>
      <w:bookmarkStart w:id="196" w:name="_Toc296602550"/>
      <w:bookmarkStart w:id="197" w:name="_Toc246997048"/>
      <w:bookmarkStart w:id="198" w:name="_Toc247085820"/>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47085821"/>
      <w:bookmarkStart w:id="200" w:name="_Toc246996306"/>
      <w:bookmarkStart w:id="201" w:name="_Toc246997049"/>
      <w:bookmarkStart w:id="202" w:name="_Toc296602551"/>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7085822"/>
      <w:bookmarkStart w:id="204" w:name="_Toc296602552"/>
      <w:bookmarkStart w:id="205" w:name="_Toc246997050"/>
      <w:bookmarkStart w:id="206" w:name="_Toc246996307"/>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6997051"/>
      <w:bookmarkStart w:id="208" w:name="_Toc247085823"/>
      <w:bookmarkStart w:id="209" w:name="_Toc246996308"/>
      <w:bookmarkStart w:id="210" w:name="_Toc296602553"/>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6996309"/>
      <w:bookmarkStart w:id="212" w:name="_Toc246997052"/>
      <w:bookmarkStart w:id="213" w:name="_Toc247085824"/>
      <w:bookmarkStart w:id="214" w:name="_Toc296602554"/>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46996310"/>
      <w:bookmarkStart w:id="216" w:name="_Toc246997053"/>
      <w:bookmarkStart w:id="217" w:name="_Toc247085825"/>
      <w:bookmarkStart w:id="218" w:name="_Toc29660255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246997054"/>
      <w:bookmarkStart w:id="220" w:name="_Toc246996311"/>
      <w:bookmarkStart w:id="221" w:name="_Toc184635115"/>
      <w:bookmarkStart w:id="222" w:name="_Toc296602556"/>
      <w:bookmarkStart w:id="223" w:name="_Toc247085826"/>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6312"/>
      <w:bookmarkStart w:id="226" w:name="_Toc247085827"/>
      <w:bookmarkStart w:id="227" w:name="_Toc246997055"/>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46996313"/>
      <w:bookmarkStart w:id="230" w:name="_Toc247085828"/>
      <w:bookmarkStart w:id="231" w:name="_Toc296602559"/>
      <w:bookmarkStart w:id="232" w:name="_Toc246997056"/>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6997057"/>
      <w:bookmarkStart w:id="234" w:name="_Toc296602560"/>
      <w:bookmarkStart w:id="235" w:name="_Toc246996314"/>
      <w:bookmarkStart w:id="236" w:name="_Toc247085829"/>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46996315"/>
      <w:bookmarkStart w:id="238" w:name="_Toc296602561"/>
      <w:bookmarkStart w:id="239" w:name="_Toc246997058"/>
      <w:bookmarkStart w:id="240" w:name="_Toc247085830"/>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296602562"/>
      <w:bookmarkStart w:id="242" w:name="_Toc246996316"/>
      <w:bookmarkStart w:id="243" w:name="_Toc184635116"/>
      <w:bookmarkStart w:id="244" w:name="_Toc247085831"/>
      <w:bookmarkStart w:id="245" w:name="_Toc246997059"/>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47085832"/>
      <w:bookmarkStart w:id="247" w:name="_Toc296602563"/>
      <w:bookmarkStart w:id="248" w:name="_Toc246996317"/>
      <w:bookmarkStart w:id="249" w:name="_Toc246997060"/>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46997061"/>
      <w:bookmarkStart w:id="251" w:name="_Toc296602564"/>
      <w:bookmarkStart w:id="252" w:name="_Toc246996318"/>
      <w:bookmarkStart w:id="253" w:name="_Toc247085833"/>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184635117"/>
      <w:bookmarkStart w:id="255" w:name="_Toc246997062"/>
      <w:bookmarkStart w:id="256" w:name="_Toc247085834"/>
      <w:bookmarkStart w:id="257" w:name="_Toc24699631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46997063"/>
      <w:bookmarkStart w:id="260" w:name="_Toc246996320"/>
      <w:bookmarkStart w:id="261" w:name="_Toc296602566"/>
      <w:bookmarkStart w:id="262" w:name="_Toc247085835"/>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63" w:name="_Toc246997064"/>
      <w:bookmarkStart w:id="264" w:name="_Toc246996321"/>
      <w:bookmarkStart w:id="265" w:name="_Toc247085836"/>
      <w:r>
        <w:rPr>
          <w:rFonts w:hint="eastAsia" w:ascii="宋体" w:hAnsi="宋体" w:eastAsia="宋体" w:cs="宋体"/>
          <w:sz w:val="24"/>
          <w:szCs w:val="24"/>
        </w:rPr>
        <w:t xml:space="preserve"> </w:t>
      </w:r>
      <w:bookmarkStart w:id="266" w:name="_Toc296602567"/>
      <w:bookmarkStart w:id="267" w:name="_Toc450569923"/>
      <w:r>
        <w:rPr>
          <w:rFonts w:hint="eastAsia" w:ascii="宋体" w:hAnsi="宋体" w:eastAsia="宋体" w:cs="宋体"/>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47527781"/>
      <w:bookmarkStart w:id="270" w:name="_Toc296602568"/>
      <w:bookmarkStart w:id="271" w:name="_Toc247514180"/>
      <w:bookmarkStart w:id="272" w:name="_Toc271821895"/>
      <w:bookmarkStart w:id="273" w:name="_Toc246997065"/>
      <w:bookmarkStart w:id="274" w:name="_Toc246996322"/>
      <w:bookmarkStart w:id="275" w:name="_Toc247085837"/>
      <w:bookmarkStart w:id="276" w:name="_Toc184635119"/>
      <w:r>
        <w:rPr>
          <w:rFonts w:hint="eastAsia" w:ascii="宋体" w:hAnsi="宋体" w:eastAsia="宋体" w:cs="宋体"/>
          <w:b/>
          <w:sz w:val="24"/>
          <w:szCs w:val="24"/>
        </w:rPr>
        <w:t>14. 不可抗力</w:t>
      </w:r>
      <w:bookmarkEnd w:id="269"/>
      <w:bookmarkEnd w:id="270"/>
      <w:bookmarkEnd w:id="271"/>
      <w:bookmarkEnd w:id="27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77" w:name="_Toc450569924"/>
      <w:bookmarkStart w:id="278" w:name="_Toc271821896"/>
      <w:bookmarkStart w:id="279" w:name="_Toc296602569"/>
      <w:bookmarkStart w:id="280" w:name="_Toc247527782"/>
      <w:bookmarkStart w:id="281" w:name="_Toc247514181"/>
      <w:r>
        <w:rPr>
          <w:rFonts w:hint="eastAsia" w:ascii="宋体" w:hAnsi="宋体" w:eastAsia="宋体" w:cs="宋体"/>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2" w:name="_Toc247527783"/>
      <w:bookmarkStart w:id="283" w:name="_Toc296602570"/>
      <w:bookmarkStart w:id="284" w:name="_Toc271821897"/>
      <w:bookmarkStart w:id="285" w:name="_Toc247514182"/>
      <w:bookmarkStart w:id="286" w:name="_Toc450569925"/>
      <w:r>
        <w:rPr>
          <w:rFonts w:hint="eastAsia" w:ascii="宋体" w:hAnsi="宋体" w:eastAsia="宋体" w:cs="宋体"/>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7" w:name="_Toc450569926"/>
      <w:bookmarkStart w:id="288" w:name="_Toc247527784"/>
      <w:bookmarkStart w:id="289" w:name="_Toc296602571"/>
      <w:bookmarkStart w:id="290" w:name="_Toc247514183"/>
      <w:bookmarkStart w:id="291" w:name="_Toc271821898"/>
      <w:r>
        <w:rPr>
          <w:rFonts w:hint="eastAsia" w:ascii="宋体" w:hAnsi="宋体" w:eastAsia="宋体" w:cs="宋体"/>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3" w:name="_Toc247085838"/>
      <w:bookmarkStart w:id="294" w:name="_Toc296602573"/>
      <w:bookmarkStart w:id="295" w:name="_Toc450569927"/>
      <w:bookmarkStart w:id="296" w:name="_Toc246996323"/>
      <w:bookmarkStart w:id="297" w:name="_Toc246997066"/>
      <w:r>
        <w:rPr>
          <w:rFonts w:hint="eastAsia" w:ascii="宋体" w:hAnsi="宋体" w:eastAsia="宋体" w:cs="宋体"/>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8" w:name="_Toc296602574"/>
      <w:bookmarkStart w:id="299" w:name="_Toc246996324"/>
      <w:bookmarkStart w:id="300" w:name="_Toc247085839"/>
      <w:bookmarkStart w:id="301" w:name="_Toc246997067"/>
      <w:bookmarkStart w:id="302" w:name="_Toc450569928"/>
      <w:r>
        <w:rPr>
          <w:rFonts w:hint="eastAsia" w:ascii="宋体" w:hAnsi="宋体" w:eastAsia="宋体" w:cs="宋体"/>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47085841"/>
      <w:bookmarkStart w:id="304" w:name="_Toc184635120"/>
      <w:bookmarkStart w:id="305" w:name="_Toc246997069"/>
      <w:bookmarkStart w:id="306" w:name="_Toc296602575"/>
      <w:bookmarkStart w:id="307" w:name="_Toc246996326"/>
      <w:r>
        <w:rPr>
          <w:rFonts w:hint="eastAsia" w:ascii="宋体" w:hAnsi="宋体" w:eastAsia="宋体" w:cs="宋体"/>
          <w:b/>
          <w:sz w:val="24"/>
          <w:szCs w:val="24"/>
        </w:rPr>
        <w:t>16. 索赔</w:t>
      </w:r>
      <w:bookmarkEnd w:id="303"/>
      <w:bookmarkEnd w:id="304"/>
      <w:bookmarkEnd w:id="305"/>
      <w:bookmarkEnd w:id="306"/>
      <w:bookmarkEnd w:id="307"/>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08" w:name="_Toc247085842"/>
      <w:bookmarkStart w:id="309" w:name="_Toc246997070"/>
      <w:bookmarkStart w:id="310" w:name="_Toc450569929"/>
      <w:bookmarkStart w:id="311" w:name="_Toc296602576"/>
      <w:bookmarkStart w:id="312" w:name="_Toc246996327"/>
      <w:r>
        <w:rPr>
          <w:rFonts w:hint="eastAsia" w:ascii="宋体" w:hAnsi="宋体" w:eastAsia="宋体" w:cs="宋体"/>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3" w:name="_Toc296602577"/>
      <w:bookmarkStart w:id="314" w:name="_Toc450569930"/>
      <w:bookmarkStart w:id="315" w:name="_Toc246996328"/>
      <w:bookmarkStart w:id="316" w:name="_Toc247085843"/>
      <w:bookmarkStart w:id="317" w:name="_Toc246997071"/>
      <w:r>
        <w:rPr>
          <w:rFonts w:hint="eastAsia" w:ascii="宋体" w:hAnsi="宋体" w:eastAsia="宋体" w:cs="宋体"/>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8" w:name="_Toc246997072"/>
      <w:bookmarkStart w:id="319" w:name="_Toc246996329"/>
      <w:bookmarkStart w:id="320" w:name="_Toc450569931"/>
      <w:bookmarkStart w:id="321" w:name="_Toc296602578"/>
      <w:bookmarkStart w:id="322" w:name="_Toc247085844"/>
      <w:r>
        <w:rPr>
          <w:rFonts w:hint="eastAsia" w:ascii="宋体" w:hAnsi="宋体" w:eastAsia="宋体" w:cs="宋体"/>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3" w:name="_Toc296602579"/>
      <w:bookmarkStart w:id="324" w:name="_Toc450569932"/>
      <w:r>
        <w:rPr>
          <w:rFonts w:hint="eastAsia" w:ascii="宋体" w:hAnsi="宋体" w:eastAsia="宋体" w:cs="宋体"/>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5" w:name="_Toc296602580"/>
      <w:bookmarkStart w:id="326" w:name="_Toc450569933"/>
      <w:r>
        <w:rPr>
          <w:rFonts w:hint="eastAsia" w:ascii="宋体" w:hAnsi="宋体" w:eastAsia="宋体" w:cs="宋体"/>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46997074"/>
      <w:bookmarkStart w:id="328" w:name="_Toc296602581"/>
      <w:bookmarkStart w:id="329" w:name="_Toc246996331"/>
      <w:bookmarkStart w:id="330" w:name="_Toc184635121"/>
      <w:bookmarkStart w:id="331" w:name="_Toc247085846"/>
      <w:r>
        <w:rPr>
          <w:rFonts w:hint="eastAsia" w:ascii="宋体" w:hAnsi="宋体" w:eastAsia="宋体" w:cs="宋体"/>
          <w:b/>
          <w:sz w:val="24"/>
          <w:szCs w:val="24"/>
        </w:rPr>
        <w:t>17. 争议的解决</w:t>
      </w:r>
      <w:bookmarkEnd w:id="327"/>
      <w:bookmarkEnd w:id="328"/>
      <w:bookmarkEnd w:id="329"/>
      <w:bookmarkEnd w:id="330"/>
      <w:bookmarkEnd w:id="331"/>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2" w:name="_Toc296602582"/>
      <w:bookmarkStart w:id="333" w:name="_Toc247085847"/>
      <w:bookmarkStart w:id="334" w:name="_Toc246996332"/>
      <w:bookmarkStart w:id="335" w:name="_Toc450569934"/>
      <w:bookmarkStart w:id="336" w:name="_Toc246997075"/>
      <w:r>
        <w:rPr>
          <w:rFonts w:hint="eastAsia" w:ascii="宋体" w:hAnsi="宋体" w:eastAsia="宋体" w:cs="宋体"/>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7" w:name="_Toc296602583"/>
      <w:bookmarkStart w:id="338" w:name="_Toc247085848"/>
      <w:bookmarkStart w:id="339" w:name="_Toc246996333"/>
      <w:bookmarkStart w:id="340" w:name="_Toc246997076"/>
      <w:bookmarkStart w:id="341" w:name="_Toc450569935"/>
      <w:r>
        <w:rPr>
          <w:rFonts w:hint="eastAsia" w:ascii="宋体" w:hAnsi="宋体" w:eastAsia="宋体" w:cs="宋体"/>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42" w:name="_Toc246997077"/>
      <w:bookmarkStart w:id="343" w:name="_Toc246996334"/>
      <w:bookmarkStart w:id="344" w:name="_Toc296602584"/>
      <w:bookmarkStart w:id="345" w:name="_Toc247085849"/>
      <w:bookmarkStart w:id="346" w:name="_Toc450569936"/>
      <w:r>
        <w:rPr>
          <w:rFonts w:hint="eastAsia" w:ascii="宋体" w:hAnsi="宋体" w:eastAsia="宋体" w:cs="宋体"/>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7"/>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8"/>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7409"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工期</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pStyle w:val="4"/>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lang w:eastAsia="zh-CN"/>
        </w:rPr>
        <w:t>分项</w:t>
      </w:r>
      <w:r>
        <w:rPr>
          <w:rFonts w:hint="eastAsia" w:ascii="黑体"/>
          <w:sz w:val="36"/>
          <w:szCs w:val="36"/>
        </w:rPr>
        <w:t>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w:t>
      </w:r>
      <w:r>
        <w:rPr>
          <w:rFonts w:hint="eastAsia" w:ascii="宋体" w:hAnsi="Arial" w:cs="宋体"/>
          <w:color w:val="FF0000"/>
          <w:sz w:val="24"/>
        </w:rPr>
        <w:t>采购内容及要求</w:t>
      </w:r>
      <w:r>
        <w:rPr>
          <w:rFonts w:hint="eastAsia" w:ascii="宋体" w:hAnsi="Arial" w:cs="宋体"/>
          <w:color w:val="000000"/>
          <w:sz w:val="24"/>
        </w:rPr>
        <w:t>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rPr>
          <w:rFonts w:hint="eastAsia" w:ascii="黑体"/>
          <w:sz w:val="36"/>
          <w:szCs w:val="36"/>
        </w:rPr>
      </w:pPr>
      <w:r>
        <w:rPr>
          <w:rFonts w:hint="eastAsia" w:ascii="黑体"/>
          <w:sz w:val="36"/>
          <w:szCs w:val="36"/>
        </w:rPr>
        <w:br w:type="page"/>
      </w: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CellMar>
            <w:top w:w="0" w:type="dxa"/>
            <w:left w:w="108" w:type="dxa"/>
            <w:bottom w:w="0" w:type="dxa"/>
            <w:right w:w="108" w:type="dxa"/>
          </w:tblCellMar>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4"/>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10"/>
        <w:spacing w:line="360" w:lineRule="auto"/>
        <w:jc w:val="center"/>
        <w:rPr>
          <w:rFonts w:hAnsi="宋体"/>
          <w:b/>
          <w:color w:val="000000"/>
          <w:sz w:val="36"/>
          <w:szCs w:val="36"/>
        </w:rPr>
      </w:pPr>
      <w:r>
        <w:rPr>
          <w:rFonts w:hint="eastAsia" w:hAnsi="宋体"/>
          <w:b/>
          <w:color w:val="000000"/>
          <w:sz w:val="36"/>
          <w:szCs w:val="36"/>
        </w:rPr>
        <w:t>五  商务条款偏离表</w:t>
      </w:r>
    </w:p>
    <w:p>
      <w:pPr>
        <w:pStyle w:val="10"/>
        <w:spacing w:line="360" w:lineRule="auto"/>
        <w:rPr>
          <w:rFonts w:hAnsi="宋体"/>
          <w:color w:val="000000"/>
          <w:sz w:val="28"/>
          <w:szCs w:val="28"/>
        </w:rPr>
      </w:pPr>
      <w:r>
        <w:rPr>
          <w:rFonts w:hint="eastAsia" w:hAnsi="宋体"/>
          <w:color w:val="000000"/>
          <w:sz w:val="28"/>
          <w:szCs w:val="28"/>
        </w:rPr>
        <w:t xml:space="preserve">投标人名称：           </w:t>
      </w:r>
    </w:p>
    <w:p>
      <w:pPr>
        <w:pStyle w:val="10"/>
        <w:spacing w:line="360" w:lineRule="auto"/>
        <w:rPr>
          <w:rFonts w:hAnsi="宋体"/>
          <w:color w:val="000000"/>
          <w:sz w:val="28"/>
          <w:szCs w:val="28"/>
        </w:rPr>
      </w:pPr>
      <w:r>
        <w:rPr>
          <w:rFonts w:hint="eastAsia" w:hAnsi="宋体"/>
          <w:color w:val="000000"/>
          <w:sz w:val="28"/>
          <w:szCs w:val="28"/>
        </w:rPr>
        <w:t>招标编号：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jc w:val="both"/>
        <w:rPr>
          <w:rFonts w:asciiTheme="minorEastAsia" w:hAnsiTheme="minorEastAsia" w:cstheme="minorEastAsia"/>
          <w:b/>
          <w:bCs/>
          <w:sz w:val="36"/>
          <w:szCs w:val="36"/>
        </w:rPr>
      </w:pPr>
      <w:r>
        <w:rPr>
          <w:rFonts w:asciiTheme="minorEastAsia" w:hAnsiTheme="minorEastAsia" w:cstheme="minorEastAsia"/>
          <w:b/>
          <w:bCs/>
          <w:sz w:val="36"/>
          <w:szCs w:val="36"/>
        </w:rPr>
        <w:br w:type="page"/>
      </w: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rPr>
        <w:t xml:space="preserve">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Style w:val="20"/>
          <w:rFonts w:hint="eastAsia" w:ascii="宋体" w:hAnsi="宋体" w:eastAsia="宋体" w:cs="Times New Roman"/>
          <w:sz w:val="24"/>
          <w:szCs w:val="24"/>
        </w:rPr>
      </w:pPr>
      <w:r>
        <w:rPr>
          <w:rStyle w:val="20"/>
          <w:rFonts w:hint="eastAsia" w:ascii="宋体" w:hAnsi="宋体" w:eastAsia="宋体" w:cs="Times New Roman"/>
          <w:sz w:val="24"/>
          <w:szCs w:val="24"/>
        </w:rPr>
        <w:t>（一）</w:t>
      </w:r>
      <w:r>
        <w:rPr>
          <w:rStyle w:val="20"/>
          <w:rFonts w:ascii="Calibri" w:hAnsi="宋体" w:eastAsia="宋体" w:cs="Times New Roman"/>
          <w:sz w:val="24"/>
          <w:szCs w:val="24"/>
        </w:rPr>
        <w:t>具有独立承担民事责任的能力</w:t>
      </w:r>
      <w:r>
        <w:rPr>
          <w:rStyle w:val="20"/>
          <w:rFonts w:hint="eastAsia" w:hAnsi="宋体" w:cs="Times New Roman"/>
          <w:sz w:val="24"/>
          <w:szCs w:val="24"/>
          <w:lang w:eastAsia="zh-CN"/>
        </w:rPr>
        <w:t>（</w:t>
      </w:r>
      <w:r>
        <w:rPr>
          <w:rStyle w:val="20"/>
          <w:rFonts w:hint="eastAsia" w:ascii="Calibri" w:hAnsi="宋体" w:eastAsia="宋体" w:cs="Times New Roman"/>
          <w:sz w:val="24"/>
          <w:szCs w:val="24"/>
        </w:rPr>
        <w:t>提供以下</w:t>
      </w:r>
      <w:r>
        <w:rPr>
          <w:rStyle w:val="20"/>
          <w:rFonts w:ascii="Calibri" w:hAnsi="宋体" w:eastAsia="宋体" w:cs="Times New Roman"/>
          <w:sz w:val="24"/>
          <w:szCs w:val="24"/>
        </w:rPr>
        <w:t>相关证照</w:t>
      </w:r>
      <w:r>
        <w:rPr>
          <w:rStyle w:val="20"/>
          <w:rFonts w:hint="eastAsia" w:ascii="Calibri" w:hAnsi="宋体" w:eastAsia="宋体" w:cs="Times New Roman"/>
          <w:sz w:val="24"/>
          <w:szCs w:val="24"/>
        </w:rPr>
        <w:t>的</w:t>
      </w:r>
      <w:r>
        <w:rPr>
          <w:rStyle w:val="20"/>
          <w:rFonts w:ascii="Calibri" w:hAnsi="宋体" w:eastAsia="宋体" w:cs="Times New Roman"/>
          <w:sz w:val="24"/>
          <w:szCs w:val="24"/>
        </w:rPr>
        <w:t>原件扫描件</w:t>
      </w:r>
      <w:r>
        <w:rPr>
          <w:rStyle w:val="20"/>
          <w:rFonts w:hint="eastAsia" w:ascii="Calibri" w:hAnsi="宋体" w:eastAsia="宋体" w:cs="Times New Roman"/>
          <w:sz w:val="24"/>
          <w:szCs w:val="24"/>
        </w:rPr>
        <w:t>之一：1.</w:t>
      </w:r>
      <w:r>
        <w:rPr>
          <w:rStyle w:val="20"/>
          <w:rFonts w:ascii="Calibri" w:hAnsi="宋体" w:eastAsia="宋体" w:cs="Times New Roman"/>
          <w:sz w:val="24"/>
          <w:szCs w:val="24"/>
        </w:rPr>
        <w:t>企业法人营业执照</w:t>
      </w:r>
      <w:r>
        <w:rPr>
          <w:rStyle w:val="20"/>
          <w:rFonts w:hint="eastAsia" w:ascii="Calibri" w:hAnsi="宋体" w:eastAsia="宋体" w:cs="Times New Roman"/>
          <w:sz w:val="24"/>
          <w:szCs w:val="24"/>
        </w:rPr>
        <w:t>；2.</w:t>
      </w:r>
      <w:r>
        <w:rPr>
          <w:rStyle w:val="20"/>
          <w:rFonts w:ascii="Calibri" w:hAnsi="宋体" w:eastAsia="宋体" w:cs="Times New Roman"/>
          <w:sz w:val="24"/>
          <w:szCs w:val="24"/>
        </w:rPr>
        <w:t>事业法人登记证</w:t>
      </w:r>
      <w:r>
        <w:rPr>
          <w:rStyle w:val="20"/>
          <w:rFonts w:hint="eastAsia" w:ascii="Calibri" w:hAnsi="宋体" w:eastAsia="宋体" w:cs="Times New Roman"/>
          <w:sz w:val="24"/>
          <w:szCs w:val="24"/>
        </w:rPr>
        <w:t>；3.</w:t>
      </w:r>
      <w:r>
        <w:rPr>
          <w:rStyle w:val="20"/>
          <w:rFonts w:ascii="Calibri" w:hAnsi="宋体" w:eastAsia="宋体" w:cs="Times New Roman"/>
          <w:sz w:val="24"/>
          <w:szCs w:val="24"/>
        </w:rPr>
        <w:t>其他组织的营业执照</w:t>
      </w:r>
      <w:r>
        <w:rPr>
          <w:rStyle w:val="20"/>
          <w:rFonts w:hint="eastAsia" w:ascii="Calibri" w:hAnsi="宋体" w:eastAsia="宋体" w:cs="Times New Roman"/>
          <w:sz w:val="24"/>
          <w:szCs w:val="24"/>
        </w:rPr>
        <w:t>或</w:t>
      </w:r>
      <w:r>
        <w:rPr>
          <w:rStyle w:val="20"/>
          <w:rFonts w:ascii="Calibri" w:hAnsi="宋体" w:eastAsia="宋体" w:cs="Times New Roman"/>
          <w:sz w:val="24"/>
          <w:szCs w:val="24"/>
        </w:rPr>
        <w:t>执业许可证</w:t>
      </w:r>
      <w:r>
        <w:rPr>
          <w:rStyle w:val="20"/>
          <w:rFonts w:hint="eastAsia" w:ascii="Calibri" w:hAnsi="宋体" w:eastAsia="宋体" w:cs="Times New Roman"/>
          <w:sz w:val="24"/>
          <w:szCs w:val="24"/>
        </w:rPr>
        <w:t>；4.居民身份证</w:t>
      </w:r>
      <w:r>
        <w:rPr>
          <w:rStyle w:val="20"/>
          <w:rFonts w:ascii="Calibri" w:hAnsi="宋体" w:eastAsia="宋体" w:cs="Times New Roman"/>
          <w:sz w:val="24"/>
          <w:szCs w:val="24"/>
        </w:rPr>
        <w:t>等</w:t>
      </w:r>
      <w:r>
        <w:rPr>
          <w:rStyle w:val="20"/>
          <w:rFonts w:hint="eastAsia" w:hAnsi="宋体" w:cs="Times New Roman"/>
          <w:sz w:val="24"/>
          <w:szCs w:val="24"/>
          <w:lang w:eastAsia="zh-CN"/>
        </w:rPr>
        <w:t>）</w:t>
      </w:r>
      <w:r>
        <w:rPr>
          <w:rStyle w:val="20"/>
          <w:rFonts w:hint="eastAsia" w:ascii="宋体" w:hAnsi="宋体" w:eastAsia="宋体" w:cs="Times New Roman"/>
          <w:sz w:val="24"/>
          <w:szCs w:val="24"/>
        </w:rPr>
        <w:t>；</w:t>
      </w:r>
    </w:p>
    <w:p>
      <w:pPr>
        <w:spacing w:line="560" w:lineRule="exact"/>
        <w:ind w:firstLine="480" w:firstLineChars="200"/>
        <w:rPr>
          <w:rFonts w:hint="eastAsia" w:ascii="宋体" w:hAnsi="宋体"/>
          <w:sz w:val="24"/>
          <w:shd w:val="clear" w:color="auto" w:fill="FFFFFF"/>
          <w:lang w:eastAsia="zh-CN"/>
        </w:rPr>
      </w:pPr>
      <w:r>
        <w:rPr>
          <w:rStyle w:val="20"/>
          <w:rFonts w:hint="eastAsia" w:ascii="宋体" w:hAnsi="宋体" w:eastAsia="宋体" w:cs="Times New Roman"/>
          <w:sz w:val="24"/>
          <w:szCs w:val="24"/>
        </w:rPr>
        <w:t>（二）具有良好的商业信誉和健全的财务会计制度</w:t>
      </w:r>
      <w:r>
        <w:rPr>
          <w:rStyle w:val="20"/>
          <w:rFonts w:hint="eastAsia" w:ascii="宋体" w:hAnsi="宋体" w:cs="Times New Roman"/>
          <w:sz w:val="24"/>
          <w:szCs w:val="24"/>
          <w:lang w:eastAsia="zh-CN"/>
        </w:rPr>
        <w:t>；</w:t>
      </w:r>
      <w:r>
        <w:rPr>
          <w:rFonts w:hint="eastAsia" w:ascii="宋体" w:hAnsi="宋体"/>
          <w:sz w:val="24"/>
          <w:shd w:val="clear" w:color="auto" w:fill="FFFFFF"/>
          <w:lang w:eastAsia="zh-CN"/>
        </w:rPr>
        <w:t>提供2019或2020年度经会计师事务所或审计机构审计的财务会计报表（新成立的企业可提供基本开户银行出具的资信证明）；</w:t>
      </w: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Style w:val="20"/>
          <w:rFonts w:hint="eastAsia" w:ascii="宋体" w:hAnsi="宋体" w:eastAsia="宋体" w:cs="Times New Roman"/>
          <w:sz w:val="24"/>
          <w:szCs w:val="24"/>
          <w:lang w:eastAsia="zh-CN"/>
        </w:rPr>
      </w:pPr>
      <w:r>
        <w:rPr>
          <w:rStyle w:val="20"/>
          <w:rFonts w:hint="eastAsia" w:ascii="宋体" w:hAnsi="宋体" w:eastAsia="宋体" w:cs="Times New Roman"/>
          <w:sz w:val="24"/>
          <w:szCs w:val="24"/>
        </w:rPr>
        <w:t>（三）具有履行合同所必需的设备和专业技术能力；</w:t>
      </w:r>
      <w:r>
        <w:rPr>
          <w:rStyle w:val="20"/>
          <w:rFonts w:hint="eastAsia" w:ascii="宋体" w:hAnsi="宋体" w:cs="Times New Roman"/>
          <w:sz w:val="24"/>
          <w:szCs w:val="24"/>
          <w:lang w:eastAsia="zh-CN"/>
        </w:rPr>
        <w:t>（提供相关证明材料或书面承诺）</w:t>
      </w: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Style w:val="20"/>
          <w:rFonts w:hint="eastAsia" w:ascii="宋体" w:hAnsi="宋体" w:eastAsia="宋体" w:cs="Times New Roman"/>
          <w:sz w:val="24"/>
          <w:szCs w:val="24"/>
          <w:lang w:eastAsia="zh-CN"/>
        </w:rPr>
      </w:pPr>
      <w:r>
        <w:rPr>
          <w:rStyle w:val="20"/>
          <w:rFonts w:hint="eastAsia" w:ascii="宋体" w:hAnsi="宋体" w:eastAsia="宋体" w:cs="Times New Roman"/>
          <w:sz w:val="24"/>
          <w:szCs w:val="24"/>
        </w:rPr>
        <w:t>（四）有依法缴纳税收和社会保障资金的良好记录；</w:t>
      </w:r>
      <w:r>
        <w:rPr>
          <w:rStyle w:val="20"/>
          <w:rFonts w:hint="eastAsia" w:ascii="宋体" w:hAnsi="宋体" w:cs="Times New Roman"/>
          <w:sz w:val="24"/>
          <w:szCs w:val="24"/>
          <w:lang w:eastAsia="zh-CN"/>
        </w:rPr>
        <w:t>（提供近</w:t>
      </w:r>
      <w:r>
        <w:rPr>
          <w:rStyle w:val="20"/>
          <w:rFonts w:hint="eastAsia" w:ascii="宋体" w:hAnsi="宋体" w:cs="Times New Roman"/>
          <w:sz w:val="24"/>
          <w:szCs w:val="24"/>
          <w:lang w:val="en-US" w:eastAsia="zh-CN"/>
        </w:rPr>
        <w:t>1</w:t>
      </w:r>
      <w:r>
        <w:rPr>
          <w:rStyle w:val="20"/>
          <w:rFonts w:hint="eastAsia" w:ascii="宋体" w:hAnsi="宋体" w:cs="Times New Roman"/>
          <w:sz w:val="24"/>
          <w:szCs w:val="24"/>
          <w:lang w:eastAsia="zh-CN"/>
        </w:rPr>
        <w:t>年内任意</w:t>
      </w:r>
      <w:r>
        <w:rPr>
          <w:rStyle w:val="20"/>
          <w:rFonts w:hint="eastAsia" w:ascii="宋体" w:hAnsi="宋体" w:cs="Times New Roman"/>
          <w:color w:val="0000FF"/>
          <w:sz w:val="24"/>
          <w:szCs w:val="24"/>
          <w:lang w:val="en-US" w:eastAsia="zh-CN"/>
        </w:rPr>
        <w:t>1</w:t>
      </w:r>
      <w:r>
        <w:rPr>
          <w:rStyle w:val="20"/>
          <w:rFonts w:hint="eastAsia" w:ascii="宋体" w:hAnsi="宋体" w:cs="Times New Roman"/>
          <w:color w:val="0000FF"/>
          <w:sz w:val="24"/>
          <w:szCs w:val="24"/>
          <w:lang w:eastAsia="zh-CN"/>
        </w:rPr>
        <w:t>个月</w:t>
      </w:r>
      <w:r>
        <w:rPr>
          <w:rStyle w:val="20"/>
          <w:rFonts w:hint="eastAsia" w:ascii="宋体" w:hAnsi="宋体" w:cs="Times New Roman"/>
          <w:sz w:val="24"/>
          <w:szCs w:val="24"/>
          <w:lang w:eastAsia="zh-CN"/>
        </w:rPr>
        <w:t>的</w:t>
      </w:r>
      <w:r>
        <w:rPr>
          <w:rStyle w:val="20"/>
          <w:rFonts w:hint="eastAsia" w:ascii="宋体" w:hAnsi="宋体" w:eastAsia="宋体" w:cs="Times New Roman"/>
          <w:sz w:val="24"/>
          <w:szCs w:val="24"/>
        </w:rPr>
        <w:t>缴纳税收和</w:t>
      </w:r>
      <w:r>
        <w:rPr>
          <w:rStyle w:val="20"/>
          <w:rFonts w:hint="eastAsia" w:ascii="宋体" w:hAnsi="宋体" w:cs="Times New Roman"/>
          <w:sz w:val="24"/>
          <w:szCs w:val="24"/>
          <w:lang w:eastAsia="zh-CN"/>
        </w:rPr>
        <w:t>缴纳</w:t>
      </w:r>
      <w:r>
        <w:rPr>
          <w:rStyle w:val="20"/>
          <w:rFonts w:hint="eastAsia" w:ascii="宋体" w:hAnsi="宋体" w:eastAsia="宋体" w:cs="Times New Roman"/>
          <w:sz w:val="24"/>
          <w:szCs w:val="24"/>
        </w:rPr>
        <w:t>社会保障资金</w:t>
      </w:r>
      <w:r>
        <w:rPr>
          <w:rStyle w:val="20"/>
          <w:rFonts w:hint="eastAsia" w:ascii="宋体" w:hAnsi="宋体" w:cs="Times New Roman"/>
          <w:sz w:val="24"/>
          <w:szCs w:val="24"/>
          <w:lang w:eastAsia="zh-CN"/>
        </w:rPr>
        <w:t>的证明材料）</w:t>
      </w:r>
    </w:p>
    <w:p>
      <w:pPr>
        <w:keepNext w:val="0"/>
        <w:keepLines w:val="0"/>
        <w:pageBreakBefore w:val="0"/>
        <w:widowControl w:val="0"/>
        <w:kinsoku/>
        <w:wordWrap/>
        <w:overflowPunct/>
        <w:topLinePunct w:val="0"/>
        <w:autoSpaceDE/>
        <w:autoSpaceDN/>
        <w:bidi w:val="0"/>
        <w:adjustRightInd w:val="0"/>
        <w:spacing w:line="440" w:lineRule="exact"/>
        <w:ind w:right="480" w:firstLine="480" w:firstLineChars="200"/>
        <w:jc w:val="left"/>
        <w:textAlignment w:val="auto"/>
        <w:rPr>
          <w:rFonts w:hint="eastAsia"/>
          <w:lang w:val="en-US" w:eastAsia="zh-CN"/>
        </w:rPr>
      </w:pPr>
      <w:r>
        <w:rPr>
          <w:rStyle w:val="20"/>
          <w:rFonts w:hint="eastAsia" w:ascii="宋体" w:hAnsi="宋体" w:eastAsia="宋体" w:cs="Times New Roman"/>
          <w:kern w:val="2"/>
          <w:sz w:val="24"/>
          <w:lang w:val="en-US" w:eastAsia="zh-CN" w:bidi="ar-SA"/>
        </w:rPr>
        <w:t>（五</w:t>
      </w:r>
      <w:r>
        <w:rPr>
          <w:rStyle w:val="20"/>
          <w:rFonts w:hint="eastAsia" w:ascii="宋体" w:hAnsi="宋体" w:eastAsia="宋体" w:cs="Times New Roman"/>
          <w:sz w:val="24"/>
          <w:szCs w:val="24"/>
        </w:rPr>
        <w:t>依法</w:t>
      </w:r>
      <w:r>
        <w:rPr>
          <w:rStyle w:val="20"/>
          <w:rFonts w:hint="eastAsia" w:ascii="宋体" w:hAnsi="宋体" w:eastAsia="宋体" w:cs="Times New Roman"/>
          <w:kern w:val="2"/>
          <w:sz w:val="24"/>
          <w:lang w:val="en-US" w:eastAsia="zh-CN" w:bidi="ar-SA"/>
        </w:rPr>
        <w:t>）参加政府采购活动前三年内，在经营活动中没有重大违法记录；（提供无重大违法记录的声明函（模板））</w:t>
      </w:r>
    </w:p>
    <w:p>
      <w:pPr>
        <w:pStyle w:val="55"/>
        <w:keepNext w:val="0"/>
        <w:keepLines w:val="0"/>
        <w:pageBreakBefore w:val="0"/>
        <w:widowControl w:val="0"/>
        <w:kinsoku/>
        <w:wordWrap/>
        <w:overflowPunct/>
        <w:topLinePunct w:val="0"/>
        <w:autoSpaceDE/>
        <w:autoSpaceDN/>
        <w:bidi w:val="0"/>
        <w:spacing w:line="440" w:lineRule="exact"/>
        <w:ind w:right="84" w:rightChars="40" w:firstLine="480" w:firstLineChars="200"/>
        <w:textAlignment w:val="auto"/>
        <w:rPr>
          <w:rStyle w:val="20"/>
          <w:rFonts w:hint="eastAsia" w:ascii="宋体" w:hAnsi="宋体" w:eastAsia="宋体" w:cs="Times New Roman"/>
          <w:kern w:val="2"/>
          <w:sz w:val="24"/>
          <w:lang w:val="en-US" w:eastAsia="zh-CN" w:bidi="ar-SA"/>
        </w:rPr>
      </w:pPr>
      <w:r>
        <w:rPr>
          <w:rStyle w:val="20"/>
          <w:rFonts w:hint="eastAsia" w:ascii="宋体" w:hAnsi="宋体" w:eastAsia="宋体" w:cs="Times New Roman"/>
          <w:kern w:val="2"/>
          <w:sz w:val="24"/>
          <w:lang w:val="en-US" w:eastAsia="zh-CN" w:bidi="ar-SA"/>
        </w:rPr>
        <w:t>（六）法律、行政法规规定的其他条件。</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color w:val="FF0000"/>
          <w:sz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lang w:val="en-US" w:eastAsia="zh-CN"/>
        </w:rPr>
        <w:t>（1）</w:t>
      </w:r>
      <w:r>
        <w:rPr>
          <w:rFonts w:hint="eastAsia"/>
          <w:color w:val="FF0000"/>
          <w:sz w:val="24"/>
          <w:lang w:val="en-US" w:eastAsia="zh-CN"/>
        </w:rPr>
        <w:t>建筑总承包二级以上资质并同时具备二级及以上装修资质；人员配置：需配备项目负责人，具备二级建筑建造师和工程师及以上资格，技术负责人工程师及以上职称，需配备施工员、质量员、安全员、材料员、资料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keepNext w:val="0"/>
        <w:keepLines w:val="0"/>
        <w:pageBreakBefore w:val="0"/>
        <w:widowControl w:val="0"/>
        <w:kinsoku/>
        <w:wordWrap/>
        <w:overflowPunct/>
        <w:topLinePunct w:val="0"/>
        <w:autoSpaceDE/>
        <w:autoSpaceDN/>
        <w:bidi w:val="0"/>
        <w:spacing w:line="4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谈判响应供应商（全称并加盖公章）：</w:t>
      </w:r>
    </w:p>
    <w:p>
      <w:pPr>
        <w:keepNext w:val="0"/>
        <w:keepLines w:val="0"/>
        <w:pageBreakBefore w:val="0"/>
        <w:widowControl w:val="0"/>
        <w:kinsoku/>
        <w:wordWrap/>
        <w:overflowPunct/>
        <w:topLinePunct w:val="0"/>
        <w:autoSpaceDE/>
        <w:autoSpaceDN/>
        <w:bidi w:val="0"/>
        <w:spacing w:line="4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谈判响应供应商代表签字：</w:t>
      </w:r>
    </w:p>
    <w:p>
      <w:pPr>
        <w:keepNext w:val="0"/>
        <w:keepLines w:val="0"/>
        <w:pageBreakBefore w:val="0"/>
        <w:widowControl w:val="0"/>
        <w:kinsoku/>
        <w:wordWrap/>
        <w:overflowPunct/>
        <w:topLinePunct w:val="0"/>
        <w:autoSpaceDE/>
        <w:autoSpaceDN/>
        <w:bidi w:val="0"/>
        <w:spacing w:line="440" w:lineRule="exact"/>
        <w:textAlignment w:val="auto"/>
        <w:rPr>
          <w:rFonts w:asciiTheme="minorEastAsia" w:hAnsiTheme="minorEastAsia" w:cstheme="minorEastAsia"/>
          <w:sz w:val="28"/>
          <w:szCs w:val="28"/>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日      期：</w:t>
      </w:r>
    </w:p>
    <w:p>
      <w:pPr>
        <w:pStyle w:val="10"/>
        <w:keepNext w:val="0"/>
        <w:keepLines w:val="0"/>
        <w:pageBreakBefore w:val="0"/>
        <w:widowControl w:val="0"/>
        <w:kinsoku/>
        <w:wordWrap/>
        <w:overflowPunct/>
        <w:topLinePunct w:val="0"/>
        <w:autoSpaceDE/>
        <w:autoSpaceDN/>
        <w:bidi w:val="0"/>
        <w:spacing w:line="440" w:lineRule="exact"/>
        <w:ind w:firstLine="281" w:firstLineChars="100"/>
        <w:textAlignment w:val="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hint="eastAsia"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rPr>
        <w:t xml:space="preserve">  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rPr>
        <w:t>（1）</w:t>
      </w:r>
      <w:r>
        <w:rPr>
          <w:rFonts w:hint="eastAsia" w:asciiTheme="minorEastAsia" w:hAnsiTheme="minorEastAsia" w:eastAsiaTheme="minorEastAsia" w:cstheme="minorEastAsia"/>
          <w:color w:val="000000"/>
          <w:sz w:val="24"/>
          <w:szCs w:val="24"/>
        </w:rPr>
        <w:t>服务承诺</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（2）按照国家验收标准执行</w:t>
      </w:r>
    </w:p>
    <w:p>
      <w:pPr>
        <w:autoSpaceDE w:val="0"/>
        <w:autoSpaceDN w:val="0"/>
        <w:adjustRightInd w:val="0"/>
        <w:rPr>
          <w:rFonts w:asciiTheme="minorEastAsia" w:hAnsiTheme="minorEastAsia" w:cstheme="minorEastAsia"/>
          <w:color w:val="000000"/>
          <w:sz w:val="24"/>
          <w:szCs w:val="24"/>
        </w:rPr>
      </w:pP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pStyle w:val="58"/>
        <w:pageBreakBefore/>
        <w:spacing w:line="360" w:lineRule="auto"/>
        <w:jc w:val="center"/>
        <w:rPr>
          <w:rFonts w:hint="eastAsia" w:asciiTheme="minorHAnsi" w:hAnsiTheme="minorHAnsi" w:eastAsiaTheme="minorEastAsia" w:cstheme="minorBidi"/>
          <w:b/>
          <w:kern w:val="2"/>
          <w:sz w:val="36"/>
          <w:szCs w:val="36"/>
          <w:lang w:val="en-GB" w:eastAsia="zh-CN" w:bidi="ar-SA"/>
        </w:rPr>
      </w:pPr>
      <w:r>
        <w:rPr>
          <w:rFonts w:hint="eastAsia" w:asciiTheme="minorHAnsi" w:hAnsiTheme="minorHAnsi" w:eastAsiaTheme="minorEastAsia" w:cstheme="minorBidi"/>
          <w:b/>
          <w:kern w:val="2"/>
          <w:sz w:val="36"/>
          <w:szCs w:val="36"/>
          <w:lang w:val="en-GB" w:eastAsia="zh-CN" w:bidi="ar-SA"/>
        </w:rPr>
        <w:t>中小企业声明函（工程）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工程的施工单位全部为</w:t>
      </w:r>
      <w:r>
        <w:rPr>
          <w:rFonts w:ascii="宋体" w:hAnsi="宋体" w:eastAsia="宋体" w:cs="宋体"/>
          <w:sz w:val="24"/>
          <w:szCs w:val="24"/>
        </w:rPr>
        <w:t>符合政策要求的中小企业。相关企业 （含联合体中的中小企业、签订分包意向协议的中小企业）的具体情况如下：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承建企业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承建企业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ascii="宋体" w:hAnsi="宋体" w:eastAsia="宋体" w:cs="宋体"/>
          <w:sz w:val="24"/>
          <w:szCs w:val="24"/>
        </w:rPr>
      </w:pPr>
      <w:r>
        <w:rPr>
          <w:rFonts w:ascii="宋体" w:hAnsi="宋体" w:eastAsia="宋体" w:cs="宋体"/>
          <w:sz w:val="24"/>
          <w:szCs w:val="24"/>
        </w:rPr>
        <w:t xml:space="preserve">日 期： </w:t>
      </w:r>
    </w:p>
    <w:p>
      <w:pPr>
        <w:pStyle w:val="59"/>
        <w:bidi w:val="0"/>
        <w:spacing w:line="360" w:lineRule="auto"/>
        <w:jc w:val="center"/>
        <w:rPr>
          <w:rStyle w:val="20"/>
          <w:rFonts w:ascii="宋体" w:hAnsi="宋体"/>
          <w:b/>
          <w:spacing w:val="6"/>
          <w:sz w:val="28"/>
          <w:szCs w:val="28"/>
          <w:lang w:val="en-US" w:eastAsia="zh-CN" w:bidi="ar-SA"/>
        </w:rPr>
      </w:pPr>
    </w:p>
    <w:p>
      <w:pPr>
        <w:rPr>
          <w:sz w:val="24"/>
          <w:szCs w:val="24"/>
        </w:rPr>
      </w:pPr>
    </w:p>
    <w:sectPr>
      <w:headerReference r:id="rId5" w:type="default"/>
      <w:footerReference r:id="rId6"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26</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149</w:t>
    </w:r>
    <w:r>
      <w:rPr>
        <w:rFonts w:ascii="宋体" w:hAnsi="宋体"/>
      </w:rPr>
      <w:fldChar w:fldCharType="end"/>
    </w:r>
    <w:r>
      <w:rPr>
        <w:rStyle w:val="2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146</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147</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754E081E"/>
    <w:multiLevelType w:val="singleLevel"/>
    <w:tmpl w:val="754E081E"/>
    <w:lvl w:ilvl="0" w:tentative="0">
      <w:start w:val="4"/>
      <w:numFmt w:val="chineseCounting"/>
      <w:suff w:val="space"/>
      <w:lvlText w:val="第%1章"/>
      <w:lvlJc w:val="left"/>
      <w:rPr>
        <w:rFonts w:hint="eastAsia"/>
      </w:rPr>
    </w:lvl>
  </w:abstractNum>
  <w:abstractNum w:abstractNumId="3">
    <w:nsid w:val="7D3E9B19"/>
    <w:multiLevelType w:val="singleLevel"/>
    <w:tmpl w:val="7D3E9B19"/>
    <w:lvl w:ilvl="0" w:tentative="0">
      <w:start w:val="1"/>
      <w:numFmt w:val="decimal"/>
      <w:lvlText w:val="%1."/>
      <w:lvlJc w:val="left"/>
      <w:pPr>
        <w:tabs>
          <w:tab w:val="left" w:pos="312"/>
        </w:tabs>
      </w:pPr>
    </w:lvl>
  </w:abstractNum>
  <w:abstractNum w:abstractNumId="4">
    <w:nsid w:val="7EF84DA5"/>
    <w:multiLevelType w:val="singleLevel"/>
    <w:tmpl w:val="7EF84DA5"/>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14E41"/>
    <w:rsid w:val="00455D45"/>
    <w:rsid w:val="00550979"/>
    <w:rsid w:val="00555BBC"/>
    <w:rsid w:val="00571929"/>
    <w:rsid w:val="00594745"/>
    <w:rsid w:val="005A391A"/>
    <w:rsid w:val="005D46BB"/>
    <w:rsid w:val="006647F4"/>
    <w:rsid w:val="006B4D4C"/>
    <w:rsid w:val="008D51EB"/>
    <w:rsid w:val="008E1F31"/>
    <w:rsid w:val="009D32F8"/>
    <w:rsid w:val="00B041D4"/>
    <w:rsid w:val="00B84097"/>
    <w:rsid w:val="00BB3CB5"/>
    <w:rsid w:val="00C23CC1"/>
    <w:rsid w:val="00CA7989"/>
    <w:rsid w:val="00CB28E5"/>
    <w:rsid w:val="01192590"/>
    <w:rsid w:val="01334D5E"/>
    <w:rsid w:val="01411CE7"/>
    <w:rsid w:val="01806959"/>
    <w:rsid w:val="019C57FC"/>
    <w:rsid w:val="01BD2F7F"/>
    <w:rsid w:val="02143AF7"/>
    <w:rsid w:val="0217083A"/>
    <w:rsid w:val="021F7E78"/>
    <w:rsid w:val="0229591C"/>
    <w:rsid w:val="02671624"/>
    <w:rsid w:val="02F23A59"/>
    <w:rsid w:val="03002EEE"/>
    <w:rsid w:val="03624FF5"/>
    <w:rsid w:val="0365658F"/>
    <w:rsid w:val="038637B1"/>
    <w:rsid w:val="03BD3E2F"/>
    <w:rsid w:val="03D371E0"/>
    <w:rsid w:val="040329C7"/>
    <w:rsid w:val="04041C4A"/>
    <w:rsid w:val="04330E82"/>
    <w:rsid w:val="0463747B"/>
    <w:rsid w:val="0475480D"/>
    <w:rsid w:val="04B869B3"/>
    <w:rsid w:val="04BA3D68"/>
    <w:rsid w:val="04BA449F"/>
    <w:rsid w:val="04D966C2"/>
    <w:rsid w:val="04FD1496"/>
    <w:rsid w:val="04FE5BAC"/>
    <w:rsid w:val="05205C9B"/>
    <w:rsid w:val="0523670E"/>
    <w:rsid w:val="05236951"/>
    <w:rsid w:val="0531268A"/>
    <w:rsid w:val="055408A7"/>
    <w:rsid w:val="05570F6A"/>
    <w:rsid w:val="0589599E"/>
    <w:rsid w:val="05BC33F7"/>
    <w:rsid w:val="05C11B24"/>
    <w:rsid w:val="05E01E40"/>
    <w:rsid w:val="05E64A01"/>
    <w:rsid w:val="06172C51"/>
    <w:rsid w:val="0628286D"/>
    <w:rsid w:val="06B25BB9"/>
    <w:rsid w:val="06CB15AC"/>
    <w:rsid w:val="07004C21"/>
    <w:rsid w:val="073C699B"/>
    <w:rsid w:val="07551CD6"/>
    <w:rsid w:val="07695DF6"/>
    <w:rsid w:val="076A03CF"/>
    <w:rsid w:val="07884356"/>
    <w:rsid w:val="07DD692D"/>
    <w:rsid w:val="080F124A"/>
    <w:rsid w:val="081056E5"/>
    <w:rsid w:val="08174DA3"/>
    <w:rsid w:val="0833692F"/>
    <w:rsid w:val="083B5A9E"/>
    <w:rsid w:val="08473E2B"/>
    <w:rsid w:val="088D03C0"/>
    <w:rsid w:val="089022B5"/>
    <w:rsid w:val="08C8505B"/>
    <w:rsid w:val="08D8270B"/>
    <w:rsid w:val="08F135D3"/>
    <w:rsid w:val="091646FC"/>
    <w:rsid w:val="092851DC"/>
    <w:rsid w:val="09296DD6"/>
    <w:rsid w:val="095774AF"/>
    <w:rsid w:val="096F48E0"/>
    <w:rsid w:val="09FA45A5"/>
    <w:rsid w:val="0A596197"/>
    <w:rsid w:val="0A6F7E93"/>
    <w:rsid w:val="0A8D7F72"/>
    <w:rsid w:val="0A91224E"/>
    <w:rsid w:val="0AB009CA"/>
    <w:rsid w:val="0AB30FC8"/>
    <w:rsid w:val="0ACF3C7E"/>
    <w:rsid w:val="0AF112EE"/>
    <w:rsid w:val="0B264B32"/>
    <w:rsid w:val="0B64629F"/>
    <w:rsid w:val="0B6C53E4"/>
    <w:rsid w:val="0B8D60B9"/>
    <w:rsid w:val="0C087F0A"/>
    <w:rsid w:val="0C120E85"/>
    <w:rsid w:val="0C2F4391"/>
    <w:rsid w:val="0C6A0372"/>
    <w:rsid w:val="0CBC2271"/>
    <w:rsid w:val="0CDE7FEF"/>
    <w:rsid w:val="0D955C11"/>
    <w:rsid w:val="0DAF518D"/>
    <w:rsid w:val="0DCC5022"/>
    <w:rsid w:val="0DE945E1"/>
    <w:rsid w:val="0DEA209B"/>
    <w:rsid w:val="0DED25F3"/>
    <w:rsid w:val="0DED4EA1"/>
    <w:rsid w:val="0DF156AE"/>
    <w:rsid w:val="0E361B57"/>
    <w:rsid w:val="0E371ACC"/>
    <w:rsid w:val="0E3D0B56"/>
    <w:rsid w:val="0E556948"/>
    <w:rsid w:val="0EF95EBB"/>
    <w:rsid w:val="0EFE081B"/>
    <w:rsid w:val="0F10616D"/>
    <w:rsid w:val="0F8B7081"/>
    <w:rsid w:val="0FA314D6"/>
    <w:rsid w:val="0FEA1916"/>
    <w:rsid w:val="103F2F35"/>
    <w:rsid w:val="10A0520D"/>
    <w:rsid w:val="10B93555"/>
    <w:rsid w:val="10B96456"/>
    <w:rsid w:val="10E40262"/>
    <w:rsid w:val="1152610D"/>
    <w:rsid w:val="115436CB"/>
    <w:rsid w:val="117E32DF"/>
    <w:rsid w:val="1187378F"/>
    <w:rsid w:val="11A1609B"/>
    <w:rsid w:val="11D37432"/>
    <w:rsid w:val="11F815A2"/>
    <w:rsid w:val="12081D5A"/>
    <w:rsid w:val="122B6335"/>
    <w:rsid w:val="12430D6C"/>
    <w:rsid w:val="12484DAE"/>
    <w:rsid w:val="12CB486C"/>
    <w:rsid w:val="12DB5F19"/>
    <w:rsid w:val="12EC3846"/>
    <w:rsid w:val="13147C1C"/>
    <w:rsid w:val="13340A7D"/>
    <w:rsid w:val="133E1A2C"/>
    <w:rsid w:val="13443453"/>
    <w:rsid w:val="135D64C0"/>
    <w:rsid w:val="135F52B6"/>
    <w:rsid w:val="13846C5E"/>
    <w:rsid w:val="139A59B5"/>
    <w:rsid w:val="13A263E4"/>
    <w:rsid w:val="13B817E6"/>
    <w:rsid w:val="13BE7254"/>
    <w:rsid w:val="13DC4024"/>
    <w:rsid w:val="14002E3F"/>
    <w:rsid w:val="14056409"/>
    <w:rsid w:val="14307DED"/>
    <w:rsid w:val="145A17EF"/>
    <w:rsid w:val="145A4FEE"/>
    <w:rsid w:val="146158E9"/>
    <w:rsid w:val="14BD437A"/>
    <w:rsid w:val="14C01A61"/>
    <w:rsid w:val="15224112"/>
    <w:rsid w:val="15571BEB"/>
    <w:rsid w:val="155B2A94"/>
    <w:rsid w:val="155F28E5"/>
    <w:rsid w:val="158E3981"/>
    <w:rsid w:val="15D10DF5"/>
    <w:rsid w:val="15EC0CDE"/>
    <w:rsid w:val="162007D9"/>
    <w:rsid w:val="162C7F14"/>
    <w:rsid w:val="164A0198"/>
    <w:rsid w:val="16527E99"/>
    <w:rsid w:val="1684083F"/>
    <w:rsid w:val="1699716E"/>
    <w:rsid w:val="16AF1696"/>
    <w:rsid w:val="16DE71A0"/>
    <w:rsid w:val="17117B78"/>
    <w:rsid w:val="17577FF7"/>
    <w:rsid w:val="176424CC"/>
    <w:rsid w:val="17650758"/>
    <w:rsid w:val="17AD1B15"/>
    <w:rsid w:val="17C2640A"/>
    <w:rsid w:val="17E020C3"/>
    <w:rsid w:val="184F51C0"/>
    <w:rsid w:val="185C2F39"/>
    <w:rsid w:val="18703207"/>
    <w:rsid w:val="187938F8"/>
    <w:rsid w:val="18AE25F9"/>
    <w:rsid w:val="18B3200E"/>
    <w:rsid w:val="18B6501C"/>
    <w:rsid w:val="18BC283F"/>
    <w:rsid w:val="18C242FC"/>
    <w:rsid w:val="18E44DF1"/>
    <w:rsid w:val="192A2885"/>
    <w:rsid w:val="194E59E2"/>
    <w:rsid w:val="19DA5974"/>
    <w:rsid w:val="19FC5397"/>
    <w:rsid w:val="1A2310E1"/>
    <w:rsid w:val="1A2D4F98"/>
    <w:rsid w:val="1A7C68EE"/>
    <w:rsid w:val="1A906FEF"/>
    <w:rsid w:val="1AC03009"/>
    <w:rsid w:val="1AC21CE6"/>
    <w:rsid w:val="1ADD4223"/>
    <w:rsid w:val="1AE7028A"/>
    <w:rsid w:val="1B00689F"/>
    <w:rsid w:val="1B0C348E"/>
    <w:rsid w:val="1B0E4A8F"/>
    <w:rsid w:val="1B342D58"/>
    <w:rsid w:val="1B4054A0"/>
    <w:rsid w:val="1B526BAB"/>
    <w:rsid w:val="1B9D6605"/>
    <w:rsid w:val="1BA6335B"/>
    <w:rsid w:val="1BC04CE4"/>
    <w:rsid w:val="1BFB3FAF"/>
    <w:rsid w:val="1C447E47"/>
    <w:rsid w:val="1C767556"/>
    <w:rsid w:val="1C992DEB"/>
    <w:rsid w:val="1C9D20D0"/>
    <w:rsid w:val="1CB86762"/>
    <w:rsid w:val="1CB95ED3"/>
    <w:rsid w:val="1CC06BCD"/>
    <w:rsid w:val="1CF81A8D"/>
    <w:rsid w:val="1D300DCC"/>
    <w:rsid w:val="1D306F1F"/>
    <w:rsid w:val="1D905054"/>
    <w:rsid w:val="1DA70A35"/>
    <w:rsid w:val="1DE4306D"/>
    <w:rsid w:val="1E5E537E"/>
    <w:rsid w:val="1E63264A"/>
    <w:rsid w:val="1F0E26F5"/>
    <w:rsid w:val="1F1B28A6"/>
    <w:rsid w:val="1F771C30"/>
    <w:rsid w:val="1F796F23"/>
    <w:rsid w:val="1FA17D5F"/>
    <w:rsid w:val="1FAA5D46"/>
    <w:rsid w:val="1FBD49C5"/>
    <w:rsid w:val="1FD73ABB"/>
    <w:rsid w:val="1FDA170B"/>
    <w:rsid w:val="20093B36"/>
    <w:rsid w:val="20513905"/>
    <w:rsid w:val="2058565C"/>
    <w:rsid w:val="207E75D3"/>
    <w:rsid w:val="20AF2D06"/>
    <w:rsid w:val="2116041D"/>
    <w:rsid w:val="215A7E04"/>
    <w:rsid w:val="21762C67"/>
    <w:rsid w:val="2178607F"/>
    <w:rsid w:val="21943F92"/>
    <w:rsid w:val="219A2532"/>
    <w:rsid w:val="21AD2F48"/>
    <w:rsid w:val="21DB2014"/>
    <w:rsid w:val="21DC6F44"/>
    <w:rsid w:val="220B53FB"/>
    <w:rsid w:val="22122970"/>
    <w:rsid w:val="222E2A03"/>
    <w:rsid w:val="222E6C8C"/>
    <w:rsid w:val="22360202"/>
    <w:rsid w:val="22513AED"/>
    <w:rsid w:val="225B0F0C"/>
    <w:rsid w:val="22956F85"/>
    <w:rsid w:val="229C2DD2"/>
    <w:rsid w:val="233C173D"/>
    <w:rsid w:val="23403C05"/>
    <w:rsid w:val="23A823F3"/>
    <w:rsid w:val="23CE79B7"/>
    <w:rsid w:val="23E3273C"/>
    <w:rsid w:val="24094EC3"/>
    <w:rsid w:val="24114B3B"/>
    <w:rsid w:val="24232E66"/>
    <w:rsid w:val="2426503E"/>
    <w:rsid w:val="242D1EC0"/>
    <w:rsid w:val="2458685D"/>
    <w:rsid w:val="24594C02"/>
    <w:rsid w:val="247033B4"/>
    <w:rsid w:val="24C313B9"/>
    <w:rsid w:val="24DC2B4D"/>
    <w:rsid w:val="24E35B21"/>
    <w:rsid w:val="24F4782E"/>
    <w:rsid w:val="250D1FE1"/>
    <w:rsid w:val="25437DDA"/>
    <w:rsid w:val="256D7EB4"/>
    <w:rsid w:val="25723566"/>
    <w:rsid w:val="25B657A5"/>
    <w:rsid w:val="260661B4"/>
    <w:rsid w:val="260F5D46"/>
    <w:rsid w:val="26283A4A"/>
    <w:rsid w:val="264B0618"/>
    <w:rsid w:val="264F5F3F"/>
    <w:rsid w:val="26515B56"/>
    <w:rsid w:val="26663C9B"/>
    <w:rsid w:val="266C72FD"/>
    <w:rsid w:val="26746B7D"/>
    <w:rsid w:val="26AC1C0B"/>
    <w:rsid w:val="26D83C52"/>
    <w:rsid w:val="26E655C0"/>
    <w:rsid w:val="27485743"/>
    <w:rsid w:val="2758137F"/>
    <w:rsid w:val="275B6B17"/>
    <w:rsid w:val="276208FE"/>
    <w:rsid w:val="277503EA"/>
    <w:rsid w:val="277725DB"/>
    <w:rsid w:val="27955483"/>
    <w:rsid w:val="27BD4863"/>
    <w:rsid w:val="27CF7DD3"/>
    <w:rsid w:val="280746E2"/>
    <w:rsid w:val="280F12BD"/>
    <w:rsid w:val="281828B6"/>
    <w:rsid w:val="28305888"/>
    <w:rsid w:val="287D7FC9"/>
    <w:rsid w:val="2895499C"/>
    <w:rsid w:val="28AA256F"/>
    <w:rsid w:val="28AC7AF3"/>
    <w:rsid w:val="28F4398C"/>
    <w:rsid w:val="29465FDD"/>
    <w:rsid w:val="294A26C8"/>
    <w:rsid w:val="294B145D"/>
    <w:rsid w:val="297B4A42"/>
    <w:rsid w:val="298B44AC"/>
    <w:rsid w:val="298E0F81"/>
    <w:rsid w:val="29A71176"/>
    <w:rsid w:val="29A74B28"/>
    <w:rsid w:val="29D83EB3"/>
    <w:rsid w:val="29FD0CED"/>
    <w:rsid w:val="2A094353"/>
    <w:rsid w:val="2A191EF2"/>
    <w:rsid w:val="2A243EE4"/>
    <w:rsid w:val="2A4002D3"/>
    <w:rsid w:val="2A434028"/>
    <w:rsid w:val="2A47057A"/>
    <w:rsid w:val="2A4958AD"/>
    <w:rsid w:val="2A537E6B"/>
    <w:rsid w:val="2A707733"/>
    <w:rsid w:val="2A776394"/>
    <w:rsid w:val="2A95071D"/>
    <w:rsid w:val="2AF76118"/>
    <w:rsid w:val="2B1808E6"/>
    <w:rsid w:val="2B900AB0"/>
    <w:rsid w:val="2BAA4DD8"/>
    <w:rsid w:val="2BB83264"/>
    <w:rsid w:val="2BBB6FA1"/>
    <w:rsid w:val="2BF75B7B"/>
    <w:rsid w:val="2C0861E3"/>
    <w:rsid w:val="2C7A6AE7"/>
    <w:rsid w:val="2C7B0755"/>
    <w:rsid w:val="2D0C6B7D"/>
    <w:rsid w:val="2D146743"/>
    <w:rsid w:val="2D1815C6"/>
    <w:rsid w:val="2D7D387E"/>
    <w:rsid w:val="2D96740D"/>
    <w:rsid w:val="2DB6531A"/>
    <w:rsid w:val="2DE07F23"/>
    <w:rsid w:val="2E3A5706"/>
    <w:rsid w:val="2E4717EF"/>
    <w:rsid w:val="2E4C61D6"/>
    <w:rsid w:val="2E531910"/>
    <w:rsid w:val="2E55765B"/>
    <w:rsid w:val="2E8440F2"/>
    <w:rsid w:val="2EA735DB"/>
    <w:rsid w:val="2EAB220F"/>
    <w:rsid w:val="2EB05244"/>
    <w:rsid w:val="2EB579CF"/>
    <w:rsid w:val="2F0113AB"/>
    <w:rsid w:val="2F3412E9"/>
    <w:rsid w:val="2F3D43E5"/>
    <w:rsid w:val="2F3F5029"/>
    <w:rsid w:val="2F7B37FD"/>
    <w:rsid w:val="2F805EC4"/>
    <w:rsid w:val="2FA725C0"/>
    <w:rsid w:val="2FBC76FF"/>
    <w:rsid w:val="2FBE4DDC"/>
    <w:rsid w:val="2FD06F13"/>
    <w:rsid w:val="300360D6"/>
    <w:rsid w:val="306208DC"/>
    <w:rsid w:val="30750601"/>
    <w:rsid w:val="309F13C1"/>
    <w:rsid w:val="30E30F12"/>
    <w:rsid w:val="30FB3C5E"/>
    <w:rsid w:val="31287263"/>
    <w:rsid w:val="314074DB"/>
    <w:rsid w:val="31460AD4"/>
    <w:rsid w:val="31CE41A8"/>
    <w:rsid w:val="31D62C1E"/>
    <w:rsid w:val="322E3401"/>
    <w:rsid w:val="32545700"/>
    <w:rsid w:val="325F2103"/>
    <w:rsid w:val="3264764B"/>
    <w:rsid w:val="326D56BD"/>
    <w:rsid w:val="32837C80"/>
    <w:rsid w:val="32A24162"/>
    <w:rsid w:val="32C15CB6"/>
    <w:rsid w:val="32D37C67"/>
    <w:rsid w:val="32E5520C"/>
    <w:rsid w:val="32EB2BEA"/>
    <w:rsid w:val="332248BE"/>
    <w:rsid w:val="334E5C2A"/>
    <w:rsid w:val="335D33BC"/>
    <w:rsid w:val="33604FAC"/>
    <w:rsid w:val="33615734"/>
    <w:rsid w:val="33DE54AF"/>
    <w:rsid w:val="343A415F"/>
    <w:rsid w:val="346073F8"/>
    <w:rsid w:val="348253BD"/>
    <w:rsid w:val="35344476"/>
    <w:rsid w:val="35404F2F"/>
    <w:rsid w:val="354B772A"/>
    <w:rsid w:val="359B78CD"/>
    <w:rsid w:val="359C10C9"/>
    <w:rsid w:val="35F97176"/>
    <w:rsid w:val="363E613D"/>
    <w:rsid w:val="365F13FF"/>
    <w:rsid w:val="366B78E2"/>
    <w:rsid w:val="368A28F0"/>
    <w:rsid w:val="369568C2"/>
    <w:rsid w:val="369A7308"/>
    <w:rsid w:val="369E4F78"/>
    <w:rsid w:val="36AC7E19"/>
    <w:rsid w:val="36B446B9"/>
    <w:rsid w:val="36F82811"/>
    <w:rsid w:val="372B346E"/>
    <w:rsid w:val="37C05F2D"/>
    <w:rsid w:val="37FE06F7"/>
    <w:rsid w:val="381352E2"/>
    <w:rsid w:val="38733763"/>
    <w:rsid w:val="38746667"/>
    <w:rsid w:val="388F0BF5"/>
    <w:rsid w:val="38AD60DA"/>
    <w:rsid w:val="38E93F07"/>
    <w:rsid w:val="391777FD"/>
    <w:rsid w:val="39182175"/>
    <w:rsid w:val="39201F63"/>
    <w:rsid w:val="39397FAB"/>
    <w:rsid w:val="3952194F"/>
    <w:rsid w:val="39741BD1"/>
    <w:rsid w:val="39B66C32"/>
    <w:rsid w:val="39BF3B27"/>
    <w:rsid w:val="39D449AB"/>
    <w:rsid w:val="39F6652F"/>
    <w:rsid w:val="3A1B3EF1"/>
    <w:rsid w:val="3A246E76"/>
    <w:rsid w:val="3A3F4E9A"/>
    <w:rsid w:val="3A631196"/>
    <w:rsid w:val="3AF84CD2"/>
    <w:rsid w:val="3B0378C9"/>
    <w:rsid w:val="3B1F430F"/>
    <w:rsid w:val="3B421967"/>
    <w:rsid w:val="3B69783B"/>
    <w:rsid w:val="3B6E2994"/>
    <w:rsid w:val="3B8724CF"/>
    <w:rsid w:val="3B8A6825"/>
    <w:rsid w:val="3BAC7850"/>
    <w:rsid w:val="3BC11B5C"/>
    <w:rsid w:val="3BC5785F"/>
    <w:rsid w:val="3BEF3317"/>
    <w:rsid w:val="3C032957"/>
    <w:rsid w:val="3C166DFC"/>
    <w:rsid w:val="3C6B516F"/>
    <w:rsid w:val="3C6E7710"/>
    <w:rsid w:val="3C702BF3"/>
    <w:rsid w:val="3CB042DA"/>
    <w:rsid w:val="3CE53A29"/>
    <w:rsid w:val="3CE704F5"/>
    <w:rsid w:val="3CEB5A17"/>
    <w:rsid w:val="3CEE6C62"/>
    <w:rsid w:val="3CFF1A96"/>
    <w:rsid w:val="3D6222B3"/>
    <w:rsid w:val="3E0B2B5C"/>
    <w:rsid w:val="3E807BFA"/>
    <w:rsid w:val="3E9213AA"/>
    <w:rsid w:val="3EEA712C"/>
    <w:rsid w:val="3F1D5641"/>
    <w:rsid w:val="3F3538B1"/>
    <w:rsid w:val="3F366D96"/>
    <w:rsid w:val="3FC772FD"/>
    <w:rsid w:val="3FDA57A4"/>
    <w:rsid w:val="4003763F"/>
    <w:rsid w:val="401A1866"/>
    <w:rsid w:val="403C4DFA"/>
    <w:rsid w:val="403F58B9"/>
    <w:rsid w:val="404E6C14"/>
    <w:rsid w:val="406635FE"/>
    <w:rsid w:val="40B94A95"/>
    <w:rsid w:val="41061E23"/>
    <w:rsid w:val="415E1C0E"/>
    <w:rsid w:val="41677091"/>
    <w:rsid w:val="41771078"/>
    <w:rsid w:val="41787C0D"/>
    <w:rsid w:val="41832586"/>
    <w:rsid w:val="41E825F3"/>
    <w:rsid w:val="42001831"/>
    <w:rsid w:val="423F40DF"/>
    <w:rsid w:val="426C69D1"/>
    <w:rsid w:val="429C4FA0"/>
    <w:rsid w:val="42CE5F42"/>
    <w:rsid w:val="42D24B19"/>
    <w:rsid w:val="42F8202E"/>
    <w:rsid w:val="430507D5"/>
    <w:rsid w:val="430B58CB"/>
    <w:rsid w:val="43334C97"/>
    <w:rsid w:val="433D0BB2"/>
    <w:rsid w:val="435E7E72"/>
    <w:rsid w:val="4389528F"/>
    <w:rsid w:val="43BC2E28"/>
    <w:rsid w:val="43BC4509"/>
    <w:rsid w:val="43E32D3B"/>
    <w:rsid w:val="44140B7A"/>
    <w:rsid w:val="441B5A82"/>
    <w:rsid w:val="4445535A"/>
    <w:rsid w:val="44487B31"/>
    <w:rsid w:val="445439B4"/>
    <w:rsid w:val="4461613E"/>
    <w:rsid w:val="44704D90"/>
    <w:rsid w:val="44831B86"/>
    <w:rsid w:val="44A64038"/>
    <w:rsid w:val="44DF2284"/>
    <w:rsid w:val="45066E74"/>
    <w:rsid w:val="455807FC"/>
    <w:rsid w:val="457B4D64"/>
    <w:rsid w:val="459A1140"/>
    <w:rsid w:val="459E55AF"/>
    <w:rsid w:val="45D27460"/>
    <w:rsid w:val="461D73C5"/>
    <w:rsid w:val="464043DB"/>
    <w:rsid w:val="46557D2D"/>
    <w:rsid w:val="466F2553"/>
    <w:rsid w:val="467C68B7"/>
    <w:rsid w:val="46A26D0C"/>
    <w:rsid w:val="46CA1C98"/>
    <w:rsid w:val="47037A3F"/>
    <w:rsid w:val="470622D8"/>
    <w:rsid w:val="473A33B4"/>
    <w:rsid w:val="47446FA2"/>
    <w:rsid w:val="4772018F"/>
    <w:rsid w:val="47D7275A"/>
    <w:rsid w:val="47F95E44"/>
    <w:rsid w:val="480318EB"/>
    <w:rsid w:val="48247AC1"/>
    <w:rsid w:val="48267948"/>
    <w:rsid w:val="486F5318"/>
    <w:rsid w:val="48894DAA"/>
    <w:rsid w:val="4896454D"/>
    <w:rsid w:val="493F0D82"/>
    <w:rsid w:val="495170CC"/>
    <w:rsid w:val="49651A4E"/>
    <w:rsid w:val="497B077B"/>
    <w:rsid w:val="497D7D18"/>
    <w:rsid w:val="49D77348"/>
    <w:rsid w:val="49E539C8"/>
    <w:rsid w:val="49F95B2E"/>
    <w:rsid w:val="4AA61683"/>
    <w:rsid w:val="4ABF1AA9"/>
    <w:rsid w:val="4AC5389D"/>
    <w:rsid w:val="4AFD2A72"/>
    <w:rsid w:val="4AFF2989"/>
    <w:rsid w:val="4B1372BE"/>
    <w:rsid w:val="4B3B187F"/>
    <w:rsid w:val="4B7E5C98"/>
    <w:rsid w:val="4B8D4EA8"/>
    <w:rsid w:val="4BCA0EC1"/>
    <w:rsid w:val="4BD07BAB"/>
    <w:rsid w:val="4C1672AD"/>
    <w:rsid w:val="4C5D230C"/>
    <w:rsid w:val="4C7B6025"/>
    <w:rsid w:val="4CA77699"/>
    <w:rsid w:val="4CBC0FF7"/>
    <w:rsid w:val="4CF036F2"/>
    <w:rsid w:val="4CF11D15"/>
    <w:rsid w:val="4D5753DB"/>
    <w:rsid w:val="4D606333"/>
    <w:rsid w:val="4D75171A"/>
    <w:rsid w:val="4D872D12"/>
    <w:rsid w:val="4DC2028E"/>
    <w:rsid w:val="4DC35204"/>
    <w:rsid w:val="4E270F39"/>
    <w:rsid w:val="4E322129"/>
    <w:rsid w:val="4E3767BB"/>
    <w:rsid w:val="4E9E3F14"/>
    <w:rsid w:val="4E9F21EB"/>
    <w:rsid w:val="4EAE04CE"/>
    <w:rsid w:val="4EB00F80"/>
    <w:rsid w:val="4EE73FD0"/>
    <w:rsid w:val="4F435E87"/>
    <w:rsid w:val="4FA963C7"/>
    <w:rsid w:val="4FC06CFD"/>
    <w:rsid w:val="4FC53DB5"/>
    <w:rsid w:val="4FE20CB3"/>
    <w:rsid w:val="50156557"/>
    <w:rsid w:val="503F0EBB"/>
    <w:rsid w:val="505926BC"/>
    <w:rsid w:val="508D08D5"/>
    <w:rsid w:val="50975DDE"/>
    <w:rsid w:val="50C53144"/>
    <w:rsid w:val="50D61287"/>
    <w:rsid w:val="510A758D"/>
    <w:rsid w:val="51630C2B"/>
    <w:rsid w:val="5174259E"/>
    <w:rsid w:val="51787066"/>
    <w:rsid w:val="518A3B41"/>
    <w:rsid w:val="51A55D48"/>
    <w:rsid w:val="51AC1B48"/>
    <w:rsid w:val="52317DF5"/>
    <w:rsid w:val="52373D27"/>
    <w:rsid w:val="52504793"/>
    <w:rsid w:val="5286799E"/>
    <w:rsid w:val="52971E9A"/>
    <w:rsid w:val="52BD461A"/>
    <w:rsid w:val="52E9765D"/>
    <w:rsid w:val="52F947F7"/>
    <w:rsid w:val="530E4C1E"/>
    <w:rsid w:val="530E6964"/>
    <w:rsid w:val="531E0804"/>
    <w:rsid w:val="532B58E2"/>
    <w:rsid w:val="53307641"/>
    <w:rsid w:val="533F2A32"/>
    <w:rsid w:val="53461697"/>
    <w:rsid w:val="535C3D81"/>
    <w:rsid w:val="53600FE6"/>
    <w:rsid w:val="536A2951"/>
    <w:rsid w:val="53875A5C"/>
    <w:rsid w:val="538A38C5"/>
    <w:rsid w:val="538D66FC"/>
    <w:rsid w:val="5396591F"/>
    <w:rsid w:val="53E73709"/>
    <w:rsid w:val="53F4190D"/>
    <w:rsid w:val="53F614E6"/>
    <w:rsid w:val="541D36F2"/>
    <w:rsid w:val="542C68B8"/>
    <w:rsid w:val="54367D0E"/>
    <w:rsid w:val="54726CF8"/>
    <w:rsid w:val="548B64A1"/>
    <w:rsid w:val="54D17B7E"/>
    <w:rsid w:val="54E731CF"/>
    <w:rsid w:val="54EA0008"/>
    <w:rsid w:val="54F46199"/>
    <w:rsid w:val="550546A4"/>
    <w:rsid w:val="555C3D16"/>
    <w:rsid w:val="556172D3"/>
    <w:rsid w:val="557817E2"/>
    <w:rsid w:val="557C7D06"/>
    <w:rsid w:val="557F134B"/>
    <w:rsid w:val="5582408B"/>
    <w:rsid w:val="5610759E"/>
    <w:rsid w:val="561921A5"/>
    <w:rsid w:val="566064F1"/>
    <w:rsid w:val="5663325F"/>
    <w:rsid w:val="5668566C"/>
    <w:rsid w:val="568A5B00"/>
    <w:rsid w:val="56C62630"/>
    <w:rsid w:val="56D048EF"/>
    <w:rsid w:val="56FB4EDD"/>
    <w:rsid w:val="570144D8"/>
    <w:rsid w:val="57B66BD6"/>
    <w:rsid w:val="57CA2BBA"/>
    <w:rsid w:val="57D337B5"/>
    <w:rsid w:val="57D70140"/>
    <w:rsid w:val="57F0186D"/>
    <w:rsid w:val="57FF228C"/>
    <w:rsid w:val="582216D9"/>
    <w:rsid w:val="58664DC1"/>
    <w:rsid w:val="5889322A"/>
    <w:rsid w:val="58975D3E"/>
    <w:rsid w:val="58D7332A"/>
    <w:rsid w:val="58DD55D0"/>
    <w:rsid w:val="58F008B7"/>
    <w:rsid w:val="590B6216"/>
    <w:rsid w:val="59124010"/>
    <w:rsid w:val="596540C7"/>
    <w:rsid w:val="59712575"/>
    <w:rsid w:val="5998563F"/>
    <w:rsid w:val="59D8774D"/>
    <w:rsid w:val="5A075F9A"/>
    <w:rsid w:val="5A0E1D1A"/>
    <w:rsid w:val="5ADB6F99"/>
    <w:rsid w:val="5B1A0D65"/>
    <w:rsid w:val="5B895495"/>
    <w:rsid w:val="5B916B08"/>
    <w:rsid w:val="5B99373E"/>
    <w:rsid w:val="5B993EFE"/>
    <w:rsid w:val="5BA7043B"/>
    <w:rsid w:val="5BAF7F56"/>
    <w:rsid w:val="5BF71DB2"/>
    <w:rsid w:val="5C15448C"/>
    <w:rsid w:val="5C515313"/>
    <w:rsid w:val="5C592A4F"/>
    <w:rsid w:val="5C9275F7"/>
    <w:rsid w:val="5CA4621D"/>
    <w:rsid w:val="5CD26788"/>
    <w:rsid w:val="5CE9363E"/>
    <w:rsid w:val="5CF61530"/>
    <w:rsid w:val="5CFA543A"/>
    <w:rsid w:val="5D2465DA"/>
    <w:rsid w:val="5D32130E"/>
    <w:rsid w:val="5D4258DA"/>
    <w:rsid w:val="5D556055"/>
    <w:rsid w:val="5D564AE2"/>
    <w:rsid w:val="5D715619"/>
    <w:rsid w:val="5D9A5272"/>
    <w:rsid w:val="5DB42FFF"/>
    <w:rsid w:val="5DB70A02"/>
    <w:rsid w:val="5E085933"/>
    <w:rsid w:val="5E170D63"/>
    <w:rsid w:val="5E1B307A"/>
    <w:rsid w:val="5E4431CC"/>
    <w:rsid w:val="5E456CAE"/>
    <w:rsid w:val="5E9B741B"/>
    <w:rsid w:val="5EB06294"/>
    <w:rsid w:val="5EB7712D"/>
    <w:rsid w:val="5EC26B2A"/>
    <w:rsid w:val="5F4C62A0"/>
    <w:rsid w:val="5F5905E1"/>
    <w:rsid w:val="5F7156D2"/>
    <w:rsid w:val="5F783943"/>
    <w:rsid w:val="5F9F4829"/>
    <w:rsid w:val="5FA97144"/>
    <w:rsid w:val="5FC61B11"/>
    <w:rsid w:val="60260FB4"/>
    <w:rsid w:val="60476837"/>
    <w:rsid w:val="60531FA1"/>
    <w:rsid w:val="606950BD"/>
    <w:rsid w:val="60A85EFA"/>
    <w:rsid w:val="60C27580"/>
    <w:rsid w:val="611A0E5A"/>
    <w:rsid w:val="6133523F"/>
    <w:rsid w:val="6158037F"/>
    <w:rsid w:val="61636662"/>
    <w:rsid w:val="617C7984"/>
    <w:rsid w:val="619572D7"/>
    <w:rsid w:val="61BD5AE7"/>
    <w:rsid w:val="61D76818"/>
    <w:rsid w:val="623563FC"/>
    <w:rsid w:val="625E32F5"/>
    <w:rsid w:val="628E466F"/>
    <w:rsid w:val="62CA02DE"/>
    <w:rsid w:val="62F11830"/>
    <w:rsid w:val="62F87997"/>
    <w:rsid w:val="630478D3"/>
    <w:rsid w:val="631702E5"/>
    <w:rsid w:val="636459C6"/>
    <w:rsid w:val="63BC537A"/>
    <w:rsid w:val="63C9669C"/>
    <w:rsid w:val="63CD5082"/>
    <w:rsid w:val="63FA34E2"/>
    <w:rsid w:val="640232FE"/>
    <w:rsid w:val="648942D2"/>
    <w:rsid w:val="64C939C5"/>
    <w:rsid w:val="65293DDA"/>
    <w:rsid w:val="655D42BA"/>
    <w:rsid w:val="659B56DB"/>
    <w:rsid w:val="65D13C9F"/>
    <w:rsid w:val="65D657F9"/>
    <w:rsid w:val="65D724E7"/>
    <w:rsid w:val="660B328F"/>
    <w:rsid w:val="6621727D"/>
    <w:rsid w:val="662526D2"/>
    <w:rsid w:val="663B133E"/>
    <w:rsid w:val="66791378"/>
    <w:rsid w:val="669436B4"/>
    <w:rsid w:val="66C714E9"/>
    <w:rsid w:val="66F92CD1"/>
    <w:rsid w:val="670A3D62"/>
    <w:rsid w:val="670C61E3"/>
    <w:rsid w:val="67201D43"/>
    <w:rsid w:val="67387170"/>
    <w:rsid w:val="676E2437"/>
    <w:rsid w:val="6771531D"/>
    <w:rsid w:val="677D3395"/>
    <w:rsid w:val="679723E8"/>
    <w:rsid w:val="67D364E9"/>
    <w:rsid w:val="67F023E5"/>
    <w:rsid w:val="6804364E"/>
    <w:rsid w:val="68164239"/>
    <w:rsid w:val="68193F36"/>
    <w:rsid w:val="684A5E8C"/>
    <w:rsid w:val="684F1261"/>
    <w:rsid w:val="686205D5"/>
    <w:rsid w:val="688D6DCB"/>
    <w:rsid w:val="6890718F"/>
    <w:rsid w:val="68EB1C1A"/>
    <w:rsid w:val="695965D3"/>
    <w:rsid w:val="696C0A60"/>
    <w:rsid w:val="698B6074"/>
    <w:rsid w:val="69C42A80"/>
    <w:rsid w:val="69CA5BCD"/>
    <w:rsid w:val="6AA962C9"/>
    <w:rsid w:val="6AB37CFA"/>
    <w:rsid w:val="6AB80255"/>
    <w:rsid w:val="6AF50A19"/>
    <w:rsid w:val="6B241736"/>
    <w:rsid w:val="6B2B56A3"/>
    <w:rsid w:val="6B5349D5"/>
    <w:rsid w:val="6B581EE8"/>
    <w:rsid w:val="6B75409B"/>
    <w:rsid w:val="6B757EA3"/>
    <w:rsid w:val="6BE77587"/>
    <w:rsid w:val="6BED008F"/>
    <w:rsid w:val="6C116DC9"/>
    <w:rsid w:val="6C1936F5"/>
    <w:rsid w:val="6C35644C"/>
    <w:rsid w:val="6C6B725C"/>
    <w:rsid w:val="6C6D33A3"/>
    <w:rsid w:val="6C8D111F"/>
    <w:rsid w:val="6C937494"/>
    <w:rsid w:val="6C980BEF"/>
    <w:rsid w:val="6CA12307"/>
    <w:rsid w:val="6CAC6716"/>
    <w:rsid w:val="6CC21CB1"/>
    <w:rsid w:val="6D1762EB"/>
    <w:rsid w:val="6D1A3CD6"/>
    <w:rsid w:val="6D250DC7"/>
    <w:rsid w:val="6D5F5F42"/>
    <w:rsid w:val="6D6F133C"/>
    <w:rsid w:val="6D7815EA"/>
    <w:rsid w:val="6D8B4090"/>
    <w:rsid w:val="6D9A6B0F"/>
    <w:rsid w:val="6DAE7298"/>
    <w:rsid w:val="6DE5378B"/>
    <w:rsid w:val="6E064B16"/>
    <w:rsid w:val="6E1E0015"/>
    <w:rsid w:val="6E4B4A67"/>
    <w:rsid w:val="6E520798"/>
    <w:rsid w:val="6E5A4143"/>
    <w:rsid w:val="6E645867"/>
    <w:rsid w:val="6E9A5852"/>
    <w:rsid w:val="6EB41BE1"/>
    <w:rsid w:val="6EB7650F"/>
    <w:rsid w:val="6EC57EDA"/>
    <w:rsid w:val="6ED65AB6"/>
    <w:rsid w:val="6EE56B39"/>
    <w:rsid w:val="6EE77777"/>
    <w:rsid w:val="6EF815B4"/>
    <w:rsid w:val="6F1A3B83"/>
    <w:rsid w:val="6F224150"/>
    <w:rsid w:val="6F4B1C46"/>
    <w:rsid w:val="6FA84F77"/>
    <w:rsid w:val="6FC0486B"/>
    <w:rsid w:val="6FC95947"/>
    <w:rsid w:val="702F509C"/>
    <w:rsid w:val="70C60C64"/>
    <w:rsid w:val="70CF6453"/>
    <w:rsid w:val="70FA4956"/>
    <w:rsid w:val="712F7884"/>
    <w:rsid w:val="71720C83"/>
    <w:rsid w:val="71AF5D5F"/>
    <w:rsid w:val="721358CB"/>
    <w:rsid w:val="72174781"/>
    <w:rsid w:val="721E4CBE"/>
    <w:rsid w:val="72A17F23"/>
    <w:rsid w:val="734F5300"/>
    <w:rsid w:val="73557504"/>
    <w:rsid w:val="736B0E9C"/>
    <w:rsid w:val="73916393"/>
    <w:rsid w:val="73B37D65"/>
    <w:rsid w:val="73C06F34"/>
    <w:rsid w:val="73C43B88"/>
    <w:rsid w:val="73C82AC7"/>
    <w:rsid w:val="73F70DA4"/>
    <w:rsid w:val="743B1311"/>
    <w:rsid w:val="7446798F"/>
    <w:rsid w:val="745C2865"/>
    <w:rsid w:val="74604A2A"/>
    <w:rsid w:val="749C56C2"/>
    <w:rsid w:val="74E30C1F"/>
    <w:rsid w:val="74E6328B"/>
    <w:rsid w:val="74FF7124"/>
    <w:rsid w:val="750577AD"/>
    <w:rsid w:val="751B720F"/>
    <w:rsid w:val="75345A4F"/>
    <w:rsid w:val="75566FA0"/>
    <w:rsid w:val="75960BB6"/>
    <w:rsid w:val="75DF0E74"/>
    <w:rsid w:val="75E524AA"/>
    <w:rsid w:val="76037BB6"/>
    <w:rsid w:val="766C2C76"/>
    <w:rsid w:val="767A4E92"/>
    <w:rsid w:val="767D0CA5"/>
    <w:rsid w:val="76A507BA"/>
    <w:rsid w:val="76BE63E2"/>
    <w:rsid w:val="76C6463C"/>
    <w:rsid w:val="77133456"/>
    <w:rsid w:val="77184052"/>
    <w:rsid w:val="772D77E1"/>
    <w:rsid w:val="77485367"/>
    <w:rsid w:val="775674CB"/>
    <w:rsid w:val="775E7EA0"/>
    <w:rsid w:val="77746FC1"/>
    <w:rsid w:val="77A83995"/>
    <w:rsid w:val="77BB7155"/>
    <w:rsid w:val="77C26C54"/>
    <w:rsid w:val="78340BFE"/>
    <w:rsid w:val="78377BB8"/>
    <w:rsid w:val="789D1524"/>
    <w:rsid w:val="78AD24B8"/>
    <w:rsid w:val="78C06C06"/>
    <w:rsid w:val="790B52C2"/>
    <w:rsid w:val="79187D85"/>
    <w:rsid w:val="793F59A3"/>
    <w:rsid w:val="797666C3"/>
    <w:rsid w:val="799C6799"/>
    <w:rsid w:val="79A97009"/>
    <w:rsid w:val="79CA0455"/>
    <w:rsid w:val="7A2E0A82"/>
    <w:rsid w:val="7A4F61B8"/>
    <w:rsid w:val="7A69376A"/>
    <w:rsid w:val="7A734933"/>
    <w:rsid w:val="7A737B87"/>
    <w:rsid w:val="7A8F04A9"/>
    <w:rsid w:val="7AA970D1"/>
    <w:rsid w:val="7AB3549C"/>
    <w:rsid w:val="7ADA6048"/>
    <w:rsid w:val="7AE17D1F"/>
    <w:rsid w:val="7B4A25D3"/>
    <w:rsid w:val="7B4C7EA0"/>
    <w:rsid w:val="7B6E3228"/>
    <w:rsid w:val="7BA46454"/>
    <w:rsid w:val="7BA52168"/>
    <w:rsid w:val="7BC3219A"/>
    <w:rsid w:val="7BDC304A"/>
    <w:rsid w:val="7C144144"/>
    <w:rsid w:val="7C322AC6"/>
    <w:rsid w:val="7C4E04D0"/>
    <w:rsid w:val="7C514125"/>
    <w:rsid w:val="7C631A5A"/>
    <w:rsid w:val="7C715A29"/>
    <w:rsid w:val="7C75555E"/>
    <w:rsid w:val="7C762D48"/>
    <w:rsid w:val="7C8A0E9C"/>
    <w:rsid w:val="7CE93A9D"/>
    <w:rsid w:val="7D282A1D"/>
    <w:rsid w:val="7D3E0918"/>
    <w:rsid w:val="7D423A4F"/>
    <w:rsid w:val="7D82009B"/>
    <w:rsid w:val="7D88695A"/>
    <w:rsid w:val="7DB27022"/>
    <w:rsid w:val="7DDE424F"/>
    <w:rsid w:val="7DF32EE7"/>
    <w:rsid w:val="7E031DD5"/>
    <w:rsid w:val="7E517983"/>
    <w:rsid w:val="7E593DB5"/>
    <w:rsid w:val="7E646C69"/>
    <w:rsid w:val="7E8C63BA"/>
    <w:rsid w:val="7E8F5E50"/>
    <w:rsid w:val="7EB133EA"/>
    <w:rsid w:val="7EBF2607"/>
    <w:rsid w:val="7ECA22EE"/>
    <w:rsid w:val="7EDC6108"/>
    <w:rsid w:val="7F005A7D"/>
    <w:rsid w:val="7F0320EC"/>
    <w:rsid w:val="7F3E5653"/>
    <w:rsid w:val="7F9F2AF9"/>
    <w:rsid w:val="7FC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unhideWhenUsed/>
    <w:qFormat/>
    <w:uiPriority w:val="0"/>
    <w:pPr>
      <w:keepNext/>
      <w:keepLines/>
      <w:spacing w:line="360" w:lineRule="auto"/>
      <w:jc w:val="center"/>
      <w:outlineLvl w:val="3"/>
    </w:pPr>
    <w:rPr>
      <w:rFonts w:ascii="Arial" w:hAnsi="Arial"/>
      <w:b/>
      <w:sz w:val="28"/>
    </w:rPr>
  </w:style>
  <w:style w:type="character" w:default="1" w:styleId="20">
    <w:name w:val="Default Paragraph Font"/>
    <w:link w:val="21"/>
    <w:unhideWhenUsed/>
    <w:qFormat/>
    <w:uiPriority w:val="1"/>
    <w:rPr>
      <w:rFonts w:ascii="Times New Roman" w:hAnsi="Times New Roman"/>
      <w:szCs w:val="24"/>
    </w:rPr>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Char Char Char Char Char Char"/>
    <w:basedOn w:val="1"/>
    <w:link w:val="20"/>
    <w:qFormat/>
    <w:uiPriority w:val="0"/>
    <w:rPr>
      <w:rFonts w:ascii="Times New Roman" w:hAnsi="Times New Roman"/>
      <w:szCs w:val="24"/>
    </w:rPr>
  </w:style>
  <w:style w:type="character" w:styleId="22">
    <w:name w:val="Strong"/>
    <w:basedOn w:val="20"/>
    <w:qFormat/>
    <w:uiPriority w:val="22"/>
    <w:rPr>
      <w:b/>
      <w:bCs/>
    </w:rPr>
  </w:style>
  <w:style w:type="character" w:styleId="23">
    <w:name w:val="page number"/>
    <w:basedOn w:val="20"/>
    <w:qFormat/>
    <w:uiPriority w:val="0"/>
  </w:style>
  <w:style w:type="character" w:styleId="24">
    <w:name w:val="FollowedHyperlink"/>
    <w:basedOn w:val="20"/>
    <w:qFormat/>
    <w:uiPriority w:val="0"/>
    <w:rPr>
      <w:color w:val="333333"/>
      <w:u w:val="none"/>
    </w:rPr>
  </w:style>
  <w:style w:type="character" w:styleId="25">
    <w:name w:val="Hyperlink"/>
    <w:basedOn w:val="20"/>
    <w:qFormat/>
    <w:uiPriority w:val="0"/>
    <w:rPr>
      <w:color w:val="0000FF"/>
      <w:u w:val="single"/>
    </w:rPr>
  </w:style>
  <w:style w:type="character" w:styleId="26">
    <w:name w:val="annotation reference"/>
    <w:basedOn w:val="20"/>
    <w:qFormat/>
    <w:uiPriority w:val="0"/>
    <w:rPr>
      <w:sz w:val="21"/>
      <w:szCs w:val="21"/>
    </w:rPr>
  </w:style>
  <w:style w:type="paragraph" w:customStyle="1" w:styleId="27">
    <w:name w:val="首行缩进"/>
    <w:basedOn w:val="1"/>
    <w:qFormat/>
    <w:uiPriority w:val="0"/>
    <w:pPr>
      <w:ind w:firstLine="480" w:firstLineChars="200"/>
    </w:pPr>
    <w:rPr>
      <w:lang w:val="zh-CN"/>
    </w:rPr>
  </w:style>
  <w:style w:type="paragraph" w:customStyle="1" w:styleId="2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9">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30">
    <w:name w:val="Char Char Char Char Char Char Char"/>
    <w:basedOn w:val="1"/>
    <w:qFormat/>
    <w:uiPriority w:val="0"/>
    <w:rPr>
      <w:rFonts w:ascii="Times New Roman" w:hAnsi="Times New Roman"/>
      <w:szCs w:val="24"/>
    </w:rPr>
  </w:style>
  <w:style w:type="paragraph" w:customStyle="1" w:styleId="3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2">
    <w:name w:val="样式3"/>
    <w:basedOn w:val="10"/>
    <w:qFormat/>
    <w:uiPriority w:val="0"/>
    <w:pPr>
      <w:spacing w:line="0" w:lineRule="atLeast"/>
      <w:outlineLvl w:val="0"/>
    </w:pPr>
    <w:rPr>
      <w:sz w:val="28"/>
    </w:rPr>
  </w:style>
  <w:style w:type="paragraph" w:customStyle="1" w:styleId="33">
    <w:name w:val="p0"/>
    <w:basedOn w:val="1"/>
    <w:qFormat/>
    <w:uiPriority w:val="0"/>
    <w:pPr>
      <w:widowControl/>
    </w:pPr>
    <w:rPr>
      <w:kern w:val="0"/>
      <w:szCs w:val="21"/>
    </w:rPr>
  </w:style>
  <w:style w:type="paragraph" w:customStyle="1" w:styleId="34">
    <w:name w:val="List Paragraph"/>
    <w:basedOn w:val="1"/>
    <w:qFormat/>
    <w:uiPriority w:val="99"/>
    <w:pPr>
      <w:ind w:firstLine="420" w:firstLineChars="200"/>
    </w:pPr>
  </w:style>
  <w:style w:type="character" w:customStyle="1" w:styleId="35">
    <w:name w:val="font141"/>
    <w:basedOn w:val="20"/>
    <w:qFormat/>
    <w:uiPriority w:val="0"/>
    <w:rPr>
      <w:rFonts w:hint="default" w:ascii="Calibri" w:hAnsi="Calibri" w:cs="Calibri"/>
      <w:color w:val="000000"/>
      <w:sz w:val="22"/>
      <w:szCs w:val="22"/>
      <w:u w:val="none"/>
    </w:rPr>
  </w:style>
  <w:style w:type="character" w:customStyle="1" w:styleId="36">
    <w:name w:val="font131"/>
    <w:basedOn w:val="20"/>
    <w:qFormat/>
    <w:uiPriority w:val="0"/>
    <w:rPr>
      <w:rFonts w:hint="eastAsia" w:ascii="宋体" w:hAnsi="宋体" w:eastAsia="宋体" w:cs="宋体"/>
      <w:color w:val="000000"/>
      <w:sz w:val="22"/>
      <w:szCs w:val="22"/>
      <w:u w:val="none"/>
    </w:rPr>
  </w:style>
  <w:style w:type="character" w:customStyle="1" w:styleId="37">
    <w:name w:val="font112"/>
    <w:basedOn w:val="20"/>
    <w:qFormat/>
    <w:uiPriority w:val="0"/>
    <w:rPr>
      <w:rFonts w:hint="default" w:ascii="Calibri" w:hAnsi="Calibri" w:cs="Calibri"/>
      <w:color w:val="FF0000"/>
      <w:sz w:val="22"/>
      <w:szCs w:val="22"/>
      <w:u w:val="none"/>
    </w:rPr>
  </w:style>
  <w:style w:type="character" w:customStyle="1" w:styleId="38">
    <w:name w:val="font81"/>
    <w:basedOn w:val="20"/>
    <w:qFormat/>
    <w:uiPriority w:val="0"/>
    <w:rPr>
      <w:rFonts w:hint="default" w:ascii="Calibri" w:hAnsi="Calibri" w:cs="Calibri"/>
      <w:color w:val="000000"/>
      <w:sz w:val="22"/>
      <w:szCs w:val="22"/>
      <w:u w:val="none"/>
    </w:rPr>
  </w:style>
  <w:style w:type="character" w:customStyle="1" w:styleId="39">
    <w:name w:val="font11"/>
    <w:basedOn w:val="20"/>
    <w:qFormat/>
    <w:uiPriority w:val="0"/>
    <w:rPr>
      <w:rFonts w:hint="eastAsia" w:ascii="宋体" w:hAnsi="宋体" w:eastAsia="宋体" w:cs="宋体"/>
      <w:color w:val="000000"/>
      <w:sz w:val="22"/>
      <w:szCs w:val="22"/>
      <w:u w:val="none"/>
    </w:rPr>
  </w:style>
  <w:style w:type="character" w:customStyle="1" w:styleId="40">
    <w:name w:val="font91"/>
    <w:basedOn w:val="20"/>
    <w:qFormat/>
    <w:uiPriority w:val="0"/>
    <w:rPr>
      <w:rFonts w:hint="eastAsia" w:ascii="宋体" w:hAnsi="宋体" w:eastAsia="宋体" w:cs="宋体"/>
      <w:color w:val="000000"/>
      <w:sz w:val="21"/>
      <w:szCs w:val="21"/>
      <w:u w:val="none"/>
    </w:rPr>
  </w:style>
  <w:style w:type="character" w:customStyle="1" w:styleId="41">
    <w:name w:val="font61"/>
    <w:basedOn w:val="20"/>
    <w:qFormat/>
    <w:uiPriority w:val="0"/>
    <w:rPr>
      <w:rFonts w:hint="eastAsia" w:ascii="宋体" w:hAnsi="宋体" w:eastAsia="宋体" w:cs="宋体"/>
      <w:color w:val="000000"/>
      <w:sz w:val="21"/>
      <w:szCs w:val="21"/>
      <w:u w:val="none"/>
    </w:rPr>
  </w:style>
  <w:style w:type="character" w:customStyle="1" w:styleId="42">
    <w:name w:val="font01"/>
    <w:basedOn w:val="20"/>
    <w:qFormat/>
    <w:uiPriority w:val="0"/>
    <w:rPr>
      <w:rFonts w:hint="eastAsia" w:ascii="宋体" w:hAnsi="宋体" w:eastAsia="宋体" w:cs="宋体"/>
      <w:color w:val="000000"/>
      <w:sz w:val="22"/>
      <w:szCs w:val="22"/>
      <w:u w:val="none"/>
    </w:rPr>
  </w:style>
  <w:style w:type="character" w:customStyle="1" w:styleId="43">
    <w:name w:val="font71"/>
    <w:basedOn w:val="20"/>
    <w:qFormat/>
    <w:uiPriority w:val="0"/>
    <w:rPr>
      <w:rFonts w:ascii="font-weight : 400" w:hAnsi="font-weight : 400" w:eastAsia="font-weight : 400" w:cs="font-weight : 400"/>
      <w:color w:val="000000"/>
      <w:sz w:val="22"/>
      <w:szCs w:val="22"/>
      <w:u w:val="none"/>
    </w:rPr>
  </w:style>
  <w:style w:type="character" w:customStyle="1" w:styleId="44">
    <w:name w:val="font21"/>
    <w:basedOn w:val="20"/>
    <w:qFormat/>
    <w:uiPriority w:val="0"/>
    <w:rPr>
      <w:rFonts w:ascii="Arial" w:hAnsi="Arial" w:cs="Arial"/>
      <w:color w:val="000000"/>
      <w:sz w:val="24"/>
      <w:szCs w:val="24"/>
      <w:u w:val="none"/>
    </w:rPr>
  </w:style>
  <w:style w:type="character" w:customStyle="1" w:styleId="45">
    <w:name w:val="font41"/>
    <w:basedOn w:val="20"/>
    <w:qFormat/>
    <w:uiPriority w:val="0"/>
    <w:rPr>
      <w:rFonts w:hint="eastAsia" w:ascii="宋体" w:hAnsi="宋体" w:eastAsia="宋体" w:cs="宋体"/>
      <w:color w:val="FF0000"/>
      <w:sz w:val="24"/>
      <w:szCs w:val="24"/>
      <w:u w:val="none"/>
    </w:rPr>
  </w:style>
  <w:style w:type="character" w:customStyle="1" w:styleId="46">
    <w:name w:val="font31"/>
    <w:basedOn w:val="20"/>
    <w:qFormat/>
    <w:uiPriority w:val="0"/>
    <w:rPr>
      <w:rFonts w:hint="eastAsia" w:ascii="宋体" w:hAnsi="宋体" w:eastAsia="宋体" w:cs="宋体"/>
      <w:b/>
      <w:color w:val="000000"/>
      <w:sz w:val="22"/>
      <w:szCs w:val="22"/>
      <w:u w:val="none"/>
    </w:rPr>
  </w:style>
  <w:style w:type="character" w:customStyle="1" w:styleId="47">
    <w:name w:val="ca-01"/>
    <w:qFormat/>
    <w:uiPriority w:val="0"/>
    <w:rPr>
      <w:rFonts w:hint="eastAsia" w:ascii="宋体" w:hAnsi="宋体" w:eastAsia="宋体"/>
      <w:sz w:val="21"/>
      <w:szCs w:val="21"/>
    </w:rPr>
  </w:style>
  <w:style w:type="paragraph" w:customStyle="1" w:styleId="48">
    <w:name w:val="列出段落1"/>
    <w:basedOn w:val="1"/>
    <w:qFormat/>
    <w:uiPriority w:val="34"/>
    <w:pPr>
      <w:ind w:firstLine="420" w:firstLineChars="200"/>
    </w:pPr>
    <w:rPr>
      <w:rFonts w:ascii="Calibri" w:hAnsi="Calibri" w:cs="Calibri"/>
    </w:rPr>
  </w:style>
  <w:style w:type="paragraph" w:customStyle="1" w:styleId="49">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50">
    <w:name w:val="font181"/>
    <w:basedOn w:val="20"/>
    <w:qFormat/>
    <w:uiPriority w:val="0"/>
    <w:rPr>
      <w:rFonts w:hint="eastAsia" w:ascii="宋体" w:hAnsi="宋体" w:eastAsia="宋体" w:cs="宋体"/>
      <w:color w:val="000000"/>
      <w:sz w:val="22"/>
      <w:szCs w:val="22"/>
      <w:u w:val="none"/>
    </w:rPr>
  </w:style>
  <w:style w:type="character" w:customStyle="1" w:styleId="51">
    <w:name w:val="font13"/>
    <w:basedOn w:val="20"/>
    <w:qFormat/>
    <w:uiPriority w:val="0"/>
    <w:rPr>
      <w:rFonts w:hint="eastAsia" w:ascii="宋体" w:hAnsi="宋体" w:eastAsia="宋体" w:cs="宋体"/>
      <w:color w:val="FF0000"/>
      <w:sz w:val="22"/>
      <w:szCs w:val="22"/>
      <w:u w:val="none"/>
    </w:rPr>
  </w:style>
  <w:style w:type="character" w:customStyle="1" w:styleId="52">
    <w:name w:val="font12"/>
    <w:basedOn w:val="20"/>
    <w:qFormat/>
    <w:uiPriority w:val="0"/>
    <w:rPr>
      <w:rFonts w:hint="eastAsia" w:ascii="宋体" w:hAnsi="宋体" w:eastAsia="宋体" w:cs="宋体"/>
      <w:color w:val="FF0000"/>
      <w:sz w:val="22"/>
      <w:szCs w:val="22"/>
      <w:u w:val="none"/>
    </w:rPr>
  </w:style>
  <w:style w:type="character" w:customStyle="1" w:styleId="53">
    <w:name w:val="font51"/>
    <w:basedOn w:val="20"/>
    <w:qFormat/>
    <w:uiPriority w:val="0"/>
    <w:rPr>
      <w:rFonts w:hint="eastAsia" w:ascii="宋体" w:hAnsi="宋体" w:eastAsia="宋体" w:cs="宋体"/>
      <w:color w:val="000000"/>
      <w:sz w:val="22"/>
      <w:szCs w:val="22"/>
      <w:u w:val="none"/>
    </w:rPr>
  </w:style>
  <w:style w:type="character" w:customStyle="1" w:styleId="54">
    <w:name w:val="font121"/>
    <w:basedOn w:val="20"/>
    <w:qFormat/>
    <w:uiPriority w:val="0"/>
    <w:rPr>
      <w:rFonts w:hint="eastAsia" w:ascii="宋体" w:hAnsi="宋体" w:eastAsia="宋体" w:cs="宋体"/>
      <w:color w:val="000000"/>
      <w:sz w:val="18"/>
      <w:szCs w:val="18"/>
      <w:u w:val="none"/>
    </w:rPr>
  </w:style>
  <w:style w:type="paragraph" w:customStyle="1" w:styleId="5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标题 Char Char"/>
    <w:basedOn w:val="1"/>
    <w:next w:val="15"/>
    <w:qFormat/>
    <w:uiPriority w:val="0"/>
    <w:pPr>
      <w:jc w:val="center"/>
      <w:outlineLvl w:val="0"/>
    </w:pPr>
    <w:rPr>
      <w:rFonts w:ascii="Arial" w:hAnsi="Arial"/>
      <w:b/>
      <w:sz w:val="32"/>
    </w:rPr>
  </w:style>
  <w:style w:type="paragraph" w:customStyle="1" w:styleId="5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22"/>
    <w:qFormat/>
    <w:uiPriority w:val="0"/>
    <w:rPr>
      <w:rFonts w:ascii="Times New Roman" w:hAnsi="Times New Roman" w:eastAsia="宋体" w:cs="Times New Roman"/>
      <w:kern w:val="0"/>
      <w:sz w:val="21"/>
      <w:szCs w:val="20"/>
    </w:rPr>
  </w:style>
  <w:style w:type="character" w:customStyle="1" w:styleId="60">
    <w:name w:val="font101"/>
    <w:basedOn w:val="20"/>
    <w:qFormat/>
    <w:uiPriority w:val="0"/>
    <w:rPr>
      <w:rFonts w:hint="default" w:ascii="Times New Roman" w:hAnsi="Times New Roman" w:cs="Times New Roman"/>
      <w:color w:val="000000"/>
      <w:sz w:val="22"/>
      <w:szCs w:val="22"/>
      <w:u w:val="none"/>
    </w:rPr>
  </w:style>
  <w:style w:type="character" w:customStyle="1" w:styleId="61">
    <w:name w:val="font151"/>
    <w:basedOn w:val="20"/>
    <w:qFormat/>
    <w:uiPriority w:val="0"/>
    <w:rPr>
      <w:rFonts w:hint="default" w:ascii="Times New Roman" w:hAnsi="Times New Roman" w:cs="Times New Roman"/>
      <w:color w:val="000000"/>
      <w:sz w:val="22"/>
      <w:szCs w:val="22"/>
      <w:u w:val="none"/>
      <w:vertAlign w:val="superscript"/>
    </w:rPr>
  </w:style>
  <w:style w:type="character" w:customStyle="1" w:styleId="62">
    <w:name w:val="font161"/>
    <w:basedOn w:val="2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TotalTime>3</TotalTime>
  <ScaleCrop>false</ScaleCrop>
  <LinksUpToDate>false</LinksUpToDate>
  <CharactersWithSpaces>117317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Administrator</cp:lastModifiedBy>
  <cp:lastPrinted>2021-07-15T03:34:00Z</cp:lastPrinted>
  <dcterms:modified xsi:type="dcterms:W3CDTF">2021-08-26T07:50:29Z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532C1F8433704A839A79B772755A00F1</vt:lpwstr>
  </property>
</Properties>
</file>