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center"/>
        <w:textAlignment w:val="auto"/>
        <w:outlineLvl w:val="9"/>
        <w:rPr>
          <w:rFonts w:hint="eastAsia" w:ascii="宋体" w:hAnsi="宋体" w:cs="宋体"/>
          <w:b/>
          <w:bCs/>
          <w:color w:val="000000"/>
          <w:sz w:val="28"/>
          <w:szCs w:val="28"/>
          <w:lang w:val="en-US" w:eastAsia="zh-CN"/>
        </w:rPr>
      </w:pPr>
      <w:bookmarkStart w:id="0" w:name="OLE_LINK1"/>
      <w:bookmarkStart w:id="1" w:name="OLE_LINK2"/>
      <w:bookmarkStart w:id="2" w:name="OLE_LINK4"/>
      <w:r>
        <w:rPr>
          <w:rFonts w:hint="eastAsia" w:ascii="宋体" w:hAnsi="宋体" w:eastAsia="宋体" w:cs="宋体"/>
          <w:b/>
          <w:bCs/>
          <w:i w:val="0"/>
          <w:iCs w:val="0"/>
          <w:caps w:val="0"/>
          <w:color w:val="000000"/>
          <w:spacing w:val="0"/>
          <w:sz w:val="36"/>
          <w:szCs w:val="36"/>
          <w:shd w:val="clear" w:fill="FFFFFF"/>
        </w:rPr>
        <w:t>采购需求公示</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1.项目名称：</w:t>
      </w:r>
      <w:r>
        <w:rPr>
          <w:rFonts w:hint="eastAsia" w:hAnsi="宋体"/>
          <w:b/>
          <w:bCs/>
          <w:color w:val="000000"/>
          <w:sz w:val="28"/>
          <w:szCs w:val="28"/>
          <w:lang w:eastAsia="zh-CN"/>
        </w:rPr>
        <w:t>铜仁市坝黄逸夫中学阳光校园监控设备改造项目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2.项目编号：TRZFCG-2021-115</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3.公示期限（不少于2个工作日）：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2021年7月29日-2021年7月30日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 xml:space="preserve">4.采购预算：690170元(最高限价690170元) </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5.采购预算确定依据：铜仁市碧江区采购（集中采购）申报表</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6.采购人名称：</w:t>
      </w:r>
      <w:r>
        <w:rPr>
          <w:rFonts w:hint="eastAsia" w:hAnsi="宋体"/>
          <w:b/>
          <w:bCs/>
          <w:color w:val="000000"/>
          <w:sz w:val="28"/>
          <w:szCs w:val="28"/>
          <w:lang w:eastAsia="zh-CN"/>
        </w:rPr>
        <w:t>铜仁市坝黄逸夫中学</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w:t>
      </w:r>
      <w:r>
        <w:rPr>
          <w:rFonts w:hint="eastAsia" w:hAnsi="宋体"/>
          <w:b/>
          <w:bCs/>
          <w:color w:val="000000"/>
          <w:sz w:val="28"/>
          <w:szCs w:val="28"/>
          <w:lang w:eastAsia="zh-CN"/>
        </w:rPr>
        <w:t>铜仁市坝黄逸夫中学</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 xml:space="preserve">项目联系人：卢先生 </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联系电话：18153166550</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7.采购代理机构全称:铜仁市公共资源交易中心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联系地址:铜仁市公共服务中心四楼（川硐麒龙国际会展城）</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项目联系人:黎舰</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联系电话:0856-3912933</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任何单位和个人对本项目采购文件需求公示有异议的，可在公示期限内，反馈意见给代理机构。</w:t>
      </w:r>
      <w:bookmarkEnd w:id="0"/>
      <w:bookmarkEnd w:id="1"/>
      <w:bookmarkEnd w:id="2"/>
    </w:p>
    <w:p>
      <w:pPr>
        <w:pStyle w:val="2"/>
        <w:ind w:left="0" w:leftChars="0" w:firstLine="0" w:firstLineChars="0"/>
        <w:rPr>
          <w:rFonts w:hint="eastAsia"/>
          <w:sz w:val="28"/>
          <w:szCs w:val="28"/>
          <w:lang w:val="en-US" w:eastAsia="zh-CN"/>
        </w:rPr>
      </w:pPr>
    </w:p>
    <w:p>
      <w:pPr>
        <w:rPr>
          <w:rFonts w:hint="eastAsia"/>
          <w:lang w:val="en-US" w:eastAsia="zh-CN"/>
        </w:rPr>
      </w:pPr>
      <w:bookmarkStart w:id="11" w:name="_GoBack"/>
      <w:bookmarkEnd w:id="11"/>
    </w:p>
    <w:p>
      <w:pPr>
        <w:rPr>
          <w:rFonts w:hint="eastAsia"/>
          <w:sz w:val="28"/>
          <w:szCs w:val="28"/>
          <w:lang w:val="en-US" w:eastAsia="zh-CN"/>
        </w:rPr>
      </w:pPr>
    </w:p>
    <w:tbl>
      <w:tblPr>
        <w:tblStyle w:val="16"/>
        <w:tblpPr w:leftFromText="180" w:rightFromText="180" w:vertAnchor="text" w:horzAnchor="page" w:tblpX="1076" w:tblpY="294"/>
        <w:tblOverlap w:val="never"/>
        <w:tblW w:w="0" w:type="auto"/>
        <w:tblInd w:w="0" w:type="dxa"/>
        <w:shd w:val="clear" w:color="auto" w:fill="auto"/>
        <w:tblLayout w:type="fixed"/>
        <w:tblCellMar>
          <w:top w:w="0" w:type="dxa"/>
          <w:left w:w="108" w:type="dxa"/>
          <w:bottom w:w="0" w:type="dxa"/>
          <w:right w:w="108" w:type="dxa"/>
        </w:tblCellMar>
      </w:tblPr>
      <w:tblGrid>
        <w:gridCol w:w="648"/>
        <w:gridCol w:w="732"/>
        <w:gridCol w:w="6180"/>
        <w:gridCol w:w="615"/>
        <w:gridCol w:w="636"/>
        <w:gridCol w:w="1036"/>
      </w:tblGrid>
      <w:tr>
        <w:tblPrEx>
          <w:shd w:val="clear" w:color="auto" w:fill="auto"/>
          <w:tblCellMar>
            <w:top w:w="0" w:type="dxa"/>
            <w:left w:w="108" w:type="dxa"/>
            <w:bottom w:w="0" w:type="dxa"/>
            <w:right w:w="108" w:type="dxa"/>
          </w:tblCellMar>
        </w:tblPrEx>
        <w:trPr>
          <w:trHeight w:val="90" w:hRule="atLeast"/>
        </w:trPr>
        <w:tc>
          <w:tcPr>
            <w:tcW w:w="9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bookmarkStart w:id="3" w:name="_Toc37663392"/>
            <w:bookmarkStart w:id="4" w:name="_Toc37569520"/>
            <w:bookmarkStart w:id="5" w:name="_Toc40762371"/>
            <w:bookmarkStart w:id="6" w:name="_Toc37331081"/>
            <w:bookmarkStart w:id="7" w:name="_Toc37581421"/>
            <w:bookmarkStart w:id="8" w:name="_Toc46308528"/>
            <w:bookmarkStart w:id="9" w:name="_Toc37331039"/>
            <w:bookmarkStart w:id="10" w:name="_Toc46308684"/>
            <w:r>
              <w:rPr>
                <w:rFonts w:hint="eastAsia" w:ascii="宋体" w:hAnsi="宋体" w:eastAsia="宋体" w:cs="宋体"/>
                <w:b/>
                <w:bCs/>
                <w:i w:val="0"/>
                <w:iCs w:val="0"/>
                <w:color w:val="000000"/>
                <w:kern w:val="0"/>
                <w:sz w:val="21"/>
                <w:szCs w:val="21"/>
                <w:u w:val="none"/>
                <w:lang w:val="en-US" w:eastAsia="zh-CN" w:bidi="ar"/>
              </w:rPr>
              <w:t>一、校门口重点人员管控（人脸抓拍摄像机）</w:t>
            </w:r>
          </w:p>
        </w:tc>
      </w:tr>
      <w:tr>
        <w:tblPrEx>
          <w:shd w:val="clear" w:color="auto" w:fill="auto"/>
          <w:tblCellMar>
            <w:top w:w="0" w:type="dxa"/>
            <w:left w:w="108" w:type="dxa"/>
            <w:bottom w:w="0" w:type="dxa"/>
            <w:right w:w="108" w:type="dxa"/>
          </w:tblCellMar>
        </w:tblPrEx>
        <w:trPr>
          <w:trHeight w:val="48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名称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技术规格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数量</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9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全结构化双400万1/1.8" CMOS全彩全局动点摄像机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【全结构化双400万1/1.8" CMOS全彩全局动点摄像机】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局摄像机集合定点看全景、动点看细节的优势，采用一体化设计，由双镜头相机与高性能GPU模块组成，内嵌深度学习算法，以海量图片及视频资源为路基，通过机器自身提取目标特征，形成深层可供学习的人脸、人体、车辆图像，极大的提升了目标人脸、人体、车辆的检出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支持人员自动检测并联动动点镜头进行快速锁定抓拍，提供满足人脸比对的图片，并进行人体人脸关联。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人体最远检测距离可达40米，人脸最远检测距离可达30米，车辆最远检测距离15米。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支持三种智能资源模式切换：混合目标检测-全结构化模式（全景）、混合目标检测-人脸+人体模式（细节）、人脸抓拍（细节）。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混合目标检测（全结构化模式）：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a)抓拍人体：支持上衣颜色、下装颜色、性别、戴眼镜、背包、拎东西、戴帽子、戴口罩、长短袖、裤裙、发型等13个属性识别。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b)抓拍人脸：支持对运动人脸进行抓拍，支持性别、年龄、戴眼镜、戴口罩等9个人脸属性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c)抓拍非机动车：支持上衣颜色、性别、戴眼镜、背包、戴帽子、戴口罩、长短袖、发型、骑车类型、骑车人数等11个属性识别。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d)抓拍机动车：支持车牌识别并抓拍，支持车型、车牌颜色、车身颜色、车牌类型、子品牌车身颜色等7个属性识别。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人脸抓拍：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a)支持对运动人脸进行检测、跟踪、抓拍、评分、筛选，输出最优的人脸。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b)支持人脸去误报、快速抓拍人脸。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c)支持快速抓拍和最佳抓拍两种模式，并支持2种模式同时开启。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混合目标检测（人脸+人体模式）：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a)抓拍人体：支持上衣颜色、下装颜色、性别、戴眼镜、背包、拎东西、戴帽子、戴口罩、长短袖、裤裙、发型等13个属性识别。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b)抓拍人脸：支持对运动人脸进行抓拍，支持性别、年龄、戴眼镜、戴口罩等9个人脸属性。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c)抓拍非机动车：支持上衣颜色、性别、戴眼镜、背包、戴帽子、戴口罩、长短袖、发型、骑车类型、骑车人数等11个属性识别。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支持背景大图图片字符叠加功能，支持设备编号、抓拍时间、监测点信息。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全局相机内置高效白光全彩阵列灯，夜间能正常进行人体车辆抓拍。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动点相机内置高效红外阵列灯，夜间红外灯亮度、角度根据场景智能调整，能正常进行人脸抓拍。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★设备具有1个RJ45网络接口，可输出两路视频图像：通道1、通道2。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支持脸谱、治安刀锋、超脑以及iSC平台的对接应用。（需提供公安部检验报告证明加盖厂商鲜章）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支持算法比对机制，降低人脸抓拍重复率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传感器类型: 【全景】1/1.8＂ progressive scan CMOS；【细节】1/1.8＂ progressive scan CMOS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最低照度: 【全景】彩色：0.0005 Lux @（F1.0，AGC ON），黑白：0.0001Lux @（F1.0，AGC ON）；【细节】彩色：0.001Lux @ （F1.6，AGC ON），黑白：0.0005Lux @（F1.6，AGC ON）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宽动态: 120dB超宽动态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焦距: 【全景】定焦6mm，【细节】变焦13-52mm，4倍光学变倍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近摄距: 【细节】10-1500mm（广角-望远）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★支持对镜头前盖玻璃加热，去除玻璃上的冰状和水状附着物。（需提供公安部检验报告证明加盖厂商鲜章）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水平范围: 【细节】0-210°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垂直范围: 【细节】-15°-22°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水平速度: 【细节】水平键控速度：0.1°-200°/s，速度可设； 水平预置点速度：300°/s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垂直速度: 【细节】垂直键控速度：0.1°-120°/s，速度可设； 垂直预置点速度：120°/s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主码流帧率分辨率: 50Hz：25fps（2560×1440）; 60Hz：30fps（2560×1440）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视频压缩标准: H.265，H.264，MJPEG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网络存储: NAS（NFS，SMB/CIFS）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 自适应10M/100M/1000M网络数据，RJ45网口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SD卡扩展: 最大支持256G，内置Micro SD卡(即TF卡)插槽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报警输入: 1路报警输入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报警输出: 1路报警输出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音频输入: 1路音频输入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音频输出: 1路音频输出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接口类型: 一体外甩线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白光照射距离: 【全景】暖白补光，车辆/车牌15m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红外照射距离: 【细节】混合补光，人体40m，人脸30m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防补光过曝: 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波长范围: 【细节】混合补光，峰值波长750nm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供电方式: DC36V±25%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电源接口类型: 2芯绿头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电流及功耗: 1.67A 60W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工作温湿度: -40℃-70℃；湿度小于90%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恢复出厂设置: 支持加热除雾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 338×214×189重量: 4.9Kg防护: IP66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重点人员布控</w:t>
            </w:r>
          </w:p>
        </w:tc>
      </w:tr>
      <w:tr>
        <w:tblPrEx>
          <w:shd w:val="clear" w:color="auto" w:fill="auto"/>
          <w:tblCellMar>
            <w:top w:w="0" w:type="dxa"/>
            <w:left w:w="108" w:type="dxa"/>
            <w:bottom w:w="0" w:type="dxa"/>
            <w:right w:w="108" w:type="dxa"/>
          </w:tblCellMar>
        </w:tblPrEx>
        <w:trPr>
          <w:trHeight w:val="97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全局摄像机安装支架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座装支架套装：铂晶灰/铝合金+钢+不锈钢/222.9×194×113.7（抱箍67-127mm）</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97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室外立杆</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根据现场需求定制（含地笼基座）</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74" w:hRule="atLeast"/>
        </w:trPr>
        <w:tc>
          <w:tcPr>
            <w:tcW w:w="9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二、周界防范</w:t>
            </w:r>
          </w:p>
        </w:tc>
      </w:tr>
      <w:tr>
        <w:tblPrEx>
          <w:shd w:val="clear" w:color="auto" w:fill="auto"/>
          <w:tblCellMar>
            <w:top w:w="0" w:type="dxa"/>
            <w:left w:w="108" w:type="dxa"/>
            <w:bottom w:w="0" w:type="dxa"/>
            <w:right w:w="108" w:type="dxa"/>
          </w:tblCellMar>
        </w:tblPrEx>
        <w:trPr>
          <w:trHeight w:val="50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智能周界摄像机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200万星光级1/2.7"CMOS智能筒型网络摄像机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智能侦测:采用深度学习硬件及算法,提供精准的人车分类侦测,支持越界侦测,区域入侵侦测,进入/离开区域侦测。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内置GPU芯片。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内置麦克风和喇叭。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支持声音报警功能，报警声音类型不小于10种，报警声级及报警次数可设置。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需具备智能分析抗干扰功能，当篮球、小狗、树叶等非人或车辆目标经过检测区域时，不会触发报警。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最小照度:0.002Lux @(F1.2,AGC ON) ,0 Lux with IR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镜头:4mm, 水平视场角81.9°[6mm(50.8°),8mm(38.7°),12mm(24.2°)可选]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宽动态范围:120dB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视频压缩标准:H.265/H.264/ MJPEG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最大图像尺寸:1920 × 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存储功能:支持Micro SD(即TF卡)/Micro SDHC/Micro SDXC卡((128GB或者256GB)断网本地存储及断网续传,NAS(NFS,SMB/CIFS均支持),配合海康黑卡支持SD卡加密及SD状态检测功能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通讯接口:1个RJ45 10M / 100M 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音频接口:内置麦克风和扬声器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音频接口:1对音频输入(Line in)/输出（Line out）外部接口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报警输入:1路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报警输出:1路(报警输出最大支持DC24V/AC24V 1A)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工作温度和湿度:-30℃~60℃,湿度小于95%(无凝结)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电源供应:DC12V±25%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电源接口类型:Φ5.5mm圆头电源接口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功耗:DC12V:9W Max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红外照射距离:最远可达50米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防护等级:IP67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尺寸(mm):181.3 x 93.3x87.7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重量:机身重量：670g; 带包装质量：870g</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周界</w:t>
            </w:r>
          </w:p>
        </w:tc>
      </w:tr>
      <w:tr>
        <w:tblPrEx>
          <w:shd w:val="clear" w:color="auto" w:fill="auto"/>
          <w:tblCellMar>
            <w:top w:w="0" w:type="dxa"/>
            <w:left w:w="108" w:type="dxa"/>
            <w:bottom w:w="0" w:type="dxa"/>
            <w:right w:w="108" w:type="dxa"/>
          </w:tblCellMar>
        </w:tblPrEx>
        <w:trPr>
          <w:trHeight w:val="9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壁装支架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通用壁装支架/白/钢/199.3×83.04mm</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97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摄像机电源</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国标,12V1A输出,Φ2.1圆头，桌面式，输入350mm,输出800mm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输入电压：AC170V~240V</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4" w:hRule="atLeast"/>
        </w:trPr>
        <w:tc>
          <w:tcPr>
            <w:tcW w:w="9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三、公共区域视频监控</w:t>
            </w:r>
          </w:p>
        </w:tc>
      </w:tr>
      <w:tr>
        <w:tblPrEx>
          <w:shd w:val="clear" w:color="auto" w:fill="auto"/>
          <w:tblCellMar>
            <w:top w:w="0" w:type="dxa"/>
            <w:left w:w="108" w:type="dxa"/>
            <w:bottom w:w="0" w:type="dxa"/>
            <w:right w:w="108" w:type="dxa"/>
          </w:tblCellMar>
        </w:tblPrEx>
        <w:trPr>
          <w:trHeight w:val="112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200万星光级红外阵列筒型网络摄像机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200万星光级1/2.7”CMOS ICR红外阵列筒型网络摄像机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最低照度: 彩色：0.002 Lux @（F1.2，AGC ON），0 Lux with IR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宽动态: 120 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焦距&amp;视场角: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mm @F1.6，水平视场角：87.3°，垂直视场角：46.3°，对角线视场角：104.2°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mm @F1.6，水平视场角：52.7°，垂直视场角：30.3°，对角线视场角：60.1°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mm @F1.6，水平视场角：40.9°，垂直视场角：22.5°，对角线视场角：47.4°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 mm @F1.6，水平视场角：25.4°，垂直视场角：14.4°，对角线视场角：29.1°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红外距离: 最远可达30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波长范围: 850 nm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防补光过曝: 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最大图像尺寸: 1920 × 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视频压缩标准: 主码流：H.265/H.264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网络存储: NAS（NFS，SMB/CIFS均支持）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 1个RJ45 10 M/100 M自适应以太网口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启动及工作温湿度: -30 ℃~60 ℃，湿度小于95%（无凝结）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供电方式: DC：12 V ± 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电流及功耗: DC：12 V，0.38 A，4.5 W Max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电源接口类型: Ø5.5 mm圆口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 194.0 × 93.9 × 93.5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包装尺寸: 235 × 120 × 125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设备重量: 670 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带包装重量: 830 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防护: IP67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校园公共道路、教学楼走廊（利旧）、宿舍门口、财务室</w:t>
            </w:r>
          </w:p>
        </w:tc>
      </w:tr>
      <w:tr>
        <w:tblPrEx>
          <w:shd w:val="clear" w:color="auto" w:fill="auto"/>
          <w:tblCellMar>
            <w:top w:w="0" w:type="dxa"/>
            <w:left w:w="108" w:type="dxa"/>
            <w:bottom w:w="0" w:type="dxa"/>
            <w:right w:w="108" w:type="dxa"/>
          </w:tblCellMar>
        </w:tblPrEx>
        <w:trPr>
          <w:trHeight w:val="82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电源适配器</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国标,12V1A输出,Φ2.1圆头，桌面式，输入350mm,输出800mm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输入电压：AC170V~240V</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79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壁装支架</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适用范围 适合枪型、筒型、一体型摄像机壁装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材料 铝合金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调整角度 水平：360°，垂直：-45°~45°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 70×97.1×173.4mm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 201g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（竖杆装）</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84" w:hRule="atLeast"/>
        </w:trPr>
        <w:tc>
          <w:tcPr>
            <w:tcW w:w="9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四、监控平台存储设备</w:t>
            </w:r>
          </w:p>
        </w:tc>
      </w:tr>
      <w:tr>
        <w:tblPrEx>
          <w:shd w:val="clear" w:color="auto" w:fill="auto"/>
          <w:tblCellMar>
            <w:top w:w="0" w:type="dxa"/>
            <w:left w:w="108" w:type="dxa"/>
            <w:bottom w:w="0" w:type="dxa"/>
            <w:right w:w="108" w:type="dxa"/>
          </w:tblCellMar>
        </w:tblPrEx>
        <w:trPr>
          <w:trHeight w:val="50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人脸抓拍主机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【人脸小超脑/FA】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名单库比对报警（8路图片流或8路视频流）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32个人脸名单库，总库容10万张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路人档案10万份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支持陌生人报警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支持人员频次统计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支持人脸签到和考勤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支持人脸1V1比对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支持以脸搜脸、按姓名检索、按属性检索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说明：人脸模式最高支持800W分辨率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2U标准机架式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2个HDMI，2个VGA,HDMI+VGA组内同源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8盘位，可满配6T硬盘，已内置4块8TB AI硬盘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2个千兆网口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2个USB2.0接口、1个USB3.0接口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1个eSATA接口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支持RAID0、1、5、10，支持全局热备盘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报警IO：16进4出(选配16进8出)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输入带宽：128M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8路H.264、H.265混合接入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最大支持16×1080P解码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支持H.265、H.264解码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★支持抓拍库人员频次统计实时报警功能，对指定时间段内反复出现达到一定次数的抓拍人员进行报警（需提供公安部检验报告证明加盖厂商鲜章）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★支持报警事件、异常事件实时计算提醒，并以图标形式在监控界面上提醒用户，当有新事件发生时计数自动累加，当用户查看后计数自动清零（需提供公安部检验报告证明加盖厂商鲜章）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★支持报警输入触发一键撤防功能，撤防的报警类型可选（弹出报警画面、声音警告、上传中心、发送邮件、触发报警输出）（需提供公安部检验报告证明加盖厂商鲜章）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★需</w:t>
            </w:r>
            <w:r>
              <w:rPr>
                <w:rFonts w:hint="eastAsia" w:hAnsi="宋体" w:cs="宋体"/>
                <w:i w:val="0"/>
                <w:iCs w:val="0"/>
                <w:color w:val="000000"/>
                <w:kern w:val="0"/>
                <w:sz w:val="21"/>
                <w:szCs w:val="21"/>
                <w:u w:val="none"/>
                <w:lang w:val="en-US" w:eastAsia="zh-CN" w:bidi="ar"/>
              </w:rPr>
              <w:t>出具</w:t>
            </w:r>
            <w:r>
              <w:rPr>
                <w:rFonts w:hint="eastAsia" w:ascii="宋体" w:hAnsi="宋体" w:eastAsia="宋体" w:cs="宋体"/>
                <w:i w:val="0"/>
                <w:iCs w:val="0"/>
                <w:color w:val="000000"/>
                <w:kern w:val="0"/>
                <w:sz w:val="21"/>
                <w:szCs w:val="21"/>
                <w:u w:val="none"/>
                <w:lang w:val="en-US" w:eastAsia="zh-CN" w:bidi="ar"/>
              </w:rPr>
              <w:t>厂商针对本项目授权书及售后服务承诺函并加盖鲜章；</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p>
        </w:tc>
      </w:tr>
      <w:tr>
        <w:tblPrEx>
          <w:shd w:val="clear" w:color="auto" w:fill="auto"/>
          <w:tblCellMar>
            <w:top w:w="0" w:type="dxa"/>
            <w:left w:w="108" w:type="dxa"/>
            <w:bottom w:w="0" w:type="dxa"/>
            <w:right w:w="108" w:type="dxa"/>
          </w:tblCellMar>
        </w:tblPrEx>
        <w:trPr>
          <w:trHeight w:val="50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网络存储设备</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机架式/8U 72盘位/1536Mbps接入带宽/72块8T企业级SATA硬盘/64位多核处理器/16GB缓存（可扩展至128GB）/4个千兆数据网口/1个千兆管理网口/冗余电源/VRAID2.0/网络协议：RTSP/ONVIF/PSIA/（GB/T28181）/Iscsi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★应支持FCSAN、IPSAN、NAS存储功能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★设备可对视音频、图片、智能数据（智能行为分析录像）流进行混合直存，无须存储服务器和图片服务器的参与，平台服务器宕机时，存储业务正常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★在RAID内丢失2块（含）以上硬盘但至少有1块正常磁盘时，无需等待丢失盘恢复，保留的硬盘中的数据可正常读出，且新数据可正常写入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★当RAID中某块工作正常的硬盘被误拔出后，60分钟内插回，该硬盘能恢复到原RAID中，系统自动恢复工作，而且会对拔掉的硬盘进行增量数据恢复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★设备可同时支持视频、图片、智能流和文件直写存储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lang w:val="en-US" w:eastAsia="zh-CN"/>
              </w:rPr>
              <w:t>★</w:t>
            </w:r>
            <w:r>
              <w:rPr>
                <w:rFonts w:hint="eastAsia" w:ascii="宋体" w:hAnsi="宋体" w:eastAsia="宋体" w:cs="宋体"/>
                <w:i w:val="0"/>
                <w:iCs w:val="0"/>
                <w:color w:val="000000"/>
                <w:kern w:val="0"/>
                <w:sz w:val="21"/>
                <w:szCs w:val="21"/>
                <w:u w:val="none"/>
                <w:lang w:val="en-US" w:eastAsia="zh-CN" w:bidi="ar"/>
              </w:rPr>
              <w:t>需</w:t>
            </w:r>
            <w:r>
              <w:rPr>
                <w:rFonts w:hint="eastAsia" w:hAnsi="宋体" w:cs="宋体"/>
                <w:i w:val="0"/>
                <w:iCs w:val="0"/>
                <w:color w:val="000000"/>
                <w:kern w:val="0"/>
                <w:sz w:val="21"/>
                <w:szCs w:val="21"/>
                <w:u w:val="none"/>
                <w:lang w:val="en-US" w:eastAsia="zh-CN" w:bidi="ar"/>
              </w:rPr>
              <w:t>出具</w:t>
            </w:r>
            <w:r>
              <w:rPr>
                <w:rFonts w:hint="eastAsia" w:ascii="宋体" w:hAnsi="宋体" w:eastAsia="宋体" w:cs="宋体"/>
                <w:i w:val="0"/>
                <w:iCs w:val="0"/>
                <w:color w:val="000000"/>
                <w:kern w:val="0"/>
                <w:sz w:val="21"/>
                <w:szCs w:val="21"/>
                <w:u w:val="none"/>
                <w:lang w:val="en-US" w:eastAsia="zh-CN" w:bidi="ar"/>
              </w:rPr>
              <w:t>厂商针对本项目授权书及售后服务承诺函并加盖鲜章；</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包含校园原有监控视频录像保存90天 </w:t>
            </w:r>
          </w:p>
        </w:tc>
      </w:tr>
      <w:tr>
        <w:tblPrEx>
          <w:shd w:val="clear" w:color="auto" w:fill="auto"/>
          <w:tblCellMar>
            <w:top w:w="0" w:type="dxa"/>
            <w:left w:w="108" w:type="dxa"/>
            <w:bottom w:w="0" w:type="dxa"/>
            <w:right w:w="108" w:type="dxa"/>
          </w:tblCellMar>
        </w:tblPrEx>
        <w:trPr>
          <w:trHeight w:val="50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平台管理服务器</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HG7169/64G DDR4/600G 10K SAS×2(RAID_1)/SAS_HBA/1GbE×2+10GbE×2/550W(1+1)/2U/16DIMM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2U单路标准机架式服务器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CPU：1颗 HG7169(24核，2.2GHz)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内存2*32G DDR4，16根内存插槽，最大支持扩展至2TB内存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硬盘：2块600G 10K 2.5英寸SAS盘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可选支持12块3.5寸(兼容2.5寸)热插拔SAS/SATA硬盘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可选支持2块后置2.5寸热插拔SAS/SATA硬盘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可选支持4块NVME U.2热插拔硬盘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支持1个M.2插槽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支持1个TF插槽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阵列卡：标配SAS_HBA卡，支持RAID0/1/10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可选RAID_2G卡，支持0/1/5/6/10/50/60，可选支持断电保护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PCIE扩展：最大可支持6个PCIe扩展插槽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网口：2个千兆电口，2个万兆光口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其他接口：1个千兆RJ-45管理接口，4个USB 3.0接口，2个位于机箱后部，2个位于机箱前部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1个VGA口，位于机箱后部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电源：标配550W（1+1）白金冗余电源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支持200-240V 50/60Hz AC/HVDC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机箱规格：87.8mm(高)x 448mm(宽)x730mm(深)</w:t>
            </w:r>
            <w:r>
              <w:rPr>
                <w:rFonts w:hint="eastAsia" w:ascii="宋体" w:hAnsi="宋体" w:eastAsia="宋体" w:cs="宋体"/>
                <w:i w:val="0"/>
                <w:iCs w:val="0"/>
                <w:color w:val="000000"/>
                <w:kern w:val="0"/>
                <w:sz w:val="21"/>
                <w:szCs w:val="21"/>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5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系统最大安保区域数量: 2万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系统最大组织数量: 2万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系统最大用户数量: 20万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系统最大同时在线用户数量: 5000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系统最大角色数量: 1万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系统最大人员数量: 30万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卡片数量: 30万提供系统内的组织、人员、车辆、用户、角色、认证、区域等的配置和管理。已包含：图上监控、事件联动、视频网管。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视频监控授权</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单个平台支持最大监控点数量:10万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视频播放路数（软解）:25路（i5、720P）、9路（i5、1080P）。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视频播放路数（硬解）:36路（i5、720P）、16路（i5、1080P）。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最大回放倍速:16倍。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电视墙管理数量：10。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解码设备管理数量：128。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单个电视墙屏幕数量：25X25。对前端编码设备进行集中管理，并提供视频预览、云台控制、录像回放、图片查看等应用。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视频联网网关</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平台级联层数:3</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用于平台对外标准化互联互通（跨网、异构）的组件。支持通用视频联网标准协（GB/T28181、DB33/T629）,提供支持其他联网标准的扩展能力。</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人脸监控</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系统最大脸谱管理套数：5。 系统最大抓拍点位管理数量：500。 系统最大超脑管理数量：100。 系统最大人脸数量:30万。 系统最大人脸分组数量:16。 比对数据最大接收能力:200条/秒。</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入侵报警</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报警主机管理数量:100。 防区管理数量:1000。 报警记录保存时长:3年。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157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管理PC</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1.CPU：intel 酷睿十代 I7-10700处理器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2.芯片组：B460主板芯片组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3.内存：8GB DDR4 2666MHz 内存，提供≥2个内存槽位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4.显卡：2G独显</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5.声卡：集成HD Audio，支持5.1声道（提供前2后3共5个音频接口）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6.硬盘：512GNvme 固态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7.网卡：集成10/100/1000M以太网卡；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8.光驱：无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9.扩展槽：≥1个PCI-E*16，≥2个PCI-E*1；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10.键盘鼠标：防水键盘、抗菌鼠标；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11.21.5显示器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4" w:hRule="atLeast"/>
        </w:trPr>
        <w:tc>
          <w:tcPr>
            <w:tcW w:w="984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五、监控网络及辅材安装调试</w:t>
            </w:r>
          </w:p>
        </w:tc>
      </w:tr>
      <w:tr>
        <w:tblPrEx>
          <w:shd w:val="clear" w:color="auto" w:fill="auto"/>
          <w:tblCellMar>
            <w:top w:w="0" w:type="dxa"/>
            <w:left w:w="108" w:type="dxa"/>
            <w:bottom w:w="0" w:type="dxa"/>
            <w:right w:w="108" w:type="dxa"/>
          </w:tblCellMar>
        </w:tblPrEx>
        <w:trPr>
          <w:trHeight w:val="504"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接入交换机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8口千兆电口+2个千兆光口</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4"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楼层汇聚交换机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1.支持固化千兆电口≥24个，固化千兆光口≥4个，标准1U设备;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★2.交换容量≥192Gbps，包转发率≥42Mpps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 MAC地址容量≥8K；支持ACL条目≥1200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★4.支持防环路检测，自动解决环路问题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5.支持端口镜像，一对一镜像，多对一镜像；支持DHCP Snooping；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★6.支持高效节能以太网（EEE），端口如果在连续一段时间之内空闲，系统会将该端口设置为节能模式，当有报文收发时再通过定时发送的监听码流唤醒端口恢复业务，达到节能的效果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★7.支持防雷等级≥6KV</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8.支持QOS，支持端口流量限速；支持标准的ACL、支持基于IP/MAC扩展的ACL；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9.支持CPU安全保护策略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★10.支持交换机0配置上线,支持自组网，支持云端管理；支持和云管理，远程管理和维护设备,支持极速智能配置；支持多种管理方式，中文WEB界面；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★11.提供电信设备进网许可证证书复印件；提供国家强制认证CCC认证书复印件，加盖厂商鲜章；</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eastAsia"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需</w:t>
            </w:r>
            <w:r>
              <w:rPr>
                <w:rFonts w:hint="eastAsia" w:hAnsi="宋体" w:cs="宋体"/>
                <w:i w:val="0"/>
                <w:iCs w:val="0"/>
                <w:color w:val="000000"/>
                <w:kern w:val="0"/>
                <w:sz w:val="21"/>
                <w:szCs w:val="21"/>
                <w:u w:val="none"/>
                <w:lang w:val="en-US" w:eastAsia="zh-CN" w:bidi="ar"/>
              </w:rPr>
              <w:t>出具</w:t>
            </w:r>
            <w:r>
              <w:rPr>
                <w:rFonts w:hint="eastAsia" w:ascii="宋体" w:hAnsi="宋体" w:eastAsia="宋体" w:cs="宋体"/>
                <w:i w:val="0"/>
                <w:iCs w:val="0"/>
                <w:color w:val="000000"/>
                <w:kern w:val="0"/>
                <w:sz w:val="21"/>
                <w:szCs w:val="21"/>
                <w:u w:val="none"/>
                <w:lang w:val="en-US" w:eastAsia="zh-CN" w:bidi="ar"/>
              </w:rPr>
              <w:t>厂商针对本项目授权书及售后服务承诺函并加盖鲜章；</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9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核心交换机</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w:t>
            </w:r>
            <w:r>
              <w:rPr>
                <w:rFonts w:hint="eastAsia"/>
                <w:lang w:val="en-US" w:eastAsia="zh-CN"/>
              </w:rPr>
              <w:t>1.固化100/1000M以太网SFP光端口≥28，复用千兆电口≥8个，固化10G/1G SFP+光接口≥4个，支持可拔插双模块化电源，配置电源1+1冗余；</w:t>
            </w:r>
          </w:p>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w:t>
            </w:r>
            <w:r>
              <w:rPr>
                <w:rFonts w:hint="eastAsia"/>
                <w:lang w:val="en-US" w:eastAsia="zh-CN"/>
              </w:rPr>
              <w:t>2.交换容量≥590G，包转发率≥220Mpps</w:t>
            </w:r>
          </w:p>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w:t>
            </w:r>
            <w:r>
              <w:rPr>
                <w:rFonts w:hint="eastAsia"/>
                <w:lang w:val="en-US" w:eastAsia="zh-CN"/>
              </w:rPr>
              <w:t>3.为保证设备在受到外界机械碰撞时能够正常运行，要求所投交换机IK防护测试级别至少达到IK05，提供具有 CMA或CAL或 CNAS认证章的测试报告以及检测机构官网查询截图并加盖产品厂商鲜章</w:t>
            </w:r>
          </w:p>
          <w:p>
            <w:pPr>
              <w:keepNext w:val="0"/>
              <w:keepLines w:val="0"/>
              <w:widowControl/>
              <w:suppressLineNumbers w:val="0"/>
              <w:jc w:val="left"/>
              <w:textAlignment w:val="center"/>
              <w:rPr>
                <w:rFonts w:hint="eastAsia"/>
                <w:lang w:val="en-US" w:eastAsia="zh-CN"/>
              </w:rPr>
            </w:pPr>
            <w:r>
              <w:rPr>
                <w:rFonts w:hint="eastAsia"/>
                <w:lang w:val="en-US" w:eastAsia="zh-CN"/>
              </w:rPr>
              <w:t>4.要求所投设备MAC地址≥32K</w:t>
            </w:r>
          </w:p>
          <w:p>
            <w:pPr>
              <w:keepNext w:val="0"/>
              <w:keepLines w:val="0"/>
              <w:widowControl/>
              <w:suppressLineNumbers w:val="0"/>
              <w:jc w:val="left"/>
              <w:textAlignment w:val="center"/>
              <w:rPr>
                <w:rFonts w:hint="eastAsia"/>
                <w:lang w:val="en-US" w:eastAsia="zh-CN"/>
              </w:rPr>
            </w:pPr>
            <w:r>
              <w:rPr>
                <w:rFonts w:hint="eastAsia"/>
                <w:lang w:val="en-US" w:eastAsia="zh-CN"/>
              </w:rPr>
              <w:t>5.支持RIP，OSPF，BGP，RIPng，OSPFv3，BGP4+</w:t>
            </w:r>
          </w:p>
          <w:p>
            <w:pPr>
              <w:keepNext w:val="0"/>
              <w:keepLines w:val="0"/>
              <w:widowControl/>
              <w:suppressLineNumbers w:val="0"/>
              <w:jc w:val="left"/>
              <w:textAlignment w:val="center"/>
              <w:rPr>
                <w:rFonts w:hint="eastAsia"/>
                <w:lang w:val="en-US" w:eastAsia="zh-CN"/>
              </w:rPr>
            </w:pPr>
            <w:r>
              <w:rPr>
                <w:rFonts w:hint="eastAsia"/>
                <w:lang w:val="en-US" w:eastAsia="zh-CN"/>
              </w:rPr>
              <w:t xml:space="preserve">6.支持IGMP v1/v2/v3，IGMP v1/v2/v3 Snooping，支持PIM-DM，PIM-SM，PIM-SSM，PIM for IPv6 </w:t>
            </w:r>
          </w:p>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w:t>
            </w:r>
            <w:r>
              <w:rPr>
                <w:rFonts w:hint="eastAsia"/>
                <w:lang w:val="en-US" w:eastAsia="zh-CN"/>
              </w:rPr>
              <w:t>7.支持特有的CPU保护策略，对发往CPU的数据流，进行流区分和优先级队列分级处理，并根据需要实施带宽限速，充分保护CPU不被非法流量占用、恶意攻击和资源消耗(提供官网描述截图并加盖厂商鲜章)</w:t>
            </w:r>
          </w:p>
          <w:p>
            <w:pPr>
              <w:keepNext w:val="0"/>
              <w:keepLines w:val="0"/>
              <w:widowControl/>
              <w:suppressLineNumbers w:val="0"/>
              <w:jc w:val="left"/>
              <w:textAlignment w:val="center"/>
              <w:rPr>
                <w:rFonts w:hint="eastAsia"/>
                <w:lang w:val="en-US" w:eastAsia="zh-CN"/>
              </w:rPr>
            </w:pPr>
            <w:r>
              <w:rPr>
                <w:rFonts w:hint="eastAsia"/>
                <w:lang w:val="en-US" w:eastAsia="zh-CN"/>
              </w:rPr>
              <w:t>8.支持基础网络保护策略，限制用户向网络中发送ARP报文、ICMP请求报文、DHCP请求报文的数率，对超过限速阈值的报文进行丢弃处理，能够识别攻击行为，对有攻击行为的用户进行隔离。</w:t>
            </w:r>
          </w:p>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w:t>
            </w:r>
            <w:r>
              <w:rPr>
                <w:rFonts w:hint="eastAsia"/>
                <w:lang w:val="en-US" w:eastAsia="zh-CN"/>
              </w:rPr>
              <w:t>9.支持快速链路检测协议RLDP，可快速检测链路的通断和光纤链路的单向性，并支持端口下的环路检测功能，防止端口下因私接Hub等设备形成的环路而导致网络故障的现象。</w:t>
            </w:r>
          </w:p>
          <w:p>
            <w:pPr>
              <w:keepNext w:val="0"/>
              <w:keepLines w:val="0"/>
              <w:widowControl/>
              <w:suppressLineNumbers w:val="0"/>
              <w:jc w:val="left"/>
              <w:textAlignment w:val="center"/>
              <w:rPr>
                <w:rFonts w:hint="eastAsia"/>
                <w:lang w:val="en-US" w:eastAsia="zh-CN"/>
              </w:rPr>
            </w:pPr>
            <w:r>
              <w:rPr>
                <w:rFonts w:hint="eastAsia"/>
                <w:lang w:val="en-US" w:eastAsia="zh-CN"/>
              </w:rPr>
              <w:t>10.设备自带云管理功能，即插即用，可随时查看网络健康度，告警及时推送，有日记事件供回溯</w:t>
            </w:r>
          </w:p>
          <w:p>
            <w:pPr>
              <w:keepNext w:val="0"/>
              <w:keepLines w:val="0"/>
              <w:widowControl/>
              <w:suppressLineNumbers w:val="0"/>
              <w:jc w:val="left"/>
              <w:textAlignment w:val="center"/>
              <w:rPr>
                <w:rFonts w:hint="eastAsia"/>
                <w:lang w:val="en-US" w:eastAsia="zh-CN"/>
              </w:rPr>
            </w:pPr>
            <w:r>
              <w:rPr>
                <w:rFonts w:hint="eastAsia"/>
                <w:lang w:val="en-US" w:eastAsia="zh-CN"/>
              </w:rPr>
              <w:t>11.提供工信部设备进网许可证；提供中国质量认证中心出具的《中国国家强制性产品认证证书》</w:t>
            </w:r>
          </w:p>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w:t>
            </w:r>
            <w:r>
              <w:rPr>
                <w:rFonts w:hint="eastAsia"/>
                <w:lang w:val="en-US" w:eastAsia="zh-CN"/>
              </w:rPr>
              <w:t>12.设备厂商拥有自主知识产权的核心技术、具有良好的创新管理体系。受国家的认可，提供国家权威三部委联合颁发的“创新型企业”（非试点企业）证书，提供证书复印件及网站查询截图并加盖厂商鲜章。</w:t>
            </w:r>
          </w:p>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w:t>
            </w:r>
            <w:r>
              <w:rPr>
                <w:rFonts w:hint="eastAsia"/>
                <w:lang w:val="en-US" w:eastAsia="zh-CN"/>
              </w:rPr>
              <w:t>13.投标产品制造厂商应具有完善的售后服务体系，专业的售后服务队伍，健全的售后服务制度，通过CTEAS售后服务体系完善程度认证（七星级），提供证书复印件、全国认证认可信息公共服务平台查询链接及截图并加盖产品厂商鲜章；</w:t>
            </w:r>
          </w:p>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1"/>
                <w:szCs w:val="21"/>
                <w:u w:val="none"/>
                <w:lang w:val="en-US" w:eastAsia="zh-CN" w:bidi="ar"/>
              </w:rPr>
              <w:t>★</w:t>
            </w:r>
            <w:r>
              <w:rPr>
                <w:rFonts w:hint="eastAsia" w:hAnsi="宋体" w:cs="宋体"/>
                <w:i w:val="0"/>
                <w:iCs w:val="0"/>
                <w:color w:val="000000"/>
                <w:kern w:val="0"/>
                <w:sz w:val="21"/>
                <w:szCs w:val="21"/>
                <w:u w:val="none"/>
                <w:lang w:val="en-US" w:eastAsia="zh-CN" w:bidi="ar"/>
              </w:rPr>
              <w:t>14.</w:t>
            </w:r>
            <w:r>
              <w:rPr>
                <w:rFonts w:hint="eastAsia"/>
                <w:lang w:val="en-US" w:eastAsia="zh-CN"/>
              </w:rPr>
              <w:t>需</w:t>
            </w:r>
            <w:r>
              <w:rPr>
                <w:rFonts w:hint="eastAsia" w:hAnsi="宋体" w:cs="宋体"/>
                <w:i w:val="0"/>
                <w:iCs w:val="0"/>
                <w:color w:val="000000"/>
                <w:kern w:val="0"/>
                <w:sz w:val="21"/>
                <w:szCs w:val="21"/>
                <w:u w:val="none"/>
                <w:lang w:val="en-US" w:eastAsia="zh-CN" w:bidi="ar"/>
              </w:rPr>
              <w:t>出具</w:t>
            </w:r>
            <w:r>
              <w:rPr>
                <w:rFonts w:hint="eastAsia" w:ascii="宋体" w:hAnsi="宋体" w:eastAsia="宋体" w:cs="宋体"/>
                <w:i w:val="0"/>
                <w:iCs w:val="0"/>
                <w:color w:val="000000"/>
                <w:kern w:val="0"/>
                <w:sz w:val="21"/>
                <w:szCs w:val="21"/>
                <w:u w:val="none"/>
                <w:lang w:val="en-US" w:eastAsia="zh-CN" w:bidi="ar"/>
              </w:rPr>
              <w:t>厂商针对本项目授权书及售后服务承诺函并加盖鲜章；</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9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1000BASE-LX mini GBIC转换模块（1310nm），10km</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4"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RVV2*1.0平方两芯电线2芯多股铜丝 软护套线</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4"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产品名称：超五类非屏蔽数字通信电缆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产品标准：YD/T 1019、YD/T926、TIA/EIA-568C.2。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产品特性：通过第三方认证，获得信产部电信设备进网证，性能完全满足和优于上述标准。具有低的传输延迟和误码率，以及较高的抗电磁干扰性。带卷轴箱体包装，易于抽出。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4"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室外单模光缆（4芯）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04"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室外单模光缆（8芯）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1108"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机柜</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服务器机柜，宽*深*高(mm)：600*1000*2050，前单开网孔门，后双开网孔门 ，含支脚脚轮及螺母螺丝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高度：42U 宽度：600mm 深度：1000mm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04"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6U壁挂机柜</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42"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线管</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 xml:space="preserve">规格直径20mm 25mm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捆</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798"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室外防水盒</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定制防水盒</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504"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立杆防水盒</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定制立杆防水盒</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504"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安装调试及辅材</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水晶头、绝缘胶布、扎带、膨胀螺丝、电源母头、三年上门服务</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2256" w:hRule="atLeast"/>
        </w:trPr>
        <w:tc>
          <w:tcPr>
            <w:tcW w:w="984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1、为保证投标监控产品得到原厂、原装、原货及原厂售后服务的保障，须出具监控产品厂商针对本次项目授权书及售后服务承诺函原件并加盖鲜章；</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2、此次升级改造建设的监控系统需与本校区原监控平台作无缝对接，并要求与碧江区教育局视频中心监控管理平台作作无缝对接，对接系统所产生的相关费用由投标人自行承担，并出具无缝对接承诺书；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3、投标人须提供监控系统3年质保、3年上门服务承诺书；</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4、投标人须根据招标需求清单提供项目实施方案，至少应包括对主要设备（周界摄像机、人脸抓拍摄像机）根据校园实际情况的合理设计和规划，并提供设备的规划安装点位图；</w:t>
            </w:r>
          </w:p>
        </w:tc>
      </w:tr>
    </w:tbl>
    <w:p>
      <w:pPr>
        <w:keepNext w:val="0"/>
        <w:keepLines w:val="0"/>
        <w:widowControl/>
        <w:suppressLineNumbers w:val="0"/>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注：投标人在不影响校园安全和正常工作的情况下，可自行到达施工现场进行踏勘。未提供或不根据实际情况提供以上要求的投标人视为未实质性响应招标文件，作无效标处理。</w:t>
      </w:r>
    </w:p>
    <w:p>
      <w:pPr>
        <w:rPr>
          <w:rFonts w:hint="default"/>
          <w:lang w:val="en-US" w:eastAsia="zh-CN"/>
        </w:rPr>
      </w:pPr>
    </w:p>
    <w:p>
      <w:pPr>
        <w:pStyle w:val="3"/>
        <w:spacing w:before="200" w:after="200" w:line="360" w:lineRule="auto"/>
        <w:jc w:val="left"/>
        <w:rPr>
          <w:rFonts w:hint="eastAsia" w:ascii="宋体" w:hAnsi="宋体" w:eastAsia="宋体"/>
          <w:b/>
          <w:bCs/>
          <w:sz w:val="30"/>
          <w:szCs w:val="30"/>
          <w:highlight w:val="none"/>
          <w:lang w:eastAsia="zh-CN"/>
        </w:rPr>
      </w:pPr>
      <w:r>
        <w:rPr>
          <w:rFonts w:hint="eastAsia" w:ascii="宋体" w:hAnsi="宋体"/>
          <w:sz w:val="30"/>
          <w:szCs w:val="30"/>
          <w:highlight w:val="none"/>
        </w:rPr>
        <w:t>备注</w:t>
      </w:r>
      <w:r>
        <w:rPr>
          <w:rFonts w:hint="eastAsia" w:ascii="宋体" w:hAnsi="宋体"/>
          <w:sz w:val="30"/>
          <w:szCs w:val="30"/>
          <w:highlight w:val="none"/>
          <w:lang w:eastAsia="zh-CN"/>
        </w:rPr>
        <w:t>：</w:t>
      </w:r>
      <w:r>
        <w:rPr>
          <w:rFonts w:hint="eastAsia" w:ascii="宋体" w:hAnsi="宋体"/>
          <w:b/>
          <w:bCs/>
          <w:sz w:val="30"/>
          <w:szCs w:val="30"/>
          <w:highlight w:val="none"/>
        </w:rPr>
        <w:t>专家评审费用由中标人承担</w:t>
      </w:r>
      <w:r>
        <w:rPr>
          <w:rFonts w:hint="eastAsia" w:ascii="宋体" w:hAnsi="宋体"/>
          <w:b/>
          <w:bCs/>
          <w:sz w:val="30"/>
          <w:szCs w:val="30"/>
          <w:highlight w:val="none"/>
          <w:lang w:eastAsia="zh-CN"/>
        </w:rPr>
        <w:t>。</w:t>
      </w:r>
    </w:p>
    <w:bookmarkEnd w:id="3"/>
    <w:bookmarkEnd w:id="4"/>
    <w:bookmarkEnd w:id="5"/>
    <w:bookmarkEnd w:id="6"/>
    <w:bookmarkEnd w:id="7"/>
    <w:bookmarkEnd w:id="8"/>
    <w:bookmarkEnd w:id="9"/>
    <w:bookmarkEnd w:id="10"/>
    <w:p>
      <w:pPr>
        <w:rPr>
          <w:rFonts w:hint="eastAsia"/>
          <w:lang w:val="en-US" w:eastAsia="zh-CN"/>
        </w:rPr>
      </w:pPr>
    </w:p>
    <w:sectPr>
      <w:headerReference r:id="rId3" w:type="default"/>
      <w:footerReference r:id="rId4"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细黑一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4"/>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52170"/>
    <w:rsid w:val="019656D4"/>
    <w:rsid w:val="02A03C48"/>
    <w:rsid w:val="02FE15DC"/>
    <w:rsid w:val="03385080"/>
    <w:rsid w:val="04053D83"/>
    <w:rsid w:val="040C3561"/>
    <w:rsid w:val="046939D9"/>
    <w:rsid w:val="04A04175"/>
    <w:rsid w:val="04B941CC"/>
    <w:rsid w:val="05406A7D"/>
    <w:rsid w:val="05FC1801"/>
    <w:rsid w:val="07F93DAC"/>
    <w:rsid w:val="089B3589"/>
    <w:rsid w:val="08D53E4B"/>
    <w:rsid w:val="09001FF7"/>
    <w:rsid w:val="09BD7216"/>
    <w:rsid w:val="0A0A1093"/>
    <w:rsid w:val="0A2948D5"/>
    <w:rsid w:val="0AFA01CF"/>
    <w:rsid w:val="0B715511"/>
    <w:rsid w:val="0BE52170"/>
    <w:rsid w:val="0BE91511"/>
    <w:rsid w:val="0E7D5BB7"/>
    <w:rsid w:val="0F615CB4"/>
    <w:rsid w:val="0F723765"/>
    <w:rsid w:val="10F67D10"/>
    <w:rsid w:val="11977DDA"/>
    <w:rsid w:val="11D93942"/>
    <w:rsid w:val="13B77EA7"/>
    <w:rsid w:val="156108C9"/>
    <w:rsid w:val="156C1119"/>
    <w:rsid w:val="1624122A"/>
    <w:rsid w:val="16674D3D"/>
    <w:rsid w:val="16D97BF3"/>
    <w:rsid w:val="17320C4D"/>
    <w:rsid w:val="1A544667"/>
    <w:rsid w:val="1AC94CB2"/>
    <w:rsid w:val="1AF45D39"/>
    <w:rsid w:val="1B8E7A6F"/>
    <w:rsid w:val="1BC620E4"/>
    <w:rsid w:val="1BC953AD"/>
    <w:rsid w:val="1C223593"/>
    <w:rsid w:val="1DA204E9"/>
    <w:rsid w:val="1DA94B31"/>
    <w:rsid w:val="1DB266FB"/>
    <w:rsid w:val="1DED6146"/>
    <w:rsid w:val="1E1C734C"/>
    <w:rsid w:val="1ED56A0D"/>
    <w:rsid w:val="1F1C5D81"/>
    <w:rsid w:val="1FA552BD"/>
    <w:rsid w:val="1FDE647D"/>
    <w:rsid w:val="20ED13FE"/>
    <w:rsid w:val="21075005"/>
    <w:rsid w:val="21F52715"/>
    <w:rsid w:val="22717992"/>
    <w:rsid w:val="229C33A8"/>
    <w:rsid w:val="22FA26E4"/>
    <w:rsid w:val="23103604"/>
    <w:rsid w:val="2322146C"/>
    <w:rsid w:val="2546602D"/>
    <w:rsid w:val="26A872DC"/>
    <w:rsid w:val="275E3933"/>
    <w:rsid w:val="27B96CE8"/>
    <w:rsid w:val="2923306D"/>
    <w:rsid w:val="2B4937C0"/>
    <w:rsid w:val="2BF83E93"/>
    <w:rsid w:val="2BFD537A"/>
    <w:rsid w:val="2C591990"/>
    <w:rsid w:val="2DD0334B"/>
    <w:rsid w:val="2E5927FE"/>
    <w:rsid w:val="2F000D0A"/>
    <w:rsid w:val="2F3F2D05"/>
    <w:rsid w:val="2F8C1D98"/>
    <w:rsid w:val="31575E50"/>
    <w:rsid w:val="318A1C77"/>
    <w:rsid w:val="3276758F"/>
    <w:rsid w:val="340F7004"/>
    <w:rsid w:val="345D6BCD"/>
    <w:rsid w:val="34E105F2"/>
    <w:rsid w:val="351F7BA9"/>
    <w:rsid w:val="35282B49"/>
    <w:rsid w:val="35C04321"/>
    <w:rsid w:val="37E76C1D"/>
    <w:rsid w:val="38A42BF4"/>
    <w:rsid w:val="39AC072B"/>
    <w:rsid w:val="3AB406EF"/>
    <w:rsid w:val="3D067007"/>
    <w:rsid w:val="3EC51912"/>
    <w:rsid w:val="3F0A2DB7"/>
    <w:rsid w:val="3F2C1931"/>
    <w:rsid w:val="40901016"/>
    <w:rsid w:val="40B07AF2"/>
    <w:rsid w:val="40E0172C"/>
    <w:rsid w:val="41DC1B54"/>
    <w:rsid w:val="421D0268"/>
    <w:rsid w:val="42E66127"/>
    <w:rsid w:val="432021F2"/>
    <w:rsid w:val="434518C2"/>
    <w:rsid w:val="44105AD8"/>
    <w:rsid w:val="44CC6046"/>
    <w:rsid w:val="46401E44"/>
    <w:rsid w:val="4705730A"/>
    <w:rsid w:val="47C86602"/>
    <w:rsid w:val="495816D1"/>
    <w:rsid w:val="49805174"/>
    <w:rsid w:val="4B0B0FAA"/>
    <w:rsid w:val="4BAD6DD0"/>
    <w:rsid w:val="4C423A13"/>
    <w:rsid w:val="4CA0565A"/>
    <w:rsid w:val="4D934F2C"/>
    <w:rsid w:val="4DCB07C7"/>
    <w:rsid w:val="4DE3101B"/>
    <w:rsid w:val="4E595DA0"/>
    <w:rsid w:val="4E98237F"/>
    <w:rsid w:val="4F773CDF"/>
    <w:rsid w:val="50E4733B"/>
    <w:rsid w:val="5170292E"/>
    <w:rsid w:val="519D6A3D"/>
    <w:rsid w:val="526C288D"/>
    <w:rsid w:val="52725823"/>
    <w:rsid w:val="53296C6C"/>
    <w:rsid w:val="536E1136"/>
    <w:rsid w:val="541D45D8"/>
    <w:rsid w:val="5445294F"/>
    <w:rsid w:val="547C3A7F"/>
    <w:rsid w:val="54993C48"/>
    <w:rsid w:val="54ED528B"/>
    <w:rsid w:val="557D625A"/>
    <w:rsid w:val="55EE2384"/>
    <w:rsid w:val="56C34F82"/>
    <w:rsid w:val="57727177"/>
    <w:rsid w:val="58861098"/>
    <w:rsid w:val="58BB66F0"/>
    <w:rsid w:val="58C06B8B"/>
    <w:rsid w:val="597B3655"/>
    <w:rsid w:val="5A213645"/>
    <w:rsid w:val="5A793414"/>
    <w:rsid w:val="5B8B7574"/>
    <w:rsid w:val="5BD32A41"/>
    <w:rsid w:val="5C7930FC"/>
    <w:rsid w:val="5CC5665E"/>
    <w:rsid w:val="5D2B3C75"/>
    <w:rsid w:val="5D301470"/>
    <w:rsid w:val="5E311E71"/>
    <w:rsid w:val="5E534C59"/>
    <w:rsid w:val="5E7002E1"/>
    <w:rsid w:val="5F131865"/>
    <w:rsid w:val="5FAB543B"/>
    <w:rsid w:val="5FC545C6"/>
    <w:rsid w:val="60115372"/>
    <w:rsid w:val="62AC5CB7"/>
    <w:rsid w:val="63B12314"/>
    <w:rsid w:val="64C116AC"/>
    <w:rsid w:val="64E01395"/>
    <w:rsid w:val="66E358D5"/>
    <w:rsid w:val="676E5763"/>
    <w:rsid w:val="67894973"/>
    <w:rsid w:val="68505B6B"/>
    <w:rsid w:val="68D739A2"/>
    <w:rsid w:val="692449EE"/>
    <w:rsid w:val="6A8944C6"/>
    <w:rsid w:val="6AE44653"/>
    <w:rsid w:val="6B0C104F"/>
    <w:rsid w:val="6B2D354A"/>
    <w:rsid w:val="6C552E96"/>
    <w:rsid w:val="6CC57372"/>
    <w:rsid w:val="6D40715A"/>
    <w:rsid w:val="6D535020"/>
    <w:rsid w:val="6DEA7494"/>
    <w:rsid w:val="6DFA46C3"/>
    <w:rsid w:val="72385C09"/>
    <w:rsid w:val="72A01582"/>
    <w:rsid w:val="738744BB"/>
    <w:rsid w:val="74594D5B"/>
    <w:rsid w:val="753C709E"/>
    <w:rsid w:val="75854221"/>
    <w:rsid w:val="75A77F5F"/>
    <w:rsid w:val="765C2FCD"/>
    <w:rsid w:val="76A668B1"/>
    <w:rsid w:val="77031653"/>
    <w:rsid w:val="77835DD6"/>
    <w:rsid w:val="78DF48C7"/>
    <w:rsid w:val="79881788"/>
    <w:rsid w:val="79D225D2"/>
    <w:rsid w:val="7A427D47"/>
    <w:rsid w:val="7A4C450A"/>
    <w:rsid w:val="7AE27A1E"/>
    <w:rsid w:val="7B600EE3"/>
    <w:rsid w:val="7BFD396B"/>
    <w:rsid w:val="7C9710A7"/>
    <w:rsid w:val="7D0F44FE"/>
    <w:rsid w:val="7E324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0" w:beforeLines="0" w:line="360" w:lineRule="auto"/>
      <w:ind w:firstLine="0"/>
      <w:jc w:val="center"/>
      <w:outlineLvl w:val="0"/>
    </w:pPr>
    <w:rPr>
      <w:rFonts w:cs="宋体"/>
      <w:b/>
      <w:bCs/>
      <w:kern w:val="44"/>
      <w:sz w:val="32"/>
      <w:szCs w:val="44"/>
    </w:rPr>
  </w:style>
  <w:style w:type="paragraph" w:styleId="4">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8">
    <w:name w:val="Default Paragraph Font"/>
    <w:link w:val="19"/>
    <w:semiHidden/>
    <w:qFormat/>
    <w:uiPriority w:val="0"/>
    <w:rPr>
      <w:rFonts w:ascii="Times New Roman" w:hAnsi="Times New Roman"/>
      <w:szCs w:val="24"/>
    </w:rPr>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6">
    <w:name w:val="Normal Indent"/>
    <w:basedOn w:val="1"/>
    <w:qFormat/>
    <w:uiPriority w:val="0"/>
    <w:pPr>
      <w:ind w:firstLine="420"/>
    </w:pPr>
  </w:style>
  <w:style w:type="paragraph" w:styleId="7">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8">
    <w:name w:val="Body Text 3"/>
    <w:basedOn w:val="1"/>
    <w:qFormat/>
    <w:uiPriority w:val="0"/>
    <w:rPr>
      <w:rFonts w:ascii="宋体"/>
      <w:kern w:val="2"/>
      <w:sz w:val="24"/>
    </w:rPr>
  </w:style>
  <w:style w:type="paragraph" w:styleId="9">
    <w:name w:val="Body Text"/>
    <w:basedOn w:val="1"/>
    <w:next w:val="10"/>
    <w:qFormat/>
    <w:uiPriority w:val="0"/>
    <w:pPr>
      <w:spacing w:after="120" w:afterLines="0"/>
    </w:pPr>
    <w:rPr>
      <w:rFonts w:ascii="Tahoma" w:hAnsi="Tahoma"/>
      <w:szCs w:val="20"/>
    </w:rPr>
  </w:style>
  <w:style w:type="paragraph" w:styleId="10">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1">
    <w:name w:val="Plain Text"/>
    <w:basedOn w:val="1"/>
    <w:qFormat/>
    <w:uiPriority w:val="0"/>
    <w:rPr>
      <w:rFonts w:ascii="宋体" w:hAnsi="Courier New"/>
      <w:kern w:val="0"/>
      <w:sz w:val="20"/>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Lines="0" w:beforeAutospacing="1" w:after="100" w:afterLines="0" w:afterAutospacing="1"/>
    </w:pPr>
    <w:rPr>
      <w:rFonts w:ascii="宋体" w:hAnsi="宋体" w:cs="宋体"/>
      <w:sz w:val="24"/>
      <w:szCs w:val="24"/>
    </w:rPr>
  </w:style>
  <w:style w:type="paragraph" w:styleId="15">
    <w:name w:val="Body Text First Indent"/>
    <w:basedOn w:val="9"/>
    <w:unhideWhenUsed/>
    <w:qFormat/>
    <w:uiPriority w:val="0"/>
    <w:pPr>
      <w:spacing w:line="259" w:lineRule="auto"/>
      <w:ind w:firstLine="420" w:firstLineChars="100"/>
    </w:pPr>
    <w:rPr>
      <w:rFonts w:eastAsia="方正细黑一简体"/>
      <w:szCs w:val="21"/>
      <w:lang w:eastAsia="en-U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Char Char Char Char Char"/>
    <w:basedOn w:val="1"/>
    <w:link w:val="18"/>
    <w:qFormat/>
    <w:uiPriority w:val="0"/>
    <w:rPr>
      <w:rFonts w:ascii="Times New Roman" w:hAnsi="Times New Roman"/>
      <w:szCs w:val="24"/>
    </w:rPr>
  </w:style>
  <w:style w:type="character" w:styleId="20">
    <w:name w:val="Strong"/>
    <w:basedOn w:val="18"/>
    <w:qFormat/>
    <w:uiPriority w:val="22"/>
    <w:rPr>
      <w:rFonts w:eastAsia="黑体"/>
      <w:bCs/>
    </w:rPr>
  </w:style>
  <w:style w:type="character" w:styleId="21">
    <w:name w:val="page number"/>
    <w:basedOn w:val="18"/>
    <w:qFormat/>
    <w:uiPriority w:val="0"/>
  </w:style>
  <w:style w:type="paragraph" w:customStyle="1" w:styleId="22">
    <w:name w:val="列出段落1"/>
    <w:basedOn w:val="1"/>
    <w:qFormat/>
    <w:uiPriority w:val="34"/>
    <w:pPr>
      <w:ind w:firstLine="420" w:firstLineChars="200"/>
    </w:pPr>
  </w:style>
  <w:style w:type="character" w:customStyle="1" w:styleId="23">
    <w:name w:val="font01"/>
    <w:basedOn w:val="18"/>
    <w:qFormat/>
    <w:uiPriority w:val="0"/>
    <w:rPr>
      <w:rFonts w:hint="eastAsia" w:ascii="宋体" w:hAnsi="宋体" w:eastAsia="宋体" w:cs="宋体"/>
      <w:color w:val="000000"/>
      <w:sz w:val="20"/>
      <w:szCs w:val="20"/>
      <w:u w:val="none"/>
    </w:rPr>
  </w:style>
  <w:style w:type="character" w:customStyle="1" w:styleId="24">
    <w:name w:val="font21"/>
    <w:basedOn w:val="18"/>
    <w:qFormat/>
    <w:uiPriority w:val="0"/>
    <w:rPr>
      <w:rFonts w:ascii="宋体" w:hAnsi="宋体" w:eastAsia="宋体" w:cs="宋体"/>
      <w:color w:val="000000"/>
      <w:sz w:val="20"/>
      <w:szCs w:val="20"/>
      <w:u w:val="none"/>
    </w:rPr>
  </w:style>
  <w:style w:type="character" w:customStyle="1" w:styleId="25">
    <w:name w:val="font11"/>
    <w:basedOn w:val="18"/>
    <w:qFormat/>
    <w:uiPriority w:val="0"/>
    <w:rPr>
      <w:rFonts w:hint="eastAsia" w:ascii="宋体" w:hAnsi="宋体" w:eastAsia="宋体" w:cs="宋体"/>
      <w:color w:val="000000"/>
      <w:sz w:val="24"/>
      <w:szCs w:val="24"/>
      <w:u w:val="none"/>
    </w:rPr>
  </w:style>
  <w:style w:type="paragraph" w:customStyle="1" w:styleId="26">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7">
    <w:name w:val="Table Paragraph"/>
    <w:basedOn w:val="1"/>
    <w:qFormat/>
    <w:uiPriority w:val="1"/>
    <w:rPr>
      <w:lang w:val="zh-CN" w:eastAsia="zh-CN" w:bidi="zh-CN"/>
    </w:rPr>
  </w:style>
  <w:style w:type="character" w:customStyle="1" w:styleId="28">
    <w:name w:val="font51"/>
    <w:basedOn w:val="18"/>
    <w:qFormat/>
    <w:uiPriority w:val="0"/>
    <w:rPr>
      <w:rFonts w:ascii="宋体" w:hAnsi="宋体" w:eastAsia="宋体" w:cs="宋体"/>
      <w:color w:val="000000"/>
      <w:sz w:val="20"/>
      <w:szCs w:val="20"/>
      <w:u w:val="none"/>
    </w:rPr>
  </w:style>
  <w:style w:type="character" w:customStyle="1" w:styleId="29">
    <w:name w:val="font41"/>
    <w:basedOn w:val="18"/>
    <w:qFormat/>
    <w:uiPriority w:val="0"/>
    <w:rPr>
      <w:rFonts w:hint="eastAsia" w:ascii="宋体" w:hAnsi="宋体" w:eastAsia="宋体" w:cs="宋体"/>
      <w:color w:val="FF0000"/>
      <w:sz w:val="24"/>
      <w:szCs w:val="24"/>
      <w:u w:val="none"/>
    </w:rPr>
  </w:style>
  <w:style w:type="paragraph" w:customStyle="1" w:styleId="30">
    <w:name w:val="首行缩进"/>
    <w:basedOn w:val="1"/>
    <w:qFormat/>
    <w:uiPriority w:val="0"/>
    <w:pPr>
      <w:ind w:firstLine="480" w:firstLineChars="200"/>
    </w:pPr>
    <w:rPr>
      <w:lang w:val="zh-CN"/>
    </w:rPr>
  </w:style>
  <w:style w:type="character" w:customStyle="1" w:styleId="31">
    <w:name w:val="font71"/>
    <w:basedOn w:val="18"/>
    <w:qFormat/>
    <w:uiPriority w:val="0"/>
    <w:rPr>
      <w:rFonts w:ascii="微软雅黑" w:hAnsi="微软雅黑" w:eastAsia="微软雅黑" w:cs="微软雅黑"/>
      <w:color w:val="000000"/>
      <w:sz w:val="28"/>
      <w:szCs w:val="28"/>
      <w:u w:val="none"/>
    </w:rPr>
  </w:style>
  <w:style w:type="character" w:customStyle="1" w:styleId="32">
    <w:name w:val="font101"/>
    <w:basedOn w:val="18"/>
    <w:qFormat/>
    <w:uiPriority w:val="0"/>
    <w:rPr>
      <w:rFonts w:hint="eastAsia" w:ascii="宋体" w:hAnsi="宋体" w:eastAsia="宋体" w:cs="宋体"/>
      <w:color w:val="000000"/>
      <w:sz w:val="28"/>
      <w:szCs w:val="28"/>
      <w:u w:val="none"/>
    </w:rPr>
  </w:style>
  <w:style w:type="character" w:customStyle="1" w:styleId="33">
    <w:name w:val="font61"/>
    <w:basedOn w:val="18"/>
    <w:qFormat/>
    <w:uiPriority w:val="0"/>
    <w:rPr>
      <w:rFonts w:hint="default"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642</Words>
  <Characters>748</Characters>
  <Lines>0</Lines>
  <Paragraphs>0</Paragraphs>
  <TotalTime>0</TotalTime>
  <ScaleCrop>false</ScaleCrop>
  <LinksUpToDate>false</LinksUpToDate>
  <CharactersWithSpaces>753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2018-07-11T06:18:00Z</dcterms:created>
  <dc:creator>待续</dc:creator>
  <cp:lastModifiedBy>—个问题</cp:lastModifiedBy>
  <cp:lastPrinted>2021-07-26T06:04:00Z</cp:lastPrinted>
  <dcterms:modified xsi:type="dcterms:W3CDTF">2021-07-28T06:00:07Z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A36EE665F3B14D9D965A382E7A689327</vt:lpwstr>
  </property>
</Properties>
</file>