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64" w:tblpY="509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11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93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5"/>
              <w:spacing w:line="36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评分内容及打分办法（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注：评分内容涉及证明材料，提供加盖公章复印件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3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1、报价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投标报价得分</w:t>
            </w:r>
            <w:r>
              <w:rPr>
                <w:rFonts w:ascii="宋体" w:hAnsi="宋体"/>
                <w:color w:val="auto"/>
                <w:szCs w:val="21"/>
              </w:rPr>
              <w:t>=</w:t>
            </w:r>
            <w:r>
              <w:rPr>
                <w:rFonts w:hint="eastAsia" w:ascii="宋体" w:hAnsi="宋体"/>
                <w:color w:val="auto"/>
                <w:szCs w:val="21"/>
              </w:rPr>
              <w:t>（评标基准价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投标报价）×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30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注：评标基准价指满足招标文件要求且投标价格最低的投标报价；投标报价指满足招标文件要求的各投标供应商的投标报价。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93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2、商务部分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pStyle w:val="5"/>
              <w:spacing w:line="240" w:lineRule="exact"/>
              <w:ind w:right="42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2.1投标人提供类似项目（产品内容、项目金额、复杂程度等类似）业绩的合同复印件作为证明材料（当评标委员会认为需要提供原件复查时，投标人须在评标委员会规定的时间内提交合同原件核验），每有一份得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分，最高分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pStyle w:val="5"/>
              <w:spacing w:line="240" w:lineRule="exact"/>
              <w:ind w:right="420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/>
                <w:color w:val="auto"/>
              </w:rPr>
              <w:t>2.2综合评审所有投标人针对本项目有详细、完善的项目组织计划及管理的方法（有完善的生产及供货介绍，针对本项目施工的人员概况，有详细健全的包装、运输、安装、调试、验收计划及方法）：</w:t>
            </w:r>
            <w:r>
              <w:rPr>
                <w:rFonts w:hint="eastAsia"/>
                <w:color w:val="auto"/>
                <w:lang w:val="en-US" w:eastAsia="zh-CN"/>
              </w:rPr>
              <w:t>评审专家横向打分0-3分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。</w:t>
            </w:r>
          </w:p>
          <w:p>
            <w:pPr>
              <w:pStyle w:val="5"/>
              <w:spacing w:line="240" w:lineRule="exact"/>
              <w:ind w:right="420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2.3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设备选型：按有效投标单位对主要设备的选型，从设备品牌的知名度、稳定性、易维护性及配套产品和辅材选用等方面进行评定：</w:t>
            </w:r>
            <w:r>
              <w:rPr>
                <w:rFonts w:hint="eastAsia"/>
                <w:color w:val="auto"/>
                <w:lang w:val="en-US" w:eastAsia="zh-CN"/>
              </w:rPr>
              <w:t>评审专家横向打分0-3分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3、技术部分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5分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left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投标技术、商务偏离情况：投标人应提供投标方案的产品规格型号说明及主要技术参数，详细填写技术（提供产品彩页作为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佐证材料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）、商务偏离表，并达到技术、商务等要求;所有技术、商务指标（投标规格、数量、详细技术指标、要求等）满足招标文件要求的情况,得基本分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分。</w:t>
            </w:r>
          </w:p>
          <w:p>
            <w:pPr>
              <w:shd w:val="solid" w:color="FFFFFF" w:fill="auto"/>
              <w:autoSpaceDN w:val="0"/>
              <w:spacing w:line="320" w:lineRule="exact"/>
              <w:ind w:firstLine="420" w:firstLineChars="200"/>
              <w:jc w:val="left"/>
              <w:rPr>
                <w:rFonts w:hint="eastAsia"/>
                <w:color w:val="auto"/>
                <w:szCs w:val="20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扣分条款：评委将根据投标文件对招标文件中的技术规格、参数及商务等要求评审项目的响应程度进行比较综合评审——产品技术参数及要求带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★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部分每负偏离一项扣10分，正偏离不加分；非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★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部分每负偏离一项扣5分，正偏离不加分；扣完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4、售后服务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5分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pStyle w:val="5"/>
              <w:spacing w:line="36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Cs w:val="21"/>
              </w:rPr>
              <w:t>售后服务方案有维护保养人员、应急维修预案、使用培训计划的计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；没有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完整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资料的扣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1-5分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002D"/>
    <w:rsid w:val="1B2961E1"/>
    <w:rsid w:val="2C320A2D"/>
    <w:rsid w:val="321E4D65"/>
    <w:rsid w:val="4A00374F"/>
    <w:rsid w:val="4E9A74EC"/>
    <w:rsid w:val="5FE22FEE"/>
    <w:rsid w:val="6BF72658"/>
    <w:rsid w:val="6CD66937"/>
    <w:rsid w:val="7837412C"/>
    <w:rsid w:val="7F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2021-06-28T03:15:00Z</dcterms:created>
  <dc:creator>Administrator</dc:creator>
  <cp:lastModifiedBy>林峰</cp:lastModifiedBy>
  <dcterms:modified xsi:type="dcterms:W3CDTF">2021-07-11T08:22:32Z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E406853AC07E4A41A9EA662A286F13AC</vt:lpwstr>
  </property>
</Properties>
</file>