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bookmarkStart w:id="0" w:name="OLE_LINK4"/>
      <w:bookmarkStart w:id="1" w:name="OLE_LINK2"/>
      <w:bookmarkStart w:id="2" w:name="OLE_LINK1"/>
      <w:r>
        <w:rPr>
          <w:rFonts w:hint="eastAsia" w:ascii="宋体" w:hAnsi="宋体" w:cs="宋体"/>
          <w:b/>
          <w:bCs/>
          <w:color w:val="000000"/>
          <w:sz w:val="28"/>
          <w:szCs w:val="28"/>
          <w:lang w:val="en-US" w:eastAsia="zh-CN"/>
        </w:rPr>
        <w:t>1.项目名称：铜仁学院2021年图书采购项目</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2.项目编号：TRZFCG-2021-093</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3.公示期限（不少于2个工作日）：</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2021年6月17日-2021年6月18日</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 xml:space="preserve">4.采购预算：1630000.00元（最高限价折扣：6.8折）        </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5.采购预算确定依据：</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铜仁市直单位政府采购（集中采购）申报表</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6.采购人名称：铜仁学院</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联系地址：铜仁学院</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项目联系人：李老师、曾老师</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联系电话：15308565815、0856-5230998</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7.采购代理机构全称:铜仁市公共资源交易中心</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联系地址:铜仁市公共服务中心四楼（川硐麒龙国际会展城）</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项目联系人:杨玄</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联系电话:0856-3912922</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任何单位和个人对本项目采购文件需求公示有异议的，可在公示期限内，反馈意见给代理机构。</w:t>
      </w:r>
      <w:bookmarkEnd w:id="0"/>
      <w:bookmarkEnd w:id="1"/>
      <w:bookmarkEnd w:id="2"/>
    </w:p>
    <w:p>
      <w:pPr>
        <w:pStyle w:val="23"/>
        <w:ind w:left="0" w:leftChars="0" w:firstLine="0" w:firstLineChars="0"/>
        <w:rPr>
          <w:rFonts w:hint="eastAsia"/>
          <w:lang w:val="en-US" w:eastAsia="zh-CN"/>
        </w:rPr>
      </w:pPr>
    </w:p>
    <w:p>
      <w:pPr>
        <w:rPr>
          <w:rFonts w:hint="eastAsia"/>
          <w:lang w:val="en-US" w:eastAsia="zh-CN"/>
        </w:rPr>
      </w:pPr>
    </w:p>
    <w:p>
      <w:pPr>
        <w:numPr>
          <w:ilvl w:val="0"/>
          <w:numId w:val="0"/>
        </w:numPr>
        <w:jc w:val="both"/>
        <w:rPr>
          <w:rFonts w:hint="eastAsia"/>
          <w:b/>
          <w:bCs/>
          <w:sz w:val="52"/>
          <w:szCs w:val="52"/>
        </w:rPr>
      </w:pPr>
    </w:p>
    <w:p>
      <w:pPr>
        <w:numPr>
          <w:ilvl w:val="0"/>
          <w:numId w:val="0"/>
        </w:numPr>
        <w:jc w:val="center"/>
        <w:rPr>
          <w:rFonts w:hint="eastAsia"/>
          <w:b/>
          <w:bCs/>
          <w:sz w:val="52"/>
          <w:szCs w:val="52"/>
        </w:rPr>
      </w:pPr>
      <w:r>
        <w:rPr>
          <w:rFonts w:hint="eastAsia"/>
          <w:b/>
          <w:bCs/>
          <w:sz w:val="52"/>
          <w:szCs w:val="52"/>
        </w:rPr>
        <w:t>谈判内容及要求</w:t>
      </w:r>
    </w:p>
    <w:p>
      <w:pPr>
        <w:pStyle w:val="2"/>
        <w:rPr>
          <w:rFonts w:hint="eastAsia"/>
          <w:lang w:val="en-US" w:eastAsia="zh-CN"/>
        </w:rPr>
      </w:pPr>
      <w:bookmarkStart w:id="3" w:name="_GoBack"/>
      <w:bookmarkEnd w:id="3"/>
    </w:p>
    <w:p>
      <w:pPr>
        <w:spacing w:line="560" w:lineRule="exact"/>
        <w:rPr>
          <w:rFonts w:hint="eastAsia" w:ascii="仿宋" w:hAnsi="仿宋" w:eastAsia="仿宋" w:cs="仿宋"/>
          <w:b/>
          <w:bCs/>
          <w:sz w:val="32"/>
          <w:szCs w:val="32"/>
          <w:lang w:eastAsia="zh-CN"/>
        </w:rPr>
      </w:pPr>
      <w:r>
        <w:rPr>
          <w:rFonts w:hint="eastAsia" w:ascii="仿宋" w:hAnsi="仿宋" w:eastAsia="仿宋" w:cs="仿宋"/>
          <w:b/>
          <w:bCs/>
          <w:sz w:val="32"/>
          <w:szCs w:val="32"/>
        </w:rPr>
        <w:t>一、项目概</w:t>
      </w:r>
      <w:r>
        <w:rPr>
          <w:rFonts w:hint="eastAsia" w:ascii="仿宋" w:hAnsi="仿宋" w:eastAsia="仿宋" w:cs="仿宋"/>
          <w:b/>
          <w:bCs/>
          <w:sz w:val="32"/>
          <w:szCs w:val="32"/>
          <w:lang w:eastAsia="zh-CN"/>
        </w:rPr>
        <w:t>况</w:t>
      </w:r>
    </w:p>
    <w:p>
      <w:pPr>
        <w:adjustRightInd w:val="0"/>
        <w:snapToGrid w:val="0"/>
        <w:spacing w:line="460" w:lineRule="exact"/>
        <w:ind w:firstLine="640" w:firstLineChars="200"/>
        <w:rPr>
          <w:rFonts w:ascii="仿宋" w:hAnsi="仿宋" w:eastAsia="仿宋" w:cs="仿宋"/>
          <w:b/>
          <w:bCs/>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本项目为铜仁学院</w:t>
      </w:r>
      <w:r>
        <w:rPr>
          <w:rFonts w:hint="eastAsia" w:ascii="仿宋" w:hAnsi="仿宋" w:eastAsia="仿宋" w:cs="仿宋"/>
          <w:sz w:val="32"/>
          <w:szCs w:val="32"/>
          <w:lang w:val="en-US" w:eastAsia="zh-CN"/>
        </w:rPr>
        <w:t>2021年中文纸质</w:t>
      </w:r>
      <w:r>
        <w:rPr>
          <w:rFonts w:hint="eastAsia" w:ascii="仿宋" w:hAnsi="仿宋" w:eastAsia="仿宋" w:cs="仿宋"/>
          <w:sz w:val="32"/>
          <w:szCs w:val="32"/>
        </w:rPr>
        <w:t>图书</w:t>
      </w:r>
      <w:r>
        <w:rPr>
          <w:rFonts w:hint="eastAsia" w:ascii="仿宋" w:hAnsi="仿宋" w:eastAsia="仿宋" w:cs="仿宋"/>
          <w:sz w:val="32"/>
          <w:szCs w:val="32"/>
          <w:lang w:eastAsia="zh-CN"/>
        </w:rPr>
        <w:t>采购服务单位项目</w:t>
      </w:r>
      <w:r>
        <w:rPr>
          <w:rFonts w:hint="eastAsia" w:ascii="仿宋" w:hAnsi="仿宋" w:eastAsia="仿宋" w:cs="仿宋"/>
          <w:sz w:val="32"/>
          <w:szCs w:val="32"/>
        </w:rPr>
        <w:t>，</w:t>
      </w:r>
      <w:r>
        <w:rPr>
          <w:rFonts w:hint="eastAsia" w:ascii="仿宋" w:hAnsi="仿宋" w:eastAsia="仿宋" w:cs="仿宋"/>
          <w:b/>
          <w:bCs/>
          <w:sz w:val="32"/>
          <w:szCs w:val="32"/>
        </w:rPr>
        <w:t>采购图书为202</w:t>
      </w: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及以后出版的</w:t>
      </w:r>
      <w:r>
        <w:rPr>
          <w:rFonts w:hint="eastAsia" w:ascii="仿宋" w:hAnsi="仿宋" w:eastAsia="仿宋" w:cs="仿宋"/>
          <w:b/>
          <w:bCs/>
          <w:sz w:val="32"/>
          <w:szCs w:val="32"/>
          <w:lang w:eastAsia="zh-CN"/>
        </w:rPr>
        <w:t>中文纸质</w:t>
      </w:r>
      <w:r>
        <w:rPr>
          <w:rFonts w:hint="eastAsia" w:ascii="仿宋" w:hAnsi="仿宋" w:eastAsia="仿宋" w:cs="仿宋"/>
          <w:b/>
          <w:bCs/>
          <w:sz w:val="32"/>
          <w:szCs w:val="32"/>
        </w:rPr>
        <w:t>图书</w:t>
      </w:r>
      <w:r>
        <w:rPr>
          <w:rFonts w:hint="eastAsia" w:ascii="仿宋" w:hAnsi="仿宋" w:eastAsia="仿宋" w:cs="仿宋"/>
          <w:b/>
          <w:bCs/>
          <w:sz w:val="32"/>
          <w:szCs w:val="32"/>
          <w:lang w:eastAsia="zh-CN"/>
        </w:rPr>
        <w:t>，采购预算</w:t>
      </w:r>
      <w:r>
        <w:rPr>
          <w:rFonts w:hint="eastAsia" w:ascii="仿宋" w:hAnsi="仿宋" w:eastAsia="仿宋" w:cs="仿宋"/>
          <w:b/>
          <w:bCs/>
          <w:sz w:val="32"/>
          <w:szCs w:val="32"/>
          <w:lang w:val="en-US" w:eastAsia="zh-CN"/>
        </w:rPr>
        <w:t>163万元，入围一</w:t>
      </w:r>
      <w:r>
        <w:rPr>
          <w:rFonts w:hint="eastAsia" w:ascii="仿宋" w:hAnsi="仿宋" w:eastAsia="仿宋" w:cs="仿宋"/>
          <w:b/>
          <w:bCs/>
          <w:color w:val="auto"/>
          <w:sz w:val="32"/>
          <w:szCs w:val="32"/>
          <w:lang w:val="en-US" w:eastAsia="zh-CN"/>
        </w:rPr>
        <w:t>家</w:t>
      </w:r>
      <w:r>
        <w:rPr>
          <w:rFonts w:hint="eastAsia" w:ascii="仿宋" w:hAnsi="仿宋" w:eastAsia="仿宋" w:cs="仿宋"/>
          <w:b/>
          <w:bCs/>
          <w:sz w:val="32"/>
          <w:szCs w:val="32"/>
          <w:lang w:val="en-US" w:eastAsia="zh-CN"/>
        </w:rPr>
        <w:t>供应商。</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采购货物名称、规格配置或参数、数量金额及选取供应商数量。</w:t>
      </w:r>
    </w:p>
    <w:tbl>
      <w:tblPr>
        <w:tblStyle w:val="14"/>
        <w:tblW w:w="9113" w:type="dxa"/>
        <w:jc w:val="center"/>
        <w:tblLayout w:type="fixed"/>
        <w:tblCellMar>
          <w:top w:w="0" w:type="dxa"/>
          <w:left w:w="108" w:type="dxa"/>
          <w:bottom w:w="0" w:type="dxa"/>
          <w:right w:w="108" w:type="dxa"/>
        </w:tblCellMar>
      </w:tblPr>
      <w:tblGrid>
        <w:gridCol w:w="1338"/>
        <w:gridCol w:w="1893"/>
        <w:gridCol w:w="1938"/>
        <w:gridCol w:w="1200"/>
        <w:gridCol w:w="1372"/>
        <w:gridCol w:w="1372"/>
      </w:tblGrid>
      <w:tr>
        <w:tblPrEx>
          <w:tblCellMar>
            <w:top w:w="0" w:type="dxa"/>
            <w:left w:w="108" w:type="dxa"/>
            <w:bottom w:w="0" w:type="dxa"/>
            <w:right w:w="108" w:type="dxa"/>
          </w:tblCellMar>
        </w:tblPrEx>
        <w:trPr>
          <w:trHeight w:val="997" w:hRule="atLeast"/>
          <w:jc w:val="center"/>
        </w:trPr>
        <w:tc>
          <w:tcPr>
            <w:tcW w:w="133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bCs/>
                <w:sz w:val="24"/>
              </w:rPr>
            </w:pPr>
            <w:r>
              <w:rPr>
                <w:rFonts w:hint="eastAsia" w:ascii="仿宋" w:hAnsi="仿宋" w:eastAsia="仿宋" w:cs="仿宋"/>
                <w:b/>
                <w:bCs/>
                <w:sz w:val="24"/>
              </w:rPr>
              <w:t>商品名称</w:t>
            </w:r>
          </w:p>
        </w:tc>
        <w:tc>
          <w:tcPr>
            <w:tcW w:w="189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bCs/>
                <w:sz w:val="24"/>
              </w:rPr>
            </w:pPr>
            <w:r>
              <w:rPr>
                <w:rFonts w:hint="eastAsia" w:ascii="仿宋" w:hAnsi="仿宋" w:eastAsia="仿宋" w:cs="仿宋"/>
                <w:b/>
                <w:bCs/>
                <w:sz w:val="24"/>
              </w:rPr>
              <w:t>规格及配置或参数</w:t>
            </w:r>
          </w:p>
        </w:tc>
        <w:tc>
          <w:tcPr>
            <w:tcW w:w="193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bCs/>
                <w:sz w:val="24"/>
              </w:rPr>
            </w:pPr>
            <w:r>
              <w:rPr>
                <w:rFonts w:hint="eastAsia" w:ascii="仿宋" w:hAnsi="仿宋" w:eastAsia="仿宋" w:cs="仿宋"/>
                <w:b/>
                <w:bCs/>
                <w:sz w:val="24"/>
              </w:rPr>
              <w:t>数量、金额</w:t>
            </w:r>
          </w:p>
        </w:tc>
        <w:tc>
          <w:tcPr>
            <w:tcW w:w="12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bCs/>
                <w:sz w:val="24"/>
              </w:rPr>
            </w:pPr>
            <w:r>
              <w:rPr>
                <w:rFonts w:hint="eastAsia" w:ascii="仿宋" w:hAnsi="仿宋" w:eastAsia="仿宋" w:cs="仿宋"/>
                <w:b/>
                <w:bCs/>
                <w:sz w:val="24"/>
              </w:rPr>
              <w:t>采购人</w:t>
            </w:r>
          </w:p>
        </w:tc>
        <w:tc>
          <w:tcPr>
            <w:tcW w:w="137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bCs/>
                <w:sz w:val="24"/>
              </w:rPr>
            </w:pPr>
            <w:r>
              <w:rPr>
                <w:rFonts w:hint="eastAsia" w:ascii="仿宋" w:hAnsi="仿宋" w:eastAsia="仿宋" w:cs="仿宋"/>
                <w:b/>
                <w:bCs/>
                <w:sz w:val="24"/>
              </w:rPr>
              <w:t>选取供应商数</w:t>
            </w:r>
          </w:p>
        </w:tc>
        <w:tc>
          <w:tcPr>
            <w:tcW w:w="137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b/>
                <w:bCs/>
                <w:sz w:val="24"/>
              </w:rPr>
            </w:pPr>
            <w:r>
              <w:rPr>
                <w:rFonts w:hint="eastAsia" w:ascii="仿宋" w:hAnsi="仿宋" w:eastAsia="仿宋" w:cs="仿宋"/>
                <w:b/>
                <w:bCs/>
                <w:sz w:val="24"/>
              </w:rPr>
              <w:t>最高限价（折扣）</w:t>
            </w:r>
          </w:p>
        </w:tc>
      </w:tr>
      <w:tr>
        <w:tblPrEx>
          <w:tblCellMar>
            <w:top w:w="0" w:type="dxa"/>
            <w:left w:w="108" w:type="dxa"/>
            <w:bottom w:w="0" w:type="dxa"/>
            <w:right w:w="108" w:type="dxa"/>
          </w:tblCellMar>
        </w:tblPrEx>
        <w:trPr>
          <w:trHeight w:val="1007" w:hRule="atLeast"/>
          <w:jc w:val="center"/>
        </w:trPr>
        <w:tc>
          <w:tcPr>
            <w:tcW w:w="133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sz w:val="24"/>
              </w:rPr>
            </w:pPr>
            <w:r>
              <w:rPr>
                <w:rFonts w:hint="eastAsia" w:ascii="仿宋" w:hAnsi="仿宋" w:eastAsia="仿宋" w:cs="仿宋"/>
                <w:sz w:val="24"/>
              </w:rPr>
              <w:t>教学科研用书</w:t>
            </w:r>
          </w:p>
        </w:tc>
        <w:tc>
          <w:tcPr>
            <w:tcW w:w="1893" w:type="dxa"/>
            <w:tcBorders>
              <w:top w:val="single" w:color="auto" w:sz="4" w:space="0"/>
              <w:left w:val="single" w:color="auto" w:sz="4" w:space="0"/>
              <w:bottom w:val="single" w:color="auto" w:sz="4" w:space="0"/>
              <w:right w:val="single" w:color="auto" w:sz="4" w:space="0"/>
            </w:tcBorders>
            <w:noWrap w:val="0"/>
            <w:vAlign w:val="top"/>
          </w:tcPr>
          <w:p>
            <w:pPr>
              <w:spacing w:before="240" w:line="480" w:lineRule="exact"/>
              <w:jc w:val="center"/>
              <w:rPr>
                <w:rFonts w:ascii="仿宋" w:hAnsi="仿宋" w:eastAsia="仿宋" w:cs="仿宋"/>
                <w:sz w:val="24"/>
              </w:rPr>
            </w:pPr>
            <w:r>
              <w:rPr>
                <w:rFonts w:hint="eastAsia" w:ascii="仿宋" w:hAnsi="仿宋" w:eastAsia="仿宋" w:cs="仿宋"/>
                <w:sz w:val="24"/>
                <w:szCs w:val="22"/>
              </w:rPr>
              <w:t>见相关具体要求</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4"/>
              </w:rPr>
            </w:pPr>
            <w:r>
              <w:rPr>
                <w:rFonts w:hint="eastAsia" w:ascii="仿宋" w:hAnsi="仿宋" w:eastAsia="仿宋" w:cs="仿宋"/>
                <w:sz w:val="24"/>
                <w:lang w:val="en-US" w:eastAsia="zh-CN"/>
              </w:rPr>
              <w:t>163</w:t>
            </w:r>
            <w:r>
              <w:rPr>
                <w:rFonts w:hint="eastAsia" w:ascii="仿宋" w:hAnsi="仿宋" w:eastAsia="仿宋" w:cs="仿宋"/>
                <w:sz w:val="24"/>
              </w:rPr>
              <w:t>万元（实洋）</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4"/>
              </w:rPr>
            </w:pPr>
            <w:r>
              <w:rPr>
                <w:rFonts w:hint="eastAsia" w:ascii="仿宋" w:hAnsi="仿宋" w:eastAsia="仿宋" w:cs="仿宋"/>
                <w:sz w:val="24"/>
              </w:rPr>
              <w:t>铜仁学院</w:t>
            </w:r>
          </w:p>
        </w:tc>
        <w:tc>
          <w:tcPr>
            <w:tcW w:w="13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4"/>
              </w:rPr>
            </w:pPr>
            <w:r>
              <w:rPr>
                <w:rFonts w:hint="eastAsia" w:ascii="仿宋" w:hAnsi="仿宋" w:eastAsia="仿宋" w:cs="仿宋"/>
                <w:color w:val="auto"/>
                <w:sz w:val="24"/>
                <w:lang w:eastAsia="zh-CN"/>
              </w:rPr>
              <w:t>一</w:t>
            </w:r>
            <w:r>
              <w:rPr>
                <w:rFonts w:hint="eastAsia" w:ascii="仿宋" w:hAnsi="仿宋" w:eastAsia="仿宋" w:cs="仿宋"/>
                <w:color w:val="auto"/>
                <w:sz w:val="24"/>
              </w:rPr>
              <w:t>家</w:t>
            </w:r>
          </w:p>
        </w:tc>
        <w:tc>
          <w:tcPr>
            <w:tcW w:w="13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sz w:val="24"/>
                <w:lang w:eastAsia="zh-CN"/>
              </w:rPr>
            </w:pPr>
            <w:r>
              <w:rPr>
                <w:rFonts w:hint="eastAsia" w:ascii="仿宋" w:hAnsi="仿宋" w:eastAsia="仿宋" w:cs="仿宋"/>
                <w:sz w:val="24"/>
                <w:lang w:val="en-US" w:eastAsia="zh-CN"/>
              </w:rPr>
              <w:t>6.8</w:t>
            </w:r>
            <w:r>
              <w:rPr>
                <w:rFonts w:hint="eastAsia" w:ascii="仿宋" w:hAnsi="仿宋" w:eastAsia="仿宋" w:cs="仿宋"/>
                <w:sz w:val="24"/>
              </w:rPr>
              <w:t>折</w:t>
            </w:r>
          </w:p>
        </w:tc>
      </w:tr>
    </w:tbl>
    <w:p>
      <w:pPr>
        <w:spacing w:line="560" w:lineRule="exact"/>
        <w:rPr>
          <w:rFonts w:hint="eastAsia" w:ascii="仿宋" w:hAnsi="仿宋" w:eastAsia="仿宋" w:cs="仿宋"/>
          <w:b/>
          <w:bCs/>
          <w:sz w:val="32"/>
          <w:szCs w:val="32"/>
        </w:rPr>
      </w:pPr>
      <w:r>
        <w:rPr>
          <w:rFonts w:hint="eastAsia" w:ascii="仿宋" w:hAnsi="仿宋" w:eastAsia="仿宋" w:cs="仿宋"/>
          <w:b/>
          <w:bCs/>
          <w:sz w:val="32"/>
          <w:szCs w:val="32"/>
          <w:lang w:eastAsia="zh-CN"/>
        </w:rPr>
        <w:t>二、项目说明</w:t>
      </w:r>
    </w:p>
    <w:p>
      <w:pPr>
        <w:numPr>
          <w:ilvl w:val="0"/>
          <w:numId w:val="2"/>
        </w:numPr>
        <w:spacing w:line="360" w:lineRule="auto"/>
        <w:rPr>
          <w:rFonts w:hint="eastAsia" w:ascii="仿宋" w:hAnsi="仿宋" w:eastAsia="仿宋" w:cs="仿宋"/>
          <w:b/>
          <w:bCs/>
          <w:sz w:val="32"/>
          <w:szCs w:val="32"/>
        </w:rPr>
      </w:pPr>
      <w:r>
        <w:rPr>
          <w:rFonts w:hint="eastAsia" w:ascii="仿宋" w:hAnsi="仿宋" w:eastAsia="仿宋" w:cs="仿宋"/>
          <w:sz w:val="32"/>
          <w:szCs w:val="32"/>
        </w:rPr>
        <w:t>本项目为适合</w:t>
      </w:r>
      <w:r>
        <w:rPr>
          <w:rFonts w:hint="eastAsia" w:ascii="仿宋" w:hAnsi="仿宋" w:eastAsia="仿宋" w:cs="仿宋"/>
          <w:sz w:val="32"/>
          <w:szCs w:val="32"/>
          <w:lang w:eastAsia="zh-CN"/>
        </w:rPr>
        <w:t>铜仁学院</w:t>
      </w:r>
      <w:r>
        <w:rPr>
          <w:rFonts w:hint="eastAsia" w:ascii="仿宋" w:hAnsi="仿宋" w:eastAsia="仿宋" w:cs="仿宋"/>
          <w:sz w:val="32"/>
          <w:szCs w:val="32"/>
        </w:rPr>
        <w:t>教学科研需求的各类中文普通图书及相关服务，成交供应商为采购人提供图书采访数据，并在指定的地点和时间负责图书采访数据、拆包、验收</w:t>
      </w:r>
      <w:r>
        <w:rPr>
          <w:rFonts w:hint="eastAsia" w:ascii="仿宋" w:hAnsi="仿宋" w:eastAsia="仿宋" w:cs="仿宋"/>
          <w:sz w:val="32"/>
          <w:szCs w:val="32"/>
          <w:lang w:eastAsia="zh-CN"/>
        </w:rPr>
        <w:t>、</w:t>
      </w:r>
      <w:r>
        <w:rPr>
          <w:rFonts w:hint="eastAsia" w:ascii="仿宋" w:hAnsi="仿宋" w:eastAsia="仿宋" w:cs="仿宋"/>
          <w:sz w:val="32"/>
          <w:szCs w:val="32"/>
        </w:rPr>
        <w:t>盖馆藏章、写索书号、贴条码、贴RFID（远望谷</w:t>
      </w:r>
      <w:r>
        <w:rPr>
          <w:rFonts w:hint="eastAsia" w:ascii="仿宋" w:hAnsi="仿宋" w:eastAsia="仿宋" w:cs="仿宋"/>
          <w:sz w:val="32"/>
          <w:szCs w:val="32"/>
          <w:lang w:val="en-US" w:eastAsia="zh-CN"/>
        </w:rPr>
        <w:t>超高频</w:t>
      </w:r>
      <w:r>
        <w:rPr>
          <w:rFonts w:hint="eastAsia" w:ascii="仿宋" w:hAnsi="仿宋" w:eastAsia="仿宋" w:cs="仿宋"/>
          <w:sz w:val="32"/>
          <w:szCs w:val="32"/>
        </w:rPr>
        <w:t>）芯片、贴书标、贴薄膜（书标和条码）、按中国图书分类法编目以及本馆典藏、按本馆要求图书RFID芯片注册、上架、定位等全加工服务。</w:t>
      </w:r>
      <w:r>
        <w:rPr>
          <w:rFonts w:hint="eastAsia" w:ascii="仿宋" w:hAnsi="仿宋" w:eastAsia="仿宋" w:cs="仿宋"/>
          <w:b/>
          <w:bCs/>
          <w:sz w:val="32"/>
          <w:szCs w:val="32"/>
        </w:rPr>
        <w:t>供货期限为20</w:t>
      </w:r>
      <w:r>
        <w:rPr>
          <w:rFonts w:hint="eastAsia" w:ascii="仿宋" w:hAnsi="仿宋" w:eastAsia="仿宋" w:cs="仿宋"/>
          <w:b/>
          <w:bCs/>
          <w:sz w:val="32"/>
          <w:szCs w:val="32"/>
          <w:lang w:val="en-US" w:eastAsia="zh-CN"/>
        </w:rPr>
        <w:t>21</w:t>
      </w:r>
      <w:r>
        <w:rPr>
          <w:rFonts w:hint="eastAsia" w:ascii="仿宋" w:hAnsi="仿宋" w:eastAsia="仿宋" w:cs="仿宋"/>
          <w:b/>
          <w:bCs/>
          <w:sz w:val="32"/>
          <w:szCs w:val="32"/>
        </w:rPr>
        <w:t>年1月1日—20</w:t>
      </w:r>
      <w:r>
        <w:rPr>
          <w:rFonts w:hint="eastAsia" w:ascii="仿宋" w:hAnsi="仿宋" w:eastAsia="仿宋" w:cs="仿宋"/>
          <w:b/>
          <w:bCs/>
          <w:sz w:val="32"/>
          <w:szCs w:val="32"/>
          <w:lang w:val="en-US" w:eastAsia="zh-CN"/>
        </w:rPr>
        <w:t>22</w:t>
      </w:r>
      <w:r>
        <w:rPr>
          <w:rFonts w:hint="eastAsia" w:ascii="仿宋" w:hAnsi="仿宋" w:eastAsia="仿宋" w:cs="仿宋"/>
          <w:b/>
          <w:bCs/>
          <w:sz w:val="32"/>
          <w:szCs w:val="32"/>
        </w:rPr>
        <w:t>年</w:t>
      </w:r>
      <w:r>
        <w:rPr>
          <w:rFonts w:hint="eastAsia" w:ascii="仿宋" w:hAnsi="仿宋" w:eastAsia="仿宋" w:cs="仿宋"/>
          <w:b/>
          <w:bCs/>
          <w:color w:val="auto"/>
          <w:sz w:val="32"/>
          <w:szCs w:val="32"/>
          <w:lang w:val="en-US" w:eastAsia="zh-CN"/>
        </w:rPr>
        <w:t>4</w:t>
      </w:r>
      <w:r>
        <w:rPr>
          <w:rFonts w:hint="eastAsia" w:ascii="仿宋" w:hAnsi="仿宋" w:eastAsia="仿宋" w:cs="仿宋"/>
          <w:b/>
          <w:bCs/>
          <w:color w:val="auto"/>
          <w:sz w:val="32"/>
          <w:szCs w:val="32"/>
        </w:rPr>
        <w:t>月</w:t>
      </w:r>
      <w:r>
        <w:rPr>
          <w:rFonts w:hint="eastAsia" w:ascii="仿宋" w:hAnsi="仿宋" w:eastAsia="仿宋" w:cs="仿宋"/>
          <w:b/>
          <w:bCs/>
          <w:sz w:val="32"/>
          <w:szCs w:val="32"/>
        </w:rPr>
        <w:t>31日。</w:t>
      </w:r>
    </w:p>
    <w:p>
      <w:pPr>
        <w:numPr>
          <w:ilvl w:val="0"/>
          <w:numId w:val="2"/>
        </w:numPr>
        <w:spacing w:line="360" w:lineRule="auto"/>
        <w:rPr>
          <w:rFonts w:hint="eastAsia" w:ascii="仿宋" w:hAnsi="仿宋" w:eastAsia="仿宋" w:cs="仿宋"/>
          <w:sz w:val="32"/>
          <w:szCs w:val="32"/>
        </w:rPr>
      </w:pPr>
      <w:r>
        <w:rPr>
          <w:rFonts w:hint="eastAsia" w:ascii="仿宋" w:hAnsi="仿宋" w:eastAsia="仿宋" w:cs="仿宋"/>
          <w:sz w:val="32"/>
          <w:szCs w:val="32"/>
        </w:rPr>
        <w:t>本项目按照《中华人民共和国招标投标法》和有关招投标法规、规章、规定通过招标来择优选定供应商。</w:t>
      </w:r>
    </w:p>
    <w:p>
      <w:pPr>
        <w:numPr>
          <w:ilvl w:val="0"/>
          <w:numId w:val="2"/>
        </w:numPr>
        <w:spacing w:line="360" w:lineRule="auto"/>
        <w:rPr>
          <w:rFonts w:hint="eastAsia" w:ascii="仿宋" w:hAnsi="仿宋" w:eastAsia="仿宋" w:cs="仿宋"/>
          <w:sz w:val="32"/>
          <w:szCs w:val="32"/>
        </w:rPr>
      </w:pPr>
      <w:r>
        <w:rPr>
          <w:rFonts w:hint="eastAsia" w:ascii="仿宋" w:hAnsi="仿宋" w:eastAsia="仿宋" w:cs="仿宋"/>
          <w:sz w:val="32"/>
          <w:szCs w:val="32"/>
        </w:rPr>
        <w:t>本项目不接受联合体及借用其他单位资质的代理单位投标。</w:t>
      </w:r>
    </w:p>
    <w:p>
      <w:pPr>
        <w:numPr>
          <w:ilvl w:val="0"/>
          <w:numId w:val="2"/>
        </w:numPr>
        <w:spacing w:line="360" w:lineRule="auto"/>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sz w:val="32"/>
          <w:szCs w:val="32"/>
        </w:rPr>
        <w:t>本项目通过竞争性</w:t>
      </w:r>
      <w:r>
        <w:rPr>
          <w:rFonts w:hint="eastAsia" w:ascii="仿宋" w:hAnsi="仿宋" w:eastAsia="仿宋" w:cs="仿宋"/>
          <w:b w:val="0"/>
          <w:bCs w:val="0"/>
          <w:sz w:val="32"/>
          <w:szCs w:val="32"/>
          <w:lang w:eastAsia="zh-CN"/>
        </w:rPr>
        <w:t>谈判</w:t>
      </w:r>
      <w:r>
        <w:rPr>
          <w:rFonts w:hint="eastAsia" w:ascii="仿宋" w:hAnsi="仿宋" w:eastAsia="仿宋" w:cs="仿宋"/>
          <w:b w:val="0"/>
          <w:bCs w:val="0"/>
          <w:sz w:val="32"/>
          <w:szCs w:val="32"/>
        </w:rPr>
        <w:t>确定入围</w:t>
      </w:r>
      <w:r>
        <w:rPr>
          <w:rFonts w:hint="eastAsia" w:ascii="仿宋" w:hAnsi="仿宋" w:eastAsia="仿宋" w:cs="仿宋"/>
          <w:b/>
          <w:bCs/>
          <w:color w:val="auto"/>
          <w:sz w:val="32"/>
          <w:szCs w:val="32"/>
          <w:lang w:eastAsia="zh-CN"/>
        </w:rPr>
        <w:t>一</w:t>
      </w:r>
      <w:r>
        <w:rPr>
          <w:rFonts w:hint="eastAsia" w:ascii="仿宋" w:hAnsi="仿宋" w:eastAsia="仿宋" w:cs="仿宋"/>
          <w:b/>
          <w:bCs/>
          <w:color w:val="auto"/>
          <w:sz w:val="32"/>
          <w:szCs w:val="32"/>
        </w:rPr>
        <w:t>家</w:t>
      </w:r>
      <w:r>
        <w:rPr>
          <w:rFonts w:hint="eastAsia" w:ascii="仿宋" w:hAnsi="仿宋" w:eastAsia="仿宋" w:cs="仿宋"/>
          <w:b w:val="0"/>
          <w:bCs w:val="0"/>
          <w:sz w:val="32"/>
          <w:szCs w:val="32"/>
        </w:rPr>
        <w:t>供应商</w:t>
      </w:r>
      <w:r>
        <w:rPr>
          <w:rFonts w:hint="eastAsia" w:ascii="仿宋" w:hAnsi="仿宋" w:eastAsia="仿宋" w:cs="仿宋"/>
          <w:b w:val="0"/>
          <w:bCs w:val="0"/>
          <w:sz w:val="32"/>
          <w:szCs w:val="32"/>
          <w:lang w:eastAsia="zh-CN"/>
        </w:rPr>
        <w:t>。</w:t>
      </w:r>
    </w:p>
    <w:p>
      <w:pPr>
        <w:numPr>
          <w:ilvl w:val="0"/>
          <w:numId w:val="2"/>
        </w:numPr>
        <w:spacing w:line="360" w:lineRule="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为保证项目的正常实施，中标供应</w:t>
      </w:r>
      <w:r>
        <w:rPr>
          <w:rFonts w:hint="eastAsia" w:ascii="仿宋" w:hAnsi="仿宋" w:eastAsia="仿宋" w:cs="仿宋"/>
          <w:b w:val="0"/>
          <w:bCs w:val="0"/>
          <w:kern w:val="2"/>
          <w:sz w:val="32"/>
          <w:szCs w:val="32"/>
          <w:lang w:val="en-US" w:eastAsia="zh-CN" w:bidi="ar-SA"/>
        </w:rPr>
        <w:t>商</w:t>
      </w:r>
      <w:r>
        <w:rPr>
          <w:rFonts w:hint="default" w:ascii="仿宋" w:hAnsi="仿宋" w:eastAsia="仿宋" w:cs="仿宋"/>
          <w:b w:val="0"/>
          <w:bCs w:val="0"/>
          <w:kern w:val="2"/>
          <w:sz w:val="32"/>
          <w:szCs w:val="32"/>
          <w:lang w:val="en-US" w:eastAsia="zh-CN" w:bidi="ar-SA"/>
        </w:rPr>
        <w:t>在</w:t>
      </w:r>
      <w:r>
        <w:rPr>
          <w:rFonts w:hint="eastAsia" w:ascii="仿宋" w:hAnsi="仿宋" w:eastAsia="仿宋" w:cs="仿宋"/>
          <w:b w:val="0"/>
          <w:bCs w:val="0"/>
          <w:kern w:val="2"/>
          <w:sz w:val="32"/>
          <w:szCs w:val="32"/>
          <w:lang w:val="en-US" w:eastAsia="zh-CN" w:bidi="ar-SA"/>
        </w:rPr>
        <w:t>5个工作日内</w:t>
      </w:r>
      <w:r>
        <w:rPr>
          <w:rFonts w:hint="default" w:ascii="仿宋" w:hAnsi="仿宋" w:eastAsia="仿宋" w:cs="仿宋"/>
          <w:b w:val="0"/>
          <w:bCs w:val="0"/>
          <w:kern w:val="2"/>
          <w:sz w:val="32"/>
          <w:szCs w:val="32"/>
          <w:lang w:val="en-US" w:eastAsia="zh-CN" w:bidi="ar-SA"/>
        </w:rPr>
        <w:t>须向采购方缴纳</w:t>
      </w:r>
      <w:r>
        <w:rPr>
          <w:rFonts w:hint="eastAsia" w:ascii="仿宋" w:hAnsi="仿宋" w:eastAsia="仿宋" w:cs="仿宋"/>
          <w:b/>
          <w:bCs/>
          <w:color w:val="auto"/>
          <w:kern w:val="2"/>
          <w:sz w:val="32"/>
          <w:szCs w:val="32"/>
          <w:lang w:val="en-US" w:eastAsia="zh-CN" w:bidi="ar-SA"/>
        </w:rPr>
        <w:t>合同总金额10%</w:t>
      </w:r>
      <w:r>
        <w:rPr>
          <w:rFonts w:hint="eastAsia" w:ascii="仿宋" w:hAnsi="仿宋" w:eastAsia="仿宋" w:cs="仿宋"/>
          <w:b w:val="0"/>
          <w:bCs w:val="0"/>
          <w:color w:val="auto"/>
          <w:kern w:val="2"/>
          <w:sz w:val="32"/>
          <w:szCs w:val="32"/>
          <w:lang w:val="en-US" w:eastAsia="zh-CN" w:bidi="ar-SA"/>
        </w:rPr>
        <w:t>的</w:t>
      </w:r>
      <w:r>
        <w:rPr>
          <w:rFonts w:hint="default" w:ascii="仿宋" w:hAnsi="仿宋" w:eastAsia="仿宋" w:cs="仿宋"/>
          <w:b w:val="0"/>
          <w:bCs w:val="0"/>
          <w:kern w:val="2"/>
          <w:sz w:val="32"/>
          <w:szCs w:val="32"/>
          <w:lang w:val="en-US" w:eastAsia="zh-CN" w:bidi="ar-SA"/>
        </w:rPr>
        <w:t>履约保证金</w:t>
      </w:r>
      <w:r>
        <w:rPr>
          <w:rFonts w:hint="eastAsia" w:ascii="仿宋" w:hAnsi="仿宋" w:eastAsia="仿宋" w:cs="仿宋"/>
          <w:b w:val="0"/>
          <w:bCs w:val="0"/>
          <w:kern w:val="2"/>
          <w:sz w:val="32"/>
          <w:szCs w:val="32"/>
          <w:lang w:val="en-US" w:eastAsia="zh-CN" w:bidi="ar-SA"/>
        </w:rPr>
        <w:t>并</w:t>
      </w:r>
      <w:r>
        <w:rPr>
          <w:rFonts w:hint="default" w:ascii="仿宋" w:hAnsi="仿宋" w:eastAsia="仿宋" w:cs="仿宋"/>
          <w:b w:val="0"/>
          <w:bCs w:val="0"/>
          <w:kern w:val="2"/>
          <w:sz w:val="32"/>
          <w:szCs w:val="32"/>
          <w:lang w:val="en-US" w:eastAsia="zh-CN" w:bidi="ar-SA"/>
        </w:rPr>
        <w:t>与采购方签订合同</w:t>
      </w:r>
      <w:r>
        <w:rPr>
          <w:rFonts w:hint="eastAsia" w:ascii="仿宋" w:hAnsi="仿宋" w:eastAsia="仿宋" w:cs="仿宋"/>
          <w:b w:val="0"/>
          <w:bCs w:val="0"/>
          <w:kern w:val="2"/>
          <w:sz w:val="32"/>
          <w:szCs w:val="32"/>
          <w:lang w:val="en-US" w:eastAsia="zh-CN" w:bidi="ar-SA"/>
        </w:rPr>
        <w:t>。逾期视为违约，取消第一名的中标资格，第二名为中标供应商，依次顺延。</w:t>
      </w:r>
    </w:p>
    <w:p>
      <w:pPr>
        <w:numPr>
          <w:ilvl w:val="0"/>
          <w:numId w:val="0"/>
        </w:numPr>
        <w:spacing w:line="540" w:lineRule="exact"/>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三、图书采购具体要求</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1、投标人须遵守党纪国法，遵守诚信服务公平交易的原则，有良好的信誉。招标单位有权拒绝有违规违纪或曾向他人提供过不合格图书等不良记录的书商参与投标。</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2、图书采购学科门类</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此次图书采购重点以省级一流（培育）学科：教育学；校级一流学科：民族学、化学工程与技术、林学；校级一流（培育）学科：工商管理、中国语言文学；院级一流学科：马克思主义理论、计算机科学与技术、体育学、外国语言学及应用语言学。校级硕士点建设项目：教育硕士（学前教育、教育管理、学科语文、学科数学、学科英语）；林业硕士；校级硕士点建设（培育）项目：工程硕士（化学工程、计算机科学与技术）；旅游管理；院级硕士点建设项目：艺术硕士；体育教学并兼顾各学科门类。</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3、出版社要求。</w:t>
      </w:r>
      <w:r>
        <w:rPr>
          <w:rFonts w:hint="eastAsia" w:ascii="仿宋" w:hAnsi="仿宋" w:eastAsia="仿宋" w:cs="仿宋"/>
          <w:b/>
          <w:bCs/>
          <w:color w:val="auto"/>
          <w:kern w:val="2"/>
          <w:sz w:val="32"/>
          <w:szCs w:val="32"/>
          <w:lang w:val="en-US" w:eastAsia="zh-CN" w:bidi="ar-SA"/>
        </w:rPr>
        <w:t>为使书源得到保障，供应商应与以下100家出版社中至少91家有代理合作关系，需提供出版社授权书或者合同等证明</w:t>
      </w:r>
      <w:r>
        <w:rPr>
          <w:rFonts w:hint="eastAsia" w:ascii="仿宋" w:hAnsi="仿宋" w:eastAsia="仿宋" w:cs="仿宋"/>
          <w:color w:val="auto"/>
          <w:sz w:val="32"/>
          <w:szCs w:val="32"/>
        </w:rPr>
        <w:t>。</w:t>
      </w:r>
      <w:r>
        <w:rPr>
          <w:rFonts w:hint="eastAsia" w:ascii="仿宋" w:hAnsi="仿宋" w:eastAsia="仿宋" w:cs="仿宋"/>
          <w:sz w:val="32"/>
          <w:szCs w:val="32"/>
        </w:rPr>
        <w:t>具体出版社：</w:t>
      </w:r>
      <w:r>
        <w:rPr>
          <w:rFonts w:hint="eastAsia" w:ascii="仿宋" w:hAnsi="仿宋" w:eastAsia="仿宋" w:cs="仿宋"/>
          <w:kern w:val="2"/>
          <w:sz w:val="32"/>
          <w:szCs w:val="32"/>
          <w:lang w:val="en-US" w:eastAsia="zh-CN" w:bidi="ar-SA"/>
        </w:rPr>
        <w:t>科学出版社、化学工业出版社、机械工业出版社、电子工业出版社、清华大学出版社、北京大学出版社、浙江大学出版社、同济大学出版社、复旦大学出版社、武汉大学出版社、北京理工大学出版社、北京师范大学出版社、广西师范大学出版社、四川大学出版社、华东师范大学出版社、华中科技大学出版社、中国人民大学出版社、中国林业出版社、中国社会出版社、中国社会科学出版社、社会科学文献出版社、中国轻工业出版社、中国水利水电出版社、中国青年出版社、人民出版社、人民邮电出版社、人民教育出版社、人民美术出版社、人民音乐出版社、人民文学出版社、外语教学与研究出版社、生活.读书.新知三联书店、中央编译出版社、商务印书馆、中华书局、教育科学出版社、民族出版社、贵州人民出版社、上海人民出版社、湖南科学技术出版社、</w:t>
      </w:r>
      <w:r>
        <w:rPr>
          <w:rFonts w:hint="eastAsia" w:ascii="仿宋" w:hAnsi="仿宋" w:eastAsia="仿宋" w:cs="仿宋"/>
          <w:kern w:val="0"/>
          <w:sz w:val="32"/>
          <w:szCs w:val="32"/>
        </w:rPr>
        <w:t>人民卫生出版社、</w:t>
      </w:r>
      <w:r>
        <w:rPr>
          <w:rFonts w:hint="eastAsia" w:ascii="仿宋" w:hAnsi="仿宋" w:eastAsia="仿宋" w:cs="仿宋"/>
          <w:sz w:val="32"/>
          <w:szCs w:val="32"/>
        </w:rPr>
        <w:t>中国财政经济出版社、中国民主法制出版社、中国大百科全书出版社、中国金融出版社、中国时代经济出版社、中国电力出版社、中国建筑工业出版社、中国中医药出版社、中国矿业大学出版社、中国政法大学出版社、中信出版社、外文出版社、经济科学出版社、知识产权出版社、国家图书馆出版社、党建读物出版社、江苏译林出版社、北京大学医学出版社、北京语言大学出版社、</w:t>
      </w:r>
      <w:r>
        <w:rPr>
          <w:rFonts w:hint="eastAsia" w:ascii="仿宋" w:hAnsi="仿宋" w:eastAsia="仿宋" w:cs="仿宋"/>
          <w:sz w:val="32"/>
          <w:szCs w:val="32"/>
          <w:lang w:eastAsia="zh-CN"/>
        </w:rPr>
        <w:t>北京体育大学出版社、</w:t>
      </w:r>
      <w:r>
        <w:rPr>
          <w:rFonts w:hint="eastAsia" w:ascii="仿宋" w:hAnsi="仿宋" w:eastAsia="仿宋" w:cs="仿宋"/>
          <w:sz w:val="32"/>
          <w:szCs w:val="32"/>
        </w:rPr>
        <w:t>重庆大学出版社、东北财经大学出版社、华中师范大学出版社、成都西南交通大学出版社、西安交通大学出版社、重庆西南师范大学出版社、厦门大学出版社、广西民族出版社、北京出版社、重庆出版社、湖南人民出版社、湖南教育出版社、湖南美术出版社、湖南师范大学出版社、湖南文艺出版社、云南人民出版社、贵州教育出版社、贵州科技出版社、贵州民族出版社、四川人民出版社、四川民族出版社、广东教育出版社、江苏凤凰教育出版社、浙江教育出版社、浙江人民美术出版社、安徽美术出版社、</w:t>
      </w:r>
      <w:r>
        <w:rPr>
          <w:rFonts w:hint="eastAsia" w:ascii="仿宋" w:hAnsi="仿宋" w:eastAsia="仿宋" w:cs="仿宋"/>
          <w:sz w:val="32"/>
          <w:szCs w:val="32"/>
          <w:lang w:eastAsia="zh-CN"/>
        </w:rPr>
        <w:t>学习出版社</w:t>
      </w:r>
      <w:r>
        <w:rPr>
          <w:rFonts w:hint="eastAsia" w:ascii="仿宋" w:hAnsi="仿宋" w:eastAsia="仿宋" w:cs="仿宋"/>
          <w:sz w:val="32"/>
          <w:szCs w:val="32"/>
        </w:rPr>
        <w:t>、湖南岳麓书社、四川巴蜀书社、吉林出版集团有限责任公司、吉林美术出版社、江苏凤凰美术出版社、江苏凤凰科学技术出版社、江西人民出版社、长江文艺出版社、上海外语教育出版社、上海科学技术出版社、上海文艺出版社、上海译文出版社。</w:t>
      </w:r>
    </w:p>
    <w:p>
      <w:pPr>
        <w:numPr>
          <w:ilvl w:val="0"/>
          <w:numId w:val="0"/>
        </w:numPr>
        <w:spacing w:line="540" w:lineRule="exact"/>
        <w:ind w:leftChars="0"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其中</w:t>
      </w:r>
      <w:r>
        <w:rPr>
          <w:rFonts w:hint="eastAsia" w:ascii="仿宋" w:hAnsi="仿宋" w:eastAsia="仿宋" w:cs="仿宋"/>
          <w:kern w:val="2"/>
          <w:sz w:val="32"/>
          <w:szCs w:val="32"/>
          <w:lang w:val="en-US" w:eastAsia="zh-CN" w:bidi="ar-SA"/>
        </w:rPr>
        <w:t>科学出版社、化学工业出版社、机械工业出版社、电子工业出版社、清华大学出版社、北京大学出版社、浙江大学出版社、同济大学出版社、复旦大学出版社、武汉大学出版社、北京理工大学出版社、北京师范大学出版社、广西师范大学出版社、四川大学出版社、华东师范大学出版社、华中科技大学出版社、中国人民大学出版社、中国林业出版社、中国社会出版社、中国社会科学出版社、社会科学文献出版社、中国轻工业出版社、中国水利水电出版社、中国青年出版社、人民出版社、人民邮电出版社、人民教育出版社、人民美术出版社、人民音乐出版社、人民文学出版社、外语教学与研究出版社、生活.读书.新知三联书店、中央编译出版社、商务印书馆、中华书局、教育科学出版社、民族出版社、贵州人民出版社、上海人民出版社、湖南科学技术出版社</w:t>
      </w:r>
      <w:r>
        <w:rPr>
          <w:rFonts w:hint="eastAsia" w:ascii="仿宋" w:hAnsi="仿宋" w:eastAsia="仿宋" w:cs="仿宋"/>
          <w:b/>
          <w:bCs/>
          <w:kern w:val="2"/>
          <w:sz w:val="32"/>
          <w:szCs w:val="32"/>
          <w:lang w:val="en-US" w:eastAsia="zh-CN" w:bidi="ar-SA"/>
        </w:rPr>
        <w:t>40</w:t>
      </w:r>
      <w:r>
        <w:rPr>
          <w:rFonts w:hint="eastAsia" w:ascii="仿宋" w:hAnsi="仿宋" w:eastAsia="仿宋" w:cs="仿宋"/>
          <w:b/>
          <w:bCs/>
          <w:sz w:val="32"/>
          <w:szCs w:val="32"/>
        </w:rPr>
        <w:t>家出版社供书率不能低于</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0%</w:t>
      </w:r>
      <w:r>
        <w:rPr>
          <w:rFonts w:hint="eastAsia" w:ascii="仿宋" w:hAnsi="仿宋" w:eastAsia="仿宋" w:cs="仿宋"/>
          <w:sz w:val="32"/>
          <w:szCs w:val="32"/>
        </w:rPr>
        <w:t>（</w:t>
      </w:r>
      <w:r>
        <w:rPr>
          <w:rFonts w:hint="eastAsia" w:ascii="仿宋" w:hAnsi="仿宋" w:eastAsia="仿宋" w:cs="仿宋"/>
          <w:sz w:val="32"/>
          <w:szCs w:val="32"/>
          <w:lang w:val="en-US" w:eastAsia="zh-CN"/>
        </w:rPr>
        <w:t>40</w:t>
      </w:r>
      <w:r>
        <w:rPr>
          <w:rFonts w:hint="eastAsia" w:ascii="仿宋" w:hAnsi="仿宋" w:eastAsia="仿宋" w:cs="仿宋"/>
          <w:sz w:val="32"/>
          <w:szCs w:val="32"/>
        </w:rPr>
        <w:t>家出版社图书单独打包配发以便验收）</w:t>
      </w:r>
      <w:r>
        <w:rPr>
          <w:rFonts w:hint="eastAsia" w:ascii="仿宋" w:hAnsi="仿宋" w:eastAsia="仿宋" w:cs="仿宋"/>
          <w:sz w:val="32"/>
          <w:szCs w:val="32"/>
          <w:lang w:eastAsia="zh-CN"/>
        </w:rPr>
        <w:t>。</w:t>
      </w:r>
    </w:p>
    <w:p>
      <w:pPr>
        <w:numPr>
          <w:ilvl w:val="0"/>
          <w:numId w:val="0"/>
        </w:numPr>
        <w:spacing w:line="540" w:lineRule="exact"/>
        <w:ind w:leftChars="0" w:firstLine="640" w:firstLineChars="200"/>
      </w:pPr>
      <w:r>
        <w:rPr>
          <w:rFonts w:hint="eastAsia" w:ascii="仿宋" w:hAnsi="仿宋" w:eastAsia="仿宋" w:cs="仿宋"/>
          <w:sz w:val="32"/>
          <w:szCs w:val="32"/>
          <w:lang w:val="en-US" w:eastAsia="zh-CN"/>
        </w:rPr>
        <w:t>4、</w:t>
      </w:r>
      <w:r>
        <w:rPr>
          <w:rFonts w:hint="eastAsia" w:ascii="仿宋" w:hAnsi="仿宋" w:eastAsia="仿宋" w:cs="仿宋"/>
          <w:sz w:val="32"/>
          <w:szCs w:val="32"/>
        </w:rPr>
        <w:t>勾画订单，由采购方根据本院教学科研需要提供采购书目。格式为书本式或电子表格（MARC格式）形式，文件字段至少包括征订号、ISBN号、书名、著者、摘要（内容提要）、出版社、出版时间、单价等。随书所配图书编目数据应符合国家中文图书著录规则，数据能为我馆使用的图书馆自动化集成系统（汇文）所接受。</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5、采购方式：</w:t>
      </w:r>
    </w:p>
    <w:p>
      <w:pPr>
        <w:spacing w:line="360" w:lineRule="auto"/>
        <w:ind w:firstLine="640" w:firstLineChars="200"/>
        <w:rPr>
          <w:rFonts w:hint="eastAsia" w:ascii="仿宋" w:hAnsi="仿宋" w:eastAsia="仿宋" w:cs="仿宋"/>
          <w:b/>
          <w:bCs/>
          <w:color w:val="auto"/>
          <w:sz w:val="32"/>
          <w:szCs w:val="32"/>
          <w:lang w:eastAsia="zh-CN"/>
        </w:rPr>
      </w:pPr>
      <w:r>
        <w:rPr>
          <w:rFonts w:hint="eastAsia" w:ascii="仿宋" w:hAnsi="仿宋" w:eastAsia="仿宋" w:cs="仿宋"/>
          <w:sz w:val="32"/>
          <w:szCs w:val="32"/>
        </w:rPr>
        <w:t>（1）书目订单：</w:t>
      </w:r>
      <w:r>
        <w:rPr>
          <w:rFonts w:hint="eastAsia" w:ascii="仿宋" w:hAnsi="仿宋" w:eastAsia="仿宋" w:cs="仿宋"/>
          <w:sz w:val="32"/>
          <w:szCs w:val="32"/>
          <w:lang w:eastAsia="zh-CN"/>
        </w:rPr>
        <w:t>原则上采购方一个月向供应商提供一批次书目订单，供应商必须</w:t>
      </w:r>
      <w:r>
        <w:rPr>
          <w:rFonts w:hint="eastAsia" w:ascii="仿宋" w:hAnsi="仿宋" w:eastAsia="仿宋" w:cs="仿宋"/>
          <w:sz w:val="32"/>
          <w:szCs w:val="32"/>
        </w:rPr>
        <w:t>在接到</w:t>
      </w:r>
      <w:r>
        <w:rPr>
          <w:rFonts w:hint="eastAsia" w:ascii="仿宋" w:hAnsi="仿宋" w:eastAsia="仿宋" w:cs="仿宋"/>
          <w:sz w:val="32"/>
          <w:szCs w:val="32"/>
          <w:lang w:eastAsia="zh-CN"/>
        </w:rPr>
        <w:t>每批次</w:t>
      </w:r>
      <w:r>
        <w:rPr>
          <w:rFonts w:hint="eastAsia" w:ascii="仿宋" w:hAnsi="仿宋" w:eastAsia="仿宋" w:cs="仿宋"/>
          <w:sz w:val="32"/>
          <w:szCs w:val="32"/>
        </w:rPr>
        <w:t>书目订单后3个工作日内做出响应，</w:t>
      </w:r>
      <w:r>
        <w:rPr>
          <w:rFonts w:hint="eastAsia" w:ascii="仿宋" w:hAnsi="仿宋" w:eastAsia="仿宋" w:cs="仿宋"/>
          <w:b/>
          <w:bCs/>
          <w:color w:val="auto"/>
          <w:sz w:val="32"/>
          <w:szCs w:val="32"/>
          <w:lang w:eastAsia="zh-CN"/>
        </w:rPr>
        <w:t>且</w:t>
      </w:r>
      <w:r>
        <w:rPr>
          <w:rFonts w:hint="eastAsia" w:ascii="仿宋" w:hAnsi="仿宋" w:eastAsia="仿宋" w:cs="仿宋"/>
          <w:b/>
          <w:bCs/>
          <w:color w:val="auto"/>
          <w:sz w:val="32"/>
          <w:szCs w:val="32"/>
        </w:rPr>
        <w:t>保证</w:t>
      </w:r>
      <w:r>
        <w:rPr>
          <w:rFonts w:hint="eastAsia" w:ascii="仿宋" w:hAnsi="仿宋" w:eastAsia="仿宋" w:cs="仿宋"/>
          <w:b/>
          <w:bCs/>
          <w:color w:val="auto"/>
          <w:sz w:val="32"/>
          <w:szCs w:val="32"/>
          <w:lang w:eastAsia="zh-CN"/>
        </w:rPr>
        <w:t>每批次书目订单</w:t>
      </w:r>
      <w:r>
        <w:rPr>
          <w:rFonts w:hint="eastAsia" w:ascii="仿宋" w:hAnsi="仿宋" w:eastAsia="仿宋" w:cs="仿宋"/>
          <w:b/>
          <w:bCs/>
          <w:color w:val="auto"/>
          <w:sz w:val="32"/>
          <w:szCs w:val="32"/>
        </w:rPr>
        <w:t>90%以上的预订图书到书率</w:t>
      </w:r>
      <w:r>
        <w:rPr>
          <w:rFonts w:hint="eastAsia" w:ascii="仿宋" w:hAnsi="仿宋" w:eastAsia="仿宋" w:cs="仿宋"/>
          <w:b/>
          <w:bCs/>
          <w:color w:val="auto"/>
          <w:sz w:val="32"/>
          <w:szCs w:val="32"/>
          <w:lang w:eastAsia="zh-CN"/>
        </w:rPr>
        <w:t>，否则取消供应商资格，扣除履约保证金。</w:t>
      </w:r>
    </w:p>
    <w:p>
      <w:pPr>
        <w:spacing w:line="360" w:lineRule="auto"/>
        <w:ind w:firstLine="640" w:firstLineChars="200"/>
        <w:rPr>
          <w:rFonts w:hint="eastAsia" w:ascii="仿宋" w:hAnsi="仿宋" w:eastAsia="仿宋" w:cs="仿宋"/>
          <w:b/>
          <w:bCs/>
          <w:sz w:val="32"/>
          <w:szCs w:val="32"/>
          <w:lang w:eastAsia="zh-CN"/>
        </w:rPr>
      </w:pPr>
      <w:r>
        <w:rPr>
          <w:rFonts w:hint="eastAsia" w:ascii="仿宋" w:hAnsi="仿宋" w:eastAsia="仿宋" w:cs="仿宋"/>
          <w:sz w:val="32"/>
          <w:szCs w:val="32"/>
        </w:rPr>
        <w:t>（2）现场直采，当以勾画订单不能满足合同要求时，采购方根据投标方实际供书能力和服务质量确定采用现场采购作补充</w:t>
      </w:r>
      <w:r>
        <w:rPr>
          <w:rFonts w:hint="eastAsia" w:ascii="仿宋" w:hAnsi="仿宋" w:eastAsia="仿宋" w:cs="仿宋"/>
          <w:sz w:val="32"/>
          <w:szCs w:val="32"/>
          <w:lang w:eastAsia="zh-CN"/>
        </w:rPr>
        <w:t>。</w:t>
      </w:r>
      <w:r>
        <w:rPr>
          <w:rFonts w:hint="eastAsia" w:ascii="仿宋" w:hAnsi="仿宋" w:eastAsia="仿宋" w:cs="仿宋"/>
          <w:sz w:val="32"/>
          <w:szCs w:val="32"/>
        </w:rPr>
        <w:t>供应商至少提供一个大型的综合图书现采场所和样本库，最近一年内新品种不低于8万种</w:t>
      </w:r>
      <w:r>
        <w:rPr>
          <w:rFonts w:hint="eastAsia" w:ascii="仿宋" w:hAnsi="仿宋" w:eastAsia="仿宋" w:cs="仿宋"/>
          <w:sz w:val="32"/>
          <w:szCs w:val="32"/>
          <w:lang w:eastAsia="zh-CN"/>
        </w:rPr>
        <w:t>且</w:t>
      </w:r>
      <w:r>
        <w:rPr>
          <w:rFonts w:hint="eastAsia" w:ascii="仿宋" w:hAnsi="仿宋" w:eastAsia="仿宋" w:cs="仿宋"/>
          <w:sz w:val="32"/>
          <w:szCs w:val="32"/>
        </w:rPr>
        <w:t>满足采购方指定的</w:t>
      </w:r>
      <w:r>
        <w:rPr>
          <w:rFonts w:hint="eastAsia" w:ascii="仿宋" w:hAnsi="仿宋" w:eastAsia="仿宋" w:cs="仿宋"/>
          <w:b/>
          <w:bCs/>
          <w:color w:val="auto"/>
          <w:kern w:val="2"/>
          <w:sz w:val="32"/>
          <w:szCs w:val="32"/>
          <w:lang w:val="en-US" w:eastAsia="zh-CN" w:bidi="ar-SA"/>
        </w:rPr>
        <w:t>40家</w:t>
      </w:r>
      <w:r>
        <w:rPr>
          <w:rFonts w:hint="eastAsia" w:ascii="仿宋" w:hAnsi="仿宋" w:eastAsia="仿宋" w:cs="仿宋"/>
          <w:sz w:val="32"/>
          <w:szCs w:val="32"/>
        </w:rPr>
        <w:t>出版社，不得将特价书混排其中。</w:t>
      </w:r>
      <w:r>
        <w:rPr>
          <w:rFonts w:hint="eastAsia" w:ascii="仿宋" w:hAnsi="仿宋" w:eastAsia="仿宋" w:cs="仿宋"/>
          <w:b/>
          <w:bCs/>
          <w:sz w:val="32"/>
          <w:szCs w:val="32"/>
        </w:rPr>
        <w:t>供应商应保证95%以上的现采图书到书率（不含绝版书）</w:t>
      </w:r>
      <w:r>
        <w:rPr>
          <w:rFonts w:hint="eastAsia" w:ascii="仿宋" w:hAnsi="仿宋" w:eastAsia="仿宋" w:cs="仿宋"/>
          <w:b/>
          <w:bCs/>
          <w:sz w:val="32"/>
          <w:szCs w:val="32"/>
          <w:lang w:eastAsia="zh-CN"/>
        </w:rPr>
        <w:t>，</w:t>
      </w:r>
      <w:r>
        <w:rPr>
          <w:rFonts w:hint="eastAsia" w:ascii="仿宋" w:hAnsi="仿宋" w:eastAsia="仿宋" w:cs="仿宋"/>
          <w:b/>
          <w:bCs/>
          <w:color w:val="auto"/>
          <w:sz w:val="32"/>
          <w:szCs w:val="32"/>
          <w:lang w:eastAsia="zh-CN"/>
        </w:rPr>
        <w:t>否则取消供应商资格，扣除履约保证金</w:t>
      </w:r>
      <w:r>
        <w:rPr>
          <w:rFonts w:hint="eastAsia" w:ascii="仿宋" w:hAnsi="仿宋" w:eastAsia="仿宋" w:cs="仿宋"/>
          <w:b/>
          <w:bCs/>
          <w:sz w:val="32"/>
          <w:szCs w:val="32"/>
          <w:lang w:eastAsia="zh-CN"/>
        </w:rPr>
        <w:t>。</w:t>
      </w:r>
    </w:p>
    <w:p>
      <w:pPr>
        <w:spacing w:line="54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6、供应商必须为采购人提供的所有订单建立订购数据库。并对采购人每批订单进行查重，高价图书（人民币200元以上/册）须二次确认。必须剔除活页图书、职业院校（含大专）、自考、成教、少于50页以及开本在17厘米以下的图书。</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7、供应商必须提供采购人采访人员选订的有合法出版物经营权的各级出版社出版的正版图书，不得更换采购人预订和现采的图书订单，不得配售非采购人订购的图书。</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8、供应商必须按</w:t>
      </w:r>
      <w:r>
        <w:rPr>
          <w:rFonts w:hint="eastAsia" w:ascii="仿宋" w:hAnsi="仿宋" w:eastAsia="仿宋" w:cs="仿宋"/>
          <w:sz w:val="32"/>
          <w:szCs w:val="32"/>
          <w:lang w:eastAsia="zh-CN"/>
        </w:rPr>
        <w:t>铁路</w:t>
      </w:r>
      <w:r>
        <w:rPr>
          <w:rFonts w:hint="eastAsia" w:ascii="仿宋" w:hAnsi="仿宋" w:eastAsia="仿宋" w:cs="仿宋"/>
          <w:sz w:val="32"/>
          <w:szCs w:val="32"/>
        </w:rPr>
        <w:t>标准包打包图书，每包图书必须有本包清单1份，每批图书须有批次清单2份，批次清单中须有每包图书码洋小合计、本批次图书总种数、总册数及码洋总合计；电子清单1份，电子清单在图书发送时发送至采购人采访人员指定的电子邮箱, 清单内容包括：包号、ISBN、书名、单价、册数、总价和本批次图书总种数、总册数、码洋总合计。</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图书到货验收时，图书必须正版，对有印刷、装订等质量问题和多订、重订的图书进行免费调换或退货，由此产生的费用由供应商承担。投标方的新书发货差错率应低于2‰。</w:t>
      </w:r>
    </w:p>
    <w:p>
      <w:pPr>
        <w:spacing w:line="540" w:lineRule="exact"/>
        <w:ind w:firstLine="640"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sz w:val="32"/>
          <w:szCs w:val="32"/>
          <w:lang w:val="en-US" w:eastAsia="zh-CN"/>
        </w:rPr>
        <w:t>10</w:t>
      </w:r>
      <w:r>
        <w:rPr>
          <w:rFonts w:hint="eastAsia" w:ascii="仿宋" w:hAnsi="仿宋" w:eastAsia="仿宋" w:cs="仿宋"/>
          <w:sz w:val="32"/>
          <w:szCs w:val="32"/>
        </w:rPr>
        <w:t>、</w:t>
      </w:r>
      <w:r>
        <w:rPr>
          <w:rFonts w:hint="eastAsia" w:ascii="仿宋" w:hAnsi="仿宋" w:eastAsia="仿宋" w:cs="仿宋"/>
          <w:b w:val="0"/>
          <w:bCs w:val="0"/>
          <w:sz w:val="32"/>
          <w:szCs w:val="32"/>
          <w:lang w:eastAsia="zh-CN"/>
        </w:rPr>
        <w:t>供应商</w:t>
      </w:r>
      <w:r>
        <w:rPr>
          <w:rFonts w:hint="eastAsia" w:ascii="仿宋" w:hAnsi="仿宋" w:eastAsia="仿宋" w:cs="仿宋"/>
          <w:b w:val="0"/>
          <w:bCs w:val="0"/>
          <w:sz w:val="32"/>
          <w:szCs w:val="32"/>
        </w:rPr>
        <w:t>在接到采购方</w:t>
      </w:r>
      <w:r>
        <w:rPr>
          <w:rFonts w:hint="eastAsia" w:ascii="仿宋" w:hAnsi="仿宋" w:eastAsia="仿宋" w:cs="仿宋"/>
          <w:b w:val="0"/>
          <w:bCs w:val="0"/>
          <w:color w:val="auto"/>
          <w:kern w:val="2"/>
          <w:sz w:val="32"/>
          <w:szCs w:val="32"/>
          <w:lang w:val="en-US" w:eastAsia="zh-CN" w:bidi="ar-SA"/>
        </w:rPr>
        <w:t>书目订单和现采图书订单后30个工作日内发书到馆，图书到馆后20天内加工、入藏完毕，并能达到上架流通要求。若中标人未严格按照规定时间、规定书目进行供货、加工、上架，所到馆图书及履约保证金不予退还（不可抗拒力除外），同时上报相关部门备案处理。</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1</w:t>
      </w:r>
      <w:r>
        <w:rPr>
          <w:rFonts w:hint="eastAsia" w:ascii="仿宋" w:hAnsi="仿宋" w:eastAsia="仿宋" w:cs="仿宋"/>
          <w:sz w:val="32"/>
          <w:szCs w:val="32"/>
        </w:rPr>
        <w:t>、供应商以驻馆加工方式提供免费图书全加工服务，数据及加工服务人员必须具备相应业务技能并经采购人考核合格后上岗，人员要相对稳定，数据加工人员服务期限不少于一个学年。同等条件下要优先聘用长期在采购人处提供数据及加工服务的人员。</w:t>
      </w:r>
      <w:r>
        <w:rPr>
          <w:rFonts w:hint="eastAsia" w:ascii="仿宋" w:hAnsi="仿宋" w:eastAsia="仿宋" w:cs="仿宋"/>
          <w:sz w:val="32"/>
          <w:szCs w:val="32"/>
          <w:lang w:eastAsia="zh-CN"/>
        </w:rPr>
        <w:t>全</w:t>
      </w:r>
      <w:r>
        <w:rPr>
          <w:rFonts w:hint="eastAsia" w:ascii="仿宋" w:hAnsi="仿宋" w:eastAsia="仿宋" w:cs="仿宋"/>
          <w:sz w:val="32"/>
          <w:szCs w:val="32"/>
        </w:rPr>
        <w:t>加工</w:t>
      </w:r>
      <w:r>
        <w:rPr>
          <w:rFonts w:hint="eastAsia" w:ascii="仿宋" w:hAnsi="仿宋" w:eastAsia="仿宋" w:cs="仿宋"/>
          <w:sz w:val="32"/>
          <w:szCs w:val="32"/>
          <w:lang w:eastAsia="zh-CN"/>
        </w:rPr>
        <w:t>服务</w:t>
      </w:r>
      <w:r>
        <w:rPr>
          <w:rFonts w:hint="eastAsia" w:ascii="仿宋" w:hAnsi="仿宋" w:eastAsia="仿宋" w:cs="仿宋"/>
          <w:sz w:val="32"/>
          <w:szCs w:val="32"/>
        </w:rPr>
        <w:t>包括盖馆藏章、写索书号、贴条码、贴RFID（远望谷）芯片、贴书标、贴薄膜（书标和条码）、按中国图书分类法编目以及本馆典藏、按本馆要求图书RFID芯片注册、上架、定位等工序，加工地点在</w:t>
      </w:r>
      <w:r>
        <w:rPr>
          <w:rFonts w:hint="eastAsia" w:ascii="仿宋" w:hAnsi="仿宋" w:eastAsia="仿宋" w:cs="仿宋"/>
          <w:b/>
          <w:bCs/>
          <w:sz w:val="32"/>
          <w:szCs w:val="32"/>
        </w:rPr>
        <w:t>铜仁学院图书馆采编部</w:t>
      </w:r>
      <w:r>
        <w:rPr>
          <w:rFonts w:hint="eastAsia" w:ascii="仿宋" w:hAnsi="仿宋" w:eastAsia="仿宋" w:cs="仿宋"/>
          <w:sz w:val="32"/>
          <w:szCs w:val="32"/>
        </w:rPr>
        <w:t xml:space="preserve">。 </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eastAsia="zh-CN"/>
        </w:rPr>
        <w:t>供应商</w:t>
      </w:r>
      <w:r>
        <w:rPr>
          <w:rFonts w:hint="eastAsia" w:ascii="仿宋" w:hAnsi="仿宋" w:eastAsia="仿宋" w:cs="仿宋"/>
          <w:sz w:val="32"/>
          <w:szCs w:val="32"/>
        </w:rPr>
        <w:t>应保证数据加工质量，图书进入流通因数据加工错误、图书注册、上架、定位等出现的问题而影响流通的，投标方应无条件在3个工作日内予以修改。</w:t>
      </w:r>
    </w:p>
    <w:p>
      <w:pPr>
        <w:spacing w:line="540" w:lineRule="exact"/>
        <w:ind w:firstLine="643" w:firstLineChars="200"/>
        <w:rPr>
          <w:rFonts w:hint="default" w:ascii="仿宋" w:hAnsi="仿宋" w:eastAsia="仿宋" w:cs="仿宋"/>
          <w:b/>
          <w:bCs/>
          <w:sz w:val="32"/>
          <w:szCs w:val="32"/>
          <w:lang w:val="en-US" w:eastAsia="zh-CN"/>
        </w:rPr>
      </w:pPr>
    </w:p>
    <w:p>
      <w:pPr>
        <w:spacing w:line="540" w:lineRule="exact"/>
        <w:ind w:firstLine="640" w:firstLineChars="200"/>
      </w:pPr>
      <w:r>
        <w:rPr>
          <w:rFonts w:hint="eastAsia" w:ascii="仿宋" w:hAnsi="仿宋" w:eastAsia="仿宋" w:cs="仿宋"/>
          <w:sz w:val="32"/>
          <w:szCs w:val="32"/>
        </w:rPr>
        <w:t>1</w:t>
      </w:r>
      <w:r>
        <w:rPr>
          <w:rFonts w:hint="eastAsia" w:ascii="仿宋" w:hAnsi="仿宋" w:eastAsia="仿宋" w:cs="仿宋"/>
          <w:sz w:val="32"/>
          <w:szCs w:val="32"/>
          <w:lang w:val="en-US" w:eastAsia="zh-CN"/>
        </w:rPr>
        <w:t>3</w:t>
      </w:r>
      <w:r>
        <w:rPr>
          <w:rFonts w:hint="eastAsia" w:ascii="仿宋" w:hAnsi="仿宋" w:eastAsia="仿宋" w:cs="仿宋"/>
          <w:sz w:val="32"/>
          <w:szCs w:val="32"/>
        </w:rPr>
        <w:t>、图书发出必须配有完整的MARC编目数据，数据字段应符合国家中文图书著录规则详细级次，数据不随书同时到达及同时出版的成套或多卷集图书不同时到达的不予验收，如发现缺少应及时补发，补发时间不超过</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0天</w:t>
      </w:r>
      <w:r>
        <w:rPr>
          <w:rFonts w:hint="eastAsia" w:ascii="仿宋" w:hAnsi="仿宋" w:eastAsia="仿宋" w:cs="仿宋"/>
          <w:sz w:val="32"/>
          <w:szCs w:val="32"/>
        </w:rPr>
        <w:t>。</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0" w:after="0" w:line="580" w:lineRule="exact"/>
        <w:ind w:left="0" w:right="0" w:firstLine="56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z w:val="32"/>
          <w:szCs w:val="32"/>
        </w:rPr>
        <w:t>、书款支付时间与方式：图书到馆验收合格后，</w:t>
      </w:r>
      <w:r>
        <w:rPr>
          <w:rFonts w:hint="eastAsia" w:ascii="仿宋" w:hAnsi="仿宋" w:eastAsia="仿宋" w:cs="仿宋"/>
          <w:sz w:val="32"/>
          <w:szCs w:val="32"/>
          <w:lang w:eastAsia="zh-CN"/>
        </w:rPr>
        <w:t>供应商</w:t>
      </w:r>
      <w:r>
        <w:rPr>
          <w:rFonts w:hint="eastAsia" w:ascii="仿宋" w:hAnsi="仿宋" w:eastAsia="仿宋" w:cs="仿宋"/>
          <w:sz w:val="32"/>
          <w:szCs w:val="32"/>
        </w:rPr>
        <w:t>开具正式发票，以转帐方式结算，当年到馆的图书书款在次年的4月份前结算，除预留5%质量保证金外，全部结清。图书入藏流通后一年内在图书质量和数据加工无任何问题后支付质量保证金，质量保证金期限为全部结清书款后一年。</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0" w:after="0" w:line="580" w:lineRule="exact"/>
        <w:ind w:left="0" w:right="0" w:firstLine="560"/>
        <w:jc w:val="both"/>
        <w:textAlignment w:val="auto"/>
        <w:rPr>
          <w:rFonts w:hint="default" w:ascii="宋体" w:hAnsi="宋体" w:eastAsia="宋体"/>
          <w:b/>
          <w:bCs/>
          <w:color w:val="auto"/>
          <w:spacing w:val="0"/>
          <w:position w:val="0"/>
          <w:sz w:val="28"/>
          <w:szCs w:val="28"/>
        </w:rPr>
      </w:pPr>
      <w:r>
        <w:rPr>
          <w:rFonts w:hint="eastAsia" w:ascii="仿宋" w:hAnsi="仿宋" w:eastAsia="仿宋" w:cs="仿宋"/>
          <w:b/>
          <w:bCs/>
          <w:sz w:val="32"/>
          <w:szCs w:val="32"/>
          <w:lang w:eastAsia="zh-CN"/>
        </w:rPr>
        <w:t>四、</w:t>
      </w:r>
      <w:r>
        <w:rPr>
          <w:rFonts w:hint="default" w:ascii="仿宋" w:hAnsi="仿宋" w:eastAsia="仿宋" w:cs="仿宋"/>
          <w:b/>
          <w:bCs/>
          <w:sz w:val="32"/>
          <w:szCs w:val="32"/>
          <w:lang w:eastAsia="zh-CN"/>
        </w:rPr>
        <w:t>知识产权</w:t>
      </w:r>
    </w:p>
    <w:p>
      <w:pPr>
        <w:spacing w:line="540" w:lineRule="exact"/>
        <w:ind w:firstLine="640" w:firstLineChars="200"/>
        <w:rPr>
          <w:rFonts w:hint="default" w:ascii="仿宋" w:hAnsi="仿宋" w:eastAsia="仿宋" w:cs="仿宋"/>
          <w:sz w:val="32"/>
          <w:szCs w:val="32"/>
        </w:rPr>
      </w:pPr>
      <w:r>
        <w:rPr>
          <w:rFonts w:hint="default" w:ascii="仿宋" w:hAnsi="仿宋" w:eastAsia="仿宋" w:cs="仿宋"/>
          <w:sz w:val="32"/>
          <w:szCs w:val="32"/>
        </w:rPr>
        <w:t>供应方须保障向采购方提供的图书不受第三方提出的侵犯其专利权、著作权、设计权等一切知识产权方面的指控或起诉。任何第三方如果提出侵权指控，供应商必须承担由此产生的一切赔偿和责任，包括对采购方所造成的损失和后果。</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0" w:after="0" w:line="580" w:lineRule="exact"/>
        <w:ind w:left="0" w:right="0" w:firstLine="560"/>
        <w:jc w:val="both"/>
        <w:textAlignment w:val="auto"/>
        <w:rPr>
          <w:rFonts w:hint="default" w:ascii="仿宋" w:hAnsi="仿宋" w:eastAsia="仿宋" w:cs="仿宋"/>
          <w:b/>
          <w:bCs/>
          <w:sz w:val="32"/>
          <w:szCs w:val="32"/>
          <w:lang w:eastAsia="zh-CN"/>
        </w:rPr>
      </w:pPr>
      <w:r>
        <w:rPr>
          <w:rFonts w:hint="eastAsia" w:ascii="仿宋" w:hAnsi="仿宋" w:eastAsia="仿宋" w:cs="仿宋"/>
          <w:b/>
          <w:bCs/>
          <w:sz w:val="32"/>
          <w:szCs w:val="32"/>
          <w:lang w:eastAsia="zh-CN"/>
        </w:rPr>
        <w:t>五、</w:t>
      </w:r>
      <w:r>
        <w:rPr>
          <w:rFonts w:hint="default" w:ascii="仿宋" w:hAnsi="仿宋" w:eastAsia="仿宋" w:cs="仿宋"/>
          <w:b/>
          <w:bCs/>
          <w:sz w:val="32"/>
          <w:szCs w:val="32"/>
          <w:lang w:eastAsia="zh-CN"/>
        </w:rPr>
        <w:t>商业信誉</w:t>
      </w:r>
    </w:p>
    <w:p>
      <w:pPr>
        <w:spacing w:line="540" w:lineRule="exact"/>
        <w:ind w:firstLine="640" w:firstLineChars="200"/>
        <w:rPr>
          <w:rFonts w:hint="default" w:ascii="仿宋" w:hAnsi="仿宋" w:eastAsia="仿宋" w:cs="仿宋"/>
          <w:sz w:val="32"/>
          <w:szCs w:val="32"/>
        </w:rPr>
      </w:pPr>
      <w:r>
        <w:rPr>
          <w:rFonts w:hint="eastAsia" w:ascii="仿宋" w:hAnsi="仿宋" w:eastAsia="仿宋" w:cs="仿宋"/>
          <w:sz w:val="32"/>
          <w:szCs w:val="32"/>
          <w:lang w:val="en-US" w:eastAsia="zh-CN"/>
        </w:rPr>
        <w:t>1、</w:t>
      </w:r>
      <w:r>
        <w:rPr>
          <w:rFonts w:hint="default" w:ascii="仿宋" w:hAnsi="仿宋" w:eastAsia="仿宋" w:cs="仿宋"/>
          <w:sz w:val="32"/>
          <w:szCs w:val="32"/>
        </w:rPr>
        <w:t>投标</w:t>
      </w:r>
      <w:r>
        <w:rPr>
          <w:rFonts w:hint="eastAsia" w:ascii="仿宋" w:hAnsi="仿宋" w:eastAsia="仿宋" w:cs="仿宋"/>
          <w:sz w:val="32"/>
          <w:szCs w:val="32"/>
          <w:lang w:eastAsia="zh-CN"/>
        </w:rPr>
        <w:t>方</w:t>
      </w:r>
      <w:r>
        <w:rPr>
          <w:rFonts w:hint="default" w:ascii="仿宋" w:hAnsi="仿宋" w:eastAsia="仿宋" w:cs="仿宋"/>
          <w:sz w:val="32"/>
          <w:szCs w:val="32"/>
        </w:rPr>
        <w:t>须遵守党纪国法，遵守诚信服务、公平交易的原则，有良好的信誉。采购方有权拒绝有违规违纪或曾向他人提供过不合格图书等不良记录的书商参与投标。</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0" w:after="0" w:line="580" w:lineRule="exact"/>
        <w:ind w:left="0" w:right="0" w:firstLine="560"/>
        <w:jc w:val="both"/>
        <w:textAlignment w:val="auto"/>
        <w:rPr>
          <w:rFonts w:hint="eastAsia" w:eastAsia="仿宋"/>
          <w:color w:val="auto"/>
          <w:lang w:val="en-US" w:eastAsia="zh-CN"/>
        </w:rPr>
      </w:pPr>
      <w:r>
        <w:rPr>
          <w:rFonts w:hint="eastAsia" w:ascii="仿宋" w:hAnsi="仿宋" w:eastAsia="仿宋" w:cs="仿宋"/>
          <w:color w:val="auto"/>
          <w:sz w:val="32"/>
          <w:szCs w:val="32"/>
          <w:lang w:val="en-US" w:eastAsia="zh-CN"/>
        </w:rPr>
        <w:t>2、</w:t>
      </w:r>
      <w:r>
        <w:rPr>
          <w:rFonts w:hint="default" w:ascii="仿宋" w:hAnsi="仿宋" w:eastAsia="仿宋" w:cs="仿宋"/>
          <w:color w:val="auto"/>
          <w:sz w:val="32"/>
          <w:szCs w:val="32"/>
        </w:rPr>
        <w:t>供应</w:t>
      </w:r>
      <w:r>
        <w:rPr>
          <w:rFonts w:hint="eastAsia" w:ascii="仿宋" w:hAnsi="仿宋" w:eastAsia="仿宋" w:cs="仿宋"/>
          <w:color w:val="auto"/>
          <w:sz w:val="32"/>
          <w:szCs w:val="32"/>
          <w:lang w:eastAsia="zh-CN"/>
        </w:rPr>
        <w:t>商</w:t>
      </w:r>
      <w:r>
        <w:rPr>
          <w:rFonts w:hint="default" w:ascii="仿宋" w:hAnsi="仿宋" w:eastAsia="仿宋" w:cs="仿宋"/>
          <w:color w:val="auto"/>
          <w:sz w:val="32"/>
          <w:szCs w:val="32"/>
        </w:rPr>
        <w:t>提供的图书中若含有非正版图书，采购方将对所有到馆图书坚决拒收并报相关部门处理，同时</w:t>
      </w:r>
      <w:r>
        <w:rPr>
          <w:rFonts w:hint="eastAsia" w:ascii="仿宋" w:hAnsi="仿宋" w:eastAsia="仿宋" w:cs="仿宋"/>
          <w:color w:val="auto"/>
          <w:sz w:val="32"/>
          <w:szCs w:val="32"/>
          <w:lang w:eastAsia="zh-CN"/>
        </w:rPr>
        <w:t>不予退还</w:t>
      </w:r>
      <w:r>
        <w:rPr>
          <w:rFonts w:hint="default" w:ascii="仿宋" w:hAnsi="仿宋" w:eastAsia="仿宋" w:cs="仿宋"/>
          <w:color w:val="auto"/>
          <w:sz w:val="32"/>
          <w:szCs w:val="32"/>
        </w:rPr>
        <w:t>履约保证金并终止合同。对于违反上述约定而造成的一切损失，均由成交供应</w:t>
      </w:r>
      <w:r>
        <w:rPr>
          <w:rFonts w:hint="eastAsia" w:ascii="仿宋" w:hAnsi="仿宋" w:eastAsia="仿宋" w:cs="仿宋"/>
          <w:color w:val="auto"/>
          <w:sz w:val="32"/>
          <w:szCs w:val="32"/>
          <w:lang w:eastAsia="zh-CN"/>
        </w:rPr>
        <w:t>商</w:t>
      </w:r>
      <w:r>
        <w:rPr>
          <w:rFonts w:hint="default" w:ascii="仿宋" w:hAnsi="仿宋" w:eastAsia="仿宋" w:cs="仿宋"/>
          <w:color w:val="auto"/>
          <w:sz w:val="32"/>
          <w:szCs w:val="32"/>
        </w:rPr>
        <w:t>自行承担。</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0" w:after="0" w:line="580" w:lineRule="exact"/>
        <w:ind w:left="0" w:right="0" w:firstLine="560"/>
        <w:jc w:val="both"/>
        <w:textAlignment w:val="auto"/>
        <w:rPr>
          <w:rFonts w:hint="default" w:ascii="仿宋" w:hAnsi="仿宋" w:eastAsia="仿宋" w:cs="仿宋"/>
          <w:b/>
          <w:bCs/>
          <w:sz w:val="32"/>
          <w:szCs w:val="32"/>
          <w:lang w:eastAsia="zh-CN"/>
        </w:rPr>
      </w:pPr>
      <w:r>
        <w:rPr>
          <w:rFonts w:hint="eastAsia" w:ascii="仿宋" w:hAnsi="仿宋" w:eastAsia="仿宋" w:cs="仿宋"/>
          <w:b/>
          <w:bCs/>
          <w:sz w:val="32"/>
          <w:szCs w:val="32"/>
          <w:lang w:eastAsia="zh-CN"/>
        </w:rPr>
        <w:t>六、</w:t>
      </w:r>
      <w:r>
        <w:rPr>
          <w:rFonts w:hint="default" w:ascii="仿宋" w:hAnsi="仿宋" w:eastAsia="仿宋" w:cs="仿宋"/>
          <w:b/>
          <w:bCs/>
          <w:sz w:val="32"/>
          <w:szCs w:val="32"/>
          <w:lang w:eastAsia="zh-CN"/>
        </w:rPr>
        <w:t>报价</w:t>
      </w:r>
    </w:p>
    <w:p>
      <w:pPr>
        <w:spacing w:line="540" w:lineRule="exact"/>
        <w:ind w:firstLine="640" w:firstLineChars="200"/>
        <w:rPr>
          <w:rFonts w:hint="default" w:ascii="仿宋" w:hAnsi="仿宋" w:eastAsia="仿宋" w:cs="仿宋"/>
          <w:sz w:val="32"/>
          <w:szCs w:val="32"/>
        </w:rPr>
      </w:pPr>
      <w:r>
        <w:rPr>
          <w:rFonts w:hint="eastAsia" w:ascii="仿宋" w:hAnsi="仿宋" w:eastAsia="仿宋" w:cs="仿宋"/>
          <w:sz w:val="32"/>
          <w:szCs w:val="32"/>
          <w:lang w:val="en-US" w:eastAsia="zh-CN"/>
        </w:rPr>
        <w:t>1、</w:t>
      </w:r>
      <w:r>
        <w:rPr>
          <w:rFonts w:hint="default" w:ascii="仿宋" w:hAnsi="仿宋" w:eastAsia="仿宋" w:cs="仿宋"/>
          <w:b/>
          <w:bCs/>
          <w:sz w:val="32"/>
          <w:szCs w:val="32"/>
        </w:rPr>
        <w:t>投标供应</w:t>
      </w:r>
      <w:r>
        <w:rPr>
          <w:rFonts w:hint="eastAsia" w:ascii="仿宋" w:hAnsi="仿宋" w:eastAsia="仿宋" w:cs="仿宋"/>
          <w:b/>
          <w:bCs/>
          <w:sz w:val="32"/>
          <w:szCs w:val="32"/>
          <w:lang w:eastAsia="zh-CN"/>
        </w:rPr>
        <w:t>商</w:t>
      </w:r>
      <w:r>
        <w:rPr>
          <w:rFonts w:hint="default" w:ascii="仿宋" w:hAnsi="仿宋" w:eastAsia="仿宋" w:cs="仿宋"/>
          <w:b/>
          <w:bCs/>
          <w:sz w:val="32"/>
          <w:szCs w:val="32"/>
        </w:rPr>
        <w:t>的报价（折扣：投标方按码洋报折扣，如折扣为</w:t>
      </w:r>
      <w:r>
        <w:rPr>
          <w:rFonts w:hint="eastAsia" w:ascii="仿宋" w:hAnsi="仿宋" w:eastAsia="仿宋" w:cs="仿宋"/>
          <w:b/>
          <w:bCs/>
          <w:color w:val="auto"/>
          <w:sz w:val="32"/>
          <w:szCs w:val="32"/>
          <w:lang w:val="en-US" w:eastAsia="zh-CN"/>
        </w:rPr>
        <w:t>6.8折</w:t>
      </w:r>
      <w:r>
        <w:rPr>
          <w:rFonts w:hint="default" w:ascii="仿宋" w:hAnsi="仿宋" w:eastAsia="仿宋" w:cs="仿宋"/>
          <w:b/>
          <w:bCs/>
          <w:sz w:val="32"/>
          <w:szCs w:val="32"/>
        </w:rPr>
        <w:t>，则采购方按码洋的</w:t>
      </w:r>
      <w:r>
        <w:rPr>
          <w:rFonts w:hint="eastAsia" w:ascii="仿宋" w:hAnsi="仿宋" w:eastAsia="仿宋" w:cs="仿宋"/>
          <w:b/>
          <w:bCs/>
          <w:sz w:val="32"/>
          <w:szCs w:val="32"/>
          <w:lang w:val="en-US" w:eastAsia="zh-CN"/>
        </w:rPr>
        <w:t>68</w:t>
      </w:r>
      <w:r>
        <w:rPr>
          <w:rFonts w:hint="default" w:ascii="仿宋" w:hAnsi="仿宋" w:eastAsia="仿宋" w:cs="仿宋"/>
          <w:b/>
          <w:bCs/>
          <w:sz w:val="32"/>
          <w:szCs w:val="32"/>
        </w:rPr>
        <w:t>%支付货款</w:t>
      </w:r>
      <w:r>
        <w:rPr>
          <w:rFonts w:hint="eastAsia" w:ascii="仿宋" w:hAnsi="仿宋" w:eastAsia="仿宋" w:cs="仿宋"/>
          <w:b/>
          <w:bCs/>
          <w:sz w:val="32"/>
          <w:szCs w:val="32"/>
          <w:lang w:eastAsia="zh-CN"/>
        </w:rPr>
        <w:t>，</w:t>
      </w:r>
      <w:r>
        <w:rPr>
          <w:rFonts w:hint="eastAsia" w:ascii="仿宋" w:hAnsi="仿宋" w:eastAsia="仿宋" w:cs="仿宋"/>
          <w:b/>
          <w:bCs/>
          <w:sz w:val="32"/>
          <w:szCs w:val="32"/>
        </w:rPr>
        <w:t>实洋＝码洋×报价折扣。如：码洋为200万元，实洋为</w:t>
      </w:r>
      <w:r>
        <w:rPr>
          <w:rFonts w:hint="eastAsia" w:ascii="仿宋" w:hAnsi="仿宋" w:eastAsia="仿宋" w:cs="仿宋"/>
          <w:b/>
          <w:bCs/>
          <w:sz w:val="32"/>
          <w:szCs w:val="32"/>
          <w:lang w:val="en-US" w:eastAsia="zh-CN"/>
        </w:rPr>
        <w:t>100</w:t>
      </w:r>
      <w:r>
        <w:rPr>
          <w:rFonts w:hint="eastAsia" w:ascii="仿宋" w:hAnsi="仿宋" w:eastAsia="仿宋" w:cs="仿宋"/>
          <w:b/>
          <w:bCs/>
          <w:sz w:val="32"/>
          <w:szCs w:val="32"/>
        </w:rPr>
        <w:t>万元，报价折扣为</w:t>
      </w:r>
      <w:r>
        <w:rPr>
          <w:rFonts w:hint="eastAsia" w:ascii="仿宋" w:hAnsi="仿宋" w:eastAsia="仿宋" w:cs="仿宋"/>
          <w:b/>
          <w:bCs/>
          <w:sz w:val="32"/>
          <w:szCs w:val="32"/>
          <w:lang w:val="en-US" w:eastAsia="zh-CN"/>
        </w:rPr>
        <w:t>5折</w:t>
      </w:r>
      <w:r>
        <w:rPr>
          <w:rFonts w:hint="eastAsia" w:ascii="仿宋" w:hAnsi="仿宋" w:eastAsia="仿宋" w:cs="仿宋"/>
          <w:b/>
          <w:bCs/>
          <w:sz w:val="32"/>
          <w:szCs w:val="32"/>
        </w:rPr>
        <w:t>。</w:t>
      </w:r>
      <w:r>
        <w:rPr>
          <w:rFonts w:hint="default" w:ascii="仿宋" w:hAnsi="仿宋" w:eastAsia="仿宋" w:cs="仿宋"/>
          <w:b/>
          <w:bCs/>
          <w:sz w:val="32"/>
          <w:szCs w:val="32"/>
        </w:rPr>
        <w:t>）</w:t>
      </w:r>
      <w:r>
        <w:rPr>
          <w:rFonts w:hint="default" w:ascii="仿宋" w:hAnsi="仿宋" w:eastAsia="仿宋" w:cs="仿宋"/>
          <w:sz w:val="32"/>
          <w:szCs w:val="32"/>
        </w:rPr>
        <w:t>应包括图书、运输费、保险费、装卸费、特殊工具费、包装费、加工上架</w:t>
      </w:r>
      <w:r>
        <w:rPr>
          <w:rFonts w:hint="eastAsia" w:ascii="仿宋" w:hAnsi="仿宋" w:eastAsia="仿宋" w:cs="仿宋"/>
          <w:b w:val="0"/>
          <w:bCs w:val="0"/>
          <w:color w:val="auto"/>
          <w:sz w:val="32"/>
          <w:szCs w:val="32"/>
          <w:lang w:eastAsia="zh-CN"/>
        </w:rPr>
        <w:t>以及加工所需材料等</w:t>
      </w:r>
      <w:r>
        <w:rPr>
          <w:rFonts w:hint="default" w:ascii="仿宋" w:hAnsi="仿宋" w:eastAsia="仿宋" w:cs="仿宋"/>
          <w:sz w:val="32"/>
          <w:szCs w:val="32"/>
        </w:rPr>
        <w:t>费用、税金、技术培训、人工、售后服务及技术支持、不可预见费等完成本项目所须费用，漏算的费用均认为已包括在总价中，投标供应方不得再要求追加任何费用。</w:t>
      </w:r>
    </w:p>
    <w:p>
      <w:pPr>
        <w:spacing w:line="540" w:lineRule="exact"/>
        <w:ind w:firstLine="640" w:firstLineChars="200"/>
        <w:rPr>
          <w:rFonts w:hint="default" w:ascii="仿宋" w:hAnsi="仿宋" w:eastAsia="仿宋" w:cs="仿宋"/>
          <w:sz w:val="32"/>
          <w:szCs w:val="32"/>
        </w:rPr>
      </w:pPr>
      <w:r>
        <w:rPr>
          <w:rFonts w:hint="eastAsia" w:ascii="仿宋" w:hAnsi="仿宋" w:eastAsia="仿宋" w:cs="仿宋"/>
          <w:sz w:val="32"/>
          <w:szCs w:val="32"/>
          <w:lang w:val="en-US" w:eastAsia="zh-CN"/>
        </w:rPr>
        <w:t>2、</w:t>
      </w:r>
      <w:r>
        <w:rPr>
          <w:rFonts w:hint="default" w:ascii="仿宋" w:hAnsi="仿宋" w:eastAsia="仿宋" w:cs="仿宋"/>
          <w:sz w:val="32"/>
          <w:szCs w:val="32"/>
        </w:rPr>
        <w:t>投标供应方的报价一律用折扣填报，投标供应方应在开标一览表上标明折扣。</w:t>
      </w:r>
    </w:p>
    <w:p>
      <w:pPr>
        <w:spacing w:line="540" w:lineRule="exact"/>
        <w:ind w:firstLine="640" w:firstLineChars="200"/>
        <w:rPr>
          <w:rFonts w:hint="default" w:ascii="仿宋" w:hAnsi="仿宋" w:eastAsia="仿宋" w:cs="仿宋"/>
          <w:sz w:val="32"/>
          <w:szCs w:val="32"/>
        </w:rPr>
      </w:pPr>
      <w:r>
        <w:rPr>
          <w:rFonts w:hint="eastAsia" w:ascii="仿宋" w:hAnsi="仿宋" w:eastAsia="仿宋" w:cs="仿宋"/>
          <w:sz w:val="32"/>
          <w:szCs w:val="32"/>
          <w:lang w:val="en-US" w:eastAsia="zh-CN"/>
        </w:rPr>
        <w:t>3、</w:t>
      </w:r>
      <w:r>
        <w:rPr>
          <w:rFonts w:hint="default" w:ascii="仿宋" w:hAnsi="仿宋" w:eastAsia="仿宋" w:cs="仿宋"/>
          <w:sz w:val="32"/>
          <w:szCs w:val="32"/>
        </w:rPr>
        <w:t>除非合同条款中另有</w:t>
      </w:r>
      <w:r>
        <w:rPr>
          <w:rFonts w:hint="eastAsia" w:ascii="仿宋" w:hAnsi="仿宋" w:eastAsia="仿宋" w:cs="仿宋"/>
          <w:sz w:val="32"/>
          <w:szCs w:val="32"/>
          <w:lang w:eastAsia="zh-CN"/>
        </w:rPr>
        <w:t>约</w:t>
      </w:r>
      <w:r>
        <w:rPr>
          <w:rFonts w:hint="default" w:ascii="仿宋" w:hAnsi="仿宋" w:eastAsia="仿宋" w:cs="仿宋"/>
          <w:sz w:val="32"/>
          <w:szCs w:val="32"/>
        </w:rPr>
        <w:t>定，否则，投标单位所报价格在合同</w:t>
      </w:r>
      <w:r>
        <w:rPr>
          <w:rFonts w:hint="eastAsia" w:ascii="仿宋" w:hAnsi="仿宋" w:eastAsia="仿宋" w:cs="仿宋"/>
          <w:sz w:val="32"/>
          <w:szCs w:val="32"/>
          <w:lang w:eastAsia="zh-CN"/>
        </w:rPr>
        <w:t>履行</w:t>
      </w:r>
      <w:r>
        <w:rPr>
          <w:rFonts w:hint="default" w:ascii="仿宋" w:hAnsi="仿宋" w:eastAsia="仿宋" w:cs="仿宋"/>
          <w:sz w:val="32"/>
          <w:szCs w:val="32"/>
        </w:rPr>
        <w:t>期间不</w:t>
      </w:r>
      <w:r>
        <w:rPr>
          <w:rFonts w:hint="eastAsia" w:ascii="仿宋" w:hAnsi="仿宋" w:eastAsia="仿宋" w:cs="仿宋"/>
          <w:sz w:val="32"/>
          <w:szCs w:val="32"/>
          <w:lang w:eastAsia="zh-CN"/>
        </w:rPr>
        <w:t>受</w:t>
      </w:r>
      <w:r>
        <w:rPr>
          <w:rFonts w:hint="default" w:ascii="仿宋" w:hAnsi="仿宋" w:eastAsia="仿宋" w:cs="仿宋"/>
          <w:sz w:val="32"/>
          <w:szCs w:val="32"/>
        </w:rPr>
        <w:t>市场变化因素</w:t>
      </w:r>
      <w:r>
        <w:rPr>
          <w:rFonts w:hint="eastAsia" w:ascii="仿宋" w:hAnsi="仿宋" w:eastAsia="仿宋" w:cs="仿宋"/>
          <w:sz w:val="32"/>
          <w:szCs w:val="32"/>
          <w:lang w:eastAsia="zh-CN"/>
        </w:rPr>
        <w:t>影响</w:t>
      </w:r>
      <w:r>
        <w:rPr>
          <w:rFonts w:hint="default" w:ascii="仿宋" w:hAnsi="仿宋" w:eastAsia="仿宋" w:cs="仿宋"/>
          <w:sz w:val="32"/>
          <w:szCs w:val="32"/>
        </w:rPr>
        <w:t>。</w:t>
      </w:r>
    </w:p>
    <w:p>
      <w:pPr>
        <w:spacing w:line="540" w:lineRule="exact"/>
        <w:ind w:firstLine="640" w:firstLineChars="200"/>
        <w:rPr>
          <w:rFonts w:hint="eastAsia" w:eastAsia="仿宋"/>
          <w:lang w:eastAsia="zh-CN"/>
        </w:rPr>
      </w:pPr>
      <w:r>
        <w:rPr>
          <w:rFonts w:hint="eastAsia" w:ascii="仿宋" w:hAnsi="仿宋" w:eastAsia="仿宋" w:cs="仿宋"/>
          <w:sz w:val="32"/>
          <w:szCs w:val="32"/>
          <w:lang w:val="en-US" w:eastAsia="zh-CN"/>
        </w:rPr>
        <w:t>4、</w:t>
      </w:r>
      <w:r>
        <w:rPr>
          <w:rFonts w:hint="default" w:ascii="仿宋" w:hAnsi="仿宋" w:eastAsia="仿宋" w:cs="仿宋"/>
          <w:sz w:val="32"/>
          <w:szCs w:val="32"/>
        </w:rPr>
        <w:t>投标供应方的报价明显低于其他通过符合性审查投标供应方的报价，有可能影响产品质量或者不能诚信履约的，应当按评标委员会的要求，在评标现场合理的时间内提供书面说明，必要时提交相关证明材料；投标供应方不能证明其报价合理性的，将被作为无效投标处理。</w:t>
      </w:r>
    </w:p>
    <w:p>
      <w:pPr>
        <w:pStyle w:val="23"/>
        <w:ind w:left="0" w:leftChars="0" w:firstLine="0" w:firstLineChars="0"/>
        <w:rPr>
          <w:rFonts w:hint="eastAsia"/>
          <w:b/>
          <w:bCs/>
          <w:sz w:val="28"/>
          <w:szCs w:val="28"/>
          <w:lang w:val="en-US" w:eastAsia="zh-CN"/>
        </w:rPr>
      </w:pPr>
    </w:p>
    <w:p>
      <w:pPr>
        <w:pStyle w:val="7"/>
        <w:ind w:left="0" w:leftChars="0" w:firstLine="0" w:firstLineChars="0"/>
        <w:rPr>
          <w:rFonts w:hint="eastAsia"/>
          <w:lang w:val="en-US" w:eastAsia="zh-CN"/>
        </w:rPr>
      </w:pPr>
      <w:r>
        <w:rPr>
          <w:rFonts w:hint="eastAsia"/>
          <w:b/>
          <w:bCs/>
          <w:sz w:val="28"/>
          <w:szCs w:val="28"/>
          <w:lang w:val="en-US" w:eastAsia="zh-CN"/>
        </w:rPr>
        <w:t>备注：文件论证费和专家评审费由中标人承担。</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细黑一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401657"/>
    <w:multiLevelType w:val="singleLevel"/>
    <w:tmpl w:val="12401657"/>
    <w:lvl w:ilvl="0" w:tentative="0">
      <w:start w:val="1"/>
      <w:numFmt w:val="decimal"/>
      <w:suff w:val="nothing"/>
      <w:lvlText w:val="%1、"/>
      <w:lvlJc w:val="left"/>
    </w:lvl>
  </w:abstractNum>
  <w:abstractNum w:abstractNumId="1">
    <w:nsid w:val="28020941"/>
    <w:multiLevelType w:val="multilevel"/>
    <w:tmpl w:val="28020941"/>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4"/>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hAnsi="Times New Roman" w:eastAsia="宋体"/>
        <w:b/>
        <w:i w:val="0"/>
        <w:sz w:val="28"/>
      </w:r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52170"/>
    <w:rsid w:val="019656D4"/>
    <w:rsid w:val="02A03C48"/>
    <w:rsid w:val="03385080"/>
    <w:rsid w:val="04053D83"/>
    <w:rsid w:val="040C3561"/>
    <w:rsid w:val="04A04175"/>
    <w:rsid w:val="04B941CC"/>
    <w:rsid w:val="05406A7D"/>
    <w:rsid w:val="07F93DAC"/>
    <w:rsid w:val="089B3589"/>
    <w:rsid w:val="08D53E4B"/>
    <w:rsid w:val="09001FF7"/>
    <w:rsid w:val="09BD7216"/>
    <w:rsid w:val="0A0A1093"/>
    <w:rsid w:val="0A2948D5"/>
    <w:rsid w:val="0AFA01CF"/>
    <w:rsid w:val="0B715511"/>
    <w:rsid w:val="0BE52170"/>
    <w:rsid w:val="0E7D5BB7"/>
    <w:rsid w:val="0F615CB4"/>
    <w:rsid w:val="0F723765"/>
    <w:rsid w:val="11977DDA"/>
    <w:rsid w:val="13B77EA7"/>
    <w:rsid w:val="156108C9"/>
    <w:rsid w:val="156C1119"/>
    <w:rsid w:val="1624122A"/>
    <w:rsid w:val="16674D3D"/>
    <w:rsid w:val="16D97BF3"/>
    <w:rsid w:val="17320C4D"/>
    <w:rsid w:val="1A544667"/>
    <w:rsid w:val="1AC94CB2"/>
    <w:rsid w:val="1AF45D39"/>
    <w:rsid w:val="1B8E7A6F"/>
    <w:rsid w:val="1BC620E4"/>
    <w:rsid w:val="1BC953AD"/>
    <w:rsid w:val="1C223593"/>
    <w:rsid w:val="1DA204E9"/>
    <w:rsid w:val="1DA94B31"/>
    <w:rsid w:val="1DB266FB"/>
    <w:rsid w:val="1DED6146"/>
    <w:rsid w:val="1E1C734C"/>
    <w:rsid w:val="1F1C5D81"/>
    <w:rsid w:val="1FA552BD"/>
    <w:rsid w:val="1FDE647D"/>
    <w:rsid w:val="20ED13FE"/>
    <w:rsid w:val="21075005"/>
    <w:rsid w:val="22717992"/>
    <w:rsid w:val="229C33A8"/>
    <w:rsid w:val="23103604"/>
    <w:rsid w:val="2322146C"/>
    <w:rsid w:val="2546602D"/>
    <w:rsid w:val="26A872DC"/>
    <w:rsid w:val="275E3933"/>
    <w:rsid w:val="27B96CE8"/>
    <w:rsid w:val="2923306D"/>
    <w:rsid w:val="2B4937C0"/>
    <w:rsid w:val="2BFD537A"/>
    <w:rsid w:val="2C591990"/>
    <w:rsid w:val="2DD0334B"/>
    <w:rsid w:val="2E5927FE"/>
    <w:rsid w:val="2F000D0A"/>
    <w:rsid w:val="2F3F2D05"/>
    <w:rsid w:val="2F8C1D98"/>
    <w:rsid w:val="31575E50"/>
    <w:rsid w:val="318A1C77"/>
    <w:rsid w:val="340F7004"/>
    <w:rsid w:val="345D6BCD"/>
    <w:rsid w:val="34E105F2"/>
    <w:rsid w:val="351F7BA9"/>
    <w:rsid w:val="35282B49"/>
    <w:rsid w:val="35C04321"/>
    <w:rsid w:val="37E76C1D"/>
    <w:rsid w:val="39AC072B"/>
    <w:rsid w:val="3AB406EF"/>
    <w:rsid w:val="3D067007"/>
    <w:rsid w:val="3F0A2DB7"/>
    <w:rsid w:val="3F2C1931"/>
    <w:rsid w:val="40901016"/>
    <w:rsid w:val="40E0172C"/>
    <w:rsid w:val="421D0268"/>
    <w:rsid w:val="42E66127"/>
    <w:rsid w:val="432021F2"/>
    <w:rsid w:val="434518C2"/>
    <w:rsid w:val="44105AD8"/>
    <w:rsid w:val="46401E44"/>
    <w:rsid w:val="47C86602"/>
    <w:rsid w:val="495816D1"/>
    <w:rsid w:val="49805174"/>
    <w:rsid w:val="4B0B0FAA"/>
    <w:rsid w:val="4BAD6DD0"/>
    <w:rsid w:val="4CA0565A"/>
    <w:rsid w:val="4D934F2C"/>
    <w:rsid w:val="4DCB07C7"/>
    <w:rsid w:val="4DE3101B"/>
    <w:rsid w:val="4E595DA0"/>
    <w:rsid w:val="4E98237F"/>
    <w:rsid w:val="4F773CDF"/>
    <w:rsid w:val="5170292E"/>
    <w:rsid w:val="519D6A3D"/>
    <w:rsid w:val="526C288D"/>
    <w:rsid w:val="52725823"/>
    <w:rsid w:val="536E1136"/>
    <w:rsid w:val="541D45D8"/>
    <w:rsid w:val="5445294F"/>
    <w:rsid w:val="547C3A7F"/>
    <w:rsid w:val="54993C48"/>
    <w:rsid w:val="54ED528B"/>
    <w:rsid w:val="557D625A"/>
    <w:rsid w:val="55EE2384"/>
    <w:rsid w:val="56C34F82"/>
    <w:rsid w:val="57727177"/>
    <w:rsid w:val="58BB66F0"/>
    <w:rsid w:val="5A213645"/>
    <w:rsid w:val="5A793414"/>
    <w:rsid w:val="5B8B7574"/>
    <w:rsid w:val="5BD32A41"/>
    <w:rsid w:val="5C7930FC"/>
    <w:rsid w:val="5CC5665E"/>
    <w:rsid w:val="5D2B3C75"/>
    <w:rsid w:val="5D301470"/>
    <w:rsid w:val="5E311E71"/>
    <w:rsid w:val="5E534C59"/>
    <w:rsid w:val="5E7002E1"/>
    <w:rsid w:val="5F131865"/>
    <w:rsid w:val="5FAB543B"/>
    <w:rsid w:val="5FC545C6"/>
    <w:rsid w:val="60115372"/>
    <w:rsid w:val="62AC5CB7"/>
    <w:rsid w:val="63B12314"/>
    <w:rsid w:val="64C116AC"/>
    <w:rsid w:val="64E01395"/>
    <w:rsid w:val="66E358D5"/>
    <w:rsid w:val="67894973"/>
    <w:rsid w:val="68505B6B"/>
    <w:rsid w:val="68D739A2"/>
    <w:rsid w:val="692449EE"/>
    <w:rsid w:val="6AE44653"/>
    <w:rsid w:val="6B0C104F"/>
    <w:rsid w:val="6C552E96"/>
    <w:rsid w:val="6CC57372"/>
    <w:rsid w:val="6D40715A"/>
    <w:rsid w:val="6D535020"/>
    <w:rsid w:val="6DEA7494"/>
    <w:rsid w:val="6DFA46C3"/>
    <w:rsid w:val="72385C09"/>
    <w:rsid w:val="72A01582"/>
    <w:rsid w:val="738744BB"/>
    <w:rsid w:val="74594D5B"/>
    <w:rsid w:val="753C709E"/>
    <w:rsid w:val="75854221"/>
    <w:rsid w:val="75A77F5F"/>
    <w:rsid w:val="765C2FCD"/>
    <w:rsid w:val="76A668B1"/>
    <w:rsid w:val="77031653"/>
    <w:rsid w:val="77835DD6"/>
    <w:rsid w:val="78DF48C7"/>
    <w:rsid w:val="79881788"/>
    <w:rsid w:val="79D225D2"/>
    <w:rsid w:val="7A427D47"/>
    <w:rsid w:val="7A4C450A"/>
    <w:rsid w:val="7AE27A1E"/>
    <w:rsid w:val="7B600EE3"/>
    <w:rsid w:val="7BFD396B"/>
    <w:rsid w:val="7C9710A7"/>
    <w:rsid w:val="7E324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0" w:beforeLines="0" w:line="360" w:lineRule="auto"/>
      <w:ind w:firstLine="0"/>
      <w:jc w:val="center"/>
      <w:outlineLvl w:val="0"/>
    </w:pPr>
    <w:rPr>
      <w:rFonts w:cs="宋体"/>
      <w:b/>
      <w:bCs/>
      <w:kern w:val="44"/>
      <w:sz w:val="32"/>
      <w:szCs w:val="44"/>
    </w:rPr>
  </w:style>
  <w:style w:type="paragraph" w:styleId="4">
    <w:name w:val="heading 2"/>
    <w:basedOn w:val="1"/>
    <w:next w:val="1"/>
    <w:unhideWhenUsed/>
    <w:qFormat/>
    <w:uiPriority w:val="0"/>
    <w:pPr>
      <w:keepNext/>
      <w:keepLines/>
      <w:numPr>
        <w:ilvl w:val="1"/>
        <w:numId w:val="1"/>
      </w:numPr>
      <w:spacing w:before="260" w:after="260" w:line="412" w:lineRule="auto"/>
      <w:jc w:val="center"/>
      <w:outlineLvl w:val="1"/>
    </w:pPr>
    <w:rPr>
      <w:rFonts w:ascii="CG Times" w:hAnsi="CG Times" w:cs="宋体"/>
      <w:sz w:val="30"/>
      <w:szCs w:val="20"/>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6">
    <w:name w:val="Default Paragraph Font"/>
    <w:link w:val="17"/>
    <w:semiHidden/>
    <w:qFormat/>
    <w:uiPriority w:val="0"/>
    <w:rPr>
      <w:rFonts w:ascii="Times New Roman" w:hAnsi="Times New Roman"/>
      <w:szCs w:val="24"/>
    </w:rPr>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ahoma" w:hAnsi="Tahoma"/>
      <w:szCs w:val="20"/>
    </w:rPr>
  </w:style>
  <w:style w:type="paragraph" w:styleId="6">
    <w:name w:val="Normal Indent"/>
    <w:basedOn w:val="1"/>
    <w:qFormat/>
    <w:uiPriority w:val="0"/>
    <w:pPr>
      <w:ind w:firstLine="420"/>
    </w:pPr>
  </w:style>
  <w:style w:type="paragraph" w:styleId="7">
    <w:name w:val="index 5"/>
    <w:basedOn w:val="1"/>
    <w:next w:val="1"/>
    <w:qFormat/>
    <w:uiPriority w:val="0"/>
    <w:pPr>
      <w:spacing w:before="100" w:beforeAutospacing="1" w:after="100" w:afterAutospacing="1" w:line="360" w:lineRule="auto"/>
      <w:ind w:left="1680"/>
    </w:pPr>
    <w:rPr>
      <w:rFonts w:ascii="Times New Roman" w:hAnsi="Times New Roman"/>
    </w:rPr>
  </w:style>
  <w:style w:type="paragraph" w:styleId="8">
    <w:name w:val="Body Text 3"/>
    <w:basedOn w:val="1"/>
    <w:qFormat/>
    <w:uiPriority w:val="0"/>
    <w:rPr>
      <w:rFonts w:ascii="宋体"/>
      <w:kern w:val="2"/>
      <w:sz w:val="24"/>
    </w:rPr>
  </w:style>
  <w:style w:type="paragraph" w:styleId="9">
    <w:name w:val="Plain Text"/>
    <w:basedOn w:val="1"/>
    <w:qFormat/>
    <w:uiPriority w:val="0"/>
    <w:rPr>
      <w:rFonts w:ascii="宋体" w:hAnsi="Courier New"/>
      <w:kern w:val="0"/>
      <w:sz w:val="20"/>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Lines="0" w:beforeAutospacing="1" w:after="100" w:afterLines="0" w:afterAutospacing="1"/>
    </w:pPr>
    <w:rPr>
      <w:rFonts w:ascii="宋体" w:hAnsi="宋体" w:cs="宋体"/>
      <w:sz w:val="24"/>
      <w:szCs w:val="24"/>
    </w:rPr>
  </w:style>
  <w:style w:type="paragraph" w:styleId="13">
    <w:name w:val="Body Text First Indent"/>
    <w:basedOn w:val="2"/>
    <w:unhideWhenUsed/>
    <w:qFormat/>
    <w:uiPriority w:val="0"/>
    <w:pPr>
      <w:spacing w:line="259" w:lineRule="auto"/>
      <w:ind w:firstLine="420" w:firstLineChars="100"/>
    </w:pPr>
    <w:rPr>
      <w:rFonts w:eastAsia="方正细黑一简体"/>
      <w:szCs w:val="21"/>
      <w:lang w:eastAsia="en-U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Char Char Char Char Char Char"/>
    <w:basedOn w:val="1"/>
    <w:link w:val="16"/>
    <w:qFormat/>
    <w:uiPriority w:val="0"/>
    <w:rPr>
      <w:rFonts w:ascii="Times New Roman" w:hAnsi="Times New Roman"/>
      <w:szCs w:val="24"/>
    </w:rPr>
  </w:style>
  <w:style w:type="character" w:styleId="18">
    <w:name w:val="Strong"/>
    <w:basedOn w:val="16"/>
    <w:qFormat/>
    <w:uiPriority w:val="22"/>
    <w:rPr>
      <w:rFonts w:eastAsia="黑体"/>
      <w:bCs/>
    </w:rPr>
  </w:style>
  <w:style w:type="character" w:styleId="19">
    <w:name w:val="page number"/>
    <w:basedOn w:val="16"/>
    <w:qFormat/>
    <w:uiPriority w:val="0"/>
  </w:style>
  <w:style w:type="paragraph" w:customStyle="1" w:styleId="20">
    <w:name w:val="列出段落1"/>
    <w:basedOn w:val="1"/>
    <w:qFormat/>
    <w:uiPriority w:val="34"/>
    <w:pPr>
      <w:ind w:firstLine="420" w:firstLineChars="200"/>
    </w:pPr>
  </w:style>
  <w:style w:type="character" w:customStyle="1" w:styleId="21">
    <w:name w:val="font01"/>
    <w:basedOn w:val="16"/>
    <w:qFormat/>
    <w:uiPriority w:val="0"/>
    <w:rPr>
      <w:rFonts w:hint="eastAsia" w:ascii="宋体" w:hAnsi="宋体" w:eastAsia="宋体" w:cs="宋体"/>
      <w:color w:val="000000"/>
      <w:sz w:val="20"/>
      <w:szCs w:val="20"/>
      <w:u w:val="none"/>
    </w:rPr>
  </w:style>
  <w:style w:type="character" w:customStyle="1" w:styleId="22">
    <w:name w:val="font21"/>
    <w:basedOn w:val="16"/>
    <w:qFormat/>
    <w:uiPriority w:val="0"/>
    <w:rPr>
      <w:rFonts w:ascii="宋体" w:hAnsi="宋体" w:eastAsia="宋体" w:cs="宋体"/>
      <w:color w:val="000000"/>
      <w:sz w:val="20"/>
      <w:szCs w:val="20"/>
      <w:u w:val="none"/>
    </w:rPr>
  </w:style>
  <w:style w:type="paragraph" w:customStyle="1" w:styleId="23">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24">
    <w:name w:val="font11"/>
    <w:basedOn w:val="16"/>
    <w:qFormat/>
    <w:uiPriority w:val="0"/>
    <w:rPr>
      <w:rFonts w:hint="eastAsia" w:ascii="宋体" w:hAnsi="宋体" w:eastAsia="宋体" w:cs="宋体"/>
      <w:color w:val="000000"/>
      <w:sz w:val="24"/>
      <w:szCs w:val="24"/>
      <w:u w:val="none"/>
    </w:rPr>
  </w:style>
  <w:style w:type="paragraph" w:customStyle="1" w:styleId="25">
    <w:name w:val="Default"/>
    <w:qFormat/>
    <w:uiPriority w:val="0"/>
    <w:pPr>
      <w:widowControl w:val="0"/>
      <w:autoSpaceDE w:val="0"/>
      <w:autoSpaceDN w:val="0"/>
      <w:adjustRightInd w:val="0"/>
    </w:pPr>
    <w:rPr>
      <w:rFonts w:ascii="宋体" w:hAnsiTheme="minorHAnsi" w:eastAsiaTheme="minorEastAsia" w:cstheme="minorBidi"/>
      <w:color w:val="000000"/>
      <w:sz w:val="24"/>
      <w:szCs w:val="24"/>
      <w:lang w:val="en-US" w:eastAsia="zh-CN" w:bidi="ar-SA"/>
    </w:rPr>
  </w:style>
  <w:style w:type="paragraph" w:customStyle="1" w:styleId="26">
    <w:name w:val="Table Paragraph"/>
    <w:basedOn w:val="1"/>
    <w:qFormat/>
    <w:uiPriority w:val="1"/>
    <w:rPr>
      <w:lang w:val="zh-CN" w:eastAsia="zh-CN" w:bidi="zh-CN"/>
    </w:rPr>
  </w:style>
  <w:style w:type="character" w:customStyle="1" w:styleId="27">
    <w:name w:val="font51"/>
    <w:basedOn w:val="16"/>
    <w:qFormat/>
    <w:uiPriority w:val="0"/>
    <w:rPr>
      <w:rFonts w:ascii="宋体" w:hAnsi="宋体" w:eastAsia="宋体" w:cs="宋体"/>
      <w:color w:val="000000"/>
      <w:sz w:val="20"/>
      <w:szCs w:val="20"/>
      <w:u w:val="none"/>
    </w:rPr>
  </w:style>
  <w:style w:type="character" w:customStyle="1" w:styleId="28">
    <w:name w:val="font41"/>
    <w:basedOn w:val="16"/>
    <w:qFormat/>
    <w:uiPriority w:val="0"/>
    <w:rPr>
      <w:rFonts w:hint="eastAsia" w:ascii="宋体" w:hAnsi="宋体" w:eastAsia="宋体" w:cs="宋体"/>
      <w:color w:val="FF0000"/>
      <w:sz w:val="24"/>
      <w:szCs w:val="24"/>
      <w:u w:val="none"/>
    </w:rPr>
  </w:style>
  <w:style w:type="paragraph" w:customStyle="1" w:styleId="29">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7</Pages>
  <Words>3872</Words>
  <Characters>4579</Characters>
  <Lines>0</Lines>
  <Paragraphs>0</Paragraphs>
  <TotalTime>1</TotalTime>
  <ScaleCrop>false</ScaleCrop>
  <LinksUpToDate>false</LinksUpToDate>
  <CharactersWithSpaces>4623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2018-07-11T06:18:00Z</dcterms:created>
  <dc:creator>待续</dc:creator>
  <cp:lastModifiedBy>麦子</cp:lastModifiedBy>
  <cp:lastPrinted>2018-11-02T03:19:00Z</cp:lastPrinted>
  <dcterms:modified xsi:type="dcterms:W3CDTF">2021-06-16T07:29:53Z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A36EE665F3B14D9D965A382E7A689327</vt:lpwstr>
  </property>
</Properties>
</file>