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700" w:lineRule="exact"/>
        <w:jc w:val="center"/>
        <w:rPr>
          <w:rFonts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10"/>
        <w:spacing w:line="700" w:lineRule="exact"/>
        <w:jc w:val="center"/>
        <w:rPr>
          <w:rFonts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10"/>
        <w:spacing w:line="700" w:lineRule="exact"/>
        <w:jc w:val="center"/>
        <w:rPr>
          <w:rFonts w:ascii="黑体" w:hAnsi="宋体" w:eastAsia="黑体"/>
          <w:b/>
          <w:color w:val="000000"/>
          <w:spacing w:val="-4"/>
          <w:sz w:val="44"/>
          <w:szCs w:val="44"/>
        </w:rPr>
      </w:pPr>
    </w:p>
    <w:p>
      <w:pPr>
        <w:pStyle w:val="10"/>
        <w:spacing w:line="700" w:lineRule="exact"/>
        <w:rPr>
          <w:rFonts w:ascii="黑体" w:hAnsi="宋体" w:eastAsia="黑体"/>
          <w:b/>
          <w:color w:val="000000"/>
          <w:spacing w:val="-4"/>
          <w:sz w:val="44"/>
          <w:szCs w:val="44"/>
        </w:rPr>
      </w:pPr>
    </w:p>
    <w:p>
      <w:pPr>
        <w:pStyle w:val="10"/>
        <w:spacing w:line="700" w:lineRule="exact"/>
        <w:rPr>
          <w:rFonts w:ascii="黑体" w:hAnsi="宋体" w:eastAsia="黑体"/>
          <w:b/>
          <w:color w:val="000000"/>
          <w:spacing w:val="-4"/>
          <w:sz w:val="44"/>
          <w:szCs w:val="44"/>
        </w:rPr>
      </w:pP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谈</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判</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文</w:t>
      </w:r>
    </w:p>
    <w:p>
      <w:pPr>
        <w:pStyle w:val="10"/>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件</w:t>
      </w:r>
    </w:p>
    <w:p>
      <w:pPr>
        <w:pStyle w:val="10"/>
        <w:spacing w:line="360" w:lineRule="auto"/>
        <w:ind w:firstLine="1265" w:firstLineChars="45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10"/>
        <w:spacing w:line="360" w:lineRule="auto"/>
        <w:ind w:firstLine="1265" w:firstLineChars="450"/>
        <w:rPr>
          <w:rFonts w:asciiTheme="minorEastAsia" w:hAnsiTheme="minorEastAsia" w:cstheme="minorEastAsia"/>
          <w:b/>
          <w:color w:val="000000"/>
          <w:sz w:val="28"/>
          <w:szCs w:val="28"/>
        </w:rPr>
      </w:pPr>
    </w:p>
    <w:p>
      <w:pPr>
        <w:pStyle w:val="10"/>
        <w:spacing w:line="360" w:lineRule="auto"/>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10"/>
        <w:spacing w:line="560" w:lineRule="exact"/>
        <w:ind w:left="1964" w:leftChars="266" w:hanging="1405" w:hangingChars="500"/>
        <w:rPr>
          <w:rFonts w:hint="eastAsia" w:asciiTheme="minorEastAsia" w:hAnsiTheme="minorEastAsia" w:eastAsiaTheme="minorEastAsia" w:cstheme="minorEastAsia"/>
          <w:b/>
          <w:color w:val="000000"/>
          <w:sz w:val="28"/>
          <w:szCs w:val="28"/>
          <w:lang w:val="en-US" w:eastAsia="zh-CN"/>
        </w:rPr>
      </w:pPr>
      <w:r>
        <w:rPr>
          <w:rFonts w:hint="eastAsia" w:asciiTheme="minorEastAsia" w:hAnsiTheme="minorEastAsia" w:cstheme="minorEastAsia"/>
          <w:b/>
          <w:color w:val="000000"/>
          <w:sz w:val="28"/>
          <w:szCs w:val="28"/>
        </w:rPr>
        <w:t>招标项目：</w:t>
      </w:r>
      <w:r>
        <w:rPr>
          <w:rFonts w:hint="eastAsia" w:ascii="仿宋_GB2312" w:eastAsia="仿宋_GB2312"/>
          <w:b/>
          <w:color w:val="auto"/>
          <w:spacing w:val="-11"/>
          <w:sz w:val="32"/>
          <w:szCs w:val="32"/>
        </w:rPr>
        <w:t>铜仁市南岳清水湾幼儿园</w:t>
      </w:r>
      <w:r>
        <w:rPr>
          <w:rFonts w:hint="eastAsia" w:ascii="仿宋_GB2312" w:eastAsia="仿宋_GB2312"/>
          <w:b/>
          <w:color w:val="auto"/>
          <w:spacing w:val="-11"/>
          <w:sz w:val="32"/>
          <w:szCs w:val="32"/>
          <w:lang w:val="en-US" w:eastAsia="zh-CN"/>
        </w:rPr>
        <w:t>-</w:t>
      </w:r>
      <w:r>
        <w:rPr>
          <w:rFonts w:hint="eastAsia" w:ascii="仿宋_GB2312" w:eastAsia="仿宋_GB2312"/>
          <w:b/>
          <w:color w:val="auto"/>
          <w:spacing w:val="-11"/>
          <w:sz w:val="32"/>
          <w:szCs w:val="32"/>
        </w:rPr>
        <w:t>室内装修</w:t>
      </w:r>
      <w:r>
        <w:rPr>
          <w:rFonts w:hint="eastAsia" w:ascii="仿宋_GB2312" w:eastAsia="仿宋_GB2312"/>
          <w:b/>
          <w:color w:val="auto"/>
          <w:spacing w:val="-11"/>
          <w:sz w:val="32"/>
          <w:szCs w:val="32"/>
          <w:lang w:eastAsia="zh-CN"/>
        </w:rPr>
        <w:t>项目</w:t>
      </w:r>
    </w:p>
    <w:p>
      <w:pPr>
        <w:pStyle w:val="10"/>
        <w:spacing w:line="560" w:lineRule="exact"/>
        <w:ind w:firstLine="562" w:firstLineChars="200"/>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TRZFCG-2021-048</w:t>
      </w:r>
    </w:p>
    <w:p>
      <w:pPr>
        <w:pStyle w:val="10"/>
        <w:spacing w:line="560" w:lineRule="exact"/>
        <w:rPr>
          <w:rFonts w:hint="eastAsia"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招标方式：竞争性谈判</w:t>
      </w:r>
    </w:p>
    <w:p>
      <w:pPr>
        <w:pStyle w:val="10"/>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项目类别：</w:t>
      </w:r>
      <w:r>
        <w:rPr>
          <w:rFonts w:hint="eastAsia" w:asciiTheme="minorEastAsia" w:hAnsiTheme="minorEastAsia" w:cstheme="minorEastAsia"/>
          <w:b/>
          <w:color w:val="000000"/>
          <w:sz w:val="28"/>
          <w:szCs w:val="28"/>
          <w:lang w:eastAsia="zh-CN"/>
        </w:rPr>
        <w:t>工程</w:t>
      </w:r>
      <w:r>
        <w:rPr>
          <w:rFonts w:hint="eastAsia" w:asciiTheme="minorEastAsia" w:hAnsiTheme="minorEastAsia" w:cstheme="minorEastAsia"/>
          <w:b/>
          <w:color w:val="000000"/>
          <w:sz w:val="28"/>
          <w:szCs w:val="28"/>
        </w:rPr>
        <w:t>类</w:t>
      </w:r>
    </w:p>
    <w:p>
      <w:pPr>
        <w:pStyle w:val="10"/>
        <w:spacing w:line="560" w:lineRule="exact"/>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10"/>
        <w:spacing w:line="360" w:lineRule="auto"/>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10"/>
        <w:spacing w:line="360" w:lineRule="auto"/>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 xml:space="preserve">   </w:t>
      </w:r>
    </w:p>
    <w:p>
      <w:pPr>
        <w:pStyle w:val="8"/>
        <w:ind w:firstLine="0"/>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铜仁市公共资源交易中心编制</w:t>
      </w:r>
    </w:p>
    <w:p>
      <w:pPr>
        <w:pStyle w:val="10"/>
        <w:spacing w:line="360" w:lineRule="auto"/>
        <w:jc w:val="left"/>
        <w:rPr>
          <w:rFonts w:hAnsi="宋体"/>
          <w:b/>
          <w:bCs/>
          <w:sz w:val="30"/>
          <w:szCs w:val="30"/>
        </w:rPr>
      </w:pPr>
    </w:p>
    <w:p>
      <w:pPr>
        <w:pStyle w:val="8"/>
        <w:spacing w:line="360" w:lineRule="auto"/>
        <w:ind w:firstLine="0"/>
        <w:jc w:val="center"/>
        <w:rPr>
          <w:rFonts w:cs="Arial"/>
          <w:b/>
          <w:bCs/>
          <w:sz w:val="32"/>
        </w:rPr>
      </w:pPr>
    </w:p>
    <w:p>
      <w:pPr>
        <w:spacing w:line="360" w:lineRule="auto"/>
        <w:jc w:val="center"/>
        <w:rPr>
          <w:rFonts w:ascii="宋体" w:hAnsi="宋体"/>
          <w:b/>
          <w:sz w:val="52"/>
          <w:szCs w:val="52"/>
        </w:rPr>
      </w:pPr>
    </w:p>
    <w:p>
      <w:pPr>
        <w:spacing w:line="360" w:lineRule="auto"/>
        <w:jc w:val="center"/>
        <w:rPr>
          <w:rFonts w:ascii="宋体" w:hAnsi="宋体"/>
          <w:b/>
          <w:sz w:val="36"/>
          <w:szCs w:val="36"/>
        </w:rPr>
      </w:pPr>
      <w:r>
        <w:rPr>
          <w:rFonts w:hint="eastAsia" w:ascii="宋体" w:hAnsi="宋体"/>
          <w:b/>
          <w:sz w:val="36"/>
          <w:szCs w:val="36"/>
        </w:rPr>
        <w:t>目   录</w:t>
      </w:r>
    </w:p>
    <w:p>
      <w:pPr>
        <w:spacing w:line="360" w:lineRule="auto"/>
        <w:jc w:val="center"/>
        <w:rPr>
          <w:rFonts w:ascii="宋体" w:hAnsi="宋体"/>
          <w:b/>
          <w:sz w:val="36"/>
          <w:szCs w:val="36"/>
        </w:rPr>
      </w:pPr>
    </w:p>
    <w:p>
      <w:pPr>
        <w:numPr>
          <w:ilvl w:val="0"/>
          <w:numId w:val="2"/>
        </w:numPr>
        <w:spacing w:line="360" w:lineRule="auto"/>
        <w:rPr>
          <w:rFonts w:ascii="宋体" w:hAnsi="宋体"/>
          <w:b/>
          <w:sz w:val="28"/>
          <w:szCs w:val="28"/>
        </w:rPr>
      </w:pPr>
      <w:r>
        <w:rPr>
          <w:rFonts w:hint="eastAsia" w:ascii="宋体" w:hAnsi="宋体"/>
          <w:b/>
          <w:sz w:val="28"/>
          <w:szCs w:val="28"/>
        </w:rPr>
        <w:t>谈判公告</w:t>
      </w:r>
    </w:p>
    <w:p>
      <w:pPr>
        <w:numPr>
          <w:ilvl w:val="0"/>
          <w:numId w:val="2"/>
        </w:numPr>
        <w:spacing w:line="360" w:lineRule="auto"/>
        <w:rPr>
          <w:rFonts w:ascii="宋体" w:hAnsi="宋体"/>
          <w:b/>
          <w:sz w:val="28"/>
          <w:szCs w:val="28"/>
        </w:rPr>
      </w:pPr>
      <w:r>
        <w:rPr>
          <w:rFonts w:hint="eastAsia" w:ascii="宋体" w:hAnsi="宋体"/>
          <w:b/>
          <w:sz w:val="28"/>
          <w:szCs w:val="28"/>
        </w:rPr>
        <w:t>谈判供应商须知</w:t>
      </w:r>
    </w:p>
    <w:p>
      <w:pPr>
        <w:numPr>
          <w:ilvl w:val="0"/>
          <w:numId w:val="2"/>
        </w:numPr>
        <w:spacing w:line="360" w:lineRule="auto"/>
        <w:rPr>
          <w:rFonts w:ascii="宋体" w:hAnsi="宋体"/>
          <w:b/>
          <w:sz w:val="28"/>
          <w:szCs w:val="28"/>
        </w:rPr>
      </w:pPr>
      <w:r>
        <w:rPr>
          <w:rFonts w:hint="eastAsia" w:ascii="宋体" w:hAnsi="宋体"/>
          <w:b/>
          <w:sz w:val="28"/>
          <w:szCs w:val="28"/>
        </w:rPr>
        <w:t>谈判供应商须知正文部分</w:t>
      </w:r>
    </w:p>
    <w:p>
      <w:pPr>
        <w:numPr>
          <w:ilvl w:val="0"/>
          <w:numId w:val="2"/>
        </w:numPr>
        <w:spacing w:line="360" w:lineRule="auto"/>
        <w:rPr>
          <w:rFonts w:ascii="宋体" w:hAnsi="宋体"/>
          <w:b/>
          <w:sz w:val="28"/>
          <w:szCs w:val="28"/>
        </w:rPr>
      </w:pPr>
      <w:r>
        <w:rPr>
          <w:rFonts w:hint="eastAsia" w:ascii="宋体" w:hAnsi="宋体"/>
          <w:b/>
          <w:bCs/>
          <w:sz w:val="28"/>
          <w:szCs w:val="28"/>
        </w:rPr>
        <w:t>谈判内容及要求</w:t>
      </w:r>
    </w:p>
    <w:p>
      <w:pPr>
        <w:numPr>
          <w:ilvl w:val="0"/>
          <w:numId w:val="2"/>
        </w:numPr>
        <w:spacing w:line="360" w:lineRule="auto"/>
        <w:rPr>
          <w:rFonts w:ascii="宋体" w:hAnsi="宋体"/>
          <w:b/>
          <w:sz w:val="28"/>
          <w:szCs w:val="28"/>
        </w:rPr>
      </w:pPr>
      <w:r>
        <w:rPr>
          <w:rFonts w:hint="eastAsia" w:ascii="宋体" w:hAnsi="宋体"/>
          <w:b/>
          <w:sz w:val="28"/>
          <w:szCs w:val="28"/>
        </w:rPr>
        <w:t>铜仁市政府采购合同（参考文本）</w:t>
      </w:r>
    </w:p>
    <w:p>
      <w:pPr>
        <w:numPr>
          <w:ilvl w:val="0"/>
          <w:numId w:val="2"/>
        </w:numPr>
        <w:spacing w:line="360" w:lineRule="auto"/>
        <w:rPr>
          <w:rFonts w:ascii="宋体" w:hAnsi="宋体"/>
          <w:b/>
          <w:sz w:val="28"/>
          <w:szCs w:val="28"/>
        </w:rPr>
      </w:pPr>
      <w:r>
        <w:rPr>
          <w:rFonts w:hint="eastAsia" w:ascii="宋体" w:hAnsi="宋体"/>
          <w:b/>
          <w:sz w:val="28"/>
          <w:szCs w:val="28"/>
        </w:rPr>
        <w:t>响应文件格式</w:t>
      </w:r>
    </w:p>
    <w:p>
      <w:pPr>
        <w:spacing w:line="360" w:lineRule="auto"/>
        <w:jc w:val="center"/>
        <w:rPr>
          <w:rFonts w:ascii="宋体" w:hAnsi="宋体"/>
          <w:b/>
          <w:sz w:val="36"/>
          <w:szCs w:val="36"/>
        </w:rPr>
      </w:pPr>
    </w:p>
    <w:p>
      <w:pPr>
        <w:tabs>
          <w:tab w:val="left" w:pos="2419"/>
        </w:tabs>
        <w:spacing w:line="360" w:lineRule="auto"/>
        <w:jc w:val="left"/>
        <w:rPr>
          <w:rFonts w:ascii="宋体" w:hAnsi="宋体"/>
          <w:b/>
          <w:sz w:val="36"/>
          <w:szCs w:val="36"/>
        </w:rPr>
      </w:pPr>
      <w:r>
        <w:rPr>
          <w:rFonts w:hint="eastAsia" w:ascii="宋体" w:hAnsi="宋体"/>
          <w:b/>
          <w:sz w:val="36"/>
          <w:szCs w:val="36"/>
        </w:rPr>
        <w:tab/>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outlineLvl w:val="0"/>
        <w:rPr>
          <w:rFonts w:ascii="宋体" w:hAnsi="宋体"/>
          <w:b/>
          <w:bCs/>
          <w:sz w:val="30"/>
          <w:szCs w:val="30"/>
        </w:rPr>
      </w:pPr>
      <w:bookmarkStart w:id="0" w:name="_Toc268599006"/>
    </w:p>
    <w:bookmarkEnd w:id="0"/>
    <w:p>
      <w:pPr>
        <w:rPr>
          <w:rFonts w:ascii="宋体" w:hAnsi="宋体"/>
          <w:b/>
          <w:color w:val="000000"/>
          <w:sz w:val="36"/>
          <w:szCs w:val="36"/>
        </w:rPr>
      </w:pPr>
    </w:p>
    <w:p>
      <w:pPr>
        <w:jc w:val="center"/>
        <w:rPr>
          <w:color w:val="000000"/>
          <w:sz w:val="36"/>
          <w:szCs w:val="36"/>
        </w:rPr>
      </w:pPr>
      <w:r>
        <w:rPr>
          <w:rFonts w:hint="eastAsia" w:ascii="宋体" w:hAnsi="宋体"/>
          <w:b/>
          <w:color w:val="000000"/>
          <w:sz w:val="36"/>
          <w:szCs w:val="36"/>
        </w:rPr>
        <w:t>第一章  谈判公告</w:t>
      </w:r>
    </w:p>
    <w:p>
      <w:pPr>
        <w:pStyle w:val="10"/>
        <w:keepNext w:val="0"/>
        <w:keepLines w:val="0"/>
        <w:pageBreakBefore w:val="0"/>
        <w:numPr>
          <w:ilvl w:val="0"/>
          <w:numId w:val="0"/>
        </w:numPr>
        <w:kinsoku/>
        <w:wordWrap/>
        <w:overflowPunct/>
        <w:topLinePunct w:val="0"/>
        <w:autoSpaceDE/>
        <w:autoSpaceDN/>
        <w:bidi w:val="0"/>
        <w:spacing w:line="520" w:lineRule="exact"/>
        <w:ind w:right="0" w:rightChars="0"/>
        <w:textAlignment w:val="auto"/>
        <w:rPr>
          <w:rFonts w:hAnsi="宋体"/>
          <w:color w:val="000000"/>
          <w:sz w:val="24"/>
          <w:szCs w:val="24"/>
        </w:rPr>
      </w:pPr>
      <w:r>
        <w:rPr>
          <w:rFonts w:hint="eastAsia" w:hAnsi="宋体"/>
          <w:color w:val="000000"/>
          <w:sz w:val="24"/>
          <w:szCs w:val="24"/>
          <w:lang w:val="en-US" w:eastAsia="zh-CN"/>
        </w:rPr>
        <w:t xml:space="preserve">    </w:t>
      </w:r>
      <w:r>
        <w:rPr>
          <w:rFonts w:hint="eastAsia" w:hAnsi="宋体"/>
          <w:color w:val="000000"/>
          <w:sz w:val="24"/>
          <w:szCs w:val="24"/>
        </w:rPr>
        <w:t>根据《中华人民共和国政府采购法》、《政府采购非招标采购方式管理办法》及相关规定，铜仁市公共资源交易中心受</w:t>
      </w:r>
      <w:r>
        <w:rPr>
          <w:rFonts w:hint="eastAsia" w:asciiTheme="minorEastAsia" w:hAnsiTheme="minorEastAsia" w:cstheme="minorEastAsia"/>
          <w:b/>
          <w:color w:val="000000"/>
          <w:sz w:val="28"/>
          <w:szCs w:val="28"/>
          <w:lang w:eastAsia="zh-CN"/>
        </w:rPr>
        <w:t>铜仁市碧江区教育局</w:t>
      </w:r>
      <w:r>
        <w:rPr>
          <w:rFonts w:hint="eastAsia" w:hAnsi="宋体"/>
          <w:color w:val="000000"/>
          <w:sz w:val="24"/>
          <w:szCs w:val="24"/>
        </w:rPr>
        <w:t>委托，对</w:t>
      </w:r>
      <w:r>
        <w:rPr>
          <w:rFonts w:hint="eastAsia" w:asciiTheme="minorEastAsia" w:hAnsiTheme="minorEastAsia" w:cstheme="minorEastAsia"/>
          <w:b/>
          <w:color w:val="000000"/>
          <w:sz w:val="28"/>
          <w:szCs w:val="28"/>
          <w:lang w:eastAsia="zh-CN"/>
        </w:rPr>
        <w:t>铜仁市南岳清水湾幼儿园-室内装修项目</w:t>
      </w:r>
      <w:r>
        <w:rPr>
          <w:rFonts w:hint="eastAsia" w:hAnsi="宋体"/>
          <w:color w:val="000000"/>
          <w:sz w:val="24"/>
          <w:szCs w:val="24"/>
        </w:rPr>
        <w:t>采用</w:t>
      </w:r>
      <w:r>
        <w:rPr>
          <w:rFonts w:hint="eastAsia" w:asciiTheme="minorEastAsia" w:hAnsiTheme="minorEastAsia" w:cstheme="minorEastAsia"/>
          <w:b/>
          <w:color w:val="000000"/>
          <w:sz w:val="28"/>
          <w:szCs w:val="28"/>
          <w:lang w:eastAsia="zh-CN"/>
        </w:rPr>
        <w:t>竞争性谈判</w:t>
      </w:r>
      <w:r>
        <w:rPr>
          <w:rFonts w:hint="eastAsia" w:hAnsi="宋体"/>
          <w:color w:val="000000"/>
          <w:sz w:val="24"/>
          <w:szCs w:val="24"/>
        </w:rPr>
        <w:t>的方式进行采购，欢迎具备投标资质条件的供货商参加投标。</w:t>
      </w:r>
    </w:p>
    <w:p>
      <w:pPr>
        <w:pStyle w:val="10"/>
        <w:keepNext w:val="0"/>
        <w:keepLines w:val="0"/>
        <w:pageBreakBefore w:val="0"/>
        <w:numPr>
          <w:ilvl w:val="0"/>
          <w:numId w:val="3"/>
        </w:numPr>
        <w:kinsoku/>
        <w:wordWrap/>
        <w:overflowPunct/>
        <w:topLinePunct w:val="0"/>
        <w:autoSpaceDE/>
        <w:autoSpaceDN/>
        <w:bidi w:val="0"/>
        <w:spacing w:line="520" w:lineRule="exact"/>
        <w:ind w:right="0" w:rightChars="0" w:firstLine="482" w:firstLineChars="200"/>
        <w:textAlignment w:val="auto"/>
        <w:rPr>
          <w:rFonts w:hint="eastAsia" w:asciiTheme="minorEastAsia" w:hAnsiTheme="minorEastAsia" w:cstheme="minorEastAsia"/>
          <w:b/>
          <w:color w:val="000000"/>
          <w:sz w:val="28"/>
          <w:szCs w:val="28"/>
        </w:rPr>
      </w:pPr>
      <w:r>
        <w:rPr>
          <w:rFonts w:hint="eastAsia" w:hAnsi="宋体"/>
          <w:b/>
          <w:color w:val="000000"/>
          <w:sz w:val="24"/>
          <w:szCs w:val="24"/>
        </w:rPr>
        <w:t>项目名称：</w:t>
      </w:r>
      <w:r>
        <w:rPr>
          <w:rFonts w:hint="eastAsia" w:asciiTheme="minorEastAsia" w:hAnsiTheme="minorEastAsia" w:cstheme="minorEastAsia"/>
          <w:b/>
          <w:color w:val="000000"/>
          <w:sz w:val="28"/>
          <w:szCs w:val="28"/>
          <w:lang w:eastAsia="zh-CN"/>
        </w:rPr>
        <w:t>铜仁市南岳清水湾幼儿园-室内装修项目</w:t>
      </w:r>
    </w:p>
    <w:p>
      <w:pPr>
        <w:pStyle w:val="10"/>
        <w:keepNext w:val="0"/>
        <w:keepLines w:val="0"/>
        <w:pageBreakBefore w:val="0"/>
        <w:kinsoku/>
        <w:wordWrap/>
        <w:overflowPunct/>
        <w:topLinePunct w:val="0"/>
        <w:autoSpaceDE/>
        <w:autoSpaceDN/>
        <w:bidi w:val="0"/>
        <w:spacing w:line="520" w:lineRule="exact"/>
        <w:ind w:right="0" w:rightChars="0"/>
        <w:textAlignment w:val="auto"/>
        <w:rPr>
          <w:rFonts w:hint="default" w:hAnsi="宋体" w:eastAsiaTheme="minorEastAsia"/>
          <w:color w:val="000000"/>
          <w:sz w:val="24"/>
          <w:szCs w:val="24"/>
          <w:lang w:val="en-US" w:eastAsia="zh-CN"/>
        </w:rPr>
      </w:pPr>
      <w:r>
        <w:rPr>
          <w:rFonts w:hint="eastAsia" w:hAnsi="宋体"/>
          <w:b/>
          <w:color w:val="000000"/>
          <w:sz w:val="24"/>
          <w:szCs w:val="24"/>
        </w:rPr>
        <w:t xml:space="preserve">    </w:t>
      </w:r>
      <w:r>
        <w:rPr>
          <w:rFonts w:hint="eastAsia" w:hAnsi="宋体"/>
          <w:b/>
          <w:color w:val="000000"/>
          <w:sz w:val="24"/>
          <w:szCs w:val="24"/>
          <w:lang w:val="en-US" w:eastAsia="zh-CN"/>
        </w:rPr>
        <w:t>2、</w:t>
      </w:r>
      <w:r>
        <w:rPr>
          <w:rFonts w:hint="eastAsia" w:hAnsi="宋体"/>
          <w:b/>
          <w:color w:val="000000"/>
          <w:sz w:val="24"/>
          <w:szCs w:val="24"/>
        </w:rPr>
        <w:t>项目编号：</w:t>
      </w:r>
      <w:r>
        <w:rPr>
          <w:rFonts w:hint="eastAsia" w:hAnsi="宋体"/>
          <w:b/>
          <w:color w:val="000000"/>
          <w:sz w:val="24"/>
          <w:szCs w:val="24"/>
          <w:lang w:eastAsia="zh-CN"/>
        </w:rPr>
        <w:t>TRZFCG-202</w:t>
      </w:r>
      <w:r>
        <w:rPr>
          <w:rFonts w:hint="eastAsia" w:hAnsi="宋体"/>
          <w:b/>
          <w:color w:val="000000"/>
          <w:sz w:val="24"/>
          <w:szCs w:val="24"/>
          <w:lang w:val="en-US" w:eastAsia="zh-CN"/>
        </w:rPr>
        <w:t>1</w:t>
      </w:r>
      <w:r>
        <w:rPr>
          <w:rFonts w:hint="eastAsia" w:hAnsi="宋体"/>
          <w:b/>
          <w:color w:val="000000"/>
          <w:sz w:val="24"/>
          <w:szCs w:val="24"/>
          <w:lang w:eastAsia="zh-CN"/>
        </w:rPr>
        <w:t>-048</w:t>
      </w:r>
    </w:p>
    <w:p>
      <w:pPr>
        <w:keepNext w:val="0"/>
        <w:keepLines w:val="0"/>
        <w:pageBreakBefore w:val="0"/>
        <w:kinsoku/>
        <w:wordWrap/>
        <w:overflowPunct/>
        <w:topLinePunct w:val="0"/>
        <w:autoSpaceDE/>
        <w:autoSpaceDN/>
        <w:bidi w:val="0"/>
        <w:spacing w:line="520" w:lineRule="exact"/>
        <w:ind w:right="0" w:rightChars="0"/>
        <w:textAlignment w:val="auto"/>
        <w:rPr>
          <w:rFonts w:ascii="宋体" w:hAnsi="宋体"/>
          <w:color w:val="000000"/>
          <w:sz w:val="24"/>
        </w:rPr>
      </w:pPr>
      <w:r>
        <w:rPr>
          <w:rFonts w:hint="eastAsia" w:ascii="宋体" w:hAnsi="宋体"/>
          <w:b/>
          <w:color w:val="000000"/>
          <w:sz w:val="24"/>
          <w:lang w:val="en-US" w:eastAsia="zh-CN"/>
        </w:rPr>
        <w:t xml:space="preserve">    </w:t>
      </w:r>
      <w:r>
        <w:rPr>
          <w:rFonts w:hint="eastAsia" w:ascii="宋体" w:hAnsi="宋体"/>
          <w:b/>
          <w:color w:val="000000"/>
          <w:sz w:val="24"/>
        </w:rPr>
        <w:t>3、报名时间:</w:t>
      </w:r>
      <w:r>
        <w:rPr>
          <w:rFonts w:hint="eastAsia" w:ascii="宋体" w:hAnsi="宋体"/>
          <w:color w:val="000000"/>
          <w:sz w:val="24"/>
        </w:rPr>
        <w:t xml:space="preserve"> </w:t>
      </w:r>
      <w:r>
        <w:rPr>
          <w:rFonts w:hint="eastAsia" w:ascii="宋体" w:hAnsi="宋体" w:cs="宋体"/>
          <w:color w:val="000000"/>
          <w:sz w:val="24"/>
          <w:szCs w:val="24"/>
          <w:shd w:val="clear" w:color="auto" w:fill="FFFFFF"/>
        </w:rPr>
        <w:t>202</w:t>
      </w:r>
      <w:r>
        <w:rPr>
          <w:rFonts w:hint="eastAsia" w:ascii="宋体" w:hAnsi="宋体" w:cs="宋体"/>
          <w:color w:val="000000"/>
          <w:sz w:val="24"/>
          <w:szCs w:val="24"/>
          <w:shd w:val="clear" w:color="auto" w:fill="FFFFFF"/>
          <w:lang w:val="en-US" w:eastAsia="zh-CN"/>
        </w:rPr>
        <w:t>1</w:t>
      </w:r>
      <w:r>
        <w:rPr>
          <w:rFonts w:hint="eastAsia" w:ascii="宋体" w:hAnsi="宋体" w:cs="宋体"/>
          <w:color w:val="000000"/>
          <w:sz w:val="24"/>
          <w:szCs w:val="24"/>
          <w:shd w:val="clear" w:color="auto" w:fill="FFFFFF"/>
        </w:rPr>
        <w:t>年</w:t>
      </w:r>
      <w:r>
        <w:rPr>
          <w:rFonts w:hint="eastAsia" w:ascii="宋体" w:hAnsi="宋体" w:cs="宋体"/>
          <w:color w:val="000000"/>
          <w:sz w:val="24"/>
          <w:szCs w:val="24"/>
          <w:shd w:val="clear" w:color="auto" w:fill="FFFFFF"/>
          <w:lang w:val="en-US" w:eastAsia="zh-CN"/>
        </w:rPr>
        <w:t xml:space="preserve"> 6 </w:t>
      </w:r>
      <w:r>
        <w:rPr>
          <w:rFonts w:hint="eastAsia" w:ascii="宋体" w:hAnsi="宋体" w:cs="宋体"/>
          <w:color w:val="000000"/>
          <w:sz w:val="24"/>
          <w:szCs w:val="24"/>
          <w:shd w:val="clear" w:color="auto" w:fill="FFFFFF"/>
        </w:rPr>
        <w:t>月</w:t>
      </w:r>
      <w:r>
        <w:rPr>
          <w:rFonts w:hint="eastAsia" w:ascii="宋体" w:hAnsi="宋体" w:cs="宋体"/>
          <w:color w:val="000000"/>
          <w:sz w:val="24"/>
          <w:szCs w:val="24"/>
          <w:shd w:val="clear" w:color="auto" w:fill="FFFFFF"/>
          <w:lang w:val="en-US" w:eastAsia="zh-CN"/>
        </w:rPr>
        <w:t xml:space="preserve"> 22</w:t>
      </w:r>
      <w:r>
        <w:rPr>
          <w:rFonts w:hint="eastAsia" w:ascii="宋体" w:hAnsi="宋体" w:cs="宋体"/>
          <w:color w:val="000000"/>
          <w:sz w:val="24"/>
          <w:szCs w:val="24"/>
          <w:shd w:val="clear" w:color="auto" w:fill="FFFFFF"/>
        </w:rPr>
        <w:t>日</w:t>
      </w:r>
      <w:r>
        <w:rPr>
          <w:rFonts w:hint="eastAsia" w:ascii="宋体" w:hAnsi="宋体" w:cs="宋体"/>
          <w:color w:val="000000"/>
          <w:sz w:val="24"/>
          <w:szCs w:val="24"/>
          <w:shd w:val="clear" w:color="auto" w:fill="FFFFFF"/>
          <w:lang w:val="en-US" w:eastAsia="zh-CN"/>
        </w:rPr>
        <w:t>09:00</w:t>
      </w:r>
      <w:r>
        <w:rPr>
          <w:rFonts w:hint="eastAsia" w:ascii="宋体" w:hAnsi="宋体" w:cs="宋体"/>
          <w:color w:val="000000"/>
          <w:sz w:val="24"/>
          <w:szCs w:val="24"/>
          <w:shd w:val="clear" w:color="auto" w:fill="FFFFFF"/>
        </w:rPr>
        <w:t>至202</w:t>
      </w:r>
      <w:r>
        <w:rPr>
          <w:rFonts w:hint="eastAsia" w:ascii="宋体" w:hAnsi="宋体" w:cs="宋体"/>
          <w:color w:val="000000"/>
          <w:sz w:val="24"/>
          <w:szCs w:val="24"/>
          <w:shd w:val="clear" w:color="auto" w:fill="FFFFFF"/>
          <w:lang w:val="en-US" w:eastAsia="zh-CN"/>
        </w:rPr>
        <w:t>1</w:t>
      </w:r>
      <w:r>
        <w:rPr>
          <w:rFonts w:hint="eastAsia" w:ascii="宋体" w:hAnsi="宋体" w:cs="宋体"/>
          <w:color w:val="000000"/>
          <w:sz w:val="24"/>
          <w:szCs w:val="24"/>
          <w:shd w:val="clear" w:color="auto" w:fill="FFFFFF"/>
        </w:rPr>
        <w:t>年</w:t>
      </w:r>
      <w:r>
        <w:rPr>
          <w:rFonts w:hint="eastAsia" w:ascii="宋体" w:hAnsi="宋体" w:cs="宋体"/>
          <w:color w:val="000000"/>
          <w:sz w:val="24"/>
          <w:szCs w:val="24"/>
          <w:shd w:val="clear" w:color="auto" w:fill="FFFFFF"/>
          <w:lang w:val="en-US" w:eastAsia="zh-CN"/>
        </w:rPr>
        <w:t xml:space="preserve"> 6 </w:t>
      </w:r>
      <w:r>
        <w:rPr>
          <w:rFonts w:hint="eastAsia" w:ascii="宋体" w:hAnsi="宋体" w:cs="宋体"/>
          <w:color w:val="000000"/>
          <w:sz w:val="24"/>
          <w:szCs w:val="24"/>
          <w:shd w:val="clear" w:color="auto" w:fill="FFFFFF"/>
        </w:rPr>
        <w:t>月</w:t>
      </w:r>
      <w:r>
        <w:rPr>
          <w:rFonts w:hint="eastAsia" w:ascii="宋体" w:hAnsi="宋体" w:cs="宋体"/>
          <w:color w:val="000000"/>
          <w:sz w:val="24"/>
          <w:szCs w:val="24"/>
          <w:shd w:val="clear" w:color="auto" w:fill="FFFFFF"/>
          <w:lang w:val="en-US" w:eastAsia="zh-CN"/>
        </w:rPr>
        <w:t xml:space="preserve"> 24 </w:t>
      </w:r>
      <w:r>
        <w:rPr>
          <w:rFonts w:hint="eastAsia" w:ascii="宋体" w:hAnsi="宋体" w:cs="宋体"/>
          <w:color w:val="000000"/>
          <w:sz w:val="24"/>
          <w:szCs w:val="24"/>
          <w:shd w:val="clear" w:color="auto" w:fill="FFFFFF"/>
        </w:rPr>
        <w:t>日17：00</w:t>
      </w:r>
    </w:p>
    <w:p>
      <w:pPr>
        <w:keepNext w:val="0"/>
        <w:keepLines w:val="0"/>
        <w:pageBreakBefore w:val="0"/>
        <w:kinsoku/>
        <w:wordWrap/>
        <w:overflowPunct/>
        <w:topLinePunct w:val="0"/>
        <w:autoSpaceDE/>
        <w:autoSpaceDN/>
        <w:bidi w:val="0"/>
        <w:spacing w:line="520" w:lineRule="exact"/>
        <w:ind w:right="0" w:rightChars="0" w:firstLine="472" w:firstLineChars="196"/>
        <w:textAlignment w:val="auto"/>
        <w:rPr>
          <w:rFonts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铜仁市公共资源交易中心官方网址（jyzx.trs.gov.cn）</w:t>
      </w:r>
    </w:p>
    <w:p>
      <w:pPr>
        <w:keepNext w:val="0"/>
        <w:keepLines w:val="0"/>
        <w:pageBreakBefore w:val="0"/>
        <w:kinsoku/>
        <w:wordWrap/>
        <w:overflowPunct/>
        <w:topLinePunct w:val="0"/>
        <w:autoSpaceDE/>
        <w:autoSpaceDN/>
        <w:bidi w:val="0"/>
        <w:spacing w:line="520" w:lineRule="exact"/>
        <w:ind w:right="0" w:rightChars="0" w:firstLine="472" w:firstLineChars="196"/>
        <w:textAlignment w:val="auto"/>
        <w:rPr>
          <w:rFonts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6</w:t>
      </w:r>
      <w:r>
        <w:rPr>
          <w:rFonts w:hint="eastAsia" w:ascii="宋体" w:hAnsi="宋体"/>
          <w:b/>
          <w:color w:val="000000"/>
          <w:sz w:val="24"/>
        </w:rPr>
        <w:t>0天。</w:t>
      </w:r>
    </w:p>
    <w:p>
      <w:pPr>
        <w:pStyle w:val="10"/>
        <w:keepNext w:val="0"/>
        <w:keepLines w:val="0"/>
        <w:pageBreakBefore w:val="0"/>
        <w:kinsoku/>
        <w:wordWrap/>
        <w:overflowPunct/>
        <w:topLinePunct w:val="0"/>
        <w:autoSpaceDE/>
        <w:autoSpaceDN/>
        <w:bidi w:val="0"/>
        <w:spacing w:line="520" w:lineRule="exact"/>
        <w:ind w:right="0" w:rightChars="0" w:firstLine="472" w:firstLineChars="196"/>
        <w:textAlignment w:val="auto"/>
        <w:rPr>
          <w:rFonts w:hAnsi="宋体"/>
          <w:b/>
          <w:color w:val="000000"/>
          <w:sz w:val="24"/>
          <w:szCs w:val="24"/>
        </w:rPr>
      </w:pPr>
      <w:r>
        <w:rPr>
          <w:rFonts w:hint="eastAsia" w:hAnsi="宋体"/>
          <w:b/>
          <w:color w:val="000000"/>
          <w:sz w:val="24"/>
          <w:szCs w:val="24"/>
        </w:rPr>
        <w:t>6、本项目不接受联合体。</w:t>
      </w:r>
    </w:p>
    <w:p>
      <w:pPr>
        <w:pStyle w:val="10"/>
        <w:keepNext w:val="0"/>
        <w:keepLines w:val="0"/>
        <w:pageBreakBefore w:val="0"/>
        <w:kinsoku/>
        <w:wordWrap/>
        <w:overflowPunct/>
        <w:topLinePunct w:val="0"/>
        <w:autoSpaceDE/>
        <w:autoSpaceDN/>
        <w:bidi w:val="0"/>
        <w:spacing w:line="520" w:lineRule="exact"/>
        <w:ind w:right="0" w:rightChars="0" w:firstLine="472" w:firstLineChars="196"/>
        <w:textAlignment w:val="auto"/>
        <w:rPr>
          <w:rFonts w:hAnsi="宋体"/>
          <w:b/>
          <w:color w:val="000000"/>
          <w:sz w:val="24"/>
          <w:szCs w:val="24"/>
        </w:rPr>
      </w:pPr>
      <w:r>
        <w:rPr>
          <w:rFonts w:hint="eastAsia" w:hAnsi="宋体"/>
          <w:b/>
          <w:color w:val="000000"/>
          <w:sz w:val="24"/>
          <w:szCs w:val="24"/>
        </w:rPr>
        <w:t>7、</w:t>
      </w:r>
      <w:r>
        <w:rPr>
          <w:rFonts w:hint="eastAsia"/>
          <w:b/>
          <w:color w:val="000000"/>
          <w:sz w:val="24"/>
          <w:szCs w:val="24"/>
          <w:lang w:eastAsia="zh-CN"/>
        </w:rPr>
        <w:t>领取</w:t>
      </w:r>
      <w:r>
        <w:rPr>
          <w:rFonts w:hint="eastAsia"/>
          <w:b/>
          <w:color w:val="000000"/>
          <w:sz w:val="24"/>
          <w:szCs w:val="24"/>
        </w:rPr>
        <w:t>招标文件地点及联系方式</w:t>
      </w:r>
    </w:p>
    <w:p>
      <w:pPr>
        <w:pStyle w:val="10"/>
        <w:keepNext w:val="0"/>
        <w:keepLines w:val="0"/>
        <w:pageBreakBefore w:val="0"/>
        <w:kinsoku/>
        <w:wordWrap/>
        <w:overflowPunct/>
        <w:topLinePunct w:val="0"/>
        <w:autoSpaceDE/>
        <w:autoSpaceDN/>
        <w:bidi w:val="0"/>
        <w:spacing w:line="520" w:lineRule="exact"/>
        <w:ind w:right="0" w:rightChars="0" w:firstLine="840" w:firstLineChars="350"/>
        <w:textAlignment w:val="auto"/>
        <w:rPr>
          <w:color w:val="000000"/>
          <w:sz w:val="24"/>
          <w:szCs w:val="24"/>
        </w:rPr>
      </w:pPr>
      <w:r>
        <w:rPr>
          <w:rFonts w:hint="eastAsia"/>
          <w:color w:val="000000"/>
          <w:sz w:val="24"/>
          <w:szCs w:val="24"/>
        </w:rPr>
        <w:t>地址：铜仁市公共资源交易中心官方网址</w:t>
      </w:r>
      <w:r>
        <w:rPr>
          <w:rFonts w:hint="eastAsia" w:hAnsi="宋体"/>
          <w:color w:val="000000"/>
          <w:sz w:val="24"/>
        </w:rPr>
        <w:t>（jyzx.trs.gov.cn）</w:t>
      </w:r>
    </w:p>
    <w:p>
      <w:pPr>
        <w:pStyle w:val="10"/>
        <w:keepNext w:val="0"/>
        <w:keepLines w:val="0"/>
        <w:pageBreakBefore w:val="0"/>
        <w:kinsoku/>
        <w:wordWrap/>
        <w:overflowPunct/>
        <w:topLinePunct w:val="0"/>
        <w:autoSpaceDE/>
        <w:autoSpaceDN/>
        <w:bidi w:val="0"/>
        <w:spacing w:line="520" w:lineRule="exact"/>
        <w:ind w:right="0" w:rightChars="0" w:firstLine="840" w:firstLineChars="350"/>
        <w:textAlignment w:val="auto"/>
        <w:rPr>
          <w:rFonts w:hint="default" w:eastAsiaTheme="minorEastAsia"/>
          <w:color w:val="000000"/>
          <w:sz w:val="24"/>
          <w:szCs w:val="24"/>
          <w:lang w:val="en-US" w:eastAsia="zh-CN"/>
        </w:rPr>
      </w:pPr>
      <w:r>
        <w:rPr>
          <w:rFonts w:hint="eastAsia" w:hAnsi="宋体"/>
          <w:color w:val="000000"/>
          <w:sz w:val="24"/>
        </w:rPr>
        <w:t>联系电话：</w:t>
      </w:r>
      <w:r>
        <w:rPr>
          <w:rFonts w:hint="eastAsia" w:hAnsi="宋体" w:cs="宋体"/>
          <w:color w:val="000000"/>
          <w:sz w:val="24"/>
          <w:szCs w:val="24"/>
          <w:shd w:val="clear" w:color="auto" w:fill="FFFFFF"/>
        </w:rPr>
        <w:t>0856-39129</w:t>
      </w:r>
      <w:r>
        <w:rPr>
          <w:rFonts w:hint="eastAsia" w:hAnsi="宋体" w:cs="宋体"/>
          <w:color w:val="000000"/>
          <w:sz w:val="24"/>
          <w:szCs w:val="24"/>
          <w:shd w:val="clear" w:color="auto" w:fill="FFFFFF"/>
          <w:lang w:val="en-US" w:eastAsia="zh-CN"/>
        </w:rPr>
        <w:t>33</w:t>
      </w:r>
    </w:p>
    <w:p>
      <w:pPr>
        <w:pStyle w:val="10"/>
        <w:keepNext w:val="0"/>
        <w:keepLines w:val="0"/>
        <w:pageBreakBefore w:val="0"/>
        <w:kinsoku/>
        <w:wordWrap/>
        <w:overflowPunct/>
        <w:topLinePunct w:val="0"/>
        <w:autoSpaceDE/>
        <w:autoSpaceDN/>
        <w:bidi w:val="0"/>
        <w:spacing w:line="520" w:lineRule="exact"/>
        <w:ind w:right="0" w:rightChars="0" w:firstLine="472" w:firstLineChars="196"/>
        <w:textAlignment w:val="auto"/>
        <w:rPr>
          <w:rFonts w:hAnsi="宋体"/>
          <w:color w:val="000000"/>
          <w:sz w:val="24"/>
          <w:szCs w:val="24"/>
        </w:rPr>
      </w:pPr>
      <w:r>
        <w:rPr>
          <w:rFonts w:hint="eastAsia" w:hAnsi="宋体"/>
          <w:b/>
          <w:color w:val="000000"/>
          <w:sz w:val="24"/>
          <w:szCs w:val="24"/>
        </w:rPr>
        <w:t>8、招标文件售价</w:t>
      </w:r>
      <w:r>
        <w:rPr>
          <w:rFonts w:hint="eastAsia" w:hAnsi="宋体"/>
          <w:color w:val="000000"/>
          <w:sz w:val="24"/>
          <w:szCs w:val="24"/>
        </w:rPr>
        <w:t xml:space="preserve"> </w:t>
      </w:r>
      <w:r>
        <w:rPr>
          <w:rFonts w:hint="eastAsia" w:hAnsi="宋体"/>
          <w:b/>
          <w:color w:val="000000"/>
          <w:sz w:val="24"/>
          <w:szCs w:val="24"/>
        </w:rPr>
        <w:t>：</w:t>
      </w:r>
      <w:r>
        <w:rPr>
          <w:rFonts w:hint="eastAsia" w:hAnsi="宋体"/>
          <w:color w:val="000000"/>
          <w:sz w:val="24"/>
          <w:szCs w:val="24"/>
        </w:rPr>
        <w:t>人民币0元/套</w:t>
      </w:r>
    </w:p>
    <w:p>
      <w:pPr>
        <w:pStyle w:val="10"/>
        <w:keepNext w:val="0"/>
        <w:keepLines w:val="0"/>
        <w:pageBreakBefore w:val="0"/>
        <w:kinsoku/>
        <w:wordWrap/>
        <w:overflowPunct/>
        <w:topLinePunct w:val="0"/>
        <w:autoSpaceDE/>
        <w:autoSpaceDN/>
        <w:bidi w:val="0"/>
        <w:spacing w:line="520" w:lineRule="exact"/>
        <w:ind w:right="0" w:rightChars="0" w:firstLine="361" w:firstLineChars="150"/>
        <w:jc w:val="left"/>
        <w:textAlignment w:val="auto"/>
        <w:rPr>
          <w:rFonts w:hAnsi="宋体"/>
          <w:color w:val="000000"/>
          <w:sz w:val="24"/>
          <w:szCs w:val="24"/>
        </w:rPr>
      </w:pPr>
      <w:r>
        <w:rPr>
          <w:rFonts w:hint="eastAsia" w:hAnsi="宋体"/>
          <w:b/>
          <w:color w:val="000000"/>
          <w:sz w:val="24"/>
          <w:szCs w:val="24"/>
        </w:rPr>
        <w:t xml:space="preserve"> 9、开评标时须提供的资质资料：</w:t>
      </w:r>
    </w:p>
    <w:p>
      <w:pPr>
        <w:pStyle w:val="10"/>
        <w:keepNext w:val="0"/>
        <w:keepLines w:val="0"/>
        <w:pageBreakBefore w:val="0"/>
        <w:kinsoku/>
        <w:wordWrap/>
        <w:overflowPunct/>
        <w:topLinePunct w:val="0"/>
        <w:autoSpaceDE/>
        <w:autoSpaceDN/>
        <w:bidi w:val="0"/>
        <w:spacing w:line="520" w:lineRule="exact"/>
        <w:ind w:right="0" w:rightChars="0" w:firstLine="600" w:firstLineChars="250"/>
        <w:jc w:val="left"/>
        <w:textAlignment w:val="auto"/>
        <w:rPr>
          <w:rFonts w:hAnsi="宋体"/>
          <w:color w:val="000000"/>
          <w:sz w:val="24"/>
          <w:szCs w:val="24"/>
        </w:rPr>
      </w:pPr>
      <w:r>
        <w:rPr>
          <w:rFonts w:hint="eastAsia" w:hAnsi="宋体"/>
          <w:color w:val="000000"/>
          <w:sz w:val="24"/>
          <w:szCs w:val="24"/>
        </w:rPr>
        <w:t>（1）工商营业执照副本（复印件</w:t>
      </w:r>
      <w:r>
        <w:rPr>
          <w:rFonts w:hint="eastAsia" w:hAnsi="宋体"/>
          <w:color w:val="000000"/>
          <w:sz w:val="24"/>
          <w:szCs w:val="24"/>
          <w:lang w:eastAsia="zh-CN"/>
        </w:rPr>
        <w:t>加盖公章</w:t>
      </w:r>
      <w:r>
        <w:rPr>
          <w:rFonts w:hint="eastAsia" w:hAnsi="宋体"/>
          <w:color w:val="000000"/>
          <w:sz w:val="24"/>
          <w:szCs w:val="24"/>
        </w:rPr>
        <w:t>）；</w:t>
      </w:r>
    </w:p>
    <w:p>
      <w:pPr>
        <w:pStyle w:val="10"/>
        <w:keepNext w:val="0"/>
        <w:keepLines w:val="0"/>
        <w:pageBreakBefore w:val="0"/>
        <w:kinsoku/>
        <w:wordWrap/>
        <w:overflowPunct/>
        <w:topLinePunct w:val="0"/>
        <w:autoSpaceDE/>
        <w:autoSpaceDN/>
        <w:bidi w:val="0"/>
        <w:spacing w:line="520" w:lineRule="exact"/>
        <w:ind w:right="0" w:rightChars="0" w:firstLine="600" w:firstLineChars="250"/>
        <w:jc w:val="left"/>
        <w:textAlignment w:val="auto"/>
        <w:outlineLvl w:val="0"/>
        <w:rPr>
          <w:rFonts w:hAnsi="宋体"/>
          <w:color w:val="000000"/>
          <w:sz w:val="24"/>
          <w:szCs w:val="24"/>
        </w:rPr>
      </w:pPr>
      <w:r>
        <w:rPr>
          <w:rFonts w:hint="eastAsia" w:hAnsi="宋体"/>
          <w:color w:val="000000"/>
          <w:sz w:val="24"/>
          <w:szCs w:val="24"/>
        </w:rPr>
        <w:t>（2）税务登记证；</w:t>
      </w:r>
    </w:p>
    <w:p>
      <w:pPr>
        <w:pStyle w:val="10"/>
        <w:keepNext w:val="0"/>
        <w:keepLines w:val="0"/>
        <w:pageBreakBefore w:val="0"/>
        <w:kinsoku/>
        <w:wordWrap/>
        <w:overflowPunct/>
        <w:topLinePunct w:val="0"/>
        <w:autoSpaceDE/>
        <w:autoSpaceDN/>
        <w:bidi w:val="0"/>
        <w:spacing w:line="520" w:lineRule="exact"/>
        <w:ind w:right="0" w:rightChars="0" w:firstLine="600" w:firstLineChars="250"/>
        <w:jc w:val="left"/>
        <w:textAlignment w:val="auto"/>
        <w:rPr>
          <w:rFonts w:hAnsi="宋体"/>
          <w:color w:val="000000"/>
          <w:sz w:val="24"/>
          <w:szCs w:val="24"/>
        </w:rPr>
      </w:pPr>
      <w:r>
        <w:rPr>
          <w:rFonts w:hint="eastAsia" w:hAnsi="宋体"/>
          <w:color w:val="000000"/>
          <w:sz w:val="24"/>
          <w:szCs w:val="24"/>
        </w:rPr>
        <w:t>（3）组织机构代码证；</w:t>
      </w:r>
    </w:p>
    <w:p>
      <w:pPr>
        <w:pStyle w:val="10"/>
        <w:keepNext w:val="0"/>
        <w:keepLines w:val="0"/>
        <w:pageBreakBefore w:val="0"/>
        <w:kinsoku/>
        <w:wordWrap/>
        <w:overflowPunct/>
        <w:topLinePunct w:val="0"/>
        <w:autoSpaceDE/>
        <w:autoSpaceDN/>
        <w:bidi w:val="0"/>
        <w:spacing w:line="520" w:lineRule="exact"/>
        <w:ind w:right="0" w:rightChars="0" w:firstLine="720" w:firstLineChars="300"/>
        <w:jc w:val="left"/>
        <w:textAlignment w:val="auto"/>
        <w:rPr>
          <w:rFonts w:hAnsi="宋体"/>
          <w:color w:val="000000"/>
          <w:sz w:val="24"/>
          <w:szCs w:val="24"/>
        </w:rPr>
      </w:pPr>
      <w:r>
        <w:rPr>
          <w:rFonts w:hint="eastAsia" w:hAnsi="宋体"/>
          <w:color w:val="FF0000"/>
          <w:sz w:val="24"/>
          <w:szCs w:val="24"/>
        </w:rPr>
        <w:t>（注：三证合一的只提工商供营业执照副本）</w:t>
      </w:r>
    </w:p>
    <w:p>
      <w:pPr>
        <w:pStyle w:val="10"/>
        <w:keepNext w:val="0"/>
        <w:keepLines w:val="0"/>
        <w:pageBreakBefore w:val="0"/>
        <w:kinsoku/>
        <w:wordWrap/>
        <w:overflowPunct/>
        <w:topLinePunct w:val="0"/>
        <w:autoSpaceDE/>
        <w:autoSpaceDN/>
        <w:bidi w:val="0"/>
        <w:spacing w:line="520" w:lineRule="exact"/>
        <w:ind w:right="0" w:rightChars="0" w:firstLine="600" w:firstLineChars="250"/>
        <w:jc w:val="left"/>
        <w:textAlignment w:val="auto"/>
        <w:outlineLvl w:val="0"/>
        <w:rPr>
          <w:rFonts w:hAnsi="宋体"/>
          <w:color w:val="000000"/>
          <w:sz w:val="24"/>
          <w:szCs w:val="24"/>
        </w:rPr>
      </w:pPr>
      <w:r>
        <w:rPr>
          <w:rFonts w:hint="eastAsia" w:hAnsi="宋体"/>
          <w:color w:val="000000"/>
          <w:sz w:val="24"/>
          <w:szCs w:val="24"/>
        </w:rPr>
        <w:t>（4）法人代表身份证或委托代理人持法人授权委托书及代理人身份证件</w:t>
      </w:r>
      <w:r>
        <w:rPr>
          <w:rFonts w:hint="eastAsia" w:hAnsi="宋体"/>
          <w:color w:val="FF0000"/>
          <w:sz w:val="24"/>
          <w:szCs w:val="24"/>
          <w:lang w:eastAsia="zh-CN"/>
        </w:rPr>
        <w:t>（</w:t>
      </w:r>
      <w:r>
        <w:rPr>
          <w:rFonts w:hAnsi="宋体"/>
          <w:color w:val="FF0000"/>
          <w:sz w:val="24"/>
        </w:rPr>
        <w:t>开标时，投标文件开启之前，对投标人的投标人身份（需出示法定代表人身份证原件或委托代理人持授权委托书并出示代理人身份证原件）进行核查</w:t>
      </w:r>
      <w:r>
        <w:rPr>
          <w:rFonts w:hint="eastAsia" w:hAnsi="宋体"/>
          <w:color w:val="FF0000"/>
          <w:sz w:val="24"/>
          <w:lang w:eastAsia="zh-CN"/>
        </w:rPr>
        <w:t>）</w:t>
      </w:r>
      <w:r>
        <w:rPr>
          <w:rFonts w:hint="eastAsia" w:hAnsi="宋体"/>
          <w:color w:val="000000"/>
          <w:sz w:val="24"/>
          <w:szCs w:val="24"/>
        </w:rPr>
        <w:t>；</w:t>
      </w:r>
    </w:p>
    <w:p>
      <w:pPr>
        <w:pStyle w:val="10"/>
        <w:keepNext w:val="0"/>
        <w:keepLines w:val="0"/>
        <w:pageBreakBefore w:val="0"/>
        <w:kinsoku/>
        <w:wordWrap/>
        <w:overflowPunct/>
        <w:topLinePunct w:val="0"/>
        <w:autoSpaceDE/>
        <w:autoSpaceDN/>
        <w:bidi w:val="0"/>
        <w:spacing w:line="520" w:lineRule="exact"/>
        <w:ind w:right="0" w:rightChars="0" w:firstLine="590" w:firstLineChars="246"/>
        <w:textAlignment w:val="auto"/>
        <w:rPr>
          <w:rFonts w:hint="eastAsia"/>
          <w:color w:val="FF0000"/>
          <w:sz w:val="24"/>
        </w:rPr>
      </w:pPr>
      <w:r>
        <w:rPr>
          <w:rFonts w:hint="eastAsia" w:hAnsi="宋体" w:cs="宋体"/>
          <w:bCs/>
          <w:color w:val="000000"/>
          <w:sz w:val="24"/>
          <w:szCs w:val="24"/>
        </w:rPr>
        <w:t>（5</w:t>
      </w:r>
      <w:r>
        <w:rPr>
          <w:rFonts w:hint="eastAsia" w:hAnsi="宋体" w:cs="宋体"/>
          <w:bCs/>
          <w:color w:val="auto"/>
          <w:sz w:val="24"/>
          <w:szCs w:val="24"/>
        </w:rPr>
        <w:t>）</w:t>
      </w:r>
      <w:r>
        <w:rPr>
          <w:rFonts w:hint="eastAsia"/>
          <w:color w:val="auto"/>
          <w:sz w:val="24"/>
        </w:rPr>
        <w:t>“信用中国”网站（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sz w:val="24"/>
        </w:rPr>
        <w:t>www.creditchina.gov.cn</w:t>
      </w:r>
      <w:r>
        <w:rPr>
          <w:rFonts w:hint="eastAsia"/>
          <w:color w:val="auto"/>
          <w:sz w:val="24"/>
        </w:rPr>
        <w:fldChar w:fldCharType="end"/>
      </w:r>
      <w:r>
        <w:rPr>
          <w:rFonts w:hint="eastAsia"/>
          <w:color w:val="auto"/>
          <w:sz w:val="24"/>
        </w:rPr>
        <w:t>）</w:t>
      </w:r>
      <w:r>
        <w:rPr>
          <w:rFonts w:hint="eastAsia"/>
          <w:color w:val="auto"/>
          <w:sz w:val="24"/>
          <w:lang w:eastAsia="zh-CN"/>
        </w:rPr>
        <w:t>和</w:t>
      </w:r>
      <w:r>
        <w:rPr>
          <w:rFonts w:hint="eastAsia"/>
          <w:color w:val="auto"/>
          <w:sz w:val="24"/>
        </w:rPr>
        <w:t>政府采购严重违法失信行为记录名单（</w:t>
      </w:r>
      <w:r>
        <w:rPr>
          <w:color w:val="auto"/>
        </w:rPr>
        <w:fldChar w:fldCharType="begin"/>
      </w:r>
      <w:r>
        <w:rPr>
          <w:color w:val="auto"/>
        </w:rPr>
        <w:instrText xml:space="preserve"> HYPERLINK "http://www.ccgp.gov.cn/search/cr/" </w:instrText>
      </w:r>
      <w:r>
        <w:rPr>
          <w:color w:val="auto"/>
        </w:rPr>
        <w:fldChar w:fldCharType="separate"/>
      </w:r>
      <w:r>
        <w:rPr>
          <w:rFonts w:hint="eastAsia"/>
          <w:color w:val="auto"/>
          <w:sz w:val="24"/>
        </w:rPr>
        <w:t>http://www.ccgp.gov.cn/search/cr/</w:t>
      </w:r>
      <w:r>
        <w:rPr>
          <w:rFonts w:hint="eastAsia"/>
          <w:color w:val="auto"/>
          <w:sz w:val="24"/>
        </w:rPr>
        <w:fldChar w:fldCharType="end"/>
      </w:r>
      <w:r>
        <w:rPr>
          <w:rFonts w:hint="eastAsia"/>
          <w:color w:val="auto"/>
          <w:sz w:val="24"/>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p>
    <w:p>
      <w:pPr>
        <w:pStyle w:val="10"/>
        <w:ind w:firstLine="480" w:firstLineChars="200"/>
        <w:rPr>
          <w:rFonts w:hint="default"/>
          <w:color w:val="FF0000"/>
          <w:sz w:val="24"/>
          <w:lang w:val="en-US" w:eastAsia="zh-CN"/>
        </w:rPr>
      </w:pPr>
      <w:r>
        <w:rPr>
          <w:rFonts w:hint="eastAsia"/>
          <w:color w:val="FF0000"/>
          <w:sz w:val="24"/>
          <w:lang w:eastAsia="zh-CN"/>
        </w:rPr>
        <w:t>（</w:t>
      </w:r>
      <w:r>
        <w:rPr>
          <w:rFonts w:hint="eastAsia"/>
          <w:color w:val="FF0000"/>
          <w:sz w:val="24"/>
          <w:lang w:val="en-US" w:eastAsia="zh-CN"/>
        </w:rPr>
        <w:t>6</w:t>
      </w:r>
      <w:r>
        <w:rPr>
          <w:rFonts w:hint="eastAsia"/>
          <w:color w:val="FF0000"/>
          <w:sz w:val="24"/>
          <w:lang w:eastAsia="zh-CN"/>
        </w:rPr>
        <w:t>）特殊要求：</w:t>
      </w:r>
      <w:r>
        <w:rPr>
          <w:rFonts w:hint="eastAsia"/>
          <w:color w:val="FF0000"/>
          <w:sz w:val="24"/>
          <w:lang w:val="en-US" w:eastAsia="zh-CN"/>
        </w:rPr>
        <w:t>建筑总承</w:t>
      </w:r>
      <w:r>
        <w:rPr>
          <w:rFonts w:hint="eastAsia"/>
          <w:color w:val="FF0000"/>
          <w:sz w:val="24"/>
          <w:lang w:eastAsia="zh-CN"/>
        </w:rPr>
        <w:t>包二级及以上资质并同时具备装修资质；人员配置：需配备项目负责人，具备二级建造师和工程师及以上资格。</w:t>
      </w:r>
    </w:p>
    <w:p>
      <w:pPr>
        <w:pStyle w:val="10"/>
        <w:rPr>
          <w:rFonts w:hAnsi="宋体"/>
          <w:b/>
          <w:color w:val="000000"/>
          <w:sz w:val="24"/>
          <w:szCs w:val="24"/>
        </w:rPr>
      </w:pPr>
      <w:r>
        <w:rPr>
          <w:rFonts w:hint="eastAsia" w:hAnsi="宋体"/>
          <w:b/>
          <w:color w:val="000000"/>
          <w:sz w:val="24"/>
          <w:szCs w:val="24"/>
          <w:lang w:val="en-US" w:eastAsia="zh-CN"/>
        </w:rPr>
        <w:t xml:space="preserve">    </w:t>
      </w:r>
      <w:r>
        <w:rPr>
          <w:rFonts w:hint="eastAsia" w:hAnsi="宋体"/>
          <w:b/>
          <w:color w:val="000000"/>
          <w:sz w:val="24"/>
          <w:szCs w:val="24"/>
        </w:rPr>
        <w:t>10、投标保证金：</w:t>
      </w:r>
      <w:r>
        <w:rPr>
          <w:rFonts w:hint="eastAsia" w:hAnsi="宋体"/>
          <w:b/>
          <w:color w:val="000000"/>
          <w:sz w:val="24"/>
          <w:szCs w:val="24"/>
          <w:lang w:val="en-US" w:eastAsia="zh-CN"/>
        </w:rPr>
        <w:t>3万</w:t>
      </w:r>
      <w:r>
        <w:rPr>
          <w:rFonts w:hint="eastAsia" w:hAnsi="宋体"/>
          <w:b/>
          <w:color w:val="000000"/>
          <w:sz w:val="24"/>
          <w:szCs w:val="24"/>
        </w:rPr>
        <w:t>元人民币</w:t>
      </w:r>
    </w:p>
    <w:p>
      <w:pPr>
        <w:keepNext w:val="0"/>
        <w:keepLines w:val="0"/>
        <w:pageBreakBefore w:val="0"/>
        <w:widowControl/>
        <w:kinsoku/>
        <w:wordWrap/>
        <w:overflowPunct/>
        <w:topLinePunct w:val="0"/>
        <w:autoSpaceDE/>
        <w:autoSpaceDN/>
        <w:bidi w:val="0"/>
        <w:spacing w:line="520" w:lineRule="exact"/>
        <w:ind w:right="0" w:rightChars="0"/>
        <w:jc w:val="left"/>
        <w:textAlignment w:val="auto"/>
      </w:pPr>
      <w:r>
        <w:rPr>
          <w:rFonts w:hint="eastAsia" w:ascii="宋体" w:hAnsi="宋体" w:eastAsia="宋体" w:cs="宋体"/>
          <w:color w:val="FF0000"/>
          <w:sz w:val="24"/>
          <w:szCs w:val="24"/>
          <w:shd w:val="clear" w:color="auto" w:fill="FFFFFF"/>
          <w:lang w:val="en-US" w:eastAsia="zh-CN"/>
        </w:rPr>
        <w:t xml:space="preserve">    </w:t>
      </w:r>
      <w:r>
        <w:rPr>
          <w:rFonts w:hint="eastAsia" w:ascii="宋体" w:hAnsi="宋体" w:eastAsia="宋体" w:cs="宋体"/>
          <w:color w:val="FF0000"/>
          <w:sz w:val="24"/>
          <w:szCs w:val="24"/>
          <w:shd w:val="clear" w:color="auto" w:fill="FFFFFF"/>
        </w:rPr>
        <w:t>投标保证金交纳方式:</w:t>
      </w:r>
      <w:r>
        <w:rPr>
          <w:rFonts w:ascii="宋体" w:hAnsi="宋体" w:eastAsia="宋体" w:cs="宋体"/>
          <w:sz w:val="24"/>
          <w:szCs w:val="24"/>
        </w:rPr>
        <w:t>采用银行转账、电汇形式提交具体缴退流程见铜仁市公共资源交易中心网站（jyzx.trs.gov.cn），点击首页-办事指南-保证金缴退，自行缴纳保证金；或者采用《投标保证金保函》（电子保函）提交（具体操作方式见铜仁市公共资源交易中心首页——办事指南——政府采购——常见问题解答——《投标电子保函申请操作步骤》）</w:t>
      </w:r>
    </w:p>
    <w:p>
      <w:pPr>
        <w:pStyle w:val="10"/>
        <w:keepNext w:val="0"/>
        <w:keepLines w:val="0"/>
        <w:pageBreakBefore w:val="0"/>
        <w:kinsoku/>
        <w:wordWrap/>
        <w:overflowPunct/>
        <w:topLinePunct w:val="0"/>
        <w:autoSpaceDE/>
        <w:autoSpaceDN/>
        <w:bidi w:val="0"/>
        <w:spacing w:line="520" w:lineRule="exact"/>
        <w:ind w:right="0" w:rightChars="0" w:firstLine="481"/>
        <w:jc w:val="left"/>
        <w:textAlignment w:val="auto"/>
        <w:rPr>
          <w:rFonts w:hAnsi="宋体" w:eastAsia="宋体" w:cs="宋体"/>
          <w:color w:val="FF0000"/>
          <w:sz w:val="24"/>
          <w:szCs w:val="24"/>
          <w:shd w:val="clear" w:color="auto" w:fill="FFFFFF"/>
        </w:rPr>
      </w:pPr>
      <w:r>
        <w:rPr>
          <w:rFonts w:hint="eastAsia" w:hAnsi="宋体" w:cs="宋体"/>
          <w:color w:val="000000"/>
          <w:sz w:val="24"/>
          <w:szCs w:val="24"/>
          <w:shd w:val="clear" w:color="auto" w:fill="FFFFFF"/>
        </w:rPr>
        <w:t>开户银行及帐号</w:t>
      </w:r>
    </w:p>
    <w:p>
      <w:pPr>
        <w:pStyle w:val="10"/>
        <w:keepNext w:val="0"/>
        <w:keepLines w:val="0"/>
        <w:pageBreakBefore w:val="0"/>
        <w:kinsoku/>
        <w:wordWrap/>
        <w:overflowPunct/>
        <w:topLinePunct w:val="0"/>
        <w:autoSpaceDE/>
        <w:autoSpaceDN/>
        <w:bidi w:val="0"/>
        <w:spacing w:line="520" w:lineRule="exact"/>
        <w:ind w:right="0" w:rightChars="0"/>
        <w:jc w:val="left"/>
        <w:textAlignment w:val="auto"/>
        <w:rPr>
          <w:rFonts w:hAnsi="宋体"/>
          <w:color w:val="000000"/>
          <w:sz w:val="24"/>
          <w:szCs w:val="24"/>
        </w:rPr>
      </w:pPr>
      <w:r>
        <w:rPr>
          <w:rFonts w:hint="eastAsia" w:hAnsi="宋体"/>
          <w:color w:val="000000"/>
          <w:sz w:val="24"/>
          <w:szCs w:val="24"/>
          <w:lang w:val="en-US" w:eastAsia="zh-CN"/>
        </w:rPr>
        <w:t xml:space="preserve">     </w:t>
      </w:r>
      <w:r>
        <w:rPr>
          <w:rFonts w:hint="eastAsia" w:hAnsi="宋体"/>
          <w:color w:val="000000"/>
          <w:sz w:val="24"/>
          <w:szCs w:val="24"/>
        </w:rPr>
        <w:t>收款单位：铜仁市公共资源交易中心</w:t>
      </w:r>
    </w:p>
    <w:p>
      <w:pPr>
        <w:keepNext w:val="0"/>
        <w:keepLines w:val="0"/>
        <w:pageBreakBefore w:val="0"/>
        <w:kinsoku/>
        <w:wordWrap/>
        <w:overflowPunct/>
        <w:topLinePunct w:val="0"/>
        <w:autoSpaceDE/>
        <w:autoSpaceDN/>
        <w:bidi w:val="0"/>
        <w:spacing w:line="520" w:lineRule="exact"/>
        <w:ind w:right="0" w:rightChars="0"/>
        <w:textAlignment w:val="auto"/>
        <w:rPr>
          <w:rFonts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开 户 行：贵州银行股份有限公司铜仁分行</w:t>
      </w:r>
    </w:p>
    <w:p>
      <w:pPr>
        <w:keepNext w:val="0"/>
        <w:keepLines w:val="0"/>
        <w:pageBreakBefore w:val="0"/>
        <w:kinsoku/>
        <w:wordWrap/>
        <w:overflowPunct/>
        <w:topLinePunct w:val="0"/>
        <w:autoSpaceDE/>
        <w:autoSpaceDN/>
        <w:bidi w:val="0"/>
        <w:spacing w:line="520" w:lineRule="exact"/>
        <w:ind w:right="0" w:rightChars="0"/>
        <w:textAlignment w:val="auto"/>
        <w:rPr>
          <w:rFonts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帐    号：0601001500000296</w:t>
      </w:r>
    </w:p>
    <w:p>
      <w:pPr>
        <w:keepNext w:val="0"/>
        <w:keepLines w:val="0"/>
        <w:pageBreakBefore w:val="0"/>
        <w:numPr>
          <w:ilvl w:val="0"/>
          <w:numId w:val="0"/>
        </w:numPr>
        <w:kinsoku/>
        <w:wordWrap/>
        <w:overflowPunct/>
        <w:topLinePunct w:val="0"/>
        <w:autoSpaceDE/>
        <w:autoSpaceDN/>
        <w:bidi w:val="0"/>
        <w:spacing w:line="520" w:lineRule="exact"/>
        <w:ind w:right="0" w:rightChars="0"/>
        <w:textAlignment w:val="auto"/>
        <w:rPr>
          <w:rFonts w:hint="eastAsia" w:ascii="宋体" w:hAnsi="宋体"/>
          <w:color w:val="000000"/>
          <w:sz w:val="24"/>
          <w:lang w:val="en-US" w:eastAsia="zh-CN"/>
        </w:rPr>
      </w:pPr>
      <w:r>
        <w:rPr>
          <w:rFonts w:hint="eastAsia" w:ascii="宋体" w:hAnsi="宋体"/>
          <w:b/>
          <w:bCs/>
          <w:color w:val="000000"/>
          <w:sz w:val="24"/>
          <w:lang w:val="en-US" w:eastAsia="zh-CN"/>
        </w:rPr>
        <w:t xml:space="preserve">    11、</w:t>
      </w:r>
      <w:r>
        <w:rPr>
          <w:rFonts w:hint="eastAsia" w:ascii="宋体" w:hAnsi="宋体"/>
          <w:b/>
          <w:bCs/>
          <w:color w:val="000000"/>
          <w:sz w:val="24"/>
        </w:rPr>
        <w:t>采购预算</w:t>
      </w:r>
      <w:r>
        <w:rPr>
          <w:rFonts w:hint="eastAsia" w:ascii="宋体" w:hAnsi="宋体"/>
          <w:color w:val="000000"/>
          <w:sz w:val="24"/>
        </w:rPr>
        <w:t xml:space="preserve"> ：</w:t>
      </w:r>
      <w:r>
        <w:rPr>
          <w:rFonts w:hint="eastAsia" w:ascii="宋体" w:hAnsi="宋体"/>
          <w:color w:val="000000"/>
          <w:sz w:val="24"/>
          <w:lang w:val="en-US" w:eastAsia="zh-CN"/>
        </w:rPr>
        <w:t>197.7万元（最高限价：197.7万元）</w:t>
      </w:r>
    </w:p>
    <w:p>
      <w:pPr>
        <w:keepNext w:val="0"/>
        <w:keepLines w:val="0"/>
        <w:pageBreakBefore w:val="0"/>
        <w:kinsoku/>
        <w:wordWrap/>
        <w:overflowPunct/>
        <w:topLinePunct w:val="0"/>
        <w:autoSpaceDE/>
        <w:autoSpaceDN/>
        <w:bidi w:val="0"/>
        <w:spacing w:line="520" w:lineRule="exact"/>
        <w:ind w:right="0" w:rightChars="0"/>
        <w:textAlignment w:val="auto"/>
        <w:rPr>
          <w:rFonts w:ascii="宋体" w:hAnsi="宋体"/>
          <w:color w:val="000000"/>
          <w:sz w:val="24"/>
        </w:rPr>
      </w:pPr>
      <w:r>
        <w:rPr>
          <w:rFonts w:hint="eastAsia" w:ascii="宋体" w:hAnsi="宋体"/>
          <w:color w:val="000000"/>
          <w:sz w:val="24"/>
          <w:lang w:val="en-US" w:eastAsia="zh-CN"/>
        </w:rPr>
        <w:t xml:space="preserve">    </w:t>
      </w:r>
      <w:r>
        <w:rPr>
          <w:rFonts w:hint="eastAsia" w:ascii="宋体" w:hAnsi="宋体"/>
          <w:b/>
          <w:color w:val="000000"/>
          <w:sz w:val="24"/>
        </w:rPr>
        <w:t>12、 谈判时间：</w:t>
      </w:r>
      <w:r>
        <w:rPr>
          <w:rFonts w:hint="eastAsia" w:ascii="宋体" w:hAnsi="宋体" w:cs="宋体"/>
          <w:color w:val="000000"/>
          <w:sz w:val="24"/>
          <w:szCs w:val="24"/>
          <w:shd w:val="clear" w:color="auto" w:fill="FFFFFF"/>
        </w:rPr>
        <w:t>20</w:t>
      </w:r>
      <w:r>
        <w:rPr>
          <w:rFonts w:hint="eastAsia" w:ascii="宋体" w:hAnsi="宋体" w:cs="宋体"/>
          <w:color w:val="000000"/>
          <w:sz w:val="24"/>
          <w:szCs w:val="24"/>
          <w:shd w:val="clear" w:color="auto" w:fill="FFFFFF"/>
          <w:lang w:val="en-US" w:eastAsia="zh-CN"/>
        </w:rPr>
        <w:t>21</w:t>
      </w:r>
      <w:r>
        <w:rPr>
          <w:rFonts w:hint="eastAsia" w:ascii="宋体" w:hAnsi="宋体" w:cs="宋体"/>
          <w:color w:val="000000"/>
          <w:sz w:val="24"/>
          <w:szCs w:val="24"/>
          <w:shd w:val="clear" w:color="auto" w:fill="FFFFFF"/>
        </w:rPr>
        <w:t>年</w:t>
      </w:r>
      <w:r>
        <w:rPr>
          <w:rFonts w:hint="eastAsia" w:ascii="宋体" w:hAnsi="宋体" w:cs="宋体"/>
          <w:color w:val="000000"/>
          <w:sz w:val="24"/>
          <w:szCs w:val="24"/>
          <w:shd w:val="clear" w:color="auto" w:fill="FFFFFF"/>
          <w:lang w:val="en-US" w:eastAsia="zh-CN"/>
        </w:rPr>
        <w:t xml:space="preserve">6 </w:t>
      </w:r>
      <w:r>
        <w:rPr>
          <w:rFonts w:hint="eastAsia" w:ascii="宋体" w:hAnsi="宋体" w:cs="宋体"/>
          <w:color w:val="000000"/>
          <w:sz w:val="24"/>
          <w:szCs w:val="24"/>
          <w:shd w:val="clear" w:color="auto" w:fill="FFFFFF"/>
        </w:rPr>
        <w:t>月</w:t>
      </w:r>
      <w:r>
        <w:rPr>
          <w:rFonts w:hint="eastAsia" w:ascii="宋体" w:hAnsi="宋体" w:cs="宋体"/>
          <w:color w:val="000000"/>
          <w:sz w:val="24"/>
          <w:szCs w:val="24"/>
          <w:shd w:val="clear" w:color="auto" w:fill="FFFFFF"/>
          <w:lang w:val="en-US" w:eastAsia="zh-CN"/>
        </w:rPr>
        <w:t xml:space="preserve"> 25</w:t>
      </w:r>
      <w:r>
        <w:rPr>
          <w:rFonts w:hint="eastAsia" w:ascii="宋体" w:hAnsi="宋体" w:cs="宋体"/>
          <w:color w:val="000000"/>
          <w:sz w:val="24"/>
          <w:szCs w:val="24"/>
          <w:shd w:val="clear" w:color="auto" w:fill="FFFFFF"/>
        </w:rPr>
        <w:t>日</w:t>
      </w:r>
      <w:r>
        <w:rPr>
          <w:rFonts w:hint="eastAsia" w:ascii="宋体" w:hAnsi="宋体" w:cs="宋体"/>
          <w:color w:val="000000"/>
          <w:sz w:val="24"/>
          <w:szCs w:val="24"/>
          <w:shd w:val="clear" w:color="auto" w:fill="FFFFFF"/>
          <w:lang w:val="en-US" w:eastAsia="zh-CN"/>
        </w:rPr>
        <w:t>10</w:t>
      </w:r>
      <w:r>
        <w:rPr>
          <w:rFonts w:hint="eastAsia" w:ascii="宋体" w:hAnsi="宋体" w:cs="宋体"/>
          <w:color w:val="000000"/>
          <w:sz w:val="24"/>
          <w:szCs w:val="24"/>
          <w:shd w:val="clear" w:color="auto" w:fill="FFFFFF"/>
        </w:rPr>
        <w:t>：</w:t>
      </w:r>
      <w:r>
        <w:rPr>
          <w:rFonts w:hint="eastAsia" w:ascii="宋体" w:hAnsi="宋体" w:cs="宋体"/>
          <w:color w:val="000000"/>
          <w:sz w:val="24"/>
          <w:szCs w:val="24"/>
          <w:shd w:val="clear" w:color="auto" w:fill="FFFFFF"/>
          <w:lang w:val="en-US" w:eastAsia="zh-CN"/>
        </w:rPr>
        <w:t>0</w:t>
      </w:r>
      <w:r>
        <w:rPr>
          <w:rFonts w:hint="eastAsia" w:ascii="宋体" w:hAnsi="宋体" w:cs="宋体"/>
          <w:color w:val="000000"/>
          <w:sz w:val="24"/>
          <w:szCs w:val="24"/>
          <w:shd w:val="clear" w:color="auto" w:fill="FFFFFF"/>
        </w:rPr>
        <w:t>0时</w:t>
      </w:r>
    </w:p>
    <w:p>
      <w:pPr>
        <w:keepNext w:val="0"/>
        <w:keepLines w:val="0"/>
        <w:pageBreakBefore w:val="0"/>
        <w:kinsoku/>
        <w:wordWrap/>
        <w:overflowPunct/>
        <w:topLinePunct w:val="0"/>
        <w:autoSpaceDE/>
        <w:autoSpaceDN/>
        <w:bidi w:val="0"/>
        <w:spacing w:line="520" w:lineRule="exact"/>
        <w:ind w:right="0" w:rightChars="0"/>
        <w:textAlignment w:val="auto"/>
        <w:rPr>
          <w:rFonts w:ascii="宋体" w:hAnsi="宋体"/>
          <w:bCs/>
          <w:color w:val="000000"/>
          <w:sz w:val="24"/>
        </w:rPr>
      </w:pPr>
      <w:r>
        <w:rPr>
          <w:rFonts w:hint="eastAsia" w:ascii="宋体" w:hAnsi="宋体"/>
          <w:bCs/>
          <w:color w:val="000000"/>
          <w:sz w:val="24"/>
          <w:lang w:val="en-US" w:eastAsia="zh-CN"/>
        </w:rPr>
        <w:t xml:space="preserve">    </w:t>
      </w:r>
      <w:r>
        <w:rPr>
          <w:rFonts w:hint="eastAsia" w:ascii="宋体" w:hAnsi="宋体"/>
          <w:bCs/>
          <w:color w:val="000000"/>
          <w:sz w:val="24"/>
        </w:rPr>
        <w:t>13、谈判地点：铜仁市公共服务中心四楼（铜仁市碧江区川硐教育园区麒龙国际旁）</w:t>
      </w:r>
    </w:p>
    <w:p>
      <w:pPr>
        <w:keepNext w:val="0"/>
        <w:keepLines w:val="0"/>
        <w:pageBreakBefore w:val="0"/>
        <w:kinsoku/>
        <w:wordWrap/>
        <w:overflowPunct/>
        <w:topLinePunct w:val="0"/>
        <w:autoSpaceDE/>
        <w:autoSpaceDN/>
        <w:bidi w:val="0"/>
        <w:spacing w:line="520" w:lineRule="exact"/>
        <w:ind w:right="0" w:rightChars="0" w:firstLine="960" w:firstLineChars="400"/>
        <w:textAlignment w:val="auto"/>
        <w:rPr>
          <w:rFonts w:hint="eastAsia" w:ascii="宋体" w:hAnsi="宋体" w:cs="宋体"/>
          <w:color w:val="000000"/>
          <w:sz w:val="24"/>
          <w:szCs w:val="24"/>
          <w:shd w:val="clear" w:color="auto" w:fill="FFFFFF"/>
        </w:rPr>
      </w:pPr>
      <w:r>
        <w:rPr>
          <w:rFonts w:hint="eastAsia" w:ascii="宋体" w:hAnsi="宋体"/>
          <w:color w:val="000000"/>
          <w:sz w:val="24"/>
        </w:rPr>
        <w:t>联系电话：</w:t>
      </w:r>
      <w:r>
        <w:rPr>
          <w:rFonts w:hint="eastAsia" w:ascii="宋体" w:hAnsi="宋体" w:cs="宋体"/>
          <w:color w:val="000000"/>
          <w:sz w:val="24"/>
          <w:szCs w:val="24"/>
          <w:shd w:val="clear" w:color="auto" w:fill="FFFFFF"/>
        </w:rPr>
        <w:t>0856-</w:t>
      </w:r>
      <w:r>
        <w:rPr>
          <w:rFonts w:hint="eastAsia" w:ascii="宋体" w:hAnsi="宋体" w:cs="宋体"/>
          <w:color w:val="000000"/>
          <w:sz w:val="24"/>
          <w:szCs w:val="24"/>
          <w:shd w:val="clear" w:color="auto" w:fill="FFFFFF"/>
          <w:lang w:eastAsia="zh-CN"/>
        </w:rPr>
        <w:t>39129</w:t>
      </w:r>
      <w:r>
        <w:rPr>
          <w:rFonts w:hint="eastAsia" w:ascii="宋体" w:hAnsi="宋体" w:cs="宋体"/>
          <w:color w:val="000000"/>
          <w:sz w:val="24"/>
          <w:szCs w:val="24"/>
          <w:shd w:val="clear" w:color="auto" w:fill="FFFFFF"/>
          <w:lang w:val="en-US" w:eastAsia="zh-CN"/>
        </w:rPr>
        <w:t>33</w:t>
      </w:r>
      <w:r>
        <w:rPr>
          <w:rFonts w:hint="eastAsia" w:ascii="宋体" w:hAnsi="宋体" w:cs="宋体"/>
          <w:color w:val="000000"/>
          <w:sz w:val="24"/>
          <w:szCs w:val="24"/>
          <w:shd w:val="clear" w:color="auto" w:fill="FFFFFF"/>
        </w:rPr>
        <w:t xml:space="preserve"> </w:t>
      </w:r>
    </w:p>
    <w:p>
      <w:pPr>
        <w:keepNext w:val="0"/>
        <w:keepLines w:val="0"/>
        <w:pageBreakBefore w:val="0"/>
        <w:kinsoku/>
        <w:wordWrap/>
        <w:overflowPunct/>
        <w:topLinePunct w:val="0"/>
        <w:autoSpaceDE/>
        <w:autoSpaceDN/>
        <w:bidi w:val="0"/>
        <w:spacing w:line="520" w:lineRule="exact"/>
        <w:ind w:right="0" w:rightChars="0" w:firstLine="960" w:firstLineChars="400"/>
        <w:textAlignment w:val="auto"/>
        <w:rPr>
          <w:rFonts w:ascii="宋体" w:hAnsi="宋体"/>
          <w:sz w:val="24"/>
        </w:rPr>
      </w:pPr>
      <w:r>
        <w:rPr>
          <w:rFonts w:hint="eastAsia" w:ascii="宋体" w:hAnsi="宋体"/>
          <w:sz w:val="24"/>
        </w:rPr>
        <w:t>联 系 人：</w:t>
      </w:r>
      <w:r>
        <w:rPr>
          <w:rFonts w:hint="eastAsia" w:ascii="宋体" w:hAnsi="宋体"/>
          <w:sz w:val="24"/>
          <w:lang w:eastAsia="zh-CN"/>
        </w:rPr>
        <w:t>冉双霜</w:t>
      </w:r>
      <w:r>
        <w:rPr>
          <w:rFonts w:hint="eastAsia" w:ascii="宋体" w:hAnsi="宋体"/>
          <w:sz w:val="24"/>
        </w:rPr>
        <w:t xml:space="preserve">    </w:t>
      </w:r>
    </w:p>
    <w:p>
      <w:pPr>
        <w:keepNext w:val="0"/>
        <w:keepLines w:val="0"/>
        <w:pageBreakBefore w:val="0"/>
        <w:numPr>
          <w:ilvl w:val="0"/>
          <w:numId w:val="0"/>
        </w:numPr>
        <w:kinsoku/>
        <w:wordWrap/>
        <w:overflowPunct/>
        <w:topLinePunct w:val="0"/>
        <w:autoSpaceDE/>
        <w:autoSpaceDN/>
        <w:bidi w:val="0"/>
        <w:spacing w:line="520" w:lineRule="exact"/>
        <w:ind w:left="-9" w:leftChars="0" w:right="0" w:rightChars="0" w:firstLine="9" w:firstLineChars="0"/>
        <w:textAlignment w:val="auto"/>
        <w:rPr>
          <w:rFonts w:ascii="宋体" w:hAnsi="宋体"/>
          <w:sz w:val="24"/>
        </w:rPr>
      </w:pPr>
      <w:r>
        <w:rPr>
          <w:rFonts w:hint="eastAsia" w:ascii="宋体" w:hAnsi="宋体"/>
          <w:sz w:val="24"/>
          <w:lang w:val="en-US" w:eastAsia="zh-CN"/>
        </w:rPr>
        <w:t xml:space="preserve">    14、</w:t>
      </w:r>
      <w:r>
        <w:rPr>
          <w:rFonts w:hint="eastAsia" w:ascii="宋体" w:hAnsi="宋体"/>
          <w:sz w:val="24"/>
        </w:rPr>
        <w:t>采购人地点及联系方式</w:t>
      </w:r>
      <w:r>
        <w:rPr>
          <w:rFonts w:hint="eastAsia" w:ascii="宋体" w:hAnsi="宋体"/>
          <w:sz w:val="24"/>
        </w:rPr>
        <w:br w:type="textWrapping"/>
      </w:r>
      <w:r>
        <w:rPr>
          <w:rFonts w:hint="eastAsia" w:ascii="宋体" w:hAnsi="宋体"/>
          <w:sz w:val="24"/>
          <w:lang w:val="en-US" w:eastAsia="zh-CN"/>
        </w:rPr>
        <w:t xml:space="preserve">        </w:t>
      </w:r>
      <w:r>
        <w:rPr>
          <w:rFonts w:hint="eastAsia" w:ascii="宋体" w:hAnsi="宋体"/>
          <w:sz w:val="24"/>
        </w:rPr>
        <w:t>联系地址:</w:t>
      </w:r>
      <w:r>
        <w:rPr>
          <w:rFonts w:hint="eastAsia" w:ascii="宋体" w:hAnsi="宋体"/>
          <w:sz w:val="24"/>
          <w:lang w:eastAsia="zh-CN"/>
        </w:rPr>
        <w:t>铜仁市碧江区教育局</w:t>
      </w:r>
    </w:p>
    <w:p>
      <w:pPr>
        <w:keepNext w:val="0"/>
        <w:keepLines w:val="0"/>
        <w:pageBreakBefore w:val="0"/>
        <w:kinsoku/>
        <w:wordWrap/>
        <w:overflowPunct/>
        <w:topLinePunct w:val="0"/>
        <w:autoSpaceDE/>
        <w:autoSpaceDN/>
        <w:bidi w:val="0"/>
        <w:spacing w:line="520" w:lineRule="exact"/>
        <w:ind w:right="0" w:rightChars="0"/>
        <w:textAlignment w:val="auto"/>
        <w:rPr>
          <w:rFonts w:hint="eastAsia" w:ascii="宋体" w:hAnsi="宋体"/>
          <w:sz w:val="24"/>
          <w:lang w:val="en-US" w:eastAsia="zh-CN"/>
        </w:rPr>
      </w:pPr>
      <w:r>
        <w:rPr>
          <w:rFonts w:hint="eastAsia" w:ascii="宋体" w:hAnsi="宋体" w:eastAsia="宋体" w:cs="宋体"/>
          <w:color w:val="333333"/>
          <w:sz w:val="28"/>
          <w:szCs w:val="28"/>
          <w:shd w:val="clear" w:color="auto" w:fill="FFFFFF"/>
          <w:lang w:val="en-US" w:eastAsia="zh-CN"/>
        </w:rPr>
        <w:t xml:space="preserve">     </w:t>
      </w:r>
      <w:r>
        <w:rPr>
          <w:rFonts w:hint="eastAsia" w:ascii="宋体" w:hAnsi="宋体"/>
          <w:sz w:val="24"/>
          <w:lang w:val="en-US" w:eastAsia="zh-CN"/>
        </w:rPr>
        <w:t xml:space="preserve">  项目联系人: 蒋贻中</w:t>
      </w:r>
    </w:p>
    <w:p>
      <w:pPr>
        <w:keepNext w:val="0"/>
        <w:keepLines w:val="0"/>
        <w:pageBreakBefore w:val="0"/>
        <w:kinsoku/>
        <w:wordWrap/>
        <w:overflowPunct/>
        <w:topLinePunct w:val="0"/>
        <w:autoSpaceDE/>
        <w:autoSpaceDN/>
        <w:bidi w:val="0"/>
        <w:spacing w:line="520" w:lineRule="exact"/>
        <w:ind w:right="0" w:rightChars="0"/>
        <w:textAlignment w:val="auto"/>
        <w:rPr>
          <w:rFonts w:hint="default" w:ascii="宋体" w:hAnsi="宋体"/>
          <w:sz w:val="24"/>
          <w:lang w:val="en-US" w:eastAsia="zh-CN"/>
        </w:rPr>
      </w:pPr>
      <w:r>
        <w:rPr>
          <w:rFonts w:hint="eastAsia" w:ascii="宋体" w:hAnsi="宋体"/>
          <w:sz w:val="24"/>
          <w:lang w:val="en-US" w:eastAsia="zh-CN"/>
        </w:rPr>
        <w:t xml:space="preserve">       联系电话:18722918827</w:t>
      </w:r>
    </w:p>
    <w:p>
      <w:pPr>
        <w:keepNext w:val="0"/>
        <w:keepLines w:val="0"/>
        <w:pageBreakBefore w:val="0"/>
        <w:kinsoku/>
        <w:wordWrap/>
        <w:overflowPunct/>
        <w:topLinePunct w:val="0"/>
        <w:autoSpaceDE/>
        <w:autoSpaceDN/>
        <w:bidi w:val="0"/>
        <w:spacing w:line="520" w:lineRule="exact"/>
        <w:ind w:left="-391" w:leftChars="-186" w:right="0" w:rightChars="0" w:firstLine="480" w:firstLineChars="200"/>
        <w:textAlignment w:val="auto"/>
        <w:rPr>
          <w:rFonts w:ascii="宋体" w:hAnsi="宋体"/>
          <w:color w:val="FF0000"/>
          <w:sz w:val="24"/>
        </w:rPr>
      </w:pPr>
      <w:r>
        <w:rPr>
          <w:rFonts w:hint="eastAsia" w:ascii="宋体" w:hAnsi="宋体"/>
          <w:color w:val="FF0000"/>
          <w:sz w:val="24"/>
          <w:lang w:val="en-US" w:eastAsia="zh-CN"/>
        </w:rPr>
        <w:t xml:space="preserve">    </w:t>
      </w:r>
      <w:r>
        <w:rPr>
          <w:rFonts w:hint="eastAsia" w:ascii="宋体" w:hAnsi="宋体"/>
          <w:color w:val="FF0000"/>
          <w:sz w:val="24"/>
        </w:rPr>
        <w:t>15、电子投标技术支持电话：08563960513（固话），18352864732。</w:t>
      </w:r>
      <w:r>
        <w:rPr>
          <w:rFonts w:hint="eastAsia" w:ascii="宋体" w:hAnsi="宋体"/>
          <w:color w:val="FF0000"/>
          <w:sz w:val="24"/>
        </w:rPr>
        <w:br w:type="textWrapping"/>
      </w:r>
      <w:r>
        <w:rPr>
          <w:rFonts w:hint="eastAsia" w:ascii="宋体" w:hAnsi="宋体"/>
          <w:color w:val="FF0000"/>
          <w:sz w:val="24"/>
        </w:rPr>
        <w:t xml:space="preserve">   </w:t>
      </w:r>
      <w:r>
        <w:rPr>
          <w:rFonts w:hint="eastAsia" w:ascii="宋体" w:hAnsi="宋体"/>
          <w:color w:val="FF0000"/>
          <w:sz w:val="24"/>
          <w:lang w:val="en-US" w:eastAsia="zh-CN"/>
        </w:rPr>
        <w:t xml:space="preserve">    </w:t>
      </w:r>
      <w:r>
        <w:rPr>
          <w:rFonts w:hint="eastAsia" w:ascii="宋体" w:hAnsi="宋体"/>
          <w:color w:val="FF0000"/>
          <w:sz w:val="24"/>
        </w:rPr>
        <w:t xml:space="preserve"> 16、（财务科）保证金</w:t>
      </w:r>
      <w:r>
        <w:rPr>
          <w:rFonts w:hint="eastAsia" w:ascii="宋体" w:hAnsi="宋体"/>
          <w:color w:val="FF0000"/>
          <w:sz w:val="24"/>
          <w:lang w:eastAsia="zh-CN"/>
        </w:rPr>
        <w:t>咨询电话</w:t>
      </w:r>
      <w:r>
        <w:rPr>
          <w:rFonts w:hint="eastAsia" w:ascii="宋体" w:hAnsi="宋体"/>
          <w:color w:val="FF0000"/>
          <w:sz w:val="24"/>
        </w:rPr>
        <w:t>：0856-3910364</w:t>
      </w:r>
      <w:r>
        <w:rPr>
          <w:rFonts w:hint="eastAsia" w:ascii="宋体" w:hAnsi="宋体"/>
          <w:color w:val="FF0000"/>
          <w:sz w:val="24"/>
        </w:rPr>
        <w:br w:type="textWrapping"/>
      </w:r>
      <w:r>
        <w:rPr>
          <w:rFonts w:hint="eastAsia" w:ascii="宋体" w:hAnsi="宋体"/>
          <w:color w:val="FF0000"/>
          <w:sz w:val="24"/>
        </w:rPr>
        <w:t xml:space="preserve">   </w:t>
      </w:r>
      <w:r>
        <w:rPr>
          <w:rFonts w:hint="eastAsia" w:ascii="宋体" w:hAnsi="宋体"/>
          <w:color w:val="FF0000"/>
          <w:sz w:val="24"/>
          <w:lang w:val="en-US" w:eastAsia="zh-CN"/>
        </w:rPr>
        <w:t xml:space="preserve">    </w:t>
      </w:r>
      <w:r>
        <w:rPr>
          <w:rFonts w:hint="eastAsia" w:ascii="宋体" w:hAnsi="宋体"/>
          <w:color w:val="FF0000"/>
          <w:sz w:val="24"/>
        </w:rPr>
        <w:t xml:space="preserve"> 17、CA数字证书及电子签章：0856-3912912、3912276</w:t>
      </w:r>
      <w:r>
        <w:rPr>
          <w:rFonts w:hint="eastAsia" w:ascii="宋体" w:hAnsi="宋体"/>
          <w:color w:val="FF0000"/>
          <w:sz w:val="24"/>
        </w:rPr>
        <w:br w:type="textWrapping"/>
      </w:r>
      <w:r>
        <w:rPr>
          <w:rFonts w:hint="eastAsia" w:ascii="宋体" w:hAnsi="宋体"/>
          <w:color w:val="FF0000"/>
          <w:sz w:val="24"/>
        </w:rPr>
        <w:t xml:space="preserve">   </w:t>
      </w:r>
    </w:p>
    <w:p>
      <w:pPr>
        <w:pStyle w:val="9"/>
        <w:keepNext w:val="0"/>
        <w:keepLines w:val="0"/>
        <w:pageBreakBefore w:val="0"/>
        <w:kinsoku/>
        <w:wordWrap/>
        <w:overflowPunct/>
        <w:topLinePunct w:val="0"/>
        <w:autoSpaceDE/>
        <w:autoSpaceDN/>
        <w:bidi w:val="0"/>
        <w:spacing w:line="520" w:lineRule="exact"/>
        <w:ind w:right="0" w:rightChars="0"/>
        <w:textAlignment w:val="auto"/>
        <w:rPr>
          <w:rFonts w:asciiTheme="minorEastAsia" w:hAnsiTheme="minorEastAsia" w:cstheme="minorEastAsia"/>
          <w:color w:val="FF0000"/>
          <w:sz w:val="24"/>
          <w:szCs w:val="24"/>
        </w:rPr>
      </w:pPr>
      <w:r>
        <w:rPr>
          <w:rFonts w:hint="eastAsia" w:asciiTheme="majorEastAsia" w:hAnsiTheme="majorEastAsia" w:eastAsiaTheme="majorEastAsia" w:cstheme="majorEastAsia"/>
          <w:b/>
          <w:bCs/>
          <w:color w:val="FF0000"/>
          <w:sz w:val="24"/>
          <w:szCs w:val="24"/>
        </w:rPr>
        <w:t>注：</w:t>
      </w:r>
      <w:r>
        <w:rPr>
          <w:rFonts w:hint="eastAsia" w:asciiTheme="majorEastAsia" w:hAnsiTheme="majorEastAsia" w:eastAsiaTheme="majorEastAsia" w:cstheme="majorEastAsia"/>
          <w:color w:val="FF0000"/>
          <w:sz w:val="24"/>
          <w:szCs w:val="24"/>
        </w:rPr>
        <w:t>投标人应随时登录贵州省政府采</w:t>
      </w:r>
      <w:r>
        <w:rPr>
          <w:rFonts w:hint="eastAsia" w:asciiTheme="minorEastAsia" w:hAnsiTheme="minorEastAsia" w:cstheme="minorEastAsia"/>
          <w:color w:val="FF0000"/>
          <w:sz w:val="24"/>
          <w:szCs w:val="24"/>
        </w:rPr>
        <w:t>（http://www.ccgp-guizhou.gov.cn/ ）或铜仁市公共资源交易中心网（jyzx.trs.gov.cn）“政府采购信息发布平台”查看、处理采购人发出的文件澄清、补充、更正公告等通知内容，如因投标人未及时上网查询导致的后果，由投标人自己承担。</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宋体" w:hAnsi="宋体"/>
          <w:b/>
          <w:bCs/>
          <w:sz w:val="24"/>
        </w:rPr>
      </w:pPr>
    </w:p>
    <w:p>
      <w:pPr>
        <w:keepNext w:val="0"/>
        <w:keepLines w:val="0"/>
        <w:pageBreakBefore w:val="0"/>
        <w:kinsoku/>
        <w:wordWrap/>
        <w:overflowPunct/>
        <w:topLinePunct w:val="0"/>
        <w:autoSpaceDE/>
        <w:autoSpaceDN/>
        <w:bidi w:val="0"/>
        <w:spacing w:line="520" w:lineRule="exact"/>
        <w:ind w:right="0" w:rightChars="0"/>
        <w:jc w:val="center"/>
        <w:textAlignment w:val="auto"/>
        <w:outlineLvl w:val="0"/>
        <w:rPr>
          <w:rFonts w:ascii="宋体" w:hAnsi="宋体"/>
          <w:b/>
          <w:bCs/>
          <w:sz w:val="30"/>
          <w:szCs w:val="30"/>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21</w:t>
      </w:r>
      <w:r>
        <w:rPr>
          <w:rFonts w:hint="eastAsia" w:ascii="宋体" w:hAnsi="宋体" w:eastAsia="宋体" w:cs="宋体"/>
          <w:sz w:val="24"/>
          <w:szCs w:val="24"/>
        </w:rPr>
        <w:t>日</w:t>
      </w:r>
    </w:p>
    <w:p>
      <w:pPr>
        <w:pStyle w:val="28"/>
        <w:spacing w:line="360" w:lineRule="auto"/>
        <w:jc w:val="center"/>
        <w:rPr>
          <w:rFonts w:hint="eastAsia" w:hAnsi="宋体"/>
          <w:b/>
          <w:sz w:val="36"/>
        </w:rPr>
      </w:pPr>
    </w:p>
    <w:p>
      <w:pPr>
        <w:pStyle w:val="28"/>
        <w:spacing w:line="360" w:lineRule="auto"/>
        <w:jc w:val="center"/>
        <w:rPr>
          <w:rFonts w:hint="eastAsia" w:hAnsi="宋体"/>
          <w:b/>
          <w:sz w:val="36"/>
        </w:rPr>
      </w:pPr>
    </w:p>
    <w:p>
      <w:pPr>
        <w:pStyle w:val="28"/>
        <w:spacing w:line="360" w:lineRule="auto"/>
        <w:jc w:val="center"/>
        <w:rPr>
          <w:rFonts w:hint="eastAsia" w:hAnsi="宋体"/>
          <w:b/>
          <w:sz w:val="36"/>
        </w:rPr>
      </w:pPr>
    </w:p>
    <w:p>
      <w:pPr>
        <w:pStyle w:val="28"/>
        <w:spacing w:line="360" w:lineRule="auto"/>
        <w:jc w:val="center"/>
        <w:rPr>
          <w:rFonts w:hint="eastAsia" w:hAnsi="宋体"/>
          <w:b/>
          <w:sz w:val="36"/>
        </w:rPr>
      </w:pPr>
    </w:p>
    <w:p>
      <w:pPr>
        <w:pStyle w:val="28"/>
        <w:spacing w:line="360" w:lineRule="auto"/>
        <w:jc w:val="center"/>
        <w:rPr>
          <w:rFonts w:hint="eastAsia" w:hAnsi="宋体"/>
          <w:b/>
          <w:sz w:val="36"/>
        </w:rPr>
      </w:pPr>
    </w:p>
    <w:p>
      <w:pPr>
        <w:pStyle w:val="28"/>
        <w:spacing w:line="360" w:lineRule="auto"/>
        <w:jc w:val="center"/>
        <w:rPr>
          <w:rFonts w:hint="eastAsia" w:hAnsi="宋体"/>
          <w:b/>
          <w:sz w:val="36"/>
        </w:rPr>
      </w:pPr>
    </w:p>
    <w:p>
      <w:pPr>
        <w:pStyle w:val="28"/>
        <w:spacing w:line="360" w:lineRule="auto"/>
        <w:jc w:val="center"/>
        <w:rPr>
          <w:rFonts w:hint="eastAsia" w:hAnsi="宋体"/>
          <w:b/>
          <w:sz w:val="36"/>
        </w:rPr>
      </w:pPr>
    </w:p>
    <w:p>
      <w:pPr>
        <w:pStyle w:val="28"/>
        <w:spacing w:line="360" w:lineRule="auto"/>
        <w:jc w:val="center"/>
        <w:rPr>
          <w:rFonts w:hint="eastAsia" w:hAnsi="宋体"/>
          <w:b/>
          <w:sz w:val="36"/>
        </w:rPr>
      </w:pPr>
    </w:p>
    <w:p>
      <w:pPr>
        <w:pStyle w:val="28"/>
        <w:spacing w:line="360" w:lineRule="auto"/>
        <w:jc w:val="center"/>
        <w:rPr>
          <w:rFonts w:hint="eastAsia" w:hAnsi="宋体"/>
          <w:b/>
          <w:sz w:val="36"/>
        </w:rPr>
      </w:pPr>
    </w:p>
    <w:p>
      <w:pPr>
        <w:pStyle w:val="28"/>
        <w:spacing w:line="360" w:lineRule="auto"/>
        <w:jc w:val="center"/>
        <w:rPr>
          <w:rFonts w:hint="eastAsia" w:hAnsi="宋体"/>
          <w:b/>
          <w:sz w:val="36"/>
        </w:rPr>
      </w:pPr>
    </w:p>
    <w:p>
      <w:pPr>
        <w:pStyle w:val="28"/>
        <w:spacing w:line="360" w:lineRule="auto"/>
        <w:jc w:val="center"/>
        <w:rPr>
          <w:rFonts w:hint="eastAsia" w:hAnsi="宋体"/>
          <w:b/>
          <w:sz w:val="36"/>
        </w:rPr>
      </w:pPr>
    </w:p>
    <w:p>
      <w:pPr>
        <w:pStyle w:val="28"/>
        <w:spacing w:line="360" w:lineRule="auto"/>
        <w:jc w:val="center"/>
        <w:rPr>
          <w:rFonts w:hint="eastAsia" w:hAnsi="宋体"/>
          <w:b/>
          <w:sz w:val="36"/>
        </w:rPr>
      </w:pPr>
    </w:p>
    <w:p>
      <w:pPr>
        <w:pStyle w:val="28"/>
        <w:spacing w:line="360" w:lineRule="auto"/>
        <w:jc w:val="center"/>
        <w:rPr>
          <w:rFonts w:hint="eastAsia" w:hAnsi="宋体"/>
          <w:b/>
          <w:sz w:val="36"/>
        </w:rPr>
      </w:pPr>
    </w:p>
    <w:p>
      <w:pPr>
        <w:pStyle w:val="28"/>
        <w:spacing w:line="360" w:lineRule="auto"/>
        <w:jc w:val="center"/>
        <w:rPr>
          <w:rFonts w:hint="eastAsia" w:hAnsi="宋体"/>
          <w:b/>
          <w:sz w:val="36"/>
        </w:rPr>
      </w:pPr>
    </w:p>
    <w:p>
      <w:pPr>
        <w:pStyle w:val="28"/>
        <w:spacing w:line="360" w:lineRule="auto"/>
        <w:jc w:val="center"/>
        <w:rPr>
          <w:rFonts w:hint="eastAsia" w:hAnsi="宋体"/>
          <w:b/>
          <w:sz w:val="36"/>
        </w:rPr>
      </w:pPr>
    </w:p>
    <w:p>
      <w:pPr>
        <w:pStyle w:val="28"/>
        <w:spacing w:line="360" w:lineRule="auto"/>
        <w:jc w:val="center"/>
        <w:rPr>
          <w:rFonts w:hAnsi="宋体"/>
          <w:b/>
          <w:bCs/>
          <w:sz w:val="30"/>
          <w:szCs w:val="30"/>
        </w:rPr>
      </w:pPr>
      <w:r>
        <w:rPr>
          <w:rFonts w:hint="eastAsia" w:hAnsi="宋体"/>
          <w:b/>
          <w:sz w:val="36"/>
        </w:rPr>
        <w:t>第二章  谈判供应商须知</w:t>
      </w:r>
    </w:p>
    <w:p>
      <w:pPr>
        <w:spacing w:line="400" w:lineRule="exact"/>
        <w:jc w:val="center"/>
        <w:rPr>
          <w:rFonts w:ascii="宋体" w:hAnsi="宋体"/>
          <w:b/>
          <w:bCs/>
          <w:sz w:val="32"/>
        </w:rPr>
      </w:pPr>
      <w:r>
        <w:rPr>
          <w:rFonts w:hint="eastAsia" w:ascii="宋体" w:hAnsi="宋体"/>
          <w:b/>
          <w:bCs/>
          <w:sz w:val="24"/>
        </w:rPr>
        <w:t>谈判供应商须知前附表1</w:t>
      </w:r>
    </w:p>
    <w:p>
      <w:pPr>
        <w:spacing w:line="400" w:lineRule="exact"/>
        <w:ind w:firstLine="525"/>
        <w:rPr>
          <w:rFonts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spacing w:line="400" w:lineRule="exact"/>
        <w:ind w:firstLine="525"/>
        <w:rPr>
          <w:rFonts w:ascii="宋体" w:hAnsi="宋体"/>
          <w:sz w:val="24"/>
        </w:rPr>
      </w:pPr>
    </w:p>
    <w:tbl>
      <w:tblPr>
        <w:tblStyle w:val="18"/>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pStyle w:val="10"/>
              <w:numPr>
                <w:ilvl w:val="0"/>
                <w:numId w:val="0"/>
              </w:numPr>
              <w:spacing w:line="440" w:lineRule="exact"/>
              <w:rPr>
                <w:rFonts w:hint="eastAsia" w:asciiTheme="minorEastAsia" w:hAnsiTheme="minorEastAsia" w:cstheme="minorEastAsia"/>
                <w:b/>
                <w:color w:val="000000"/>
                <w:sz w:val="28"/>
                <w:szCs w:val="28"/>
              </w:rPr>
            </w:pPr>
            <w:r>
              <w:rPr>
                <w:rFonts w:hint="eastAsia" w:ascii="宋体" w:hAnsi="宋体"/>
                <w:sz w:val="24"/>
              </w:rPr>
              <w:t>项目名称：</w:t>
            </w:r>
            <w:r>
              <w:rPr>
                <w:rFonts w:hint="eastAsia" w:asciiTheme="minorEastAsia" w:hAnsiTheme="minorEastAsia" w:cstheme="minorEastAsia"/>
                <w:b/>
                <w:color w:val="000000"/>
                <w:sz w:val="28"/>
                <w:szCs w:val="28"/>
                <w:lang w:eastAsia="zh-CN"/>
              </w:rPr>
              <w:t>铜仁市南岳清水湾幼儿园-室内装修项目</w:t>
            </w:r>
          </w:p>
          <w:p>
            <w:pPr>
              <w:spacing w:line="400" w:lineRule="exact"/>
              <w:rPr>
                <w:rFonts w:ascii="宋体" w:hAnsi="宋体"/>
                <w:sz w:val="24"/>
              </w:rPr>
            </w:pPr>
            <w:r>
              <w:rPr>
                <w:rFonts w:hint="eastAsia" w:ascii="宋体" w:hAnsi="宋体"/>
                <w:sz w:val="24"/>
              </w:rPr>
              <w:t xml:space="preserve">采购人名称： </w:t>
            </w:r>
            <w:r>
              <w:rPr>
                <w:rFonts w:hint="eastAsia" w:ascii="宋体" w:hAnsi="宋体"/>
                <w:sz w:val="24"/>
                <w:u w:val="single"/>
              </w:rPr>
              <w:t xml:space="preserve"> </w:t>
            </w:r>
            <w:r>
              <w:rPr>
                <w:rFonts w:hint="eastAsia" w:ascii="宋体" w:hAnsi="宋体"/>
                <w:sz w:val="24"/>
                <w:u w:val="single"/>
                <w:lang w:eastAsia="zh-CN"/>
              </w:rPr>
              <w:t>铜仁市碧江区教育局</w:t>
            </w:r>
            <w:r>
              <w:rPr>
                <w:rFonts w:hint="eastAsia" w:ascii="宋体" w:hAnsi="宋体"/>
                <w:sz w:val="24"/>
                <w:u w:val="single"/>
              </w:rPr>
              <w:t xml:space="preserve"> </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采购人地址： </w:t>
            </w:r>
            <w:r>
              <w:rPr>
                <w:rFonts w:hint="eastAsia" w:ascii="宋体" w:hAnsi="宋体"/>
                <w:sz w:val="24"/>
                <w:u w:val="single"/>
              </w:rPr>
              <w:t xml:space="preserve"> </w:t>
            </w:r>
            <w:r>
              <w:rPr>
                <w:rFonts w:hint="eastAsia" w:ascii="宋体" w:hAnsi="宋体"/>
                <w:sz w:val="24"/>
                <w:u w:val="single"/>
                <w:lang w:eastAsia="zh-CN"/>
              </w:rPr>
              <w:t>铜仁市碧江区教育局</w:t>
            </w:r>
            <w:r>
              <w:rPr>
                <w:rFonts w:hint="eastAsia" w:ascii="宋体" w:hAnsi="宋体"/>
                <w:sz w:val="24"/>
                <w:u w:val="single"/>
              </w:rPr>
              <w:t xml:space="preserve"> </w:t>
            </w:r>
          </w:p>
          <w:p>
            <w:pPr>
              <w:pStyle w:val="10"/>
              <w:numPr>
                <w:ilvl w:val="0"/>
                <w:numId w:val="0"/>
              </w:numPr>
              <w:spacing w:line="440" w:lineRule="exact"/>
              <w:rPr>
                <w:rFonts w:hint="eastAsia" w:asciiTheme="minorEastAsia" w:hAnsiTheme="minorEastAsia" w:cstheme="minorEastAsia"/>
                <w:b/>
                <w:color w:val="000000"/>
                <w:sz w:val="28"/>
                <w:szCs w:val="28"/>
              </w:rPr>
            </w:pPr>
            <w:r>
              <w:rPr>
                <w:rFonts w:hint="eastAsia" w:ascii="宋体" w:hAnsi="宋体"/>
                <w:sz w:val="24"/>
              </w:rPr>
              <w:t>项目内容：</w:t>
            </w:r>
            <w:r>
              <w:rPr>
                <w:rFonts w:hint="eastAsia" w:asciiTheme="minorEastAsia" w:hAnsiTheme="minorEastAsia" w:cstheme="minorEastAsia"/>
                <w:b/>
                <w:color w:val="000000"/>
                <w:sz w:val="28"/>
                <w:szCs w:val="28"/>
                <w:lang w:eastAsia="zh-CN"/>
              </w:rPr>
              <w:t>铜仁市南岳清水湾幼儿园-室内装修项目</w:t>
            </w:r>
          </w:p>
          <w:p>
            <w:pPr>
              <w:spacing w:line="400" w:lineRule="exact"/>
              <w:rPr>
                <w:rFonts w:ascii="宋体" w:hAnsi="宋体"/>
                <w:sz w:val="24"/>
                <w:u w:val="single"/>
              </w:rPr>
            </w:pPr>
            <w:r>
              <w:rPr>
                <w:rFonts w:hint="eastAsia" w:ascii="宋体" w:hAnsi="宋体"/>
                <w:sz w:val="24"/>
              </w:rPr>
              <w:t xml:space="preserve">项目编号： </w:t>
            </w:r>
            <w:r>
              <w:rPr>
                <w:rFonts w:hint="eastAsia" w:ascii="宋体" w:hAnsi="宋体"/>
                <w:sz w:val="24"/>
                <w:lang w:eastAsia="zh-CN"/>
              </w:rPr>
              <w:t>TRZFCG-202</w:t>
            </w:r>
            <w:r>
              <w:rPr>
                <w:rFonts w:hint="eastAsia" w:ascii="宋体" w:hAnsi="宋体"/>
                <w:sz w:val="24"/>
                <w:lang w:val="en-US" w:eastAsia="zh-CN"/>
              </w:rPr>
              <w:t>1</w:t>
            </w:r>
            <w:r>
              <w:rPr>
                <w:rFonts w:hint="eastAsia" w:ascii="宋体" w:hAnsi="宋体"/>
                <w:sz w:val="24"/>
                <w:lang w:eastAsia="zh-CN"/>
              </w:rPr>
              <w:t>-048</w:t>
            </w:r>
          </w:p>
          <w:p>
            <w:pPr>
              <w:spacing w:line="400" w:lineRule="exact"/>
              <w:rPr>
                <w:rFonts w:ascii="宋体" w:hAnsi="宋体"/>
                <w:sz w:val="24"/>
                <w:u w:val="single"/>
              </w:rPr>
            </w:pPr>
            <w:r>
              <w:rPr>
                <w:rFonts w:hint="eastAsia" w:ascii="Arial" w:hAnsi="Arial" w:cs="Arial"/>
                <w:sz w:val="24"/>
              </w:rPr>
              <w:t>财政审核控制价（预算价）：</w:t>
            </w:r>
            <w:r>
              <w:rPr>
                <w:rFonts w:hint="eastAsia" w:ascii="宋体" w:hAnsi="宋体"/>
                <w:color w:val="000000"/>
                <w:sz w:val="24"/>
                <w:lang w:val="en-US" w:eastAsia="zh-CN"/>
              </w:rPr>
              <w:t>197.7万元（最高限价：197.7万元）</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ascii="Arial" w:hAnsi="Arial" w:cs="Arial"/>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资格标准：</w:t>
            </w:r>
          </w:p>
          <w:p>
            <w:pPr>
              <w:spacing w:line="400" w:lineRule="exact"/>
              <w:rPr>
                <w:rFonts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w:t>
            </w:r>
            <w:r>
              <w:rPr>
                <w:rFonts w:hint="eastAsia" w:ascii="宋体" w:hAnsi="宋体"/>
                <w:sz w:val="24"/>
                <w:lang w:eastAsia="zh-CN"/>
              </w:rPr>
              <w:t>四</w:t>
            </w:r>
            <w:r>
              <w:rPr>
                <w:rFonts w:hint="eastAsia" w:ascii="宋体" w:hAnsi="宋体"/>
                <w:sz w:val="24"/>
              </w:rPr>
              <w:t>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响应文件递交地址：</w:t>
            </w:r>
            <w:r>
              <w:rPr>
                <w:rFonts w:hint="eastAsia" w:hAnsi="宋体"/>
                <w:color w:val="000000"/>
                <w:sz w:val="24"/>
                <w:szCs w:val="24"/>
              </w:rPr>
              <w:t>铜仁市公共资源交易中心</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cs="Arial"/>
                <w:sz w:val="24"/>
              </w:rPr>
            </w:pPr>
            <w:r>
              <w:rPr>
                <w:rFonts w:ascii="Arial" w:cs="Arial"/>
                <w:sz w:val="24"/>
              </w:rPr>
              <w:t>谈判保证金：响应文件应附有人民币</w:t>
            </w:r>
            <w:r>
              <w:rPr>
                <w:rFonts w:hint="eastAsia" w:ascii="Arial" w:cs="Arial"/>
                <w:sz w:val="24"/>
              </w:rPr>
              <w:t>：</w:t>
            </w:r>
            <w:r>
              <w:rPr>
                <w:rFonts w:hint="eastAsia" w:ascii="Arial" w:cs="Arial"/>
                <w:b/>
                <w:bCs/>
                <w:sz w:val="24"/>
                <w:lang w:val="en-US" w:eastAsia="zh-CN"/>
              </w:rPr>
              <w:t>3万</w:t>
            </w:r>
            <w:r>
              <w:rPr>
                <w:rFonts w:hint="eastAsia" w:hAnsi="宋体"/>
                <w:b/>
                <w:bCs/>
                <w:color w:val="000000"/>
                <w:sz w:val="24"/>
                <w:szCs w:val="24"/>
              </w:rPr>
              <w:t>元</w:t>
            </w:r>
            <w:r>
              <w:rPr>
                <w:rFonts w:ascii="Arial" w:cs="Arial"/>
                <w:sz w:val="24"/>
              </w:rPr>
              <w:t>整</w:t>
            </w:r>
            <w:r>
              <w:rPr>
                <w:rFonts w:hint="eastAsia" w:hAnsi="宋体"/>
                <w:b/>
                <w:bCs/>
                <w:color w:val="000000"/>
                <w:sz w:val="24"/>
                <w:szCs w:val="24"/>
              </w:rPr>
              <w:t>人民币</w:t>
            </w:r>
            <w:r>
              <w:rPr>
                <w:rFonts w:ascii="Arial" w:cs="Arial"/>
                <w:sz w:val="24"/>
              </w:rPr>
              <w:t>的谈判保证金，</w:t>
            </w:r>
            <w:r>
              <w:rPr>
                <w:rFonts w:hint="eastAsia" w:ascii="Arial" w:hAnsi="Arial" w:cs="Arial"/>
                <w:sz w:val="24"/>
              </w:rPr>
              <w:t>保证金必须从供应商账户支付且在响应文件提交截止时间前到账，</w:t>
            </w:r>
            <w:r>
              <w:rPr>
                <w:rFonts w:ascii="Arial" w:cs="Arial"/>
                <w:sz w:val="24"/>
              </w:rPr>
              <w:t>为方便谈判保证金的收、退结算，请在</w:t>
            </w:r>
            <w:r>
              <w:rPr>
                <w:rFonts w:hint="eastAsia" w:ascii="Arial" w:cs="Arial"/>
                <w:sz w:val="24"/>
              </w:rPr>
              <w:t>网上</w:t>
            </w:r>
            <w:r>
              <w:rPr>
                <w:rFonts w:ascii="Arial" w:cs="Arial"/>
                <w:sz w:val="24"/>
              </w:rPr>
              <w:t>汇款凭证上标注项目</w:t>
            </w:r>
            <w:r>
              <w:rPr>
                <w:rFonts w:hint="eastAsia" w:ascii="Arial" w:cs="Arial"/>
                <w:sz w:val="24"/>
              </w:rPr>
              <w:t>随机码</w:t>
            </w:r>
            <w:r>
              <w:rPr>
                <w:rFonts w:ascii="Arial" w:cs="Arial"/>
                <w:sz w:val="24"/>
              </w:rPr>
              <w:t>，谈判保证金缴交凭证请随同响应文件同时送达。</w:t>
            </w:r>
            <w:r>
              <w:rPr>
                <w:rFonts w:hint="eastAsia" w:ascii="Arial" w:hAnsi="Arial" w:cs="Arial"/>
                <w:sz w:val="24"/>
              </w:rPr>
              <w:t>（保证金不得超过采购项目预算金额的2%）</w:t>
            </w:r>
            <w:r>
              <w:rPr>
                <w:rFonts w:ascii="Arial" w:hAnsi="Arial" w:cs="Arial"/>
                <w:sz w:val="24"/>
              </w:rPr>
              <w:t xml:space="preserve">        </w:t>
            </w:r>
          </w:p>
          <w:p>
            <w:pPr>
              <w:spacing w:line="400" w:lineRule="exact"/>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u w:val="single"/>
              </w:rPr>
            </w:pPr>
            <w:r>
              <w:rPr>
                <w:rFonts w:hint="eastAsia" w:ascii="宋体" w:hAnsi="宋体"/>
                <w:sz w:val="24"/>
                <w:u w:val="single"/>
              </w:rPr>
              <w:t>谈判规则、评审标准：最低评标价法</w:t>
            </w:r>
          </w:p>
          <w:p>
            <w:pPr>
              <w:spacing w:line="400" w:lineRule="exact"/>
              <w:rPr>
                <w:rFonts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宋体" w:hAnsi="宋体"/>
                <w:sz w:val="24"/>
              </w:rPr>
              <w:t>谈判代理服务费标准及收取方式：</w:t>
            </w:r>
            <w:r>
              <w:rPr>
                <w:rFonts w:hint="eastAsia" w:ascii="宋体" w:hAnsi="宋体"/>
                <w:sz w:val="24"/>
                <w:u w:val="single"/>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 w:val="24"/>
              </w:rPr>
            </w:pPr>
            <w:r>
              <w:rPr>
                <w:rFonts w:hint="eastAsia" w:ascii="仿宋_GB2312" w:hAnsi="仿宋_GB2312" w:eastAsia="仿宋_GB2312" w:cs="仿宋_GB2312"/>
                <w:b/>
                <w:bCs/>
                <w:sz w:val="24"/>
                <w:szCs w:val="24"/>
              </w:rPr>
              <w:t>招标代理服务费：本中心不收取服务费</w:t>
            </w:r>
          </w:p>
        </w:tc>
      </w:tr>
    </w:tbl>
    <w:p>
      <w:pPr>
        <w:spacing w:line="400" w:lineRule="exact"/>
        <w:jc w:val="center"/>
        <w:rPr>
          <w:rFonts w:hint="eastAsia" w:ascii="宋体" w:hAnsi="宋体"/>
          <w:b/>
          <w:bCs/>
          <w:sz w:val="24"/>
        </w:rPr>
      </w:pPr>
      <w:r>
        <w:rPr>
          <w:rFonts w:hint="eastAsia" w:ascii="宋体" w:hAnsi="宋体"/>
          <w:b/>
          <w:bCs/>
          <w:sz w:val="24"/>
        </w:rPr>
        <w:br w:type="page"/>
      </w:r>
    </w:p>
    <w:p>
      <w:pPr>
        <w:spacing w:line="400" w:lineRule="exact"/>
        <w:jc w:val="center"/>
        <w:rPr>
          <w:rFonts w:ascii="宋体" w:hAnsi="宋体"/>
          <w:b/>
          <w:bCs/>
          <w:sz w:val="32"/>
          <w:u w:val="single"/>
        </w:rPr>
      </w:pPr>
      <w:r>
        <w:rPr>
          <w:rFonts w:hint="eastAsia" w:ascii="宋体" w:hAnsi="宋体"/>
          <w:b/>
          <w:bCs/>
          <w:sz w:val="24"/>
          <w:u w:val="single"/>
        </w:rPr>
        <w:t>谈判供应商须知前附表2:资格性、符合性检查表</w:t>
      </w:r>
    </w:p>
    <w:p>
      <w:pPr>
        <w:spacing w:line="400" w:lineRule="exact"/>
        <w:ind w:firstLine="495"/>
        <w:rPr>
          <w:rFonts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697"/>
        <w:gridCol w:w="6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rPr>
                <w:rFonts w:ascii="宋体" w:hAnsi="宋体"/>
                <w:b/>
                <w:sz w:val="24"/>
              </w:rPr>
            </w:pPr>
          </w:p>
          <w:p>
            <w:pPr>
              <w:spacing w:line="400" w:lineRule="exact"/>
              <w:jc w:val="center"/>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6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688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合格的谈判供应商</w:t>
            </w:r>
          </w:p>
          <w:p>
            <w:pPr>
              <w:spacing w:line="400" w:lineRule="exact"/>
              <w:rPr>
                <w:rFonts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6889"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eastAsiaTheme="minorEastAsia"/>
                <w:sz w:val="24"/>
                <w:lang w:eastAsia="zh-CN"/>
              </w:rPr>
            </w:pPr>
            <w:r>
              <w:rPr>
                <w:rFonts w:hint="eastAsia" w:ascii="宋体" w:hAnsi="宋体"/>
                <w:sz w:val="24"/>
              </w:rPr>
              <w:t>谈判代表若不是法定代表人，则必须提供法定代表人对谈判代表的授权书原件及谈判代表的身份证</w:t>
            </w:r>
            <w:r>
              <w:rPr>
                <w:rFonts w:hint="eastAsia" w:ascii="宋体" w:hAnsi="宋体"/>
                <w:sz w:val="24"/>
                <w:lang w:eastAsia="zh-CN"/>
              </w:rPr>
              <w:t>原</w:t>
            </w:r>
            <w:r>
              <w:rPr>
                <w:rFonts w:hint="eastAsia" w:ascii="宋体" w:hAnsi="宋体"/>
                <w:sz w:val="24"/>
              </w:rPr>
              <w:t>件</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二</w:t>
            </w:r>
          </w:p>
        </w:tc>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3.1</w:t>
            </w:r>
          </w:p>
        </w:tc>
        <w:tc>
          <w:tcPr>
            <w:tcW w:w="6889" w:type="dxa"/>
            <w:tcBorders>
              <w:top w:val="single" w:color="auto" w:sz="4" w:space="0"/>
              <w:left w:val="single" w:color="auto" w:sz="4" w:space="0"/>
              <w:bottom w:val="single" w:color="auto" w:sz="4" w:space="0"/>
              <w:right w:val="single" w:color="auto" w:sz="4" w:space="0"/>
            </w:tcBorders>
          </w:tcPr>
          <w:p>
            <w:pPr>
              <w:pStyle w:val="29"/>
              <w:spacing w:line="400" w:lineRule="exact"/>
            </w:pPr>
            <w:r>
              <w:t>参加政府采购活动的</w:t>
            </w:r>
            <w:r>
              <w:rPr>
                <w:rFonts w:hint="eastAsia"/>
              </w:rPr>
              <w:t>谈判供应商</w:t>
            </w:r>
            <w:r>
              <w:t>应当</w:t>
            </w:r>
            <w:r>
              <w:rPr>
                <w:rFonts w:hint="eastAsia"/>
              </w:rPr>
              <w:t>符合</w:t>
            </w:r>
            <w:r>
              <w:t>《中华人民共和国政府采购法》第二十二条第一款规定：</w:t>
            </w:r>
          </w:p>
          <w:p>
            <w:pPr>
              <w:spacing w:line="400" w:lineRule="exact"/>
              <w:rPr>
                <w:rFonts w:ascii="宋体" w:hAnsi="宋体" w:cs="宋体"/>
                <w:sz w:val="24"/>
                <w:szCs w:val="24"/>
              </w:rPr>
            </w:pP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(一)具有独立承担民事责任的能力；</w:t>
            </w:r>
          </w:p>
          <w:p>
            <w:pPr>
              <w:spacing w:line="400" w:lineRule="exact"/>
              <w:rPr>
                <w:rFonts w:ascii="宋体" w:hAnsi="宋体" w:cs="宋体"/>
                <w:sz w:val="24"/>
                <w:szCs w:val="24"/>
              </w:rPr>
            </w:pPr>
            <w:r>
              <w:rPr>
                <w:rFonts w:hint="eastAsia" w:ascii="宋体" w:hAnsi="宋体" w:cs="宋体"/>
                <w:sz w:val="24"/>
                <w:szCs w:val="24"/>
              </w:rPr>
              <w:t>　　(二)具有良好的商业信誉和健全的财务会计制度；</w:t>
            </w:r>
          </w:p>
          <w:p>
            <w:pPr>
              <w:spacing w:line="400" w:lineRule="exact"/>
              <w:rPr>
                <w:rFonts w:ascii="宋体" w:hAnsi="宋体" w:cs="宋体"/>
                <w:sz w:val="24"/>
                <w:szCs w:val="24"/>
              </w:rPr>
            </w:pPr>
            <w:r>
              <w:rPr>
                <w:rFonts w:hint="eastAsia" w:ascii="宋体" w:hAnsi="宋体" w:cs="宋体"/>
                <w:sz w:val="24"/>
                <w:szCs w:val="24"/>
              </w:rPr>
              <w:t>　　(三)具有履行合同所必需的设备和专业技术能力；</w:t>
            </w:r>
          </w:p>
          <w:p>
            <w:pPr>
              <w:spacing w:line="400" w:lineRule="exact"/>
              <w:rPr>
                <w:rFonts w:ascii="宋体" w:hAnsi="宋体" w:cs="宋体"/>
                <w:sz w:val="24"/>
                <w:szCs w:val="24"/>
              </w:rPr>
            </w:pPr>
            <w:r>
              <w:rPr>
                <w:rFonts w:hint="eastAsia" w:ascii="宋体" w:hAnsi="宋体" w:cs="宋体"/>
                <w:sz w:val="24"/>
                <w:szCs w:val="24"/>
              </w:rPr>
              <w:t>　　(四)有依法缴纳税收和社会保障资金的良好记录；</w:t>
            </w:r>
          </w:p>
          <w:p>
            <w:pPr>
              <w:spacing w:line="400" w:lineRule="exact"/>
              <w:rPr>
                <w:rFonts w:ascii="宋体" w:hAnsi="宋体" w:cs="宋体"/>
                <w:sz w:val="24"/>
                <w:szCs w:val="24"/>
              </w:rPr>
            </w:pPr>
            <w:r>
              <w:rPr>
                <w:rFonts w:hint="eastAsia" w:ascii="宋体" w:hAnsi="宋体" w:cs="宋体"/>
                <w:sz w:val="24"/>
                <w:szCs w:val="24"/>
              </w:rPr>
              <w:t>　　(五)参加政府采购活动前三年内，在经营活动中没有重大违法记录；</w:t>
            </w:r>
          </w:p>
          <w:p>
            <w:pPr>
              <w:pStyle w:val="10"/>
              <w:ind w:firstLine="480" w:firstLineChars="200"/>
              <w:rPr>
                <w:rFonts w:hint="eastAsia" w:ascii="宋体" w:hAnsi="宋体" w:cs="宋体"/>
                <w:sz w:val="24"/>
                <w:szCs w:val="24"/>
              </w:rPr>
            </w:pPr>
            <w:r>
              <w:rPr>
                <w:rFonts w:hint="eastAsia" w:ascii="宋体" w:hAnsi="宋体" w:cs="宋体"/>
                <w:sz w:val="24"/>
                <w:szCs w:val="24"/>
              </w:rPr>
              <w:t>(六)法律、行政法规规定的其他条件。</w:t>
            </w:r>
          </w:p>
          <w:p>
            <w:pPr>
              <w:pStyle w:val="10"/>
              <w:ind w:firstLine="480" w:firstLineChars="200"/>
              <w:rPr>
                <w:rFonts w:hint="eastAsia" w:ascii="宋体" w:hAnsi="宋体" w:cs="宋体"/>
                <w:sz w:val="24"/>
                <w:szCs w:val="24"/>
                <w:lang w:val="en-US" w:eastAsia="zh-CN"/>
              </w:rPr>
            </w:pPr>
            <w:r>
              <w:rPr>
                <w:rFonts w:hint="eastAsia" w:ascii="宋体" w:hAnsi="宋体" w:cs="宋体"/>
                <w:sz w:val="24"/>
                <w:szCs w:val="24"/>
              </w:rPr>
              <w:t>(</w:t>
            </w:r>
            <w:r>
              <w:rPr>
                <w:rFonts w:hint="eastAsia" w:hAnsi="宋体" w:cs="宋体"/>
                <w:sz w:val="24"/>
                <w:szCs w:val="24"/>
                <w:lang w:eastAsia="zh-CN"/>
              </w:rPr>
              <w:t>七</w:t>
            </w:r>
            <w:bookmarkStart w:id="347" w:name="_GoBack"/>
            <w:bookmarkEnd w:id="347"/>
            <w:r>
              <w:rPr>
                <w:rFonts w:hint="eastAsia" w:ascii="宋体" w:hAnsi="宋体" w:cs="宋体"/>
                <w:sz w:val="24"/>
                <w:szCs w:val="24"/>
              </w:rPr>
              <w:t>)</w:t>
            </w:r>
            <w:r>
              <w:rPr>
                <w:rFonts w:hint="eastAsia" w:ascii="宋体" w:hAnsi="宋体" w:cs="宋体"/>
                <w:sz w:val="24"/>
                <w:szCs w:val="24"/>
                <w:lang w:val="en-US" w:eastAsia="zh-CN"/>
              </w:rPr>
              <w:t>特殊要求：建筑总承</w:t>
            </w:r>
            <w:r>
              <w:rPr>
                <w:rFonts w:hint="eastAsia" w:ascii="宋体" w:hAnsi="宋体" w:cs="宋体"/>
                <w:sz w:val="24"/>
                <w:szCs w:val="24"/>
                <w:lang w:eastAsia="zh-CN"/>
              </w:rPr>
              <w:t>包二级及以上资质并同时具备装修资质；人员配置：需配备项目负责人，具备二级建造师和工程师及以上资格。</w:t>
            </w:r>
          </w:p>
          <w:p>
            <w:pPr>
              <w:spacing w:line="400" w:lineRule="exact"/>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69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w:t>
            </w:r>
          </w:p>
        </w:tc>
        <w:tc>
          <w:tcPr>
            <w:tcW w:w="6889" w:type="dxa"/>
            <w:tcBorders>
              <w:top w:val="single" w:color="auto" w:sz="4" w:space="0"/>
              <w:left w:val="single" w:color="auto" w:sz="4" w:space="0"/>
              <w:bottom w:val="single" w:color="auto" w:sz="4" w:space="0"/>
              <w:right w:val="single" w:color="auto" w:sz="4" w:space="0"/>
            </w:tcBorders>
          </w:tcPr>
          <w:p>
            <w:pPr>
              <w:pStyle w:val="17"/>
              <w:shd w:val="clear" w:color="auto" w:fill="FFFFFF"/>
              <w:spacing w:before="0" w:beforeAutospacing="0" w:after="0" w:afterAutospacing="0" w:line="400" w:lineRule="exact"/>
              <w:ind w:firstLine="468" w:firstLineChars="195"/>
              <w:rPr>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b/>
                <w:sz w:val="24"/>
              </w:rPr>
            </w:pPr>
          </w:p>
          <w:p>
            <w:pPr>
              <w:spacing w:line="400" w:lineRule="exact"/>
              <w:jc w:val="center"/>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章</w:t>
            </w:r>
          </w:p>
        </w:tc>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条款号</w:t>
            </w:r>
          </w:p>
        </w:tc>
        <w:tc>
          <w:tcPr>
            <w:tcW w:w="6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一</w:t>
            </w:r>
          </w:p>
        </w:tc>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688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3.8</w:t>
            </w:r>
          </w:p>
        </w:tc>
        <w:tc>
          <w:tcPr>
            <w:tcW w:w="688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szCs w:val="24"/>
              </w:rPr>
            </w:pPr>
            <w:r>
              <w:rPr>
                <w:rFonts w:hint="eastAsia" w:ascii="宋体" w:hAnsi="宋体"/>
                <w:sz w:val="24"/>
                <w:szCs w:val="24"/>
              </w:rPr>
              <w:t>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hAnsi="宋体"/>
                <w:sz w:val="24"/>
                <w:szCs w:val="24"/>
              </w:rPr>
            </w:pPr>
            <w:r>
              <w:rPr>
                <w:rFonts w:hint="eastAsia" w:hAnsi="宋体"/>
                <w:sz w:val="24"/>
                <w:szCs w:val="24"/>
              </w:rPr>
              <w:t>（15）有关法律、法规或规章规定的其他串通行为。</w:t>
            </w:r>
          </w:p>
          <w:p>
            <w:pPr>
              <w:spacing w:line="400" w:lineRule="exact"/>
              <w:ind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11.1</w:t>
            </w:r>
          </w:p>
        </w:tc>
        <w:tc>
          <w:tcPr>
            <w:tcW w:w="688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 w:val="24"/>
              </w:rPr>
            </w:pPr>
            <w:r>
              <w:rPr>
                <w:rFonts w:hint="eastAsia" w:ascii="宋体" w:hAnsi="宋体"/>
                <w:sz w:val="24"/>
              </w:rPr>
              <w:t>响应文件有效期：</w:t>
            </w:r>
          </w:p>
          <w:p>
            <w:pPr>
              <w:spacing w:line="400" w:lineRule="exact"/>
              <w:ind w:firstLine="480" w:firstLineChars="200"/>
              <w:rPr>
                <w:rFonts w:ascii="宋体" w:hAnsi="宋体"/>
                <w:sz w:val="24"/>
              </w:rPr>
            </w:pPr>
            <w:r>
              <w:rPr>
                <w:rFonts w:hint="eastAsia" w:ascii="宋体" w:hAnsi="宋体"/>
                <w:sz w:val="24"/>
              </w:rPr>
              <w:t>响应文件提交截止之日起</w:t>
            </w:r>
            <w:r>
              <w:rPr>
                <w:rFonts w:hint="eastAsia" w:ascii="宋体" w:hAnsi="宋体"/>
                <w:sz w:val="24"/>
                <w:u w:val="single"/>
              </w:rPr>
              <w:t xml:space="preserve">30 </w:t>
            </w:r>
            <w:r>
              <w:rPr>
                <w:rFonts w:hint="eastAsia" w:ascii="宋体" w:hAnsi="宋体"/>
                <w:sz w:val="24"/>
              </w:rPr>
              <w:t>个日历日。</w:t>
            </w:r>
          </w:p>
          <w:p>
            <w:pPr>
              <w:spacing w:line="400" w:lineRule="exact"/>
              <w:ind w:firstLine="480" w:firstLineChars="200"/>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12.5</w:t>
            </w:r>
          </w:p>
        </w:tc>
        <w:tc>
          <w:tcPr>
            <w:tcW w:w="6889"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17.3.2</w:t>
            </w:r>
          </w:p>
        </w:tc>
        <w:tc>
          <w:tcPr>
            <w:tcW w:w="6889" w:type="dxa"/>
            <w:tcBorders>
              <w:top w:val="single" w:color="auto" w:sz="4" w:space="0"/>
              <w:left w:val="single" w:color="auto" w:sz="4" w:space="0"/>
              <w:bottom w:val="single" w:color="auto" w:sz="4" w:space="0"/>
              <w:right w:val="single" w:color="auto" w:sz="4" w:space="0"/>
            </w:tcBorders>
          </w:tcPr>
          <w:p>
            <w:pPr>
              <w:spacing w:line="400" w:lineRule="exact"/>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17.3.2</w:t>
            </w:r>
          </w:p>
        </w:tc>
        <w:tc>
          <w:tcPr>
            <w:tcW w:w="6889" w:type="dxa"/>
            <w:tcBorders>
              <w:top w:val="single" w:color="auto" w:sz="4" w:space="0"/>
              <w:left w:val="single" w:color="auto" w:sz="4" w:space="0"/>
              <w:bottom w:val="single" w:color="auto" w:sz="4" w:space="0"/>
              <w:right w:val="single" w:color="auto" w:sz="4" w:space="0"/>
            </w:tcBorders>
          </w:tcPr>
          <w:p>
            <w:pPr>
              <w:spacing w:line="400" w:lineRule="exact"/>
              <w:ind w:left="31" w:leftChars="15" w:firstLine="480" w:firstLineChars="200"/>
              <w:rPr>
                <w:rFonts w:ascii="宋体" w:hAnsi="宋体"/>
                <w:sz w:val="24"/>
              </w:rPr>
            </w:pPr>
            <w:r>
              <w:rPr>
                <w:rFonts w:hint="eastAsia" w:ascii="宋体" w:hAnsi="宋体"/>
                <w:sz w:val="24"/>
              </w:rPr>
              <w:t>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spacing w:line="400" w:lineRule="exact"/>
              <w:ind w:left="69" w:firstLine="480" w:firstLineChars="200"/>
              <w:rPr>
                <w:rFonts w:ascii="宋体" w:hAnsi="宋体"/>
                <w:sz w:val="24"/>
              </w:rPr>
            </w:pPr>
            <w:r>
              <w:rPr>
                <w:rFonts w:hint="eastAsia" w:ascii="宋体" w:hAnsi="宋体"/>
                <w:sz w:val="24"/>
              </w:rPr>
              <w:t>(3)谈判保证金未在谈判响应截止时间前到账的；</w:t>
            </w:r>
          </w:p>
          <w:p>
            <w:pPr>
              <w:spacing w:line="400" w:lineRule="exact"/>
              <w:ind w:left="69" w:firstLine="480" w:firstLineChars="200"/>
              <w:rPr>
                <w:rFonts w:ascii="宋体" w:hAnsi="宋体"/>
                <w:sz w:val="24"/>
              </w:rPr>
            </w:pPr>
            <w:r>
              <w:rPr>
                <w:rFonts w:hint="eastAsia" w:ascii="宋体" w:hAnsi="宋体"/>
                <w:sz w:val="24"/>
              </w:rPr>
              <w:t>(4)响应文件有效期不满足谈判文件要求的；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(5)响应文件内容与采购内容及要求有重大偏离或保留的；</w:t>
            </w:r>
          </w:p>
          <w:p>
            <w:pPr>
              <w:spacing w:line="400" w:lineRule="exact"/>
              <w:ind w:left="69" w:firstLine="480" w:firstLineChars="200"/>
              <w:rPr>
                <w:rFonts w:ascii="宋体" w:hAnsi="宋体"/>
                <w:sz w:val="24"/>
              </w:rPr>
            </w:pPr>
            <w:r>
              <w:rPr>
                <w:rFonts w:hint="eastAsia" w:ascii="宋体" w:hAnsi="宋体"/>
                <w:sz w:val="24"/>
              </w:rPr>
              <w:t>(6)响应供应商提交的是可选择的报价；</w:t>
            </w:r>
          </w:p>
          <w:p>
            <w:pPr>
              <w:spacing w:line="400" w:lineRule="exact"/>
              <w:ind w:left="69" w:firstLine="480" w:firstLineChars="200"/>
              <w:rPr>
                <w:rFonts w:ascii="宋体" w:hAnsi="宋体"/>
                <w:sz w:val="24"/>
              </w:rPr>
            </w:pPr>
            <w:r>
              <w:rPr>
                <w:rFonts w:hint="eastAsia" w:ascii="宋体" w:hAnsi="宋体"/>
                <w:sz w:val="24"/>
              </w:rPr>
              <w:t>(7)响应供应商未按谈判文件要求进行分项报价；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二</w:t>
            </w:r>
          </w:p>
        </w:tc>
        <w:tc>
          <w:tcPr>
            <w:tcW w:w="6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19.2</w:t>
            </w:r>
          </w:p>
        </w:tc>
        <w:tc>
          <w:tcPr>
            <w:tcW w:w="688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69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p>
        </w:tc>
        <w:tc>
          <w:tcPr>
            <w:tcW w:w="6889" w:type="dxa"/>
            <w:tcBorders>
              <w:top w:val="single" w:color="auto" w:sz="4" w:space="0"/>
              <w:left w:val="single" w:color="auto" w:sz="4" w:space="0"/>
              <w:bottom w:val="single" w:color="auto" w:sz="4" w:space="0"/>
              <w:right w:val="single" w:color="auto" w:sz="4" w:space="0"/>
            </w:tcBorders>
          </w:tcPr>
          <w:p>
            <w:pPr>
              <w:tabs>
                <w:tab w:val="left" w:pos="2145"/>
              </w:tabs>
              <w:spacing w:line="400" w:lineRule="exact"/>
              <w:rPr>
                <w:rFonts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三</w:t>
            </w:r>
          </w:p>
        </w:tc>
        <w:tc>
          <w:tcPr>
            <w:tcW w:w="69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 w:val="24"/>
              </w:rPr>
            </w:pPr>
            <w:r>
              <w:rPr>
                <w:rFonts w:hint="eastAsia" w:ascii="宋体" w:hAnsi="宋体"/>
                <w:sz w:val="24"/>
              </w:rPr>
              <w:t>1</w:t>
            </w:r>
          </w:p>
        </w:tc>
        <w:tc>
          <w:tcPr>
            <w:tcW w:w="6889" w:type="dxa"/>
            <w:tcBorders>
              <w:top w:val="single" w:color="auto" w:sz="4" w:space="0"/>
              <w:left w:val="single" w:color="auto" w:sz="4" w:space="0"/>
              <w:bottom w:val="single" w:color="auto" w:sz="4" w:space="0"/>
              <w:right w:val="single" w:color="auto" w:sz="4" w:space="0"/>
            </w:tcBorders>
          </w:tcPr>
          <w:p>
            <w:pPr>
              <w:spacing w:line="400" w:lineRule="exact"/>
              <w:rPr>
                <w:b/>
                <w:sz w:val="24"/>
                <w:szCs w:val="24"/>
              </w:rPr>
            </w:pPr>
            <w:r>
              <w:rPr>
                <w:rFonts w:hint="eastAsia"/>
                <w:b/>
                <w:sz w:val="24"/>
                <w:szCs w:val="24"/>
              </w:rPr>
              <w:t>谈判供应商对关键性条款存在任何负偏离或不满足将导致报价无效。</w:t>
            </w:r>
          </w:p>
        </w:tc>
      </w:tr>
    </w:tbl>
    <w:p>
      <w:pPr>
        <w:spacing w:line="400" w:lineRule="exact"/>
        <w:rPr>
          <w:rFonts w:ascii="宋体" w:hAnsi="宋体"/>
          <w:b/>
          <w:sz w:val="24"/>
          <w:u w:val="single"/>
        </w:rPr>
      </w:pPr>
    </w:p>
    <w:p>
      <w:pPr>
        <w:spacing w:line="400" w:lineRule="exact"/>
        <w:ind w:firstLine="1446" w:firstLineChars="600"/>
        <w:rPr>
          <w:rFonts w:ascii="宋体" w:hAnsi="宋体"/>
          <w:b/>
          <w:sz w:val="24"/>
          <w:u w:val="single"/>
        </w:rPr>
      </w:pPr>
      <w:r>
        <w:rPr>
          <w:rFonts w:hint="eastAsia" w:ascii="宋体" w:hAnsi="宋体"/>
          <w:b/>
          <w:sz w:val="24"/>
          <w:u w:val="single"/>
        </w:rPr>
        <w:t>谈判供应商须知前附表3：谈判规则、方法及步骤</w:t>
      </w:r>
    </w:p>
    <w:p>
      <w:pPr>
        <w:spacing w:line="400" w:lineRule="exact"/>
        <w:jc w:val="center"/>
        <w:rPr>
          <w:rFonts w:ascii="宋体" w:hAnsi="宋体"/>
          <w:b/>
          <w:sz w:val="24"/>
          <w:u w:val="single"/>
        </w:rPr>
      </w:pP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400" w:lineRule="exact"/>
              <w:ind w:right="-120" w:rightChars="-57"/>
              <w:rPr>
                <w:rFonts w:ascii="宋体" w:hAnsi="宋体"/>
                <w:sz w:val="24"/>
              </w:rPr>
            </w:pPr>
            <w:r>
              <w:rPr>
                <w:rFonts w:hint="eastAsia" w:ascii="宋体" w:hAnsi="宋体"/>
                <w:sz w:val="24"/>
              </w:rPr>
              <w:t>一．评审原则、方法</w:t>
            </w:r>
          </w:p>
          <w:p>
            <w:pPr>
              <w:spacing w:line="400" w:lineRule="exact"/>
              <w:ind w:right="-120" w:rightChars="-57" w:firstLine="480" w:firstLineChars="200"/>
              <w:rPr>
                <w:rFonts w:ascii="宋体" w:hAnsi="宋体"/>
                <w:sz w:val="24"/>
              </w:rPr>
            </w:pPr>
            <w:r>
              <w:rPr>
                <w:rFonts w:hint="eastAsia" w:ascii="宋体" w:hAnsi="宋体"/>
                <w:sz w:val="24"/>
              </w:rPr>
              <w:t>1.谈判小组依据《中华人民共和国政府采购法》及其实施条例和相关的法规、规章，遵循“公开、公平、公正、择优、信用”的原则进行谈判及评审；</w:t>
            </w:r>
          </w:p>
          <w:p>
            <w:pPr>
              <w:spacing w:line="400" w:lineRule="exact"/>
              <w:ind w:right="-120" w:rightChars="-57" w:firstLine="480" w:firstLineChars="200"/>
              <w:rPr>
                <w:rFonts w:ascii="宋体" w:hAnsi="宋体"/>
                <w:sz w:val="24"/>
              </w:rPr>
            </w:pPr>
            <w:r>
              <w:rPr>
                <w:rFonts w:hint="eastAsia" w:ascii="宋体" w:hAnsi="宋体"/>
                <w:sz w:val="24"/>
              </w:rPr>
              <w:t>2.谈判小组按照规定只对资格、符合性评审合格的响应文件进行最终评审和比较。如各评委结论不一致，以少数服从多数原则确定；</w:t>
            </w:r>
          </w:p>
          <w:p>
            <w:pPr>
              <w:spacing w:line="400" w:lineRule="exact"/>
              <w:ind w:right="-120" w:rightChars="-57" w:firstLine="480" w:firstLineChars="200"/>
              <w:rPr>
                <w:rFonts w:ascii="宋体" w:hAnsi="宋体"/>
                <w:sz w:val="24"/>
              </w:rPr>
            </w:pPr>
            <w:r>
              <w:rPr>
                <w:rFonts w:hint="eastAsia" w:ascii="宋体" w:hAnsi="宋体"/>
                <w:sz w:val="24"/>
              </w:rPr>
              <w:t>3.谈判中，谈判的任何一方不得透露与谈判有关的其他供应商的技术资料、价格和其他信息；</w:t>
            </w:r>
          </w:p>
          <w:p>
            <w:pPr>
              <w:spacing w:line="400" w:lineRule="exact"/>
              <w:ind w:right="-120" w:rightChars="-57" w:firstLine="480" w:firstLineChars="200"/>
              <w:rPr>
                <w:rFonts w:ascii="宋体" w:hAnsi="宋体"/>
                <w:sz w:val="24"/>
              </w:rPr>
            </w:pPr>
            <w:r>
              <w:rPr>
                <w:rFonts w:hint="eastAsia" w:ascii="宋体" w:hAnsi="宋体"/>
                <w:sz w:val="24"/>
              </w:rPr>
              <w:t>4.除非在谈判中谈判小组对用户需求内容作调整增加，或对采购内容作实质性变更，否则采购人不接受高于前面轮次谈判报价的最终报价</w:t>
            </w:r>
          </w:p>
          <w:p>
            <w:pPr>
              <w:spacing w:line="400" w:lineRule="exact"/>
              <w:ind w:right="-120" w:rightChars="-57" w:firstLine="480" w:firstLineChars="200"/>
              <w:rPr>
                <w:rFonts w:ascii="宋体" w:hAnsi="宋体"/>
                <w:sz w:val="24"/>
              </w:rPr>
            </w:pPr>
            <w:r>
              <w:rPr>
                <w:rFonts w:hint="eastAsia" w:ascii="宋体" w:hAnsi="宋体"/>
                <w:sz w:val="24"/>
              </w:rPr>
              <w:t>5.评审办法：采用最低评标价法，即供应商提供的产品质量和服务均能满足谈判文件规定的实质性要求，以最低评标价的供应商为供应商。</w:t>
            </w:r>
            <w:r>
              <w:rPr>
                <w:rFonts w:hint="eastAsia" w:ascii="宋体" w:hAnsi="宋体"/>
                <w:sz w:val="24"/>
              </w:rPr>
              <w:br w:type="textWrapping"/>
            </w:r>
            <w:r>
              <w:rPr>
                <w:rFonts w:hint="eastAsia" w:ascii="宋体" w:hAnsi="宋体"/>
                <w:sz w:val="24"/>
              </w:rPr>
              <w:t>二、评审步骤</w:t>
            </w:r>
            <w:r>
              <w:rPr>
                <w:rFonts w:hint="eastAsia" w:ascii="宋体" w:hAnsi="宋体"/>
                <w:sz w:val="24"/>
              </w:rPr>
              <w:br w:type="textWrapping"/>
            </w:r>
            <w:r>
              <w:rPr>
                <w:rFonts w:hint="eastAsia" w:ascii="宋体" w:hAnsi="宋体"/>
                <w:sz w:val="24"/>
              </w:rPr>
              <w:t xml:space="preserve">   1.第一阶段：谈判小组对每位供应商的响应文件进行资格、符合性评审；</w:t>
            </w:r>
            <w:r>
              <w:rPr>
                <w:rFonts w:hint="eastAsia" w:ascii="宋体" w:hAnsi="宋体"/>
                <w:sz w:val="24"/>
              </w:rPr>
              <w:br w:type="textWrapping"/>
            </w:r>
            <w:r>
              <w:rPr>
                <w:rFonts w:hint="eastAsia" w:ascii="宋体" w:hAnsi="宋体"/>
                <w:sz w:val="24"/>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rPr>
              <w:br w:type="textWrapping"/>
            </w:r>
            <w:r>
              <w:rPr>
                <w:rFonts w:hint="eastAsia" w:ascii="宋体" w:hAnsi="宋体"/>
                <w:sz w:val="24"/>
              </w:rPr>
              <w:t>  3.第三阶段：谈判结束后，谈判小组要求所有供应商在规定时间内提出最终报价，包括最终澄清方案、报价及有关承诺等；</w:t>
            </w:r>
            <w:r>
              <w:rPr>
                <w:rFonts w:hint="eastAsia" w:ascii="宋体" w:hAnsi="宋体"/>
                <w:sz w:val="24"/>
              </w:rPr>
              <w:br w:type="textWrapping"/>
            </w:r>
            <w:r>
              <w:rPr>
                <w:rFonts w:hint="eastAsia" w:ascii="宋体" w:hAnsi="宋体"/>
                <w:sz w:val="24"/>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rPr>
              <w:br w:type="textWrapping"/>
            </w:r>
            <w:r>
              <w:rPr>
                <w:rFonts w:hint="eastAsia" w:ascii="宋体" w:hAnsi="宋体"/>
                <w:sz w:val="24"/>
              </w:rPr>
              <w:t>  5.谈判过程中，供应商提交的澄清文件和最终报价，由供应商法定代表人或其授权代表签署后生效，供应商受其约束。</w:t>
            </w:r>
          </w:p>
          <w:p>
            <w:pPr>
              <w:spacing w:line="400" w:lineRule="exact"/>
              <w:ind w:right="-120" w:rightChars="-57" w:firstLine="240" w:firstLineChars="100"/>
              <w:rPr>
                <w:rFonts w:ascii="宋体" w:hAnsi="宋体"/>
                <w:sz w:val="24"/>
              </w:rPr>
            </w:pPr>
            <w:r>
              <w:rPr>
                <w:rFonts w:hint="eastAsia" w:ascii="宋体" w:hAnsi="宋体"/>
                <w:sz w:val="24"/>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spacing w:line="400" w:lineRule="exact"/>
              <w:ind w:right="-120" w:rightChars="-57"/>
              <w:jc w:val="left"/>
              <w:rPr>
                <w:rFonts w:ascii="宋体" w:hAnsi="宋体"/>
                <w:sz w:val="24"/>
              </w:rPr>
            </w:pPr>
            <w:r>
              <w:rPr>
                <w:rFonts w:hint="eastAsia" w:ascii="宋体" w:hAnsi="宋体"/>
                <w:sz w:val="24"/>
              </w:rPr>
              <w:t>三．确定成交候选供应商原则：</w:t>
            </w:r>
          </w:p>
          <w:p>
            <w:pPr>
              <w:spacing w:line="400" w:lineRule="exact"/>
              <w:ind w:right="-120" w:rightChars="-57" w:firstLine="480" w:firstLineChars="200"/>
              <w:jc w:val="left"/>
              <w:rPr>
                <w:rFonts w:ascii="宋体" w:hAnsi="宋体"/>
                <w:sz w:val="24"/>
              </w:rPr>
            </w:pPr>
            <w:r>
              <w:rPr>
                <w:rFonts w:hint="eastAsia" w:ascii="宋体" w:hAnsi="宋体"/>
                <w:sz w:val="24"/>
              </w:rPr>
              <w:t>1.采购人从谈判小组推荐的成交候选人中依法确定供应商；</w:t>
            </w:r>
            <w:r>
              <w:rPr>
                <w:rFonts w:hint="eastAsia" w:ascii="宋体" w:hAnsi="宋体"/>
                <w:sz w:val="24"/>
              </w:rPr>
              <w:br w:type="textWrapping"/>
            </w:r>
            <w:r>
              <w:rPr>
                <w:rFonts w:hint="eastAsia" w:ascii="宋体" w:hAnsi="宋体"/>
                <w:sz w:val="24"/>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spacing w:line="400" w:lineRule="exact"/>
              <w:ind w:right="-120" w:rightChars="-57" w:firstLine="480" w:firstLineChars="200"/>
              <w:jc w:val="left"/>
              <w:rPr>
                <w:rFonts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贵州省政府采购网：http://www.ccgp-guizhou.gov.cn/ 等。对参加政府采购活动前三年内被列入失信被执行人、重大税收违法案件当事人名单、政府采购严重违法失信行为记录名单、“信用中国”警示警告名单，受到政府采购行政处罚或者存在行贿犯罪记录，且相关信用惩戒期限未满，以及其他不符合《中华人民共和国政府采购法》第二十二条规定条件的供应商，将查询结果提供给谈判小组，</w:t>
            </w:r>
            <w:r>
              <w:rPr>
                <w:rFonts w:ascii="宋体" w:hAnsi="宋体"/>
                <w:sz w:val="24"/>
              </w:rPr>
              <w:t>谈判小组将拒绝邀请该供应商进行谈判和报价</w:t>
            </w:r>
            <w:r>
              <w:rPr>
                <w:rFonts w:hint="eastAsia" w:ascii="宋体" w:hAnsi="宋体"/>
                <w:sz w:val="24"/>
              </w:rPr>
              <w:t>。</w:t>
            </w:r>
          </w:p>
        </w:tc>
      </w:tr>
    </w:tbl>
    <w:p>
      <w:pPr>
        <w:spacing w:line="400" w:lineRule="exact"/>
        <w:outlineLvl w:val="0"/>
        <w:rPr>
          <w:rFonts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4"/>
        <w:keepNext w:val="0"/>
        <w:keepLines w:val="0"/>
        <w:tabs>
          <w:tab w:val="center" w:pos="4365"/>
        </w:tabs>
        <w:spacing w:before="220" w:after="220" w:line="400" w:lineRule="exact"/>
        <w:jc w:val="center"/>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8"/>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spacing w:line="400" w:lineRule="exact"/>
              <w:jc w:val="center"/>
              <w:rPr>
                <w:rFonts w:ascii="宋体" w:hAnsi="宋体"/>
                <w:sz w:val="24"/>
              </w:rPr>
            </w:pPr>
            <w:r>
              <w:rPr>
                <w:rFonts w:hint="eastAsia" w:ascii="宋体" w:hAnsi="宋体"/>
                <w:sz w:val="24"/>
              </w:rPr>
              <w:t>序号</w:t>
            </w:r>
          </w:p>
        </w:tc>
        <w:tc>
          <w:tcPr>
            <w:tcW w:w="1484" w:type="dxa"/>
            <w:vAlign w:val="center"/>
          </w:tcPr>
          <w:p>
            <w:pPr>
              <w:spacing w:line="400" w:lineRule="exact"/>
              <w:jc w:val="center"/>
              <w:rPr>
                <w:rFonts w:ascii="宋体" w:hAnsi="宋体"/>
                <w:sz w:val="24"/>
              </w:rPr>
            </w:pPr>
            <w:r>
              <w:rPr>
                <w:rFonts w:hint="eastAsia" w:ascii="宋体" w:hAnsi="宋体"/>
                <w:sz w:val="24"/>
              </w:rPr>
              <w:t>项目</w:t>
            </w:r>
          </w:p>
        </w:tc>
        <w:tc>
          <w:tcPr>
            <w:tcW w:w="6256" w:type="dxa"/>
            <w:vAlign w:val="center"/>
          </w:tcPr>
          <w:p>
            <w:pPr>
              <w:spacing w:line="400" w:lineRule="exact"/>
              <w:jc w:val="center"/>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1</w:t>
            </w:r>
          </w:p>
        </w:tc>
        <w:tc>
          <w:tcPr>
            <w:tcW w:w="1484" w:type="dxa"/>
            <w:vAlign w:val="center"/>
          </w:tcPr>
          <w:p>
            <w:pPr>
              <w:spacing w:line="400" w:lineRule="exact"/>
              <w:jc w:val="center"/>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spacing w:line="400" w:lineRule="exact"/>
              <w:rPr>
                <w:rFonts w:ascii="宋体" w:hAnsi="宋体"/>
                <w:sz w:val="24"/>
              </w:rPr>
            </w:pPr>
            <w:r>
              <w:rPr>
                <w:rFonts w:hint="eastAsia" w:ascii="宋体" w:hAnsi="宋体"/>
                <w:b/>
                <w:sz w:val="24"/>
              </w:rPr>
              <w:t>□</w:t>
            </w:r>
            <w:r>
              <w:rPr>
                <w:rFonts w:hint="eastAsia" w:ascii="宋体" w:hAnsi="宋体"/>
                <w:sz w:val="24"/>
              </w:rPr>
              <w:t xml:space="preserve">是/ </w:t>
            </w:r>
            <w:r>
              <w:rPr>
                <w:rFonts w:ascii="Arial" w:hAnsi="Arial" w:cs="Arial"/>
                <w:b/>
                <w:sz w:val="24"/>
              </w:rPr>
              <w:t>√</w:t>
            </w:r>
            <w:r>
              <w:rPr>
                <w:rFonts w:hint="eastAsia" w:ascii="宋体" w:hAnsi="宋体"/>
                <w:sz w:val="24"/>
              </w:rPr>
              <w:t>否</w:t>
            </w:r>
          </w:p>
          <w:p>
            <w:pPr>
              <w:spacing w:line="400" w:lineRule="exact"/>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2</w:t>
            </w:r>
          </w:p>
        </w:tc>
        <w:tc>
          <w:tcPr>
            <w:tcW w:w="1484" w:type="dxa"/>
            <w:vAlign w:val="center"/>
          </w:tcPr>
          <w:p>
            <w:pPr>
              <w:spacing w:line="400" w:lineRule="exact"/>
              <w:jc w:val="center"/>
              <w:rPr>
                <w:rFonts w:ascii="宋体" w:hAnsi="宋体"/>
                <w:sz w:val="24"/>
              </w:rPr>
            </w:pPr>
            <w:r>
              <w:rPr>
                <w:rFonts w:hint="eastAsia" w:ascii="宋体" w:hAnsi="宋体"/>
                <w:b/>
                <w:sz w:val="24"/>
              </w:rPr>
              <w:t>中小企业的认定标准</w:t>
            </w:r>
          </w:p>
        </w:tc>
        <w:tc>
          <w:tcPr>
            <w:tcW w:w="6256" w:type="dxa"/>
          </w:tcPr>
          <w:p>
            <w:pPr>
              <w:spacing w:line="400" w:lineRule="exact"/>
              <w:ind w:firstLine="480" w:firstLineChars="200"/>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spacing w:line="400" w:lineRule="exact"/>
              <w:ind w:firstLine="480" w:firstLineChars="200"/>
              <w:rPr>
                <w:rFonts w:ascii="宋体" w:hAnsi="宋体"/>
                <w:sz w:val="24"/>
              </w:rPr>
            </w:pPr>
            <w:r>
              <w:rPr>
                <w:rFonts w:hint="eastAsia" w:ascii="宋体" w:hAnsi="宋体"/>
                <w:sz w:val="24"/>
              </w:rPr>
              <w:t>注： 联合体参与谈判响应的的，以联合体中划型标准较高的一方，作为该联合体的企业划型标准。</w:t>
            </w:r>
          </w:p>
          <w:p>
            <w:pPr>
              <w:spacing w:line="400" w:lineRule="exact"/>
              <w:ind w:firstLine="480" w:firstLineChars="200"/>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spacing w:line="400" w:lineRule="exact"/>
              <w:ind w:firstLine="480" w:firstLineChars="200"/>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spacing w:line="400" w:lineRule="exact"/>
              <w:jc w:val="center"/>
              <w:rPr>
                <w:rFonts w:ascii="宋体" w:hAnsi="宋体"/>
                <w:b/>
                <w:sz w:val="24"/>
              </w:rPr>
            </w:pPr>
            <w:r>
              <w:rPr>
                <w:rFonts w:hint="eastAsia" w:ascii="宋体" w:hAnsi="宋体"/>
                <w:b/>
                <w:sz w:val="24"/>
              </w:rPr>
              <w:t>3</w:t>
            </w:r>
          </w:p>
        </w:tc>
        <w:tc>
          <w:tcPr>
            <w:tcW w:w="1484" w:type="dxa"/>
            <w:vAlign w:val="center"/>
          </w:tcPr>
          <w:p>
            <w:pPr>
              <w:spacing w:line="400" w:lineRule="exact"/>
              <w:jc w:val="center"/>
              <w:rPr>
                <w:rFonts w:ascii="宋体" w:hAnsi="宋体"/>
                <w:b/>
                <w:sz w:val="24"/>
              </w:rPr>
            </w:pPr>
            <w:r>
              <w:rPr>
                <w:rFonts w:hint="eastAsia" w:ascii="宋体" w:hAnsi="宋体"/>
                <w:b/>
                <w:sz w:val="24"/>
              </w:rPr>
              <w:t>监狱企业的认定标准</w:t>
            </w:r>
          </w:p>
        </w:tc>
        <w:tc>
          <w:tcPr>
            <w:tcW w:w="6256" w:type="dxa"/>
          </w:tcPr>
          <w:p>
            <w:pPr>
              <w:spacing w:line="400" w:lineRule="exact"/>
              <w:ind w:firstLine="480" w:firstLineChars="200"/>
              <w:rPr>
                <w:rFonts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1"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4</w:t>
            </w:r>
          </w:p>
        </w:tc>
        <w:tc>
          <w:tcPr>
            <w:tcW w:w="1484" w:type="dxa"/>
            <w:vAlign w:val="center"/>
          </w:tcPr>
          <w:p>
            <w:pPr>
              <w:widowControl/>
              <w:spacing w:line="400" w:lineRule="exact"/>
              <w:jc w:val="center"/>
              <w:rPr>
                <w:rFonts w:ascii="宋体" w:hAnsi="宋体"/>
                <w:b/>
                <w:sz w:val="24"/>
              </w:rPr>
            </w:pPr>
            <w:r>
              <w:rPr>
                <w:rFonts w:hint="eastAsia" w:ascii="宋体" w:hAnsi="宋体"/>
                <w:b/>
                <w:sz w:val="24"/>
              </w:rPr>
              <w:t>优惠办法：</w:t>
            </w:r>
          </w:p>
        </w:tc>
        <w:tc>
          <w:tcPr>
            <w:tcW w:w="6256" w:type="dxa"/>
            <w:tcBorders>
              <w:bottom w:val="single" w:color="auto" w:sz="4" w:space="0"/>
            </w:tcBorders>
          </w:tcPr>
          <w:p>
            <w:pPr>
              <w:keepNext w:val="0"/>
              <w:keepLines w:val="0"/>
              <w:pageBreakBefore w:val="0"/>
              <w:suppressLineNumbers w:val="0"/>
              <w:kinsoku/>
              <w:wordWrap/>
              <w:overflowPunct/>
              <w:topLinePunct w:val="0"/>
              <w:autoSpaceDE/>
              <w:autoSpaceDN/>
              <w:bidi w:val="0"/>
              <w:adjustRightInd/>
              <w:snapToGrid/>
              <w:spacing w:before="0" w:beforeLines="25" w:beforeAutospacing="0" w:after="0" w:afterLines="25" w:afterAutospacing="0" w:line="400" w:lineRule="exact"/>
              <w:ind w:left="-65" w:leftChars="-31" w:right="0" w:firstLine="475" w:firstLineChars="205"/>
              <w:textAlignment w:val="auto"/>
              <w:rPr>
                <w:rFonts w:hint="eastAsia" w:asciiTheme="minorEastAsia" w:hAnsiTheme="minorEastAsia"/>
                <w:color w:val="000000" w:themeColor="text1"/>
                <w:spacing w:val="-4"/>
                <w:sz w:val="24"/>
                <w:szCs w:val="24"/>
                <w14:textFill>
                  <w14:solidFill>
                    <w14:schemeClr w14:val="tx1"/>
                  </w14:solidFill>
                </w14:textFill>
              </w:rPr>
            </w:pPr>
            <w:r>
              <w:rPr>
                <w:rFonts w:hint="eastAsia" w:asciiTheme="minorEastAsia" w:hAnsiTheme="minorEastAsia"/>
                <w:color w:val="000000" w:themeColor="text1"/>
                <w:spacing w:val="-4"/>
                <w:sz w:val="24"/>
                <w:szCs w:val="24"/>
                <w14:textFill>
                  <w14:solidFill>
                    <w14:schemeClr w14:val="tx1"/>
                  </w14:solidFill>
                </w14:textFill>
              </w:rPr>
              <w:t>对于经主管预算单位统筹后未预留份额专门面向中小企业采购的采购项目，以及预留份额项目中的非预留部分采购包，采购人、采购代理机构应当对符合本办法规定的小微企业报价给予6%（工程项目为3%）的扣除，用扣除后的价格参加评审。</w:t>
            </w:r>
          </w:p>
          <w:p>
            <w:pPr>
              <w:keepNext w:val="0"/>
              <w:keepLines w:val="0"/>
              <w:pageBreakBefore w:val="0"/>
              <w:suppressLineNumbers w:val="0"/>
              <w:kinsoku/>
              <w:wordWrap/>
              <w:overflowPunct/>
              <w:topLinePunct w:val="0"/>
              <w:autoSpaceDE/>
              <w:autoSpaceDN/>
              <w:bidi w:val="0"/>
              <w:adjustRightInd/>
              <w:snapToGrid/>
              <w:spacing w:before="0" w:beforeLines="25" w:beforeAutospacing="0" w:after="0" w:afterLines="25" w:afterAutospacing="0" w:line="400" w:lineRule="exact"/>
              <w:ind w:left="-65" w:leftChars="-31" w:right="0" w:firstLine="475" w:firstLineChars="205"/>
              <w:textAlignment w:val="auto"/>
              <w:rPr>
                <w:rFonts w:hint="default" w:asciiTheme="minorEastAsia" w:hAnsiTheme="minorEastAsia"/>
                <w:color w:val="000000" w:themeColor="text1"/>
                <w:spacing w:val="-4"/>
                <w:sz w:val="24"/>
                <w:szCs w:val="24"/>
                <w14:textFill>
                  <w14:solidFill>
                    <w14:schemeClr w14:val="tx1"/>
                  </w14:solidFill>
                </w14:textFill>
              </w:rPr>
            </w:pPr>
            <w:r>
              <w:rPr>
                <w:rFonts w:hint="eastAsia" w:asciiTheme="minorEastAsia" w:hAnsiTheme="minorEastAsia"/>
                <w:color w:val="000000" w:themeColor="text1"/>
                <w:spacing w:val="-4"/>
                <w:sz w:val="24"/>
                <w:szCs w:val="24"/>
                <w:lang w:eastAsia="zh-CN"/>
                <w14:textFill>
                  <w14:solidFill>
                    <w14:schemeClr w14:val="tx1"/>
                  </w14:solidFill>
                </w14:textFill>
              </w:rPr>
              <w:t>本项目</w:t>
            </w:r>
            <w:r>
              <w:rPr>
                <w:rFonts w:hint="eastAsia" w:asciiTheme="minorEastAsia" w:hAnsiTheme="minorEastAsia"/>
                <w:color w:val="000000" w:themeColor="text1"/>
                <w:spacing w:val="-4"/>
                <w:sz w:val="24"/>
                <w:szCs w:val="24"/>
                <w14:textFill>
                  <w14:solidFill>
                    <w14:schemeClr w14:val="tx1"/>
                  </w14:solidFill>
                </w14:textFill>
              </w:rPr>
              <w:t>价格扣除：按报价的</w:t>
            </w:r>
            <w:r>
              <w:rPr>
                <w:rFonts w:hint="eastAsia" w:asciiTheme="minorEastAsia" w:hAnsiTheme="minorEastAsia"/>
                <w:color w:val="000000" w:themeColor="text1"/>
                <w:spacing w:val="-4"/>
                <w:sz w:val="24"/>
                <w:szCs w:val="24"/>
                <w:u w:val="single"/>
                <w14:textFill>
                  <w14:solidFill>
                    <w14:schemeClr w14:val="tx1"/>
                  </w14:solidFill>
                </w14:textFill>
              </w:rPr>
              <w:t>（9</w:t>
            </w:r>
            <w:r>
              <w:rPr>
                <w:rFonts w:hint="eastAsia" w:asciiTheme="minorEastAsia" w:hAnsiTheme="minorEastAsia"/>
                <w:color w:val="000000" w:themeColor="text1"/>
                <w:spacing w:val="-4"/>
                <w:sz w:val="24"/>
                <w:szCs w:val="24"/>
                <w:u w:val="single"/>
                <w:lang w:val="en-US" w:eastAsia="zh-CN"/>
                <w14:textFill>
                  <w14:solidFill>
                    <w14:schemeClr w14:val="tx1"/>
                  </w14:solidFill>
                </w14:textFill>
              </w:rPr>
              <w:t>7</w:t>
            </w:r>
            <w:r>
              <w:rPr>
                <w:rFonts w:hint="eastAsia" w:asciiTheme="minorEastAsia" w:hAnsiTheme="minorEastAsia"/>
                <w:color w:val="000000" w:themeColor="text1"/>
                <w:spacing w:val="-4"/>
                <w:sz w:val="24"/>
                <w:szCs w:val="24"/>
                <w:u w:val="single"/>
                <w14:textFill>
                  <w14:solidFill>
                    <w14:schemeClr w14:val="tx1"/>
                  </w14:solidFill>
                </w14:textFill>
              </w:rPr>
              <w:t>%）</w:t>
            </w:r>
            <w:r>
              <w:rPr>
                <w:rFonts w:hint="eastAsia" w:asciiTheme="minorEastAsia" w:hAnsiTheme="minorEastAsia"/>
                <w:color w:val="000000" w:themeColor="text1"/>
                <w:spacing w:val="-4"/>
                <w:sz w:val="24"/>
                <w:szCs w:val="24"/>
                <w14:textFill>
                  <w14:solidFill>
                    <w14:schemeClr w14:val="tx1"/>
                  </w14:solidFill>
                </w14:textFill>
              </w:rPr>
              <w:t>计算评审价</w:t>
            </w:r>
          </w:p>
          <w:p>
            <w:pPr>
              <w:keepNext w:val="0"/>
              <w:keepLines w:val="0"/>
              <w:pageBreakBefore w:val="0"/>
              <w:suppressLineNumbers w:val="0"/>
              <w:kinsoku/>
              <w:wordWrap/>
              <w:overflowPunct/>
              <w:topLinePunct w:val="0"/>
              <w:autoSpaceDE/>
              <w:autoSpaceDN/>
              <w:bidi w:val="0"/>
              <w:adjustRightInd/>
              <w:snapToGrid/>
              <w:spacing w:before="0" w:beforeLines="25" w:beforeAutospacing="0" w:after="0" w:afterLines="25" w:afterAutospacing="0" w:line="400" w:lineRule="exact"/>
              <w:ind w:left="-65" w:leftChars="-31" w:right="0" w:firstLine="12" w:firstLineChars="5"/>
              <w:textAlignment w:val="auto"/>
              <w:rPr>
                <w:rFonts w:hint="default" w:asciiTheme="minorEastAsia" w:hAnsiTheme="minorEastAsia"/>
                <w:b/>
                <w:color w:val="000000" w:themeColor="text1"/>
                <w:spacing w:val="-4"/>
                <w:sz w:val="24"/>
                <w:szCs w:val="24"/>
                <w14:textFill>
                  <w14:solidFill>
                    <w14:schemeClr w14:val="tx1"/>
                  </w14:solidFill>
                </w14:textFill>
              </w:rPr>
            </w:pPr>
            <w:r>
              <w:rPr>
                <w:rFonts w:hint="eastAsia" w:asciiTheme="minorEastAsia" w:hAnsiTheme="minorEastAsia"/>
                <w:b/>
                <w:color w:val="000000" w:themeColor="text1"/>
                <w:spacing w:val="-4"/>
                <w:sz w:val="24"/>
                <w:szCs w:val="24"/>
                <w14:textFill>
                  <w14:solidFill>
                    <w14:schemeClr w14:val="tx1"/>
                  </w14:solidFill>
                </w14:textFill>
              </w:rPr>
              <w:t>中型企业：</w:t>
            </w:r>
          </w:p>
          <w:p>
            <w:pPr>
              <w:spacing w:before="60" w:beforeLines="25" w:after="60" w:afterLines="25" w:line="400" w:lineRule="exact"/>
              <w:ind w:firstLine="464" w:firstLineChars="200"/>
              <w:rPr>
                <w:rFonts w:ascii="宋体" w:hAnsi="宋体"/>
                <w:color w:val="000000"/>
                <w:spacing w:val="-4"/>
                <w:sz w:val="24"/>
              </w:rPr>
            </w:pPr>
            <w:r>
              <w:rPr>
                <w:rFonts w:hint="default" w:asciiTheme="minorEastAsia" w:hAnsiTheme="minorEastAsia"/>
                <w:color w:val="000000" w:themeColor="text1"/>
                <w:spacing w:val="-4"/>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5</w:t>
            </w:r>
          </w:p>
        </w:tc>
        <w:tc>
          <w:tcPr>
            <w:tcW w:w="1484" w:type="dxa"/>
            <w:vAlign w:val="center"/>
          </w:tcPr>
          <w:p>
            <w:pPr>
              <w:widowControl/>
              <w:spacing w:line="400" w:lineRule="exact"/>
              <w:jc w:val="center"/>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tcPr>
          <w:p>
            <w:pPr>
              <w:spacing w:line="400" w:lineRule="exact"/>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p>
            <w:pPr>
              <w:spacing w:before="60" w:beforeLines="25" w:after="60" w:afterLines="25" w:line="400" w:lineRule="exact"/>
              <w:rPr>
                <w:rFonts w:ascii="宋体" w:hAnsi="宋体"/>
                <w:b/>
                <w:sz w:val="24"/>
              </w:rPr>
            </w:pPr>
            <w:r>
              <w:rPr>
                <w:rFonts w:hint="eastAsia" w:ascii="宋体" w:hAnsi="宋体"/>
                <w:b/>
                <w:sz w:val="24"/>
              </w:rPr>
              <w:t xml:space="preserve"> </w:t>
            </w:r>
          </w:p>
          <w:tbl>
            <w:tblPr>
              <w:tblStyle w:val="18"/>
              <w:tblW w:w="5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549"/>
              <w:gridCol w:w="1187"/>
              <w:gridCol w:w="1016"/>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jc w:val="center"/>
              </w:trPr>
              <w:tc>
                <w:tcPr>
                  <w:tcW w:w="585" w:type="dxa"/>
                  <w:vMerge w:val="restart"/>
                  <w:tcBorders>
                    <w:left w:val="single" w:color="auto" w:sz="4" w:space="0"/>
                    <w:right w:val="single" w:color="auto" w:sz="4" w:space="0"/>
                  </w:tcBorders>
                  <w:noWrap w:val="0"/>
                  <w:vAlign w:val="center"/>
                </w:tcPr>
                <w:p>
                  <w:pPr>
                    <w:pStyle w:val="57"/>
                    <w:keepNext w:val="0"/>
                    <w:keepLines w:val="0"/>
                    <w:suppressLineNumbers w:val="0"/>
                    <w:tabs>
                      <w:tab w:val="left" w:pos="1260"/>
                    </w:tabs>
                    <w:spacing w:before="156" w:beforeAutospacing="0" w:after="156" w:afterAutospacing="0"/>
                    <w:ind w:left="0" w:right="0"/>
                    <w:jc w:val="center"/>
                    <w:rPr>
                      <w:rFonts w:hint="eastAsia" w:ascii="宋体" w:hAnsi="宋体"/>
                      <w:sz w:val="24"/>
                      <w:lang w:val="en-GB"/>
                    </w:rPr>
                  </w:pPr>
                  <w:r>
                    <w:rPr>
                      <w:rFonts w:hint="eastAsia" w:ascii="宋体" w:hAnsi="宋体"/>
                      <w:sz w:val="24"/>
                      <w:lang w:val="en-GB"/>
                    </w:rPr>
                    <w:t>中小企业扶持政策</w:t>
                  </w:r>
                </w:p>
              </w:tc>
              <w:tc>
                <w:tcPr>
                  <w:tcW w:w="5147" w:type="dxa"/>
                  <w:gridSpan w:val="4"/>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suppressLineNumbers w:val="0"/>
                    <w:tabs>
                      <w:tab w:val="left" w:pos="1260"/>
                    </w:tabs>
                    <w:spacing w:before="40" w:beforeAutospacing="0" w:after="40" w:afterAutospacing="0" w:line="360" w:lineRule="auto"/>
                    <w:ind w:left="0" w:right="0"/>
                    <w:rPr>
                      <w:rFonts w:hint="eastAsia" w:ascii="宋体" w:hAnsi="宋体"/>
                      <w:sz w:val="24"/>
                      <w:lang w:val="en-GB"/>
                    </w:rPr>
                  </w:pPr>
                  <w:r>
                    <w:rPr>
                      <w:rFonts w:hint="eastAsia" w:ascii="宋体" w:hAnsi="宋体"/>
                      <w:sz w:val="24"/>
                      <w:lang w:val="en-GB"/>
                    </w:rPr>
                    <w:t>如属所列情形的，请在括号内打“√”：</w:t>
                  </w:r>
                </w:p>
                <w:p>
                  <w:pPr>
                    <w:pStyle w:val="57"/>
                    <w:keepNext w:val="0"/>
                    <w:keepLines w:val="0"/>
                    <w:suppressLineNumbers w:val="0"/>
                    <w:tabs>
                      <w:tab w:val="left" w:pos="1260"/>
                    </w:tabs>
                    <w:spacing w:before="40" w:beforeAutospacing="0" w:after="40" w:afterAutospacing="0" w:line="360" w:lineRule="auto"/>
                    <w:ind w:left="0" w:right="0"/>
                    <w:rPr>
                      <w:rFonts w:hint="eastAsia" w:ascii="宋体" w:hAnsi="宋体"/>
                      <w:sz w:val="24"/>
                    </w:rPr>
                  </w:pPr>
                  <w:r>
                    <w:rPr>
                      <w:rFonts w:hint="eastAsia" w:ascii="宋体" w:hAnsi="宋体"/>
                      <w:sz w:val="24"/>
                    </w:rPr>
                    <w:t>（  ）小型、微型企业投标且全部</w:t>
                  </w:r>
                  <w:r>
                    <w:rPr>
                      <w:rFonts w:hint="eastAsia" w:ascii="宋体" w:hAnsi="宋体"/>
                      <w:sz w:val="24"/>
                      <w:lang w:eastAsia="zh-CN"/>
                    </w:rPr>
                    <w:t>由</w:t>
                  </w:r>
                  <w:r>
                    <w:rPr>
                      <w:rFonts w:hint="eastAsia" w:ascii="宋体" w:hAnsi="宋体"/>
                      <w:sz w:val="24"/>
                    </w:rPr>
                    <w:t>本企业</w:t>
                  </w:r>
                  <w:r>
                    <w:rPr>
                      <w:rFonts w:hint="eastAsia" w:ascii="宋体" w:hAnsi="宋体"/>
                      <w:sz w:val="24"/>
                      <w:lang w:eastAsia="zh-CN"/>
                    </w:rPr>
                    <w:t>承建</w:t>
                  </w:r>
                  <w:r>
                    <w:rPr>
                      <w:rFonts w:hint="eastAsia" w:ascii="宋体" w:hAnsi="宋体"/>
                      <w:sz w:val="24"/>
                    </w:rPr>
                    <w:t>。</w:t>
                  </w:r>
                </w:p>
                <w:p>
                  <w:pPr>
                    <w:pStyle w:val="57"/>
                    <w:keepNext w:val="0"/>
                    <w:keepLines w:val="0"/>
                    <w:suppressLineNumbers w:val="0"/>
                    <w:tabs>
                      <w:tab w:val="left" w:pos="1260"/>
                    </w:tabs>
                    <w:spacing w:before="40" w:beforeAutospacing="0" w:after="40" w:afterAutospacing="0" w:line="360" w:lineRule="auto"/>
                    <w:ind w:left="0" w:right="0"/>
                    <w:rPr>
                      <w:rFonts w:hint="eastAsia" w:ascii="宋体" w:hAnsi="宋体"/>
                      <w:sz w:val="24"/>
                    </w:rPr>
                  </w:pPr>
                  <w:r>
                    <w:rPr>
                      <w:rFonts w:hint="eastAsia" w:ascii="宋体" w:hAnsi="宋体"/>
                      <w:sz w:val="24"/>
                    </w:rPr>
                    <w:t>（  ）小型、微型企业投标且提供其它小型、微型企业</w:t>
                  </w:r>
                  <w:r>
                    <w:rPr>
                      <w:rFonts w:hint="eastAsia" w:ascii="宋体" w:hAnsi="宋体"/>
                      <w:sz w:val="24"/>
                      <w:lang w:eastAsia="zh-CN"/>
                    </w:rPr>
                    <w:t>承建</w:t>
                  </w:r>
                  <w:r>
                    <w:rPr>
                      <w:rFonts w:hint="eastAsia" w:ascii="宋体" w:hAnsi="宋体"/>
                      <w:sz w:val="24"/>
                    </w:rPr>
                    <w:t>的，请填写下表内容：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85" w:type="dxa"/>
                  <w:vMerge w:val="continue"/>
                  <w:tcBorders>
                    <w:left w:val="single" w:color="auto" w:sz="4" w:space="0"/>
                    <w:right w:val="single" w:color="auto" w:sz="4" w:space="0"/>
                  </w:tcBorders>
                  <w:noWrap w:val="0"/>
                  <w:vAlign w:val="center"/>
                </w:tcPr>
                <w:p>
                  <w:pPr>
                    <w:pStyle w:val="57"/>
                    <w:keepNext w:val="0"/>
                    <w:keepLines w:val="0"/>
                    <w:widowControl/>
                    <w:suppressLineNumbers w:val="0"/>
                    <w:spacing w:before="0" w:beforeAutospacing="0" w:after="0" w:afterAutospacing="0"/>
                    <w:ind w:left="0" w:right="0"/>
                    <w:jc w:val="left"/>
                    <w:rPr>
                      <w:rFonts w:hint="default" w:ascii="宋体" w:hAnsi="宋体"/>
                      <w:sz w:val="24"/>
                      <w:lang w:val="en-GB"/>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suppressLineNumbers w:val="0"/>
                    <w:tabs>
                      <w:tab w:val="left" w:pos="1260"/>
                    </w:tabs>
                    <w:spacing w:before="40" w:beforeAutospacing="0" w:after="40" w:afterAutospacing="0"/>
                    <w:ind w:left="0" w:right="0"/>
                    <w:jc w:val="center"/>
                    <w:rPr>
                      <w:rFonts w:hint="eastAsia" w:ascii="宋体" w:hAnsi="宋体" w:eastAsia="宋体"/>
                      <w:color w:val="FF0000"/>
                      <w:sz w:val="24"/>
                      <w:lang w:val="en-GB" w:eastAsia="zh-CN"/>
                    </w:rPr>
                  </w:pPr>
                  <w:r>
                    <w:rPr>
                      <w:rFonts w:hint="eastAsia" w:ascii="宋体" w:hAnsi="宋体"/>
                      <w:color w:val="FF0000"/>
                      <w:sz w:val="24"/>
                      <w:lang w:val="en-GB" w:eastAsia="zh-CN"/>
                    </w:rPr>
                    <w:t>工程</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suppressLineNumbers w:val="0"/>
                    <w:tabs>
                      <w:tab w:val="left" w:pos="1260"/>
                    </w:tabs>
                    <w:spacing w:before="40" w:beforeAutospacing="0" w:after="40" w:afterAutospacing="0"/>
                    <w:ind w:left="0" w:right="0"/>
                    <w:jc w:val="center"/>
                    <w:rPr>
                      <w:rFonts w:hint="default" w:ascii="宋体" w:hAnsi="宋体"/>
                      <w:color w:val="FF0000"/>
                      <w:sz w:val="24"/>
                      <w:lang w:val="en-GB"/>
                    </w:rPr>
                  </w:pPr>
                  <w:r>
                    <w:rPr>
                      <w:rFonts w:hint="eastAsia" w:ascii="宋体" w:hAnsi="宋体"/>
                      <w:color w:val="FF0000"/>
                      <w:sz w:val="24"/>
                      <w:lang w:val="en-GB" w:eastAsia="zh-CN"/>
                    </w:rPr>
                    <w:t>施工单位</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suppressLineNumbers w:val="0"/>
                    <w:tabs>
                      <w:tab w:val="left" w:pos="1260"/>
                    </w:tabs>
                    <w:spacing w:before="40" w:beforeAutospacing="0" w:after="40" w:afterAutospacing="0"/>
                    <w:ind w:left="0" w:right="0"/>
                    <w:jc w:val="center"/>
                    <w:rPr>
                      <w:rFonts w:hint="default" w:ascii="宋体" w:hAnsi="宋体"/>
                      <w:color w:val="FF0000"/>
                      <w:sz w:val="24"/>
                      <w:lang w:val="en-GB"/>
                    </w:rPr>
                  </w:pPr>
                  <w:r>
                    <w:rPr>
                      <w:rFonts w:hint="eastAsia" w:ascii="宋体" w:hAnsi="宋体"/>
                      <w:color w:val="FF0000"/>
                      <w:sz w:val="24"/>
                      <w:lang w:val="en-GB" w:eastAsia="zh-CN"/>
                    </w:rPr>
                    <w:t>施工单位</w:t>
                  </w:r>
                  <w:r>
                    <w:rPr>
                      <w:rFonts w:hint="eastAsia" w:ascii="宋体" w:hAnsi="宋体"/>
                      <w:color w:val="FF0000"/>
                      <w:sz w:val="24"/>
                      <w:lang w:val="en-GB"/>
                    </w:rPr>
                    <w:t>企业类型</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suppressLineNumbers w:val="0"/>
                    <w:tabs>
                      <w:tab w:val="left" w:pos="1260"/>
                    </w:tabs>
                    <w:spacing w:before="40" w:beforeAutospacing="0" w:after="40" w:afterAutospacing="0"/>
                    <w:ind w:left="0" w:right="0"/>
                    <w:jc w:val="center"/>
                    <w:rPr>
                      <w:rFonts w:hint="default" w:ascii="宋体" w:hAnsi="宋体"/>
                      <w:color w:val="FF0000"/>
                      <w:sz w:val="24"/>
                      <w:lang w:val="en-GB"/>
                    </w:rPr>
                  </w:pPr>
                  <w:r>
                    <w:rPr>
                      <w:rFonts w:hint="eastAsia" w:ascii="宋体" w:hAnsi="宋体"/>
                      <w:color w:val="FF0000"/>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85" w:type="dxa"/>
                  <w:vMerge w:val="continue"/>
                  <w:tcBorders>
                    <w:left w:val="single" w:color="auto" w:sz="4" w:space="0"/>
                    <w:right w:val="single" w:color="auto" w:sz="4" w:space="0"/>
                  </w:tcBorders>
                  <w:noWrap w:val="0"/>
                  <w:vAlign w:val="center"/>
                </w:tcPr>
                <w:p>
                  <w:pPr>
                    <w:pStyle w:val="57"/>
                    <w:keepNext w:val="0"/>
                    <w:keepLines w:val="0"/>
                    <w:widowControl/>
                    <w:suppressLineNumbers w:val="0"/>
                    <w:spacing w:before="0" w:beforeAutospacing="0" w:after="0" w:afterAutospacing="0"/>
                    <w:ind w:left="0" w:right="0"/>
                    <w:jc w:val="left"/>
                    <w:rPr>
                      <w:rFonts w:hint="default" w:ascii="宋体" w:hAnsi="宋体"/>
                      <w:sz w:val="24"/>
                      <w:lang w:val="en-GB"/>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suppressLineNumbers w:val="0"/>
                    <w:tabs>
                      <w:tab w:val="left" w:pos="1260"/>
                    </w:tabs>
                    <w:spacing w:before="40" w:beforeAutospacing="0" w:after="40" w:afterAutospacing="0"/>
                    <w:ind w:left="0" w:right="0"/>
                    <w:jc w:val="center"/>
                    <w:rPr>
                      <w:rFonts w:hint="default" w:ascii="宋体" w:hAnsi="宋体"/>
                      <w:sz w:val="24"/>
                      <w:lang w:val="en-GB"/>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suppressLineNumbers w:val="0"/>
                    <w:tabs>
                      <w:tab w:val="left" w:pos="1260"/>
                    </w:tabs>
                    <w:spacing w:before="40" w:beforeAutospacing="0" w:after="40" w:afterAutospacing="0"/>
                    <w:ind w:left="0" w:right="0"/>
                    <w:jc w:val="center"/>
                    <w:rPr>
                      <w:rFonts w:hint="default" w:ascii="宋体" w:hAnsi="宋体"/>
                      <w:sz w:val="24"/>
                      <w:lang w:val="en-GB"/>
                    </w:rPr>
                  </w:pPr>
                </w:p>
              </w:tc>
              <w:tc>
                <w:tcPr>
                  <w:tcW w:w="1016"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suppressLineNumbers w:val="0"/>
                    <w:tabs>
                      <w:tab w:val="left" w:pos="1260"/>
                    </w:tabs>
                    <w:spacing w:before="40" w:beforeAutospacing="0" w:after="40" w:afterAutospacing="0"/>
                    <w:ind w:left="0" w:right="0"/>
                    <w:jc w:val="center"/>
                    <w:rPr>
                      <w:rFonts w:hint="default" w:ascii="宋体" w:hAnsi="宋体"/>
                      <w:sz w:val="24"/>
                      <w:lang w:val="en-GB"/>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suppressLineNumbers w:val="0"/>
                    <w:tabs>
                      <w:tab w:val="left" w:pos="1260"/>
                    </w:tabs>
                    <w:spacing w:before="40" w:beforeAutospacing="0" w:after="40" w:afterAutospacing="0"/>
                    <w:ind w:left="0" w:right="0"/>
                    <w:jc w:val="center"/>
                    <w:rPr>
                      <w:rFonts w:hint="default" w:ascii="宋体" w:hAnsi="宋体"/>
                      <w:sz w:val="24"/>
                      <w:lang w:val="en-GB"/>
                    </w:rPr>
                  </w:pPr>
                </w:p>
              </w:tc>
            </w:tr>
          </w:tbl>
          <w:p>
            <w:pPr>
              <w:spacing w:before="60" w:beforeLines="25" w:after="60" w:afterLines="25" w:line="400" w:lineRule="exac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6</w:t>
            </w:r>
          </w:p>
        </w:tc>
        <w:tc>
          <w:tcPr>
            <w:tcW w:w="1484" w:type="dxa"/>
            <w:vAlign w:val="center"/>
          </w:tcPr>
          <w:p>
            <w:pPr>
              <w:widowControl/>
              <w:spacing w:line="400" w:lineRule="exact"/>
              <w:jc w:val="center"/>
              <w:rPr>
                <w:rFonts w:ascii="宋体" w:hAnsi="宋体"/>
                <w:b/>
                <w:sz w:val="24"/>
              </w:rPr>
            </w:pPr>
            <w:r>
              <w:rPr>
                <w:rFonts w:hint="eastAsia" w:ascii="宋体" w:hAnsi="宋体"/>
                <w:b/>
                <w:sz w:val="24"/>
              </w:rPr>
              <w:t>证明材料</w:t>
            </w:r>
          </w:p>
        </w:tc>
        <w:tc>
          <w:tcPr>
            <w:tcW w:w="6256" w:type="dxa"/>
            <w:tcBorders>
              <w:bottom w:val="single" w:color="auto" w:sz="4" w:space="0"/>
            </w:tcBorders>
          </w:tcPr>
          <w:p>
            <w:pPr>
              <w:spacing w:line="400" w:lineRule="exact"/>
              <w:ind w:firstLine="480" w:firstLineChars="200"/>
              <w:rPr>
                <w:rFonts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ascii="宋体" w:hAnsi="宋体"/>
                <w:sz w:val="24"/>
              </w:rPr>
              <w:t xml:space="preserve"> </w:t>
            </w:r>
          </w:p>
          <w:p>
            <w:pPr>
              <w:spacing w:line="400" w:lineRule="exact"/>
              <w:ind w:firstLine="480" w:firstLineChars="200"/>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widowControl/>
              <w:spacing w:line="400" w:lineRule="exact"/>
              <w:jc w:val="center"/>
              <w:rPr>
                <w:rFonts w:ascii="宋体" w:hAnsi="宋体"/>
                <w:b/>
                <w:sz w:val="24"/>
              </w:rPr>
            </w:pPr>
            <w:r>
              <w:rPr>
                <w:rFonts w:hint="eastAsia" w:ascii="宋体" w:hAnsi="宋体"/>
                <w:b/>
                <w:sz w:val="24"/>
              </w:rPr>
              <w:t>7</w:t>
            </w:r>
          </w:p>
        </w:tc>
        <w:tc>
          <w:tcPr>
            <w:tcW w:w="1484" w:type="dxa"/>
            <w:vAlign w:val="center"/>
          </w:tcPr>
          <w:p>
            <w:pPr>
              <w:widowControl/>
              <w:spacing w:line="400" w:lineRule="exact"/>
              <w:jc w:val="center"/>
              <w:rPr>
                <w:rFonts w:ascii="宋体" w:hAnsi="宋体"/>
                <w:b/>
                <w:sz w:val="24"/>
              </w:rPr>
            </w:pPr>
            <w:r>
              <w:rPr>
                <w:rFonts w:hint="eastAsia" w:ascii="宋体" w:hAnsi="宋体"/>
                <w:b/>
                <w:sz w:val="24"/>
              </w:rPr>
              <w:t>相关风险</w:t>
            </w:r>
          </w:p>
        </w:tc>
        <w:tc>
          <w:tcPr>
            <w:tcW w:w="6256" w:type="dxa"/>
            <w:tcBorders>
              <w:bottom w:val="single" w:color="auto" w:sz="4" w:space="0"/>
            </w:tcBorders>
          </w:tcPr>
          <w:p>
            <w:pPr>
              <w:spacing w:line="400" w:lineRule="exact"/>
              <w:ind w:firstLine="482" w:firstLineChars="200"/>
              <w:rPr>
                <w:rFonts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FF0000"/>
                <w:sz w:val="24"/>
                <w:szCs w:val="24"/>
              </w:rPr>
            </w:pPr>
            <w:r>
              <w:rPr>
                <w:rFonts w:hint="eastAsia" w:asciiTheme="minorEastAsia" w:hAnsiTheme="minorEastAsia"/>
                <w:color w:val="FF0000"/>
                <w:sz w:val="24"/>
                <w:szCs w:val="24"/>
              </w:rPr>
              <w:t>1</w:t>
            </w:r>
            <w:r>
              <w:rPr>
                <w:rFonts w:hint="eastAsia" w:asciiTheme="minorEastAsia" w:hAnsiTheme="minorEastAsia"/>
                <w:color w:val="FF0000"/>
                <w:sz w:val="24"/>
                <w:szCs w:val="24"/>
                <w:lang w:val="en-US" w:eastAsia="zh-CN"/>
              </w:rPr>
              <w:t>.</w:t>
            </w:r>
            <w:r>
              <w:rPr>
                <w:rFonts w:hint="eastAsia" w:asciiTheme="minorEastAsia" w:hAnsiTheme="minorEastAsia"/>
                <w:color w:val="FF0000"/>
                <w:sz w:val="24"/>
                <w:szCs w:val="24"/>
              </w:rPr>
              <w:t>磋商供应商不符合“工信部联企业[2011]300号”规定的中小企业标准的；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FF0000"/>
                <w:sz w:val="24"/>
                <w:szCs w:val="24"/>
              </w:rPr>
            </w:pPr>
            <w:r>
              <w:rPr>
                <w:rFonts w:hint="eastAsia" w:asciiTheme="minorEastAsia" w:hAnsiTheme="minorEastAsia"/>
                <w:color w:val="FF0000"/>
                <w:sz w:val="24"/>
                <w:szCs w:val="24"/>
              </w:rPr>
              <w:t>2</w:t>
            </w:r>
            <w:r>
              <w:rPr>
                <w:rFonts w:hint="eastAsia" w:asciiTheme="minorEastAsia" w:hAnsiTheme="minorEastAsia"/>
                <w:color w:val="FF0000"/>
                <w:sz w:val="24"/>
                <w:szCs w:val="24"/>
                <w:lang w:val="en-US" w:eastAsia="zh-CN"/>
              </w:rPr>
              <w:t>.</w:t>
            </w:r>
            <w:r>
              <w:rPr>
                <w:rFonts w:hint="eastAsia" w:asciiTheme="minorEastAsia" w:hAnsiTheme="minorEastAsia"/>
                <w:color w:val="FF0000"/>
                <w:sz w:val="24"/>
                <w:szCs w:val="24"/>
              </w:rPr>
              <w:t>响应</w:t>
            </w:r>
            <w:r>
              <w:rPr>
                <w:rFonts w:hint="eastAsia" w:asciiTheme="minorEastAsia" w:hAnsiTheme="minorEastAsia"/>
                <w:color w:val="FF0000"/>
                <w:sz w:val="24"/>
                <w:szCs w:val="24"/>
                <w:lang w:eastAsia="zh-CN"/>
              </w:rPr>
              <w:t>工程项目</w:t>
            </w:r>
            <w:r>
              <w:rPr>
                <w:rFonts w:hint="eastAsia" w:asciiTheme="minorEastAsia" w:hAnsiTheme="minorEastAsia"/>
                <w:color w:val="FF0000"/>
                <w:sz w:val="24"/>
                <w:szCs w:val="24"/>
              </w:rPr>
              <w:t>全部或部分为</w:t>
            </w:r>
            <w:r>
              <w:rPr>
                <w:rFonts w:hint="eastAsia" w:asciiTheme="minorEastAsia" w:hAnsiTheme="minorEastAsia"/>
                <w:color w:val="FF0000"/>
                <w:sz w:val="24"/>
                <w:szCs w:val="24"/>
                <w:lang w:eastAsia="zh-CN"/>
              </w:rPr>
              <w:t>由</w:t>
            </w:r>
            <w:r>
              <w:rPr>
                <w:rFonts w:hint="eastAsia" w:asciiTheme="minorEastAsia" w:hAnsiTheme="minorEastAsia"/>
                <w:color w:val="FF0000"/>
                <w:sz w:val="24"/>
                <w:szCs w:val="24"/>
              </w:rPr>
              <w:t>大型企业</w:t>
            </w:r>
            <w:r>
              <w:rPr>
                <w:rFonts w:hint="eastAsia" w:asciiTheme="minorEastAsia" w:hAnsiTheme="minorEastAsia"/>
                <w:color w:val="FF0000"/>
                <w:sz w:val="24"/>
                <w:szCs w:val="24"/>
                <w:lang w:eastAsia="zh-CN"/>
              </w:rPr>
              <w:t>承建</w:t>
            </w:r>
            <w:r>
              <w:rPr>
                <w:rFonts w:hint="eastAsia" w:asciiTheme="minorEastAsia" w:hAnsiTheme="minorEastAsia"/>
                <w:color w:val="FF0000"/>
                <w:sz w:val="24"/>
                <w:szCs w:val="24"/>
              </w:rPr>
              <w:t>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heme="minorEastAsia" w:hAnsiTheme="minorEastAsia"/>
                <w:color w:val="FF0000"/>
                <w:sz w:val="24"/>
                <w:szCs w:val="24"/>
              </w:rPr>
            </w:pPr>
            <w:r>
              <w:rPr>
                <w:rFonts w:hint="eastAsia" w:asciiTheme="minorEastAsia" w:hAnsiTheme="minorEastAsia"/>
                <w:color w:val="FF0000"/>
                <w:sz w:val="24"/>
                <w:szCs w:val="24"/>
              </w:rPr>
              <w:t>3</w:t>
            </w:r>
            <w:r>
              <w:rPr>
                <w:rFonts w:hint="eastAsia" w:asciiTheme="minorEastAsia" w:hAnsiTheme="minorEastAsia"/>
                <w:color w:val="FF0000"/>
                <w:sz w:val="24"/>
                <w:szCs w:val="24"/>
                <w:lang w:val="en-US" w:eastAsia="zh-CN"/>
              </w:rPr>
              <w:t>.</w:t>
            </w:r>
            <w:r>
              <w:rPr>
                <w:rFonts w:hint="eastAsia" w:asciiTheme="minorEastAsia" w:hAnsiTheme="minorEastAsia"/>
                <w:color w:val="FF0000"/>
                <w:sz w:val="24"/>
                <w:szCs w:val="24"/>
              </w:rPr>
              <w:t>未按本附表第5项要求提供合法、有效、完整资料的。</w:t>
            </w:r>
          </w:p>
          <w:p>
            <w:pPr>
              <w:spacing w:line="400" w:lineRule="exact"/>
              <w:ind w:firstLine="482" w:firstLineChars="200"/>
              <w:rPr>
                <w:rFonts w:ascii="宋体" w:hAnsi="宋体" w:cs="SimSun-Identity-H"/>
                <w:b/>
                <w:kern w:val="0"/>
                <w:sz w:val="24"/>
              </w:rPr>
            </w:pPr>
            <w:r>
              <w:rPr>
                <w:rFonts w:hint="eastAsia" w:ascii="宋体" w:hAnsi="宋体" w:cs="SimSun-Identity-H"/>
                <w:b/>
                <w:kern w:val="0"/>
                <w:sz w:val="24"/>
              </w:rPr>
              <w:t>二、提供虚假证明材料后果：</w:t>
            </w:r>
          </w:p>
          <w:p>
            <w:pPr>
              <w:spacing w:line="400" w:lineRule="exact"/>
              <w:ind w:firstLine="480" w:firstLineChars="200"/>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spacing w:line="400" w:lineRule="exact"/>
        <w:outlineLvl w:val="0"/>
        <w:rPr>
          <w:rFonts w:ascii="宋体" w:hAnsi="宋体"/>
          <w:bCs/>
          <w:sz w:val="24"/>
        </w:rPr>
      </w:pPr>
    </w:p>
    <w:p>
      <w:pPr>
        <w:spacing w:line="400" w:lineRule="exact"/>
        <w:jc w:val="center"/>
        <w:outlineLvl w:val="0"/>
        <w:rPr>
          <w:rFonts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600"/>
              <w:jc w:val="center"/>
              <w:rPr>
                <w:rFonts w:ascii="宋体" w:hAnsi="宋体"/>
                <w:b/>
                <w:sz w:val="24"/>
              </w:rPr>
            </w:pPr>
            <w:r>
              <w:rPr>
                <w:rFonts w:hint="eastAsia" w:ascii="宋体" w:hAnsi="宋体"/>
                <w:b/>
                <w:sz w:val="24"/>
              </w:rPr>
              <w:t>二、节能、环境标志、信息安全产品优先采购政策</w:t>
            </w:r>
          </w:p>
          <w:p>
            <w:pPr>
              <w:spacing w:line="400" w:lineRule="exact"/>
              <w:ind w:firstLine="480" w:firstLineChars="200"/>
              <w:rPr>
                <w:rFonts w:ascii="宋体" w:hAnsi="宋体"/>
                <w:sz w:val="24"/>
              </w:rPr>
            </w:pPr>
            <w:r>
              <w:rPr>
                <w:rFonts w:ascii="宋体" w:hAnsi="宋体" w:eastAsia="宋体" w:cs="宋体"/>
                <w:sz w:val="24"/>
                <w:szCs w:val="24"/>
              </w:rPr>
              <w:t>《关于进一步落实政府采购有关政策的通知》黔财采 〔2014〕15号文件规定：</w:t>
            </w:r>
            <w:r>
              <w:rPr>
                <w:rFonts w:ascii="宋体" w:hAnsi="宋体" w:eastAsia="宋体" w:cs="宋体"/>
                <w:sz w:val="24"/>
                <w:szCs w:val="24"/>
              </w:rPr>
              <w:br w:type="textWrapping"/>
            </w:r>
            <w:r>
              <w:rPr>
                <w:rFonts w:ascii="宋体" w:hAnsi="宋体" w:eastAsia="宋体" w:cs="宋体"/>
                <w:sz w:val="24"/>
                <w:szCs w:val="24"/>
              </w:rPr>
              <w:t>对投标产品属于“节能产品清单”或“环保产品清单”有效期内中的产品（强制采购产品除外），在招标采购评审工作过程中，给予适当加分，即在总得分基础上，每一项加0.3分；如投标产品同时属于“节能产品清单”和“环保产品清单”两个清单中产品的，每一项加0.5分，最高不得超过2分。</w:t>
            </w:r>
            <w:r>
              <w:rPr>
                <w:rFonts w:ascii="宋体" w:hAnsi="宋体" w:eastAsia="宋体" w:cs="宋体"/>
                <w:sz w:val="24"/>
                <w:szCs w:val="24"/>
              </w:rPr>
              <w:br w:type="textWrapping"/>
            </w:r>
            <w:r>
              <w:rPr>
                <w:rFonts w:ascii="宋体" w:hAnsi="宋体" w:eastAsia="宋体" w:cs="宋体"/>
                <w:sz w:val="24"/>
                <w:szCs w:val="24"/>
              </w:rPr>
              <w:t>少数民族自治区和享受少数民族自治待遇的省份采购政策</w:t>
            </w:r>
            <w:r>
              <w:rPr>
                <w:rFonts w:ascii="宋体" w:hAnsi="宋体" w:eastAsia="宋体" w:cs="宋体"/>
                <w:sz w:val="24"/>
                <w:szCs w:val="24"/>
              </w:rPr>
              <w:br w:type="textWrapping"/>
            </w:r>
            <w:r>
              <w:rPr>
                <w:rFonts w:ascii="宋体" w:hAnsi="宋体" w:eastAsia="宋体" w:cs="宋体"/>
                <w:sz w:val="24"/>
                <w:szCs w:val="24"/>
              </w:rPr>
              <w:t>对原产地在少数民族自治区和享受少数民族自治待遇的省份的投标主产品（不含附带产品），享受政策性加分和价格扣除，即采用综合评分法或性价比法进行评审的，在总得分基础上加3分；采用最低评标价法进行评审的，对其产品的价格给予6%的扣除，用扣除后的价格参与评审, 具体扣除比例由采购人或者采购代理机构确定。投标主产品按照不得低于本采购项目预算金额50%加以确定，如实行分品目采购的，可以以品目为单位计算。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ind w:firstLine="540" w:firstLineChars="224"/>
              <w:rPr>
                <w:rFonts w:ascii="宋体" w:hAnsi="宋体"/>
                <w:b/>
                <w:sz w:val="24"/>
              </w:rPr>
            </w:pPr>
            <w:r>
              <w:rPr>
                <w:rFonts w:hint="eastAsia" w:ascii="宋体" w:hAnsi="宋体"/>
                <w:b/>
                <w:sz w:val="24"/>
              </w:rPr>
              <w:t>三、提醒事项：</w:t>
            </w:r>
          </w:p>
          <w:p>
            <w:pPr>
              <w:spacing w:line="400" w:lineRule="exact"/>
              <w:ind w:firstLine="540" w:firstLineChars="224"/>
              <w:rPr>
                <w:rFonts w:ascii="宋体" w:hAnsi="宋体"/>
                <w:sz w:val="24"/>
              </w:rPr>
            </w:pPr>
            <w:r>
              <w:rPr>
                <w:rFonts w:hint="eastAsia" w:ascii="宋体" w:hAnsi="宋体"/>
                <w:b/>
                <w:sz w:val="24"/>
              </w:rPr>
              <w:t>成交供应商必须凭成交通知书的原件与采购人签订《政府采购合同》。</w:t>
            </w:r>
          </w:p>
        </w:tc>
      </w:tr>
    </w:tbl>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p>
    <w:p>
      <w:pPr>
        <w:pStyle w:val="10"/>
        <w:spacing w:line="360" w:lineRule="auto"/>
        <w:jc w:val="center"/>
        <w:rPr>
          <w:rFonts w:hAnsi="宋体"/>
          <w:b/>
          <w:sz w:val="32"/>
          <w:szCs w:val="32"/>
        </w:rPr>
      </w:pPr>
      <w:r>
        <w:rPr>
          <w:rFonts w:hAnsi="宋体"/>
          <w:b/>
          <w:sz w:val="32"/>
          <w:szCs w:val="32"/>
        </w:rPr>
        <w:br w:type="page"/>
      </w:r>
    </w:p>
    <w:p>
      <w:pPr>
        <w:pStyle w:val="10"/>
        <w:spacing w:line="360" w:lineRule="auto"/>
        <w:jc w:val="center"/>
        <w:rPr>
          <w:rFonts w:hAnsi="宋体"/>
          <w:b/>
          <w:sz w:val="24"/>
        </w:rPr>
      </w:pPr>
      <w:r>
        <w:rPr>
          <w:rFonts w:hint="eastAsia" w:hAnsi="宋体"/>
          <w:b/>
          <w:sz w:val="32"/>
          <w:szCs w:val="32"/>
        </w:rPr>
        <w:t xml:space="preserve">第三章  </w:t>
      </w:r>
      <w:r>
        <w:rPr>
          <w:rFonts w:hint="eastAsia" w:hAnsi="宋体"/>
          <w:b/>
          <w:sz w:val="36"/>
          <w:szCs w:val="36"/>
        </w:rPr>
        <w:t>谈判供应商须知正文部分</w:t>
      </w:r>
    </w:p>
    <w:p>
      <w:pPr>
        <w:pStyle w:val="10"/>
        <w:spacing w:line="400" w:lineRule="exact"/>
        <w:jc w:val="center"/>
        <w:rPr>
          <w:rFonts w:hAnsi="宋体"/>
          <w:b/>
          <w:sz w:val="24"/>
        </w:rPr>
      </w:pPr>
      <w:r>
        <w:rPr>
          <w:rFonts w:hint="eastAsia" w:hAnsi="宋体"/>
          <w:b/>
          <w:sz w:val="24"/>
        </w:rPr>
        <w:t>一、</w:t>
      </w:r>
      <w:r>
        <w:rPr>
          <w:rFonts w:hAnsi="宋体"/>
          <w:b/>
          <w:sz w:val="24"/>
        </w:rPr>
        <w:t>说明</w:t>
      </w:r>
    </w:p>
    <w:p>
      <w:pPr>
        <w:pStyle w:val="10"/>
        <w:spacing w:line="400" w:lineRule="exact"/>
        <w:jc w:val="left"/>
        <w:rPr>
          <w:rFonts w:hAnsi="宋体"/>
          <w:b/>
          <w:sz w:val="24"/>
        </w:rPr>
      </w:pPr>
      <w:r>
        <w:rPr>
          <w:rFonts w:hAnsi="宋体"/>
          <w:b/>
          <w:sz w:val="24"/>
        </w:rPr>
        <w:t>1.适用范围</w:t>
      </w:r>
    </w:p>
    <w:p>
      <w:pPr>
        <w:pStyle w:val="10"/>
        <w:spacing w:line="400" w:lineRule="exact"/>
        <w:ind w:firstLine="480" w:firstLineChars="200"/>
        <w:jc w:val="left"/>
        <w:rPr>
          <w:rFonts w:hAnsi="宋体"/>
          <w:sz w:val="24"/>
        </w:rPr>
      </w:pPr>
      <w:r>
        <w:rPr>
          <w:rFonts w:hAnsi="宋体"/>
          <w:sz w:val="24"/>
        </w:rPr>
        <w:t>1.1本谈判文件仅适用于邀请中所叙述项目的货物采购。</w:t>
      </w:r>
    </w:p>
    <w:p>
      <w:pPr>
        <w:pStyle w:val="10"/>
        <w:spacing w:line="400" w:lineRule="exact"/>
        <w:jc w:val="left"/>
        <w:rPr>
          <w:rFonts w:hAnsi="宋体"/>
          <w:b/>
          <w:sz w:val="24"/>
        </w:rPr>
      </w:pPr>
      <w:r>
        <w:rPr>
          <w:rFonts w:hAnsi="宋体"/>
          <w:b/>
          <w:sz w:val="24"/>
        </w:rPr>
        <w:t>2.定义</w:t>
      </w:r>
    </w:p>
    <w:p>
      <w:pPr>
        <w:spacing w:line="400" w:lineRule="exact"/>
        <w:ind w:firstLine="480" w:firstLineChars="200"/>
        <w:rPr>
          <w:rFonts w:ascii="宋体" w:hAnsi="宋体"/>
          <w:sz w:val="24"/>
        </w:rPr>
      </w:pPr>
      <w:r>
        <w:rPr>
          <w:rFonts w:hint="eastAsia" w:ascii="宋体" w:hAnsi="宋体"/>
          <w:sz w:val="24"/>
        </w:rPr>
        <w:t>2.1 “采购人”系指采购单位。是采购活动当事人之一，负责项目的整体规划、技术方案可行性设计论证与实施，作为合同采购方(用户)的主体承担质疑回复、履行合同、验收等义务。</w:t>
      </w:r>
    </w:p>
    <w:p>
      <w:pPr>
        <w:spacing w:line="400" w:lineRule="exact"/>
        <w:ind w:firstLine="480" w:firstLineChars="200"/>
        <w:rPr>
          <w:rFonts w:ascii="宋体" w:hAnsi="宋体"/>
          <w:sz w:val="24"/>
        </w:rPr>
      </w:pPr>
      <w:r>
        <w:rPr>
          <w:rFonts w:hint="eastAsia" w:ascii="宋体" w:hAnsi="宋体"/>
          <w:sz w:val="24"/>
        </w:rPr>
        <w:t>2.2 “采购单位”系指组织本次采购活动的采购人或采购代理机构。</w:t>
      </w:r>
    </w:p>
    <w:p>
      <w:pPr>
        <w:spacing w:line="400" w:lineRule="exact"/>
        <w:ind w:firstLine="480" w:firstLineChars="200"/>
        <w:rPr>
          <w:rFonts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10"/>
        <w:spacing w:line="400" w:lineRule="exact"/>
        <w:ind w:firstLine="480" w:firstLineChars="200"/>
        <w:jc w:val="left"/>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rPr>
        <w:t>购买了本谈判文件，且已经</w:t>
      </w:r>
      <w:r>
        <w:rPr>
          <w:rFonts w:hAnsi="宋体"/>
          <w:sz w:val="24"/>
        </w:rPr>
        <w:t>提交</w:t>
      </w:r>
      <w:r>
        <w:rPr>
          <w:rFonts w:hint="eastAsia" w:hAnsi="宋体"/>
          <w:sz w:val="24"/>
        </w:rPr>
        <w:t>或准备提交</w:t>
      </w:r>
      <w:r>
        <w:rPr>
          <w:rFonts w:hAnsi="宋体"/>
          <w:sz w:val="24"/>
        </w:rPr>
        <w:t>响应文件的制造商或供货商。</w:t>
      </w:r>
    </w:p>
    <w:p>
      <w:pPr>
        <w:pStyle w:val="10"/>
        <w:spacing w:line="400" w:lineRule="exact"/>
        <w:ind w:firstLine="480" w:firstLineChars="200"/>
        <w:jc w:val="left"/>
        <w:rPr>
          <w:rFonts w:hAnsi="宋体"/>
          <w:sz w:val="24"/>
        </w:rPr>
      </w:pPr>
      <w:r>
        <w:rPr>
          <w:rFonts w:hAnsi="宋体"/>
          <w:sz w:val="24"/>
        </w:rPr>
        <w:t>2.</w:t>
      </w:r>
      <w:r>
        <w:rPr>
          <w:rFonts w:hint="eastAsia" w:hAnsi="宋体"/>
          <w:sz w:val="24"/>
        </w:rPr>
        <w:t>5</w:t>
      </w:r>
      <w:r>
        <w:rPr>
          <w:rFonts w:hAnsi="宋体"/>
          <w:sz w:val="24"/>
        </w:rPr>
        <w:t xml:space="preserve"> “货物”系指</w:t>
      </w:r>
      <w:r>
        <w:rPr>
          <w:rFonts w:hint="eastAsia" w:hAnsi="宋体"/>
          <w:sz w:val="24"/>
        </w:rPr>
        <w:t>指各种形态和和种类的物品，包括原材料、燃料、设备、产品等。</w:t>
      </w:r>
    </w:p>
    <w:p>
      <w:pPr>
        <w:pStyle w:val="10"/>
        <w:spacing w:line="400" w:lineRule="exact"/>
        <w:jc w:val="left"/>
        <w:rPr>
          <w:rFonts w:hAnsi="宋体"/>
          <w:b/>
          <w:sz w:val="24"/>
        </w:rPr>
      </w:pPr>
      <w:r>
        <w:rPr>
          <w:rFonts w:hAnsi="宋体"/>
          <w:b/>
          <w:sz w:val="24"/>
        </w:rPr>
        <w:t>3.合格的谈判响应供应商</w:t>
      </w:r>
    </w:p>
    <w:p>
      <w:pPr>
        <w:spacing w:line="400" w:lineRule="exact"/>
        <w:ind w:firstLine="480" w:firstLineChars="200"/>
        <w:rPr>
          <w:rFonts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spacing w:line="400" w:lineRule="exact"/>
        <w:ind w:firstLine="480" w:firstLineChars="200"/>
        <w:rPr>
          <w:rFonts w:ascii="宋体" w:hAnsi="宋体"/>
          <w:sz w:val="24"/>
        </w:rPr>
      </w:pPr>
      <w:r>
        <w:rPr>
          <w:rFonts w:hint="eastAsia" w:ascii="宋体" w:hAnsi="宋体"/>
          <w:sz w:val="24"/>
        </w:rPr>
        <w:t>谈判响应供应商具备《中华人民共和国政府采购法》第二十二条第一款规定的条件，应提供以下材料：</w:t>
      </w:r>
    </w:p>
    <w:p>
      <w:pPr>
        <w:spacing w:line="400" w:lineRule="exact"/>
        <w:ind w:firstLine="480"/>
        <w:rPr>
          <w:rFonts w:ascii="宋体" w:hAnsi="宋体"/>
          <w:color w:val="FF0000"/>
          <w:sz w:val="24"/>
        </w:rPr>
      </w:pPr>
      <w:r>
        <w:rPr>
          <w:rFonts w:hint="eastAsia" w:ascii="宋体" w:hAnsi="宋体"/>
          <w:color w:val="FF0000"/>
          <w:sz w:val="24"/>
        </w:rPr>
        <w:t>（1）法人或者其他组织的营业执照等证明文件，自然人的身份证明；</w:t>
      </w:r>
    </w:p>
    <w:p>
      <w:pPr>
        <w:spacing w:line="400" w:lineRule="exact"/>
        <w:ind w:firstLine="480"/>
        <w:rPr>
          <w:rFonts w:hint="eastAsia" w:ascii="宋体" w:hAnsi="宋体" w:eastAsiaTheme="minorEastAsia"/>
          <w:color w:val="FF0000"/>
          <w:sz w:val="24"/>
          <w:lang w:eastAsia="zh-CN"/>
        </w:rPr>
      </w:pPr>
      <w:r>
        <w:rPr>
          <w:rFonts w:hint="eastAsia" w:ascii="宋体" w:hAnsi="宋体"/>
          <w:color w:val="FF0000"/>
          <w:sz w:val="24"/>
        </w:rPr>
        <w:t>谈判响应供应商是法人或者其他组织的应提供营业执照等证明文件，谈判响应供应商是自然人的应提供有效的自然人身份证明</w:t>
      </w:r>
      <w:r>
        <w:rPr>
          <w:rFonts w:hint="eastAsia" w:ascii="宋体" w:hAnsi="宋体"/>
          <w:color w:val="FF0000"/>
          <w:sz w:val="24"/>
          <w:lang w:eastAsia="zh-CN"/>
        </w:rPr>
        <w:t>；</w:t>
      </w:r>
    </w:p>
    <w:p>
      <w:pPr>
        <w:pStyle w:val="29"/>
        <w:numPr>
          <w:ilvl w:val="0"/>
          <w:numId w:val="4"/>
        </w:numPr>
        <w:spacing w:line="400" w:lineRule="exact"/>
        <w:ind w:firstLine="480" w:firstLineChars="200"/>
        <w:rPr>
          <w:rFonts w:hint="eastAsia"/>
          <w:color w:val="FF0000"/>
        </w:rPr>
      </w:pPr>
      <w:r>
        <w:rPr>
          <w:rFonts w:hint="eastAsia" w:asciiTheme="minorEastAsia" w:hAnsiTheme="minorEastAsia" w:cstheme="minorEastAsia"/>
          <w:color w:val="FF0000"/>
          <w:sz w:val="24"/>
          <w:szCs w:val="24"/>
        </w:rPr>
        <w:t>供应商是法人的，应提供</w:t>
      </w:r>
      <w:r>
        <w:rPr>
          <w:rFonts w:hint="eastAsia" w:asciiTheme="minorEastAsia" w:hAnsiTheme="minorEastAsia" w:cstheme="minorEastAsia"/>
          <w:color w:val="FF0000"/>
          <w:sz w:val="24"/>
          <w:szCs w:val="24"/>
          <w:lang w:eastAsia="zh-CN"/>
        </w:rPr>
        <w:t>近半年任意一个月的财务报表（至少包括资产负债表和利润表）</w:t>
      </w:r>
      <w:r>
        <w:rPr>
          <w:rFonts w:hint="eastAsia" w:asciiTheme="minorEastAsia" w:hAnsiTheme="minorEastAsia" w:cstheme="minorEastAsia"/>
          <w:color w:val="FF0000"/>
          <w:sz w:val="24"/>
          <w:szCs w:val="24"/>
        </w:rPr>
        <w:t>。新成立未满一年、部分其他组织和自然人，可以提供银行出具的资信证明</w:t>
      </w:r>
      <w:r>
        <w:rPr>
          <w:rFonts w:hint="eastAsia"/>
          <w:color w:val="FF0000"/>
        </w:rPr>
        <w:t>；</w:t>
      </w:r>
    </w:p>
    <w:p>
      <w:pPr>
        <w:pStyle w:val="29"/>
        <w:numPr>
          <w:ilvl w:val="0"/>
          <w:numId w:val="4"/>
        </w:numPr>
        <w:spacing w:line="400" w:lineRule="exact"/>
        <w:ind w:firstLine="480" w:firstLineChars="200"/>
        <w:rPr>
          <w:rFonts w:hint="eastAsia"/>
          <w:color w:val="FF0000"/>
        </w:rPr>
      </w:pPr>
      <w:r>
        <w:rPr>
          <w:rFonts w:hint="eastAsia" w:asciiTheme="minorEastAsia" w:hAnsiTheme="minorEastAsia" w:cstheme="minorEastAsia"/>
          <w:color w:val="FF0000"/>
          <w:sz w:val="24"/>
          <w:szCs w:val="24"/>
        </w:rPr>
        <w:t>具有履行合同所必需的设备和专业技术能力</w:t>
      </w:r>
      <w:r>
        <w:rPr>
          <w:rFonts w:hint="eastAsia" w:asciiTheme="minorEastAsia" w:hAnsiTheme="minorEastAsia" w:cstheme="minorEastAsia"/>
          <w:color w:val="FF0000"/>
          <w:sz w:val="24"/>
          <w:szCs w:val="24"/>
          <w:lang w:eastAsia="zh-CN"/>
        </w:rPr>
        <w:t>证明材料或承诺书；</w:t>
      </w:r>
    </w:p>
    <w:p>
      <w:pPr>
        <w:spacing w:line="400" w:lineRule="exact"/>
        <w:ind w:firstLine="480" w:firstLineChars="200"/>
        <w:rPr>
          <w:rFonts w:ascii="宋体" w:hAnsi="宋体"/>
          <w:color w:val="FF0000"/>
          <w:sz w:val="24"/>
        </w:rPr>
      </w:pPr>
      <w:r>
        <w:rPr>
          <w:rFonts w:hint="eastAsia" w:ascii="宋体" w:hAnsi="宋体"/>
          <w:color w:val="FF0000"/>
          <w:sz w:val="24"/>
        </w:rPr>
        <w:t>（4）</w:t>
      </w:r>
      <w:r>
        <w:rPr>
          <w:rFonts w:hint="eastAsia" w:ascii="宋体" w:hAnsi="宋体"/>
          <w:color w:val="FF0000"/>
          <w:sz w:val="24"/>
          <w:szCs w:val="24"/>
        </w:rPr>
        <w:t>有依法缴纳税收和社会保障资金的良好记录</w:t>
      </w:r>
      <w:r>
        <w:rPr>
          <w:rFonts w:hint="eastAsia" w:ascii="宋体" w:hAnsi="宋体"/>
          <w:color w:val="FF0000"/>
          <w:sz w:val="24"/>
          <w:szCs w:val="24"/>
          <w:lang w:eastAsia="zh-CN"/>
        </w:rPr>
        <w:t>证明材料</w:t>
      </w:r>
      <w:r>
        <w:rPr>
          <w:rFonts w:hint="eastAsia" w:ascii="宋体" w:hAnsi="宋体"/>
          <w:color w:val="FF0000"/>
          <w:sz w:val="24"/>
        </w:rPr>
        <w:t>；</w:t>
      </w:r>
    </w:p>
    <w:p>
      <w:pPr>
        <w:spacing w:line="400" w:lineRule="exact"/>
        <w:ind w:firstLine="480" w:firstLineChars="200"/>
        <w:rPr>
          <w:rFonts w:hint="eastAsia" w:ascii="宋体" w:hAnsi="宋体" w:eastAsiaTheme="minorEastAsia"/>
          <w:color w:val="FF0000"/>
          <w:sz w:val="24"/>
          <w:lang w:eastAsia="zh-CN"/>
        </w:rPr>
      </w:pPr>
      <w:r>
        <w:rPr>
          <w:rFonts w:hint="eastAsia" w:ascii="宋体" w:hAnsi="宋体"/>
          <w:color w:val="FF0000"/>
          <w:sz w:val="24"/>
        </w:rPr>
        <w:t>（5）参加政府采购活动前3年内在经营活动中没有重大违法记录的书面声明</w:t>
      </w:r>
      <w:r>
        <w:rPr>
          <w:rFonts w:hint="eastAsia" w:ascii="宋体" w:hAnsi="宋体"/>
          <w:color w:val="FF0000"/>
          <w:sz w:val="24"/>
          <w:szCs w:val="24"/>
          <w:lang w:eastAsia="zh-CN"/>
        </w:rPr>
        <w:t>；</w:t>
      </w:r>
    </w:p>
    <w:p>
      <w:pPr>
        <w:spacing w:line="400" w:lineRule="exact"/>
        <w:ind w:firstLine="480" w:firstLineChars="200"/>
        <w:rPr>
          <w:rFonts w:hint="eastAsia" w:ascii="宋体" w:hAnsi="宋体" w:eastAsiaTheme="minorEastAsia"/>
          <w:color w:val="FF0000"/>
          <w:sz w:val="24"/>
          <w:lang w:eastAsia="zh-CN"/>
        </w:rPr>
      </w:pPr>
      <w:r>
        <w:rPr>
          <w:rFonts w:hint="eastAsia" w:ascii="宋体" w:hAnsi="宋体"/>
          <w:color w:val="FF0000"/>
          <w:sz w:val="24"/>
          <w:lang w:eastAsia="zh-CN"/>
        </w:rPr>
        <w:t>（</w:t>
      </w:r>
      <w:r>
        <w:rPr>
          <w:rFonts w:hint="eastAsia" w:ascii="宋体" w:hAnsi="宋体"/>
          <w:color w:val="FF0000"/>
          <w:sz w:val="24"/>
          <w:lang w:val="en-US" w:eastAsia="zh-CN"/>
        </w:rPr>
        <w:t>6</w:t>
      </w:r>
      <w:r>
        <w:rPr>
          <w:rFonts w:hint="eastAsia" w:ascii="宋体" w:hAnsi="宋体"/>
          <w:color w:val="FF0000"/>
          <w:sz w:val="24"/>
          <w:lang w:eastAsia="zh-CN"/>
        </w:rPr>
        <w:t>）</w:t>
      </w:r>
      <w:r>
        <w:rPr>
          <w:rFonts w:hint="eastAsia" w:ascii="宋体" w:hAnsi="宋体"/>
          <w:color w:val="FF0000"/>
          <w:sz w:val="24"/>
        </w:rPr>
        <w:t>具备法律、行政法规规定的其他条件的证明材料。</w:t>
      </w:r>
      <w:r>
        <w:rPr>
          <w:rFonts w:hint="eastAsia" w:ascii="宋体" w:hAnsi="宋体"/>
          <w:color w:val="FF0000"/>
          <w:sz w:val="24"/>
          <w:lang w:eastAsia="zh-CN"/>
        </w:rPr>
        <w:t>（</w:t>
      </w:r>
      <w:r>
        <w:rPr>
          <w:rFonts w:hint="eastAsia"/>
          <w:color w:val="FF0000"/>
          <w:sz w:val="24"/>
          <w:lang w:val="en-US" w:eastAsia="zh-CN"/>
        </w:rPr>
        <w:t>建筑总承</w:t>
      </w:r>
      <w:r>
        <w:rPr>
          <w:rFonts w:hint="eastAsia"/>
          <w:color w:val="FF0000"/>
          <w:sz w:val="24"/>
          <w:lang w:eastAsia="zh-CN"/>
        </w:rPr>
        <w:t>包二级及以上资质并同时具备装修资质；人员配置：需配备项目负责人，具备二级建造师和工程师及以上资格。</w:t>
      </w:r>
      <w:r>
        <w:rPr>
          <w:rFonts w:hint="eastAsia" w:ascii="宋体" w:hAnsi="宋体"/>
          <w:color w:val="FF0000"/>
          <w:sz w:val="24"/>
          <w:lang w:eastAsia="zh-CN"/>
        </w:rPr>
        <w:t>）</w:t>
      </w:r>
    </w:p>
    <w:p>
      <w:pPr>
        <w:spacing w:line="400" w:lineRule="exact"/>
        <w:ind w:firstLine="480" w:firstLineChars="200"/>
        <w:rPr>
          <w:rFonts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spacing w:line="400" w:lineRule="exact"/>
        <w:ind w:firstLine="480" w:firstLineChars="200"/>
        <w:rPr>
          <w:rFonts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spacing w:line="400" w:lineRule="exact"/>
        <w:ind w:firstLine="480" w:firstLineChars="200"/>
        <w:rPr>
          <w:rFonts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spacing w:line="400" w:lineRule="exact"/>
        <w:ind w:firstLine="480" w:firstLineChars="200"/>
        <w:rPr>
          <w:rFonts w:ascii="宋体" w:hAnsi="宋体"/>
          <w:sz w:val="24"/>
          <w:szCs w:val="24"/>
        </w:rPr>
      </w:pPr>
      <w:r>
        <w:rPr>
          <w:rFonts w:hint="eastAsia" w:ascii="宋体" w:hAnsi="宋体"/>
          <w:sz w:val="24"/>
          <w:szCs w:val="24"/>
        </w:rPr>
        <w:t>3.5若接受联合体谈判，则两个或者两个以上谈判响应供应商可以组成一个响应联合体，以一个谈判响应供应商的身份响应。</w:t>
      </w:r>
    </w:p>
    <w:p>
      <w:pPr>
        <w:spacing w:line="400" w:lineRule="exact"/>
        <w:ind w:firstLine="480" w:firstLineChars="200"/>
        <w:rPr>
          <w:rFonts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spacing w:line="400" w:lineRule="exact"/>
        <w:ind w:firstLine="480" w:firstLineChars="200"/>
        <w:rPr>
          <w:rFonts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spacing w:line="400" w:lineRule="exact"/>
        <w:ind w:firstLine="480" w:firstLineChars="200"/>
        <w:rPr>
          <w:rFonts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spacing w:line="400" w:lineRule="exact"/>
        <w:ind w:firstLine="600" w:firstLineChars="250"/>
        <w:rPr>
          <w:rFonts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spacing w:line="400" w:lineRule="exact"/>
        <w:ind w:firstLine="480" w:firstLineChars="200"/>
        <w:rPr>
          <w:rFonts w:ascii="宋体" w:hAnsi="宋体"/>
          <w:sz w:val="24"/>
          <w:szCs w:val="24"/>
        </w:rPr>
      </w:pPr>
      <w:r>
        <w:rPr>
          <w:rFonts w:hint="eastAsia" w:ascii="宋体" w:hAnsi="宋体"/>
          <w:sz w:val="24"/>
          <w:szCs w:val="24"/>
        </w:rPr>
        <w:t>3.6谈判代理人在同一个项目中只能接受一个谈判响应供应商的委托参加谈判响应。</w:t>
      </w:r>
    </w:p>
    <w:p>
      <w:pPr>
        <w:spacing w:line="400" w:lineRule="exact"/>
        <w:ind w:firstLine="480" w:firstLineChars="200"/>
        <w:rPr>
          <w:rFonts w:ascii="宋体" w:hAnsi="宋体"/>
          <w:sz w:val="24"/>
          <w:szCs w:val="24"/>
        </w:rPr>
      </w:pPr>
      <w:r>
        <w:rPr>
          <w:rFonts w:hint="eastAsia" w:ascii="宋体" w:hAnsi="宋体"/>
          <w:sz w:val="24"/>
          <w:szCs w:val="24"/>
        </w:rPr>
        <w:t>3.7谈判响应供应商存在下列情形之一的，将被认定为串通响应行为并作无效响应处理：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（2）谈判响应供应商之间约定成交供应商；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（6）不同谈判响应供应商的响应文件由同一单位或者个人编制；</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（10）不同谈判响应供应商的响应文件相互混装；</w:t>
      </w:r>
    </w:p>
    <w:p>
      <w:pPr>
        <w:spacing w:line="400" w:lineRule="exact"/>
        <w:ind w:firstLine="480" w:firstLineChars="200"/>
        <w:rPr>
          <w:rFonts w:ascii="宋体" w:hAnsi="宋体"/>
          <w:sz w:val="24"/>
          <w:szCs w:val="24"/>
        </w:rPr>
      </w:pPr>
      <w:r>
        <w:rPr>
          <w:rFonts w:hint="eastAsia" w:ascii="宋体" w:hAnsi="宋体"/>
          <w:color w:val="000000"/>
          <w:sz w:val="24"/>
          <w:szCs w:val="24"/>
        </w:rPr>
        <w:t>（11）不同谈判响应供应商的谈判保证金从同一单位或者个人的账户转出。</w:t>
      </w:r>
    </w:p>
    <w:p>
      <w:pPr>
        <w:spacing w:line="400" w:lineRule="exact"/>
        <w:ind w:firstLine="480" w:firstLineChars="200"/>
        <w:rPr>
          <w:rFonts w:ascii="宋体" w:hAnsi="宋体"/>
          <w:sz w:val="24"/>
          <w:szCs w:val="24"/>
        </w:rPr>
      </w:pPr>
      <w:r>
        <w:rPr>
          <w:rFonts w:hint="eastAsia" w:ascii="宋体" w:hAnsi="宋体"/>
          <w:sz w:val="24"/>
          <w:szCs w:val="24"/>
        </w:rPr>
        <w:t>（12）不同谈判响应供应商的响应文件错、漏之处一致或雷同，且不能合理解释的；</w:t>
      </w:r>
    </w:p>
    <w:p>
      <w:pPr>
        <w:spacing w:line="400" w:lineRule="exact"/>
        <w:ind w:firstLine="480" w:firstLineChars="200"/>
        <w:rPr>
          <w:rFonts w:ascii="宋体" w:hAnsi="宋体"/>
          <w:sz w:val="24"/>
          <w:szCs w:val="24"/>
        </w:rPr>
      </w:pPr>
      <w:r>
        <w:rPr>
          <w:rFonts w:hint="eastAsia" w:ascii="宋体" w:hAnsi="宋体"/>
          <w:sz w:val="24"/>
          <w:szCs w:val="24"/>
        </w:rPr>
        <w:t>（13）不同的谈判响应供应商的法定代表人、委托代理人等由同一个单位缴纳社会保险的；</w:t>
      </w:r>
    </w:p>
    <w:p>
      <w:pPr>
        <w:spacing w:line="400" w:lineRule="exact"/>
        <w:ind w:firstLine="480" w:firstLineChars="200"/>
        <w:rPr>
          <w:rFonts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spacing w:line="400" w:lineRule="exact"/>
        <w:ind w:firstLine="480" w:firstLineChars="200"/>
        <w:rPr>
          <w:rFonts w:ascii="宋体" w:hAnsi="宋体"/>
          <w:sz w:val="24"/>
          <w:szCs w:val="24"/>
        </w:rPr>
      </w:pPr>
      <w:r>
        <w:rPr>
          <w:rFonts w:hint="eastAsia" w:ascii="宋体" w:hAnsi="宋体"/>
          <w:sz w:val="24"/>
          <w:szCs w:val="24"/>
        </w:rPr>
        <w:t>(15) 法定代表人、单位负责人为同一人或夫妻关系的不同供应商；</w:t>
      </w:r>
    </w:p>
    <w:p>
      <w:pPr>
        <w:spacing w:line="400" w:lineRule="exact"/>
        <w:ind w:firstLine="480" w:firstLineChars="200"/>
        <w:rPr>
          <w:rFonts w:ascii="宋体" w:hAnsi="宋体"/>
          <w:sz w:val="24"/>
          <w:szCs w:val="24"/>
        </w:rPr>
      </w:pPr>
      <w:r>
        <w:rPr>
          <w:rFonts w:hint="eastAsia" w:ascii="宋体" w:hAnsi="宋体"/>
          <w:sz w:val="24"/>
          <w:szCs w:val="24"/>
        </w:rPr>
        <w:t>(16) 存在直接控股、管理关系的不同供应商；</w:t>
      </w:r>
    </w:p>
    <w:p>
      <w:pPr>
        <w:spacing w:line="400" w:lineRule="exact"/>
        <w:ind w:firstLine="480" w:firstLineChars="200"/>
        <w:rPr>
          <w:rFonts w:ascii="宋体" w:hAnsi="宋体"/>
          <w:sz w:val="24"/>
          <w:szCs w:val="24"/>
        </w:rPr>
      </w:pPr>
      <w:r>
        <w:rPr>
          <w:rFonts w:hint="eastAsia" w:ascii="宋体" w:hAnsi="宋体"/>
          <w:sz w:val="24"/>
          <w:szCs w:val="24"/>
        </w:rPr>
        <w:t>(17) 均为同一家母公司直接或间接持股50％及以上的被投资公司。</w:t>
      </w:r>
    </w:p>
    <w:p>
      <w:pPr>
        <w:spacing w:line="400" w:lineRule="exact"/>
        <w:ind w:firstLine="480" w:firstLineChars="200"/>
        <w:rPr>
          <w:rFonts w:ascii="宋体" w:hAnsi="宋体"/>
          <w:color w:val="000000"/>
          <w:sz w:val="24"/>
          <w:szCs w:val="24"/>
        </w:rPr>
      </w:pPr>
      <w:r>
        <w:rPr>
          <w:rFonts w:hint="eastAsia" w:ascii="宋体" w:hAnsi="宋体"/>
          <w:sz w:val="24"/>
          <w:szCs w:val="24"/>
        </w:rPr>
        <w:t>（18）有关法律、法规或规章规定的其他串通行为。</w:t>
      </w:r>
    </w:p>
    <w:p>
      <w:pPr>
        <w:pStyle w:val="10"/>
        <w:spacing w:line="400" w:lineRule="exact"/>
        <w:jc w:val="left"/>
        <w:rPr>
          <w:rFonts w:hAnsi="宋体"/>
          <w:b/>
          <w:sz w:val="24"/>
        </w:rPr>
      </w:pPr>
      <w:r>
        <w:rPr>
          <w:rFonts w:hAnsi="宋体"/>
          <w:b/>
          <w:sz w:val="24"/>
        </w:rPr>
        <w:t>4.谈判费用</w:t>
      </w:r>
    </w:p>
    <w:p>
      <w:pPr>
        <w:pStyle w:val="10"/>
        <w:spacing w:line="400" w:lineRule="exact"/>
        <w:ind w:firstLine="480" w:firstLineChars="200"/>
        <w:jc w:val="left"/>
        <w:rPr>
          <w:rFonts w:hAnsi="宋体"/>
          <w:sz w:val="24"/>
        </w:rPr>
      </w:pPr>
      <w:r>
        <w:rPr>
          <w:rFonts w:hAnsi="宋体"/>
          <w:sz w:val="24"/>
        </w:rPr>
        <w:t>谈判响应供应商应承担其准备与参加谈判所涉及的一切费用。</w:t>
      </w:r>
    </w:p>
    <w:p>
      <w:pPr>
        <w:pStyle w:val="10"/>
        <w:spacing w:line="400" w:lineRule="exact"/>
        <w:jc w:val="left"/>
        <w:rPr>
          <w:rFonts w:hAnsi="宋体"/>
          <w:b/>
          <w:sz w:val="24"/>
        </w:rPr>
      </w:pPr>
      <w:r>
        <w:rPr>
          <w:rFonts w:hAnsi="宋体"/>
          <w:b/>
          <w:sz w:val="24"/>
        </w:rPr>
        <w:t>5.知识产权</w:t>
      </w:r>
    </w:p>
    <w:p>
      <w:pPr>
        <w:pStyle w:val="10"/>
        <w:spacing w:line="400" w:lineRule="exact"/>
        <w:ind w:firstLine="480" w:firstLineChars="200"/>
        <w:jc w:val="left"/>
        <w:rPr>
          <w:rFonts w:hAnsi="宋体"/>
          <w:sz w:val="24"/>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32"/>
        <w:spacing w:line="400" w:lineRule="exact"/>
        <w:jc w:val="center"/>
        <w:outlineLvl w:val="9"/>
        <w:rPr>
          <w:rFonts w:hAnsi="宋体"/>
          <w:b/>
          <w:sz w:val="24"/>
        </w:rPr>
      </w:pPr>
      <w:r>
        <w:rPr>
          <w:rFonts w:hint="eastAsia" w:hAnsi="宋体"/>
          <w:b/>
          <w:sz w:val="24"/>
        </w:rPr>
        <w:t>二、</w:t>
      </w:r>
      <w:r>
        <w:rPr>
          <w:rFonts w:hAnsi="宋体"/>
          <w:b/>
          <w:sz w:val="24"/>
        </w:rPr>
        <w:t xml:space="preserve"> </w:t>
      </w:r>
      <w:r>
        <w:rPr>
          <w:rFonts w:hint="eastAsia" w:hAnsi="宋体"/>
          <w:b/>
          <w:sz w:val="24"/>
        </w:rPr>
        <w:t>谈判文件</w:t>
      </w:r>
    </w:p>
    <w:p>
      <w:pPr>
        <w:pStyle w:val="10"/>
        <w:spacing w:line="400" w:lineRule="exact"/>
        <w:jc w:val="left"/>
        <w:rPr>
          <w:rFonts w:hAnsi="宋体"/>
          <w:b/>
          <w:sz w:val="24"/>
        </w:rPr>
      </w:pPr>
      <w:r>
        <w:rPr>
          <w:rFonts w:hAnsi="宋体"/>
          <w:b/>
          <w:sz w:val="24"/>
        </w:rPr>
        <w:t>6.谈判文件的组成</w:t>
      </w:r>
    </w:p>
    <w:p>
      <w:pPr>
        <w:pStyle w:val="10"/>
        <w:spacing w:line="400" w:lineRule="exact"/>
        <w:ind w:firstLine="480" w:firstLineChars="200"/>
        <w:jc w:val="left"/>
        <w:rPr>
          <w:rFonts w:hAnsi="宋体"/>
          <w:sz w:val="24"/>
        </w:rPr>
      </w:pPr>
      <w:r>
        <w:rPr>
          <w:rFonts w:hAnsi="宋体"/>
          <w:sz w:val="24"/>
        </w:rPr>
        <w:t>6.1谈判文件用以阐明所需货物及服务、谈判程序和合同格式及条款。谈判文件由下述部分组成：</w:t>
      </w:r>
    </w:p>
    <w:p>
      <w:pPr>
        <w:pStyle w:val="10"/>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（1）</w:t>
      </w:r>
      <w:r>
        <w:rPr>
          <w:rFonts w:hint="eastAsia" w:hAnsi="宋体"/>
          <w:sz w:val="24"/>
        </w:rPr>
        <w:t>谈判</w:t>
      </w:r>
      <w:r>
        <w:rPr>
          <w:rFonts w:hint="eastAsia" w:hAnsi="宋体"/>
          <w:sz w:val="24"/>
          <w:lang w:eastAsia="zh-CN"/>
        </w:rPr>
        <w:t>公告</w:t>
      </w:r>
    </w:p>
    <w:p>
      <w:pPr>
        <w:pStyle w:val="10"/>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rPr>
        <w:t xml:space="preserve"> </w:t>
      </w:r>
      <w:r>
        <w:rPr>
          <w:rFonts w:hAnsi="宋体"/>
          <w:sz w:val="24"/>
        </w:rPr>
        <w:t>（2）</w:t>
      </w:r>
      <w:r>
        <w:rPr>
          <w:rFonts w:hint="eastAsia" w:hAnsi="宋体"/>
          <w:sz w:val="24"/>
        </w:rPr>
        <w:t>谈判响应供应商须知</w:t>
      </w:r>
    </w:p>
    <w:p>
      <w:pPr>
        <w:pStyle w:val="10"/>
        <w:spacing w:line="400" w:lineRule="exact"/>
        <w:ind w:firstLine="480" w:firstLineChars="200"/>
        <w:jc w:val="left"/>
        <w:rPr>
          <w:rFonts w:hAnsi="宋体"/>
          <w:sz w:val="24"/>
        </w:rPr>
      </w:pPr>
      <w:r>
        <w:rPr>
          <w:rFonts w:hint="eastAsia" w:hAnsi="宋体"/>
          <w:sz w:val="24"/>
        </w:rPr>
        <w:t>（3）谈判供应商须知正文部分</w:t>
      </w:r>
    </w:p>
    <w:p>
      <w:pPr>
        <w:pStyle w:val="10"/>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lang w:val="en-US" w:eastAsia="zh-CN"/>
        </w:rPr>
        <w:t xml:space="preserve"> </w:t>
      </w:r>
      <w:r>
        <w:rPr>
          <w:rFonts w:hAnsi="宋体"/>
          <w:sz w:val="24"/>
        </w:rPr>
        <w:t>（</w:t>
      </w:r>
      <w:r>
        <w:rPr>
          <w:rFonts w:hint="eastAsia" w:hAnsi="宋体"/>
          <w:sz w:val="24"/>
        </w:rPr>
        <w:t>4</w:t>
      </w:r>
      <w:r>
        <w:rPr>
          <w:rFonts w:hAnsi="宋体"/>
          <w:sz w:val="24"/>
        </w:rPr>
        <w:t>）</w:t>
      </w:r>
      <w:r>
        <w:rPr>
          <w:rFonts w:hint="eastAsia" w:hAnsi="宋体"/>
          <w:sz w:val="24"/>
        </w:rPr>
        <w:t>采购内容及要求</w:t>
      </w:r>
    </w:p>
    <w:p>
      <w:pPr>
        <w:pStyle w:val="10"/>
        <w:spacing w:line="400" w:lineRule="exact"/>
        <w:jc w:val="left"/>
        <w:rPr>
          <w:rFonts w:hAnsi="宋体"/>
          <w:sz w:val="24"/>
        </w:rPr>
      </w:pPr>
      <w:r>
        <w:rPr>
          <w:rFonts w:hAnsi="宋体"/>
          <w:sz w:val="24"/>
        </w:rPr>
        <w:t xml:space="preserve">  </w:t>
      </w:r>
      <w:r>
        <w:rPr>
          <w:rFonts w:hint="eastAsia" w:hAnsi="宋体"/>
          <w:sz w:val="24"/>
          <w:lang w:val="en-US" w:eastAsia="zh-CN"/>
        </w:rPr>
        <w:t xml:space="preserve"> </w:t>
      </w:r>
      <w:r>
        <w:rPr>
          <w:rFonts w:hint="eastAsia" w:hAnsi="宋体"/>
          <w:sz w:val="24"/>
        </w:rPr>
        <w:t xml:space="preserve"> </w:t>
      </w:r>
      <w:r>
        <w:rPr>
          <w:rFonts w:hAnsi="宋体"/>
          <w:sz w:val="24"/>
        </w:rPr>
        <w:t>（</w:t>
      </w:r>
      <w:r>
        <w:rPr>
          <w:rFonts w:hint="eastAsia" w:hAnsi="宋体"/>
          <w:sz w:val="24"/>
        </w:rPr>
        <w:t>5</w:t>
      </w:r>
      <w:r>
        <w:rPr>
          <w:rFonts w:hAnsi="宋体"/>
          <w:sz w:val="24"/>
        </w:rPr>
        <w:t>）</w:t>
      </w:r>
      <w:r>
        <w:rPr>
          <w:rFonts w:hint="eastAsia" w:hAnsi="宋体"/>
          <w:sz w:val="24"/>
        </w:rPr>
        <w:t>政府</w:t>
      </w:r>
      <w:r>
        <w:rPr>
          <w:rFonts w:hAnsi="宋体"/>
          <w:sz w:val="24"/>
        </w:rPr>
        <w:t>采购合同</w:t>
      </w:r>
    </w:p>
    <w:p>
      <w:pPr>
        <w:pStyle w:val="10"/>
        <w:spacing w:line="400" w:lineRule="exact"/>
        <w:ind w:firstLine="360" w:firstLineChars="150"/>
        <w:jc w:val="left"/>
        <w:rPr>
          <w:rFonts w:hAnsi="宋体"/>
          <w:sz w:val="24"/>
        </w:rPr>
      </w:pPr>
      <w:r>
        <w:rPr>
          <w:rFonts w:hint="eastAsia" w:hAnsi="宋体"/>
          <w:sz w:val="24"/>
          <w:lang w:val="en-US" w:eastAsia="zh-CN"/>
        </w:rPr>
        <w:t xml:space="preserve"> </w:t>
      </w:r>
      <w:r>
        <w:rPr>
          <w:rFonts w:hAnsi="宋体"/>
          <w:sz w:val="24"/>
        </w:rPr>
        <w:t>（</w:t>
      </w:r>
      <w:r>
        <w:rPr>
          <w:rFonts w:hint="eastAsia" w:hAnsi="宋体"/>
          <w:sz w:val="24"/>
        </w:rPr>
        <w:t>6</w:t>
      </w:r>
      <w:r>
        <w:rPr>
          <w:rFonts w:hAnsi="宋体"/>
          <w:sz w:val="24"/>
        </w:rPr>
        <w:t>）响应文件格式</w:t>
      </w:r>
    </w:p>
    <w:p>
      <w:pPr>
        <w:pStyle w:val="10"/>
        <w:spacing w:line="400" w:lineRule="exact"/>
        <w:jc w:val="left"/>
        <w:rPr>
          <w:rFonts w:hAnsi="宋体"/>
          <w:b/>
          <w:sz w:val="24"/>
        </w:rPr>
      </w:pPr>
      <w:r>
        <w:rPr>
          <w:rFonts w:hAnsi="宋体"/>
          <w:b/>
          <w:sz w:val="24"/>
        </w:rPr>
        <w:t>7.</w:t>
      </w:r>
      <w:r>
        <w:rPr>
          <w:rFonts w:hint="eastAsia" w:hAnsi="宋体"/>
          <w:b/>
          <w:sz w:val="24"/>
        </w:rPr>
        <w:t>谈判文件的澄清与修改</w:t>
      </w:r>
    </w:p>
    <w:p>
      <w:pPr>
        <w:pStyle w:val="8"/>
        <w:snapToGrid w:val="0"/>
        <w:spacing w:line="400" w:lineRule="exact"/>
        <w:ind w:firstLineChars="175"/>
        <w:outlineLvl w:val="0"/>
        <w:rPr>
          <w:bCs/>
          <w:color w:val="000000"/>
          <w:sz w:val="24"/>
        </w:rPr>
      </w:pPr>
      <w:r>
        <w:rPr>
          <w:rFonts w:hint="eastAsia"/>
          <w:sz w:val="24"/>
        </w:rPr>
        <w:t>7.1</w:t>
      </w:r>
      <w:r>
        <w:rPr>
          <w:rFonts w:hint="eastAsia"/>
          <w:bCs/>
          <w:color w:val="000000"/>
          <w:sz w:val="24"/>
        </w:rPr>
        <w:t>至谈判响应截止时间3个工作日（如至原定截止时间不足3个工作日，则需延长截止时间）前，</w:t>
      </w:r>
      <w:r>
        <w:rPr>
          <w:rFonts w:hint="eastAsia"/>
          <w:sz w:val="24"/>
        </w:rPr>
        <w:t>采购代理代理机构</w:t>
      </w:r>
      <w:r>
        <w:rPr>
          <w:rFonts w:hint="eastAsia"/>
          <w:bCs/>
          <w:color w:val="000000"/>
          <w:sz w:val="24"/>
        </w:rPr>
        <w:t>可主动或依供应商要求澄清的问题修改谈判文件，但应当</w:t>
      </w:r>
      <w:r>
        <w:rPr>
          <w:rFonts w:hint="eastAsia"/>
          <w:sz w:val="24"/>
        </w:rPr>
        <w:t>在原信息发布媒体上发布更正公告，</w:t>
      </w:r>
      <w:r>
        <w:rPr>
          <w:rFonts w:hint="eastAsia"/>
          <w:bCs/>
          <w:color w:val="000000"/>
          <w:sz w:val="24"/>
        </w:rPr>
        <w:t>并以书面形式通知所有谈判文件收受人，供应商在收到该通知后应当立即以传真形式予以确认</w:t>
      </w:r>
      <w:r>
        <w:rPr>
          <w:rFonts w:hint="eastAsia"/>
          <w:sz w:val="24"/>
        </w:rPr>
        <w:t>（如属网上采购项目</w:t>
      </w:r>
      <w:r>
        <w:rPr>
          <w:rFonts w:hint="eastAsia"/>
          <w:bCs/>
          <w:color w:val="000000"/>
          <w:sz w:val="24"/>
        </w:rPr>
        <w:t>，在采购公告原发布媒体及实施网上采购的网站发布更正公告，不再书面答复）。</w:t>
      </w:r>
      <w:r>
        <w:rPr>
          <w:rFonts w:hint="eastAsia"/>
          <w:sz w:val="24"/>
        </w:rPr>
        <w:t>该修改内容为谈判文件的组成部分，对供应商具有约束力。但</w:t>
      </w:r>
      <w:r>
        <w:rPr>
          <w:rFonts w:hint="eastAsia"/>
          <w:bCs/>
          <w:color w:val="000000"/>
          <w:sz w:val="24"/>
        </w:rPr>
        <w:t>本谈判文件第7.2条规定的推迟响应截止时间情形不受本条约束。</w:t>
      </w:r>
    </w:p>
    <w:p>
      <w:pPr>
        <w:pStyle w:val="8"/>
        <w:snapToGrid w:val="0"/>
        <w:spacing w:line="400" w:lineRule="exact"/>
        <w:ind w:firstLineChars="175"/>
        <w:outlineLvl w:val="0"/>
        <w:rPr>
          <w:sz w:val="24"/>
        </w:rPr>
      </w:pPr>
      <w:r>
        <w:rPr>
          <w:rFonts w:hint="eastAsia"/>
          <w:sz w:val="24"/>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8"/>
        <w:snapToGrid w:val="0"/>
        <w:spacing w:line="400" w:lineRule="exact"/>
        <w:ind w:firstLine="2891" w:firstLineChars="1200"/>
        <w:outlineLvl w:val="0"/>
        <w:rPr>
          <w:bCs/>
          <w:sz w:val="24"/>
        </w:rPr>
      </w:pPr>
      <w:r>
        <w:rPr>
          <w:rFonts w:hint="eastAsia"/>
          <w:b/>
          <w:sz w:val="24"/>
        </w:rPr>
        <w:t>三、响应文件的编写</w:t>
      </w:r>
    </w:p>
    <w:p>
      <w:pPr>
        <w:pStyle w:val="10"/>
        <w:spacing w:line="400" w:lineRule="exact"/>
        <w:jc w:val="left"/>
        <w:rPr>
          <w:rFonts w:hAnsi="宋体"/>
          <w:b/>
          <w:sz w:val="24"/>
        </w:rPr>
      </w:pPr>
      <w:r>
        <w:rPr>
          <w:rFonts w:hAnsi="宋体"/>
          <w:b/>
          <w:sz w:val="24"/>
        </w:rPr>
        <w:t>8.要求</w:t>
      </w:r>
    </w:p>
    <w:p>
      <w:pPr>
        <w:pStyle w:val="10"/>
        <w:spacing w:line="400" w:lineRule="exact"/>
        <w:ind w:firstLine="480"/>
        <w:jc w:val="left"/>
        <w:rPr>
          <w:rFonts w:hAnsi="宋体"/>
          <w:sz w:val="24"/>
        </w:rPr>
      </w:pPr>
      <w:r>
        <w:rPr>
          <w:rFonts w:hint="eastAsia" w:hAnsi="宋体"/>
          <w:sz w:val="24"/>
        </w:rPr>
        <w:t>8</w:t>
      </w:r>
      <w:r>
        <w:rPr>
          <w:rFonts w:hAnsi="宋体"/>
          <w:sz w:val="24"/>
        </w:rPr>
        <w:t>.1谈判响应供应商应仔细阅读谈判文件的所有内容，按谈判文件的要求提供响应文件，</w:t>
      </w:r>
      <w:r>
        <w:rPr>
          <w:rFonts w:hint="eastAsia" w:hAnsi="宋体"/>
          <w:sz w:val="24"/>
        </w:rPr>
        <w:t>响应文件应对谈判文件的要求作出实质性响应，</w:t>
      </w:r>
      <w:r>
        <w:rPr>
          <w:rFonts w:hAnsi="宋体"/>
          <w:sz w:val="24"/>
        </w:rPr>
        <w:t>并保证所提供的全部资料的真实性，否则其响应文件可被作</w:t>
      </w:r>
      <w:r>
        <w:rPr>
          <w:rFonts w:hint="eastAsia" w:hAnsi="宋体"/>
          <w:sz w:val="24"/>
        </w:rPr>
        <w:t>响应</w:t>
      </w:r>
      <w:r>
        <w:rPr>
          <w:rFonts w:hAnsi="宋体"/>
          <w:sz w:val="24"/>
        </w:rPr>
        <w:t>无效处理。</w:t>
      </w:r>
    </w:p>
    <w:p>
      <w:pPr>
        <w:pStyle w:val="10"/>
        <w:spacing w:line="400" w:lineRule="exact"/>
        <w:ind w:firstLine="480" w:firstLineChars="200"/>
        <w:jc w:val="left"/>
        <w:rPr>
          <w:rFonts w:hAnsi="宋体"/>
          <w:sz w:val="24"/>
        </w:rPr>
      </w:pPr>
      <w:r>
        <w:rPr>
          <w:rFonts w:hAnsi="宋体"/>
          <w:sz w:val="24"/>
        </w:rPr>
        <w:t>8.2除非有另外的规定，谈判响应供应商应按被邀请参加</w:t>
      </w:r>
      <w:r>
        <w:rPr>
          <w:rFonts w:hint="eastAsia" w:hAnsi="宋体"/>
          <w:sz w:val="24"/>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rPr>
        <w:t>、服务、工程</w:t>
      </w:r>
      <w:r>
        <w:rPr>
          <w:rFonts w:hAnsi="宋体"/>
          <w:sz w:val="24"/>
        </w:rPr>
        <w:t>只能有一个报价。</w:t>
      </w:r>
    </w:p>
    <w:p>
      <w:pPr>
        <w:pStyle w:val="10"/>
        <w:spacing w:line="400" w:lineRule="exact"/>
        <w:jc w:val="left"/>
        <w:rPr>
          <w:rFonts w:hAnsi="宋体"/>
          <w:b/>
          <w:sz w:val="24"/>
        </w:rPr>
      </w:pPr>
      <w:r>
        <w:rPr>
          <w:rFonts w:hint="eastAsia" w:hAnsi="宋体"/>
          <w:b/>
          <w:sz w:val="24"/>
        </w:rPr>
        <w:t>9.谈判响应文件语言及报价要求</w:t>
      </w:r>
    </w:p>
    <w:p>
      <w:pPr>
        <w:pStyle w:val="10"/>
        <w:spacing w:line="400" w:lineRule="exact"/>
        <w:ind w:firstLine="720" w:firstLineChars="300"/>
        <w:jc w:val="left"/>
        <w:rPr>
          <w:rFonts w:hAnsi="宋体"/>
          <w:b/>
          <w:sz w:val="24"/>
        </w:rPr>
      </w:pPr>
      <w:r>
        <w:rPr>
          <w:rFonts w:hint="eastAsia" w:hAnsi="宋体"/>
          <w:sz w:val="24"/>
        </w:rPr>
        <w:t>谈判</w:t>
      </w:r>
      <w:r>
        <w:rPr>
          <w:rFonts w:hAnsi="宋体"/>
          <w:sz w:val="24"/>
        </w:rPr>
        <w:t>响应文件应用中文书写。</w:t>
      </w:r>
      <w:r>
        <w:rPr>
          <w:rFonts w:hint="eastAsia" w:hAnsi="宋体"/>
          <w:sz w:val="24"/>
        </w:rPr>
        <w:t>响应文件中所附或所引用的的原件不是中文时，应附中文译文。各种计量单位及符号应采用国际上统一使用的公制计量单位和符号。</w:t>
      </w:r>
    </w:p>
    <w:p>
      <w:pPr>
        <w:pStyle w:val="10"/>
        <w:spacing w:line="400" w:lineRule="exact"/>
        <w:jc w:val="left"/>
        <w:rPr>
          <w:rFonts w:hAnsi="宋体"/>
          <w:b/>
          <w:sz w:val="24"/>
        </w:rPr>
      </w:pPr>
      <w:r>
        <w:rPr>
          <w:rFonts w:hint="eastAsia" w:hAnsi="宋体"/>
          <w:b/>
          <w:sz w:val="24"/>
        </w:rPr>
        <w:t>10</w:t>
      </w:r>
      <w:r>
        <w:rPr>
          <w:rFonts w:hAnsi="宋体"/>
          <w:b/>
          <w:sz w:val="24"/>
        </w:rPr>
        <w:t>.</w:t>
      </w:r>
      <w:r>
        <w:rPr>
          <w:rFonts w:hint="eastAsia" w:hAnsi="宋体"/>
          <w:b/>
          <w:sz w:val="24"/>
        </w:rPr>
        <w:t>谈判</w:t>
      </w:r>
      <w:r>
        <w:rPr>
          <w:rFonts w:hAnsi="宋体"/>
          <w:b/>
          <w:sz w:val="24"/>
        </w:rPr>
        <w:t>响应文件的组成</w:t>
      </w:r>
      <w:r>
        <w:rPr>
          <w:rFonts w:hint="eastAsia" w:hAnsi="宋体"/>
          <w:b/>
          <w:bCs/>
          <w:sz w:val="24"/>
        </w:rPr>
        <w:t>包括下列部分</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10.1谈判响应声明函</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10.2 </w:t>
      </w:r>
      <w:r>
        <w:rPr>
          <w:rFonts w:hint="eastAsia" w:asciiTheme="minorEastAsia" w:hAnsiTheme="minorEastAsia" w:cstheme="minorEastAsia"/>
          <w:sz w:val="24"/>
          <w:szCs w:val="24"/>
          <w:lang w:eastAsia="zh-CN"/>
        </w:rPr>
        <w:t>谈判</w:t>
      </w:r>
      <w:r>
        <w:rPr>
          <w:rFonts w:hint="eastAsia" w:asciiTheme="minorEastAsia" w:hAnsiTheme="minorEastAsia" w:cstheme="minorEastAsia"/>
          <w:sz w:val="24"/>
          <w:szCs w:val="24"/>
        </w:rPr>
        <w:t>报价一览表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10.3 分项报价表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10.4 技术规格偏离表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10.5 商务条款偏离表</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10.6 法定代表人授权书</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10.7</w:t>
      </w:r>
      <w:r>
        <w:rPr>
          <w:rFonts w:hint="eastAsia" w:asciiTheme="minorEastAsia" w:hAnsiTheme="minorEastAsia" w:cstheme="minorEastAsia"/>
          <w:sz w:val="24"/>
          <w:szCs w:val="24"/>
          <w:lang w:val="en-US" w:eastAsia="zh-CN"/>
        </w:rPr>
        <w:t xml:space="preserve"> 资格声明及文件</w:t>
      </w:r>
    </w:p>
    <w:p>
      <w:pPr>
        <w:spacing w:line="40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10.8谈判响应供应商</w:t>
      </w:r>
      <w:r>
        <w:rPr>
          <w:rFonts w:hint="eastAsia" w:asciiTheme="minorEastAsia" w:hAnsiTheme="minorEastAsia" w:cstheme="minorEastAsia"/>
          <w:bCs/>
          <w:sz w:val="24"/>
          <w:szCs w:val="24"/>
        </w:rPr>
        <w:t>提</w:t>
      </w:r>
      <w:r>
        <w:rPr>
          <w:rFonts w:hint="eastAsia" w:asciiTheme="minorEastAsia" w:hAnsiTheme="minorEastAsia" w:cstheme="minorEastAsia"/>
          <w:sz w:val="24"/>
          <w:szCs w:val="24"/>
        </w:rPr>
        <w:t>交的其他资料</w:t>
      </w:r>
    </w:p>
    <w:p>
      <w:pPr>
        <w:pStyle w:val="10"/>
        <w:spacing w:line="400" w:lineRule="exact"/>
        <w:jc w:val="left"/>
        <w:rPr>
          <w:rFonts w:hAnsi="宋体"/>
          <w:b/>
          <w:sz w:val="24"/>
        </w:rPr>
      </w:pPr>
      <w:r>
        <w:rPr>
          <w:rFonts w:hAnsi="宋体"/>
          <w:b/>
          <w:sz w:val="24"/>
        </w:rPr>
        <w:t>1</w:t>
      </w:r>
      <w:r>
        <w:rPr>
          <w:rFonts w:hint="eastAsia" w:hAnsi="宋体"/>
          <w:b/>
          <w:sz w:val="24"/>
        </w:rPr>
        <w:t>1</w:t>
      </w:r>
      <w:r>
        <w:rPr>
          <w:rFonts w:hAnsi="宋体"/>
          <w:b/>
          <w:sz w:val="24"/>
        </w:rPr>
        <w:t>.</w:t>
      </w:r>
      <w:r>
        <w:rPr>
          <w:rFonts w:hint="eastAsia" w:hAnsi="宋体"/>
          <w:b/>
          <w:sz w:val="24"/>
        </w:rPr>
        <w:t>谈判响应</w:t>
      </w:r>
      <w:r>
        <w:rPr>
          <w:rFonts w:hAnsi="宋体"/>
          <w:b/>
          <w:sz w:val="24"/>
        </w:rPr>
        <w:t>有效期</w:t>
      </w:r>
    </w:p>
    <w:p>
      <w:pPr>
        <w:pStyle w:val="10"/>
        <w:spacing w:line="400" w:lineRule="exact"/>
        <w:ind w:firstLine="480" w:firstLineChars="200"/>
        <w:jc w:val="left"/>
        <w:rPr>
          <w:rFonts w:hAnsi="宋体"/>
          <w:sz w:val="24"/>
        </w:rPr>
      </w:pPr>
      <w:r>
        <w:rPr>
          <w:rFonts w:hint="eastAsia" w:hAnsi="宋体"/>
          <w:sz w:val="24"/>
        </w:rPr>
        <w:t>11.1响应文件从</w:t>
      </w:r>
      <w:r>
        <w:rPr>
          <w:rFonts w:hint="eastAsia" w:hAnsi="宋体"/>
          <w:bCs/>
          <w:sz w:val="24"/>
        </w:rPr>
        <w:t>谈判响应供应商须知前附表1</w:t>
      </w:r>
      <w:r>
        <w:rPr>
          <w:rFonts w:hint="eastAsia" w:hAnsi="宋体"/>
          <w:sz w:val="24"/>
        </w:rPr>
        <w:t>所规定的谈判响应截止期之日开始生效，在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10"/>
        <w:spacing w:line="400" w:lineRule="exact"/>
        <w:ind w:firstLine="480" w:firstLineChars="200"/>
        <w:jc w:val="left"/>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谈判响应供应商，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10"/>
        <w:spacing w:line="400" w:lineRule="exact"/>
        <w:jc w:val="left"/>
        <w:rPr>
          <w:rFonts w:hAnsi="宋体"/>
          <w:b/>
          <w:sz w:val="24"/>
        </w:rPr>
      </w:pPr>
      <w:r>
        <w:rPr>
          <w:rFonts w:hAnsi="宋体"/>
          <w:b/>
          <w:sz w:val="24"/>
        </w:rPr>
        <w:t>1</w:t>
      </w:r>
      <w:r>
        <w:rPr>
          <w:rFonts w:hint="eastAsia" w:hAnsi="宋体"/>
          <w:b/>
          <w:sz w:val="24"/>
        </w:rPr>
        <w:t>2</w:t>
      </w:r>
      <w:r>
        <w:rPr>
          <w:rFonts w:hAnsi="宋体"/>
          <w:b/>
          <w:sz w:val="24"/>
        </w:rPr>
        <w:t>.谈判保证金</w:t>
      </w:r>
    </w:p>
    <w:p>
      <w:pPr>
        <w:pStyle w:val="10"/>
        <w:spacing w:line="400" w:lineRule="exact"/>
        <w:ind w:firstLine="480" w:firstLineChars="200"/>
        <w:jc w:val="left"/>
        <w:rPr>
          <w:rFonts w:hAnsi="宋体"/>
          <w:sz w:val="24"/>
        </w:rPr>
      </w:pPr>
      <w:r>
        <w:rPr>
          <w:rFonts w:hint="eastAsia" w:hAnsi="宋体"/>
          <w:sz w:val="24"/>
        </w:rPr>
        <w:t>12</w:t>
      </w:r>
      <w:r>
        <w:rPr>
          <w:rFonts w:hAnsi="宋体"/>
          <w:sz w:val="24"/>
        </w:rPr>
        <w:t>.1 谈判保证金为响应文件的组成部分之一。</w:t>
      </w:r>
    </w:p>
    <w:p>
      <w:pPr>
        <w:spacing w:line="400" w:lineRule="exact"/>
        <w:ind w:firstLine="480"/>
        <w:rPr>
          <w:rFonts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10"/>
        <w:spacing w:line="400" w:lineRule="exact"/>
        <w:ind w:firstLine="480" w:firstLineChars="200"/>
        <w:jc w:val="left"/>
        <w:rPr>
          <w:rFonts w:hAnsi="宋体"/>
          <w:sz w:val="24"/>
        </w:rPr>
      </w:pPr>
      <w:r>
        <w:rPr>
          <w:rFonts w:hint="eastAsia" w:hAnsi="宋体"/>
          <w:sz w:val="24"/>
        </w:rPr>
        <w:t>12</w:t>
      </w:r>
      <w:r>
        <w:rPr>
          <w:rFonts w:hAnsi="宋体"/>
          <w:sz w:val="24"/>
        </w:rPr>
        <w:t>.3 谈判保证金用于保护本次谈判活动免受谈判响应供应商的行为而引起的风险。</w:t>
      </w:r>
    </w:p>
    <w:p>
      <w:pPr>
        <w:spacing w:line="400" w:lineRule="exact"/>
        <w:ind w:firstLine="480" w:firstLineChars="200"/>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spacing w:line="400" w:lineRule="exact"/>
        <w:ind w:firstLine="480" w:firstLineChars="200"/>
        <w:rPr>
          <w:rFonts w:ascii="宋体" w:hAnsi="宋体"/>
          <w:sz w:val="24"/>
        </w:rPr>
      </w:pPr>
      <w:r>
        <w:rPr>
          <w:rFonts w:hint="eastAsia" w:ascii="宋体" w:hAnsi="宋体"/>
          <w:sz w:val="24"/>
        </w:rPr>
        <w:t>①谈判保证金以支票、汇票、本票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10"/>
        <w:spacing w:line="400" w:lineRule="exact"/>
        <w:ind w:firstLine="480" w:firstLineChars="200"/>
        <w:jc w:val="left"/>
        <w:rPr>
          <w:rFonts w:hAnsi="宋体"/>
          <w:sz w:val="24"/>
        </w:rPr>
      </w:pPr>
      <w:r>
        <w:rPr>
          <w:rFonts w:hint="eastAsia" w:hAnsi="宋体"/>
          <w:sz w:val="24"/>
        </w:rPr>
        <w:t>②若项目存在分包的，则谈判保证金应按不同的合同包号分别提交。</w:t>
      </w:r>
    </w:p>
    <w:p>
      <w:pPr>
        <w:spacing w:line="400" w:lineRule="exact"/>
        <w:ind w:firstLine="480" w:firstLineChars="200"/>
        <w:rPr>
          <w:rFonts w:ascii="宋体" w:hAnsi="宋体"/>
          <w:sz w:val="24"/>
        </w:rPr>
      </w:pPr>
      <w:r>
        <w:rPr>
          <w:rFonts w:hint="eastAsia" w:ascii="宋体" w:hAnsi="宋体"/>
          <w:sz w:val="24"/>
        </w:rPr>
        <w:t>③谈判响应供应商为中小企业的，其谈判保证金减半交纳。减半交纳谈判保证金的谈判响应供应商未按照谈判文件格式要求在响应文件中提供《中小企业声明函》的，其谈判响应作无效响应处理。</w:t>
      </w:r>
    </w:p>
    <w:p>
      <w:pPr>
        <w:pStyle w:val="10"/>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.5 未按</w:t>
      </w:r>
      <w:r>
        <w:rPr>
          <w:rFonts w:hint="eastAsia" w:hAnsi="宋体"/>
          <w:sz w:val="24"/>
        </w:rPr>
        <w:t>要求</w:t>
      </w:r>
      <w:r>
        <w:rPr>
          <w:rFonts w:hAnsi="宋体"/>
          <w:sz w:val="24"/>
        </w:rPr>
        <w:t>提交谈判保证金的</w:t>
      </w:r>
      <w:r>
        <w:rPr>
          <w:rFonts w:hint="eastAsia" w:hAnsi="宋体"/>
          <w:sz w:val="24"/>
        </w:rPr>
        <w:t>谈判响应</w:t>
      </w:r>
      <w:r>
        <w:rPr>
          <w:rFonts w:hAnsi="宋体"/>
          <w:sz w:val="24"/>
        </w:rPr>
        <w:t>，将被视为无效</w:t>
      </w:r>
      <w:r>
        <w:rPr>
          <w:rFonts w:hint="eastAsia" w:hAnsi="宋体"/>
          <w:sz w:val="24"/>
        </w:rPr>
        <w:t>响应</w:t>
      </w:r>
      <w:r>
        <w:rPr>
          <w:rFonts w:hAnsi="宋体"/>
          <w:sz w:val="24"/>
        </w:rPr>
        <w:t>。</w:t>
      </w:r>
    </w:p>
    <w:p>
      <w:pPr>
        <w:pStyle w:val="10"/>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 xml:space="preserve">.6 </w:t>
      </w:r>
      <w:r>
        <w:rPr>
          <w:rFonts w:hint="eastAsia" w:hAnsi="宋体"/>
          <w:sz w:val="24"/>
        </w:rPr>
        <w:t>采购代理机构将在成交通知书发出之日起5个工作日内予以原额无息退还未成交供应商的谈判保证金。</w:t>
      </w:r>
    </w:p>
    <w:p>
      <w:pPr>
        <w:pStyle w:val="10"/>
        <w:spacing w:line="400" w:lineRule="exact"/>
        <w:ind w:firstLine="480" w:firstLineChars="200"/>
        <w:jc w:val="left"/>
        <w:rPr>
          <w:rFonts w:hAnsi="宋体"/>
          <w:sz w:val="24"/>
        </w:rPr>
      </w:pPr>
      <w:r>
        <w:rPr>
          <w:rFonts w:hAnsi="宋体"/>
          <w:sz w:val="24"/>
        </w:rPr>
        <w:t>1</w:t>
      </w:r>
      <w:r>
        <w:rPr>
          <w:rFonts w:hint="eastAsia" w:hAnsi="宋体"/>
          <w:sz w:val="24"/>
        </w:rPr>
        <w:t>2</w:t>
      </w:r>
      <w:r>
        <w:rPr>
          <w:rFonts w:hAnsi="宋体"/>
          <w:sz w:val="24"/>
        </w:rPr>
        <w:t>.7</w:t>
      </w:r>
      <w:r>
        <w:rPr>
          <w:rFonts w:hint="eastAsia" w:hAnsi="宋体"/>
          <w:sz w:val="24"/>
        </w:rPr>
        <w:t>在</w:t>
      </w:r>
      <w:r>
        <w:rPr>
          <w:rFonts w:hAnsi="宋体"/>
          <w:sz w:val="24"/>
        </w:rPr>
        <w:t>成交供应商</w:t>
      </w:r>
      <w:r>
        <w:rPr>
          <w:rFonts w:hint="eastAsia" w:hAnsi="宋体"/>
          <w:sz w:val="24"/>
        </w:rPr>
        <w:t>支付所有采购代理服务费并签订合同后5个工作日内，采购代理机构对成交供应商的谈判保证金予以原额无息退还</w:t>
      </w:r>
      <w:r>
        <w:rPr>
          <w:rFonts w:hAnsi="宋体"/>
          <w:sz w:val="24"/>
        </w:rPr>
        <w:t>。</w:t>
      </w:r>
    </w:p>
    <w:p>
      <w:pPr>
        <w:pStyle w:val="10"/>
        <w:spacing w:line="400" w:lineRule="exact"/>
        <w:ind w:firstLine="480" w:firstLineChars="200"/>
        <w:jc w:val="left"/>
        <w:rPr>
          <w:rFonts w:hAnsi="宋体"/>
          <w:sz w:val="24"/>
        </w:rPr>
      </w:pPr>
      <w:r>
        <w:rPr>
          <w:rFonts w:hint="eastAsia" w:hAnsi="宋体"/>
          <w:sz w:val="24"/>
        </w:rPr>
        <w:t>12.8</w:t>
      </w:r>
      <w:r>
        <w:rPr>
          <w:rFonts w:hAnsi="宋体"/>
          <w:sz w:val="24"/>
        </w:rPr>
        <w:t xml:space="preserve"> 发生以下情况</w:t>
      </w:r>
      <w:r>
        <w:rPr>
          <w:rFonts w:hint="eastAsia" w:hAnsi="宋体"/>
          <w:sz w:val="24"/>
        </w:rPr>
        <w:t>之一的，</w:t>
      </w:r>
      <w:r>
        <w:rPr>
          <w:rFonts w:hAnsi="宋体"/>
          <w:sz w:val="24"/>
        </w:rPr>
        <w:t>谈判保证金将</w:t>
      </w:r>
      <w:r>
        <w:rPr>
          <w:rFonts w:hint="eastAsia" w:hAnsi="宋体"/>
          <w:sz w:val="24"/>
        </w:rPr>
        <w:t>不予退还，由采购代理机构上缴财政部门：</w:t>
      </w:r>
    </w:p>
    <w:p>
      <w:pPr>
        <w:pStyle w:val="10"/>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（1）谈判响应供应商</w:t>
      </w:r>
      <w:r>
        <w:rPr>
          <w:rFonts w:hint="eastAsia" w:hAnsi="宋体"/>
          <w:sz w:val="24"/>
        </w:rPr>
        <w:t>提交最后报价后，</w:t>
      </w:r>
      <w:r>
        <w:rPr>
          <w:rFonts w:hAnsi="宋体"/>
          <w:sz w:val="24"/>
        </w:rPr>
        <w:t>撤回</w:t>
      </w:r>
      <w:r>
        <w:rPr>
          <w:rFonts w:hint="eastAsia" w:hAnsi="宋体"/>
          <w:sz w:val="24"/>
        </w:rPr>
        <w:t>谈判响应</w:t>
      </w:r>
      <w:r>
        <w:rPr>
          <w:rFonts w:hAnsi="宋体"/>
          <w:sz w:val="24"/>
        </w:rPr>
        <w:t>；</w:t>
      </w:r>
    </w:p>
    <w:p>
      <w:pPr>
        <w:pStyle w:val="10"/>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（2）</w:t>
      </w:r>
      <w:r>
        <w:rPr>
          <w:rFonts w:hint="eastAsia" w:hAnsi="宋体"/>
          <w:sz w:val="24"/>
        </w:rPr>
        <w:t>除因不可抗力或谈判文件认可的情形外，</w:t>
      </w:r>
      <w:r>
        <w:rPr>
          <w:rFonts w:hAnsi="宋体"/>
          <w:sz w:val="24"/>
        </w:rPr>
        <w:t>成交供应商未能做到按本须知规定签订合同</w:t>
      </w:r>
      <w:r>
        <w:rPr>
          <w:rFonts w:hint="eastAsia" w:hAnsi="宋体"/>
          <w:sz w:val="24"/>
        </w:rPr>
        <w:t>的</w:t>
      </w:r>
      <w:r>
        <w:rPr>
          <w:rFonts w:hAnsi="宋体"/>
          <w:sz w:val="24"/>
        </w:rPr>
        <w:t>；</w:t>
      </w:r>
    </w:p>
    <w:p>
      <w:pPr>
        <w:pStyle w:val="10"/>
        <w:spacing w:line="400" w:lineRule="exact"/>
        <w:jc w:val="left"/>
        <w:rPr>
          <w:rFonts w:hAnsi="宋体"/>
          <w:sz w:val="24"/>
        </w:rPr>
      </w:pPr>
      <w:r>
        <w:rPr>
          <w:rFonts w:hAnsi="宋体"/>
          <w:sz w:val="24"/>
        </w:rPr>
        <w:t xml:space="preserve"> </w:t>
      </w:r>
      <w:r>
        <w:rPr>
          <w:rFonts w:hint="eastAsia" w:hAnsi="宋体"/>
          <w:sz w:val="24"/>
        </w:rPr>
        <w:t xml:space="preserve"> </w:t>
      </w:r>
      <w:r>
        <w:rPr>
          <w:rFonts w:hAnsi="宋体"/>
          <w:sz w:val="24"/>
        </w:rPr>
        <w:t xml:space="preserve"> （3）</w:t>
      </w:r>
      <w:r>
        <w:rPr>
          <w:rFonts w:hint="eastAsia" w:hAnsi="宋体"/>
          <w:sz w:val="24"/>
        </w:rPr>
        <w:t>以他人名义参与谈判响应或者以其他方式弄虚作假，骗取成交的；</w:t>
      </w:r>
    </w:p>
    <w:p>
      <w:pPr>
        <w:pStyle w:val="10"/>
        <w:spacing w:line="400" w:lineRule="exact"/>
        <w:jc w:val="left"/>
        <w:rPr>
          <w:rFonts w:hAnsi="宋体"/>
          <w:sz w:val="24"/>
        </w:rPr>
      </w:pPr>
      <w:r>
        <w:rPr>
          <w:rFonts w:hint="eastAsia" w:hAnsi="宋体"/>
          <w:sz w:val="24"/>
        </w:rPr>
        <w:t xml:space="preserve">   （4）谈判响应供应商在响应文件中提供虚假材料的；</w:t>
      </w:r>
    </w:p>
    <w:p>
      <w:pPr>
        <w:pStyle w:val="10"/>
        <w:spacing w:line="400" w:lineRule="exact"/>
        <w:ind w:firstLine="360" w:firstLineChars="150"/>
        <w:jc w:val="left"/>
        <w:rPr>
          <w:rFonts w:hAnsi="宋体"/>
          <w:sz w:val="24"/>
        </w:rPr>
      </w:pPr>
      <w:r>
        <w:rPr>
          <w:rFonts w:hint="eastAsia" w:hAnsi="宋体"/>
          <w:sz w:val="24"/>
        </w:rPr>
        <w:t>（5）在禁止参加政府采购活动的处罚期内，仍参加政府采购活动的；</w:t>
      </w:r>
    </w:p>
    <w:p>
      <w:pPr>
        <w:pStyle w:val="10"/>
        <w:spacing w:line="400" w:lineRule="exact"/>
        <w:ind w:firstLine="360" w:firstLineChars="150"/>
        <w:jc w:val="left"/>
        <w:rPr>
          <w:rFonts w:hAnsi="宋体"/>
          <w:sz w:val="24"/>
        </w:rPr>
      </w:pPr>
      <w:r>
        <w:rPr>
          <w:rFonts w:hint="eastAsia" w:hAnsi="宋体"/>
          <w:sz w:val="24"/>
        </w:rPr>
        <w:t>（6）以不正当手段诋毁、排挤其他供应商的；</w:t>
      </w:r>
    </w:p>
    <w:p>
      <w:pPr>
        <w:pStyle w:val="10"/>
        <w:spacing w:line="400" w:lineRule="exact"/>
        <w:ind w:firstLine="360" w:firstLineChars="150"/>
        <w:jc w:val="left"/>
        <w:rPr>
          <w:rFonts w:hAnsi="宋体"/>
          <w:sz w:val="24"/>
        </w:rPr>
      </w:pPr>
      <w:r>
        <w:rPr>
          <w:rFonts w:hint="eastAsia" w:hAnsi="宋体"/>
          <w:sz w:val="24"/>
        </w:rPr>
        <w:t>（7）因本项目政府采购过程中的违法行为，受到行政处罚的；</w:t>
      </w:r>
    </w:p>
    <w:p>
      <w:pPr>
        <w:pStyle w:val="10"/>
        <w:spacing w:line="400" w:lineRule="exact"/>
        <w:ind w:firstLine="360" w:firstLineChars="150"/>
        <w:jc w:val="left"/>
        <w:rPr>
          <w:rFonts w:hAnsi="宋体"/>
          <w:sz w:val="24"/>
        </w:rPr>
      </w:pPr>
      <w:r>
        <w:rPr>
          <w:rFonts w:hint="eastAsia" w:hAnsi="宋体"/>
          <w:sz w:val="24"/>
        </w:rPr>
        <w:t>（8）与采购人、其他供应商或者采购代理机构恶意串通的；</w:t>
      </w:r>
    </w:p>
    <w:p>
      <w:pPr>
        <w:pStyle w:val="10"/>
        <w:spacing w:line="400" w:lineRule="exact"/>
        <w:ind w:firstLine="360" w:firstLineChars="150"/>
        <w:rPr>
          <w:rFonts w:hAnsi="宋体"/>
          <w:sz w:val="24"/>
        </w:rPr>
      </w:pPr>
      <w:r>
        <w:rPr>
          <w:rFonts w:hint="eastAsia" w:hAnsi="宋体"/>
          <w:sz w:val="24"/>
        </w:rPr>
        <w:t>（9）法律、法规、规章及本谈判文件中规定的其他没收谈判保证金的情形。</w:t>
      </w:r>
    </w:p>
    <w:p>
      <w:pPr>
        <w:pStyle w:val="10"/>
        <w:spacing w:line="400" w:lineRule="exact"/>
        <w:rPr>
          <w:rFonts w:hAnsi="宋体"/>
          <w:sz w:val="24"/>
        </w:rPr>
      </w:pPr>
      <w:r>
        <w:rPr>
          <w:rFonts w:hint="eastAsia" w:hAnsi="宋体"/>
          <w:sz w:val="24"/>
        </w:rPr>
        <w:t>上述不予退还谈判保证金的情形给采购单位造成损失的，相关责任人还应当承担赔偿责任。</w:t>
      </w:r>
    </w:p>
    <w:p>
      <w:pPr>
        <w:pStyle w:val="10"/>
        <w:spacing w:line="400" w:lineRule="exact"/>
        <w:jc w:val="left"/>
        <w:rPr>
          <w:rFonts w:hAnsi="宋体"/>
          <w:b/>
          <w:sz w:val="24"/>
        </w:rPr>
      </w:pPr>
      <w:r>
        <w:rPr>
          <w:rFonts w:hint="eastAsia" w:hAnsi="宋体"/>
          <w:b/>
          <w:sz w:val="24"/>
        </w:rPr>
        <w:t>13</w:t>
      </w:r>
      <w:r>
        <w:rPr>
          <w:rFonts w:hAnsi="宋体"/>
          <w:b/>
          <w:sz w:val="24"/>
        </w:rPr>
        <w:t>.</w:t>
      </w:r>
      <w:r>
        <w:rPr>
          <w:rFonts w:hint="eastAsia" w:hAnsi="宋体"/>
          <w:b/>
          <w:sz w:val="24"/>
        </w:rPr>
        <w:t>谈判响应文件的格式</w:t>
      </w:r>
    </w:p>
    <w:p>
      <w:pPr>
        <w:pStyle w:val="10"/>
        <w:spacing w:line="400" w:lineRule="exact"/>
        <w:ind w:firstLine="482" w:firstLineChars="200"/>
        <w:jc w:val="left"/>
        <w:rPr>
          <w:rFonts w:hAnsi="宋体"/>
          <w:b/>
          <w:bCs/>
          <w:color w:val="auto"/>
          <w:sz w:val="24"/>
        </w:rPr>
      </w:pPr>
      <w:r>
        <w:rPr>
          <w:rFonts w:hint="eastAsia" w:hAnsi="宋体"/>
          <w:b/>
          <w:bCs/>
          <w:color w:val="auto"/>
          <w:sz w:val="24"/>
        </w:rPr>
        <w:t>13.</w:t>
      </w:r>
      <w:r>
        <w:rPr>
          <w:rFonts w:hAnsi="宋体"/>
          <w:b/>
          <w:bCs/>
          <w:color w:val="auto"/>
          <w:sz w:val="24"/>
        </w:rPr>
        <w:t>1</w:t>
      </w:r>
      <w:r>
        <w:rPr>
          <w:rFonts w:hint="eastAsia" w:hAnsi="宋体"/>
          <w:b/>
          <w:bCs/>
          <w:color w:val="auto"/>
          <w:sz w:val="24"/>
        </w:rPr>
        <w:t>投标人应将投标文件用密封袋密封，</w:t>
      </w:r>
      <w:r>
        <w:rPr>
          <w:rFonts w:hint="eastAsia" w:hAnsi="宋体"/>
          <w:b/>
          <w:bCs/>
          <w:color w:val="FF0000"/>
          <w:sz w:val="24"/>
        </w:rPr>
        <w:t>正、副本单独封装</w:t>
      </w:r>
      <w:r>
        <w:rPr>
          <w:rFonts w:hint="eastAsia" w:hAnsi="宋体"/>
          <w:b/>
          <w:bCs/>
          <w:color w:val="FF0000"/>
          <w:sz w:val="24"/>
          <w:lang w:eastAsia="zh-CN"/>
        </w:rPr>
        <w:t>或一起封装</w:t>
      </w:r>
      <w:r>
        <w:rPr>
          <w:rFonts w:hint="eastAsia" w:hAnsi="宋体"/>
          <w:b/>
          <w:bCs/>
          <w:color w:val="auto"/>
          <w:sz w:val="24"/>
        </w:rPr>
        <w:t>，投标文件密封袋及正文封面均应注明“正本”“副本”。正副本</w:t>
      </w:r>
      <w:r>
        <w:rPr>
          <w:rFonts w:hint="eastAsia" w:hAnsi="宋体"/>
          <w:b/>
          <w:bCs/>
          <w:color w:val="auto"/>
          <w:sz w:val="24"/>
          <w:lang w:eastAsia="zh-CN"/>
        </w:rPr>
        <w:t>密封袋</w:t>
      </w:r>
      <w:r>
        <w:rPr>
          <w:rFonts w:hint="eastAsia" w:hAnsi="宋体"/>
          <w:b/>
          <w:bCs/>
          <w:color w:val="auto"/>
          <w:sz w:val="24"/>
        </w:rPr>
        <w:t>及投标文件封面均应写明项目名称、招标编号、投标人名称、地址、联系人及联系人电话，并加盖投标单位公章。</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.2响应文件应由谈判响应供应商的法定代表人或其授权代表签字并加盖公章</w:t>
      </w:r>
      <w:r>
        <w:rPr>
          <w:rFonts w:hint="eastAsia" w:hAnsi="宋体"/>
          <w:sz w:val="24"/>
        </w:rPr>
        <w:t>，如由后者签字，应提供“法定代表人授权委托书”。</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.3</w:t>
      </w:r>
      <w:r>
        <w:rPr>
          <w:rFonts w:hint="eastAsia" w:hAnsi="宋体"/>
          <w:sz w:val="24"/>
        </w:rPr>
        <w:t>除非另有规定或许可，谈判响应使用货币为人民币。</w:t>
      </w:r>
    </w:p>
    <w:p>
      <w:pPr>
        <w:pStyle w:val="10"/>
        <w:spacing w:line="400" w:lineRule="exact"/>
        <w:ind w:firstLine="480" w:firstLineChars="200"/>
        <w:jc w:val="left"/>
        <w:rPr>
          <w:rFonts w:hAnsi="宋体"/>
          <w:sz w:val="24"/>
        </w:rPr>
      </w:pPr>
      <w:r>
        <w:rPr>
          <w:rFonts w:hAnsi="宋体"/>
          <w:sz w:val="24"/>
        </w:rPr>
        <w:t>1</w:t>
      </w:r>
      <w:r>
        <w:rPr>
          <w:rFonts w:hint="eastAsia" w:hAnsi="宋体"/>
          <w:sz w:val="24"/>
        </w:rPr>
        <w:t>3</w:t>
      </w:r>
      <w:r>
        <w:rPr>
          <w:rFonts w:hAnsi="宋体"/>
          <w:sz w:val="24"/>
        </w:rPr>
        <w:t>.4谈判响应供应商应提交证明其拟供货物</w:t>
      </w:r>
      <w:r>
        <w:rPr>
          <w:rFonts w:hint="eastAsia" w:hAnsi="宋体"/>
          <w:sz w:val="24"/>
        </w:rPr>
        <w:t>、服务、工程</w:t>
      </w:r>
      <w:r>
        <w:rPr>
          <w:rFonts w:hAnsi="宋体"/>
          <w:sz w:val="24"/>
        </w:rPr>
        <w:t>符合谈判文件要求的技术响应文件，该文件可以是文字资料、图纸和数据，并须提供货物</w:t>
      </w:r>
      <w:r>
        <w:rPr>
          <w:rFonts w:hint="eastAsia" w:hAnsi="宋体"/>
          <w:sz w:val="24"/>
        </w:rPr>
        <w:t>、服务、工程</w:t>
      </w:r>
      <w:r>
        <w:rPr>
          <w:rFonts w:hAnsi="宋体"/>
          <w:sz w:val="24"/>
        </w:rPr>
        <w:t>主要技术性能的详细描述。</w:t>
      </w:r>
    </w:p>
    <w:p>
      <w:pPr>
        <w:pStyle w:val="10"/>
        <w:spacing w:line="400" w:lineRule="exact"/>
        <w:ind w:firstLine="480" w:firstLineChars="200"/>
        <w:jc w:val="left"/>
        <w:rPr>
          <w:rFonts w:hAnsi="宋体"/>
          <w:sz w:val="24"/>
        </w:rPr>
      </w:pPr>
      <w:r>
        <w:rPr>
          <w:rFonts w:hint="eastAsia" w:hAnsi="宋体"/>
          <w:sz w:val="24"/>
        </w:rPr>
        <w:t>13.5谈判文件的正本和全部副本均应使用不能擦去的墨料或墨水打印、书写或复印，并由法定代表人或其授权代表签署，盖谈判响应供应商公章。</w:t>
      </w:r>
    </w:p>
    <w:p>
      <w:pPr>
        <w:pStyle w:val="32"/>
        <w:spacing w:line="400" w:lineRule="exact"/>
        <w:ind w:firstLine="480" w:firstLineChars="200"/>
        <w:outlineLvl w:val="9"/>
        <w:rPr>
          <w:rFonts w:hAnsi="宋体"/>
          <w:sz w:val="24"/>
        </w:rPr>
      </w:pPr>
      <w:r>
        <w:rPr>
          <w:rFonts w:hint="eastAsia" w:hAnsi="宋体"/>
          <w:sz w:val="24"/>
        </w:rPr>
        <w:t>13.6 全套响应文件应无涂改和行间插字，除非这些改动是根据采购代理机构的指示进行的，或者是为改正谈判响应供应商造成的必须修改的错误而进行的。有改动时，修改处应由法定代表人或授权代表签字证明或加盖谈判响应供应商公章。</w:t>
      </w:r>
    </w:p>
    <w:p>
      <w:pPr>
        <w:pStyle w:val="32"/>
        <w:spacing w:line="400" w:lineRule="exact"/>
        <w:ind w:firstLine="480" w:firstLineChars="200"/>
        <w:outlineLvl w:val="9"/>
        <w:rPr>
          <w:rFonts w:hAnsi="宋体"/>
          <w:sz w:val="24"/>
        </w:rPr>
      </w:pPr>
      <w:r>
        <w:rPr>
          <w:rFonts w:hint="eastAsia" w:hAnsi="宋体"/>
          <w:sz w:val="24"/>
        </w:rPr>
        <w:t>13.7</w:t>
      </w:r>
      <w:r>
        <w:rPr>
          <w:rFonts w:hint="eastAsia" w:hAnsi="宋体"/>
          <w:color w:val="FF0000"/>
          <w:sz w:val="24"/>
        </w:rPr>
        <w:t>未按本谈判文件规定的要求盖章和格式填写响应文件、响应文件字迹模糊不清的，其谈判文件响应将被拒绝。</w:t>
      </w:r>
    </w:p>
    <w:p>
      <w:pPr>
        <w:pStyle w:val="32"/>
        <w:spacing w:line="400" w:lineRule="exact"/>
        <w:ind w:firstLine="480" w:firstLineChars="200"/>
        <w:outlineLvl w:val="9"/>
        <w:rPr>
          <w:rFonts w:hAnsi="宋体"/>
          <w:sz w:val="24"/>
        </w:rPr>
      </w:pPr>
      <w:r>
        <w:rPr>
          <w:rFonts w:hint="eastAsia" w:hAnsi="宋体"/>
          <w:sz w:val="24"/>
        </w:rPr>
        <w:t>13.8 所有资格证明文件复印件须加盖谈判响应供应商公章。</w:t>
      </w:r>
    </w:p>
    <w:p>
      <w:pPr>
        <w:pStyle w:val="32"/>
        <w:spacing w:line="400" w:lineRule="exact"/>
        <w:ind w:firstLine="480" w:firstLineChars="200"/>
        <w:outlineLvl w:val="9"/>
        <w:rPr>
          <w:rFonts w:hAnsi="宋体"/>
          <w:sz w:val="24"/>
        </w:rPr>
      </w:pPr>
      <w:r>
        <w:rPr>
          <w:rFonts w:hint="eastAsia" w:hAnsi="宋体"/>
          <w:sz w:val="24"/>
        </w:rPr>
        <w:t>13.9谈判响应供应商应将上述文件按顺序胶装订成册、打印页码，并编列响应文件目录、资料清单，由于装订不规范或编排顺序混乱而导致响应文件被误读或漏读，该谈判响应可能被视为无效响应或承担不利的评审结果。</w:t>
      </w:r>
    </w:p>
    <w:p>
      <w:pPr>
        <w:pStyle w:val="32"/>
        <w:spacing w:line="400" w:lineRule="exact"/>
        <w:ind w:firstLine="482" w:firstLineChars="200"/>
        <w:jc w:val="center"/>
        <w:outlineLvl w:val="9"/>
        <w:rPr>
          <w:rFonts w:hAnsi="宋体"/>
          <w:b/>
          <w:sz w:val="24"/>
        </w:rPr>
      </w:pPr>
    </w:p>
    <w:p>
      <w:pPr>
        <w:pStyle w:val="32"/>
        <w:spacing w:line="400" w:lineRule="exact"/>
        <w:ind w:firstLine="482" w:firstLineChars="200"/>
        <w:jc w:val="center"/>
        <w:outlineLvl w:val="9"/>
        <w:rPr>
          <w:rFonts w:hAnsi="宋体"/>
          <w:b/>
          <w:sz w:val="24"/>
        </w:rPr>
      </w:pPr>
      <w:r>
        <w:rPr>
          <w:rFonts w:hint="eastAsia" w:hAnsi="宋体"/>
          <w:b/>
          <w:sz w:val="24"/>
        </w:rPr>
        <w:t>四、响应文件的提交</w:t>
      </w:r>
    </w:p>
    <w:p>
      <w:pPr>
        <w:pStyle w:val="32"/>
        <w:spacing w:line="400" w:lineRule="exact"/>
        <w:outlineLvl w:val="9"/>
        <w:rPr>
          <w:rFonts w:hAnsi="宋体"/>
          <w:b/>
          <w:sz w:val="24"/>
        </w:rPr>
      </w:pPr>
      <w:r>
        <w:rPr>
          <w:rFonts w:hint="eastAsia" w:hAnsi="宋体"/>
          <w:b/>
          <w:sz w:val="24"/>
        </w:rPr>
        <w:t>14.响应文件的密封、标记和递交</w:t>
      </w:r>
    </w:p>
    <w:p>
      <w:pPr>
        <w:pStyle w:val="32"/>
        <w:spacing w:line="400" w:lineRule="exact"/>
        <w:ind w:firstLine="480" w:firstLineChars="200"/>
        <w:outlineLvl w:val="9"/>
        <w:rPr>
          <w:rFonts w:hAnsi="宋体"/>
          <w:sz w:val="24"/>
        </w:rPr>
      </w:pPr>
      <w:r>
        <w:rPr>
          <w:rFonts w:hint="eastAsia" w:hAnsi="宋体"/>
          <w:sz w:val="24"/>
        </w:rPr>
        <w:t>14.1 谈判响应供应商应将响应文件正本和副本分别用</w:t>
      </w:r>
      <w:r>
        <w:rPr>
          <w:rFonts w:hint="eastAsia" w:hAnsi="宋体"/>
          <w:sz w:val="24"/>
          <w:lang w:eastAsia="zh-CN"/>
        </w:rPr>
        <w:t>密封袋</w:t>
      </w:r>
      <w:r>
        <w:rPr>
          <w:rFonts w:hint="eastAsia" w:hAnsi="宋体"/>
          <w:sz w:val="24"/>
        </w:rPr>
        <w:t>密封</w:t>
      </w:r>
      <w:r>
        <w:rPr>
          <w:rFonts w:hint="eastAsia" w:hAnsi="宋体"/>
          <w:sz w:val="24"/>
          <w:lang w:eastAsia="zh-CN"/>
        </w:rPr>
        <w:t>或一起封装</w:t>
      </w:r>
      <w:r>
        <w:rPr>
          <w:rFonts w:hint="eastAsia" w:hAnsi="宋体"/>
          <w:sz w:val="24"/>
        </w:rPr>
        <w:t xml:space="preserve">，并标明谈判文件编号、谈判响应供应商名称、采购项目名称及“正本”或“副本”。响应文件未密封可导致其谈判被拒绝。     </w:t>
      </w:r>
    </w:p>
    <w:p>
      <w:pPr>
        <w:pStyle w:val="10"/>
        <w:spacing w:line="400" w:lineRule="exact"/>
        <w:ind w:firstLine="480" w:firstLineChars="200"/>
        <w:jc w:val="left"/>
        <w:rPr>
          <w:rFonts w:hAnsi="宋体"/>
          <w:sz w:val="24"/>
        </w:rPr>
      </w:pPr>
      <w:r>
        <w:rPr>
          <w:rFonts w:hAnsi="宋体"/>
          <w:sz w:val="24"/>
        </w:rPr>
        <w:t>1</w:t>
      </w:r>
      <w:r>
        <w:rPr>
          <w:rFonts w:hint="eastAsia" w:hAnsi="宋体"/>
          <w:sz w:val="24"/>
        </w:rPr>
        <w:t>4.2</w:t>
      </w:r>
      <w:r>
        <w:rPr>
          <w:rFonts w:hAnsi="宋体"/>
          <w:sz w:val="24"/>
        </w:rPr>
        <w:t xml:space="preserve"> </w:t>
      </w:r>
      <w:r>
        <w:rPr>
          <w:rFonts w:hAnsi="宋体"/>
          <w:color w:val="FF0000"/>
          <w:sz w:val="24"/>
        </w:rPr>
        <w:t>如果未按上述规定进行密封和标记，</w:t>
      </w:r>
      <w:r>
        <w:rPr>
          <w:rFonts w:hint="eastAsia" w:hAnsi="宋体"/>
          <w:color w:val="FF0000"/>
          <w:sz w:val="24"/>
        </w:rPr>
        <w:t>投标文件将被拒绝，</w:t>
      </w:r>
      <w:r>
        <w:rPr>
          <w:rFonts w:hAnsi="宋体"/>
          <w:color w:val="FF0000"/>
          <w:sz w:val="24"/>
        </w:rPr>
        <w:t>采购代理机构</w:t>
      </w:r>
      <w:r>
        <w:rPr>
          <w:rFonts w:hint="eastAsia" w:hAnsi="宋体"/>
          <w:color w:val="FF0000"/>
          <w:sz w:val="24"/>
        </w:rPr>
        <w:t>将不承担由此造成的对响应文件的误投或提前拆封的责任。</w:t>
      </w:r>
    </w:p>
    <w:p>
      <w:pPr>
        <w:pStyle w:val="32"/>
        <w:spacing w:line="400" w:lineRule="exact"/>
        <w:ind w:firstLine="480" w:firstLineChars="200"/>
        <w:outlineLvl w:val="9"/>
        <w:rPr>
          <w:rFonts w:hAnsi="宋体"/>
          <w:sz w:val="24"/>
        </w:rPr>
      </w:pPr>
      <w:r>
        <w:rPr>
          <w:rFonts w:hint="eastAsia" w:hAnsi="宋体"/>
          <w:sz w:val="24"/>
        </w:rPr>
        <w:t>14.3响应文件应在谈判邀请中规定的截止时间前送达，迟到的响应文件为无效响应文件，将被拒绝。</w:t>
      </w:r>
    </w:p>
    <w:p>
      <w:pPr>
        <w:pStyle w:val="32"/>
        <w:spacing w:line="400" w:lineRule="exact"/>
        <w:ind w:firstLine="480" w:firstLineChars="200"/>
        <w:outlineLvl w:val="9"/>
        <w:rPr>
          <w:rFonts w:hAnsi="宋体"/>
          <w:sz w:val="24"/>
        </w:rPr>
      </w:pPr>
      <w:r>
        <w:rPr>
          <w:rFonts w:hint="eastAsia" w:hAnsi="宋体"/>
          <w:sz w:val="24"/>
        </w:rPr>
        <w:t>14.4谈判响应供应商在谈判响应截止时间前，可以对所提交的谈判文件进行修改或者撤回，并书面通知采购代理机构。修改的内容和撤回通知应当按本须知要求签署、盖章、密封，并作为响应文件的组成部分。</w:t>
      </w:r>
    </w:p>
    <w:p>
      <w:pPr>
        <w:pStyle w:val="32"/>
        <w:spacing w:line="400" w:lineRule="exact"/>
        <w:ind w:firstLine="480" w:firstLineChars="200"/>
        <w:outlineLvl w:val="9"/>
        <w:rPr>
          <w:rFonts w:hAnsi="宋体"/>
          <w:sz w:val="24"/>
        </w:rPr>
      </w:pPr>
      <w:r>
        <w:rPr>
          <w:rFonts w:hint="eastAsia" w:hAnsi="宋体"/>
          <w:sz w:val="24"/>
        </w:rPr>
        <w:t>14.5谈判响应供应商在谈判响应截止期后不得修改、撤回响应文件。谈判响应供应商在报价截止期后修改响应文件的，其谈判响应将被拒绝。</w:t>
      </w:r>
    </w:p>
    <w:p>
      <w:pPr>
        <w:spacing w:line="400" w:lineRule="exact"/>
        <w:ind w:firstLine="480" w:firstLineChars="200"/>
        <w:outlineLvl w:val="0"/>
        <w:rPr>
          <w:rFonts w:ascii="宋体" w:hAnsi="宋体"/>
          <w:color w:val="FF0000"/>
          <w:sz w:val="24"/>
        </w:rPr>
      </w:pPr>
      <w:r>
        <w:rPr>
          <w:rFonts w:hint="eastAsia" w:hAnsi="宋体"/>
          <w:color w:val="FF0000"/>
          <w:sz w:val="24"/>
        </w:rPr>
        <w:t>14.6</w:t>
      </w:r>
      <w:r>
        <w:rPr>
          <w:rFonts w:hint="eastAsia" w:ascii="宋体" w:hAnsi="宋体"/>
          <w:color w:val="FF0000"/>
          <w:sz w:val="24"/>
        </w:rPr>
        <w:t>投标文件的签署、密封及规定，投标人应按照要求，准备一式</w:t>
      </w:r>
      <w:r>
        <w:rPr>
          <w:rFonts w:hint="eastAsia" w:ascii="宋体" w:hAnsi="宋体"/>
          <w:color w:val="FF0000"/>
          <w:sz w:val="24"/>
          <w:u w:val="single"/>
        </w:rPr>
        <w:t xml:space="preserve"> </w:t>
      </w:r>
      <w:r>
        <w:rPr>
          <w:rFonts w:hint="eastAsia" w:ascii="宋体" w:hAnsi="宋体"/>
          <w:b/>
          <w:color w:val="FF0000"/>
          <w:sz w:val="24"/>
          <w:u w:val="single"/>
        </w:rPr>
        <w:t>2</w:t>
      </w:r>
      <w:r>
        <w:rPr>
          <w:rFonts w:hint="eastAsia" w:ascii="宋体" w:hAnsi="宋体"/>
          <w:color w:val="FF0000"/>
          <w:sz w:val="24"/>
          <w:u w:val="single"/>
        </w:rPr>
        <w:t xml:space="preserve"> </w:t>
      </w:r>
      <w:r>
        <w:rPr>
          <w:rFonts w:hint="eastAsia" w:ascii="宋体" w:hAnsi="宋体"/>
          <w:color w:val="FF0000"/>
          <w:sz w:val="24"/>
        </w:rPr>
        <w:t>份投标书（</w:t>
      </w:r>
      <w:r>
        <w:rPr>
          <w:rFonts w:hint="eastAsia" w:ascii="宋体" w:hAnsi="宋体"/>
          <w:color w:val="FF0000"/>
          <w:sz w:val="24"/>
          <w:u w:val="single"/>
        </w:rPr>
        <w:t xml:space="preserve"> 1 </w:t>
      </w:r>
      <w:r>
        <w:rPr>
          <w:rFonts w:hint="eastAsia" w:ascii="宋体" w:hAnsi="宋体"/>
          <w:color w:val="FF0000"/>
          <w:sz w:val="24"/>
        </w:rPr>
        <w:t>份正本、</w:t>
      </w:r>
      <w:r>
        <w:rPr>
          <w:rFonts w:hint="eastAsia" w:ascii="宋体" w:hAnsi="宋体"/>
          <w:color w:val="FF0000"/>
          <w:sz w:val="24"/>
          <w:u w:val="single"/>
        </w:rPr>
        <w:t xml:space="preserve">  1 </w:t>
      </w:r>
      <w:r>
        <w:rPr>
          <w:rFonts w:hint="eastAsia" w:ascii="宋体" w:hAnsi="宋体"/>
          <w:color w:val="FF0000"/>
          <w:sz w:val="24"/>
        </w:rPr>
        <w:t>份副本），</w:t>
      </w:r>
      <w:r>
        <w:rPr>
          <w:rFonts w:hint="eastAsia" w:hAnsi="宋体"/>
          <w:color w:val="FF0000"/>
          <w:sz w:val="24"/>
        </w:rPr>
        <w:t>投标文件（正、副本）内容均须按页码顺序胶装订成册</w:t>
      </w:r>
      <w:r>
        <w:rPr>
          <w:rFonts w:hint="eastAsia"/>
          <w:color w:val="FF0000"/>
          <w:sz w:val="24"/>
          <w:lang w:val="zh-CN"/>
        </w:rPr>
        <w:t>并编制目录，并在</w:t>
      </w:r>
      <w:r>
        <w:rPr>
          <w:rFonts w:hint="eastAsia" w:hAnsi="宋体"/>
          <w:color w:val="FF0000"/>
          <w:sz w:val="24"/>
        </w:rPr>
        <w:t>投标文件（正、副本）内容每一页加盖投标单位公章,</w:t>
      </w:r>
      <w:r>
        <w:rPr>
          <w:rFonts w:hint="eastAsia" w:ascii="宋体" w:hAnsi="宋体"/>
          <w:color w:val="FF0000"/>
          <w:sz w:val="24"/>
        </w:rPr>
        <w:t xml:space="preserve"> 投标文件正本与副本不一致时，以正本为准。</w:t>
      </w:r>
    </w:p>
    <w:p>
      <w:pPr>
        <w:spacing w:line="400" w:lineRule="exact"/>
        <w:ind w:firstLine="480" w:firstLineChars="200"/>
        <w:rPr>
          <w:rFonts w:ascii="宋体" w:hAnsi="宋体"/>
          <w:kern w:val="0"/>
          <w:sz w:val="24"/>
          <w:szCs w:val="20"/>
        </w:rPr>
      </w:pPr>
      <w:r>
        <w:rPr>
          <w:rFonts w:hint="eastAsia" w:ascii="宋体" w:hAnsi="宋体"/>
          <w:kern w:val="0"/>
          <w:sz w:val="24"/>
          <w:szCs w:val="20"/>
        </w:rPr>
        <w:t>经补充后，对谈判文件作出实质响应的供应商只有两家的，经请示行业主管部门同意后，谈判小组可以与两家供应商进行谈判。</w:t>
      </w:r>
    </w:p>
    <w:p>
      <w:pPr>
        <w:pStyle w:val="32"/>
        <w:spacing w:line="400" w:lineRule="exact"/>
        <w:ind w:firstLine="480" w:firstLineChars="200"/>
        <w:outlineLvl w:val="9"/>
        <w:rPr>
          <w:rFonts w:hAnsi="宋体"/>
          <w:sz w:val="24"/>
        </w:rPr>
      </w:pPr>
    </w:p>
    <w:p>
      <w:pPr>
        <w:pStyle w:val="32"/>
        <w:spacing w:line="400" w:lineRule="exact"/>
        <w:ind w:firstLine="482" w:firstLineChars="200"/>
        <w:jc w:val="center"/>
        <w:outlineLvl w:val="9"/>
        <w:rPr>
          <w:rFonts w:hAnsi="宋体"/>
          <w:b/>
          <w:sz w:val="24"/>
        </w:rPr>
      </w:pPr>
      <w:r>
        <w:rPr>
          <w:rFonts w:hint="eastAsia" w:hAnsi="宋体"/>
          <w:b/>
          <w:sz w:val="24"/>
        </w:rPr>
        <w:t>五、响应文件的评估和比较</w:t>
      </w:r>
    </w:p>
    <w:p>
      <w:pPr>
        <w:pStyle w:val="10"/>
        <w:spacing w:line="400" w:lineRule="exact"/>
        <w:jc w:val="left"/>
        <w:rPr>
          <w:rFonts w:hAnsi="宋体"/>
          <w:b/>
          <w:sz w:val="24"/>
        </w:rPr>
      </w:pPr>
      <w:r>
        <w:rPr>
          <w:rFonts w:hint="eastAsia" w:hAnsi="宋体"/>
          <w:b/>
          <w:sz w:val="24"/>
        </w:rPr>
        <w:t>15.谈判时间</w:t>
      </w:r>
    </w:p>
    <w:p>
      <w:pPr>
        <w:pStyle w:val="10"/>
        <w:spacing w:line="400" w:lineRule="exact"/>
        <w:jc w:val="left"/>
        <w:rPr>
          <w:rFonts w:hAnsi="宋体"/>
          <w:sz w:val="24"/>
        </w:rPr>
      </w:pPr>
      <w:r>
        <w:rPr>
          <w:rFonts w:hint="eastAsia" w:hAnsi="宋体"/>
          <w:b/>
          <w:sz w:val="24"/>
        </w:rPr>
        <w:t xml:space="preserve">   </w:t>
      </w:r>
      <w:r>
        <w:rPr>
          <w:rFonts w:hint="eastAsia" w:hAnsi="宋体"/>
          <w:sz w:val="24"/>
        </w:rPr>
        <w:t xml:space="preserve"> 15.1在谈判响应供应商须知前附表中所规定的时间、地点谈判（如有推迟情形，以推迟后的时间、地点为准）。</w:t>
      </w:r>
    </w:p>
    <w:p>
      <w:pPr>
        <w:pStyle w:val="10"/>
        <w:spacing w:line="400" w:lineRule="exact"/>
        <w:jc w:val="left"/>
        <w:rPr>
          <w:rFonts w:hAnsi="宋体"/>
          <w:sz w:val="24"/>
        </w:rPr>
      </w:pPr>
      <w:r>
        <w:rPr>
          <w:rFonts w:hint="eastAsia" w:hAnsi="宋体"/>
          <w:sz w:val="24"/>
        </w:rPr>
        <w:t xml:space="preserve">    15.2谈判由采购代理机构主持，邀请采购人、谈判响应供应商和有关方面代表参加。谈判响应供应商一般应派授权代表参加谈判，并办理签到手续。</w:t>
      </w:r>
    </w:p>
    <w:p>
      <w:pPr>
        <w:pStyle w:val="10"/>
        <w:spacing w:line="400" w:lineRule="exact"/>
        <w:jc w:val="left"/>
        <w:rPr>
          <w:rFonts w:hAnsi="宋体"/>
          <w:b/>
          <w:sz w:val="24"/>
        </w:rPr>
      </w:pPr>
      <w:r>
        <w:rPr>
          <w:rFonts w:hint="eastAsia" w:hAnsi="宋体"/>
          <w:b/>
          <w:sz w:val="24"/>
        </w:rPr>
        <w:t>16.</w:t>
      </w:r>
      <w:r>
        <w:rPr>
          <w:rFonts w:hAnsi="宋体"/>
          <w:b/>
          <w:sz w:val="24"/>
        </w:rPr>
        <w:t>谈判</w:t>
      </w:r>
      <w:r>
        <w:rPr>
          <w:rFonts w:hint="eastAsia" w:hAnsi="宋体"/>
          <w:b/>
          <w:sz w:val="24"/>
        </w:rPr>
        <w:t>小组</w:t>
      </w:r>
    </w:p>
    <w:p>
      <w:pPr>
        <w:spacing w:line="400" w:lineRule="exact"/>
        <w:ind w:firstLine="480" w:firstLineChars="200"/>
        <w:rPr>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spacing w:line="400" w:lineRule="exact"/>
        <w:ind w:firstLine="480" w:firstLineChars="200"/>
        <w:rPr>
          <w:rFonts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10"/>
        <w:spacing w:line="400" w:lineRule="exact"/>
        <w:jc w:val="left"/>
        <w:rPr>
          <w:rFonts w:hAnsi="宋体"/>
          <w:b/>
          <w:sz w:val="24"/>
        </w:rPr>
      </w:pPr>
      <w:r>
        <w:rPr>
          <w:rFonts w:hint="eastAsia" w:hAnsi="宋体"/>
          <w:b/>
          <w:sz w:val="24"/>
        </w:rPr>
        <w:t>17.响应文件的初审</w:t>
      </w:r>
    </w:p>
    <w:p>
      <w:pPr>
        <w:spacing w:line="400" w:lineRule="exact"/>
        <w:ind w:firstLine="480" w:firstLineChars="200"/>
        <w:rPr>
          <w:rFonts w:ascii="宋体" w:hAnsi="宋体"/>
          <w:sz w:val="24"/>
        </w:rPr>
      </w:pPr>
      <w:r>
        <w:rPr>
          <w:rFonts w:hint="eastAsia" w:ascii="宋体" w:hAnsi="宋体"/>
          <w:sz w:val="24"/>
        </w:rPr>
        <w:t>对所有谈判响应供应商的评估，都采用相同的程序和标准。评议过程将严格按照谈判文件的要求和条件进行。</w:t>
      </w:r>
    </w:p>
    <w:p>
      <w:pPr>
        <w:spacing w:line="400" w:lineRule="exact"/>
        <w:ind w:firstLine="480" w:firstLineChars="200"/>
        <w:rPr>
          <w:rFonts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spacing w:line="400" w:lineRule="exact"/>
        <w:ind w:firstLine="480" w:firstLineChars="200"/>
        <w:rPr>
          <w:rFonts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10"/>
        <w:spacing w:line="400" w:lineRule="exact"/>
        <w:ind w:firstLine="480" w:firstLineChars="200"/>
        <w:jc w:val="left"/>
        <w:rPr>
          <w:rFonts w:hAnsi="宋体"/>
          <w:color w:val="FF0000"/>
          <w:sz w:val="24"/>
        </w:rPr>
      </w:pPr>
      <w:r>
        <w:rPr>
          <w:rFonts w:hint="eastAsia" w:hAnsi="宋体"/>
          <w:color w:val="FF0000"/>
          <w:sz w:val="24"/>
        </w:rPr>
        <w:t>17.1</w:t>
      </w:r>
      <w:r>
        <w:rPr>
          <w:rFonts w:hAnsi="宋体"/>
          <w:color w:val="FF0000"/>
          <w:sz w:val="24"/>
        </w:rPr>
        <w:t>开标时，投标文件开启之前，除对投标文件的密封进行检查外，</w:t>
      </w:r>
      <w:r>
        <w:rPr>
          <w:rFonts w:hint="eastAsia" w:hAnsi="宋体"/>
          <w:b/>
          <w:color w:val="FF0000"/>
          <w:sz w:val="24"/>
        </w:rPr>
        <w:t>主要是</w:t>
      </w:r>
      <w:r>
        <w:rPr>
          <w:rFonts w:hAnsi="宋体"/>
          <w:color w:val="FF0000"/>
          <w:sz w:val="24"/>
        </w:rPr>
        <w:t>对投标人的投标保证金</w:t>
      </w:r>
      <w:r>
        <w:rPr>
          <w:rFonts w:hint="eastAsia" w:hAnsi="宋体"/>
          <w:color w:val="FF0000"/>
          <w:sz w:val="24"/>
          <w:lang w:eastAsia="zh-CN"/>
        </w:rPr>
        <w:t>情况</w:t>
      </w:r>
      <w:r>
        <w:rPr>
          <w:rFonts w:hAnsi="宋体"/>
          <w:color w:val="FF0000"/>
          <w:sz w:val="24"/>
        </w:rPr>
        <w:t>及投标人身份（需出示法定代表人身份证原件或委托代理人持授权委托书并出示代理人身份证原件）进行核查，如未能提供，视为无效投标。</w:t>
      </w:r>
    </w:p>
    <w:p>
      <w:pPr>
        <w:pStyle w:val="10"/>
        <w:spacing w:line="400" w:lineRule="exact"/>
        <w:ind w:firstLine="480" w:firstLineChars="200"/>
        <w:jc w:val="left"/>
        <w:rPr>
          <w:rFonts w:hAnsi="宋体"/>
          <w:color w:val="FF0000"/>
          <w:sz w:val="24"/>
        </w:rPr>
      </w:pPr>
      <w:r>
        <w:rPr>
          <w:rFonts w:hint="eastAsia" w:hAnsi="宋体"/>
          <w:color w:val="auto"/>
          <w:sz w:val="24"/>
        </w:rPr>
        <w:t>17.2评标时，需审查以下资质文件资料：</w:t>
      </w:r>
    </w:p>
    <w:p>
      <w:pPr>
        <w:pStyle w:val="10"/>
        <w:spacing w:line="400" w:lineRule="exact"/>
        <w:ind w:firstLine="475" w:firstLineChars="198"/>
        <w:rPr>
          <w:rFonts w:hAnsi="宋体"/>
          <w:sz w:val="24"/>
        </w:rPr>
      </w:pPr>
      <w:r>
        <w:rPr>
          <w:rFonts w:hint="eastAsia" w:hAnsi="宋体"/>
          <w:sz w:val="24"/>
        </w:rPr>
        <w:t>（1）工商营业执照副本；</w:t>
      </w:r>
      <w:r>
        <w:rPr>
          <w:rFonts w:hint="eastAsia" w:hAnsi="宋体"/>
          <w:color w:val="FF0000"/>
          <w:sz w:val="24"/>
          <w:lang w:eastAsia="zh-CN"/>
        </w:rPr>
        <w:t>（复印件加盖公章）</w:t>
      </w:r>
    </w:p>
    <w:p>
      <w:pPr>
        <w:pStyle w:val="10"/>
        <w:spacing w:line="400" w:lineRule="exact"/>
        <w:ind w:firstLine="475" w:firstLineChars="198"/>
        <w:rPr>
          <w:rFonts w:hAnsi="宋体"/>
          <w:sz w:val="24"/>
        </w:rPr>
      </w:pPr>
      <w:r>
        <w:rPr>
          <w:rFonts w:hint="eastAsia" w:hAnsi="宋体"/>
          <w:sz w:val="24"/>
        </w:rPr>
        <w:t>（2）税务登记证；</w:t>
      </w:r>
    </w:p>
    <w:p>
      <w:pPr>
        <w:pStyle w:val="10"/>
        <w:spacing w:line="400" w:lineRule="exact"/>
        <w:ind w:firstLine="475" w:firstLineChars="198"/>
        <w:rPr>
          <w:rFonts w:hAnsi="宋体"/>
          <w:sz w:val="24"/>
        </w:rPr>
      </w:pPr>
      <w:r>
        <w:rPr>
          <w:rFonts w:hint="eastAsia" w:hAnsi="宋体"/>
          <w:sz w:val="24"/>
        </w:rPr>
        <w:t>（3）组织机构代码证；</w:t>
      </w:r>
    </w:p>
    <w:p>
      <w:pPr>
        <w:pStyle w:val="10"/>
        <w:spacing w:line="400" w:lineRule="exact"/>
        <w:ind w:firstLine="475" w:firstLineChars="198"/>
        <w:rPr>
          <w:rFonts w:hint="eastAsia" w:ascii="宋体"/>
          <w:sz w:val="24"/>
        </w:rPr>
      </w:pPr>
      <w:r>
        <w:rPr>
          <w:rFonts w:hint="eastAsia" w:ascii="宋体"/>
          <w:sz w:val="24"/>
        </w:rPr>
        <w:t>（注：三证合一、五证合一的只提工商供营业执照副本）；</w:t>
      </w:r>
    </w:p>
    <w:p>
      <w:pPr>
        <w:pStyle w:val="10"/>
        <w:spacing w:line="400" w:lineRule="exact"/>
        <w:ind w:firstLine="475" w:firstLineChars="198"/>
        <w:rPr>
          <w:sz w:val="24"/>
        </w:rPr>
      </w:pPr>
      <w:r>
        <w:rPr>
          <w:rFonts w:hint="eastAsia"/>
          <w:sz w:val="24"/>
        </w:rPr>
        <w:t>（</w:t>
      </w:r>
      <w:r>
        <w:rPr>
          <w:rFonts w:hint="eastAsia"/>
          <w:sz w:val="24"/>
          <w:lang w:val="en-US" w:eastAsia="zh-CN"/>
        </w:rPr>
        <w:t>4</w:t>
      </w:r>
      <w:r>
        <w:rPr>
          <w:rFonts w:hint="eastAsia"/>
          <w:sz w:val="24"/>
        </w:rPr>
        <w:t>）法定代表人身份证或委托代理人持授权委托书及代理人身份证；</w:t>
      </w:r>
    </w:p>
    <w:p>
      <w:pPr>
        <w:pStyle w:val="10"/>
        <w:spacing w:line="400" w:lineRule="exact"/>
        <w:ind w:firstLine="475" w:firstLineChars="198"/>
        <w:rPr>
          <w:rFonts w:hint="eastAsia"/>
          <w:color w:val="auto"/>
          <w:sz w:val="24"/>
          <w:lang w:eastAsia="zh-CN"/>
        </w:rPr>
      </w:pPr>
      <w:r>
        <w:rPr>
          <w:rFonts w:hint="eastAsia" w:hAnsi="宋体"/>
          <w:color w:val="auto"/>
          <w:sz w:val="24"/>
        </w:rPr>
        <w:t>（</w:t>
      </w:r>
      <w:r>
        <w:rPr>
          <w:rFonts w:hint="eastAsia" w:hAnsi="宋体"/>
          <w:color w:val="auto"/>
          <w:sz w:val="24"/>
          <w:lang w:val="en-US" w:eastAsia="zh-CN"/>
        </w:rPr>
        <w:t>5</w:t>
      </w:r>
      <w:r>
        <w:rPr>
          <w:rFonts w:hint="eastAsia" w:hAnsi="宋体"/>
          <w:color w:val="auto"/>
          <w:sz w:val="24"/>
        </w:rPr>
        <w:t>）</w:t>
      </w:r>
      <w:r>
        <w:rPr>
          <w:rFonts w:hint="eastAsia"/>
          <w:color w:val="auto"/>
          <w:sz w:val="24"/>
        </w:rPr>
        <w:t>“信用中国”网站（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olor w:val="auto"/>
          <w:sz w:val="24"/>
        </w:rPr>
        <w:t>www.creditchina.gov.cn</w:t>
      </w:r>
      <w:r>
        <w:rPr>
          <w:rFonts w:hint="eastAsia"/>
          <w:color w:val="auto"/>
          <w:sz w:val="24"/>
        </w:rPr>
        <w:fldChar w:fldCharType="end"/>
      </w:r>
      <w:r>
        <w:rPr>
          <w:rFonts w:hint="eastAsia"/>
          <w:color w:val="auto"/>
          <w:sz w:val="24"/>
        </w:rPr>
        <w:t>）</w:t>
      </w:r>
      <w:r>
        <w:rPr>
          <w:rFonts w:hint="eastAsia"/>
          <w:color w:val="auto"/>
          <w:sz w:val="24"/>
          <w:lang w:eastAsia="zh-CN"/>
        </w:rPr>
        <w:t>和</w:t>
      </w:r>
      <w:r>
        <w:rPr>
          <w:rFonts w:hint="eastAsia"/>
          <w:color w:val="auto"/>
          <w:sz w:val="24"/>
        </w:rPr>
        <w:t>政府采购严重违法失信行为记录名单（</w:t>
      </w:r>
      <w:r>
        <w:rPr>
          <w:color w:val="auto"/>
        </w:rPr>
        <w:fldChar w:fldCharType="begin"/>
      </w:r>
      <w:r>
        <w:rPr>
          <w:color w:val="auto"/>
        </w:rPr>
        <w:instrText xml:space="preserve"> HYPERLINK "http://www.ccgp.gov.cn/search/cr/" </w:instrText>
      </w:r>
      <w:r>
        <w:rPr>
          <w:color w:val="auto"/>
        </w:rPr>
        <w:fldChar w:fldCharType="separate"/>
      </w:r>
      <w:r>
        <w:rPr>
          <w:rFonts w:hint="eastAsia"/>
          <w:color w:val="auto"/>
          <w:sz w:val="24"/>
        </w:rPr>
        <w:t>http://www.ccgp.gov.cn/search/cr/</w:t>
      </w:r>
      <w:r>
        <w:rPr>
          <w:rFonts w:hint="eastAsia"/>
          <w:color w:val="auto"/>
          <w:sz w:val="24"/>
        </w:rPr>
        <w:fldChar w:fldCharType="end"/>
      </w:r>
      <w:r>
        <w:rPr>
          <w:rFonts w:hint="eastAsia"/>
          <w:color w:val="auto"/>
          <w:sz w:val="24"/>
        </w:rPr>
        <w:t>）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项目报名开始至开标前；信用信息查询记录和证据留存方式：投标人提供查询记录截图（制作于标书内）</w:t>
      </w:r>
      <w:r>
        <w:rPr>
          <w:rFonts w:hint="eastAsia"/>
          <w:color w:val="auto"/>
          <w:sz w:val="24"/>
          <w:lang w:eastAsia="zh-CN"/>
        </w:rPr>
        <w:t>。</w:t>
      </w:r>
    </w:p>
    <w:p>
      <w:pPr>
        <w:pStyle w:val="10"/>
        <w:spacing w:line="400" w:lineRule="exact"/>
        <w:ind w:firstLine="475" w:firstLineChars="198"/>
        <w:rPr>
          <w:rFonts w:hint="default"/>
          <w:color w:val="auto"/>
          <w:sz w:val="24"/>
          <w:lang w:val="en-US" w:eastAsia="zh-CN"/>
        </w:rPr>
      </w:pPr>
      <w:r>
        <w:rPr>
          <w:rFonts w:hint="eastAsia"/>
          <w:color w:val="FF0000"/>
          <w:sz w:val="24"/>
          <w:lang w:eastAsia="zh-CN"/>
        </w:rPr>
        <w:t>（</w:t>
      </w:r>
      <w:r>
        <w:rPr>
          <w:rFonts w:hint="eastAsia"/>
          <w:color w:val="FF0000"/>
          <w:sz w:val="24"/>
          <w:lang w:val="en-US" w:eastAsia="zh-CN"/>
        </w:rPr>
        <w:t>6</w:t>
      </w:r>
      <w:r>
        <w:rPr>
          <w:rFonts w:hint="eastAsia"/>
          <w:color w:val="FF0000"/>
          <w:sz w:val="24"/>
          <w:lang w:eastAsia="zh-CN"/>
        </w:rPr>
        <w:t>）</w:t>
      </w:r>
      <w:r>
        <w:rPr>
          <w:rFonts w:hint="eastAsia"/>
          <w:color w:val="FF0000"/>
          <w:sz w:val="24"/>
          <w:lang w:val="en-US" w:eastAsia="zh-CN"/>
        </w:rPr>
        <w:t>建筑总承</w:t>
      </w:r>
      <w:r>
        <w:rPr>
          <w:rFonts w:hint="eastAsia"/>
          <w:color w:val="FF0000"/>
          <w:sz w:val="24"/>
          <w:lang w:eastAsia="zh-CN"/>
        </w:rPr>
        <w:t>包二级及以上资质并同时具备装修资质；人员配置：需配备项目负责人，具备二级建造师和工程师及以上资格。</w:t>
      </w:r>
    </w:p>
    <w:p>
      <w:pPr>
        <w:spacing w:line="400" w:lineRule="exact"/>
        <w:ind w:firstLine="480" w:firstLineChars="200"/>
        <w:rPr>
          <w:rFonts w:ascii="宋体" w:hAnsi="宋体"/>
          <w:sz w:val="24"/>
        </w:rPr>
      </w:pPr>
      <w:r>
        <w:rPr>
          <w:rFonts w:hint="eastAsia" w:ascii="宋体" w:hAnsi="宋体"/>
          <w:sz w:val="24"/>
        </w:rPr>
        <w:t xml:space="preserve">17.3谈判小组将对响应文件进行审查，以确定响应文件是否完整、有无计算上的错误、是否提交了谈判保证金、文件是否已正确签署。 </w:t>
      </w:r>
    </w:p>
    <w:p>
      <w:pPr>
        <w:spacing w:line="400" w:lineRule="exact"/>
        <w:ind w:firstLine="480" w:firstLineChars="200"/>
        <w:rPr>
          <w:rFonts w:ascii="宋体" w:hAnsi="宋体"/>
          <w:sz w:val="24"/>
        </w:rPr>
      </w:pPr>
      <w:r>
        <w:rPr>
          <w:rFonts w:hint="eastAsia" w:ascii="宋体" w:hAnsi="宋体"/>
          <w:sz w:val="24"/>
        </w:rPr>
        <w:t>17.4 算术错误将按以下方法更正：</w:t>
      </w:r>
    </w:p>
    <w:p>
      <w:pPr>
        <w:spacing w:line="400" w:lineRule="exact"/>
        <w:ind w:firstLine="480" w:firstLineChars="200"/>
        <w:rPr>
          <w:rFonts w:ascii="宋体" w:hAnsi="宋体"/>
          <w:sz w:val="24"/>
        </w:rPr>
      </w:pPr>
      <w:r>
        <w:rPr>
          <w:rFonts w:hint="eastAsia" w:ascii="宋体" w:hAnsi="宋体"/>
          <w:sz w:val="24"/>
        </w:rPr>
        <w:t>(1)响应文件中报价一览表内容与响应文件中明细表内容不一致的，以报价一览表为准。</w:t>
      </w:r>
    </w:p>
    <w:p>
      <w:pPr>
        <w:spacing w:line="400" w:lineRule="exact"/>
        <w:ind w:firstLine="480" w:firstLineChars="200"/>
        <w:rPr>
          <w:rFonts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400" w:lineRule="exact"/>
        <w:ind w:firstLine="480" w:firstLineChars="200"/>
        <w:rPr>
          <w:rFonts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spacing w:line="400" w:lineRule="exact"/>
        <w:ind w:firstLine="480" w:firstLineChars="200"/>
        <w:rPr>
          <w:rFonts w:ascii="宋体" w:hAnsi="宋体"/>
          <w:sz w:val="24"/>
        </w:rPr>
      </w:pPr>
      <w:r>
        <w:rPr>
          <w:rFonts w:hint="eastAsia" w:ascii="宋体" w:hAnsi="宋体"/>
          <w:sz w:val="24"/>
        </w:rPr>
        <w:t>17.5</w:t>
      </w:r>
      <w:r>
        <w:rPr>
          <w:rFonts w:hint="eastAsia" w:ascii="宋体" w:hAnsi="宋体"/>
          <w:sz w:val="24"/>
          <w:szCs w:val="18"/>
        </w:rPr>
        <w:t>资格性检查和符合性检查</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    17.5.1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spacing w:line="400" w:lineRule="exact"/>
        <w:ind w:left="31" w:leftChars="15"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rPr>
        <w:t>5.2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spacing w:line="400" w:lineRule="exact"/>
        <w:ind w:left="69" w:firstLine="480" w:firstLineChars="200"/>
        <w:rPr>
          <w:rFonts w:ascii="宋体" w:hAnsi="宋体"/>
          <w:sz w:val="24"/>
        </w:rPr>
      </w:pPr>
      <w:r>
        <w:rPr>
          <w:rFonts w:hint="eastAsia" w:ascii="宋体" w:hAnsi="宋体"/>
          <w:sz w:val="24"/>
        </w:rPr>
        <w:t>(1)谈判响应文件未按照本须知规定进行密封、标记的；</w:t>
      </w:r>
    </w:p>
    <w:p>
      <w:pPr>
        <w:spacing w:line="400" w:lineRule="exact"/>
        <w:ind w:left="69" w:firstLine="480" w:firstLineChars="200"/>
        <w:rPr>
          <w:rFonts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spacing w:line="400" w:lineRule="exact"/>
        <w:ind w:left="69" w:firstLine="480" w:firstLineChars="200"/>
        <w:rPr>
          <w:rFonts w:ascii="宋体" w:hAnsi="宋体"/>
          <w:sz w:val="24"/>
        </w:rPr>
      </w:pPr>
      <w:r>
        <w:rPr>
          <w:rFonts w:hint="eastAsia" w:ascii="宋体" w:hAnsi="宋体"/>
          <w:sz w:val="24"/>
        </w:rPr>
        <w:t>(3)未按规定提交谈判保证金的；</w:t>
      </w:r>
    </w:p>
    <w:p>
      <w:pPr>
        <w:spacing w:line="400" w:lineRule="exact"/>
        <w:ind w:left="69" w:firstLine="480" w:firstLineChars="200"/>
        <w:rPr>
          <w:rFonts w:ascii="宋体" w:hAnsi="宋体"/>
          <w:sz w:val="24"/>
        </w:rPr>
      </w:pPr>
      <w:r>
        <w:rPr>
          <w:rFonts w:hint="eastAsia" w:ascii="宋体" w:hAnsi="宋体"/>
          <w:sz w:val="24"/>
        </w:rPr>
        <w:t>(4)谈判响应有效期不满足谈判文件要求的；</w:t>
      </w:r>
    </w:p>
    <w:p>
      <w:pPr>
        <w:spacing w:line="400" w:lineRule="exact"/>
        <w:ind w:left="69" w:firstLine="480" w:firstLineChars="200"/>
        <w:rPr>
          <w:rFonts w:ascii="宋体" w:hAnsi="宋体"/>
          <w:sz w:val="24"/>
        </w:rPr>
      </w:pPr>
      <w:r>
        <w:rPr>
          <w:rFonts w:hint="eastAsia" w:ascii="宋体" w:hAnsi="宋体"/>
          <w:sz w:val="24"/>
        </w:rPr>
        <w:t>(5)响应文件内容与谈判文件内容及要求有重大偏离或保留的；</w:t>
      </w:r>
    </w:p>
    <w:p>
      <w:pPr>
        <w:spacing w:line="400" w:lineRule="exact"/>
        <w:ind w:left="69" w:firstLine="480" w:firstLineChars="200"/>
        <w:rPr>
          <w:rFonts w:ascii="宋体" w:hAnsi="宋体"/>
          <w:sz w:val="24"/>
        </w:rPr>
      </w:pPr>
      <w:r>
        <w:rPr>
          <w:rFonts w:hint="eastAsia" w:ascii="宋体" w:hAnsi="宋体"/>
          <w:sz w:val="24"/>
        </w:rPr>
        <w:t>(6)谈判响应供应商提交的是可选择的报价；</w:t>
      </w:r>
    </w:p>
    <w:p>
      <w:pPr>
        <w:spacing w:line="400" w:lineRule="exact"/>
        <w:ind w:left="69" w:firstLine="480" w:firstLineChars="200"/>
        <w:rPr>
          <w:rFonts w:ascii="宋体" w:hAnsi="宋体"/>
          <w:sz w:val="24"/>
        </w:rPr>
      </w:pPr>
      <w:r>
        <w:rPr>
          <w:rFonts w:hint="eastAsia" w:ascii="宋体" w:hAnsi="宋体"/>
          <w:sz w:val="24"/>
        </w:rPr>
        <w:t>(7)谈判响应供应商未按谈判文件要求进行分项报价；</w:t>
      </w:r>
    </w:p>
    <w:p>
      <w:pPr>
        <w:spacing w:line="400" w:lineRule="exact"/>
        <w:ind w:left="69" w:firstLine="480" w:firstLineChars="200"/>
        <w:rPr>
          <w:rFonts w:ascii="宋体" w:hAnsi="宋体"/>
          <w:sz w:val="24"/>
        </w:rPr>
      </w:pPr>
      <w:r>
        <w:rPr>
          <w:rFonts w:hint="eastAsia" w:ascii="宋体" w:hAnsi="宋体"/>
          <w:sz w:val="24"/>
        </w:rPr>
        <w:t>(8)响应文件中提供虚假或失实资料的；</w:t>
      </w:r>
    </w:p>
    <w:p>
      <w:pPr>
        <w:spacing w:line="400" w:lineRule="exact"/>
        <w:ind w:left="69" w:firstLine="480" w:firstLineChars="200"/>
        <w:rPr>
          <w:rFonts w:ascii="宋体" w:hAnsi="宋体"/>
          <w:sz w:val="24"/>
        </w:rPr>
      </w:pPr>
      <w:r>
        <w:rPr>
          <w:rFonts w:hint="eastAsia" w:ascii="宋体" w:hAnsi="宋体"/>
          <w:sz w:val="24"/>
        </w:rPr>
        <w:t xml:space="preserve">(9)不符合谈判文件中规定的其它实质性条款。 </w:t>
      </w:r>
    </w:p>
    <w:p>
      <w:pPr>
        <w:spacing w:line="400" w:lineRule="exact"/>
        <w:ind w:left="69" w:leftChars="33" w:firstLine="480" w:firstLineChars="200"/>
        <w:rPr>
          <w:rFonts w:ascii="宋体" w:hAnsi="宋体"/>
          <w:sz w:val="24"/>
          <w:szCs w:val="24"/>
        </w:rPr>
      </w:pPr>
      <w:r>
        <w:rPr>
          <w:rFonts w:hint="eastAsia"/>
          <w:sz w:val="24"/>
          <w:szCs w:val="24"/>
        </w:rPr>
        <w:t>谈判小组决定报价的响应性只根据响应文件本身的内容，而不寻求其他的外部证据。</w:t>
      </w:r>
    </w:p>
    <w:p>
      <w:pPr>
        <w:pStyle w:val="10"/>
        <w:spacing w:line="400" w:lineRule="exact"/>
        <w:ind w:firstLine="480" w:firstLineChars="200"/>
        <w:jc w:val="left"/>
        <w:rPr>
          <w:rFonts w:hAnsi="宋体"/>
          <w:sz w:val="24"/>
        </w:rPr>
      </w:pPr>
      <w:r>
        <w:rPr>
          <w:rFonts w:hint="eastAsia" w:hAnsi="宋体"/>
          <w:sz w:val="24"/>
        </w:rPr>
        <w:t>17.6</w:t>
      </w:r>
      <w:r>
        <w:rPr>
          <w:rFonts w:hAnsi="宋体"/>
          <w:sz w:val="24"/>
        </w:rPr>
        <w:t>谈判响应供应商提交的响应文件将给予保密，但不予退回。</w:t>
      </w:r>
    </w:p>
    <w:p>
      <w:pPr>
        <w:pStyle w:val="8"/>
        <w:snapToGrid w:val="0"/>
        <w:spacing w:line="400" w:lineRule="exact"/>
        <w:ind w:firstLine="480" w:firstLineChars="200"/>
        <w:outlineLvl w:val="0"/>
        <w:rPr>
          <w:sz w:val="24"/>
          <w:szCs w:val="24"/>
        </w:rPr>
      </w:pPr>
      <w:r>
        <w:rPr>
          <w:rFonts w:hint="eastAsia"/>
          <w:sz w:val="24"/>
          <w:szCs w:val="24"/>
        </w:rPr>
        <w:t>17.7谈判响应供应商资格和报价产品均必须满足中华人民共和国相关法律法规及行业的强制性要求，否则将作无效响应处理。</w:t>
      </w:r>
    </w:p>
    <w:p>
      <w:pPr>
        <w:pStyle w:val="8"/>
        <w:snapToGrid w:val="0"/>
        <w:spacing w:line="400" w:lineRule="exact"/>
        <w:ind w:firstLine="0"/>
        <w:outlineLvl w:val="0"/>
        <w:rPr>
          <w:sz w:val="24"/>
          <w:szCs w:val="24"/>
        </w:rPr>
      </w:pPr>
      <w:r>
        <w:rPr>
          <w:rFonts w:hint="eastAsia"/>
          <w:b/>
          <w:sz w:val="24"/>
          <w:szCs w:val="24"/>
        </w:rPr>
        <w:t>18.谈判相应文件的澄清</w:t>
      </w:r>
    </w:p>
    <w:p>
      <w:pPr>
        <w:pStyle w:val="8"/>
        <w:snapToGrid w:val="0"/>
        <w:spacing w:line="400" w:lineRule="exact"/>
        <w:ind w:firstLine="480" w:firstLineChars="200"/>
        <w:outlineLvl w:val="0"/>
        <w:rPr>
          <w:sz w:val="24"/>
          <w:szCs w:val="24"/>
        </w:rPr>
      </w:pPr>
      <w:r>
        <w:rPr>
          <w:rFonts w:hint="eastAsia"/>
          <w:sz w:val="24"/>
          <w:szCs w:val="24"/>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10"/>
        <w:spacing w:line="400" w:lineRule="exact"/>
        <w:jc w:val="left"/>
        <w:rPr>
          <w:rFonts w:hAnsi="宋体"/>
          <w:b/>
          <w:sz w:val="24"/>
        </w:rPr>
      </w:pPr>
      <w:r>
        <w:rPr>
          <w:rFonts w:hint="eastAsia" w:hAnsi="宋体"/>
          <w:b/>
          <w:sz w:val="24"/>
        </w:rPr>
        <w:t>19</w:t>
      </w:r>
      <w:r>
        <w:rPr>
          <w:rFonts w:hAnsi="宋体"/>
          <w:b/>
          <w:sz w:val="24"/>
        </w:rPr>
        <w:t>.</w:t>
      </w:r>
      <w:r>
        <w:rPr>
          <w:rFonts w:hint="eastAsia" w:hAnsi="宋体"/>
          <w:b/>
          <w:sz w:val="24"/>
        </w:rPr>
        <w:t>比较与评价</w:t>
      </w:r>
    </w:p>
    <w:p>
      <w:pPr>
        <w:pStyle w:val="10"/>
        <w:spacing w:line="400" w:lineRule="exact"/>
        <w:ind w:firstLine="480" w:firstLineChars="200"/>
        <w:jc w:val="left"/>
        <w:rPr>
          <w:rFonts w:hAnsi="宋体"/>
          <w:sz w:val="24"/>
        </w:rPr>
      </w:pPr>
      <w:r>
        <w:rPr>
          <w:rFonts w:hint="eastAsia" w:hAnsi="宋体"/>
          <w:sz w:val="24"/>
        </w:rPr>
        <w:t>19</w:t>
      </w:r>
      <w:r>
        <w:rPr>
          <w:rFonts w:hAnsi="宋体"/>
          <w:sz w:val="24"/>
        </w:rPr>
        <w:t xml:space="preserve">.1 </w:t>
      </w:r>
      <w:r>
        <w:rPr>
          <w:rFonts w:hint="eastAsia" w:hAnsi="宋体"/>
          <w:sz w:val="24"/>
        </w:rPr>
        <w:t>本次谈判采用最低价评标法。</w:t>
      </w:r>
    </w:p>
    <w:p>
      <w:pPr>
        <w:pStyle w:val="10"/>
        <w:spacing w:line="400" w:lineRule="exact"/>
        <w:ind w:firstLine="480" w:firstLineChars="200"/>
        <w:jc w:val="left"/>
        <w:rPr>
          <w:rFonts w:hAnsi="宋体"/>
          <w:sz w:val="24"/>
        </w:rPr>
      </w:pPr>
      <w:r>
        <w:rPr>
          <w:rFonts w:hint="eastAsia" w:hAnsi="宋体"/>
          <w:sz w:val="24"/>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10"/>
        <w:spacing w:line="400" w:lineRule="exact"/>
        <w:ind w:firstLine="480" w:firstLineChars="200"/>
        <w:jc w:val="left"/>
        <w:rPr>
          <w:rFonts w:hAnsi="宋体"/>
          <w:sz w:val="24"/>
        </w:rPr>
      </w:pPr>
      <w:r>
        <w:rPr>
          <w:rFonts w:hint="eastAsia" w:hAnsi="宋体"/>
          <w:sz w:val="24"/>
        </w:rPr>
        <w:t>19</w:t>
      </w:r>
      <w:r>
        <w:rPr>
          <w:rFonts w:hAnsi="宋体"/>
          <w:sz w:val="24"/>
        </w:rPr>
        <w:t>.</w:t>
      </w:r>
      <w:r>
        <w:rPr>
          <w:rFonts w:hint="eastAsia" w:hAnsi="宋体"/>
          <w:sz w:val="24"/>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32"/>
        <w:spacing w:line="400" w:lineRule="exact"/>
        <w:jc w:val="center"/>
        <w:outlineLvl w:val="9"/>
        <w:rPr>
          <w:rFonts w:hAnsi="宋体"/>
          <w:b/>
          <w:sz w:val="24"/>
        </w:rPr>
      </w:pPr>
      <w:r>
        <w:rPr>
          <w:rFonts w:hint="eastAsia" w:hAnsi="宋体"/>
          <w:b/>
          <w:sz w:val="24"/>
        </w:rPr>
        <w:t>六、成交与签订合同</w:t>
      </w:r>
    </w:p>
    <w:p>
      <w:pPr>
        <w:pStyle w:val="10"/>
        <w:spacing w:line="400" w:lineRule="exact"/>
        <w:jc w:val="left"/>
        <w:rPr>
          <w:rFonts w:hAnsi="宋体"/>
          <w:b/>
          <w:bCs/>
          <w:color w:val="FF0000"/>
          <w:sz w:val="24"/>
        </w:rPr>
      </w:pPr>
      <w:r>
        <w:rPr>
          <w:rFonts w:hint="eastAsia" w:hAnsi="宋体"/>
          <w:b/>
          <w:bCs/>
          <w:color w:val="FF0000"/>
          <w:sz w:val="24"/>
        </w:rPr>
        <w:t>20.成交准则</w:t>
      </w:r>
    </w:p>
    <w:p>
      <w:pPr>
        <w:pStyle w:val="10"/>
        <w:spacing w:line="400" w:lineRule="exact"/>
        <w:ind w:firstLine="482" w:firstLineChars="200"/>
        <w:jc w:val="left"/>
        <w:rPr>
          <w:rFonts w:hAnsi="宋体"/>
          <w:sz w:val="24"/>
        </w:rPr>
      </w:pPr>
      <w:r>
        <w:rPr>
          <w:rFonts w:hint="eastAsia" w:hAnsi="宋体"/>
          <w:b/>
          <w:bCs/>
          <w:color w:val="FF0000"/>
          <w:sz w:val="24"/>
        </w:rPr>
        <w:t xml:space="preserve">20.1本次采购采用竞争性谈判方式进行，谈判小组由采购人代表和有关专家共三人及以上单数组成，谈判小组可以视情况，要求投标人在规定时间内，进行二次报价（含投标报价），以投标人最后的一轮有效报价为准，超出规定时间没有进行最后报价的投标人，视为放弃最后报价，以其前一次报价为准。 </w:t>
      </w:r>
      <w:r>
        <w:rPr>
          <w:rFonts w:hint="eastAsia" w:hAnsi="宋体"/>
          <w:sz w:val="24"/>
        </w:rPr>
        <w:t xml:space="preserve">   </w:t>
      </w:r>
    </w:p>
    <w:p>
      <w:pPr>
        <w:pStyle w:val="10"/>
        <w:spacing w:line="400" w:lineRule="exact"/>
        <w:ind w:firstLine="480" w:firstLineChars="200"/>
        <w:jc w:val="left"/>
        <w:rPr>
          <w:rFonts w:hAnsi="宋体"/>
          <w:sz w:val="24"/>
        </w:rPr>
      </w:pPr>
      <w:r>
        <w:rPr>
          <w:rFonts w:hint="eastAsia" w:hAnsi="宋体"/>
          <w:sz w:val="24"/>
        </w:rPr>
        <w:t xml:space="preserve">20.2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10"/>
        <w:spacing w:line="400" w:lineRule="exact"/>
        <w:jc w:val="left"/>
        <w:rPr>
          <w:rFonts w:hAnsi="宋体"/>
          <w:b/>
          <w:sz w:val="24"/>
        </w:rPr>
      </w:pPr>
      <w:r>
        <w:rPr>
          <w:rFonts w:hint="eastAsia" w:hAnsi="宋体"/>
          <w:b/>
          <w:sz w:val="24"/>
        </w:rPr>
        <w:t>21</w:t>
      </w:r>
      <w:r>
        <w:rPr>
          <w:rFonts w:hAnsi="宋体"/>
          <w:b/>
          <w:sz w:val="24"/>
        </w:rPr>
        <w:t>.成交通知</w:t>
      </w:r>
    </w:p>
    <w:p>
      <w:pPr>
        <w:pStyle w:val="10"/>
        <w:spacing w:line="400" w:lineRule="exact"/>
        <w:ind w:firstLine="480" w:firstLineChars="200"/>
        <w:jc w:val="left"/>
        <w:rPr>
          <w:rFonts w:hAnsi="宋体"/>
          <w:bCs/>
          <w:sz w:val="24"/>
        </w:rPr>
      </w:pPr>
      <w:r>
        <w:rPr>
          <w:rFonts w:hint="eastAsia" w:hAnsi="宋体"/>
          <w:bCs/>
          <w:sz w:val="24"/>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10"/>
        <w:spacing w:line="400" w:lineRule="exact"/>
        <w:jc w:val="left"/>
        <w:rPr>
          <w:rFonts w:hAnsi="宋体"/>
          <w:b/>
          <w:sz w:val="24"/>
        </w:rPr>
      </w:pPr>
      <w:r>
        <w:rPr>
          <w:rFonts w:hint="eastAsia" w:hAnsi="宋体"/>
          <w:b/>
          <w:sz w:val="24"/>
        </w:rPr>
        <w:t>22.</w:t>
      </w:r>
      <w:r>
        <w:rPr>
          <w:rFonts w:hAnsi="宋体"/>
          <w:b/>
          <w:sz w:val="24"/>
        </w:rPr>
        <w:t>签订合同</w:t>
      </w:r>
    </w:p>
    <w:p>
      <w:pPr>
        <w:pStyle w:val="10"/>
        <w:spacing w:line="400" w:lineRule="exact"/>
        <w:ind w:firstLine="480" w:firstLineChars="200"/>
        <w:jc w:val="left"/>
        <w:rPr>
          <w:rFonts w:hAnsi="宋体"/>
          <w:sz w:val="24"/>
        </w:rPr>
      </w:pPr>
      <w:r>
        <w:rPr>
          <w:rFonts w:hint="eastAsia" w:hAnsi="宋体"/>
          <w:sz w:val="24"/>
        </w:rPr>
        <w:t>22</w:t>
      </w:r>
      <w:r>
        <w:rPr>
          <w:rFonts w:hAnsi="宋体"/>
          <w:sz w:val="24"/>
        </w:rPr>
        <w:t>.1</w:t>
      </w:r>
      <w:r>
        <w:rPr>
          <w:rFonts w:hint="eastAsia" w:hAnsi="宋体"/>
          <w:sz w:val="24"/>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10"/>
        <w:spacing w:line="400" w:lineRule="exact"/>
        <w:ind w:firstLine="480" w:firstLineChars="200"/>
        <w:jc w:val="left"/>
        <w:rPr>
          <w:rFonts w:hAnsi="宋体"/>
          <w:sz w:val="24"/>
        </w:rPr>
      </w:pPr>
      <w:r>
        <w:rPr>
          <w:rFonts w:hint="eastAsia" w:hAnsi="宋体"/>
          <w:sz w:val="24"/>
        </w:rPr>
        <w:t>22</w:t>
      </w:r>
      <w:r>
        <w:rPr>
          <w:rFonts w:hAnsi="宋体"/>
          <w:sz w:val="24"/>
        </w:rPr>
        <w:t>.</w:t>
      </w:r>
      <w:r>
        <w:rPr>
          <w:rFonts w:hint="eastAsia" w:hAnsi="宋体"/>
          <w:sz w:val="24"/>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10"/>
        <w:spacing w:line="400" w:lineRule="exact"/>
        <w:ind w:firstLine="480" w:firstLineChars="200"/>
        <w:jc w:val="left"/>
        <w:rPr>
          <w:rFonts w:hAnsi="宋体"/>
          <w:sz w:val="24"/>
        </w:rPr>
      </w:pPr>
      <w:r>
        <w:rPr>
          <w:rFonts w:hint="eastAsia" w:hAnsi="宋体"/>
          <w:sz w:val="24"/>
        </w:rPr>
        <w:t>22.3采购人在合同履行中，需追加与合同标的相同的货物或者服务的，在不改变合同其他条款的前提下，可与供应商协商签订补充合同，但所有补充合同的采购金额不得超过原合同采购金额的10%。</w:t>
      </w:r>
    </w:p>
    <w:p>
      <w:pPr>
        <w:spacing w:line="400" w:lineRule="exact"/>
        <w:ind w:firstLine="480" w:firstLineChars="200"/>
        <w:rPr>
          <w:rFonts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10"/>
        <w:spacing w:line="400" w:lineRule="exact"/>
        <w:jc w:val="left"/>
        <w:rPr>
          <w:rFonts w:hAnsi="宋体"/>
          <w:b/>
          <w:sz w:val="24"/>
        </w:rPr>
      </w:pPr>
      <w:r>
        <w:rPr>
          <w:rFonts w:hint="eastAsia" w:hAnsi="宋体"/>
          <w:b/>
          <w:sz w:val="24"/>
        </w:rPr>
        <w:t>23.成交服务费</w:t>
      </w:r>
    </w:p>
    <w:p>
      <w:pPr>
        <w:spacing w:line="400" w:lineRule="exact"/>
        <w:ind w:firstLine="240" w:firstLineChars="100"/>
        <w:rPr>
          <w:rFonts w:ascii="宋体" w:hAnsi="宋体"/>
          <w:b/>
          <w:bCs/>
          <w:sz w:val="30"/>
          <w:szCs w:val="30"/>
        </w:rPr>
      </w:pPr>
      <w:r>
        <w:rPr>
          <w:rFonts w:hint="eastAsia" w:hAnsi="宋体"/>
          <w:sz w:val="24"/>
        </w:rPr>
        <w:t>本中心不收取成交服务费。</w:t>
      </w:r>
      <w:r>
        <w:rPr>
          <w:rFonts w:ascii="宋体" w:hAnsi="宋体"/>
          <w:sz w:val="24"/>
        </w:rPr>
        <w:t xml:space="preserve"> </w:t>
      </w: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both"/>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jc w:val="center"/>
        <w:outlineLvl w:val="0"/>
        <w:rPr>
          <w:rFonts w:ascii="宋体" w:hAnsi="宋体"/>
          <w:b/>
          <w:bCs/>
          <w:sz w:val="36"/>
          <w:szCs w:val="36"/>
        </w:rPr>
      </w:pPr>
    </w:p>
    <w:p>
      <w:pPr>
        <w:spacing w:line="360" w:lineRule="auto"/>
        <w:outlineLvl w:val="0"/>
        <w:rPr>
          <w:rFonts w:ascii="宋体" w:hAnsi="宋体"/>
          <w:b/>
          <w:bCs/>
          <w:sz w:val="36"/>
          <w:szCs w:val="36"/>
        </w:rPr>
      </w:pPr>
    </w:p>
    <w:p>
      <w:pPr>
        <w:spacing w:line="360" w:lineRule="auto"/>
        <w:outlineLvl w:val="0"/>
        <w:rPr>
          <w:rFonts w:ascii="宋体" w:hAnsi="宋体"/>
          <w:b/>
          <w:bCs/>
          <w:sz w:val="36"/>
          <w:szCs w:val="36"/>
        </w:rPr>
        <w:sectPr>
          <w:headerReference r:id="rId3" w:type="default"/>
          <w:footerReference r:id="rId4" w:type="default"/>
          <w:pgSz w:w="11906" w:h="16838"/>
          <w:pgMar w:top="1440" w:right="1797" w:bottom="1440" w:left="1797" w:header="851" w:footer="992" w:gutter="0"/>
          <w:cols w:space="720" w:num="1"/>
          <w:docGrid w:linePitch="312" w:charSpace="0"/>
        </w:sectPr>
      </w:pPr>
    </w:p>
    <w:p>
      <w:pPr>
        <w:numPr>
          <w:ilvl w:val="0"/>
          <w:numId w:val="5"/>
        </w:numPr>
        <w:spacing w:line="360" w:lineRule="auto"/>
        <w:jc w:val="center"/>
        <w:outlineLvl w:val="0"/>
        <w:rPr>
          <w:rFonts w:ascii="宋体" w:hAnsi="宋体"/>
          <w:b/>
          <w:bCs/>
          <w:sz w:val="36"/>
          <w:szCs w:val="36"/>
        </w:rPr>
      </w:pPr>
      <w:r>
        <w:rPr>
          <w:rFonts w:hint="eastAsia" w:ascii="宋体" w:hAnsi="宋体"/>
          <w:b/>
          <w:bCs/>
          <w:sz w:val="36"/>
          <w:szCs w:val="36"/>
        </w:rPr>
        <w:t xml:space="preserve"> </w:t>
      </w:r>
      <w:r>
        <w:rPr>
          <w:rFonts w:hint="eastAsia" w:ascii="宋体" w:hAnsi="宋体"/>
          <w:b/>
          <w:bCs/>
          <w:sz w:val="36"/>
          <w:szCs w:val="36"/>
          <w:lang w:eastAsia="zh-CN"/>
        </w:rPr>
        <w:t>采购内容</w:t>
      </w:r>
      <w:r>
        <w:rPr>
          <w:rFonts w:hint="eastAsia" w:ascii="宋体" w:hAnsi="宋体"/>
          <w:b/>
          <w:bCs/>
          <w:sz w:val="36"/>
          <w:szCs w:val="36"/>
        </w:rPr>
        <w:t>及要求</w:t>
      </w:r>
    </w:p>
    <w:p>
      <w:pPr>
        <w:pStyle w:val="27"/>
        <w:numPr>
          <w:ilvl w:val="0"/>
          <w:numId w:val="0"/>
        </w:numPr>
        <w:ind w:leftChars="0"/>
        <w:rPr>
          <w:rFonts w:hint="eastAsia" w:cstheme="minorBidi"/>
          <w:b/>
          <w:bCs/>
          <w:color w:val="0000FF"/>
          <w:kern w:val="2"/>
          <w:sz w:val="28"/>
          <w:szCs w:val="28"/>
          <w:lang w:val="en-US" w:eastAsia="zh-CN" w:bidi="ar-SA"/>
        </w:rPr>
      </w:pPr>
    </w:p>
    <w:p>
      <w:pPr>
        <w:pStyle w:val="27"/>
        <w:numPr>
          <w:ilvl w:val="0"/>
          <w:numId w:val="0"/>
        </w:numPr>
        <w:ind w:leftChars="0"/>
        <w:rPr>
          <w:rFonts w:hint="eastAsia" w:cstheme="minorBidi"/>
          <w:b/>
          <w:bCs/>
          <w:color w:val="0000FF"/>
          <w:kern w:val="2"/>
          <w:sz w:val="28"/>
          <w:szCs w:val="28"/>
          <w:lang w:val="en-US" w:eastAsia="zh-CN" w:bidi="ar-SA"/>
        </w:rPr>
      </w:pPr>
    </w:p>
    <w:p>
      <w:pPr>
        <w:pStyle w:val="27"/>
        <w:numPr>
          <w:ilvl w:val="0"/>
          <w:numId w:val="0"/>
        </w:numPr>
        <w:ind w:leftChars="0"/>
        <w:rPr>
          <w:rFonts w:hint="eastAsia" w:cstheme="minorBidi"/>
          <w:b/>
          <w:bCs/>
          <w:color w:val="0000FF"/>
          <w:kern w:val="2"/>
          <w:sz w:val="28"/>
          <w:szCs w:val="28"/>
          <w:lang w:val="en-US" w:eastAsia="zh-CN" w:bidi="ar-SA"/>
        </w:rPr>
      </w:pPr>
    </w:p>
    <w:p>
      <w:pPr>
        <w:pStyle w:val="27"/>
        <w:ind w:left="0" w:leftChars="0" w:firstLine="0" w:firstLineChars="0"/>
        <w:rPr>
          <w:rFonts w:hint="eastAsia" w:cstheme="minorBidi"/>
          <w:b/>
          <w:bCs/>
          <w:color w:val="0000FF"/>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一、</w:t>
      </w:r>
      <w:r>
        <w:rPr>
          <w:rFonts w:hint="eastAsia" w:ascii="仿宋_GB2312" w:eastAsia="仿宋_GB2312"/>
          <w:b/>
          <w:color w:val="auto"/>
          <w:spacing w:val="-11"/>
          <w:sz w:val="32"/>
          <w:szCs w:val="32"/>
        </w:rPr>
        <w:t>铜仁市南岳清水湾幼儿园</w:t>
      </w:r>
      <w:r>
        <w:rPr>
          <w:rFonts w:hint="eastAsia" w:ascii="仿宋_GB2312" w:eastAsia="仿宋_GB2312"/>
          <w:b/>
          <w:color w:val="auto"/>
          <w:spacing w:val="-11"/>
          <w:sz w:val="32"/>
          <w:szCs w:val="32"/>
          <w:lang w:val="en-US" w:eastAsia="zh-CN"/>
        </w:rPr>
        <w:t>-</w:t>
      </w:r>
      <w:r>
        <w:rPr>
          <w:rFonts w:hint="eastAsia" w:ascii="仿宋_GB2312" w:eastAsia="仿宋_GB2312"/>
          <w:b/>
          <w:color w:val="auto"/>
          <w:spacing w:val="-11"/>
          <w:sz w:val="32"/>
          <w:szCs w:val="32"/>
        </w:rPr>
        <w:t>室内装修</w:t>
      </w:r>
      <w:r>
        <w:rPr>
          <w:rFonts w:hint="eastAsia" w:ascii="仿宋_GB2312" w:eastAsia="仿宋_GB2312"/>
          <w:b/>
          <w:color w:val="auto"/>
          <w:spacing w:val="-11"/>
          <w:sz w:val="32"/>
          <w:szCs w:val="32"/>
          <w:lang w:eastAsia="zh-CN"/>
        </w:rPr>
        <w:t>项目</w:t>
      </w:r>
      <w:r>
        <w:rPr>
          <w:rFonts w:hint="eastAsia" w:asciiTheme="minorHAnsi" w:hAnsiTheme="minorHAnsi" w:eastAsiaTheme="minorEastAsia" w:cstheme="minorBidi"/>
          <w:b/>
          <w:bCs/>
          <w:kern w:val="2"/>
          <w:sz w:val="28"/>
          <w:szCs w:val="28"/>
          <w:lang w:val="en-US" w:eastAsia="zh-CN" w:bidi="ar-SA"/>
        </w:rPr>
        <w:t>基础设施参数</w:t>
      </w:r>
      <w:r>
        <w:rPr>
          <w:rFonts w:hint="eastAsia" w:cstheme="minorBidi"/>
          <w:b/>
          <w:bCs/>
          <w:color w:val="0000FF"/>
          <w:kern w:val="2"/>
          <w:sz w:val="28"/>
          <w:szCs w:val="28"/>
          <w:lang w:val="en-US" w:eastAsia="zh-CN" w:bidi="ar-SA"/>
        </w:rPr>
        <w:t>（工程量清单详见附件）</w:t>
      </w:r>
    </w:p>
    <w:p>
      <w:pPr>
        <w:pStyle w:val="28"/>
        <w:keepNext w:val="0"/>
        <w:keepLines w:val="0"/>
        <w:pageBreakBefore w:val="0"/>
        <w:widowControl w:val="0"/>
        <w:numPr>
          <w:ilvl w:val="0"/>
          <w:numId w:val="0"/>
        </w:numPr>
        <w:kinsoku/>
        <w:wordWrap/>
        <w:overflowPunct/>
        <w:topLinePunct w:val="0"/>
        <w:bidi w:val="0"/>
        <w:snapToGrid/>
        <w:spacing w:line="360" w:lineRule="auto"/>
        <w:ind w:left="0" w:leftChars="0" w:right="0" w:rightChars="0" w:firstLine="0" w:firstLineChars="0"/>
        <w:textAlignment w:val="auto"/>
        <w:outlineLvl w:val="9"/>
        <w:rPr>
          <w:rFonts w:hint="eastAsia"/>
          <w:sz w:val="28"/>
          <w:szCs w:val="28"/>
          <w:lang w:val="en-US" w:eastAsia="zh-CN"/>
        </w:rPr>
      </w:pPr>
      <w:r>
        <w:rPr>
          <w:rFonts w:hint="eastAsia"/>
          <w:b/>
          <w:bCs/>
          <w:sz w:val="28"/>
          <w:szCs w:val="28"/>
          <w:lang w:eastAsia="zh-CN"/>
        </w:rPr>
        <w:t>二、工程质量要求</w:t>
      </w:r>
      <w:r>
        <w:rPr>
          <w:rFonts w:hint="eastAsia"/>
          <w:sz w:val="28"/>
          <w:szCs w:val="28"/>
          <w:lang w:eastAsia="zh-CN"/>
        </w:rPr>
        <w:t>：按国家工程质量验收标准执行</w:t>
      </w:r>
    </w:p>
    <w:p>
      <w:pPr>
        <w:pStyle w:val="28"/>
        <w:numPr>
          <w:ilvl w:val="0"/>
          <w:numId w:val="0"/>
        </w:numPr>
        <w:rPr>
          <w:rFonts w:hint="default"/>
          <w:sz w:val="28"/>
          <w:szCs w:val="28"/>
          <w:lang w:val="en-US" w:eastAsia="zh-CN"/>
        </w:rPr>
      </w:pPr>
      <w:r>
        <w:rPr>
          <w:rFonts w:hint="eastAsia"/>
          <w:b/>
          <w:bCs/>
          <w:sz w:val="28"/>
          <w:szCs w:val="28"/>
          <w:lang w:val="en-US" w:eastAsia="zh-CN"/>
        </w:rPr>
        <w:t>三、付款方式及工期</w:t>
      </w:r>
      <w:r>
        <w:rPr>
          <w:rFonts w:hint="eastAsia"/>
          <w:sz w:val="28"/>
          <w:szCs w:val="28"/>
          <w:lang w:val="en-US" w:eastAsia="zh-CN"/>
        </w:rPr>
        <w:t>：按合同约定</w:t>
      </w:r>
    </w:p>
    <w:p>
      <w:pPr>
        <w:pStyle w:val="28"/>
        <w:numPr>
          <w:ilvl w:val="0"/>
          <w:numId w:val="0"/>
        </w:numPr>
        <w:rPr>
          <w:rFonts w:hint="default"/>
          <w:sz w:val="28"/>
          <w:szCs w:val="28"/>
          <w:lang w:val="en-US" w:eastAsia="zh-CN"/>
        </w:rPr>
      </w:pPr>
    </w:p>
    <w:p>
      <w:pPr>
        <w:pStyle w:val="27"/>
        <w:ind w:left="0" w:leftChars="0" w:firstLine="0" w:firstLineChars="0"/>
        <w:rPr>
          <w:rFonts w:hint="default" w:ascii="宋体" w:hAnsi="宋体"/>
          <w:b/>
          <w:bCs/>
          <w:sz w:val="36"/>
          <w:szCs w:val="36"/>
          <w:lang w:val="en-US" w:eastAsia="zh-CN"/>
        </w:rPr>
      </w:pPr>
    </w:p>
    <w:p>
      <w:pPr>
        <w:pStyle w:val="27"/>
        <w:ind w:left="0" w:leftChars="0" w:firstLine="0" w:firstLineChars="0"/>
        <w:rPr>
          <w:rFonts w:hint="default" w:ascii="宋体" w:hAnsi="宋体"/>
          <w:b/>
          <w:bCs/>
          <w:sz w:val="36"/>
          <w:szCs w:val="36"/>
          <w:lang w:val="en-US" w:eastAsia="zh-CN"/>
        </w:rPr>
      </w:pPr>
    </w:p>
    <w:p>
      <w:pPr>
        <w:pStyle w:val="27"/>
        <w:ind w:left="0" w:leftChars="0" w:firstLine="0" w:firstLineChars="0"/>
        <w:rPr>
          <w:rFonts w:hint="default" w:ascii="宋体" w:hAnsi="宋体"/>
          <w:b/>
          <w:bCs/>
          <w:sz w:val="36"/>
          <w:szCs w:val="36"/>
          <w:lang w:val="en-US" w:eastAsia="zh-CN"/>
        </w:rPr>
      </w:pPr>
    </w:p>
    <w:p>
      <w:pPr>
        <w:pStyle w:val="27"/>
        <w:ind w:left="0" w:leftChars="0" w:firstLine="0" w:firstLineChars="0"/>
        <w:rPr>
          <w:rFonts w:hint="default" w:ascii="宋体" w:hAnsi="宋体"/>
          <w:b/>
          <w:bCs/>
          <w:sz w:val="36"/>
          <w:szCs w:val="36"/>
          <w:lang w:val="en-US" w:eastAsia="zh-CN"/>
        </w:rPr>
      </w:pPr>
    </w:p>
    <w:p>
      <w:pPr>
        <w:ind w:firstLine="605"/>
        <w:jc w:val="left"/>
        <w:rPr>
          <w:rFonts w:hint="eastAsia" w:ascii="宋体" w:hAnsi="宋体"/>
          <w:b/>
          <w:bCs/>
          <w:color w:val="FF0000"/>
          <w:sz w:val="32"/>
          <w:szCs w:val="32"/>
        </w:rPr>
      </w:pPr>
      <w:r>
        <w:rPr>
          <w:rFonts w:hint="eastAsia" w:ascii="宋体" w:hAnsi="宋体"/>
          <w:b/>
          <w:bCs/>
          <w:color w:val="FF0000"/>
          <w:sz w:val="32"/>
          <w:szCs w:val="32"/>
        </w:rPr>
        <w:t>注</w:t>
      </w:r>
      <w:r>
        <w:rPr>
          <w:rFonts w:hint="eastAsia" w:ascii="宋体" w:hAnsi="宋体"/>
          <w:b/>
          <w:bCs/>
          <w:color w:val="FF0000"/>
          <w:sz w:val="32"/>
          <w:szCs w:val="32"/>
          <w:lang w:eastAsia="zh-CN"/>
        </w:rPr>
        <w:t>：</w:t>
      </w:r>
      <w:r>
        <w:rPr>
          <w:rFonts w:hint="eastAsia" w:ascii="宋体" w:hAnsi="宋体"/>
          <w:b/>
          <w:bCs/>
          <w:color w:val="FF0000"/>
          <w:sz w:val="32"/>
          <w:szCs w:val="32"/>
        </w:rPr>
        <w:t>招标文件论证费和专家评审费由中标人承担</w:t>
      </w:r>
      <w:bookmarkStart w:id="1" w:name="_Toc268599010"/>
    </w:p>
    <w:p>
      <w:pPr>
        <w:pStyle w:val="10"/>
        <w:rPr>
          <w:rFonts w:hint="eastAsia" w:hAnsi="宋体"/>
          <w:b/>
          <w:bCs/>
          <w:color w:val="FF0000"/>
          <w:sz w:val="32"/>
          <w:szCs w:val="32"/>
          <w:lang w:val="en-US" w:eastAsia="zh-CN"/>
        </w:rPr>
      </w:pPr>
      <w:r>
        <w:rPr>
          <w:rFonts w:hint="eastAsia" w:hAnsi="宋体"/>
          <w:b/>
          <w:bCs/>
          <w:color w:val="FF0000"/>
          <w:sz w:val="32"/>
          <w:szCs w:val="32"/>
          <w:lang w:val="en-US" w:eastAsia="zh-CN"/>
        </w:rPr>
        <w:t xml:space="preserve">        </w:t>
      </w:r>
    </w:p>
    <w:p>
      <w:pPr>
        <w:spacing w:line="360" w:lineRule="auto"/>
        <w:jc w:val="both"/>
      </w:pPr>
      <w:r>
        <w:rPr>
          <w:rFonts w:ascii="宋体" w:hAnsi="宋体"/>
          <w:b/>
          <w:bCs/>
          <w:sz w:val="36"/>
          <w:szCs w:val="36"/>
        </w:rPr>
        <w:br w:type="page"/>
      </w:r>
    </w:p>
    <w:p>
      <w:pPr>
        <w:spacing w:line="360" w:lineRule="auto"/>
        <w:jc w:val="center"/>
        <w:rPr>
          <w:rFonts w:ascii="宋体" w:hAnsi="宋体"/>
          <w:b/>
          <w:sz w:val="44"/>
          <w:szCs w:val="44"/>
        </w:rPr>
      </w:pPr>
      <w:r>
        <w:rPr>
          <w:rFonts w:ascii="宋体" w:hAnsi="宋体"/>
          <w:b/>
          <w:bCs/>
          <w:sz w:val="36"/>
          <w:szCs w:val="36"/>
        </w:rPr>
        <w:t>第</w:t>
      </w:r>
      <w:r>
        <w:rPr>
          <w:rFonts w:hint="eastAsia" w:ascii="宋体" w:hAnsi="宋体"/>
          <w:b/>
          <w:bCs/>
          <w:sz w:val="36"/>
          <w:szCs w:val="36"/>
        </w:rPr>
        <w:t>五章  铜仁市</w:t>
      </w:r>
      <w:r>
        <w:rPr>
          <w:rFonts w:hint="eastAsia" w:ascii="宋体" w:hAnsi="宋体"/>
          <w:b/>
          <w:sz w:val="36"/>
          <w:szCs w:val="36"/>
        </w:rPr>
        <w:t>政府采购合同（参考文本）</w:t>
      </w:r>
    </w:p>
    <w:bookmarkEnd w:id="1"/>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 w:name="_Toc247085769"/>
      <w:bookmarkStart w:id="3" w:name="_Toc246996254"/>
      <w:bookmarkStart w:id="4" w:name="_Toc184635098"/>
      <w:bookmarkStart w:id="5" w:name="_Toc296602499"/>
      <w:bookmarkStart w:id="6" w:name="_Toc246996997"/>
      <w:bookmarkStart w:id="7" w:name="_Toc268599011"/>
      <w:r>
        <w:rPr>
          <w:rFonts w:hint="eastAsia" w:ascii="宋体" w:hAnsi="宋体" w:eastAsia="宋体" w:cs="宋体"/>
          <w:b/>
          <w:sz w:val="24"/>
          <w:szCs w:val="24"/>
        </w:rPr>
        <w:t>1. 一般约定</w:t>
      </w:r>
      <w:bookmarkEnd w:id="2"/>
      <w:bookmarkEnd w:id="3"/>
      <w:bookmarkEnd w:id="4"/>
      <w:bookmarkEnd w:id="5"/>
      <w:bookmarkEnd w:id="6"/>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8" w:name="_Toc247085770"/>
      <w:bookmarkStart w:id="9" w:name="_Toc246996255"/>
      <w:bookmarkStart w:id="10" w:name="_Toc246996998"/>
      <w:bookmarkStart w:id="11" w:name="_Toc296602500"/>
      <w:r>
        <w:rPr>
          <w:rFonts w:hint="eastAsia" w:ascii="宋体" w:hAnsi="宋体" w:eastAsia="宋体" w:cs="宋体"/>
          <w:b/>
          <w:sz w:val="24"/>
          <w:szCs w:val="24"/>
        </w:rPr>
        <w:t>1.1 词语定义</w:t>
      </w:r>
      <w:bookmarkEnd w:id="8"/>
      <w:bookmarkEnd w:id="9"/>
      <w:bookmarkEnd w:id="10"/>
      <w:bookmarkEnd w:id="1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通用合同条款、专用合同条款中的下列词语应具有本款所赋予的含义。</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1.1.1 合同</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1.1.1.1 合同文件（或称合同）：指合同协议书、中标通知书、投标函及投标函附录、专用合同条款、通用合同条款、技术标准和要求、图纸、已标价工程量清单，以及其他合同文件。</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1.1.1.2 合同协议书：指第1.5 款所指的合同协议书。</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1.1.1.3 中标通知书：指发包人通知承包人中标的函件。中标通知书随附的澄清、说明、补正事项纪要等，是中标通知书的组成部分。</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1.1.1.4 投标函：指构成合同文件组成部分的由承包人填写并签署的投标函。</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1.1.1.5 投标函附录：指附在投标函后构成合同文件的投标函附录。</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1.1.1.6 技术标准和要求：指构成合同文件组成部分的名为技术标准和要求的文件，以及合同双方当事人约定对其所作的修改或补充。</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1.1.1.7 图纸：指包含在合同中的工程图纸，以及由发包人按合同约定提供的任何补充和修改的图纸，包括配套的说明。</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1.1.1.8 已标价工程量清单：指构成合同文件组成部分的由承包人按照规定的格式和要求填写并标明价格的工程量清单。</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1.1.1.9 其他合同文件：指经合同双方当事人确认构成合同文件的其他文件。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1.1.2 合同当事人和人员</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1.1.2.1 合同当事人：指发包人和（或）承包人。</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1.1.2.2 发包人：指专用合同条款中指明并与承包人在合同协议书中签字的当事人。 </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1.1.2.3 承包人：指与发包人签订合同协议书的当事人。</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1.1.2.4 承包人项目经理：指承包人派驻施工场地的全权负责人。</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1.1.2.5 监理人：指在专用合同条款中指明的，受发包人委托对合同履行实施管理的法人或其他组织。属于国家强制监理的，监理人应当具有相应的监理资质。</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1.1.2.6 总监理工程师（总监）：指由监理人委派常驻施工场地对合同履行实施管理的全权负责人。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1.1.3 工程和设备</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1.1.3.1 工程：指永久工程和（或）临时工程。</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1.1.3.2 工程设备：指构成或计划构成永久工程一部分的机电设备、仪器装置、运载工具及其他类似的设备和装置。</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1.1.3.3 施工场地（或称工地、现场）：指用于合同工程施工的场所，以及在合同中指定作为施工场地组成部分的其他场所，包括永久占地和临时占地。</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1.1.4 日期</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1.1.4.1 开工通知：指监理人按第6.2款通知承包人开工的函件。</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1.1.4.2 开工日期：指监理人按第6.2款发出的开工通知中写明的开工日期。</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1.1.4.3 工期：指承包人在投标函中承诺的完成合同工程所需的期限，包括按第6.3款、第6.4款约定所作的变更。</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1.1.4.4 竣工日期：指第1.1.4.3目约定工期届满时的日期。实际竣工日期以工程接收证书中写明的日期为准。</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1.1.4.5 缺陷责任期：指履行第12.1款约定的缺陷责任的期限，具体期限由专用合同条款约定。</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1.1.4.6 天：除特别指明外，指日历天。合同中按天计算时间的，开始当天不计入，从次日开始计算。期限最后一天的截止时间为当天24:00。</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1.1.5 合同价格和费用</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1.1.5.1 签约合同价：指签定合同时合同协议书中写明的，包括了暂列金额的合同总金额。</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1.1.5.2 合同价格：指承包人按合同约定完成了包括缺陷责任期内的全部承包工作后，发包人应付给承包人的金额，包括在履行合同过程中按合同约定进行的变更和调整。</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1.1.5.3 费用：指为履行合同所发生的或将要发生的所有合理开支，包括管理费和应分摊的其他费用，但不包括利润。</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1.1.5.4 暂列金额：指已标价工程量清单中所列的暂列金额，用于在签订协议书时尚未确定或不可预见变更的施工及其所需材料、工程设备、服务等的金额，包括以计日工方式支付的金额。</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1.1.5.5 计日工：指对零星工作采取的一种计价方式，按合同中的计日工子目及其单价计价付款。</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1.1.5.6 质量保证金（或称保留金）：指按第10.4款约定用于保证在缺陷责任期内履行缺陷修复义务的金额。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1.1.6 其他</w:t>
      </w:r>
    </w:p>
    <w:p>
      <w:pPr>
        <w:pageBreakBefore w:val="0"/>
        <w:widowControl w:val="0"/>
        <w:kinsoku/>
        <w:wordWrap/>
        <w:overflowPunct/>
        <w:topLinePunct w:val="0"/>
        <w:autoSpaceDE/>
        <w:autoSpaceDN/>
        <w:bidi w:val="0"/>
        <w:adjustRightInd/>
        <w:snapToGrid/>
        <w:spacing w:line="400" w:lineRule="exact"/>
        <w:ind w:left="0" w:leftChars="0" w:right="0" w:rightChars="0" w:firstLine="960" w:firstLineChars="400"/>
        <w:jc w:val="both"/>
        <w:textAlignment w:val="auto"/>
        <w:rPr>
          <w:rFonts w:hint="eastAsia" w:ascii="宋体" w:hAnsi="宋体" w:eastAsia="宋体" w:cs="宋体"/>
          <w:sz w:val="24"/>
          <w:szCs w:val="24"/>
        </w:rPr>
      </w:pPr>
      <w:r>
        <w:rPr>
          <w:rFonts w:hint="eastAsia" w:ascii="宋体" w:hAnsi="宋体" w:eastAsia="宋体" w:cs="宋体"/>
          <w:sz w:val="24"/>
          <w:szCs w:val="24"/>
        </w:rPr>
        <w:t>1.1.6.1 书面形式：指合同文件、信函、电报、传真、电子数据交换和电子邮件等可以有形地表现所载内容的形式。</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 w:name="_Toc296602501"/>
      <w:bookmarkStart w:id="13" w:name="_Toc246996256"/>
      <w:bookmarkStart w:id="14" w:name="_Toc247085771"/>
      <w:bookmarkStart w:id="15" w:name="_Toc246996999"/>
      <w:r>
        <w:rPr>
          <w:rFonts w:hint="eastAsia" w:ascii="宋体" w:hAnsi="宋体" w:eastAsia="宋体" w:cs="宋体"/>
          <w:b/>
          <w:sz w:val="24"/>
          <w:szCs w:val="24"/>
        </w:rPr>
        <w:t>1.2 语言文字</w:t>
      </w:r>
      <w:bookmarkEnd w:id="12"/>
      <w:bookmarkEnd w:id="13"/>
      <w:bookmarkEnd w:id="14"/>
      <w:bookmarkEnd w:id="1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bookmarkStart w:id="16" w:name="_Toc246997000"/>
      <w:bookmarkStart w:id="17" w:name="_Toc246996257"/>
      <w:bookmarkStart w:id="18" w:name="_Toc247085772"/>
      <w:r>
        <w:rPr>
          <w:rFonts w:hint="eastAsia" w:ascii="宋体" w:hAnsi="宋体" w:eastAsia="宋体" w:cs="宋体"/>
          <w:sz w:val="24"/>
          <w:szCs w:val="24"/>
        </w:rPr>
        <w:t>合同使用的语言文字为中文。专用术语使用外文的，应附有中文注释。</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 w:name="_Toc296602502"/>
      <w:r>
        <w:rPr>
          <w:rFonts w:hint="eastAsia" w:ascii="宋体" w:hAnsi="宋体" w:eastAsia="宋体" w:cs="宋体"/>
          <w:b/>
          <w:sz w:val="24"/>
          <w:szCs w:val="24"/>
        </w:rPr>
        <w:t>1.3 法律</w:t>
      </w:r>
      <w:bookmarkEnd w:id="16"/>
      <w:bookmarkEnd w:id="17"/>
      <w:bookmarkEnd w:id="18"/>
      <w:bookmarkEnd w:id="1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适用于合同的法律包括中华人民共和国法律、行政法规、部门规章，以及工程所在地的地方法规、自治条例、单行条例和地方政府规章。</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0" w:name="_Toc246996258"/>
      <w:bookmarkStart w:id="21" w:name="_Toc246997001"/>
      <w:bookmarkStart w:id="22" w:name="_Toc247085773"/>
      <w:bookmarkStart w:id="23" w:name="_Toc296602503"/>
      <w:r>
        <w:rPr>
          <w:rFonts w:hint="eastAsia" w:ascii="宋体" w:hAnsi="宋体" w:eastAsia="宋体" w:cs="宋体"/>
          <w:b/>
          <w:sz w:val="24"/>
          <w:szCs w:val="24"/>
        </w:rPr>
        <w:t>1.4 合同文件的优先顺序</w:t>
      </w:r>
      <w:bookmarkEnd w:id="20"/>
      <w:bookmarkEnd w:id="21"/>
      <w:bookmarkEnd w:id="22"/>
      <w:bookmarkEnd w:id="2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组成合同的各项文件应互相解释，互为说明。除专用合同条款另有约定外，解释合同文件的优先顺序如下：</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（1）合同协议书；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（2）中标通知书；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（3）投标函及投标函附录；</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（4）专用合同条款；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（5）通用合同条款；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（6）技术标准和要求；</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（7）图纸；</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（8）已标价工程量清单；</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（9）其他合同文件。</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4" w:name="_Toc247085774"/>
      <w:bookmarkStart w:id="25" w:name="_Toc246997002"/>
      <w:bookmarkStart w:id="26" w:name="_Toc296602504"/>
      <w:bookmarkStart w:id="27" w:name="_Toc246996259"/>
      <w:r>
        <w:rPr>
          <w:rFonts w:hint="eastAsia" w:ascii="宋体" w:hAnsi="宋体" w:eastAsia="宋体" w:cs="宋体"/>
          <w:b/>
          <w:sz w:val="24"/>
          <w:szCs w:val="24"/>
        </w:rPr>
        <w:t>1.5 合同协议书</w:t>
      </w:r>
      <w:bookmarkEnd w:id="24"/>
      <w:bookmarkEnd w:id="25"/>
      <w:bookmarkEnd w:id="26"/>
      <w:bookmarkEnd w:id="2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承包人按中标通知书规定的时间与发包人签订合同协议书。除法律另有规定或合同另有约定外，发包人和承包人的法定代表人或其委托代理人在合同协议书上签字并盖单位章后，合同生效。</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8" w:name="_Toc296602505"/>
      <w:bookmarkStart w:id="29" w:name="_Toc246996260"/>
      <w:bookmarkStart w:id="30" w:name="_Toc247085775"/>
      <w:bookmarkStart w:id="31" w:name="_Toc246997003"/>
      <w:r>
        <w:rPr>
          <w:rFonts w:hint="eastAsia" w:ascii="宋体" w:hAnsi="宋体" w:eastAsia="宋体" w:cs="宋体"/>
          <w:b/>
          <w:sz w:val="24"/>
          <w:szCs w:val="24"/>
        </w:rPr>
        <w:t>1.6 图纸和承包人文件</w:t>
      </w:r>
      <w:bookmarkEnd w:id="28"/>
      <w:bookmarkEnd w:id="29"/>
      <w:bookmarkEnd w:id="30"/>
      <w:bookmarkEnd w:id="3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1.6.1 发包人提供的图纸</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除专用合同条款另有约定外，图纸应在合理的期限内按照合同约定的数量提供给承包人。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1.6.2 承包人提供的文件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按专用合同条款约定由承包人提供的文件，包括部分工程的大样图、加工图等，承包人应按约定的数量和期限报送监理人。监理人应在专用合同条款约定的期限内批复。</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2" w:name="_Toc246997004"/>
      <w:bookmarkStart w:id="33" w:name="_Toc247085776"/>
      <w:bookmarkStart w:id="34" w:name="_Toc246996261"/>
      <w:bookmarkStart w:id="35" w:name="_Toc296602506"/>
      <w:r>
        <w:rPr>
          <w:rFonts w:hint="eastAsia" w:ascii="宋体" w:hAnsi="宋体" w:eastAsia="宋体" w:cs="宋体"/>
          <w:b/>
          <w:sz w:val="24"/>
          <w:szCs w:val="24"/>
        </w:rPr>
        <w:t>1.7 联络</w:t>
      </w:r>
      <w:bookmarkEnd w:id="32"/>
      <w:bookmarkEnd w:id="33"/>
      <w:bookmarkEnd w:id="34"/>
      <w:bookmarkEnd w:id="3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与合同有关的通知、批准、证明、证书、指示、要求、请求、同意、意见、确定和决定等重要文件，均应采用书面形式。</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按合同约定应当由监理人审核、批准、确认或者提出修改意见的承包人的要求、请求、申请和报批等，监理人在合同约定的期限内未回复的，视同认可，合同中未明确约定回复期限的，其相应期限均为收到相关文件后7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6" w:name="_Toc296602507"/>
      <w:bookmarkStart w:id="37" w:name="_Toc246997006"/>
      <w:bookmarkStart w:id="38" w:name="_Toc247085778"/>
      <w:bookmarkStart w:id="39" w:name="_Toc184635099"/>
      <w:bookmarkStart w:id="40" w:name="_Toc246996263"/>
      <w:r>
        <w:rPr>
          <w:rFonts w:hint="eastAsia" w:ascii="宋体" w:hAnsi="宋体" w:eastAsia="宋体" w:cs="宋体"/>
          <w:b/>
          <w:sz w:val="24"/>
          <w:szCs w:val="24"/>
        </w:rPr>
        <w:t>2. 发包人义务</w:t>
      </w:r>
      <w:bookmarkEnd w:id="36"/>
      <w:bookmarkEnd w:id="37"/>
      <w:bookmarkEnd w:id="38"/>
      <w:bookmarkEnd w:id="39"/>
      <w:bookmarkEnd w:id="40"/>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41" w:name="_Toc296602508"/>
      <w:bookmarkStart w:id="42" w:name="_Toc246997007"/>
      <w:bookmarkStart w:id="43" w:name="_Toc246996264"/>
      <w:bookmarkStart w:id="44" w:name="_Toc247085779"/>
      <w:r>
        <w:rPr>
          <w:rFonts w:hint="eastAsia" w:ascii="宋体" w:hAnsi="宋体" w:eastAsia="宋体" w:cs="宋体"/>
          <w:b/>
          <w:sz w:val="24"/>
          <w:szCs w:val="24"/>
        </w:rPr>
        <w:t>2.1 遵守法律</w:t>
      </w:r>
      <w:bookmarkEnd w:id="41"/>
      <w:bookmarkEnd w:id="42"/>
      <w:bookmarkEnd w:id="43"/>
      <w:bookmarkEnd w:id="4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发包人在履行合同过程中应遵守法律，并保证承包人免于承担因发包人违反法律而引起的任何责任。</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45" w:name="_Toc247085780"/>
      <w:bookmarkStart w:id="46" w:name="_Toc246997008"/>
      <w:bookmarkStart w:id="47" w:name="_Toc246996265"/>
      <w:bookmarkStart w:id="48" w:name="_Toc296602509"/>
      <w:r>
        <w:rPr>
          <w:rFonts w:hint="eastAsia" w:ascii="宋体" w:hAnsi="宋体" w:eastAsia="宋体" w:cs="宋体"/>
          <w:b/>
          <w:sz w:val="24"/>
          <w:szCs w:val="24"/>
        </w:rPr>
        <w:t>2.2 发出开工通知</w:t>
      </w:r>
      <w:bookmarkEnd w:id="45"/>
      <w:bookmarkEnd w:id="46"/>
      <w:bookmarkEnd w:id="47"/>
      <w:bookmarkEnd w:id="4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发包人应委托监理人按第6.2 款的约定向承包人发出开工通知。</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49" w:name="_Toc246997009"/>
      <w:bookmarkStart w:id="50" w:name="_Toc246996266"/>
      <w:bookmarkStart w:id="51" w:name="_Toc247085781"/>
      <w:bookmarkStart w:id="52" w:name="_Toc296602510"/>
      <w:r>
        <w:rPr>
          <w:rFonts w:hint="eastAsia" w:ascii="宋体" w:hAnsi="宋体" w:eastAsia="宋体" w:cs="宋体"/>
          <w:b/>
          <w:sz w:val="24"/>
          <w:szCs w:val="24"/>
        </w:rPr>
        <w:t>2.3 提供施工场地</w:t>
      </w:r>
      <w:bookmarkEnd w:id="49"/>
      <w:bookmarkEnd w:id="50"/>
      <w:bookmarkEnd w:id="51"/>
      <w:bookmarkEnd w:id="5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发包人应按专用合同条款约定向承包人提供施工场地，以及施工场地内地下管线和地下设施等有关资料，并保证资料的真实、准确、完整。</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53" w:name="_Toc246996267"/>
      <w:bookmarkStart w:id="54" w:name="_Toc246997010"/>
      <w:bookmarkStart w:id="55" w:name="_Toc247085782"/>
      <w:bookmarkStart w:id="56" w:name="_Toc296602511"/>
      <w:r>
        <w:rPr>
          <w:rFonts w:hint="eastAsia" w:ascii="宋体" w:hAnsi="宋体" w:eastAsia="宋体" w:cs="宋体"/>
          <w:b/>
          <w:sz w:val="24"/>
          <w:szCs w:val="24"/>
        </w:rPr>
        <w:t>2.4 协助承包人办理证件和批件</w:t>
      </w:r>
      <w:bookmarkEnd w:id="53"/>
      <w:bookmarkEnd w:id="54"/>
      <w:bookmarkEnd w:id="55"/>
      <w:bookmarkEnd w:id="5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发包人应协助承包人办理法律规定的有关施工证件和批件。</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57" w:name="_Toc296602512"/>
      <w:bookmarkStart w:id="58" w:name="_Toc246997011"/>
      <w:bookmarkStart w:id="59" w:name="_Toc246996268"/>
      <w:bookmarkStart w:id="60" w:name="_Toc247085783"/>
      <w:r>
        <w:rPr>
          <w:rFonts w:hint="eastAsia" w:ascii="宋体" w:hAnsi="宋体" w:eastAsia="宋体" w:cs="宋体"/>
          <w:b/>
          <w:sz w:val="24"/>
          <w:szCs w:val="24"/>
        </w:rPr>
        <w:t>2.5 组织设计交底</w:t>
      </w:r>
      <w:bookmarkEnd w:id="57"/>
      <w:bookmarkEnd w:id="58"/>
      <w:bookmarkEnd w:id="59"/>
      <w:bookmarkEnd w:id="6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发包人应根据合同进度计划，组织设计单位向承包人进行设计交底。</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61" w:name="_Toc246996269"/>
      <w:bookmarkStart w:id="62" w:name="_Toc296602513"/>
      <w:bookmarkStart w:id="63" w:name="_Toc247085784"/>
      <w:bookmarkStart w:id="64" w:name="_Toc246997012"/>
      <w:r>
        <w:rPr>
          <w:rFonts w:hint="eastAsia" w:ascii="宋体" w:hAnsi="宋体" w:eastAsia="宋体" w:cs="宋体"/>
          <w:b/>
          <w:sz w:val="24"/>
          <w:szCs w:val="24"/>
        </w:rPr>
        <w:t>2.6 支付合同价款</w:t>
      </w:r>
      <w:bookmarkEnd w:id="61"/>
      <w:bookmarkEnd w:id="62"/>
      <w:bookmarkEnd w:id="63"/>
      <w:bookmarkEnd w:id="6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发包人应按合同约定向承包人及时支付合同价款。</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65" w:name="_Toc247085785"/>
      <w:bookmarkStart w:id="66" w:name="_Toc296602514"/>
      <w:bookmarkStart w:id="67" w:name="_Toc246997013"/>
      <w:bookmarkStart w:id="68" w:name="_Toc246996270"/>
      <w:r>
        <w:rPr>
          <w:rFonts w:hint="eastAsia" w:ascii="宋体" w:hAnsi="宋体" w:eastAsia="宋体" w:cs="宋体"/>
          <w:b/>
          <w:sz w:val="24"/>
          <w:szCs w:val="24"/>
        </w:rPr>
        <w:t>2.7 组织竣工验收</w:t>
      </w:r>
      <w:bookmarkEnd w:id="65"/>
      <w:bookmarkEnd w:id="66"/>
      <w:bookmarkEnd w:id="67"/>
      <w:bookmarkEnd w:id="6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发包人应按合同约定及时组织竣工验收。</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69" w:name="_Toc246997014"/>
      <w:bookmarkStart w:id="70" w:name="_Toc246996271"/>
      <w:bookmarkStart w:id="71" w:name="_Toc296602515"/>
      <w:bookmarkStart w:id="72" w:name="_Toc247085786"/>
      <w:r>
        <w:rPr>
          <w:rFonts w:hint="eastAsia" w:ascii="宋体" w:hAnsi="宋体" w:eastAsia="宋体" w:cs="宋体"/>
          <w:b/>
          <w:sz w:val="24"/>
          <w:szCs w:val="24"/>
        </w:rPr>
        <w:t>2.8 其他义务</w:t>
      </w:r>
      <w:bookmarkEnd w:id="69"/>
      <w:bookmarkEnd w:id="70"/>
      <w:bookmarkEnd w:id="71"/>
      <w:bookmarkEnd w:id="7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发包人应履行合同约定的其他义务。</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73" w:name="_Toc246996272"/>
      <w:bookmarkStart w:id="74" w:name="_Toc184635100"/>
      <w:bookmarkStart w:id="75" w:name="_Toc246997015"/>
      <w:bookmarkStart w:id="76" w:name="_Toc296602516"/>
      <w:bookmarkStart w:id="77" w:name="_Toc247085787"/>
      <w:r>
        <w:rPr>
          <w:rFonts w:hint="eastAsia" w:ascii="宋体" w:hAnsi="宋体" w:eastAsia="宋体" w:cs="宋体"/>
          <w:b/>
          <w:sz w:val="24"/>
          <w:szCs w:val="24"/>
        </w:rPr>
        <w:t>3. 监理人</w:t>
      </w:r>
      <w:bookmarkEnd w:id="73"/>
      <w:bookmarkEnd w:id="74"/>
      <w:bookmarkEnd w:id="75"/>
      <w:bookmarkEnd w:id="76"/>
      <w:bookmarkEnd w:id="77"/>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78" w:name="_Toc247085788"/>
      <w:bookmarkStart w:id="79" w:name="_Toc246997016"/>
      <w:bookmarkStart w:id="80" w:name="_Toc246996273"/>
      <w:bookmarkStart w:id="81" w:name="_Toc296602517"/>
      <w:r>
        <w:rPr>
          <w:rFonts w:hint="eastAsia" w:ascii="宋体" w:hAnsi="宋体" w:eastAsia="宋体" w:cs="宋体"/>
          <w:b/>
          <w:sz w:val="24"/>
          <w:szCs w:val="24"/>
        </w:rPr>
        <w:t>3.1 监理人的职责和权力</w:t>
      </w:r>
      <w:bookmarkEnd w:id="78"/>
      <w:bookmarkEnd w:id="79"/>
      <w:bookmarkEnd w:id="80"/>
      <w:bookmarkEnd w:id="8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3.1.2 合同约定应由承包人承担的义务和责任，不因监理人对承包人文件的审查或批准，对工程、材料和工程设备的检查和检验，以及为实施监理作出的指示等职务行为而减轻或解除。</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82" w:name="_Toc246996274"/>
      <w:bookmarkStart w:id="83" w:name="_Toc247085789"/>
      <w:bookmarkStart w:id="84" w:name="_Toc296602518"/>
      <w:bookmarkStart w:id="85" w:name="_Toc246997017"/>
      <w:r>
        <w:rPr>
          <w:rFonts w:hint="eastAsia" w:ascii="宋体" w:hAnsi="宋体" w:eastAsia="宋体" w:cs="宋体"/>
          <w:b/>
          <w:sz w:val="24"/>
          <w:szCs w:val="24"/>
        </w:rPr>
        <w:t>3.2 总监理工程师</w:t>
      </w:r>
      <w:bookmarkEnd w:id="82"/>
      <w:bookmarkEnd w:id="83"/>
      <w:bookmarkEnd w:id="84"/>
      <w:bookmarkEnd w:id="8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发包人应在发出开工通知前将总监理工程师的任命通知承包人。</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86" w:name="_Toc246997018"/>
      <w:bookmarkStart w:id="87" w:name="_Toc296602519"/>
      <w:bookmarkStart w:id="88" w:name="_Toc246996275"/>
      <w:bookmarkStart w:id="89" w:name="_Toc247085790"/>
      <w:r>
        <w:rPr>
          <w:rFonts w:hint="eastAsia" w:ascii="宋体" w:hAnsi="宋体" w:eastAsia="宋体" w:cs="宋体"/>
          <w:b/>
          <w:sz w:val="24"/>
          <w:szCs w:val="24"/>
        </w:rPr>
        <w:t>3.3 监理人员</w:t>
      </w:r>
      <w:bookmarkEnd w:id="86"/>
      <w:bookmarkEnd w:id="87"/>
      <w:bookmarkEnd w:id="88"/>
      <w:bookmarkEnd w:id="8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3.3.2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3.3.3 承包人对总监理工程师授权的监理人员发出的指示有疑问的，可在该指示发出的48小时内向总监理工程师提出书面异议，总监理工程师应在48小时内对该指示予以确认、更改或撤销。</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3.3.4 除专用合同条款另有约定外，总监理工程师不应将第3.5 款约定应由总监理工程师作出确定的权力授权或委托给其他监理人员。</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90" w:name="_Toc246996276"/>
      <w:bookmarkStart w:id="91" w:name="_Toc296602520"/>
      <w:bookmarkStart w:id="92" w:name="_Toc246997019"/>
      <w:bookmarkStart w:id="93" w:name="_Toc247085791"/>
      <w:r>
        <w:rPr>
          <w:rFonts w:hint="eastAsia" w:ascii="宋体" w:hAnsi="宋体" w:eastAsia="宋体" w:cs="宋体"/>
          <w:b/>
          <w:sz w:val="24"/>
          <w:szCs w:val="24"/>
        </w:rPr>
        <w:t>3.4 监理人的指示</w:t>
      </w:r>
      <w:bookmarkEnd w:id="90"/>
      <w:bookmarkEnd w:id="91"/>
      <w:bookmarkEnd w:id="92"/>
      <w:bookmarkEnd w:id="9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3.4.1 监理人应按第3.1 款的约定向承包人发出指示，监理人的指示应盖有监理人授权的施工场地机构章，并由总监理工程师或总监理工程师按第3.3.1 项约定授权的监理人员签字。</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3.4.2 承包人收到监理人按第3.4.1 项作出的指示后应遵照执行。指示构成变更的，应按第9条处理。</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3.4.4 除合同另有约定外，承包人只从总监理工程师或按第3.3.1 项被授权的监理人员处取得指示。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3.4.5 由于监理人未能按合同约定发出指示、指示延误或指示错误而导致承包人费用增加和（或）工期延误的，由发包人承担赔偿责任。</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94" w:name="_Toc296602521"/>
      <w:bookmarkStart w:id="95" w:name="_Toc246997020"/>
      <w:bookmarkStart w:id="96" w:name="_Toc247085792"/>
      <w:bookmarkStart w:id="97" w:name="_Toc246996277"/>
      <w:r>
        <w:rPr>
          <w:rFonts w:hint="eastAsia" w:ascii="宋体" w:hAnsi="宋体" w:eastAsia="宋体" w:cs="宋体"/>
          <w:b/>
          <w:sz w:val="24"/>
          <w:szCs w:val="24"/>
        </w:rPr>
        <w:t>3.5 商定或确定</w:t>
      </w:r>
      <w:bookmarkEnd w:id="94"/>
      <w:bookmarkEnd w:id="95"/>
      <w:bookmarkEnd w:id="96"/>
      <w:bookmarkEnd w:id="9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3.5.1 合同约定总监理工程师应按照本款对任何事项进行商定或确定时，总监理工程师应与合同当事人协商，尽量达成一致。不能达成一致的，总监理工程师应认真研究后审慎确定。</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3.5.2 总监理工程师应将商定或确定的事项通知合同当事人，并附详细依据。对总监理工程师的确定有异议的，构成争议，按照第17条的约定处理。在争议解决前，双方应暂按总监理工程师的确定执行，按照第17 条的约定对总监理工程师的确定作出修改的，按修改后的结果执行。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98" w:name="_Toc247085793"/>
      <w:bookmarkStart w:id="99" w:name="_Toc246996278"/>
      <w:bookmarkStart w:id="100" w:name="_Toc296602522"/>
      <w:bookmarkStart w:id="101" w:name="_Toc184635101"/>
      <w:bookmarkStart w:id="102" w:name="_Toc246997021"/>
      <w:r>
        <w:rPr>
          <w:rFonts w:hint="eastAsia" w:ascii="宋体" w:hAnsi="宋体" w:eastAsia="宋体" w:cs="宋体"/>
          <w:b/>
          <w:sz w:val="24"/>
          <w:szCs w:val="24"/>
        </w:rPr>
        <w:t>4. 承包人</w:t>
      </w:r>
      <w:bookmarkEnd w:id="98"/>
      <w:bookmarkEnd w:id="99"/>
      <w:bookmarkEnd w:id="100"/>
      <w:bookmarkEnd w:id="101"/>
      <w:bookmarkEnd w:id="10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03" w:name="_Toc246997022"/>
      <w:bookmarkStart w:id="104" w:name="_Toc246996279"/>
      <w:bookmarkStart w:id="105" w:name="_Toc296602523"/>
      <w:bookmarkStart w:id="106" w:name="_Toc247085794"/>
      <w:r>
        <w:rPr>
          <w:rFonts w:hint="eastAsia" w:ascii="宋体" w:hAnsi="宋体" w:eastAsia="宋体" w:cs="宋体"/>
          <w:b/>
          <w:sz w:val="24"/>
          <w:szCs w:val="24"/>
        </w:rPr>
        <w:t>4.1 承包人的一般义务</w:t>
      </w:r>
      <w:bookmarkEnd w:id="103"/>
      <w:bookmarkEnd w:id="104"/>
      <w:bookmarkEnd w:id="105"/>
      <w:bookmarkEnd w:id="106"/>
    </w:p>
    <w:p>
      <w:pPr>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4.1.1 承包人应按合同约定以及监理人根据第3.4 款作出的指示，实施、完成全部工程，并修补工程中的任何缺陷。</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4.1.2 除合同另有约定外，承包人应提供为按照合同完成工程所需的劳务、材料、施工设备、工程设备和其他物品，以及按合同约定的临时设施等。</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4.1.3 承包人应对所有现场作业、所有施工方法和全部工程的完备性、稳定性和安全性负责。</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4.1.4 承包人应按照法律规定和合同约定，负责施工场地及其周边环境与生态的保护工作。</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4.1.5 工程接收证书颁发前，承包人应负责照管和维护工程。工程接收证书颁发时尚有部分未竣工工程的，承包人还应负责该未竣工工程的照管和维护工作，直至竣工后移交给发包人为止。</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4.1.6 承包人应履行合同约定的其他义务。</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07" w:name="_Toc246996280"/>
      <w:bookmarkStart w:id="108" w:name="_Toc247085795"/>
      <w:bookmarkStart w:id="109" w:name="_Toc296602524"/>
      <w:bookmarkStart w:id="110" w:name="_Toc246997023"/>
      <w:r>
        <w:rPr>
          <w:rFonts w:hint="eastAsia" w:ascii="宋体" w:hAnsi="宋体" w:eastAsia="宋体" w:cs="宋体"/>
          <w:b/>
          <w:sz w:val="24"/>
          <w:szCs w:val="24"/>
        </w:rPr>
        <w:t>4.2 履约担保</w:t>
      </w:r>
      <w:bookmarkEnd w:id="107"/>
      <w:bookmarkEnd w:id="108"/>
      <w:bookmarkEnd w:id="109"/>
      <w:bookmarkEnd w:id="11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4.2.1承包人应保证其履约担保在发包人颁发工程接收证书前一直有效。发包人应在工程接收证书颁发后28 天内把履约担保退还给承包人。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4.2.2如工程延期，承包人有义务继续提供履约担保。由于发包人原因导致延期的，继续提供履约担保所需的费用由发包人承担；由于承包人原因导致延期的，继续提供履约担保所需费用由承包人承担。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11" w:name="_Toc247085797"/>
      <w:bookmarkStart w:id="112" w:name="_Toc246996282"/>
      <w:bookmarkStart w:id="113" w:name="_Toc296602525"/>
      <w:bookmarkStart w:id="114" w:name="_Toc246997025"/>
      <w:r>
        <w:rPr>
          <w:rFonts w:hint="eastAsia" w:ascii="宋体" w:hAnsi="宋体" w:eastAsia="宋体" w:cs="宋体"/>
          <w:b/>
          <w:sz w:val="24"/>
          <w:szCs w:val="24"/>
        </w:rPr>
        <w:t>4.3 承包人项目经理</w:t>
      </w:r>
      <w:bookmarkEnd w:id="111"/>
      <w:bookmarkEnd w:id="112"/>
      <w:bookmarkEnd w:id="113"/>
      <w:bookmarkEnd w:id="11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按合同约定指派项目经理，并在约定的期限内到职。承包人项目经理应按合同约定以及监理人按第3.4款作出的指示，负责组织合同工程的实施。承包人为履行合同发出的一切函件均应盖有承包人授权的施工场地管理机构章，并由承包人项目经理或其授权代表签字。</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15" w:name="_Toc247085798"/>
      <w:bookmarkStart w:id="116" w:name="_Toc246996283"/>
      <w:bookmarkStart w:id="117" w:name="_Toc296602526"/>
      <w:bookmarkStart w:id="118" w:name="_Toc246997026"/>
      <w:r>
        <w:rPr>
          <w:rFonts w:hint="eastAsia" w:ascii="宋体" w:hAnsi="宋体" w:eastAsia="宋体" w:cs="宋体"/>
          <w:b/>
          <w:sz w:val="24"/>
          <w:szCs w:val="24"/>
        </w:rPr>
        <w:t>4.4 工程价款应专款专用</w:t>
      </w:r>
      <w:bookmarkEnd w:id="115"/>
      <w:bookmarkEnd w:id="116"/>
      <w:bookmarkEnd w:id="117"/>
      <w:bookmarkEnd w:id="11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发包人按合同约定支付给承包人的各项价款应专用于合同工程。</w:t>
      </w:r>
      <w:bookmarkStart w:id="119" w:name="_Toc246996284"/>
      <w:bookmarkStart w:id="120" w:name="_Toc246997027"/>
      <w:bookmarkStart w:id="121" w:name="_Toc247085799"/>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2" w:name="_Toc296602527"/>
      <w:r>
        <w:rPr>
          <w:rFonts w:hint="eastAsia" w:ascii="宋体" w:hAnsi="宋体" w:eastAsia="宋体" w:cs="宋体"/>
          <w:b/>
          <w:sz w:val="24"/>
          <w:szCs w:val="24"/>
        </w:rPr>
        <w:t>4.5 不利物质条件</w:t>
      </w:r>
      <w:bookmarkEnd w:id="12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4.5.1 不利物质条件，除专用合同条款另有约定外，是指承包人在施工场地遇到的不可预见的自然物质条件、非自然的物质障碍和污染物，包括地下和水文条件，但不包括气候条件。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4.5.2 承包人遇到不利物质条件时，应采取适应不利物质条件的合理措施继续施工，并及时通知监理人，通知应载明不利物质条件的内容以及承包人认为不可预见的理由。监理人应当及时发出指示，指示构成变更的，按第9条约定执行。监理人没有发出指示的，承包人因采取合理措施而增加的费用和（或）工期延误，由发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3" w:name="_Toc144974636"/>
      <w:bookmarkStart w:id="124" w:name="_Toc152042446"/>
      <w:bookmarkStart w:id="125" w:name="_Toc179632686"/>
      <w:bookmarkStart w:id="126" w:name="_Toc152045668"/>
      <w:bookmarkStart w:id="127" w:name="_Toc296602528"/>
      <w:r>
        <w:rPr>
          <w:rFonts w:hint="eastAsia" w:ascii="宋体" w:hAnsi="宋体" w:eastAsia="宋体" w:cs="宋体"/>
          <w:b/>
          <w:sz w:val="24"/>
          <w:szCs w:val="24"/>
        </w:rPr>
        <w:t xml:space="preserve">5. </w:t>
      </w:r>
      <w:bookmarkEnd w:id="123"/>
      <w:bookmarkEnd w:id="124"/>
      <w:bookmarkEnd w:id="125"/>
      <w:bookmarkEnd w:id="126"/>
      <w:r>
        <w:rPr>
          <w:rFonts w:hint="eastAsia" w:ascii="宋体" w:hAnsi="宋体" w:eastAsia="宋体" w:cs="宋体"/>
          <w:b/>
          <w:sz w:val="24"/>
          <w:szCs w:val="24"/>
        </w:rPr>
        <w:t>施工控制网</w:t>
      </w:r>
      <w:bookmarkEnd w:id="12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5.2 承包人应负责管理施工控制网点。施工控制网点丢失或损坏的，承包人应及时修复。承包人应承担施工控制网点的管理与修复费用，并在工程竣工后将施工控制网点移交发包人。</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8" w:name="_Toc296602529"/>
      <w:r>
        <w:rPr>
          <w:rFonts w:hint="eastAsia" w:ascii="宋体" w:hAnsi="宋体" w:eastAsia="宋体" w:cs="宋体"/>
          <w:b/>
          <w:sz w:val="24"/>
          <w:szCs w:val="24"/>
        </w:rPr>
        <w:t>6. 工期</w:t>
      </w:r>
      <w:bookmarkEnd w:id="128"/>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29" w:name="_Toc296602530"/>
      <w:bookmarkStart w:id="130" w:name="_Toc179632700"/>
      <w:bookmarkStart w:id="131" w:name="_Toc144974650"/>
      <w:bookmarkStart w:id="132" w:name="_Toc152042460"/>
      <w:bookmarkStart w:id="133" w:name="_Toc152045682"/>
      <w:r>
        <w:rPr>
          <w:rFonts w:hint="eastAsia" w:ascii="宋体" w:hAnsi="宋体" w:eastAsia="宋体" w:cs="宋体"/>
          <w:b/>
          <w:sz w:val="24"/>
          <w:szCs w:val="24"/>
        </w:rPr>
        <w:t>6.1 进度计划</w:t>
      </w:r>
      <w:bookmarkEnd w:id="12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按照专用合同条款约定的时间，向监理人提交进度计划。经监理人审批后的进度计划具有合同约束力，承包人应当严格执行。实际进度与进度计划不符时，监理人应当指示承包人对进度计划进行修订，重新提交给监理人审批。</w:t>
      </w:r>
    </w:p>
    <w:bookmarkEnd w:id="130"/>
    <w:bookmarkEnd w:id="131"/>
    <w:bookmarkEnd w:id="132"/>
    <w:bookmarkEnd w:id="133"/>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4" w:name="_Toc296602531"/>
      <w:r>
        <w:rPr>
          <w:rFonts w:hint="eastAsia" w:ascii="宋体" w:hAnsi="宋体" w:eastAsia="宋体" w:cs="宋体"/>
          <w:b/>
          <w:sz w:val="24"/>
          <w:szCs w:val="24"/>
        </w:rPr>
        <w:t>6.2 工程实施</w:t>
      </w:r>
      <w:bookmarkEnd w:id="13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监理人应在开工日期7天前向承包人发出开工通知。承包人应在第1.1.4.3目约定的期限内完成合同工程。实际竣工日期在接收证书中写明。</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5" w:name="_Toc296602532"/>
      <w:r>
        <w:rPr>
          <w:rFonts w:hint="eastAsia" w:ascii="宋体" w:hAnsi="宋体" w:eastAsia="宋体" w:cs="宋体"/>
          <w:b/>
          <w:sz w:val="24"/>
          <w:szCs w:val="24"/>
        </w:rPr>
        <w:t>6.3 发包人引起的工期延误</w:t>
      </w:r>
      <w:bookmarkEnd w:id="13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在履行合同过程中，由于发包人的下列原因造成工期延误的，承包人有权要求发包人延长工期和（或）增加费用，并支付合理利润。需要修订合同进度计划的，按照第6.1款的约定执行。</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（1）增加合同工作内容；</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（2）改变合同中任何一项工作的质量要求或其他特性；</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（3）发包人迟延提供材料、工程设备或变更交货地点；</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（4）因发包人原因导致的暂停施工；</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（5）提供图纸延误；</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（6）未按合同约定及时支付预付款、进度款；</w:t>
      </w:r>
    </w:p>
    <w:p>
      <w:pPr>
        <w:pageBreakBefore w:val="0"/>
        <w:widowControl w:val="0"/>
        <w:kinsoku/>
        <w:wordWrap/>
        <w:overflowPunct/>
        <w:topLinePunct w:val="0"/>
        <w:autoSpaceDE/>
        <w:autoSpaceDN/>
        <w:bidi w:val="0"/>
        <w:adjustRightInd/>
        <w:snapToGrid/>
        <w:spacing w:line="400" w:lineRule="exact"/>
        <w:ind w:left="0" w:leftChars="0" w:right="0" w:rightChars="0" w:firstLine="410" w:firstLineChars="171"/>
        <w:jc w:val="both"/>
        <w:textAlignment w:val="auto"/>
        <w:rPr>
          <w:rFonts w:hint="eastAsia" w:ascii="宋体" w:hAnsi="宋体" w:eastAsia="宋体" w:cs="宋体"/>
          <w:sz w:val="24"/>
          <w:szCs w:val="24"/>
        </w:rPr>
      </w:pPr>
      <w:r>
        <w:rPr>
          <w:rFonts w:hint="eastAsia" w:ascii="宋体" w:hAnsi="宋体" w:eastAsia="宋体" w:cs="宋体"/>
          <w:sz w:val="24"/>
          <w:szCs w:val="24"/>
        </w:rPr>
        <w:t>（7）发包人造成工期延误的其他原因。</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6" w:name="_Toc296602533"/>
      <w:r>
        <w:rPr>
          <w:rFonts w:hint="eastAsia" w:ascii="宋体" w:hAnsi="宋体" w:eastAsia="宋体" w:cs="宋体"/>
          <w:b/>
          <w:sz w:val="24"/>
          <w:szCs w:val="24"/>
        </w:rPr>
        <w:t>6.4 异常恶劣的气候条件</w:t>
      </w:r>
      <w:bookmarkEnd w:id="13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由于出现专用合同条款约定的异常恶劣气候导致工期延误的，承包人有权要求发包人延长工期。</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7" w:name="_Toc296602534"/>
      <w:r>
        <w:rPr>
          <w:rFonts w:hint="eastAsia" w:ascii="宋体" w:hAnsi="宋体" w:eastAsia="宋体" w:cs="宋体"/>
          <w:b/>
          <w:sz w:val="24"/>
          <w:szCs w:val="24"/>
        </w:rPr>
        <w:t>6.5 承包人引起的工期延误</w:t>
      </w:r>
      <w:bookmarkEnd w:id="13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由于承包人原因造成工期延误，承包人应按照专用合同条款中约定的逾期竣工违约金计算方法和最高限额，支付逾期竣工违约金。承包人支付逾期竣工违约金，不免除承包人完成工程及修补缺陷的义务。</w:t>
      </w:r>
    </w:p>
    <w:bookmarkEnd w:id="119"/>
    <w:bookmarkEnd w:id="120"/>
    <w:bookmarkEnd w:id="121"/>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38" w:name="_Toc246996291"/>
      <w:bookmarkStart w:id="139" w:name="_Toc184635110"/>
      <w:bookmarkStart w:id="140" w:name="_Toc296602535"/>
      <w:bookmarkStart w:id="141" w:name="_Toc246997034"/>
      <w:bookmarkStart w:id="142" w:name="_Toc247085806"/>
      <w:r>
        <w:rPr>
          <w:rFonts w:hint="eastAsia" w:ascii="宋体" w:hAnsi="宋体" w:eastAsia="宋体" w:cs="宋体"/>
          <w:b/>
          <w:sz w:val="24"/>
          <w:szCs w:val="24"/>
        </w:rPr>
        <w:t>7. 工程质量</w:t>
      </w:r>
      <w:bookmarkEnd w:id="138"/>
      <w:bookmarkEnd w:id="139"/>
      <w:bookmarkEnd w:id="140"/>
      <w:bookmarkEnd w:id="141"/>
      <w:bookmarkEnd w:id="14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43" w:name="_Toc296602536"/>
      <w:bookmarkStart w:id="144" w:name="_Toc247085807"/>
      <w:bookmarkStart w:id="145" w:name="_Toc246997035"/>
      <w:bookmarkStart w:id="146" w:name="_Toc246996292"/>
      <w:r>
        <w:rPr>
          <w:rFonts w:hint="eastAsia" w:ascii="宋体" w:hAnsi="宋体" w:eastAsia="宋体" w:cs="宋体"/>
          <w:b/>
          <w:sz w:val="24"/>
          <w:szCs w:val="24"/>
        </w:rPr>
        <w:t>7.1 工程质量要求</w:t>
      </w:r>
      <w:bookmarkEnd w:id="143"/>
      <w:bookmarkEnd w:id="144"/>
      <w:bookmarkEnd w:id="145"/>
      <w:bookmarkEnd w:id="14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工程质量验收按照合同约定的验收标准执行。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47" w:name="_Toc296602537"/>
      <w:bookmarkStart w:id="148" w:name="_Toc246996293"/>
      <w:bookmarkStart w:id="149" w:name="_Toc247085808"/>
      <w:bookmarkStart w:id="150" w:name="_Toc246997036"/>
      <w:r>
        <w:rPr>
          <w:rFonts w:hint="eastAsia" w:ascii="宋体" w:hAnsi="宋体" w:eastAsia="宋体" w:cs="宋体"/>
          <w:b/>
          <w:sz w:val="24"/>
          <w:szCs w:val="24"/>
        </w:rPr>
        <w:t>7.2 监理人的质量检查</w:t>
      </w:r>
      <w:bookmarkEnd w:id="147"/>
      <w:bookmarkEnd w:id="148"/>
      <w:bookmarkEnd w:id="149"/>
      <w:bookmarkEnd w:id="15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监理人有权对工程的所有部位及其施工工艺、材料和工程设备进行检查和检验。监理人的检查和检验，不免除承包人按合同约定应负的责任。</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51" w:name="_Toc246996294"/>
      <w:bookmarkStart w:id="152" w:name="_Toc296602538"/>
      <w:bookmarkStart w:id="153" w:name="_Toc247085809"/>
      <w:bookmarkStart w:id="154" w:name="_Toc246997037"/>
      <w:r>
        <w:rPr>
          <w:rFonts w:hint="eastAsia" w:ascii="宋体" w:hAnsi="宋体" w:eastAsia="宋体" w:cs="宋体"/>
          <w:b/>
          <w:sz w:val="24"/>
          <w:szCs w:val="24"/>
        </w:rPr>
        <w:t>7.3 工程隐蔽部位覆盖前的检查</w:t>
      </w:r>
      <w:bookmarkEnd w:id="151"/>
      <w:bookmarkEnd w:id="152"/>
      <w:bookmarkEnd w:id="153"/>
      <w:bookmarkEnd w:id="15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经承包人自检确认的工程隐蔽部位具备覆盖条件后，承包人应通知监理人在约定的期限内检查。监理人应按时到场检查。监理人未到场检查的，除监理人另有指示外，承包人可自行完成覆盖工作。无论监理人是否到场检查，对已覆盖的工程隐蔽部位，监理人可要求承包人对已覆盖的部位进行钻孔探测或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承包人未通知监理人到场检查，私自将工程隐蔽部位覆盖的，监理人有权指示承包人钻孔探测或揭开检查，无论工程隐蔽部位质量是否合格，由此增加的费用和（或）工期延误由承包人承担。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55" w:name="_Toc247085810"/>
      <w:bookmarkStart w:id="156" w:name="_Toc246997038"/>
      <w:bookmarkStart w:id="157" w:name="_Toc296602539"/>
      <w:bookmarkStart w:id="158" w:name="_Toc246996295"/>
      <w:r>
        <w:rPr>
          <w:rFonts w:hint="eastAsia" w:ascii="宋体" w:hAnsi="宋体" w:eastAsia="宋体" w:cs="宋体"/>
          <w:b/>
          <w:sz w:val="24"/>
          <w:szCs w:val="24"/>
        </w:rPr>
        <w:t>7.4 清除不合格工程</w:t>
      </w:r>
      <w:bookmarkEnd w:id="155"/>
      <w:bookmarkEnd w:id="156"/>
      <w:bookmarkEnd w:id="157"/>
      <w:bookmarkEnd w:id="15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由于承包人的材料、工程设备，或采用施工工艺不符合合同要求造成的任何缺陷，监理人可以随时发出指示，要求承包人立即采取措施进行补救，直至达到合同要求的质量标准，由此增加的费用和（或）工期延误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59" w:name="_Toc246996296"/>
      <w:bookmarkStart w:id="160" w:name="_Toc296602540"/>
      <w:bookmarkStart w:id="161" w:name="_Toc246997039"/>
      <w:bookmarkStart w:id="162" w:name="_Toc247085811"/>
      <w:r>
        <w:rPr>
          <w:rFonts w:hint="eastAsia" w:ascii="宋体" w:hAnsi="宋体" w:eastAsia="宋体" w:cs="宋体"/>
          <w:b/>
          <w:sz w:val="24"/>
          <w:szCs w:val="24"/>
        </w:rPr>
        <w:t>8. 试验和检验</w:t>
      </w:r>
      <w:bookmarkEnd w:id="159"/>
      <w:bookmarkEnd w:id="160"/>
      <w:bookmarkEnd w:id="161"/>
      <w:bookmarkEnd w:id="162"/>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63" w:name="_Toc296602541"/>
      <w:r>
        <w:rPr>
          <w:rFonts w:hint="eastAsia" w:ascii="宋体" w:hAnsi="宋体" w:eastAsia="宋体" w:cs="宋体"/>
          <w:b/>
          <w:sz w:val="24"/>
          <w:szCs w:val="24"/>
        </w:rPr>
        <w:t>8.1 材料、工程设备和工程的试验和检验</w:t>
      </w:r>
      <w:bookmarkEnd w:id="16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8.1.2 监理人未按合同约定派员参加试验和检验的，除监理人另有指示外，承包人可自行试验和检验，并应立即将试验和检验结果报送监理人，监理人应签字确认。</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64" w:name="_Toc296602542"/>
      <w:r>
        <w:rPr>
          <w:rFonts w:hint="eastAsia" w:ascii="宋体" w:hAnsi="宋体" w:eastAsia="宋体" w:cs="宋体"/>
          <w:b/>
          <w:sz w:val="24"/>
          <w:szCs w:val="24"/>
        </w:rPr>
        <w:t>8.2 现场材料试验</w:t>
      </w:r>
      <w:bookmarkEnd w:id="16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8.2.1 承包人根据合同约定或监理人指示进行的现场材料试验，应由承包人提供试验场所、试验人员、试验设备器材以及其他必要的试验条件。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8.2.2 监理人在必要时可以使用承包人的试验场所、试验设备器材以及其他试验条件，进行以工程质量检查为目的的复核性材料试验，承包人应予以协助。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65" w:name="_Toc247085812"/>
      <w:bookmarkStart w:id="166" w:name="_Toc246997040"/>
      <w:bookmarkStart w:id="167" w:name="_Toc184635112"/>
      <w:bookmarkStart w:id="168" w:name="_Toc246996297"/>
      <w:bookmarkStart w:id="169" w:name="_Toc296602543"/>
      <w:r>
        <w:rPr>
          <w:rFonts w:hint="eastAsia" w:ascii="宋体" w:hAnsi="宋体" w:eastAsia="宋体" w:cs="宋体"/>
          <w:b/>
          <w:sz w:val="24"/>
          <w:szCs w:val="24"/>
        </w:rPr>
        <w:t>9. 变更</w:t>
      </w:r>
      <w:bookmarkEnd w:id="165"/>
      <w:bookmarkEnd w:id="166"/>
      <w:bookmarkEnd w:id="167"/>
      <w:bookmarkEnd w:id="168"/>
      <w:bookmarkEnd w:id="169"/>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70" w:name="_Toc247085813"/>
      <w:bookmarkStart w:id="171" w:name="_Toc246996298"/>
      <w:bookmarkStart w:id="172" w:name="_Toc246997041"/>
      <w:bookmarkStart w:id="173" w:name="_Toc296602544"/>
      <w:r>
        <w:rPr>
          <w:rFonts w:hint="eastAsia" w:ascii="宋体" w:hAnsi="宋体" w:eastAsia="宋体" w:cs="宋体"/>
          <w:b/>
          <w:sz w:val="24"/>
          <w:szCs w:val="24"/>
        </w:rPr>
        <w:t>9.1 变更权</w:t>
      </w:r>
      <w:bookmarkEnd w:id="170"/>
      <w:bookmarkEnd w:id="171"/>
      <w:bookmarkEnd w:id="172"/>
      <w:bookmarkEnd w:id="17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在履行合同过程中，经发包人同意，监理人可按第9.2款约定的变更程序向承包人作出变更指示，承包人应遵照执行。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74" w:name="_Toc296602545"/>
      <w:bookmarkStart w:id="175" w:name="_Toc246997042"/>
      <w:bookmarkStart w:id="176" w:name="_Toc247085814"/>
      <w:bookmarkStart w:id="177" w:name="_Toc246996299"/>
      <w:r>
        <w:rPr>
          <w:rFonts w:hint="eastAsia" w:ascii="宋体" w:hAnsi="宋体" w:eastAsia="宋体" w:cs="宋体"/>
          <w:b/>
          <w:sz w:val="24"/>
          <w:szCs w:val="24"/>
        </w:rPr>
        <w:t>9.2 变更程序</w:t>
      </w:r>
      <w:bookmarkEnd w:id="174"/>
      <w:bookmarkEnd w:id="175"/>
      <w:bookmarkEnd w:id="176"/>
      <w:bookmarkEnd w:id="17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承包人应在收到变更指示14天内，向监理人提交变更报价书。监理人应审查，并在收到承包人变更报价书后14天内，与发包人和承包人共同商定此估价。在未达成协议的情况下，监理人应确定该估价。</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78" w:name="_Toc246997043"/>
      <w:bookmarkStart w:id="179" w:name="_Toc247085815"/>
      <w:bookmarkStart w:id="180" w:name="_Toc246996300"/>
      <w:bookmarkStart w:id="181" w:name="_Toc296602546"/>
      <w:r>
        <w:rPr>
          <w:rFonts w:hint="eastAsia" w:ascii="宋体" w:hAnsi="宋体" w:eastAsia="宋体" w:cs="宋体"/>
          <w:b/>
          <w:sz w:val="24"/>
          <w:szCs w:val="24"/>
        </w:rPr>
        <w:t>9.3 变更的估价原则</w:t>
      </w:r>
      <w:bookmarkEnd w:id="178"/>
      <w:bookmarkEnd w:id="179"/>
      <w:bookmarkEnd w:id="180"/>
      <w:bookmarkEnd w:id="18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除专用合同条款另有约定外，因变更引起的价格调整按照本款约定处理：</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（1）已标价工程量清单中有适用于变更工作的子目的，采用该子目的单价；</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（2）已标价工程量清单中无适用于变更工作的子目，但有类似子目的，可在合理范围内参照类似项目，由监理人按第3.5款商定或确定变更工作的单价； </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（3）已标价工程量清单中无适用或类似子目的单价，可按照成本加利润的原则，由监理人按第3.5款商定或确定变更工作的单价。</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82" w:name="_Toc296602547"/>
      <w:bookmarkStart w:id="183" w:name="_Toc246996301"/>
      <w:bookmarkStart w:id="184" w:name="_Toc247085816"/>
      <w:bookmarkStart w:id="185" w:name="_Toc246997044"/>
      <w:r>
        <w:rPr>
          <w:rFonts w:hint="eastAsia" w:ascii="宋体" w:hAnsi="宋体" w:eastAsia="宋体" w:cs="宋体"/>
          <w:b/>
          <w:sz w:val="24"/>
          <w:szCs w:val="24"/>
        </w:rPr>
        <w:t>9.4 暂列金额</w:t>
      </w:r>
      <w:bookmarkEnd w:id="182"/>
      <w:bookmarkEnd w:id="183"/>
      <w:bookmarkEnd w:id="184"/>
      <w:bookmarkEnd w:id="185"/>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暂列金额只能按照监理人的指示使用，并对合同价格进行相应调整。</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86" w:name="_Toc247085817"/>
      <w:bookmarkStart w:id="187" w:name="_Toc246996302"/>
      <w:bookmarkStart w:id="188" w:name="_Toc246997045"/>
      <w:bookmarkStart w:id="189" w:name="_Toc296602548"/>
      <w:r>
        <w:rPr>
          <w:rFonts w:hint="eastAsia" w:ascii="宋体" w:hAnsi="宋体" w:eastAsia="宋体" w:cs="宋体"/>
          <w:b/>
          <w:sz w:val="24"/>
          <w:szCs w:val="24"/>
        </w:rPr>
        <w:t>9.5 计日工</w:t>
      </w:r>
      <w:bookmarkEnd w:id="186"/>
      <w:bookmarkEnd w:id="187"/>
      <w:bookmarkEnd w:id="188"/>
      <w:bookmarkEnd w:id="18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9.5.1 发包人认为有必要时，由监理人通知承包人以计日工方式实施变更的零星工作。其价款按列入已标价工程量清单中的计日工计价子目及其单价进行计算。</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9.5.2 采用计日工计价的任何一项变更工作，应从暂列金额中支付，承包人应在该项变更的实施过程中，每天提交以下报表和有关凭证报送监理人审批：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（l）工作名称、内容和数量；</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（2）投入该工作所有人员的姓名、工种、级别和耗用工时；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（3）投入该工作的材料类别和数量；</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（4）投入该工作的施工设备型号、台数和耗用台时；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（5）监理人要求提交的其他资料和凭证。</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9.5.3 计日工由承包人汇总后，按第10.3款的约定列入进度付款申请单，由监理人复核并经发包人同意后列入进度付款。</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0" w:name="_Toc296602549"/>
      <w:bookmarkStart w:id="191" w:name="_Toc184635114"/>
      <w:bookmarkStart w:id="192" w:name="_Toc247085819"/>
      <w:bookmarkStart w:id="193" w:name="_Toc246997047"/>
      <w:bookmarkStart w:id="194" w:name="_Toc246996304"/>
      <w:r>
        <w:rPr>
          <w:rFonts w:hint="eastAsia" w:ascii="宋体" w:hAnsi="宋体" w:eastAsia="宋体" w:cs="宋体"/>
          <w:b/>
          <w:sz w:val="24"/>
          <w:szCs w:val="24"/>
        </w:rPr>
        <w:t>10. 计量与支付</w:t>
      </w:r>
      <w:bookmarkEnd w:id="190"/>
      <w:bookmarkEnd w:id="191"/>
      <w:bookmarkEnd w:id="192"/>
      <w:bookmarkEnd w:id="193"/>
      <w:bookmarkEnd w:id="194"/>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5" w:name="_Toc247085820"/>
      <w:bookmarkStart w:id="196" w:name="_Toc296602550"/>
      <w:bookmarkStart w:id="197" w:name="_Toc246997048"/>
      <w:bookmarkStart w:id="198" w:name="_Toc246996305"/>
      <w:r>
        <w:rPr>
          <w:rFonts w:hint="eastAsia" w:ascii="宋体" w:hAnsi="宋体" w:eastAsia="宋体" w:cs="宋体"/>
          <w:b/>
          <w:sz w:val="24"/>
          <w:szCs w:val="24"/>
        </w:rPr>
        <w:t>10.1 计量</w:t>
      </w:r>
      <w:bookmarkEnd w:id="195"/>
      <w:bookmarkEnd w:id="196"/>
      <w:bookmarkEnd w:id="197"/>
      <w:bookmarkEnd w:id="19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承包人应根据有合同约束力的进度计划，按月分解签约合同价，形成支付分解报告，送监理人批准后成为有合同约束力的支付分解表，按有合同约束力的支付分解表分期计量和支付；支付分解表应随进度计划的修订而调整；除按照第9条约定的变更外，签约合同价所基于的工程量即是用于竣工结算的最终工程量。</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199" w:name="_Toc296602551"/>
      <w:bookmarkStart w:id="200" w:name="_Toc246997049"/>
      <w:bookmarkStart w:id="201" w:name="_Toc246996306"/>
      <w:bookmarkStart w:id="202" w:name="_Toc247085821"/>
      <w:r>
        <w:rPr>
          <w:rFonts w:hint="eastAsia" w:ascii="宋体" w:hAnsi="宋体" w:eastAsia="宋体" w:cs="宋体"/>
          <w:b/>
          <w:sz w:val="24"/>
          <w:szCs w:val="24"/>
        </w:rPr>
        <w:t>10.2 预付款</w:t>
      </w:r>
      <w:bookmarkEnd w:id="199"/>
      <w:bookmarkEnd w:id="200"/>
      <w:bookmarkEnd w:id="201"/>
      <w:bookmarkEnd w:id="20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预付款用于承包人为合同工程施工购置材料、工程设备、施工设备、修建临时设施以及组织施工队伍进场等。预付款的额度、预付办法，以及扣回与还清办法在专用合同条款中约定。预付款必须专用于合同工程。</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03" w:name="_Toc246996307"/>
      <w:bookmarkStart w:id="204" w:name="_Toc247085822"/>
      <w:bookmarkStart w:id="205" w:name="_Toc296602552"/>
      <w:bookmarkStart w:id="206" w:name="_Toc246997050"/>
      <w:r>
        <w:rPr>
          <w:rFonts w:hint="eastAsia" w:ascii="宋体" w:hAnsi="宋体" w:eastAsia="宋体" w:cs="宋体"/>
          <w:b/>
          <w:sz w:val="24"/>
          <w:szCs w:val="24"/>
        </w:rPr>
        <w:t>10.3 工程进度付款</w:t>
      </w:r>
      <w:bookmarkEnd w:id="203"/>
      <w:bookmarkEnd w:id="204"/>
      <w:bookmarkEnd w:id="205"/>
      <w:bookmarkEnd w:id="20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应在第10.1款约定的支付分解表确定的每个付款周期末，按监理人批准的格式和专用合同条款约定的份数，向监理人提交进度付款申请单，并附相应的支持性证明文件。除专用合同条款另有约定外，进度付款申请单应包括下列内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（1）截至本次付款周期末已实施工程的合同价款；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（2）根据第9条应增加和扣减的变更金额；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（3）根据第16条应增加和扣减的索赔金额；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（4）根据第10.2款应支付的预付款和扣减的返还预付款；</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（5）根据第10.4款应扣减的质量保证金；</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（6）根据合同应增加和扣减的其他金额。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应在收到承包人进度付款申请单以及相应的支持性证明文件后的7天内完成核查，并向承包人出具经发包人签认的付款证书。发包人应在监理人收到进度付款申请单的14天内将进度应付款支付给承包人。涉及政府投资资金的，按照国库集中支付等国家相关规定和专用合同条款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07" w:name="_Toc246997051"/>
      <w:bookmarkStart w:id="208" w:name="_Toc296602553"/>
      <w:bookmarkStart w:id="209" w:name="_Toc246996308"/>
      <w:bookmarkStart w:id="210" w:name="_Toc247085823"/>
      <w:r>
        <w:rPr>
          <w:rFonts w:hint="eastAsia" w:ascii="宋体" w:hAnsi="宋体" w:eastAsia="宋体" w:cs="宋体"/>
          <w:b/>
          <w:sz w:val="24"/>
          <w:szCs w:val="24"/>
        </w:rPr>
        <w:t>10.4 质量保证金</w:t>
      </w:r>
      <w:bookmarkEnd w:id="207"/>
      <w:bookmarkEnd w:id="208"/>
      <w:bookmarkEnd w:id="209"/>
      <w:bookmarkEnd w:id="210"/>
    </w:p>
    <w:p>
      <w:pPr>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rPr>
          <w:rFonts w:hint="eastAsia" w:ascii="宋体" w:hAnsi="宋体" w:eastAsia="宋体" w:cs="宋体"/>
          <w:sz w:val="24"/>
          <w:szCs w:val="24"/>
        </w:rPr>
      </w:pPr>
      <w:r>
        <w:rPr>
          <w:rFonts w:hint="eastAsia" w:ascii="宋体" w:hAnsi="宋体" w:eastAsia="宋体" w:cs="宋体"/>
          <w:sz w:val="24"/>
          <w:szCs w:val="24"/>
        </w:rPr>
        <w:t>监理人应从第一个付款周期开始，在发包人的进度付款中，按专用合同条款的约定扣留质量保证金，直至扣留的质量保证金总额达到专用合同条款约定的金额或比例为止。</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专用合同条款约定的缺陷责任期满时，承包人向发包人申请到期应返还承包人剩余的质量保证金金额，发包人应在14天内会同承包人按照合同约定的内容核实承包人是否完成缺陷责任，并将无异议的剩余质量保证金返还承包人。</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11" w:name="_Toc246996309"/>
      <w:bookmarkStart w:id="212" w:name="_Toc246997052"/>
      <w:bookmarkStart w:id="213" w:name="_Toc247085824"/>
      <w:bookmarkStart w:id="214" w:name="_Toc296602554"/>
      <w:r>
        <w:rPr>
          <w:rFonts w:hint="eastAsia" w:ascii="宋体" w:hAnsi="宋体" w:eastAsia="宋体" w:cs="宋体"/>
          <w:b/>
          <w:sz w:val="24"/>
          <w:szCs w:val="24"/>
        </w:rPr>
        <w:t>10.5 竣工结算</w:t>
      </w:r>
      <w:bookmarkEnd w:id="211"/>
      <w:bookmarkEnd w:id="212"/>
      <w:bookmarkEnd w:id="213"/>
      <w:bookmarkEnd w:id="21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10.5.1 除专用合同条款另有约定外，竣工结算价格不因物价波动和法律变化而调整。</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10.5.2工程接收证书颁发后，承包人应按专用合同条款约定的份数和期限向监理人提交竣工付款申请单，并提供相关证明材料。监理人应当在收到竣工结算申请单的7天内完成核查、准备竣工付款证书并送发包人审核，发包人应在收到后14天内提出具体意见或签认竣工付款证书，并在监理人收到竣工结算申请单的28天内将应付款支付给承包人。发包人未在约定时间内审核并提出具体意见或者签认竣工付款证书的，视为同意承包人提出的竣工付款金额。</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10.5.3竣工付款涉及政府投资资金的，按照国库集中支付等国家相关规定和专用合同条款的约定执行。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15" w:name="_Toc296602555"/>
      <w:bookmarkStart w:id="216" w:name="_Toc246996310"/>
      <w:bookmarkStart w:id="217" w:name="_Toc246997053"/>
      <w:bookmarkStart w:id="218" w:name="_Toc247085825"/>
      <w:r>
        <w:rPr>
          <w:rFonts w:hint="eastAsia" w:ascii="宋体" w:hAnsi="宋体" w:eastAsia="宋体" w:cs="宋体"/>
          <w:b/>
          <w:sz w:val="24"/>
          <w:szCs w:val="24"/>
        </w:rPr>
        <w:t>10.6 付款延误</w:t>
      </w:r>
      <w:bookmarkEnd w:id="215"/>
      <w:bookmarkEnd w:id="216"/>
      <w:bookmarkEnd w:id="217"/>
      <w:bookmarkEnd w:id="21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发包人不按期支付的，按专用合同条款的约定支付逾期付款违约金。</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19" w:name="_Toc246997054"/>
      <w:bookmarkStart w:id="220" w:name="_Toc247085826"/>
      <w:bookmarkStart w:id="221" w:name="_Toc184635115"/>
      <w:bookmarkStart w:id="222" w:name="_Toc246996311"/>
      <w:bookmarkStart w:id="223" w:name="_Toc296602556"/>
      <w:r>
        <w:rPr>
          <w:rFonts w:hint="eastAsia" w:ascii="宋体" w:hAnsi="宋体" w:eastAsia="宋体" w:cs="宋体"/>
          <w:b/>
          <w:sz w:val="24"/>
          <w:szCs w:val="24"/>
        </w:rPr>
        <w:t>11. 竣工验收</w:t>
      </w:r>
      <w:bookmarkEnd w:id="219"/>
      <w:bookmarkEnd w:id="220"/>
      <w:bookmarkEnd w:id="221"/>
      <w:bookmarkEnd w:id="222"/>
      <w:bookmarkEnd w:id="223"/>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24" w:name="_Toc296602557"/>
      <w:bookmarkStart w:id="225" w:name="_Toc246997055"/>
      <w:bookmarkStart w:id="226" w:name="_Toc246996312"/>
      <w:bookmarkStart w:id="227" w:name="_Toc247085827"/>
      <w:r>
        <w:rPr>
          <w:rFonts w:hint="eastAsia" w:ascii="宋体" w:hAnsi="宋体" w:eastAsia="宋体" w:cs="宋体"/>
          <w:b/>
          <w:sz w:val="24"/>
          <w:szCs w:val="24"/>
        </w:rPr>
        <w:t>11.1 竣工验收的含义</w:t>
      </w:r>
      <w:bookmarkEnd w:id="22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11.1.1 竣工验收是指承包人完成了全部合同工作后，发包人按合同要求进行的验收。</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11.1.2 需要进行国家验收的，竣工验收是国家验收的一部分。竣工验收所采用的各项验收和评定标准应符合国家验收标准。发包人和承包人为竣工验收提供的各项竣工验收资料应符合国家验收的要求。</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28" w:name="_Toc296602558"/>
      <w:r>
        <w:rPr>
          <w:rFonts w:hint="eastAsia" w:ascii="宋体" w:hAnsi="宋体" w:eastAsia="宋体" w:cs="宋体"/>
          <w:b/>
          <w:sz w:val="24"/>
          <w:szCs w:val="24"/>
        </w:rPr>
        <w:t>11.2 竣工验收申请报告</w:t>
      </w:r>
      <w:bookmarkEnd w:id="225"/>
      <w:bookmarkEnd w:id="226"/>
      <w:bookmarkEnd w:id="227"/>
      <w:bookmarkEnd w:id="228"/>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当工程具备竣工条件时，承包人即可向监理人报送竣工验收申请报告。</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29" w:name="_Toc247085828"/>
      <w:bookmarkStart w:id="230" w:name="_Toc246997056"/>
      <w:bookmarkStart w:id="231" w:name="_Toc296602559"/>
      <w:bookmarkStart w:id="232" w:name="_Toc246996313"/>
      <w:r>
        <w:rPr>
          <w:rFonts w:hint="eastAsia" w:ascii="宋体" w:hAnsi="宋体" w:eastAsia="宋体" w:cs="宋体"/>
          <w:b/>
          <w:sz w:val="24"/>
          <w:szCs w:val="24"/>
        </w:rPr>
        <w:t>11.3 竣工和验收</w:t>
      </w:r>
      <w:bookmarkEnd w:id="229"/>
      <w:bookmarkEnd w:id="230"/>
      <w:bookmarkEnd w:id="231"/>
      <w:bookmarkEnd w:id="23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监理人审查后认为具备竣工验收条件的，提请发包人进行工程验收。发包人经过验收后同意接收工程的，由监理人向承包人出具经发包人签认的工程接收证书。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除专用合同条款另有约定外，经验收合格工程的实际竣工日期，以提交竣工验收申请报告的日期为准，并在工程接收证书中写明。</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33" w:name="_Toc247085829"/>
      <w:bookmarkStart w:id="234" w:name="_Toc296602560"/>
      <w:bookmarkStart w:id="235" w:name="_Toc246997057"/>
      <w:bookmarkStart w:id="236" w:name="_Toc246996314"/>
      <w:r>
        <w:rPr>
          <w:rFonts w:hint="eastAsia" w:ascii="宋体" w:hAnsi="宋体" w:eastAsia="宋体" w:cs="宋体"/>
          <w:b/>
          <w:sz w:val="24"/>
          <w:szCs w:val="24"/>
        </w:rPr>
        <w:t>11.4 试运行</w:t>
      </w:r>
      <w:bookmarkEnd w:id="233"/>
      <w:bookmarkEnd w:id="234"/>
      <w:bookmarkEnd w:id="235"/>
      <w:bookmarkEnd w:id="23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除专用合同条款另有约定外，承包人应按专用合同条款约定进行工程及工程设备试运行，负责提供试运行所需的人员、器材和必要的条件，并承担全部试运行费用。</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37" w:name="_Toc246996315"/>
      <w:bookmarkStart w:id="238" w:name="_Toc246997058"/>
      <w:bookmarkStart w:id="239" w:name="_Toc296602561"/>
      <w:bookmarkStart w:id="240" w:name="_Toc247085830"/>
      <w:r>
        <w:rPr>
          <w:rFonts w:hint="eastAsia" w:ascii="宋体" w:hAnsi="宋体" w:eastAsia="宋体" w:cs="宋体"/>
          <w:b/>
          <w:sz w:val="24"/>
          <w:szCs w:val="24"/>
        </w:rPr>
        <w:t>11.5 竣工清场</w:t>
      </w:r>
      <w:bookmarkEnd w:id="237"/>
      <w:bookmarkEnd w:id="238"/>
      <w:bookmarkEnd w:id="239"/>
      <w:bookmarkEnd w:id="240"/>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除合同另有约定外，工程接收证书颁发后，承包人应对施工场地进行清理，直至监理人检验合格为止。竣工清场费用由承包人承担。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41" w:name="_Toc184635116"/>
      <w:bookmarkStart w:id="242" w:name="_Toc296602562"/>
      <w:bookmarkStart w:id="243" w:name="_Toc246997059"/>
      <w:bookmarkStart w:id="244" w:name="_Toc247085831"/>
      <w:bookmarkStart w:id="245" w:name="_Toc246996316"/>
      <w:r>
        <w:rPr>
          <w:rFonts w:hint="eastAsia" w:ascii="宋体" w:hAnsi="宋体" w:eastAsia="宋体" w:cs="宋体"/>
          <w:b/>
          <w:sz w:val="24"/>
          <w:szCs w:val="24"/>
        </w:rPr>
        <w:t>12. 缺陷责任与保修责任</w:t>
      </w:r>
      <w:bookmarkEnd w:id="241"/>
      <w:bookmarkEnd w:id="242"/>
      <w:bookmarkEnd w:id="243"/>
      <w:bookmarkEnd w:id="244"/>
      <w:bookmarkEnd w:id="245"/>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46" w:name="_Toc296602563"/>
      <w:bookmarkStart w:id="247" w:name="_Toc246997060"/>
      <w:bookmarkStart w:id="248" w:name="_Toc246996317"/>
      <w:bookmarkStart w:id="249" w:name="_Toc247085832"/>
      <w:r>
        <w:rPr>
          <w:rFonts w:hint="eastAsia" w:ascii="宋体" w:hAnsi="宋体" w:eastAsia="宋体" w:cs="宋体"/>
          <w:b/>
          <w:sz w:val="24"/>
          <w:szCs w:val="24"/>
        </w:rPr>
        <w:t>12.1 缺陷责任</w:t>
      </w:r>
      <w:bookmarkEnd w:id="246"/>
      <w:bookmarkEnd w:id="247"/>
      <w:bookmarkEnd w:id="248"/>
      <w:bookmarkEnd w:id="249"/>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缺陷责任自实际竣工日期起计算。在缺陷责任期内，已交付的工程由于承包人的材料、设备或工艺不符合合同要求所产生的缺陷，修补费用由承包人承担。由于承包人原因造成某项缺陷或损坏使某项工程或工程设备不能按原定目标使用而需要再次检查、检验和修复的，发包人有权要求承包人相应延长缺陷责任期，但缺陷责任期最长不超过2年。</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50" w:name="_Toc296602564"/>
      <w:bookmarkStart w:id="251" w:name="_Toc246997061"/>
      <w:bookmarkStart w:id="252" w:name="_Toc246996318"/>
      <w:bookmarkStart w:id="253" w:name="_Toc247085833"/>
      <w:r>
        <w:rPr>
          <w:rFonts w:hint="eastAsia" w:ascii="宋体" w:hAnsi="宋体" w:eastAsia="宋体" w:cs="宋体"/>
          <w:b/>
          <w:sz w:val="24"/>
          <w:szCs w:val="24"/>
        </w:rPr>
        <w:t>12.2 保修责任</w:t>
      </w:r>
      <w:bookmarkEnd w:id="250"/>
      <w:bookmarkEnd w:id="251"/>
      <w:bookmarkEnd w:id="252"/>
      <w:bookmarkEnd w:id="253"/>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合同当事人根据有关法律规定，在专用合同条款中约定工程质量保修范围、期限和责任。保修期自实际竣工日期起计算。</w:t>
      </w:r>
      <w:bookmarkStart w:id="254" w:name="_Toc184635117"/>
      <w:bookmarkStart w:id="255" w:name="_Toc247085834"/>
      <w:bookmarkStart w:id="256" w:name="_Toc246997062"/>
      <w:bookmarkStart w:id="257" w:name="_Toc246996319"/>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58" w:name="_Toc296602565"/>
      <w:r>
        <w:rPr>
          <w:rFonts w:hint="eastAsia" w:ascii="宋体" w:hAnsi="宋体" w:eastAsia="宋体" w:cs="宋体"/>
          <w:b/>
          <w:sz w:val="24"/>
          <w:szCs w:val="24"/>
        </w:rPr>
        <w:t>13. 保险</w:t>
      </w:r>
      <w:bookmarkEnd w:id="254"/>
      <w:bookmarkEnd w:id="255"/>
      <w:bookmarkEnd w:id="256"/>
      <w:bookmarkEnd w:id="257"/>
      <w:bookmarkEnd w:id="258"/>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59" w:name="_Toc246996320"/>
      <w:bookmarkStart w:id="260" w:name="_Toc296602566"/>
      <w:bookmarkStart w:id="261" w:name="_Toc247085835"/>
      <w:bookmarkStart w:id="262" w:name="_Toc246997063"/>
      <w:r>
        <w:rPr>
          <w:rFonts w:hint="eastAsia" w:ascii="宋体" w:hAnsi="宋体" w:eastAsia="宋体" w:cs="宋体"/>
          <w:b/>
          <w:sz w:val="24"/>
          <w:szCs w:val="24"/>
        </w:rPr>
        <w:t>13.1 保险范围</w:t>
      </w:r>
      <w:bookmarkEnd w:id="259"/>
      <w:bookmarkEnd w:id="260"/>
      <w:bookmarkEnd w:id="261"/>
      <w:bookmarkEnd w:id="26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13.1.1承包人按照专用合同条款的约定向双方同意的保险人投保建筑工程一切险或安装工程一切险等保险。具体的投保险种、保险范围、保险金额、保险费率、保险期限等有关内容应当在专用合同条款中明确约定。</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13.1.2承包人应依照有关法律规定参加工伤保险和人身意外伤害险，为其履行合同所雇佣的全部人员，缴纳工伤保险费和人身意外伤害险费。</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13.1.3发包人应依照有关法律规定参加工伤保险和人身意外伤害险，为其现场机构雇佣的全部人员，缴纳工伤保险费和人身意外伤害险费，并要求其监理人也进行此类保险。</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263" w:name="_Toc246996321"/>
      <w:bookmarkStart w:id="264" w:name="_Toc246997064"/>
      <w:bookmarkStart w:id="265" w:name="_Toc247085836"/>
      <w:r>
        <w:rPr>
          <w:rFonts w:hint="eastAsia" w:ascii="宋体" w:hAnsi="宋体" w:eastAsia="宋体" w:cs="宋体"/>
          <w:sz w:val="24"/>
          <w:szCs w:val="24"/>
        </w:rPr>
        <w:t xml:space="preserve"> </w:t>
      </w:r>
      <w:bookmarkStart w:id="266" w:name="_Toc296602567"/>
      <w:bookmarkStart w:id="267" w:name="_Toc450569923"/>
      <w:r>
        <w:rPr>
          <w:rFonts w:hint="eastAsia" w:ascii="宋体" w:hAnsi="宋体" w:eastAsia="宋体" w:cs="宋体"/>
          <w:sz w:val="24"/>
          <w:szCs w:val="24"/>
        </w:rPr>
        <w:t>13.2 未办理保险</w:t>
      </w:r>
      <w:bookmarkEnd w:id="263"/>
      <w:bookmarkEnd w:id="264"/>
      <w:bookmarkEnd w:id="265"/>
      <w:bookmarkEnd w:id="266"/>
      <w:bookmarkEnd w:id="26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bookmarkStart w:id="268" w:name="_Toc184635118"/>
      <w:r>
        <w:rPr>
          <w:rFonts w:hint="eastAsia" w:ascii="宋体" w:hAnsi="宋体" w:eastAsia="宋体" w:cs="宋体"/>
          <w:sz w:val="24"/>
          <w:szCs w:val="24"/>
        </w:rPr>
        <w:t>13.2.1由于负有投保义务的一方当事人未按合同约定办理保险，或未能使保险持续有效的，另一方当事人可代为办理，所需费用由对方当事人承担。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13.2.2由于负有投保义务的一方当事人未按合同约定办理某项保险，导致受益人未能得到保险人的赔偿，原应从该项保险得到的保险金应由负有投保义务的一方当事人支付。</w:t>
      </w:r>
    </w:p>
    <w:bookmarkEnd w:id="268"/>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69" w:name="_Toc247514180"/>
      <w:bookmarkStart w:id="270" w:name="_Toc296602568"/>
      <w:bookmarkStart w:id="271" w:name="_Toc247527781"/>
      <w:bookmarkStart w:id="272" w:name="_Toc271821895"/>
      <w:bookmarkStart w:id="273" w:name="_Toc246997065"/>
      <w:bookmarkStart w:id="274" w:name="_Toc247085837"/>
      <w:bookmarkStart w:id="275" w:name="_Toc184635119"/>
      <w:bookmarkStart w:id="276" w:name="_Toc246996322"/>
      <w:r>
        <w:rPr>
          <w:rFonts w:hint="eastAsia" w:ascii="宋体" w:hAnsi="宋体" w:eastAsia="宋体" w:cs="宋体"/>
          <w:b/>
          <w:sz w:val="24"/>
          <w:szCs w:val="24"/>
        </w:rPr>
        <w:t>14. 不可抗力</w:t>
      </w:r>
      <w:bookmarkEnd w:id="269"/>
      <w:bookmarkEnd w:id="270"/>
      <w:bookmarkEnd w:id="271"/>
      <w:bookmarkEnd w:id="272"/>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277" w:name="_Toc450569924"/>
      <w:bookmarkStart w:id="278" w:name="_Toc296602569"/>
      <w:bookmarkStart w:id="279" w:name="_Toc271821896"/>
      <w:bookmarkStart w:id="280" w:name="_Toc247514181"/>
      <w:bookmarkStart w:id="281" w:name="_Toc247527782"/>
      <w:r>
        <w:rPr>
          <w:rFonts w:hint="eastAsia" w:ascii="宋体" w:hAnsi="宋体" w:eastAsia="宋体" w:cs="宋体"/>
          <w:sz w:val="24"/>
          <w:szCs w:val="24"/>
        </w:rPr>
        <w:t>14.1 不可抗力的确认</w:t>
      </w:r>
      <w:bookmarkEnd w:id="277"/>
      <w:bookmarkEnd w:id="278"/>
      <w:bookmarkEnd w:id="279"/>
      <w:bookmarkEnd w:id="280"/>
      <w:bookmarkEnd w:id="28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14.1.1 不可抗力是指承包人和发包人在订立合同时不可预见，在履行合同过程中不可避免发生并不能克服的自然灾害和社会性突发事件，如地震、海啸、瘟疫、水灾、骚乱、暴动、战争和专用合同条款约定的其他情形。</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14.1.2 不可抗力发生后，发包人和承包人应及时认真统计所造成的损失，收集不可抗力造成损失的证据。合同双方对是否属于不可抗力或其损失的意见不一致的，由监理人按第3.5 款商定或确定。发生争议时，按第17条的约定执行。</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282" w:name="_Toc247527783"/>
      <w:bookmarkStart w:id="283" w:name="_Toc296602570"/>
      <w:bookmarkStart w:id="284" w:name="_Toc450569925"/>
      <w:bookmarkStart w:id="285" w:name="_Toc271821897"/>
      <w:bookmarkStart w:id="286" w:name="_Toc247514182"/>
      <w:r>
        <w:rPr>
          <w:rFonts w:hint="eastAsia" w:ascii="宋体" w:hAnsi="宋体" w:eastAsia="宋体" w:cs="宋体"/>
          <w:sz w:val="24"/>
          <w:szCs w:val="24"/>
        </w:rPr>
        <w:t>14.2 不可抗力的通知</w:t>
      </w:r>
      <w:bookmarkEnd w:id="282"/>
      <w:bookmarkEnd w:id="283"/>
      <w:bookmarkEnd w:id="284"/>
      <w:bookmarkEnd w:id="285"/>
      <w:bookmarkEnd w:id="28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合同一方当事人遇到不可抗力事件，使其履行合同义务受到阻碍时，应立即通知合同另一方当事人和监理人，书面说明不可抗力和受阻碍的详细情况，并提供必要的证明。如不可抗力持续发生，合同一方当事人应及时向合同另一方当事人和监理人提交中间报告，说明不可抗力和履行合同受阻的情况，并于不可抗力事件结束后14天内提交最终报告及有关资料。</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287" w:name="_Toc247527784"/>
      <w:bookmarkStart w:id="288" w:name="_Toc450569926"/>
      <w:bookmarkStart w:id="289" w:name="_Toc271821898"/>
      <w:bookmarkStart w:id="290" w:name="_Toc296602571"/>
      <w:bookmarkStart w:id="291" w:name="_Toc247514183"/>
      <w:r>
        <w:rPr>
          <w:rFonts w:hint="eastAsia" w:ascii="宋体" w:hAnsi="宋体" w:eastAsia="宋体" w:cs="宋体"/>
          <w:sz w:val="24"/>
          <w:szCs w:val="24"/>
        </w:rPr>
        <w:t>14.3 不可抗力后果及其处理</w:t>
      </w:r>
      <w:bookmarkEnd w:id="287"/>
      <w:bookmarkEnd w:id="288"/>
      <w:bookmarkEnd w:id="289"/>
      <w:bookmarkEnd w:id="290"/>
      <w:bookmarkEnd w:id="29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除专用合同条款另有约定外，不可抗力导致的人员伤亡、财产损失、费用增加和（或）工期延误等后果，由合同双方按以下原则承担：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（1）永久工程，包括已运至施工场地的材料和工程设备的损害，以及因工程损害造成的第三者人员伤亡和财产损失由发包人承担；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（2）承包人设备的损坏由承包人承担；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（3）发包人和承包人各自承担其人员伤亡和其他财产损失及其相关费用；</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（4）承包人的停工损失由承包人承担，但停工期间应监理人要求照管工程和清理、修复工程的金额由发包人承担；</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（5）不能按期竣工的，应合理延长工期，承包人不需支付逾期竣工违约金。发包人要求赶工的，承包人应采取赶工措施，赶工费用由发包人承担。</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292" w:name="_Toc296602572"/>
      <w:r>
        <w:rPr>
          <w:rFonts w:hint="eastAsia" w:ascii="宋体" w:hAnsi="宋体" w:eastAsia="宋体" w:cs="宋体"/>
          <w:b/>
          <w:sz w:val="24"/>
          <w:szCs w:val="24"/>
        </w:rPr>
        <w:t>15. 违约</w:t>
      </w:r>
      <w:bookmarkEnd w:id="273"/>
      <w:bookmarkEnd w:id="274"/>
      <w:bookmarkEnd w:id="275"/>
      <w:bookmarkEnd w:id="276"/>
      <w:bookmarkEnd w:id="292"/>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293" w:name="_Toc247085838"/>
      <w:bookmarkStart w:id="294" w:name="_Toc246997066"/>
      <w:bookmarkStart w:id="295" w:name="_Toc450569927"/>
      <w:bookmarkStart w:id="296" w:name="_Toc246996323"/>
      <w:bookmarkStart w:id="297" w:name="_Toc296602573"/>
      <w:r>
        <w:rPr>
          <w:rFonts w:hint="eastAsia" w:ascii="宋体" w:hAnsi="宋体" w:eastAsia="宋体" w:cs="宋体"/>
          <w:sz w:val="24"/>
          <w:szCs w:val="24"/>
        </w:rPr>
        <w:t>15.1 承包人违约</w:t>
      </w:r>
      <w:bookmarkEnd w:id="293"/>
      <w:bookmarkEnd w:id="294"/>
      <w:bookmarkEnd w:id="295"/>
      <w:bookmarkEnd w:id="296"/>
      <w:bookmarkEnd w:id="29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15.1.1 如果承包人拒绝或未能遵守监理人的指示，或未能按合同进度计划及时完成合同约定的工作，已造成或预期造成工期延误，或违反合同不顾书面警告，监理人可发出通知，告知承包人违约。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15.1.2 如果承包人在收到监理人通知后21天内，没有采取可行的措施纠正违约，发包人可向承包人发出解除合同通知。发包人因继续完成该工程的需要，有权扣留使用承包人在现场的材料、设备和临时设施。但发包人的这一行动不免除承包人应承担的违约责任，也不影响发包人根据合同约定享有的索赔权利。</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298" w:name="_Toc247085839"/>
      <w:bookmarkStart w:id="299" w:name="_Toc246996324"/>
      <w:bookmarkStart w:id="300" w:name="_Toc450569928"/>
      <w:bookmarkStart w:id="301" w:name="_Toc246997067"/>
      <w:bookmarkStart w:id="302" w:name="_Toc296602574"/>
      <w:r>
        <w:rPr>
          <w:rFonts w:hint="eastAsia" w:ascii="宋体" w:hAnsi="宋体" w:eastAsia="宋体" w:cs="宋体"/>
          <w:sz w:val="24"/>
          <w:szCs w:val="24"/>
        </w:rPr>
        <w:t>15.2 发包人违约</w:t>
      </w:r>
      <w:bookmarkEnd w:id="298"/>
      <w:bookmarkEnd w:id="299"/>
      <w:bookmarkEnd w:id="300"/>
      <w:bookmarkEnd w:id="301"/>
      <w:bookmarkEnd w:id="30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15.2.1 如果发包人未能按合同付款，或违反合同不顾书面警告，承包人可发出通知，告知发包人违约。如果发包人在收到该通知后14天内未纠正违约，承包人可暂停工作或放慢工作进度。</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15.2.2 如果发包人收到承包人通知后28内未纠正违约，承包人可向发包人发出解除合同通知。合同解除后，承包人应妥善做好已竣工工程和已购材料、设备的保护和移交工作，按发包人要求将承包人设备和人员撤出施工场地，同时发包人应为承包人的撤出提供必要条件，但承包人的这一行动不免除发包人应承担的违约责任，也不影响承包人根据合同约定享有的索赔权利。</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03" w:name="_Toc184635120"/>
      <w:bookmarkStart w:id="304" w:name="_Toc247085841"/>
      <w:bookmarkStart w:id="305" w:name="_Toc246996326"/>
      <w:bookmarkStart w:id="306" w:name="_Toc296602575"/>
      <w:bookmarkStart w:id="307" w:name="_Toc246997069"/>
      <w:r>
        <w:rPr>
          <w:rFonts w:hint="eastAsia" w:ascii="宋体" w:hAnsi="宋体" w:eastAsia="宋体" w:cs="宋体"/>
          <w:b/>
          <w:sz w:val="24"/>
          <w:szCs w:val="24"/>
        </w:rPr>
        <w:t>16. 索赔</w:t>
      </w:r>
      <w:bookmarkEnd w:id="303"/>
      <w:bookmarkEnd w:id="304"/>
      <w:bookmarkEnd w:id="305"/>
      <w:bookmarkEnd w:id="306"/>
      <w:bookmarkEnd w:id="307"/>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08" w:name="_Toc246997070"/>
      <w:bookmarkStart w:id="309" w:name="_Toc296602576"/>
      <w:bookmarkStart w:id="310" w:name="_Toc247085842"/>
      <w:bookmarkStart w:id="311" w:name="_Toc450569929"/>
      <w:bookmarkStart w:id="312" w:name="_Toc246996327"/>
      <w:r>
        <w:rPr>
          <w:rFonts w:hint="eastAsia" w:ascii="宋体" w:hAnsi="宋体" w:eastAsia="宋体" w:cs="宋体"/>
          <w:sz w:val="24"/>
          <w:szCs w:val="24"/>
        </w:rPr>
        <w:t>16.1 承包人索赔的提出</w:t>
      </w:r>
      <w:bookmarkEnd w:id="308"/>
      <w:bookmarkEnd w:id="309"/>
      <w:bookmarkEnd w:id="310"/>
      <w:bookmarkEnd w:id="311"/>
      <w:bookmarkEnd w:id="31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根据合同约定，承包人认为有权得到追加付款和（或）延长工期的，应按以下程序向发包人提出索赔：</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（l）承包人应在知道或应当知道索赔事件发生后14天内，向监理人递交索赔通知书。索赔通知书应详细说明索赔理由以及要求追加的付款金额和（或）延长的工期，并附必要的记录和证明材料； </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（2）索赔事件具有连续影响的，承包人应在索赔事件影响结束后的14天内，向监理人递交最终索赔通知书，说明最终要求索赔的追加付款金额和延长的工期，并附必要的记录和证明材料；</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（3）承包人未在前述14天内递交索赔通知书的，丧失要求追加付款和（或）延长工期的权利。</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13" w:name="_Toc296602577"/>
      <w:bookmarkStart w:id="314" w:name="_Toc246996328"/>
      <w:bookmarkStart w:id="315" w:name="_Toc247085843"/>
      <w:bookmarkStart w:id="316" w:name="_Toc246997071"/>
      <w:bookmarkStart w:id="317" w:name="_Toc450569930"/>
      <w:r>
        <w:rPr>
          <w:rFonts w:hint="eastAsia" w:ascii="宋体" w:hAnsi="宋体" w:eastAsia="宋体" w:cs="宋体"/>
          <w:sz w:val="24"/>
          <w:szCs w:val="24"/>
        </w:rPr>
        <w:t>16.2 承包人索赔处理程序</w:t>
      </w:r>
      <w:bookmarkEnd w:id="313"/>
      <w:bookmarkEnd w:id="314"/>
      <w:bookmarkEnd w:id="315"/>
      <w:bookmarkEnd w:id="316"/>
      <w:bookmarkEnd w:id="317"/>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（1）监理人收到承包人提交的索赔通知书后，应按第3.5 款商定或确定追加的付款和（或）延长的工期，并在收到上述索赔通知书或有关索赔的进一步证明材料后的14天内，将索赔处理结果答复承包人。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（2）承包人接受索赔处理结果的，发包人应在作出索赔处理结果答复后14天内完成赔付。承包人不接受索赔处理结果的，按第17条的约定执行。</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18" w:name="_Toc246996329"/>
      <w:bookmarkStart w:id="319" w:name="_Toc246997072"/>
      <w:bookmarkStart w:id="320" w:name="_Toc247085844"/>
      <w:bookmarkStart w:id="321" w:name="_Toc296602578"/>
      <w:bookmarkStart w:id="322" w:name="_Toc450569931"/>
      <w:r>
        <w:rPr>
          <w:rFonts w:hint="eastAsia" w:ascii="宋体" w:hAnsi="宋体" w:eastAsia="宋体" w:cs="宋体"/>
          <w:sz w:val="24"/>
          <w:szCs w:val="24"/>
        </w:rPr>
        <w:t>16.3 承包人提出索赔的期限</w:t>
      </w:r>
      <w:bookmarkEnd w:id="318"/>
      <w:bookmarkEnd w:id="319"/>
      <w:bookmarkEnd w:id="320"/>
      <w:bookmarkEnd w:id="321"/>
      <w:bookmarkEnd w:id="322"/>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承包人按第10.5 款的约定接受了竣工付款证书后，应被认为已无权再提出在合同工程接收证书颁发前所发生的任何索赔。</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23" w:name="_Toc296602579"/>
      <w:bookmarkStart w:id="324" w:name="_Toc450569932"/>
      <w:r>
        <w:rPr>
          <w:rFonts w:hint="eastAsia" w:ascii="宋体" w:hAnsi="宋体" w:eastAsia="宋体" w:cs="宋体"/>
          <w:sz w:val="24"/>
          <w:szCs w:val="24"/>
        </w:rPr>
        <w:t>16.4 发包人索赔的提出</w:t>
      </w:r>
      <w:bookmarkEnd w:id="323"/>
      <w:bookmarkEnd w:id="324"/>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根据合同约定，发包人认为有权得到追加付款和（或）延长工期的，应按以下程序向承包人提出索赔：</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（l）监理人应在知道或应当知道索赔事件发生后14天内，向承包人递交索赔通知书。索赔通知书应详细说明索赔理由以及要求追加的付款金额和（或）延长的工期，并附必要的记录和证明材料； </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（2）索赔事件具有连续影响的，监理人应在索赔事件影响结束后的14天内，向承包人递交最终索赔通知书，说明最终要求索赔的追加付款金额和延长的工期，并附必要的记录和证明材料。</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25" w:name="_Toc450569933"/>
      <w:bookmarkStart w:id="326" w:name="_Toc296602580"/>
      <w:r>
        <w:rPr>
          <w:rFonts w:hint="eastAsia" w:ascii="宋体" w:hAnsi="宋体" w:eastAsia="宋体" w:cs="宋体"/>
          <w:sz w:val="24"/>
          <w:szCs w:val="24"/>
        </w:rPr>
        <w:t>16.5 发包人索赔处理程序</w:t>
      </w:r>
      <w:bookmarkEnd w:id="325"/>
      <w:bookmarkEnd w:id="32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（1）承包人收到监理人提交的索赔通知书后，应按第3.5 款商定或确定追加的付款和（或）延长的工期，并在收到上述索赔通知书或有关索赔的进一步证明材料后的14天内，将索赔处理结果答复监理人。</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（2）监理人接受索赔处理结果的，承包人应在作出索赔处理结果答复后14天内完成赔付。监理人不接受索赔处理结果的，按第17条的约定执行。</w:t>
      </w:r>
    </w:p>
    <w:p>
      <w:pPr>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24"/>
          <w:szCs w:val="24"/>
        </w:rPr>
      </w:pPr>
      <w:bookmarkStart w:id="327" w:name="_Toc296602581"/>
      <w:bookmarkStart w:id="328" w:name="_Toc247085846"/>
      <w:bookmarkStart w:id="329" w:name="_Toc246996331"/>
      <w:bookmarkStart w:id="330" w:name="_Toc184635121"/>
      <w:bookmarkStart w:id="331" w:name="_Toc246997074"/>
      <w:r>
        <w:rPr>
          <w:rFonts w:hint="eastAsia" w:ascii="宋体" w:hAnsi="宋体" w:eastAsia="宋体" w:cs="宋体"/>
          <w:b/>
          <w:sz w:val="24"/>
          <w:szCs w:val="24"/>
        </w:rPr>
        <w:t>17. 争议的解决</w:t>
      </w:r>
      <w:bookmarkEnd w:id="327"/>
      <w:bookmarkEnd w:id="328"/>
      <w:bookmarkEnd w:id="329"/>
      <w:bookmarkEnd w:id="330"/>
      <w:bookmarkEnd w:id="331"/>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32" w:name="_Toc247085847"/>
      <w:bookmarkStart w:id="333" w:name="_Toc296602582"/>
      <w:bookmarkStart w:id="334" w:name="_Toc246996332"/>
      <w:bookmarkStart w:id="335" w:name="_Toc246997075"/>
      <w:bookmarkStart w:id="336" w:name="_Toc450569934"/>
      <w:r>
        <w:rPr>
          <w:rFonts w:hint="eastAsia" w:ascii="宋体" w:hAnsi="宋体" w:eastAsia="宋体" w:cs="宋体"/>
          <w:sz w:val="24"/>
          <w:szCs w:val="24"/>
        </w:rPr>
        <w:t>17.1 争议的解决方式</w:t>
      </w:r>
      <w:bookmarkEnd w:id="332"/>
      <w:bookmarkEnd w:id="333"/>
      <w:bookmarkEnd w:id="334"/>
      <w:bookmarkEnd w:id="335"/>
      <w:bookmarkEnd w:id="33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（l）向约定的仲裁委员会申请仲裁；</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（2）向有管辖权的人民法院提起诉讼。</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37" w:name="_Toc296602583"/>
      <w:bookmarkStart w:id="338" w:name="_Toc246996333"/>
      <w:bookmarkStart w:id="339" w:name="_Toc450569935"/>
      <w:bookmarkStart w:id="340" w:name="_Toc246997076"/>
      <w:bookmarkStart w:id="341" w:name="_Toc247085848"/>
      <w:r>
        <w:rPr>
          <w:rFonts w:hint="eastAsia" w:ascii="宋体" w:hAnsi="宋体" w:eastAsia="宋体" w:cs="宋体"/>
          <w:sz w:val="24"/>
          <w:szCs w:val="24"/>
        </w:rPr>
        <w:t>17.2 友好解决</w:t>
      </w:r>
      <w:bookmarkEnd w:id="337"/>
      <w:bookmarkEnd w:id="338"/>
      <w:bookmarkEnd w:id="339"/>
      <w:bookmarkEnd w:id="340"/>
      <w:bookmarkEnd w:id="341"/>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在提请争议评审、仲裁或者诉讼前，以及在争议评审、仲裁或诉讼过程中，发包人和承包人均可共同努力友好协商解决争议。</w:t>
      </w:r>
    </w:p>
    <w:p>
      <w:pPr>
        <w:pStyle w:val="5"/>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bookmarkStart w:id="342" w:name="_Toc246996334"/>
      <w:bookmarkStart w:id="343" w:name="_Toc450569936"/>
      <w:bookmarkStart w:id="344" w:name="_Toc246997077"/>
      <w:bookmarkStart w:id="345" w:name="_Toc296602584"/>
      <w:bookmarkStart w:id="346" w:name="_Toc247085849"/>
      <w:r>
        <w:rPr>
          <w:rFonts w:hint="eastAsia" w:ascii="宋体" w:hAnsi="宋体" w:eastAsia="宋体" w:cs="宋体"/>
          <w:sz w:val="24"/>
          <w:szCs w:val="24"/>
        </w:rPr>
        <w:t>17.3 争议评审</w:t>
      </w:r>
      <w:bookmarkEnd w:id="342"/>
      <w:bookmarkEnd w:id="343"/>
      <w:bookmarkEnd w:id="344"/>
      <w:bookmarkEnd w:id="345"/>
      <w:bookmarkEnd w:id="346"/>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17.3.1 采用争议评审的，发包人和承包人应当在专用合同条款中约定争议评审的程序和规则，并在开工日后的28天内或在争议发生后，协商成立争议评审组。</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17.3.2 发包人和承包人接受评审意见的，由监理人根据评审意见拟定执行协议，经争议双方签字后作为合同的补充文件，并遵照执行。</w:t>
      </w:r>
    </w:p>
    <w:p>
      <w:pPr>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17.3.3 发包人或承包人不接受评审意见，并要求提交仲裁或提起诉讼的，应在收到评审意见后的14 天内将仲裁或起诉意向书面通知另一方，并抄送监理人，但在仲裁或诉讼结束前应暂按总监理工程师的确定执行。</w:t>
      </w: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outlineLvl w:val="0"/>
        <w:rPr>
          <w:rFonts w:ascii="宋体" w:hAnsi="宋体"/>
          <w:sz w:val="24"/>
        </w:rPr>
      </w:pPr>
    </w:p>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bookmarkEnd w:id="7"/>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lang w:bidi="ar"/>
        </w:rPr>
      </w:pPr>
      <w:r>
        <w:rPr>
          <w:rFonts w:hint="eastAsia" w:ascii="宋体" w:hAnsi="宋体" w:cs="宋体"/>
          <w:b/>
          <w:color w:val="000000"/>
          <w:sz w:val="28"/>
          <w:szCs w:val="28"/>
          <w:lang w:bidi="ar"/>
        </w:rPr>
        <w:t xml:space="preserve">                          </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lang w:bidi="ar"/>
        </w:rPr>
        <w:t xml:space="preserve">                               注:投标文件标明</w:t>
      </w:r>
      <w:r>
        <w:rPr>
          <w:rFonts w:hint="eastAsia" w:ascii="宋体" w:hAnsi="宋体" w:cs="宋体"/>
          <w:b/>
          <w:color w:val="000000"/>
          <w:sz w:val="28"/>
          <w:szCs w:val="28"/>
          <w:u w:val="single"/>
          <w:lang w:bidi="ar"/>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lang w:bidi="ar"/>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采购项目名称: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采购项目编号:</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投标单位名称:</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地        址:</w:t>
      </w:r>
      <w:r>
        <w:rPr>
          <w:rFonts w:hint="eastAsia" w:ascii="宋体" w:hAnsi="宋体" w:cs="宋体"/>
          <w:bCs/>
          <w:color w:val="000000"/>
          <w:sz w:val="28"/>
          <w:szCs w:val="28"/>
          <w:u w:val="single"/>
          <w:lang w:bidi="ar"/>
        </w:rPr>
        <w:t xml:space="preserve">                                   </w:t>
      </w:r>
      <w:r>
        <w:rPr>
          <w:rFonts w:hint="eastAsia" w:ascii="宋体" w:hAnsi="宋体" w:cs="宋体"/>
          <w:bCs/>
          <w:color w:val="000000"/>
          <w:sz w:val="28"/>
          <w:szCs w:val="28"/>
          <w:u w:val="single"/>
          <w:lang w:bidi="ar"/>
        </w:rPr>
        <w:tab/>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lang w:bidi="ar"/>
        </w:rPr>
        <w:t>联   系   人:</w:t>
      </w:r>
      <w:r>
        <w:rPr>
          <w:rFonts w:hint="eastAsia" w:ascii="宋体" w:hAnsi="宋体" w:cs="宋体"/>
          <w:bCs/>
          <w:color w:val="000000"/>
          <w:sz w:val="28"/>
          <w:szCs w:val="28"/>
          <w:u w:val="single"/>
          <w:lang w:bidi="ar"/>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lang w:bidi="ar"/>
        </w:rPr>
        <w:t>联  系 电 话:</w:t>
      </w:r>
      <w:r>
        <w:rPr>
          <w:rFonts w:hint="eastAsia" w:ascii="宋体" w:hAnsi="宋体" w:cs="宋体"/>
          <w:bCs/>
          <w:color w:val="000000"/>
          <w:sz w:val="28"/>
          <w:szCs w:val="28"/>
          <w:u w:val="single"/>
          <w:lang w:bidi="ar"/>
        </w:rPr>
        <w:t xml:space="preserve">                                         </w:t>
      </w:r>
      <w:r>
        <w:rPr>
          <w:rFonts w:hint="eastAsia" w:ascii="宋体" w:hAnsi="宋体" w:cs="宋体"/>
          <w:b/>
          <w:color w:val="000000"/>
          <w:sz w:val="28"/>
          <w:szCs w:val="28"/>
          <w:u w:val="single"/>
          <w:lang w:bidi="ar"/>
        </w:rPr>
        <w:t xml:space="preserve"> </w:t>
      </w:r>
    </w:p>
    <w:p>
      <w:pPr>
        <w:pStyle w:val="8"/>
        <w:snapToGrid w:val="0"/>
        <w:spacing w:line="360" w:lineRule="auto"/>
        <w:ind w:firstLine="883" w:firstLineChars="275"/>
        <w:jc w:val="center"/>
        <w:rPr>
          <w:b/>
          <w:bCs/>
          <w:sz w:val="32"/>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  谈判响应声明函</w:t>
      </w:r>
    </w:p>
    <w:p>
      <w:pPr>
        <w:pStyle w:val="10"/>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w:t>
      </w:r>
      <w:r>
        <w:rPr>
          <w:rFonts w:hint="eastAsia" w:asciiTheme="minorEastAsia" w:hAnsiTheme="minorEastAsia" w:cstheme="minorEastAsia"/>
          <w:color w:val="000000"/>
          <w:sz w:val="24"/>
          <w:szCs w:val="24"/>
          <w:u w:val="single"/>
        </w:rPr>
        <w:t xml:space="preserve">     </w:t>
      </w:r>
      <w:r>
        <w:rPr>
          <w:rFonts w:hint="eastAsia" w:asciiTheme="minorEastAsia" w:hAnsiTheme="minorEastAsia" w:cstheme="minorEastAsia"/>
          <w:color w:val="000000"/>
          <w:sz w:val="24"/>
          <w:szCs w:val="24"/>
        </w:rPr>
        <w:t>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w:t>
      </w:r>
      <w:r>
        <w:rPr>
          <w:rFonts w:hint="eastAsia" w:asciiTheme="minorEastAsia" w:hAnsi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  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招标编号：__________</w:t>
      </w:r>
      <w:r>
        <w:rPr>
          <w:rFonts w:hint="eastAsia" w:asciiTheme="minorEastAsia" w:hAnsiTheme="minorEastAsia" w:cstheme="minorEastAsia"/>
          <w:color w:val="000000"/>
          <w:sz w:val="24"/>
          <w:szCs w:val="24"/>
          <w:u w:val="single"/>
        </w:rPr>
        <w:t xml:space="preserve">            </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招标项目名称：__________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价格单位：人民币万元</w:t>
      </w:r>
    </w:p>
    <w:tbl>
      <w:tblPr>
        <w:tblStyle w:val="18"/>
        <w:tblW w:w="7409"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工期</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3325" w:type="dxa"/>
          </w:tcPr>
          <w:p>
            <w:pPr>
              <w:rPr>
                <w:rFonts w:asciiTheme="minorEastAsia" w:hAnsiTheme="minorEastAsia" w:cstheme="minorEastAsia"/>
                <w:color w:val="000000"/>
                <w:sz w:val="24"/>
                <w:szCs w:val="24"/>
                <w:u w:val="single"/>
              </w:rPr>
            </w:pPr>
          </w:p>
        </w:tc>
        <w:tc>
          <w:tcPr>
            <w:tcW w:w="1982" w:type="dxa"/>
            <w:tcBorders>
              <w:right w:val="single" w:color="auto" w:sz="4" w:space="0"/>
            </w:tcBorders>
          </w:tcPr>
          <w:p>
            <w:pPr>
              <w:rPr>
                <w:rFonts w:asciiTheme="minorEastAsia" w:hAnsiTheme="minorEastAsia" w:cstheme="minorEastAsia"/>
                <w:color w:val="000000"/>
                <w:sz w:val="24"/>
                <w:szCs w:val="24"/>
                <w:u w:val="single"/>
              </w:rPr>
            </w:pPr>
          </w:p>
        </w:tc>
        <w:tc>
          <w:tcPr>
            <w:tcW w:w="2102" w:type="dxa"/>
            <w:tcBorders>
              <w:left w:val="single" w:color="auto" w:sz="4" w:space="0"/>
            </w:tcBorders>
          </w:tcPr>
          <w:p>
            <w:pPr>
              <w:rPr>
                <w:rFonts w:asciiTheme="minorEastAsia" w:hAnsiTheme="minorEastAsia" w:cstheme="minorEastAsia"/>
                <w:color w:val="000000"/>
                <w:sz w:val="24"/>
                <w:szCs w:val="24"/>
                <w:u w:val="single"/>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r>
        <w:rPr>
          <w:rFonts w:hint="eastAsia" w:asciiTheme="minorEastAsia" w:hAnsiTheme="minorEastAsia" w:cstheme="minorEastAsia"/>
          <w:color w:val="000000"/>
          <w:sz w:val="28"/>
          <w:szCs w:val="28"/>
        </w:rPr>
        <w:t xml:space="preserve">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autoSpaceDE w:val="0"/>
        <w:autoSpaceDN w:val="0"/>
        <w:adjustRightInd w:val="0"/>
        <w:spacing w:line="360" w:lineRule="auto"/>
        <w:rPr>
          <w:rFonts w:ascii="黑体"/>
          <w:sz w:val="36"/>
          <w:szCs w:val="36"/>
        </w:rPr>
      </w:pPr>
    </w:p>
    <w:p>
      <w:pPr>
        <w:pStyle w:val="4"/>
        <w:jc w:val="center"/>
        <w:rPr>
          <w:rFonts w:ascii="黑体"/>
          <w:sz w:val="36"/>
          <w:szCs w:val="36"/>
        </w:rPr>
      </w:pPr>
      <w:r>
        <w:rPr>
          <w:rFonts w:hint="eastAsia" w:ascii="黑体"/>
          <w:sz w:val="36"/>
          <w:szCs w:val="36"/>
          <w:lang w:eastAsia="zh-CN"/>
        </w:rPr>
        <w:t>三</w:t>
      </w:r>
      <w:r>
        <w:rPr>
          <w:rFonts w:hint="eastAsia" w:ascii="黑体"/>
          <w:sz w:val="36"/>
          <w:szCs w:val="36"/>
          <w:lang w:val="en-US" w:eastAsia="zh-CN"/>
        </w:rPr>
        <w:t xml:space="preserve">  </w:t>
      </w:r>
      <w:r>
        <w:rPr>
          <w:rFonts w:hint="eastAsia" w:ascii="黑体"/>
          <w:sz w:val="36"/>
          <w:szCs w:val="36"/>
          <w:lang w:eastAsia="zh-CN"/>
        </w:rPr>
        <w:t>分项</w:t>
      </w:r>
      <w:r>
        <w:rPr>
          <w:rFonts w:hint="eastAsia" w:ascii="黑体"/>
          <w:sz w:val="36"/>
          <w:szCs w:val="36"/>
        </w:rPr>
        <w:t>报价表</w:t>
      </w:r>
    </w:p>
    <w:p>
      <w:pPr>
        <w:spacing w:line="400" w:lineRule="exact"/>
        <w:ind w:firstLine="424" w:firstLineChars="177"/>
        <w:rPr>
          <w:rFonts w:hint="eastAsia" w:ascii="宋体" w:hAnsi="Arial" w:cs="宋体"/>
          <w:color w:val="000000"/>
          <w:sz w:val="24"/>
          <w:lang w:val="zh-CN"/>
        </w:rPr>
      </w:pPr>
      <w:r>
        <w:rPr>
          <w:rFonts w:hint="eastAsia" w:ascii="宋体" w:hAnsi="Arial" w:cs="宋体"/>
          <w:color w:val="000000"/>
          <w:sz w:val="24"/>
        </w:rPr>
        <w:t>具体格式与内容由谈判供应商根据</w:t>
      </w:r>
      <w:r>
        <w:rPr>
          <w:rFonts w:hint="eastAsia" w:ascii="宋体" w:hAnsi="Arial" w:cs="宋体"/>
          <w:color w:val="FF0000"/>
          <w:sz w:val="24"/>
        </w:rPr>
        <w:t>采购内容及要求</w:t>
      </w:r>
      <w:r>
        <w:rPr>
          <w:rFonts w:hint="eastAsia" w:ascii="宋体" w:hAnsi="Arial" w:cs="宋体"/>
          <w:color w:val="000000"/>
          <w:sz w:val="24"/>
        </w:rPr>
        <w:t>自行编制。</w:t>
      </w:r>
    </w:p>
    <w:p>
      <w:pPr>
        <w:spacing w:line="360" w:lineRule="auto"/>
        <w:jc w:val="center"/>
        <w:rPr>
          <w:rFonts w:hint="eastAsia" w:ascii="宋体" w:hAnsi="宋体"/>
          <w:b/>
          <w:sz w:val="32"/>
        </w:rPr>
      </w:pPr>
    </w:p>
    <w:p>
      <w:pPr>
        <w:spacing w:line="360" w:lineRule="auto"/>
        <w:ind w:left="69"/>
        <w:jc w:val="center"/>
        <w:rPr>
          <w:rFonts w:ascii="宋体" w:hAnsi="宋体"/>
          <w:sz w:val="27"/>
          <w:szCs w:val="27"/>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autoSpaceDE w:val="0"/>
        <w:autoSpaceDN w:val="0"/>
        <w:adjustRightInd w:val="0"/>
        <w:spacing w:line="360" w:lineRule="auto"/>
        <w:ind w:firstLine="2160" w:firstLineChars="600"/>
        <w:rPr>
          <w:rFonts w:ascii="黑体"/>
          <w:sz w:val="36"/>
          <w:szCs w:val="36"/>
        </w:rPr>
      </w:pPr>
    </w:p>
    <w:p>
      <w:pPr>
        <w:rPr>
          <w:rFonts w:hint="eastAsia" w:ascii="黑体"/>
          <w:sz w:val="36"/>
          <w:szCs w:val="36"/>
        </w:rPr>
      </w:pPr>
      <w:r>
        <w:rPr>
          <w:rFonts w:hint="eastAsia" w:ascii="黑体"/>
          <w:sz w:val="36"/>
          <w:szCs w:val="36"/>
        </w:rPr>
        <w:br w:type="page"/>
      </w:r>
    </w:p>
    <w:p>
      <w:pPr>
        <w:autoSpaceDE w:val="0"/>
        <w:autoSpaceDN w:val="0"/>
        <w:adjustRightInd w:val="0"/>
        <w:spacing w:line="360" w:lineRule="auto"/>
        <w:ind w:firstLine="2160" w:firstLineChars="600"/>
        <w:rPr>
          <w:rFonts w:ascii="宋体" w:hAnsi="宋体" w:eastAsia="宋体" w:cs="宋体"/>
          <w:b/>
          <w:bCs/>
          <w:color w:val="000000"/>
          <w:sz w:val="36"/>
          <w:szCs w:val="36"/>
          <w:lang w:val="zh-CN"/>
        </w:rPr>
      </w:pPr>
      <w:r>
        <w:rPr>
          <w:rFonts w:hint="eastAsia" w:ascii="黑体"/>
          <w:sz w:val="36"/>
          <w:szCs w:val="36"/>
        </w:rPr>
        <w:t xml:space="preserve">四  </w:t>
      </w:r>
      <w:r>
        <w:rPr>
          <w:rFonts w:hint="eastAsia" w:ascii="宋体" w:hAnsi="宋体" w:eastAsia="宋体" w:cs="宋体"/>
          <w:b/>
          <w:bCs/>
          <w:color w:val="000000"/>
          <w:sz w:val="36"/>
          <w:szCs w:val="36"/>
          <w:lang w:val="zh-CN"/>
        </w:rPr>
        <w:t>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10"/>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8"/>
        <w:tblW w:w="8309" w:type="dxa"/>
        <w:tblInd w:w="213" w:type="dxa"/>
        <w:tblLayout w:type="fixed"/>
        <w:tblCellMar>
          <w:top w:w="0" w:type="dxa"/>
          <w:left w:w="108" w:type="dxa"/>
          <w:bottom w:w="0" w:type="dxa"/>
          <w:right w:w="108" w:type="dxa"/>
        </w:tblCellMar>
      </w:tblPr>
      <w:tblGrid>
        <w:gridCol w:w="699"/>
        <w:gridCol w:w="1420"/>
        <w:gridCol w:w="1420"/>
        <w:gridCol w:w="1890"/>
        <w:gridCol w:w="1440"/>
        <w:gridCol w:w="1440"/>
      </w:tblGrid>
      <w:tr>
        <w:tblPrEx>
          <w:tblCellMar>
            <w:top w:w="0" w:type="dxa"/>
            <w:left w:w="108" w:type="dxa"/>
            <w:bottom w:w="0" w:type="dxa"/>
            <w:right w:w="108" w:type="dxa"/>
          </w:tblCellMar>
        </w:tblPrEx>
        <w:tc>
          <w:tcPr>
            <w:tcW w:w="6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4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品牌和型号</w:t>
            </w:r>
          </w:p>
        </w:tc>
        <w:tc>
          <w:tcPr>
            <w:tcW w:w="14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8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6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6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6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69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89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44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Style w:val="4"/>
        <w:numPr>
          <w:ilvl w:val="1"/>
          <w:numId w:val="0"/>
        </w:numPr>
        <w:jc w:val="center"/>
        <w:rPr>
          <w:rFonts w:ascii="宋体" w:hAnsi="宋体" w:eastAsia="宋体" w:cs="宋体"/>
          <w:b w:val="0"/>
          <w:bCs w:val="0"/>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pStyle w:val="10"/>
        <w:spacing w:line="360" w:lineRule="auto"/>
        <w:jc w:val="center"/>
        <w:rPr>
          <w:rFonts w:hAnsi="宋体"/>
          <w:b/>
          <w:color w:val="000000"/>
          <w:sz w:val="36"/>
          <w:szCs w:val="36"/>
        </w:rPr>
      </w:pPr>
      <w:r>
        <w:rPr>
          <w:rFonts w:hint="eastAsia" w:hAnsi="宋体"/>
          <w:b/>
          <w:color w:val="000000"/>
          <w:sz w:val="36"/>
          <w:szCs w:val="36"/>
        </w:rPr>
        <w:t>五  商务条款偏离表</w:t>
      </w:r>
    </w:p>
    <w:p>
      <w:pPr>
        <w:pStyle w:val="10"/>
        <w:spacing w:line="360" w:lineRule="auto"/>
        <w:rPr>
          <w:rFonts w:hAnsi="宋体"/>
          <w:color w:val="000000"/>
          <w:sz w:val="28"/>
          <w:szCs w:val="28"/>
        </w:rPr>
      </w:pPr>
      <w:r>
        <w:rPr>
          <w:rFonts w:hint="eastAsia" w:hAnsi="宋体"/>
          <w:color w:val="000000"/>
          <w:sz w:val="28"/>
          <w:szCs w:val="28"/>
        </w:rPr>
        <w:t xml:space="preserve">投标人名称：           </w:t>
      </w:r>
    </w:p>
    <w:p>
      <w:pPr>
        <w:pStyle w:val="10"/>
        <w:spacing w:line="360" w:lineRule="auto"/>
        <w:rPr>
          <w:rFonts w:hAnsi="宋体"/>
          <w:color w:val="000000"/>
          <w:sz w:val="28"/>
          <w:szCs w:val="28"/>
        </w:rPr>
      </w:pPr>
      <w:r>
        <w:rPr>
          <w:rFonts w:hint="eastAsia" w:hAnsi="宋体"/>
          <w:color w:val="000000"/>
          <w:sz w:val="28"/>
          <w:szCs w:val="28"/>
        </w:rPr>
        <w:t>招标编号：</w:t>
      </w:r>
    </w:p>
    <w:tbl>
      <w:tblPr>
        <w:tblStyle w:val="18"/>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10"/>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10"/>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2118" w:type="dxa"/>
          </w:tcPr>
          <w:p>
            <w:pPr>
              <w:pStyle w:val="10"/>
              <w:spacing w:line="400" w:lineRule="exact"/>
              <w:rPr>
                <w:rFonts w:hAnsi="宋体"/>
                <w:color w:val="000000"/>
                <w:sz w:val="28"/>
                <w:szCs w:val="28"/>
              </w:rPr>
            </w:pPr>
          </w:p>
        </w:tc>
        <w:tc>
          <w:tcPr>
            <w:tcW w:w="1245" w:type="dxa"/>
          </w:tcPr>
          <w:p>
            <w:pPr>
              <w:pStyle w:val="10"/>
              <w:spacing w:line="400" w:lineRule="exact"/>
              <w:rPr>
                <w:rFonts w:hAnsi="宋体"/>
                <w:color w:val="000000"/>
                <w:sz w:val="28"/>
                <w:szCs w:val="28"/>
              </w:rPr>
            </w:pPr>
          </w:p>
        </w:tc>
      </w:tr>
    </w:tbl>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jc w:val="center"/>
        <w:rPr>
          <w:rFonts w:hAnsi="宋体"/>
          <w:b/>
          <w:color w:val="000000"/>
          <w:sz w:val="28"/>
          <w:szCs w:val="28"/>
        </w:rPr>
      </w:pPr>
    </w:p>
    <w:p>
      <w:pPr>
        <w:pStyle w:val="10"/>
        <w:spacing w:line="360" w:lineRule="auto"/>
        <w:rPr>
          <w:rFonts w:hAnsi="宋体"/>
          <w:b/>
          <w:color w:val="000000"/>
          <w:sz w:val="28"/>
          <w:szCs w:val="28"/>
        </w:rPr>
      </w:pPr>
    </w:p>
    <w:p>
      <w:pPr>
        <w:pStyle w:val="10"/>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 xml:space="preserve">               投标单位（盖章）</w:t>
      </w:r>
    </w:p>
    <w:p>
      <w:pPr>
        <w:spacing w:line="360" w:lineRule="auto"/>
        <w:rPr>
          <w:rFonts w:ascii="宋体" w:hAnsi="宋体"/>
          <w:sz w:val="24"/>
        </w:rPr>
      </w:pPr>
    </w:p>
    <w:p>
      <w:pPr>
        <w:spacing w:line="360" w:lineRule="auto"/>
        <w:jc w:val="both"/>
        <w:rPr>
          <w:rFonts w:asciiTheme="minorEastAsia" w:hAnsiTheme="minorEastAsia" w:cstheme="minorEastAsia"/>
          <w:b/>
          <w:bCs/>
          <w:sz w:val="36"/>
          <w:szCs w:val="36"/>
        </w:rPr>
      </w:pPr>
      <w:r>
        <w:rPr>
          <w:rFonts w:asciiTheme="minorEastAsia" w:hAnsiTheme="minorEastAsia" w:cstheme="minorEastAsia"/>
          <w:b/>
          <w:bCs/>
          <w:sz w:val="36"/>
          <w:szCs w:val="36"/>
        </w:rPr>
        <w:br w:type="page"/>
      </w: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lang w:eastAsia="zh-CN"/>
        </w:rPr>
        <w:t>六</w:t>
      </w:r>
      <w:r>
        <w:rPr>
          <w:rFonts w:hint="eastAsia" w:asciiTheme="minorEastAsia" w:hAnsiTheme="minorEastAsia" w:cstheme="minorEastAsia"/>
          <w:b/>
          <w:bCs/>
          <w:sz w:val="36"/>
          <w:szCs w:val="36"/>
        </w:rPr>
        <w:t xml:space="preserve">  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 xml:space="preserve">铜仁市公共资源交易中心 </w:t>
      </w:r>
      <w:r>
        <w:rPr>
          <w:rFonts w:hint="eastAsia" w:asciiTheme="minorEastAsia" w:hAnsiTheme="minorEastAsia" w:cstheme="minorEastAsia"/>
          <w:sz w:val="24"/>
          <w:szCs w:val="24"/>
        </w:rPr>
        <w:t>：</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项目（项目编号</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1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性别：</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身份证号：</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单位：</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部门：</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职务：</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w:t>
      </w:r>
      <w:r>
        <w:rPr>
          <w:rFonts w:hint="eastAsia" w:asciiTheme="minorEastAsia" w:hAnsiTheme="minorEastAsia" w:cstheme="minorEastAsia"/>
          <w:b/>
          <w:bCs/>
          <w:sz w:val="24"/>
          <w:szCs w:val="24"/>
        </w:rPr>
        <w:t xml:space="preserve"> </w:t>
      </w:r>
      <w:r>
        <w:rPr>
          <w:rFonts w:hint="eastAsia" w:asciiTheme="minorEastAsia" w:hAnsiTheme="minorEastAsia" w:cstheme="minorEastAsia"/>
          <w:sz w:val="24"/>
          <w:szCs w:val="24"/>
        </w:rPr>
        <w:t>邮政编码:</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电话：</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r>
        <w:rPr>
          <w:rFonts w:hint="eastAsia" w:asciiTheme="minorEastAsia" w:hAnsiTheme="minorEastAsia" w:cstheme="minorEastAsia"/>
          <w:sz w:val="24"/>
          <w:szCs w:val="24"/>
          <w:u w:val="single"/>
        </w:rPr>
        <w:t xml:space="preserve">                    </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r>
        <w:rPr>
          <w:rFonts w:hint="eastAsia" w:asciiTheme="minorEastAsia" w:hAnsiTheme="minorEastAsia" w:cstheme="minorEastAsia"/>
          <w:sz w:val="24"/>
          <w:szCs w:val="24"/>
          <w:u w:val="single"/>
        </w:rPr>
        <w:t xml:space="preserve">                     </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r>
        <w:rPr>
          <w:rFonts w:hint="eastAsia" w:asciiTheme="minorEastAsia" w:hAnsiTheme="minorEastAsia" w:cstheme="minorEastAsia"/>
          <w:sz w:val="24"/>
          <w:szCs w:val="24"/>
          <w:u w:val="single"/>
        </w:rPr>
        <w:t xml:space="preserve">                </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r>
        <w:rPr>
          <w:rFonts w:hint="eastAsia" w:asciiTheme="minorEastAsia" w:hAnsiTheme="minorEastAsia" w:cstheme="minorEastAsia"/>
          <w:sz w:val="24"/>
          <w:szCs w:val="24"/>
          <w:u w:val="single"/>
        </w:rPr>
        <w:t xml:space="preserve">                     </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r>
        <w:rPr>
          <w:rFonts w:hint="eastAsia" w:asciiTheme="minorEastAsia" w:hAnsiTheme="minorEastAsia" w:cstheme="minorEastAsia"/>
          <w:b/>
          <w:sz w:val="28"/>
          <w:szCs w:val="28"/>
        </w:rPr>
        <w:t xml:space="preserve">    </w:t>
      </w:r>
    </w:p>
    <w:p>
      <w:pPr>
        <w:ind w:firstLine="2512" w:firstLineChars="695"/>
        <w:rPr>
          <w:rFonts w:asciiTheme="minorEastAsia" w:hAnsiTheme="minorEastAsia" w:cstheme="minorEastAsia"/>
          <w:b/>
          <w:sz w:val="36"/>
          <w:szCs w:val="36"/>
        </w:rPr>
      </w:pPr>
    </w:p>
    <w:p>
      <w:pPr>
        <w:ind w:firstLine="2512" w:firstLineChars="695"/>
        <w:rPr>
          <w:rFonts w:hint="eastAsia" w:asciiTheme="minorEastAsia" w:hAnsiTheme="minorEastAsia" w:eastAsiaTheme="minorEastAsia" w:cstheme="minorEastAsia"/>
          <w:b/>
          <w:sz w:val="36"/>
          <w:szCs w:val="36"/>
          <w:lang w:val="en-US" w:eastAsia="zh-CN"/>
        </w:rPr>
      </w:pPr>
      <w:r>
        <w:rPr>
          <w:rFonts w:hint="eastAsia" w:asciiTheme="minorEastAsia" w:hAnsiTheme="minorEastAsia" w:cstheme="minorEastAsia"/>
          <w:b/>
          <w:sz w:val="36"/>
          <w:szCs w:val="36"/>
          <w:lang w:eastAsia="zh-CN"/>
        </w:rPr>
        <w:t>七</w:t>
      </w:r>
      <w:r>
        <w:rPr>
          <w:rFonts w:hint="eastAsia" w:asciiTheme="minorEastAsia" w:hAnsiTheme="minorEastAsia" w:cstheme="minorEastAsia"/>
          <w:b/>
          <w:sz w:val="36"/>
          <w:szCs w:val="36"/>
          <w:lang w:val="en-US" w:eastAsia="zh-CN"/>
        </w:rPr>
        <w:t xml:space="preserve"> 资格声明及文件</w:t>
      </w:r>
    </w:p>
    <w:p>
      <w:pPr>
        <w:pStyle w:val="10"/>
        <w:spacing w:line="360" w:lineRule="auto"/>
        <w:ind w:firstLine="840" w:firstLineChars="300"/>
        <w:rPr>
          <w:rFonts w:asciiTheme="minorEastAsia" w:hAnsiTheme="minorEastAsia" w:cstheme="minorEastAsia"/>
          <w:color w:val="000000"/>
          <w:sz w:val="28"/>
          <w:szCs w:val="28"/>
        </w:rPr>
      </w:pPr>
    </w:p>
    <w:p>
      <w:pPr>
        <w:pStyle w:val="55"/>
        <w:spacing w:line="336" w:lineRule="auto"/>
        <w:ind w:right="84" w:rightChars="40" w:firstLine="480" w:firstLineChars="200"/>
        <w:rPr>
          <w:rFonts w:hint="eastAsia"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w:t>
      </w:r>
      <w:r>
        <w:rPr>
          <w:rFonts w:hint="eastAsia" w:asciiTheme="minorEastAsia" w:hAnsiTheme="minorEastAsia" w:cstheme="minorEastAsia"/>
          <w:color w:val="000000"/>
          <w:sz w:val="24"/>
          <w:szCs w:val="24"/>
        </w:rPr>
        <w:t>，本签字人愿意参加投标，</w:t>
      </w:r>
      <w:r>
        <w:rPr>
          <w:rFonts w:hint="eastAsia" w:ascii="宋体" w:hAnsi="宋体"/>
          <w:sz w:val="24"/>
          <w:szCs w:val="24"/>
        </w:rPr>
        <w:t>并声明截至开标日</w:t>
      </w:r>
      <w:r>
        <w:rPr>
          <w:rFonts w:hint="eastAsia" w:ascii="宋体" w:hAnsi="宋体"/>
          <w:sz w:val="24"/>
          <w:szCs w:val="24"/>
          <w:lang w:eastAsia="zh-CN"/>
        </w:rPr>
        <w:t>，</w:t>
      </w:r>
      <w:r>
        <w:rPr>
          <w:rFonts w:hint="eastAsia" w:ascii="宋体" w:hAnsi="宋体"/>
          <w:sz w:val="24"/>
          <w:szCs w:val="24"/>
        </w:rPr>
        <w:t>我方具备《中华人民共和国政府采购法》第二十二条所规定的条件，并已清楚采购文件的要求及有关文件规定。</w:t>
      </w:r>
      <w:r>
        <w:rPr>
          <w:rFonts w:hint="eastAsia" w:asciiTheme="minorEastAsia" w:hAnsiTheme="minorEastAsia" w:cstheme="minorEastAsia"/>
          <w:color w:val="000000"/>
          <w:sz w:val="24"/>
          <w:szCs w:val="24"/>
          <w:lang w:eastAsia="zh-CN"/>
        </w:rPr>
        <w:t>现</w:t>
      </w:r>
      <w:r>
        <w:rPr>
          <w:rFonts w:hint="eastAsia" w:asciiTheme="minorEastAsia" w:hAnsiTheme="minorEastAsia" w:cstheme="minorEastAsia"/>
          <w:color w:val="000000"/>
          <w:sz w:val="24"/>
          <w:szCs w:val="24"/>
        </w:rPr>
        <w:t>按</w:t>
      </w:r>
      <w:r>
        <w:rPr>
          <w:rFonts w:hint="eastAsia" w:asciiTheme="minorEastAsia" w:hAnsiTheme="minorEastAsia" w:cstheme="minorEastAsia"/>
          <w:color w:val="FF0000"/>
          <w:sz w:val="24"/>
          <w:szCs w:val="24"/>
        </w:rPr>
        <w:t>谈判</w:t>
      </w:r>
      <w:r>
        <w:rPr>
          <w:rFonts w:hint="eastAsia" w:asciiTheme="minorEastAsia" w:hAnsiTheme="minorEastAsia" w:cstheme="minorEastAsia"/>
          <w:color w:val="000000"/>
          <w:sz w:val="24"/>
          <w:szCs w:val="24"/>
        </w:rPr>
        <w:t>文件要求提交下列资质文件，同时声明，保证所提交文件是准确的、真实的。</w:t>
      </w:r>
      <w:r>
        <w:rPr>
          <w:rFonts w:hint="eastAsia" w:asciiTheme="minorEastAsia" w:hAnsiTheme="minorEastAsia" w:cstheme="minorEastAsia"/>
          <w:b/>
          <w:color w:val="FF0000"/>
          <w:sz w:val="24"/>
          <w:szCs w:val="24"/>
        </w:rPr>
        <w:t>以下资质文件的复印件需加盖鲜章装订在投标文件中。</w:t>
      </w:r>
    </w:p>
    <w:p>
      <w:pPr>
        <w:pStyle w:val="55"/>
        <w:bidi w:val="0"/>
        <w:spacing w:line="336" w:lineRule="auto"/>
        <w:ind w:right="84" w:rightChars="40" w:firstLine="480" w:firstLineChars="200"/>
        <w:rPr>
          <w:rStyle w:val="20"/>
          <w:rFonts w:hint="eastAsia" w:ascii="宋体" w:hAnsi="宋体" w:eastAsia="宋体" w:cs="Times New Roman"/>
          <w:sz w:val="24"/>
          <w:szCs w:val="24"/>
        </w:rPr>
      </w:pPr>
      <w:r>
        <w:rPr>
          <w:rStyle w:val="20"/>
          <w:rFonts w:hint="eastAsia" w:ascii="宋体" w:hAnsi="宋体" w:eastAsia="宋体" w:cs="Times New Roman"/>
          <w:sz w:val="24"/>
          <w:szCs w:val="24"/>
        </w:rPr>
        <w:t>（一）</w:t>
      </w:r>
      <w:r>
        <w:rPr>
          <w:rStyle w:val="20"/>
          <w:rFonts w:ascii="Calibri" w:hAnsi="宋体" w:eastAsia="宋体" w:cs="Times New Roman"/>
          <w:sz w:val="24"/>
          <w:szCs w:val="24"/>
        </w:rPr>
        <w:t>具有独立承担民事责任的能力</w:t>
      </w:r>
      <w:r>
        <w:rPr>
          <w:rStyle w:val="20"/>
          <w:rFonts w:hint="eastAsia" w:hAnsi="宋体" w:cs="Times New Roman"/>
          <w:sz w:val="24"/>
          <w:szCs w:val="24"/>
          <w:lang w:eastAsia="zh-CN"/>
        </w:rPr>
        <w:t>（</w:t>
      </w:r>
      <w:r>
        <w:rPr>
          <w:rStyle w:val="20"/>
          <w:rFonts w:hint="eastAsia" w:ascii="Calibri" w:hAnsi="宋体" w:eastAsia="宋体" w:cs="Times New Roman"/>
          <w:sz w:val="24"/>
          <w:szCs w:val="24"/>
        </w:rPr>
        <w:t>提供以下</w:t>
      </w:r>
      <w:r>
        <w:rPr>
          <w:rStyle w:val="20"/>
          <w:rFonts w:ascii="Calibri" w:hAnsi="宋体" w:eastAsia="宋体" w:cs="Times New Roman"/>
          <w:sz w:val="24"/>
          <w:szCs w:val="24"/>
        </w:rPr>
        <w:t>相关证照</w:t>
      </w:r>
      <w:r>
        <w:rPr>
          <w:rStyle w:val="20"/>
          <w:rFonts w:hint="eastAsia" w:ascii="Calibri" w:hAnsi="宋体" w:eastAsia="宋体" w:cs="Times New Roman"/>
          <w:sz w:val="24"/>
          <w:szCs w:val="24"/>
        </w:rPr>
        <w:t>的</w:t>
      </w:r>
      <w:r>
        <w:rPr>
          <w:rStyle w:val="20"/>
          <w:rFonts w:ascii="Calibri" w:hAnsi="宋体" w:eastAsia="宋体" w:cs="Times New Roman"/>
          <w:sz w:val="24"/>
          <w:szCs w:val="24"/>
        </w:rPr>
        <w:t>原件扫描件</w:t>
      </w:r>
      <w:r>
        <w:rPr>
          <w:rStyle w:val="20"/>
          <w:rFonts w:hint="eastAsia" w:ascii="Calibri" w:hAnsi="宋体" w:eastAsia="宋体" w:cs="Times New Roman"/>
          <w:sz w:val="24"/>
          <w:szCs w:val="24"/>
        </w:rPr>
        <w:t>之一：1.</w:t>
      </w:r>
      <w:r>
        <w:rPr>
          <w:rStyle w:val="20"/>
          <w:rFonts w:ascii="Calibri" w:hAnsi="宋体" w:eastAsia="宋体" w:cs="Times New Roman"/>
          <w:sz w:val="24"/>
          <w:szCs w:val="24"/>
        </w:rPr>
        <w:t>企业法人营业执照</w:t>
      </w:r>
      <w:r>
        <w:rPr>
          <w:rStyle w:val="20"/>
          <w:rFonts w:hint="eastAsia" w:ascii="Calibri" w:hAnsi="宋体" w:eastAsia="宋体" w:cs="Times New Roman"/>
          <w:sz w:val="24"/>
          <w:szCs w:val="24"/>
        </w:rPr>
        <w:t>；2.</w:t>
      </w:r>
      <w:r>
        <w:rPr>
          <w:rStyle w:val="20"/>
          <w:rFonts w:ascii="Calibri" w:hAnsi="宋体" w:eastAsia="宋体" w:cs="Times New Roman"/>
          <w:sz w:val="24"/>
          <w:szCs w:val="24"/>
        </w:rPr>
        <w:t>事业法人登记证</w:t>
      </w:r>
      <w:r>
        <w:rPr>
          <w:rStyle w:val="20"/>
          <w:rFonts w:hint="eastAsia" w:ascii="Calibri" w:hAnsi="宋体" w:eastAsia="宋体" w:cs="Times New Roman"/>
          <w:sz w:val="24"/>
          <w:szCs w:val="24"/>
        </w:rPr>
        <w:t>；3.</w:t>
      </w:r>
      <w:r>
        <w:rPr>
          <w:rStyle w:val="20"/>
          <w:rFonts w:ascii="Calibri" w:hAnsi="宋体" w:eastAsia="宋体" w:cs="Times New Roman"/>
          <w:sz w:val="24"/>
          <w:szCs w:val="24"/>
        </w:rPr>
        <w:t>其他组织的营业执照</w:t>
      </w:r>
      <w:r>
        <w:rPr>
          <w:rStyle w:val="20"/>
          <w:rFonts w:hint="eastAsia" w:ascii="Calibri" w:hAnsi="宋体" w:eastAsia="宋体" w:cs="Times New Roman"/>
          <w:sz w:val="24"/>
          <w:szCs w:val="24"/>
        </w:rPr>
        <w:t>或</w:t>
      </w:r>
      <w:r>
        <w:rPr>
          <w:rStyle w:val="20"/>
          <w:rFonts w:ascii="Calibri" w:hAnsi="宋体" w:eastAsia="宋体" w:cs="Times New Roman"/>
          <w:sz w:val="24"/>
          <w:szCs w:val="24"/>
        </w:rPr>
        <w:t>执业许可证</w:t>
      </w:r>
      <w:r>
        <w:rPr>
          <w:rStyle w:val="20"/>
          <w:rFonts w:hint="eastAsia" w:ascii="Calibri" w:hAnsi="宋体" w:eastAsia="宋体" w:cs="Times New Roman"/>
          <w:sz w:val="24"/>
          <w:szCs w:val="24"/>
        </w:rPr>
        <w:t>；4.居民身份证</w:t>
      </w:r>
      <w:r>
        <w:rPr>
          <w:rStyle w:val="20"/>
          <w:rFonts w:ascii="Calibri" w:hAnsi="宋体" w:eastAsia="宋体" w:cs="Times New Roman"/>
          <w:sz w:val="24"/>
          <w:szCs w:val="24"/>
        </w:rPr>
        <w:t>等</w:t>
      </w:r>
      <w:r>
        <w:rPr>
          <w:rStyle w:val="20"/>
          <w:rFonts w:hint="eastAsia" w:hAnsi="宋体" w:cs="Times New Roman"/>
          <w:sz w:val="24"/>
          <w:szCs w:val="24"/>
          <w:lang w:eastAsia="zh-CN"/>
        </w:rPr>
        <w:t>）</w:t>
      </w:r>
      <w:r>
        <w:rPr>
          <w:rStyle w:val="20"/>
          <w:rFonts w:hint="eastAsia" w:ascii="宋体" w:hAnsi="宋体" w:eastAsia="宋体" w:cs="Times New Roman"/>
          <w:sz w:val="24"/>
          <w:szCs w:val="24"/>
        </w:rPr>
        <w:t>；</w:t>
      </w:r>
    </w:p>
    <w:p>
      <w:pPr>
        <w:pStyle w:val="55"/>
        <w:bidi w:val="0"/>
        <w:spacing w:line="336" w:lineRule="auto"/>
        <w:ind w:right="84" w:rightChars="40" w:firstLine="480" w:firstLineChars="200"/>
        <w:rPr>
          <w:rStyle w:val="20"/>
          <w:rFonts w:hint="eastAsia" w:ascii="宋体" w:hAnsi="宋体" w:eastAsia="宋体" w:cs="Times New Roman"/>
          <w:sz w:val="24"/>
          <w:szCs w:val="24"/>
        </w:rPr>
      </w:pPr>
      <w:r>
        <w:rPr>
          <w:rStyle w:val="20"/>
          <w:rFonts w:hint="eastAsia" w:ascii="宋体" w:hAnsi="宋体" w:eastAsia="宋体" w:cs="Times New Roman"/>
          <w:sz w:val="24"/>
          <w:szCs w:val="24"/>
        </w:rPr>
        <w:t>（二）具有良好的商业信誉和健全的财务会计制度</w:t>
      </w:r>
      <w:r>
        <w:rPr>
          <w:rStyle w:val="20"/>
          <w:rFonts w:hint="eastAsia" w:ascii="宋体" w:hAnsi="宋体" w:cs="Times New Roman"/>
          <w:sz w:val="24"/>
          <w:szCs w:val="24"/>
          <w:lang w:eastAsia="zh-CN"/>
        </w:rPr>
        <w:t>（提供财务报表或者资信证明）</w:t>
      </w:r>
      <w:r>
        <w:rPr>
          <w:rStyle w:val="20"/>
          <w:rFonts w:hint="eastAsia" w:ascii="宋体" w:hAnsi="宋体" w:eastAsia="宋体" w:cs="Times New Roman"/>
          <w:sz w:val="24"/>
          <w:szCs w:val="24"/>
        </w:rPr>
        <w:t>；</w:t>
      </w:r>
    </w:p>
    <w:p>
      <w:pPr>
        <w:pStyle w:val="55"/>
        <w:bidi w:val="0"/>
        <w:spacing w:line="336" w:lineRule="auto"/>
        <w:ind w:right="84" w:rightChars="40" w:firstLine="480" w:firstLineChars="200"/>
        <w:rPr>
          <w:rStyle w:val="20"/>
          <w:rFonts w:hint="eastAsia" w:ascii="宋体" w:hAnsi="宋体" w:eastAsia="宋体" w:cs="Times New Roman"/>
          <w:sz w:val="24"/>
          <w:szCs w:val="24"/>
          <w:lang w:eastAsia="zh-CN"/>
        </w:rPr>
      </w:pPr>
      <w:r>
        <w:rPr>
          <w:rStyle w:val="20"/>
          <w:rFonts w:hint="eastAsia" w:ascii="宋体" w:hAnsi="宋体" w:eastAsia="宋体" w:cs="Times New Roman"/>
          <w:sz w:val="24"/>
          <w:szCs w:val="24"/>
        </w:rPr>
        <w:t>（三）具有履行合同所必需的设备和专业技术能力；</w:t>
      </w:r>
      <w:r>
        <w:rPr>
          <w:rStyle w:val="20"/>
          <w:rFonts w:hint="eastAsia" w:ascii="宋体" w:hAnsi="宋体" w:cs="Times New Roman"/>
          <w:sz w:val="24"/>
          <w:szCs w:val="24"/>
          <w:lang w:eastAsia="zh-CN"/>
        </w:rPr>
        <w:t>（提供相关证明材料或书面承诺）</w:t>
      </w:r>
    </w:p>
    <w:p>
      <w:pPr>
        <w:pStyle w:val="55"/>
        <w:bidi w:val="0"/>
        <w:spacing w:line="336" w:lineRule="auto"/>
        <w:ind w:right="84" w:rightChars="40" w:firstLine="480" w:firstLineChars="200"/>
        <w:rPr>
          <w:rStyle w:val="20"/>
          <w:rFonts w:hint="eastAsia" w:ascii="宋体" w:hAnsi="宋体" w:eastAsia="宋体" w:cs="Times New Roman"/>
          <w:sz w:val="24"/>
          <w:szCs w:val="24"/>
          <w:lang w:eastAsia="zh-CN"/>
        </w:rPr>
      </w:pPr>
      <w:r>
        <w:rPr>
          <w:rStyle w:val="20"/>
          <w:rFonts w:hint="eastAsia" w:ascii="宋体" w:hAnsi="宋体" w:eastAsia="宋体" w:cs="Times New Roman"/>
          <w:sz w:val="24"/>
          <w:szCs w:val="24"/>
        </w:rPr>
        <w:t>（四）有依法缴纳税收和社会保障资金的良好记录；</w:t>
      </w:r>
      <w:r>
        <w:rPr>
          <w:rStyle w:val="20"/>
          <w:rFonts w:hint="eastAsia" w:ascii="宋体" w:hAnsi="宋体" w:cs="Times New Roman"/>
          <w:sz w:val="24"/>
          <w:szCs w:val="24"/>
          <w:lang w:eastAsia="zh-CN"/>
        </w:rPr>
        <w:t>（提供近半年内任意一个月的</w:t>
      </w:r>
      <w:r>
        <w:rPr>
          <w:rStyle w:val="20"/>
          <w:rFonts w:hint="eastAsia" w:ascii="宋体" w:hAnsi="宋体" w:eastAsia="宋体" w:cs="Times New Roman"/>
          <w:sz w:val="24"/>
          <w:szCs w:val="24"/>
        </w:rPr>
        <w:t>依法缴纳税收和</w:t>
      </w:r>
      <w:r>
        <w:rPr>
          <w:rStyle w:val="20"/>
          <w:rFonts w:hint="eastAsia" w:ascii="宋体" w:hAnsi="宋体" w:cs="Times New Roman"/>
          <w:sz w:val="24"/>
          <w:szCs w:val="24"/>
          <w:lang w:eastAsia="zh-CN"/>
        </w:rPr>
        <w:t>缴纳</w:t>
      </w:r>
      <w:r>
        <w:rPr>
          <w:rStyle w:val="20"/>
          <w:rFonts w:hint="eastAsia" w:ascii="宋体" w:hAnsi="宋体" w:eastAsia="宋体" w:cs="Times New Roman"/>
          <w:sz w:val="24"/>
          <w:szCs w:val="24"/>
        </w:rPr>
        <w:t>社会保障资金</w:t>
      </w:r>
      <w:r>
        <w:rPr>
          <w:rStyle w:val="20"/>
          <w:rFonts w:hint="eastAsia" w:ascii="宋体" w:hAnsi="宋体" w:cs="Times New Roman"/>
          <w:sz w:val="24"/>
          <w:szCs w:val="24"/>
          <w:lang w:eastAsia="zh-CN"/>
        </w:rPr>
        <w:t>的证明材料）</w:t>
      </w:r>
    </w:p>
    <w:p>
      <w:pPr>
        <w:adjustRightInd w:val="0"/>
        <w:spacing w:before="312" w:beforeLines="100" w:after="156" w:afterLines="50"/>
        <w:ind w:right="480" w:firstLine="480" w:firstLineChars="200"/>
        <w:jc w:val="left"/>
        <w:rPr>
          <w:rFonts w:hint="eastAsia"/>
          <w:lang w:val="en-US" w:eastAsia="zh-CN"/>
        </w:rPr>
      </w:pPr>
      <w:r>
        <w:rPr>
          <w:rStyle w:val="20"/>
          <w:rFonts w:hint="eastAsia" w:ascii="宋体" w:hAnsi="宋体" w:eastAsia="宋体" w:cs="Times New Roman"/>
          <w:kern w:val="2"/>
          <w:sz w:val="24"/>
          <w:lang w:val="en-US" w:eastAsia="zh-CN" w:bidi="ar-SA"/>
        </w:rPr>
        <w:t>（五）参加政府采购活动前三年内，在经营活动中没有重大违法记录；（提供无重大违法记录的声明函（模板））</w:t>
      </w:r>
    </w:p>
    <w:p>
      <w:pPr>
        <w:pStyle w:val="55"/>
        <w:bidi w:val="0"/>
        <w:spacing w:line="336" w:lineRule="auto"/>
        <w:ind w:right="84" w:rightChars="40" w:firstLine="480" w:firstLineChars="200"/>
        <w:rPr>
          <w:rStyle w:val="20"/>
          <w:rFonts w:hint="eastAsia" w:ascii="宋体" w:hAnsi="宋体" w:eastAsia="宋体" w:cs="Times New Roman"/>
          <w:kern w:val="2"/>
          <w:sz w:val="24"/>
          <w:lang w:val="en-US" w:eastAsia="zh-CN" w:bidi="ar-SA"/>
        </w:rPr>
      </w:pPr>
      <w:r>
        <w:rPr>
          <w:rStyle w:val="20"/>
          <w:rFonts w:hint="eastAsia" w:ascii="宋体" w:hAnsi="宋体" w:eastAsia="宋体" w:cs="Times New Roman"/>
          <w:kern w:val="2"/>
          <w:sz w:val="24"/>
          <w:lang w:val="en-US" w:eastAsia="zh-CN" w:bidi="ar-SA"/>
        </w:rPr>
        <w:t>（六）法律、行政法规规定的其他条件。</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宋体" w:hAnsi="宋体"/>
          <w:sz w:val="24"/>
          <w:szCs w:val="24"/>
          <w:lang w:val="en-US" w:eastAsia="zh-CN"/>
        </w:rPr>
        <w:t xml:space="preserve">     </w:t>
      </w:r>
      <w:r>
        <w:rPr>
          <w:rFonts w:hint="eastAsia" w:asciiTheme="minorEastAsia" w:hAnsiTheme="minorEastAsia" w:cstheme="minorEastAsia"/>
          <w:sz w:val="24"/>
          <w:szCs w:val="24"/>
          <w:lang w:eastAsia="zh-CN"/>
        </w:rPr>
        <w:t>具体提供：</w:t>
      </w:r>
    </w:p>
    <w:p>
      <w:pPr>
        <w:pStyle w:val="10"/>
        <w:rPr>
          <w:rFonts w:hint="eastAsia" w:cs="仿宋" w:asciiTheme="minorEastAsia" w:hAnsiTheme="minorEastAsia" w:eastAsiaTheme="minorEastAsia"/>
          <w:color w:val="FF0000"/>
          <w:sz w:val="24"/>
          <w:highlight w:val="none"/>
          <w:lang w:val="en-US" w:eastAsia="zh-CN"/>
        </w:rPr>
      </w:pPr>
      <w:r>
        <w:rPr>
          <w:rFonts w:hint="eastAsia" w:asciiTheme="minorEastAsia" w:hAnsiTheme="minorEastAsia" w:cstheme="minorEastAsia"/>
          <w:sz w:val="24"/>
          <w:szCs w:val="24"/>
          <w:lang w:val="en-US" w:eastAsia="zh-CN"/>
        </w:rPr>
        <w:t xml:space="preserve">     （1）</w:t>
      </w:r>
      <w:r>
        <w:rPr>
          <w:rFonts w:hint="eastAsia"/>
          <w:color w:val="FF0000"/>
          <w:sz w:val="24"/>
          <w:lang w:val="en-US" w:eastAsia="zh-CN"/>
        </w:rPr>
        <w:t>建筑总承</w:t>
      </w:r>
      <w:r>
        <w:rPr>
          <w:rFonts w:hint="eastAsia"/>
          <w:color w:val="FF0000"/>
          <w:sz w:val="24"/>
          <w:lang w:eastAsia="zh-CN"/>
        </w:rPr>
        <w:t>包二级及以上资质并同时具备装修资质；人员配置：需配备项目负责人，具备二级建造师和工程师及以上资格。</w:t>
      </w:r>
    </w:p>
    <w:p>
      <w:pPr>
        <w:pStyle w:val="55"/>
        <w:spacing w:line="336" w:lineRule="auto"/>
        <w:ind w:right="84" w:rightChars="40" w:firstLine="480" w:firstLineChars="200"/>
        <w:rPr>
          <w:rFonts w:hint="eastAsia" w:asciiTheme="minorEastAsia" w:hAnsiTheme="minorEastAsia" w:cstheme="minorEastAsia"/>
          <w:sz w:val="24"/>
          <w:szCs w:val="24"/>
        </w:rPr>
      </w:pPr>
      <w:r>
        <w:rPr>
          <w:rFonts w:hint="eastAsia" w:ascii="宋体" w:hAnsi="宋体"/>
          <w:sz w:val="24"/>
          <w:szCs w:val="24"/>
        </w:rPr>
        <w:t>本次采购活动中，如有违法、违规、弄虚作假行为，所造成的损失、不良后果及法律责任，一律由我方承担。</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谈判响应供应商（全称并加盖公章）：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                       谈判响应供应商代表签字：</w:t>
      </w:r>
    </w:p>
    <w:p>
      <w:pPr>
        <w:spacing w:line="360" w:lineRule="auto"/>
        <w:rPr>
          <w:rFonts w:asciiTheme="minorEastAsia" w:hAnsiTheme="minorEastAsia" w:cstheme="minorEastAsia"/>
          <w:sz w:val="28"/>
          <w:szCs w:val="28"/>
        </w:rPr>
      </w:pPr>
      <w:r>
        <w:rPr>
          <w:rFonts w:hint="eastAsia" w:asciiTheme="minorEastAsia" w:hAnsiTheme="minorEastAsia" w:cstheme="minorEastAsia"/>
          <w:sz w:val="24"/>
          <w:szCs w:val="24"/>
        </w:rPr>
        <w:t xml:space="preserve">                         日      期：</w:t>
      </w:r>
    </w:p>
    <w:p>
      <w:pPr>
        <w:pStyle w:val="10"/>
        <w:spacing w:line="360" w:lineRule="auto"/>
        <w:rPr>
          <w:rFonts w:hint="eastAsia" w:ascii="宋体" w:hAnsi="宋体"/>
          <w:b/>
          <w:color w:val="FF0000"/>
          <w:sz w:val="28"/>
          <w:szCs w:val="28"/>
          <w:lang w:eastAsia="zh-CN"/>
        </w:rPr>
      </w:pPr>
    </w:p>
    <w:p>
      <w:pPr>
        <w:pStyle w:val="10"/>
        <w:spacing w:line="360" w:lineRule="auto"/>
        <w:rPr>
          <w:rFonts w:asciiTheme="minorEastAsia" w:hAnsiTheme="minorEastAsia" w:cstheme="minorEastAsia"/>
          <w:b/>
          <w:color w:val="FF0000"/>
          <w:sz w:val="28"/>
          <w:szCs w:val="28"/>
        </w:rPr>
      </w:pPr>
      <w:r>
        <w:rPr>
          <w:rFonts w:hint="eastAsia" w:ascii="宋体" w:hAnsi="宋体"/>
          <w:b/>
          <w:color w:val="FF0000"/>
          <w:sz w:val="28"/>
          <w:szCs w:val="28"/>
          <w:lang w:eastAsia="zh-CN"/>
        </w:rPr>
        <w:t>注：</w:t>
      </w:r>
      <w:r>
        <w:rPr>
          <w:rFonts w:hint="eastAsia" w:asciiTheme="minorEastAsia" w:hAnsiTheme="minorEastAsia" w:cstheme="minorEastAsia"/>
          <w:b/>
          <w:color w:val="FF0000"/>
          <w:sz w:val="28"/>
          <w:szCs w:val="28"/>
        </w:rPr>
        <w:t>资质文件的复印件需加盖鲜章装订在投标文件中。</w:t>
      </w:r>
    </w:p>
    <w:p>
      <w:pPr>
        <w:jc w:val="center"/>
        <w:rPr>
          <w:rFonts w:hint="eastAsia" w:ascii="宋体" w:hAnsi="宋体"/>
          <w:b/>
          <w:color w:val="000000"/>
          <w:sz w:val="32"/>
          <w:szCs w:val="32"/>
        </w:rPr>
      </w:pPr>
      <w:r>
        <w:rPr>
          <w:rFonts w:hint="eastAsia" w:ascii="宋体" w:hAnsi="宋体"/>
          <w:b/>
          <w:color w:val="000000"/>
          <w:sz w:val="32"/>
          <w:szCs w:val="32"/>
        </w:rPr>
        <w:br w:type="page"/>
      </w:r>
    </w:p>
    <w:p>
      <w:pPr>
        <w:jc w:val="center"/>
        <w:rPr>
          <w:rFonts w:ascii="宋体" w:hAnsi="宋体"/>
          <w:b/>
          <w:color w:val="000000"/>
          <w:sz w:val="44"/>
          <w:szCs w:val="44"/>
        </w:rPr>
      </w:pPr>
      <w:r>
        <w:rPr>
          <w:rFonts w:hint="eastAsia" w:ascii="宋体" w:hAnsi="宋体"/>
          <w:b/>
          <w:color w:val="000000"/>
          <w:sz w:val="32"/>
          <w:szCs w:val="32"/>
          <w:lang w:eastAsia="zh-CN"/>
        </w:rPr>
        <w:t>八</w:t>
      </w:r>
      <w:r>
        <w:rPr>
          <w:rFonts w:hint="eastAsia" w:ascii="宋体" w:hAnsi="宋体"/>
          <w:b/>
          <w:color w:val="000000"/>
          <w:sz w:val="32"/>
          <w:szCs w:val="32"/>
        </w:rPr>
        <w:t xml:space="preserve">  售后服务承诺及方案</w:t>
      </w:r>
    </w:p>
    <w:p>
      <w:pPr>
        <w:spacing w:before="100" w:beforeAutospacing="1" w:after="100" w:afterAutospacing="1"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color w:val="000000"/>
          <w:sz w:val="24"/>
          <w:szCs w:val="24"/>
        </w:rPr>
        <w:t>（1）</w:t>
      </w:r>
      <w:r>
        <w:rPr>
          <w:rFonts w:hint="eastAsia" w:asciiTheme="minorEastAsia" w:hAnsiTheme="minorEastAsia" w:eastAsiaTheme="minorEastAsia" w:cstheme="minorEastAsia"/>
          <w:color w:val="000000"/>
          <w:sz w:val="24"/>
          <w:szCs w:val="24"/>
        </w:rPr>
        <w:t>服务承诺</w:t>
      </w:r>
    </w:p>
    <w:p>
      <w:pPr>
        <w:autoSpaceDE w:val="0"/>
        <w:autoSpaceDN w:val="0"/>
        <w:adjustRightInd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（2）按照国家验收标准执行</w:t>
      </w:r>
    </w:p>
    <w:p>
      <w:pPr>
        <w:autoSpaceDE w:val="0"/>
        <w:autoSpaceDN w:val="0"/>
        <w:adjustRightInd w:val="0"/>
        <w:rPr>
          <w:rFonts w:asciiTheme="minorEastAsia" w:hAnsiTheme="minorEastAsia" w:cstheme="minorEastAsia"/>
          <w:color w:val="000000"/>
          <w:sz w:val="24"/>
          <w:szCs w:val="24"/>
        </w:rPr>
      </w:pPr>
    </w:p>
    <w:p>
      <w:pPr>
        <w:autoSpaceDE w:val="0"/>
        <w:autoSpaceDN w:val="0"/>
        <w:adjustRightInd w:val="0"/>
        <w:ind w:left="482" w:hanging="482" w:hangingChars="200"/>
        <w:rPr>
          <w:rFonts w:asciiTheme="minorEastAsia" w:hAnsiTheme="minorEastAsia" w:cstheme="minorEastAsia"/>
          <w:b/>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r>
        <w:rPr>
          <w:rFonts w:hint="eastAsia" w:asciiTheme="minorEastAsia" w:hAnsiTheme="minorEastAsia" w:cstheme="minorEastAsia"/>
          <w:color w:val="000000"/>
          <w:sz w:val="24"/>
          <w:szCs w:val="24"/>
          <w:u w:val="single"/>
        </w:rPr>
        <w:t xml:space="preserve">              </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r>
        <w:rPr>
          <w:rFonts w:hint="eastAsia" w:asciiTheme="minorEastAsia" w:hAnsiTheme="minorEastAsia" w:cstheme="minorEastAsia"/>
          <w:color w:val="000000"/>
          <w:sz w:val="24"/>
          <w:szCs w:val="24"/>
          <w:u w:val="single"/>
        </w:rPr>
        <w:t xml:space="preserve">              </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             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pStyle w:val="58"/>
        <w:pageBreakBefore/>
        <w:spacing w:line="360" w:lineRule="auto"/>
        <w:jc w:val="center"/>
        <w:rPr>
          <w:rFonts w:hint="eastAsia" w:asciiTheme="minorHAnsi" w:hAnsiTheme="minorHAnsi" w:eastAsiaTheme="minorEastAsia" w:cstheme="minorBidi"/>
          <w:b/>
          <w:kern w:val="2"/>
          <w:sz w:val="36"/>
          <w:szCs w:val="36"/>
          <w:lang w:val="en-GB" w:eastAsia="zh-CN" w:bidi="ar-SA"/>
        </w:rPr>
      </w:pPr>
      <w:r>
        <w:rPr>
          <w:rFonts w:hint="eastAsia" w:asciiTheme="minorHAnsi" w:hAnsiTheme="minorHAnsi" w:eastAsiaTheme="minorEastAsia" w:cstheme="minorBidi"/>
          <w:b/>
          <w:kern w:val="2"/>
          <w:sz w:val="36"/>
          <w:szCs w:val="36"/>
          <w:lang w:val="en-GB" w:eastAsia="zh-CN" w:bidi="ar-SA"/>
        </w:rPr>
        <w:t>中小企业声明函（工程）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本公司（联合体）郑重声明，根据《政府采购促进中小企业发展管理办法》（财库﹝2020﹞46号）的规定，本公司（联合体）参加</w:t>
      </w:r>
      <w:r>
        <w:rPr>
          <w:rFonts w:ascii="宋体" w:hAnsi="宋体" w:eastAsia="宋体" w:cs="宋体"/>
          <w:i/>
          <w:iCs/>
          <w:sz w:val="24"/>
          <w:szCs w:val="24"/>
          <w:u w:val="single"/>
        </w:rPr>
        <w:t>（单位名称）</w:t>
      </w:r>
      <w:r>
        <w:rPr>
          <w:rFonts w:hint="eastAsia" w:ascii="宋体" w:hAnsi="宋体" w:eastAsia="宋体" w:cs="宋体"/>
          <w:i/>
          <w:iCs/>
          <w:sz w:val="24"/>
          <w:szCs w:val="24"/>
          <w:u w:val="single"/>
          <w:lang w:val="en-US" w:eastAsia="zh-CN"/>
        </w:rPr>
        <w:t xml:space="preserve"> </w:t>
      </w:r>
      <w:r>
        <w:rPr>
          <w:rFonts w:ascii="宋体" w:hAnsi="宋体" w:eastAsia="宋体" w:cs="宋体"/>
          <w:sz w:val="24"/>
          <w:szCs w:val="24"/>
        </w:rPr>
        <w:t>的</w:t>
      </w:r>
      <w:r>
        <w:rPr>
          <w:rFonts w:ascii="宋体" w:hAnsi="宋体" w:eastAsia="宋体" w:cs="宋体"/>
          <w:i/>
          <w:iCs/>
          <w:sz w:val="24"/>
          <w:szCs w:val="24"/>
          <w:u w:val="single"/>
        </w:rPr>
        <w:t>（项目名称）</w:t>
      </w:r>
      <w:r>
        <w:rPr>
          <w:rFonts w:hint="eastAsia" w:ascii="宋体" w:hAnsi="宋体" w:eastAsia="宋体" w:cs="宋体"/>
          <w:i/>
          <w:iCs/>
          <w:sz w:val="24"/>
          <w:szCs w:val="24"/>
          <w:u w:val="single"/>
          <w:lang w:val="en-US" w:eastAsia="zh-CN"/>
        </w:rPr>
        <w:t xml:space="preserve"> </w:t>
      </w:r>
      <w:r>
        <w:rPr>
          <w:rFonts w:ascii="宋体" w:hAnsi="宋体" w:eastAsia="宋体" w:cs="宋体"/>
          <w:sz w:val="24"/>
          <w:szCs w:val="24"/>
        </w:rPr>
        <w:t>采购活动，</w:t>
      </w:r>
      <w:r>
        <w:rPr>
          <w:rFonts w:hint="eastAsia" w:ascii="宋体" w:hAnsi="宋体" w:eastAsia="宋体" w:cs="宋体"/>
          <w:sz w:val="24"/>
          <w:szCs w:val="24"/>
          <w:lang w:eastAsia="zh-CN"/>
        </w:rPr>
        <w:t>工程的施工单位全部为</w:t>
      </w:r>
      <w:r>
        <w:rPr>
          <w:rFonts w:ascii="宋体" w:hAnsi="宋体" w:eastAsia="宋体" w:cs="宋体"/>
          <w:sz w:val="24"/>
          <w:szCs w:val="24"/>
        </w:rPr>
        <w:t>符合政策要求的中小企业。相关企业 （含联合体中的中小企业、签订分包意向协议的中小企业）的具体情况如下：</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行业；</w:t>
      </w:r>
      <w:r>
        <w:rPr>
          <w:rFonts w:hint="eastAsia" w:ascii="宋体" w:hAnsi="宋体" w:eastAsia="宋体" w:cs="宋体"/>
          <w:sz w:val="24"/>
          <w:szCs w:val="24"/>
          <w:lang w:eastAsia="zh-CN"/>
        </w:rPr>
        <w:t>承建企业</w:t>
      </w:r>
      <w:r>
        <w:rPr>
          <w:rFonts w:ascii="宋体" w:hAnsi="宋体" w:eastAsia="宋体" w:cs="宋体"/>
          <w:sz w:val="24"/>
          <w:szCs w:val="24"/>
        </w:rPr>
        <w:t>为</w:t>
      </w:r>
      <w:r>
        <w:rPr>
          <w:rFonts w:ascii="宋体" w:hAnsi="宋体" w:eastAsia="宋体" w:cs="宋体"/>
          <w:i/>
          <w:iCs/>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i/>
          <w:iCs/>
          <w:sz w:val="24"/>
          <w:szCs w:val="24"/>
          <w:u w:val="single"/>
        </w:rPr>
        <w:t>（标的名称）</w:t>
      </w:r>
      <w:r>
        <w:rPr>
          <w:rFonts w:ascii="宋体" w:hAnsi="宋体" w:eastAsia="宋体" w:cs="宋体"/>
          <w:sz w:val="24"/>
          <w:szCs w:val="24"/>
        </w:rPr>
        <w:t>，属于</w:t>
      </w:r>
      <w:r>
        <w:rPr>
          <w:rFonts w:ascii="宋体" w:hAnsi="宋体" w:eastAsia="宋体" w:cs="宋体"/>
          <w:i/>
          <w:iCs/>
          <w:sz w:val="24"/>
          <w:szCs w:val="24"/>
          <w:u w:val="single"/>
        </w:rPr>
        <w:t>（采购文件中明确的所属行业）</w:t>
      </w:r>
      <w:r>
        <w:rPr>
          <w:rFonts w:ascii="宋体" w:hAnsi="宋体" w:eastAsia="宋体" w:cs="宋体"/>
          <w:sz w:val="24"/>
          <w:szCs w:val="24"/>
        </w:rPr>
        <w:t>行业；</w:t>
      </w:r>
      <w:r>
        <w:rPr>
          <w:rFonts w:hint="eastAsia" w:ascii="宋体" w:hAnsi="宋体" w:eastAsia="宋体" w:cs="宋体"/>
          <w:sz w:val="24"/>
          <w:szCs w:val="24"/>
          <w:lang w:eastAsia="zh-CN"/>
        </w:rPr>
        <w:t>承建企业</w:t>
      </w:r>
      <w:r>
        <w:rPr>
          <w:rFonts w:ascii="宋体" w:hAnsi="宋体" w:eastAsia="宋体" w:cs="宋体"/>
          <w:sz w:val="24"/>
          <w:szCs w:val="24"/>
        </w:rPr>
        <w:t>为</w:t>
      </w:r>
      <w:r>
        <w:rPr>
          <w:rFonts w:ascii="宋体" w:hAnsi="宋体" w:eastAsia="宋体" w:cs="宋体"/>
          <w:i/>
          <w:iCs/>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i/>
          <w:iCs/>
          <w:sz w:val="24"/>
          <w:szCs w:val="24"/>
          <w:u w:val="single"/>
        </w:rPr>
        <w:t>（中型企业、小型企业、微型企业）</w:t>
      </w:r>
      <w:r>
        <w:rPr>
          <w:rFonts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以上企业</w:t>
      </w:r>
      <w:r>
        <w:rPr>
          <w:rFonts w:hint="eastAsia" w:ascii="宋体" w:hAnsi="宋体" w:eastAsia="宋体" w:cs="宋体"/>
          <w:sz w:val="24"/>
          <w:szCs w:val="24"/>
          <w:lang w:eastAsia="zh-CN"/>
        </w:rPr>
        <w:t>，</w:t>
      </w:r>
      <w:r>
        <w:rPr>
          <w:rFonts w:ascii="宋体" w:hAnsi="宋体" w:eastAsia="宋体" w:cs="宋体"/>
          <w:sz w:val="24"/>
          <w:szCs w:val="24"/>
        </w:rPr>
        <w:t>不属于大企业的分支机构</w:t>
      </w:r>
      <w:r>
        <w:rPr>
          <w:rFonts w:hint="eastAsia" w:ascii="宋体" w:hAnsi="宋体" w:eastAsia="宋体" w:cs="宋体"/>
          <w:sz w:val="24"/>
          <w:szCs w:val="24"/>
          <w:lang w:eastAsia="zh-CN"/>
        </w:rPr>
        <w:t>，</w:t>
      </w:r>
      <w:r>
        <w:rPr>
          <w:rFonts w:ascii="宋体" w:hAnsi="宋体" w:eastAsia="宋体" w:cs="宋体"/>
          <w:sz w:val="24"/>
          <w:szCs w:val="24"/>
        </w:rPr>
        <w:t>不存在控股股东为大企业的情形，也不存在与大企业的负责人为同一人的情形。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本企业对上述声明内容的真实性负责。如有虚假，将依法承担相应责任。 </w:t>
      </w:r>
    </w:p>
    <w:p>
      <w:pPr>
        <w:rPr>
          <w:rFonts w:hint="eastAsia"/>
          <w:lang w:eastAsia="zh-CN"/>
        </w:rPr>
      </w:pPr>
    </w:p>
    <w:p>
      <w:pPr>
        <w:rPr>
          <w:rFonts w:hint="eastAsia"/>
          <w:lang w:eastAsia="zh-CN"/>
        </w:rPr>
      </w:pPr>
      <w:r>
        <w:rPr>
          <w:rFonts w:hint="eastAsia"/>
          <w:lang w:eastAsia="zh-CN"/>
        </w:rPr>
        <w:t>（注：从业人员、营业收入、资产总额填报上一年度数据，无上一年度数据的新成立企业可不填报。）</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both"/>
        <w:textAlignment w:val="auto"/>
        <w:rPr>
          <w:rFonts w:hint="eastAsia" w:ascii="宋体" w:hAnsi="宋体" w:eastAsia="宋体" w:cs="宋体"/>
          <w:sz w:val="24"/>
          <w:szCs w:val="24"/>
          <w:lang w:eastAsia="zh-CN"/>
        </w:rPr>
      </w:pPr>
      <w:r>
        <w:rPr>
          <w:rFonts w:ascii="宋体" w:hAnsi="宋体" w:eastAsia="宋体" w:cs="宋体"/>
          <w:sz w:val="24"/>
          <w:szCs w:val="24"/>
        </w:rPr>
        <w:t>企业名称（盖章）</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left"/>
        <w:textAlignment w:val="auto"/>
        <w:rPr>
          <w:rFonts w:ascii="宋体" w:hAnsi="宋体" w:eastAsia="宋体" w:cs="宋体"/>
          <w:sz w:val="24"/>
          <w:szCs w:val="24"/>
        </w:rPr>
      </w:pPr>
      <w:r>
        <w:rPr>
          <w:rFonts w:ascii="宋体" w:hAnsi="宋体" w:eastAsia="宋体" w:cs="宋体"/>
          <w:sz w:val="24"/>
          <w:szCs w:val="24"/>
        </w:rPr>
        <w:t xml:space="preserve">日 期： </w:t>
      </w:r>
    </w:p>
    <w:p>
      <w:pPr>
        <w:pStyle w:val="59"/>
        <w:bidi w:val="0"/>
        <w:spacing w:line="360" w:lineRule="auto"/>
        <w:jc w:val="center"/>
        <w:rPr>
          <w:rStyle w:val="20"/>
          <w:rFonts w:ascii="宋体" w:hAnsi="宋体"/>
          <w:b/>
          <w:spacing w:val="6"/>
          <w:sz w:val="28"/>
          <w:szCs w:val="28"/>
          <w:lang w:val="en-US" w:eastAsia="zh-CN" w:bidi="ar-SA"/>
        </w:rPr>
      </w:pPr>
    </w:p>
    <w:p>
      <w:pPr>
        <w:rPr>
          <w:sz w:val="24"/>
          <w:szCs w:val="24"/>
        </w:rPr>
      </w:pPr>
    </w:p>
    <w:sectPr>
      <w:headerReference r:id="rId5" w:type="default"/>
      <w:footerReference r:id="rId6" w:type="default"/>
      <w:pgSz w:w="11906" w:h="16838"/>
      <w:pgMar w:top="1440" w:right="1797" w:bottom="1440" w:left="179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Fonts w:hint="eastAsia"/>
      </w:rPr>
      <w:t xml:space="preserve">                                             </w:t>
    </w:r>
    <w:r>
      <w:rPr>
        <w:rFonts w:hint="eastAsia" w:ascii="宋体" w:hAnsi="宋体"/>
      </w:rPr>
      <w:t xml:space="preserve"> </w:t>
    </w:r>
    <w:r>
      <w:rPr>
        <w:rStyle w:val="23"/>
        <w:rFonts w:hint="eastAsia" w:ascii="宋体" w:hAnsi="宋体"/>
      </w:rPr>
      <w:t>第</w:t>
    </w: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26</w:t>
    </w:r>
    <w:r>
      <w:rPr>
        <w:rFonts w:ascii="宋体" w:hAnsi="宋体"/>
      </w:rPr>
      <w:fldChar w:fldCharType="end"/>
    </w:r>
    <w:r>
      <w:rPr>
        <w:rStyle w:val="23"/>
        <w:rFonts w:hint="eastAsia" w:ascii="宋体" w:hAnsi="宋体"/>
      </w:rPr>
      <w:t>页，共</w:t>
    </w:r>
    <w:r>
      <w:rPr>
        <w:rFonts w:ascii="宋体" w:hAnsi="宋体"/>
      </w:rPr>
      <w:fldChar w:fldCharType="begin"/>
    </w:r>
    <w:r>
      <w:rPr>
        <w:rStyle w:val="23"/>
        <w:rFonts w:ascii="宋体" w:hAnsi="宋体"/>
      </w:rPr>
      <w:instrText xml:space="preserve"> NUMPAGES </w:instrText>
    </w:r>
    <w:r>
      <w:rPr>
        <w:rFonts w:ascii="宋体" w:hAnsi="宋体"/>
      </w:rPr>
      <w:fldChar w:fldCharType="separate"/>
    </w:r>
    <w:r>
      <w:rPr>
        <w:rStyle w:val="23"/>
        <w:rFonts w:ascii="宋体" w:hAnsi="宋体"/>
      </w:rPr>
      <w:t>149</w:t>
    </w:r>
    <w:r>
      <w:rPr>
        <w:rFonts w:ascii="宋体" w:hAnsi="宋体"/>
      </w:rPr>
      <w:fldChar w:fldCharType="end"/>
    </w:r>
    <w:r>
      <w:rPr>
        <w:rStyle w:val="23"/>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rPr>
    </w:pPr>
    <w:r>
      <w:rPr>
        <w:rFonts w:hint="eastAsia"/>
      </w:rPr>
      <w:t xml:space="preserve">                                             </w:t>
    </w:r>
    <w:r>
      <w:rPr>
        <w:rFonts w:hint="eastAsia" w:ascii="宋体" w:hAnsi="宋体"/>
      </w:rPr>
      <w:t xml:space="preserve"> </w:t>
    </w:r>
    <w:r>
      <w:rPr>
        <w:rStyle w:val="23"/>
        <w:rFonts w:hint="eastAsia" w:ascii="宋体" w:hAnsi="宋体"/>
      </w:rPr>
      <w:t>第</w:t>
    </w:r>
    <w:r>
      <w:rPr>
        <w:rFonts w:ascii="宋体" w:hAnsi="宋体"/>
      </w:rPr>
      <w:fldChar w:fldCharType="begin"/>
    </w:r>
    <w:r>
      <w:rPr>
        <w:rStyle w:val="23"/>
        <w:rFonts w:ascii="宋体" w:hAnsi="宋体"/>
      </w:rPr>
      <w:instrText xml:space="preserve"> PAGE </w:instrText>
    </w:r>
    <w:r>
      <w:rPr>
        <w:rFonts w:ascii="宋体" w:hAnsi="宋体"/>
      </w:rPr>
      <w:fldChar w:fldCharType="separate"/>
    </w:r>
    <w:r>
      <w:rPr>
        <w:rStyle w:val="23"/>
        <w:rFonts w:ascii="宋体" w:hAnsi="宋体"/>
      </w:rPr>
      <w:t>146</w:t>
    </w:r>
    <w:r>
      <w:rPr>
        <w:rFonts w:ascii="宋体" w:hAnsi="宋体"/>
      </w:rPr>
      <w:fldChar w:fldCharType="end"/>
    </w:r>
    <w:r>
      <w:rPr>
        <w:rStyle w:val="23"/>
        <w:rFonts w:hint="eastAsia" w:ascii="宋体" w:hAnsi="宋体"/>
      </w:rPr>
      <w:t>页，共</w:t>
    </w:r>
    <w:r>
      <w:rPr>
        <w:rFonts w:ascii="宋体" w:hAnsi="宋体"/>
      </w:rPr>
      <w:fldChar w:fldCharType="begin"/>
    </w:r>
    <w:r>
      <w:rPr>
        <w:rStyle w:val="23"/>
        <w:rFonts w:ascii="宋体" w:hAnsi="宋体"/>
      </w:rPr>
      <w:instrText xml:space="preserve"> NUMPAGES </w:instrText>
    </w:r>
    <w:r>
      <w:rPr>
        <w:rFonts w:ascii="宋体" w:hAnsi="宋体"/>
      </w:rPr>
      <w:fldChar w:fldCharType="separate"/>
    </w:r>
    <w:r>
      <w:rPr>
        <w:rStyle w:val="23"/>
        <w:rFonts w:ascii="宋体" w:hAnsi="宋体"/>
      </w:rPr>
      <w:t>147</w:t>
    </w:r>
    <w:r>
      <w:rPr>
        <w:rFonts w:ascii="宋体" w:hAnsi="宋体"/>
      </w:rPr>
      <w:fldChar w:fldCharType="end"/>
    </w:r>
    <w:r>
      <w:rPr>
        <w:rStyle w:val="23"/>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778F6"/>
    <w:multiLevelType w:val="multilevel"/>
    <w:tmpl w:val="535778F6"/>
    <w:lvl w:ilvl="0" w:tentative="0">
      <w:start w:val="1"/>
      <w:numFmt w:val="chineseCountingThousand"/>
      <w:pStyle w:val="3"/>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
    <w:nsid w:val="59A303B5"/>
    <w:multiLevelType w:val="singleLevel"/>
    <w:tmpl w:val="59A303B5"/>
    <w:lvl w:ilvl="0" w:tentative="0">
      <w:start w:val="1"/>
      <w:numFmt w:val="chineseCounting"/>
      <w:suff w:val="space"/>
      <w:lvlText w:val="第%1章"/>
      <w:lvlJc w:val="left"/>
    </w:lvl>
  </w:abstractNum>
  <w:abstractNum w:abstractNumId="2">
    <w:nsid w:val="754E081E"/>
    <w:multiLevelType w:val="singleLevel"/>
    <w:tmpl w:val="754E081E"/>
    <w:lvl w:ilvl="0" w:tentative="0">
      <w:start w:val="4"/>
      <w:numFmt w:val="chineseCounting"/>
      <w:suff w:val="space"/>
      <w:lvlText w:val="第%1章"/>
      <w:lvlJc w:val="left"/>
      <w:rPr>
        <w:rFonts w:hint="eastAsia"/>
      </w:rPr>
    </w:lvl>
  </w:abstractNum>
  <w:abstractNum w:abstractNumId="3">
    <w:nsid w:val="79CFEE4E"/>
    <w:multiLevelType w:val="singleLevel"/>
    <w:tmpl w:val="79CFEE4E"/>
    <w:lvl w:ilvl="0" w:tentative="0">
      <w:start w:val="2"/>
      <w:numFmt w:val="decimal"/>
      <w:suff w:val="nothing"/>
      <w:lvlText w:val="（%1）"/>
      <w:lvlJc w:val="left"/>
    </w:lvl>
  </w:abstractNum>
  <w:abstractNum w:abstractNumId="4">
    <w:nsid w:val="7D3E9B19"/>
    <w:multiLevelType w:val="singleLevel"/>
    <w:tmpl w:val="7D3E9B19"/>
    <w:lvl w:ilvl="0" w:tentative="0">
      <w:start w:val="1"/>
      <w:numFmt w:val="decimal"/>
      <w:lvlText w:val="%1."/>
      <w:lvlJc w:val="left"/>
      <w:pPr>
        <w:tabs>
          <w:tab w:val="left" w:pos="312"/>
        </w:tabs>
      </w:pPr>
    </w:lvl>
  </w:abstractNum>
  <w:abstractNum w:abstractNumId="5">
    <w:nsid w:val="7EF84DA5"/>
    <w:multiLevelType w:val="singleLevel"/>
    <w:tmpl w:val="7EF84DA5"/>
    <w:lvl w:ilvl="0" w:tentative="0">
      <w:start w:val="1"/>
      <w:numFmt w:val="decimal"/>
      <w:suff w:val="nothing"/>
      <w:lvlText w:val="%1、"/>
      <w:lvlJc w:val="left"/>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162E90"/>
    <w:rsid w:val="001C766C"/>
    <w:rsid w:val="00414E41"/>
    <w:rsid w:val="00455D45"/>
    <w:rsid w:val="00550979"/>
    <w:rsid w:val="00555BBC"/>
    <w:rsid w:val="00571929"/>
    <w:rsid w:val="00594745"/>
    <w:rsid w:val="005A391A"/>
    <w:rsid w:val="005D46BB"/>
    <w:rsid w:val="006647F4"/>
    <w:rsid w:val="006B4D4C"/>
    <w:rsid w:val="008D51EB"/>
    <w:rsid w:val="008E1F31"/>
    <w:rsid w:val="009D32F8"/>
    <w:rsid w:val="00B041D4"/>
    <w:rsid w:val="00B84097"/>
    <w:rsid w:val="00BB3CB5"/>
    <w:rsid w:val="00C23CC1"/>
    <w:rsid w:val="00CA7989"/>
    <w:rsid w:val="01192590"/>
    <w:rsid w:val="01334D5E"/>
    <w:rsid w:val="01411CE7"/>
    <w:rsid w:val="01806959"/>
    <w:rsid w:val="019C57FC"/>
    <w:rsid w:val="01BD2F7F"/>
    <w:rsid w:val="0217083A"/>
    <w:rsid w:val="021F7E78"/>
    <w:rsid w:val="0229591C"/>
    <w:rsid w:val="02671624"/>
    <w:rsid w:val="02F23A59"/>
    <w:rsid w:val="03002EEE"/>
    <w:rsid w:val="03624FF5"/>
    <w:rsid w:val="0365658F"/>
    <w:rsid w:val="038637B1"/>
    <w:rsid w:val="03BD3E2F"/>
    <w:rsid w:val="03D371E0"/>
    <w:rsid w:val="040329C7"/>
    <w:rsid w:val="04041C4A"/>
    <w:rsid w:val="04330E82"/>
    <w:rsid w:val="0463747B"/>
    <w:rsid w:val="0475480D"/>
    <w:rsid w:val="04BA3D68"/>
    <w:rsid w:val="04BA449F"/>
    <w:rsid w:val="04D966C2"/>
    <w:rsid w:val="04FD1496"/>
    <w:rsid w:val="04FE5BAC"/>
    <w:rsid w:val="0523670E"/>
    <w:rsid w:val="05236951"/>
    <w:rsid w:val="0531268A"/>
    <w:rsid w:val="055408A7"/>
    <w:rsid w:val="05570F6A"/>
    <w:rsid w:val="0589599E"/>
    <w:rsid w:val="05BC33F7"/>
    <w:rsid w:val="05C11B24"/>
    <w:rsid w:val="05E01E40"/>
    <w:rsid w:val="05E64A01"/>
    <w:rsid w:val="06172C51"/>
    <w:rsid w:val="0628286D"/>
    <w:rsid w:val="06B25BB9"/>
    <w:rsid w:val="06CB15AC"/>
    <w:rsid w:val="07004C21"/>
    <w:rsid w:val="073C699B"/>
    <w:rsid w:val="07551CD6"/>
    <w:rsid w:val="07695DF6"/>
    <w:rsid w:val="076A03CF"/>
    <w:rsid w:val="07884356"/>
    <w:rsid w:val="07DD692D"/>
    <w:rsid w:val="08174DA3"/>
    <w:rsid w:val="0833692F"/>
    <w:rsid w:val="083B5A9E"/>
    <w:rsid w:val="08473E2B"/>
    <w:rsid w:val="088D03C0"/>
    <w:rsid w:val="08C8505B"/>
    <w:rsid w:val="08D8270B"/>
    <w:rsid w:val="08F135D3"/>
    <w:rsid w:val="092851DC"/>
    <w:rsid w:val="09296DD6"/>
    <w:rsid w:val="095774AF"/>
    <w:rsid w:val="096F48E0"/>
    <w:rsid w:val="09FA45A5"/>
    <w:rsid w:val="0A596197"/>
    <w:rsid w:val="0A6F7E93"/>
    <w:rsid w:val="0A8D7F72"/>
    <w:rsid w:val="0A91224E"/>
    <w:rsid w:val="0AB009CA"/>
    <w:rsid w:val="0AB30FC8"/>
    <w:rsid w:val="0ACF3C7E"/>
    <w:rsid w:val="0AF112EE"/>
    <w:rsid w:val="0B264B32"/>
    <w:rsid w:val="0B64629F"/>
    <w:rsid w:val="0B6C53E4"/>
    <w:rsid w:val="0B8D60B9"/>
    <w:rsid w:val="0C087F0A"/>
    <w:rsid w:val="0C120E85"/>
    <w:rsid w:val="0C2F4391"/>
    <w:rsid w:val="0C6A0372"/>
    <w:rsid w:val="0CBC2271"/>
    <w:rsid w:val="0CDE7FEF"/>
    <w:rsid w:val="0D955C11"/>
    <w:rsid w:val="0DAF518D"/>
    <w:rsid w:val="0DCC5022"/>
    <w:rsid w:val="0DE945E1"/>
    <w:rsid w:val="0DEA209B"/>
    <w:rsid w:val="0DED25F3"/>
    <w:rsid w:val="0DED4EA1"/>
    <w:rsid w:val="0DF156AE"/>
    <w:rsid w:val="0E361B57"/>
    <w:rsid w:val="0E371ACC"/>
    <w:rsid w:val="0E3D0B56"/>
    <w:rsid w:val="0E556948"/>
    <w:rsid w:val="0EF95EBB"/>
    <w:rsid w:val="0EFE081B"/>
    <w:rsid w:val="0F10616D"/>
    <w:rsid w:val="0F8B7081"/>
    <w:rsid w:val="0FEA1916"/>
    <w:rsid w:val="103F2F35"/>
    <w:rsid w:val="10A0520D"/>
    <w:rsid w:val="10B93555"/>
    <w:rsid w:val="10B96456"/>
    <w:rsid w:val="1152610D"/>
    <w:rsid w:val="115436CB"/>
    <w:rsid w:val="117E32DF"/>
    <w:rsid w:val="1187378F"/>
    <w:rsid w:val="11A1609B"/>
    <w:rsid w:val="11D37432"/>
    <w:rsid w:val="11F815A2"/>
    <w:rsid w:val="12081D5A"/>
    <w:rsid w:val="122B6335"/>
    <w:rsid w:val="12430D6C"/>
    <w:rsid w:val="12484DAE"/>
    <w:rsid w:val="12CB486C"/>
    <w:rsid w:val="12DB5F19"/>
    <w:rsid w:val="12EC3846"/>
    <w:rsid w:val="13147C1C"/>
    <w:rsid w:val="13340A7D"/>
    <w:rsid w:val="133E1A2C"/>
    <w:rsid w:val="13443453"/>
    <w:rsid w:val="135D64C0"/>
    <w:rsid w:val="135F52B6"/>
    <w:rsid w:val="13846C5E"/>
    <w:rsid w:val="139A59B5"/>
    <w:rsid w:val="13A263E4"/>
    <w:rsid w:val="13B817E6"/>
    <w:rsid w:val="13BE7254"/>
    <w:rsid w:val="13DC4024"/>
    <w:rsid w:val="14002E3F"/>
    <w:rsid w:val="14056409"/>
    <w:rsid w:val="14307DED"/>
    <w:rsid w:val="145A17EF"/>
    <w:rsid w:val="145A4FEE"/>
    <w:rsid w:val="146158E9"/>
    <w:rsid w:val="14BD437A"/>
    <w:rsid w:val="14C01A61"/>
    <w:rsid w:val="15224112"/>
    <w:rsid w:val="155B2A94"/>
    <w:rsid w:val="155F28E5"/>
    <w:rsid w:val="158E3981"/>
    <w:rsid w:val="15D10DF5"/>
    <w:rsid w:val="15EC0CDE"/>
    <w:rsid w:val="162007D9"/>
    <w:rsid w:val="162C7F14"/>
    <w:rsid w:val="164A0198"/>
    <w:rsid w:val="16527E99"/>
    <w:rsid w:val="1684083F"/>
    <w:rsid w:val="1699716E"/>
    <w:rsid w:val="16AF1696"/>
    <w:rsid w:val="16DE71A0"/>
    <w:rsid w:val="17117B78"/>
    <w:rsid w:val="17577FF7"/>
    <w:rsid w:val="176424CC"/>
    <w:rsid w:val="17650758"/>
    <w:rsid w:val="17AD1B15"/>
    <w:rsid w:val="17C2640A"/>
    <w:rsid w:val="184F51C0"/>
    <w:rsid w:val="185C2F39"/>
    <w:rsid w:val="18703207"/>
    <w:rsid w:val="187938F8"/>
    <w:rsid w:val="18AE25F9"/>
    <w:rsid w:val="18B6501C"/>
    <w:rsid w:val="18BC283F"/>
    <w:rsid w:val="18C242FC"/>
    <w:rsid w:val="18E44DF1"/>
    <w:rsid w:val="192A2885"/>
    <w:rsid w:val="194E59E2"/>
    <w:rsid w:val="19DA5974"/>
    <w:rsid w:val="19FC5397"/>
    <w:rsid w:val="1A2310E1"/>
    <w:rsid w:val="1A2D4F98"/>
    <w:rsid w:val="1A7C68EE"/>
    <w:rsid w:val="1A906FEF"/>
    <w:rsid w:val="1AC03009"/>
    <w:rsid w:val="1AC21CE6"/>
    <w:rsid w:val="1ADD4223"/>
    <w:rsid w:val="1AE7028A"/>
    <w:rsid w:val="1B00689F"/>
    <w:rsid w:val="1B0C348E"/>
    <w:rsid w:val="1B0E4A8F"/>
    <w:rsid w:val="1B342D58"/>
    <w:rsid w:val="1B4054A0"/>
    <w:rsid w:val="1B526BAB"/>
    <w:rsid w:val="1BA6335B"/>
    <w:rsid w:val="1BC04CE4"/>
    <w:rsid w:val="1BFB3FAF"/>
    <w:rsid w:val="1C447E47"/>
    <w:rsid w:val="1C767556"/>
    <w:rsid w:val="1C992DEB"/>
    <w:rsid w:val="1C9D20D0"/>
    <w:rsid w:val="1CB86762"/>
    <w:rsid w:val="1CB95ED3"/>
    <w:rsid w:val="1CC06BCD"/>
    <w:rsid w:val="1CF81A8D"/>
    <w:rsid w:val="1D300DCC"/>
    <w:rsid w:val="1D306F1F"/>
    <w:rsid w:val="1D905054"/>
    <w:rsid w:val="1DA70A35"/>
    <w:rsid w:val="1DE4306D"/>
    <w:rsid w:val="1E5E537E"/>
    <w:rsid w:val="1E63264A"/>
    <w:rsid w:val="1F0E26F5"/>
    <w:rsid w:val="1F1B28A6"/>
    <w:rsid w:val="1F771C30"/>
    <w:rsid w:val="1FA17D5F"/>
    <w:rsid w:val="1FAA5D46"/>
    <w:rsid w:val="1FBD49C5"/>
    <w:rsid w:val="1FD73ABB"/>
    <w:rsid w:val="1FDA170B"/>
    <w:rsid w:val="20093B36"/>
    <w:rsid w:val="20513905"/>
    <w:rsid w:val="2058565C"/>
    <w:rsid w:val="207E75D3"/>
    <w:rsid w:val="20AF2D06"/>
    <w:rsid w:val="2116041D"/>
    <w:rsid w:val="215A7E04"/>
    <w:rsid w:val="21762C67"/>
    <w:rsid w:val="2178607F"/>
    <w:rsid w:val="21943F92"/>
    <w:rsid w:val="219A2532"/>
    <w:rsid w:val="21AD2F48"/>
    <w:rsid w:val="21DB2014"/>
    <w:rsid w:val="21DC6F44"/>
    <w:rsid w:val="220B53FB"/>
    <w:rsid w:val="22122970"/>
    <w:rsid w:val="222E2A03"/>
    <w:rsid w:val="222E6C8C"/>
    <w:rsid w:val="22360202"/>
    <w:rsid w:val="22513AED"/>
    <w:rsid w:val="225B0F0C"/>
    <w:rsid w:val="22956F85"/>
    <w:rsid w:val="233C173D"/>
    <w:rsid w:val="23A823F3"/>
    <w:rsid w:val="23E3273C"/>
    <w:rsid w:val="24094EC3"/>
    <w:rsid w:val="24114B3B"/>
    <w:rsid w:val="24232E66"/>
    <w:rsid w:val="2426503E"/>
    <w:rsid w:val="242D1EC0"/>
    <w:rsid w:val="2458685D"/>
    <w:rsid w:val="24594C02"/>
    <w:rsid w:val="247033B4"/>
    <w:rsid w:val="24C313B9"/>
    <w:rsid w:val="24DC2B4D"/>
    <w:rsid w:val="24E35B21"/>
    <w:rsid w:val="24F4782E"/>
    <w:rsid w:val="250D1FE1"/>
    <w:rsid w:val="256D7EB4"/>
    <w:rsid w:val="25723566"/>
    <w:rsid w:val="25B657A5"/>
    <w:rsid w:val="260661B4"/>
    <w:rsid w:val="260F5D46"/>
    <w:rsid w:val="26283A4A"/>
    <w:rsid w:val="264B0618"/>
    <w:rsid w:val="264F5F3F"/>
    <w:rsid w:val="26515B56"/>
    <w:rsid w:val="26663C9B"/>
    <w:rsid w:val="266C72FD"/>
    <w:rsid w:val="26746B7D"/>
    <w:rsid w:val="26AC1C0B"/>
    <w:rsid w:val="26D83C52"/>
    <w:rsid w:val="26E655C0"/>
    <w:rsid w:val="27485743"/>
    <w:rsid w:val="2758137F"/>
    <w:rsid w:val="275B6B17"/>
    <w:rsid w:val="276208FE"/>
    <w:rsid w:val="277725DB"/>
    <w:rsid w:val="27955483"/>
    <w:rsid w:val="27BD4863"/>
    <w:rsid w:val="27CF7DD3"/>
    <w:rsid w:val="280746E2"/>
    <w:rsid w:val="280F12BD"/>
    <w:rsid w:val="281828B6"/>
    <w:rsid w:val="28305888"/>
    <w:rsid w:val="287D7FC9"/>
    <w:rsid w:val="2895499C"/>
    <w:rsid w:val="28AA256F"/>
    <w:rsid w:val="28AC7AF3"/>
    <w:rsid w:val="28F4398C"/>
    <w:rsid w:val="29465FDD"/>
    <w:rsid w:val="294A26C8"/>
    <w:rsid w:val="297B4A42"/>
    <w:rsid w:val="298B44AC"/>
    <w:rsid w:val="298E0F81"/>
    <w:rsid w:val="29A71176"/>
    <w:rsid w:val="29D83EB3"/>
    <w:rsid w:val="29FD0CED"/>
    <w:rsid w:val="2A191EF2"/>
    <w:rsid w:val="2A243EE4"/>
    <w:rsid w:val="2A4002D3"/>
    <w:rsid w:val="2A434028"/>
    <w:rsid w:val="2A47057A"/>
    <w:rsid w:val="2A4958AD"/>
    <w:rsid w:val="2A707733"/>
    <w:rsid w:val="2A776394"/>
    <w:rsid w:val="2A95071D"/>
    <w:rsid w:val="2AF76118"/>
    <w:rsid w:val="2B1808E6"/>
    <w:rsid w:val="2B900AB0"/>
    <w:rsid w:val="2BAA4DD8"/>
    <w:rsid w:val="2BB83264"/>
    <w:rsid w:val="2BBB6FA1"/>
    <w:rsid w:val="2BF75B7B"/>
    <w:rsid w:val="2C0861E3"/>
    <w:rsid w:val="2C7A6AE7"/>
    <w:rsid w:val="2C7B0755"/>
    <w:rsid w:val="2D0C6B7D"/>
    <w:rsid w:val="2D146743"/>
    <w:rsid w:val="2D1815C6"/>
    <w:rsid w:val="2D7D387E"/>
    <w:rsid w:val="2D96740D"/>
    <w:rsid w:val="2DB6531A"/>
    <w:rsid w:val="2DE07F23"/>
    <w:rsid w:val="2E3A5706"/>
    <w:rsid w:val="2E4717EF"/>
    <w:rsid w:val="2E4C61D6"/>
    <w:rsid w:val="2E531910"/>
    <w:rsid w:val="2E55765B"/>
    <w:rsid w:val="2E8440F2"/>
    <w:rsid w:val="2EA735DB"/>
    <w:rsid w:val="2EAB220F"/>
    <w:rsid w:val="2EB05244"/>
    <w:rsid w:val="2EB579CF"/>
    <w:rsid w:val="2F0113AB"/>
    <w:rsid w:val="2F3412E9"/>
    <w:rsid w:val="2F3D43E5"/>
    <w:rsid w:val="2F7B37FD"/>
    <w:rsid w:val="2F805EC4"/>
    <w:rsid w:val="2FA725C0"/>
    <w:rsid w:val="2FBC76FF"/>
    <w:rsid w:val="2FBE4DDC"/>
    <w:rsid w:val="2FD06F13"/>
    <w:rsid w:val="300360D6"/>
    <w:rsid w:val="309F13C1"/>
    <w:rsid w:val="30FB3C5E"/>
    <w:rsid w:val="31287263"/>
    <w:rsid w:val="314074DB"/>
    <w:rsid w:val="31460AD4"/>
    <w:rsid w:val="31CE41A8"/>
    <w:rsid w:val="31D62C1E"/>
    <w:rsid w:val="322E3401"/>
    <w:rsid w:val="32545700"/>
    <w:rsid w:val="325F2103"/>
    <w:rsid w:val="3264764B"/>
    <w:rsid w:val="326D56BD"/>
    <w:rsid w:val="32A24162"/>
    <w:rsid w:val="32C15CB6"/>
    <w:rsid w:val="32D37C67"/>
    <w:rsid w:val="32E5520C"/>
    <w:rsid w:val="32EB2BEA"/>
    <w:rsid w:val="332248BE"/>
    <w:rsid w:val="334E5C2A"/>
    <w:rsid w:val="335D33BC"/>
    <w:rsid w:val="33604FAC"/>
    <w:rsid w:val="33615734"/>
    <w:rsid w:val="33DE54AF"/>
    <w:rsid w:val="343A415F"/>
    <w:rsid w:val="346073F8"/>
    <w:rsid w:val="348253BD"/>
    <w:rsid w:val="35344476"/>
    <w:rsid w:val="35404F2F"/>
    <w:rsid w:val="354B772A"/>
    <w:rsid w:val="359B78CD"/>
    <w:rsid w:val="359C10C9"/>
    <w:rsid w:val="35F97176"/>
    <w:rsid w:val="363E613D"/>
    <w:rsid w:val="365F13FF"/>
    <w:rsid w:val="368A28F0"/>
    <w:rsid w:val="369568C2"/>
    <w:rsid w:val="369A7308"/>
    <w:rsid w:val="369E4F78"/>
    <w:rsid w:val="36AC7E19"/>
    <w:rsid w:val="36B446B9"/>
    <w:rsid w:val="36F82811"/>
    <w:rsid w:val="372B346E"/>
    <w:rsid w:val="37C05F2D"/>
    <w:rsid w:val="37FE06F7"/>
    <w:rsid w:val="381352E2"/>
    <w:rsid w:val="38733763"/>
    <w:rsid w:val="38746667"/>
    <w:rsid w:val="388F0BF5"/>
    <w:rsid w:val="38AD60DA"/>
    <w:rsid w:val="38E93F07"/>
    <w:rsid w:val="391777FD"/>
    <w:rsid w:val="39182175"/>
    <w:rsid w:val="39201F63"/>
    <w:rsid w:val="39397FAB"/>
    <w:rsid w:val="3952194F"/>
    <w:rsid w:val="39741BD1"/>
    <w:rsid w:val="39B66C32"/>
    <w:rsid w:val="39BF3B27"/>
    <w:rsid w:val="39D449AB"/>
    <w:rsid w:val="39F6652F"/>
    <w:rsid w:val="3A1B3EF1"/>
    <w:rsid w:val="3A246E76"/>
    <w:rsid w:val="3A3F4E9A"/>
    <w:rsid w:val="3A631196"/>
    <w:rsid w:val="3AF84CD2"/>
    <w:rsid w:val="3B1F430F"/>
    <w:rsid w:val="3B69783B"/>
    <w:rsid w:val="3B6E2994"/>
    <w:rsid w:val="3B8724CF"/>
    <w:rsid w:val="3B8A6825"/>
    <w:rsid w:val="3BAC7850"/>
    <w:rsid w:val="3BC11B5C"/>
    <w:rsid w:val="3BC5785F"/>
    <w:rsid w:val="3BEF3317"/>
    <w:rsid w:val="3C032957"/>
    <w:rsid w:val="3C702BF3"/>
    <w:rsid w:val="3CB042DA"/>
    <w:rsid w:val="3CE53A29"/>
    <w:rsid w:val="3CE704F5"/>
    <w:rsid w:val="3CEE6C62"/>
    <w:rsid w:val="3CFF1A96"/>
    <w:rsid w:val="3D6222B3"/>
    <w:rsid w:val="3E807BFA"/>
    <w:rsid w:val="3E9213AA"/>
    <w:rsid w:val="3EEA712C"/>
    <w:rsid w:val="3F1D5641"/>
    <w:rsid w:val="3F3538B1"/>
    <w:rsid w:val="3F366D96"/>
    <w:rsid w:val="3FC772FD"/>
    <w:rsid w:val="4003763F"/>
    <w:rsid w:val="401A1866"/>
    <w:rsid w:val="403F58B9"/>
    <w:rsid w:val="404E6C14"/>
    <w:rsid w:val="406635FE"/>
    <w:rsid w:val="40B94A95"/>
    <w:rsid w:val="41061E23"/>
    <w:rsid w:val="415E1C0E"/>
    <w:rsid w:val="41677091"/>
    <w:rsid w:val="41771078"/>
    <w:rsid w:val="41787C0D"/>
    <w:rsid w:val="41832586"/>
    <w:rsid w:val="41E825F3"/>
    <w:rsid w:val="423F40DF"/>
    <w:rsid w:val="426C69D1"/>
    <w:rsid w:val="429C4FA0"/>
    <w:rsid w:val="42CE5F42"/>
    <w:rsid w:val="42D24B19"/>
    <w:rsid w:val="42F8202E"/>
    <w:rsid w:val="430507D5"/>
    <w:rsid w:val="430B58CB"/>
    <w:rsid w:val="43334C97"/>
    <w:rsid w:val="433D0BB2"/>
    <w:rsid w:val="435E7E72"/>
    <w:rsid w:val="4389528F"/>
    <w:rsid w:val="43BC2E28"/>
    <w:rsid w:val="43BC4509"/>
    <w:rsid w:val="43E32D3B"/>
    <w:rsid w:val="44140B7A"/>
    <w:rsid w:val="441B5A82"/>
    <w:rsid w:val="4445535A"/>
    <w:rsid w:val="44487B31"/>
    <w:rsid w:val="445439B4"/>
    <w:rsid w:val="44704D90"/>
    <w:rsid w:val="44831B86"/>
    <w:rsid w:val="44A64038"/>
    <w:rsid w:val="44DF2284"/>
    <w:rsid w:val="45066E74"/>
    <w:rsid w:val="455807FC"/>
    <w:rsid w:val="457B4D64"/>
    <w:rsid w:val="459A1140"/>
    <w:rsid w:val="459E55AF"/>
    <w:rsid w:val="45D27460"/>
    <w:rsid w:val="461D73C5"/>
    <w:rsid w:val="464043DB"/>
    <w:rsid w:val="46557D2D"/>
    <w:rsid w:val="467C68B7"/>
    <w:rsid w:val="46A26D0C"/>
    <w:rsid w:val="46CA1C98"/>
    <w:rsid w:val="470622D8"/>
    <w:rsid w:val="473A33B4"/>
    <w:rsid w:val="47446FA2"/>
    <w:rsid w:val="47D7275A"/>
    <w:rsid w:val="47F95E44"/>
    <w:rsid w:val="480318EB"/>
    <w:rsid w:val="48247AC1"/>
    <w:rsid w:val="48267948"/>
    <w:rsid w:val="486F5318"/>
    <w:rsid w:val="48894DAA"/>
    <w:rsid w:val="4896454D"/>
    <w:rsid w:val="493F0D82"/>
    <w:rsid w:val="495170CC"/>
    <w:rsid w:val="49651A4E"/>
    <w:rsid w:val="497B077B"/>
    <w:rsid w:val="497D7D18"/>
    <w:rsid w:val="49D77348"/>
    <w:rsid w:val="49F95B2E"/>
    <w:rsid w:val="4ABF1AA9"/>
    <w:rsid w:val="4AC5389D"/>
    <w:rsid w:val="4AFD2A72"/>
    <w:rsid w:val="4AFF2989"/>
    <w:rsid w:val="4B1372BE"/>
    <w:rsid w:val="4B3B187F"/>
    <w:rsid w:val="4B7E5C98"/>
    <w:rsid w:val="4B8D4EA8"/>
    <w:rsid w:val="4BCA0EC1"/>
    <w:rsid w:val="4BD07BAB"/>
    <w:rsid w:val="4C1672AD"/>
    <w:rsid w:val="4C5D230C"/>
    <w:rsid w:val="4C7B6025"/>
    <w:rsid w:val="4CA77699"/>
    <w:rsid w:val="4CBC0FF7"/>
    <w:rsid w:val="4CF036F2"/>
    <w:rsid w:val="4CF11D15"/>
    <w:rsid w:val="4D606333"/>
    <w:rsid w:val="4D75171A"/>
    <w:rsid w:val="4D872D12"/>
    <w:rsid w:val="4DC2028E"/>
    <w:rsid w:val="4DC35204"/>
    <w:rsid w:val="4E270F39"/>
    <w:rsid w:val="4E322129"/>
    <w:rsid w:val="4E3767BB"/>
    <w:rsid w:val="4E9F21EB"/>
    <w:rsid w:val="4EAE04CE"/>
    <w:rsid w:val="4EB00F80"/>
    <w:rsid w:val="4EE73FD0"/>
    <w:rsid w:val="4F435E87"/>
    <w:rsid w:val="4FA963C7"/>
    <w:rsid w:val="4FC06CFD"/>
    <w:rsid w:val="4FC53DB5"/>
    <w:rsid w:val="4FE20CB3"/>
    <w:rsid w:val="50156557"/>
    <w:rsid w:val="503F0EBB"/>
    <w:rsid w:val="505926BC"/>
    <w:rsid w:val="508D08D5"/>
    <w:rsid w:val="50975DDE"/>
    <w:rsid w:val="50C53144"/>
    <w:rsid w:val="50D61287"/>
    <w:rsid w:val="510A758D"/>
    <w:rsid w:val="51630C2B"/>
    <w:rsid w:val="5174259E"/>
    <w:rsid w:val="518A3B41"/>
    <w:rsid w:val="51A55D48"/>
    <w:rsid w:val="51AC1B48"/>
    <w:rsid w:val="52317DF5"/>
    <w:rsid w:val="5286799E"/>
    <w:rsid w:val="52971E9A"/>
    <w:rsid w:val="52BD461A"/>
    <w:rsid w:val="52E9765D"/>
    <w:rsid w:val="52F947F7"/>
    <w:rsid w:val="530E4C1E"/>
    <w:rsid w:val="530E6964"/>
    <w:rsid w:val="531E0804"/>
    <w:rsid w:val="532B58E2"/>
    <w:rsid w:val="53307641"/>
    <w:rsid w:val="533F2A32"/>
    <w:rsid w:val="53461697"/>
    <w:rsid w:val="535C3D81"/>
    <w:rsid w:val="53600FE6"/>
    <w:rsid w:val="536A2951"/>
    <w:rsid w:val="53875A5C"/>
    <w:rsid w:val="538A38C5"/>
    <w:rsid w:val="538D66FC"/>
    <w:rsid w:val="5396591F"/>
    <w:rsid w:val="53E73709"/>
    <w:rsid w:val="53F4190D"/>
    <w:rsid w:val="53F614E6"/>
    <w:rsid w:val="54367D0E"/>
    <w:rsid w:val="54726CF8"/>
    <w:rsid w:val="548B64A1"/>
    <w:rsid w:val="54D17B7E"/>
    <w:rsid w:val="54E731CF"/>
    <w:rsid w:val="54EA0008"/>
    <w:rsid w:val="550546A4"/>
    <w:rsid w:val="556172D3"/>
    <w:rsid w:val="557817E2"/>
    <w:rsid w:val="557C7D06"/>
    <w:rsid w:val="557F134B"/>
    <w:rsid w:val="5582408B"/>
    <w:rsid w:val="5610759E"/>
    <w:rsid w:val="561921A5"/>
    <w:rsid w:val="566064F1"/>
    <w:rsid w:val="5663325F"/>
    <w:rsid w:val="5668566C"/>
    <w:rsid w:val="568A5B00"/>
    <w:rsid w:val="56FB4EDD"/>
    <w:rsid w:val="570144D8"/>
    <w:rsid w:val="57B66BD6"/>
    <w:rsid w:val="57CA2BBA"/>
    <w:rsid w:val="57D337B5"/>
    <w:rsid w:val="57D70140"/>
    <w:rsid w:val="57F0186D"/>
    <w:rsid w:val="57FF228C"/>
    <w:rsid w:val="582216D9"/>
    <w:rsid w:val="58664DC1"/>
    <w:rsid w:val="58975D3E"/>
    <w:rsid w:val="58D7332A"/>
    <w:rsid w:val="58DD55D0"/>
    <w:rsid w:val="590B6216"/>
    <w:rsid w:val="59124010"/>
    <w:rsid w:val="596540C7"/>
    <w:rsid w:val="59712575"/>
    <w:rsid w:val="59D8774D"/>
    <w:rsid w:val="5A0E1D1A"/>
    <w:rsid w:val="5ADB6F99"/>
    <w:rsid w:val="5B1A0D65"/>
    <w:rsid w:val="5B916B08"/>
    <w:rsid w:val="5B99373E"/>
    <w:rsid w:val="5B993EFE"/>
    <w:rsid w:val="5BA7043B"/>
    <w:rsid w:val="5BAF7F56"/>
    <w:rsid w:val="5C15448C"/>
    <w:rsid w:val="5C592A4F"/>
    <w:rsid w:val="5C9275F7"/>
    <w:rsid w:val="5CA4621D"/>
    <w:rsid w:val="5CD26788"/>
    <w:rsid w:val="5CE9363E"/>
    <w:rsid w:val="5CF61530"/>
    <w:rsid w:val="5D32130E"/>
    <w:rsid w:val="5D4258DA"/>
    <w:rsid w:val="5D556055"/>
    <w:rsid w:val="5D564AE2"/>
    <w:rsid w:val="5D715619"/>
    <w:rsid w:val="5D9A5272"/>
    <w:rsid w:val="5DB42FFF"/>
    <w:rsid w:val="5DB70A02"/>
    <w:rsid w:val="5E085933"/>
    <w:rsid w:val="5E170D63"/>
    <w:rsid w:val="5E1B307A"/>
    <w:rsid w:val="5E4431CC"/>
    <w:rsid w:val="5E456CAE"/>
    <w:rsid w:val="5E9B741B"/>
    <w:rsid w:val="5EB06294"/>
    <w:rsid w:val="5EB7712D"/>
    <w:rsid w:val="5EC26B2A"/>
    <w:rsid w:val="5F4C62A0"/>
    <w:rsid w:val="5F5905E1"/>
    <w:rsid w:val="5F7156D2"/>
    <w:rsid w:val="5F783943"/>
    <w:rsid w:val="5F9F4829"/>
    <w:rsid w:val="5FA97144"/>
    <w:rsid w:val="5FC61B11"/>
    <w:rsid w:val="60260FB4"/>
    <w:rsid w:val="60476837"/>
    <w:rsid w:val="60531FA1"/>
    <w:rsid w:val="606950BD"/>
    <w:rsid w:val="60C27580"/>
    <w:rsid w:val="611A0E5A"/>
    <w:rsid w:val="6133523F"/>
    <w:rsid w:val="6158037F"/>
    <w:rsid w:val="61636662"/>
    <w:rsid w:val="617C7984"/>
    <w:rsid w:val="619572D7"/>
    <w:rsid w:val="61D76818"/>
    <w:rsid w:val="623563FC"/>
    <w:rsid w:val="625E32F5"/>
    <w:rsid w:val="628E466F"/>
    <w:rsid w:val="62CA02DE"/>
    <w:rsid w:val="62F11830"/>
    <w:rsid w:val="62F87997"/>
    <w:rsid w:val="630478D3"/>
    <w:rsid w:val="631702E5"/>
    <w:rsid w:val="636459C6"/>
    <w:rsid w:val="63BC537A"/>
    <w:rsid w:val="63C9669C"/>
    <w:rsid w:val="63CD5082"/>
    <w:rsid w:val="63FA34E2"/>
    <w:rsid w:val="640232FE"/>
    <w:rsid w:val="648942D2"/>
    <w:rsid w:val="64C939C5"/>
    <w:rsid w:val="65293DDA"/>
    <w:rsid w:val="655D42BA"/>
    <w:rsid w:val="659B56DB"/>
    <w:rsid w:val="65D13C9F"/>
    <w:rsid w:val="65D724E7"/>
    <w:rsid w:val="660B328F"/>
    <w:rsid w:val="6621727D"/>
    <w:rsid w:val="662526D2"/>
    <w:rsid w:val="663B133E"/>
    <w:rsid w:val="66791378"/>
    <w:rsid w:val="669436B4"/>
    <w:rsid w:val="66C714E9"/>
    <w:rsid w:val="670A3D62"/>
    <w:rsid w:val="670C61E3"/>
    <w:rsid w:val="676E2437"/>
    <w:rsid w:val="6771531D"/>
    <w:rsid w:val="677D3395"/>
    <w:rsid w:val="679723E8"/>
    <w:rsid w:val="67D364E9"/>
    <w:rsid w:val="67F023E5"/>
    <w:rsid w:val="6804364E"/>
    <w:rsid w:val="68164239"/>
    <w:rsid w:val="68193F36"/>
    <w:rsid w:val="684A5E8C"/>
    <w:rsid w:val="684F1261"/>
    <w:rsid w:val="686205D5"/>
    <w:rsid w:val="688D6DCB"/>
    <w:rsid w:val="6890718F"/>
    <w:rsid w:val="68EB1C1A"/>
    <w:rsid w:val="695965D3"/>
    <w:rsid w:val="696C0A60"/>
    <w:rsid w:val="698B6074"/>
    <w:rsid w:val="69C42A80"/>
    <w:rsid w:val="6AA962C9"/>
    <w:rsid w:val="6AB37CFA"/>
    <w:rsid w:val="6AB80255"/>
    <w:rsid w:val="6AF50A19"/>
    <w:rsid w:val="6B241736"/>
    <w:rsid w:val="6B5349D5"/>
    <w:rsid w:val="6B581EE8"/>
    <w:rsid w:val="6B75409B"/>
    <w:rsid w:val="6B757EA3"/>
    <w:rsid w:val="6BE77587"/>
    <w:rsid w:val="6BED008F"/>
    <w:rsid w:val="6C116DC9"/>
    <w:rsid w:val="6C1936F5"/>
    <w:rsid w:val="6C6D33A3"/>
    <w:rsid w:val="6C937494"/>
    <w:rsid w:val="6C980BEF"/>
    <w:rsid w:val="6CA12307"/>
    <w:rsid w:val="6CAC6716"/>
    <w:rsid w:val="6CC21CB1"/>
    <w:rsid w:val="6D1762EB"/>
    <w:rsid w:val="6D1A3CD6"/>
    <w:rsid w:val="6D250DC7"/>
    <w:rsid w:val="6D5F5F42"/>
    <w:rsid w:val="6D6F133C"/>
    <w:rsid w:val="6D7815EA"/>
    <w:rsid w:val="6D8B4090"/>
    <w:rsid w:val="6D9A6B0F"/>
    <w:rsid w:val="6DAE7298"/>
    <w:rsid w:val="6DE5378B"/>
    <w:rsid w:val="6E064B16"/>
    <w:rsid w:val="6E1E0015"/>
    <w:rsid w:val="6E4B4A67"/>
    <w:rsid w:val="6E520798"/>
    <w:rsid w:val="6E5A4143"/>
    <w:rsid w:val="6E645867"/>
    <w:rsid w:val="6E9A5852"/>
    <w:rsid w:val="6EB41BE1"/>
    <w:rsid w:val="6EB7650F"/>
    <w:rsid w:val="6EC57EDA"/>
    <w:rsid w:val="6ED65AB6"/>
    <w:rsid w:val="6EE56B39"/>
    <w:rsid w:val="6EE77777"/>
    <w:rsid w:val="6EF815B4"/>
    <w:rsid w:val="6F1A3B83"/>
    <w:rsid w:val="6F224150"/>
    <w:rsid w:val="6F4B1C46"/>
    <w:rsid w:val="6FA84F77"/>
    <w:rsid w:val="6FC0486B"/>
    <w:rsid w:val="6FC95947"/>
    <w:rsid w:val="702F509C"/>
    <w:rsid w:val="70C60C64"/>
    <w:rsid w:val="70CF6453"/>
    <w:rsid w:val="70FA4956"/>
    <w:rsid w:val="712F7884"/>
    <w:rsid w:val="71720C83"/>
    <w:rsid w:val="71AF5D5F"/>
    <w:rsid w:val="72174781"/>
    <w:rsid w:val="721E4CBE"/>
    <w:rsid w:val="72A17F23"/>
    <w:rsid w:val="734F5300"/>
    <w:rsid w:val="73557504"/>
    <w:rsid w:val="736B0E9C"/>
    <w:rsid w:val="73916393"/>
    <w:rsid w:val="73B37D65"/>
    <w:rsid w:val="73C06F34"/>
    <w:rsid w:val="73C82AC7"/>
    <w:rsid w:val="73F70DA4"/>
    <w:rsid w:val="743B1311"/>
    <w:rsid w:val="7446798F"/>
    <w:rsid w:val="745C2865"/>
    <w:rsid w:val="74604A2A"/>
    <w:rsid w:val="74E6328B"/>
    <w:rsid w:val="750577AD"/>
    <w:rsid w:val="75345A4F"/>
    <w:rsid w:val="75566FA0"/>
    <w:rsid w:val="75DF0E74"/>
    <w:rsid w:val="75E524AA"/>
    <w:rsid w:val="76037BB6"/>
    <w:rsid w:val="766C2C76"/>
    <w:rsid w:val="767A4E92"/>
    <w:rsid w:val="767D0CA5"/>
    <w:rsid w:val="76A507BA"/>
    <w:rsid w:val="76BE63E2"/>
    <w:rsid w:val="76C6463C"/>
    <w:rsid w:val="77133456"/>
    <w:rsid w:val="77184052"/>
    <w:rsid w:val="772D77E1"/>
    <w:rsid w:val="77485367"/>
    <w:rsid w:val="775674CB"/>
    <w:rsid w:val="775E7EA0"/>
    <w:rsid w:val="77746FC1"/>
    <w:rsid w:val="77A83995"/>
    <w:rsid w:val="77BB7155"/>
    <w:rsid w:val="77C26C54"/>
    <w:rsid w:val="78340BFE"/>
    <w:rsid w:val="78377BB8"/>
    <w:rsid w:val="789D1524"/>
    <w:rsid w:val="78AD24B8"/>
    <w:rsid w:val="78C06C06"/>
    <w:rsid w:val="790B52C2"/>
    <w:rsid w:val="79187D85"/>
    <w:rsid w:val="793F59A3"/>
    <w:rsid w:val="797666C3"/>
    <w:rsid w:val="799C6799"/>
    <w:rsid w:val="79CA0455"/>
    <w:rsid w:val="7A2E0A82"/>
    <w:rsid w:val="7A4F61B8"/>
    <w:rsid w:val="7A69376A"/>
    <w:rsid w:val="7A734933"/>
    <w:rsid w:val="7A8F04A9"/>
    <w:rsid w:val="7AA970D1"/>
    <w:rsid w:val="7ADA6048"/>
    <w:rsid w:val="7AE17D1F"/>
    <w:rsid w:val="7B4A25D3"/>
    <w:rsid w:val="7B4C7EA0"/>
    <w:rsid w:val="7B6E3228"/>
    <w:rsid w:val="7BA46454"/>
    <w:rsid w:val="7BA52168"/>
    <w:rsid w:val="7BC3219A"/>
    <w:rsid w:val="7BDC304A"/>
    <w:rsid w:val="7C322AC6"/>
    <w:rsid w:val="7C4E04D0"/>
    <w:rsid w:val="7C514125"/>
    <w:rsid w:val="7C715A29"/>
    <w:rsid w:val="7C75555E"/>
    <w:rsid w:val="7C762D48"/>
    <w:rsid w:val="7C8A0E9C"/>
    <w:rsid w:val="7CE93A9D"/>
    <w:rsid w:val="7D282A1D"/>
    <w:rsid w:val="7D3E0918"/>
    <w:rsid w:val="7D423A4F"/>
    <w:rsid w:val="7D82009B"/>
    <w:rsid w:val="7D88695A"/>
    <w:rsid w:val="7DB27022"/>
    <w:rsid w:val="7DDE424F"/>
    <w:rsid w:val="7DF32EE7"/>
    <w:rsid w:val="7E031DD5"/>
    <w:rsid w:val="7E517983"/>
    <w:rsid w:val="7E593DB5"/>
    <w:rsid w:val="7E646C69"/>
    <w:rsid w:val="7E8C63BA"/>
    <w:rsid w:val="7E8F5E50"/>
    <w:rsid w:val="7EB133EA"/>
    <w:rsid w:val="7EBF2607"/>
    <w:rsid w:val="7ECA22EE"/>
    <w:rsid w:val="7EDC6108"/>
    <w:rsid w:val="7F0320EC"/>
    <w:rsid w:val="7F3E5653"/>
    <w:rsid w:val="7F9F2AF9"/>
    <w:rsid w:val="7FC63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ascii="Times New Roman" w:hAnsi="Times New Roman" w:eastAsia="宋体" w:cs="Times New Roman"/>
      <w:b/>
      <w:kern w:val="44"/>
      <w:sz w:val="44"/>
      <w:szCs w:val="20"/>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beforeLines="0" w:after="260" w:afterLines="0" w:line="413" w:lineRule="auto"/>
      <w:outlineLvl w:val="2"/>
    </w:pPr>
    <w:rPr>
      <w:b/>
      <w:bCs/>
      <w:sz w:val="32"/>
      <w:szCs w:val="32"/>
    </w:rPr>
  </w:style>
  <w:style w:type="paragraph" w:styleId="6">
    <w:name w:val="heading 4"/>
    <w:basedOn w:val="1"/>
    <w:next w:val="1"/>
    <w:unhideWhenUsed/>
    <w:qFormat/>
    <w:uiPriority w:val="0"/>
    <w:pPr>
      <w:keepNext/>
      <w:keepLines/>
      <w:spacing w:line="360" w:lineRule="auto"/>
      <w:jc w:val="center"/>
      <w:outlineLvl w:val="3"/>
    </w:pPr>
    <w:rPr>
      <w:rFonts w:ascii="Arial" w:hAnsi="Arial"/>
      <w:b/>
      <w:sz w:val="28"/>
    </w:rPr>
  </w:style>
  <w:style w:type="character" w:default="1" w:styleId="20">
    <w:name w:val="Default Paragraph Font"/>
    <w:link w:val="21"/>
    <w:unhideWhenUsed/>
    <w:qFormat/>
    <w:uiPriority w:val="1"/>
    <w:rPr>
      <w:rFonts w:ascii="Times New Roman" w:hAnsi="Times New Roman"/>
      <w:szCs w:val="24"/>
    </w:rPr>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7">
    <w:name w:val="List 3"/>
    <w:basedOn w:val="1"/>
    <w:qFormat/>
    <w:uiPriority w:val="0"/>
    <w:pPr>
      <w:ind w:left="1260" w:hanging="420"/>
    </w:pPr>
    <w:rPr>
      <w:rFonts w:ascii="Times New Roman" w:hAnsi="Times New Roman"/>
      <w:szCs w:val="20"/>
    </w:rPr>
  </w:style>
  <w:style w:type="paragraph" w:styleId="8">
    <w:name w:val="Normal Indent"/>
    <w:basedOn w:val="1"/>
    <w:qFormat/>
    <w:uiPriority w:val="0"/>
    <w:pPr>
      <w:ind w:firstLine="420"/>
    </w:pPr>
    <w:rPr>
      <w:rFonts w:ascii="宋体" w:hAnsi="宋体"/>
      <w:kern w:val="0"/>
      <w:sz w:val="20"/>
      <w:szCs w:val="20"/>
    </w:rPr>
  </w:style>
  <w:style w:type="paragraph" w:styleId="9">
    <w:name w:val="annotation text"/>
    <w:basedOn w:val="1"/>
    <w:qFormat/>
    <w:uiPriority w:val="0"/>
    <w:pPr>
      <w:jc w:val="left"/>
    </w:pPr>
  </w:style>
  <w:style w:type="paragraph" w:styleId="10">
    <w:name w:val="Plain Text"/>
    <w:basedOn w:val="1"/>
    <w:qFormat/>
    <w:uiPriority w:val="0"/>
    <w:rPr>
      <w:rFonts w:ascii="宋体" w:hAnsi="Courier New"/>
      <w:kern w:val="0"/>
      <w:sz w:val="20"/>
      <w:szCs w:val="20"/>
    </w:rPr>
  </w:style>
  <w:style w:type="paragraph" w:styleId="11">
    <w:name w:val="Body Text Indent 2"/>
    <w:basedOn w:val="1"/>
    <w:qFormat/>
    <w:uiPriority w:val="0"/>
    <w:pPr>
      <w:spacing w:after="120" w:line="480" w:lineRule="auto"/>
      <w:ind w:left="420" w:leftChars="200"/>
    </w:pPr>
    <w:rPr>
      <w:szCs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Times New Roman" w:hAnsi="Times New Roman"/>
      <w:szCs w:val="24"/>
    </w:rPr>
  </w:style>
  <w:style w:type="paragraph" w:styleId="15">
    <w:name w:val="Subtitle"/>
    <w:basedOn w:val="1"/>
    <w:next w:val="1"/>
    <w:qFormat/>
    <w:uiPriority w:val="0"/>
    <w:pPr>
      <w:jc w:val="center"/>
    </w:pPr>
    <w:rPr>
      <w:rFonts w:ascii="Calibri" w:hAnsi="Calibri" w:eastAsia="宋体" w:cs="Times New Roman"/>
      <w:sz w:val="24"/>
      <w:szCs w:val="24"/>
      <w:lang w:val="en-US" w:eastAsia="zh-CN" w:bidi="ar-SA"/>
    </w:rPr>
  </w:style>
  <w:style w:type="paragraph" w:styleId="16">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pPr>
    <w:rPr>
      <w:rFonts w:ascii="黑体" w:hAnsi="Courier New" w:eastAsia="黑体"/>
      <w:kern w:val="0"/>
      <w:sz w:val="20"/>
      <w:szCs w:val="20"/>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Char Char Char Char Char Char"/>
    <w:basedOn w:val="1"/>
    <w:link w:val="20"/>
    <w:qFormat/>
    <w:uiPriority w:val="0"/>
    <w:rPr>
      <w:rFonts w:ascii="Times New Roman" w:hAnsi="Times New Roman"/>
      <w:szCs w:val="24"/>
    </w:rPr>
  </w:style>
  <w:style w:type="character" w:styleId="22">
    <w:name w:val="Strong"/>
    <w:basedOn w:val="20"/>
    <w:qFormat/>
    <w:uiPriority w:val="22"/>
    <w:rPr>
      <w:b/>
      <w:bCs/>
    </w:rPr>
  </w:style>
  <w:style w:type="character" w:styleId="23">
    <w:name w:val="page number"/>
    <w:basedOn w:val="20"/>
    <w:qFormat/>
    <w:uiPriority w:val="0"/>
  </w:style>
  <w:style w:type="character" w:styleId="24">
    <w:name w:val="FollowedHyperlink"/>
    <w:basedOn w:val="20"/>
    <w:qFormat/>
    <w:uiPriority w:val="0"/>
    <w:rPr>
      <w:color w:val="333333"/>
      <w:u w:val="none"/>
    </w:rPr>
  </w:style>
  <w:style w:type="character" w:styleId="25">
    <w:name w:val="Hyperlink"/>
    <w:basedOn w:val="20"/>
    <w:qFormat/>
    <w:uiPriority w:val="0"/>
    <w:rPr>
      <w:color w:val="0000FF"/>
      <w:u w:val="single"/>
    </w:rPr>
  </w:style>
  <w:style w:type="character" w:styleId="26">
    <w:name w:val="annotation reference"/>
    <w:basedOn w:val="20"/>
    <w:qFormat/>
    <w:uiPriority w:val="0"/>
    <w:rPr>
      <w:sz w:val="21"/>
      <w:szCs w:val="21"/>
    </w:rPr>
  </w:style>
  <w:style w:type="paragraph" w:customStyle="1" w:styleId="27">
    <w:name w:val="首行缩进"/>
    <w:basedOn w:val="1"/>
    <w:qFormat/>
    <w:uiPriority w:val="0"/>
    <w:pPr>
      <w:ind w:firstLine="480" w:firstLineChars="200"/>
    </w:pPr>
    <w:rPr>
      <w:lang w:val="zh-CN"/>
    </w:rPr>
  </w:style>
  <w:style w:type="paragraph" w:customStyle="1" w:styleId="28">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9">
    <w:name w:val="正文+宋体"/>
    <w:basedOn w:val="17"/>
    <w:qFormat/>
    <w:uiPriority w:val="0"/>
    <w:pPr>
      <w:shd w:val="clear" w:color="auto" w:fill="FFFFFF"/>
      <w:spacing w:before="0" w:beforeAutospacing="0" w:after="0" w:afterAutospacing="0"/>
      <w:ind w:firstLine="480" w:firstLineChars="200"/>
    </w:pPr>
    <w:rPr>
      <w:kern w:val="2"/>
    </w:rPr>
  </w:style>
  <w:style w:type="paragraph" w:customStyle="1" w:styleId="30">
    <w:name w:val="Char Char Char Char Char Char Char"/>
    <w:basedOn w:val="1"/>
    <w:qFormat/>
    <w:uiPriority w:val="0"/>
    <w:rPr>
      <w:rFonts w:ascii="Times New Roman" w:hAnsi="Times New Roman"/>
      <w:szCs w:val="24"/>
    </w:rPr>
  </w:style>
  <w:style w:type="paragraph" w:customStyle="1" w:styleId="31">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2">
    <w:name w:val="样式3"/>
    <w:basedOn w:val="10"/>
    <w:qFormat/>
    <w:uiPriority w:val="0"/>
    <w:pPr>
      <w:spacing w:line="0" w:lineRule="atLeast"/>
      <w:outlineLvl w:val="0"/>
    </w:pPr>
    <w:rPr>
      <w:sz w:val="28"/>
    </w:rPr>
  </w:style>
  <w:style w:type="paragraph" w:customStyle="1" w:styleId="33">
    <w:name w:val="p0"/>
    <w:basedOn w:val="1"/>
    <w:qFormat/>
    <w:uiPriority w:val="0"/>
    <w:pPr>
      <w:widowControl/>
    </w:pPr>
    <w:rPr>
      <w:kern w:val="0"/>
      <w:szCs w:val="21"/>
    </w:rPr>
  </w:style>
  <w:style w:type="paragraph" w:customStyle="1" w:styleId="34">
    <w:name w:val="List Paragraph"/>
    <w:basedOn w:val="1"/>
    <w:qFormat/>
    <w:uiPriority w:val="99"/>
    <w:pPr>
      <w:ind w:firstLine="420" w:firstLineChars="200"/>
    </w:pPr>
  </w:style>
  <w:style w:type="character" w:customStyle="1" w:styleId="35">
    <w:name w:val="font141"/>
    <w:basedOn w:val="20"/>
    <w:qFormat/>
    <w:uiPriority w:val="0"/>
    <w:rPr>
      <w:rFonts w:hint="default" w:ascii="Calibri" w:hAnsi="Calibri" w:cs="Calibri"/>
      <w:color w:val="000000"/>
      <w:sz w:val="22"/>
      <w:szCs w:val="22"/>
      <w:u w:val="none"/>
    </w:rPr>
  </w:style>
  <w:style w:type="character" w:customStyle="1" w:styleId="36">
    <w:name w:val="font131"/>
    <w:basedOn w:val="20"/>
    <w:qFormat/>
    <w:uiPriority w:val="0"/>
    <w:rPr>
      <w:rFonts w:hint="eastAsia" w:ascii="宋体" w:hAnsi="宋体" w:eastAsia="宋体" w:cs="宋体"/>
      <w:color w:val="000000"/>
      <w:sz w:val="22"/>
      <w:szCs w:val="22"/>
      <w:u w:val="none"/>
    </w:rPr>
  </w:style>
  <w:style w:type="character" w:customStyle="1" w:styleId="37">
    <w:name w:val="font112"/>
    <w:basedOn w:val="20"/>
    <w:qFormat/>
    <w:uiPriority w:val="0"/>
    <w:rPr>
      <w:rFonts w:hint="default" w:ascii="Calibri" w:hAnsi="Calibri" w:cs="Calibri"/>
      <w:color w:val="FF0000"/>
      <w:sz w:val="22"/>
      <w:szCs w:val="22"/>
      <w:u w:val="none"/>
    </w:rPr>
  </w:style>
  <w:style w:type="character" w:customStyle="1" w:styleId="38">
    <w:name w:val="font81"/>
    <w:basedOn w:val="20"/>
    <w:qFormat/>
    <w:uiPriority w:val="0"/>
    <w:rPr>
      <w:rFonts w:hint="default" w:ascii="Calibri" w:hAnsi="Calibri" w:cs="Calibri"/>
      <w:color w:val="000000"/>
      <w:sz w:val="22"/>
      <w:szCs w:val="22"/>
      <w:u w:val="none"/>
    </w:rPr>
  </w:style>
  <w:style w:type="character" w:customStyle="1" w:styleId="39">
    <w:name w:val="font11"/>
    <w:basedOn w:val="20"/>
    <w:qFormat/>
    <w:uiPriority w:val="0"/>
    <w:rPr>
      <w:rFonts w:hint="eastAsia" w:ascii="宋体" w:hAnsi="宋体" w:eastAsia="宋体" w:cs="宋体"/>
      <w:color w:val="000000"/>
      <w:sz w:val="22"/>
      <w:szCs w:val="22"/>
      <w:u w:val="none"/>
    </w:rPr>
  </w:style>
  <w:style w:type="character" w:customStyle="1" w:styleId="40">
    <w:name w:val="font91"/>
    <w:basedOn w:val="20"/>
    <w:qFormat/>
    <w:uiPriority w:val="0"/>
    <w:rPr>
      <w:rFonts w:hint="eastAsia" w:ascii="宋体" w:hAnsi="宋体" w:eastAsia="宋体" w:cs="宋体"/>
      <w:color w:val="000000"/>
      <w:sz w:val="21"/>
      <w:szCs w:val="21"/>
      <w:u w:val="none"/>
    </w:rPr>
  </w:style>
  <w:style w:type="character" w:customStyle="1" w:styleId="41">
    <w:name w:val="font61"/>
    <w:basedOn w:val="20"/>
    <w:qFormat/>
    <w:uiPriority w:val="0"/>
    <w:rPr>
      <w:rFonts w:hint="eastAsia" w:ascii="宋体" w:hAnsi="宋体" w:eastAsia="宋体" w:cs="宋体"/>
      <w:color w:val="000000"/>
      <w:sz w:val="21"/>
      <w:szCs w:val="21"/>
      <w:u w:val="none"/>
    </w:rPr>
  </w:style>
  <w:style w:type="character" w:customStyle="1" w:styleId="42">
    <w:name w:val="font01"/>
    <w:basedOn w:val="20"/>
    <w:qFormat/>
    <w:uiPriority w:val="0"/>
    <w:rPr>
      <w:rFonts w:hint="eastAsia" w:ascii="宋体" w:hAnsi="宋体" w:eastAsia="宋体" w:cs="宋体"/>
      <w:color w:val="000000"/>
      <w:sz w:val="22"/>
      <w:szCs w:val="22"/>
      <w:u w:val="none"/>
    </w:rPr>
  </w:style>
  <w:style w:type="character" w:customStyle="1" w:styleId="43">
    <w:name w:val="font71"/>
    <w:basedOn w:val="20"/>
    <w:qFormat/>
    <w:uiPriority w:val="0"/>
    <w:rPr>
      <w:rFonts w:ascii="font-weight : 400" w:hAnsi="font-weight : 400" w:eastAsia="font-weight : 400" w:cs="font-weight : 400"/>
      <w:color w:val="000000"/>
      <w:sz w:val="22"/>
      <w:szCs w:val="22"/>
      <w:u w:val="none"/>
    </w:rPr>
  </w:style>
  <w:style w:type="character" w:customStyle="1" w:styleId="44">
    <w:name w:val="font21"/>
    <w:basedOn w:val="20"/>
    <w:qFormat/>
    <w:uiPriority w:val="0"/>
    <w:rPr>
      <w:rFonts w:ascii="Arial" w:hAnsi="Arial" w:cs="Arial"/>
      <w:color w:val="000000"/>
      <w:sz w:val="24"/>
      <w:szCs w:val="24"/>
      <w:u w:val="none"/>
    </w:rPr>
  </w:style>
  <w:style w:type="character" w:customStyle="1" w:styleId="45">
    <w:name w:val="font41"/>
    <w:basedOn w:val="20"/>
    <w:qFormat/>
    <w:uiPriority w:val="0"/>
    <w:rPr>
      <w:rFonts w:hint="eastAsia" w:ascii="宋体" w:hAnsi="宋体" w:eastAsia="宋体" w:cs="宋体"/>
      <w:color w:val="FF0000"/>
      <w:sz w:val="24"/>
      <w:szCs w:val="24"/>
      <w:u w:val="none"/>
    </w:rPr>
  </w:style>
  <w:style w:type="character" w:customStyle="1" w:styleId="46">
    <w:name w:val="font31"/>
    <w:basedOn w:val="20"/>
    <w:qFormat/>
    <w:uiPriority w:val="0"/>
    <w:rPr>
      <w:rFonts w:hint="eastAsia" w:ascii="宋体" w:hAnsi="宋体" w:eastAsia="宋体" w:cs="宋体"/>
      <w:b/>
      <w:color w:val="000000"/>
      <w:sz w:val="22"/>
      <w:szCs w:val="22"/>
      <w:u w:val="none"/>
    </w:rPr>
  </w:style>
  <w:style w:type="character" w:customStyle="1" w:styleId="47">
    <w:name w:val="ca-01"/>
    <w:qFormat/>
    <w:uiPriority w:val="0"/>
    <w:rPr>
      <w:rFonts w:hint="eastAsia" w:ascii="宋体" w:hAnsi="宋体" w:eastAsia="宋体"/>
      <w:sz w:val="21"/>
      <w:szCs w:val="21"/>
    </w:rPr>
  </w:style>
  <w:style w:type="paragraph" w:customStyle="1" w:styleId="48">
    <w:name w:val="列出段落1"/>
    <w:basedOn w:val="1"/>
    <w:qFormat/>
    <w:uiPriority w:val="34"/>
    <w:pPr>
      <w:ind w:firstLine="420" w:firstLineChars="200"/>
    </w:pPr>
    <w:rPr>
      <w:rFonts w:ascii="Calibri" w:hAnsi="Calibri" w:cs="Calibri"/>
    </w:rPr>
  </w:style>
  <w:style w:type="paragraph" w:customStyle="1" w:styleId="49">
    <w:name w:val="正文1"/>
    <w:basedOn w:val="1"/>
    <w:qFormat/>
    <w:uiPriority w:val="0"/>
    <w:pPr>
      <w:tabs>
        <w:tab w:val="left" w:pos="1800"/>
      </w:tabs>
      <w:spacing w:line="360" w:lineRule="auto"/>
      <w:ind w:left="2" w:hanging="2"/>
      <w:jc w:val="center"/>
    </w:pPr>
    <w:rPr>
      <w:rFonts w:ascii="宋体" w:hAnsi="宋体" w:eastAsia="宋体" w:cs="Times New Roman"/>
      <w:bCs/>
      <w:sz w:val="24"/>
      <w:szCs w:val="24"/>
    </w:rPr>
  </w:style>
  <w:style w:type="character" w:customStyle="1" w:styleId="50">
    <w:name w:val="font181"/>
    <w:basedOn w:val="20"/>
    <w:qFormat/>
    <w:uiPriority w:val="0"/>
    <w:rPr>
      <w:rFonts w:hint="eastAsia" w:ascii="宋体" w:hAnsi="宋体" w:eastAsia="宋体" w:cs="宋体"/>
      <w:color w:val="000000"/>
      <w:sz w:val="22"/>
      <w:szCs w:val="22"/>
      <w:u w:val="none"/>
    </w:rPr>
  </w:style>
  <w:style w:type="character" w:customStyle="1" w:styleId="51">
    <w:name w:val="font13"/>
    <w:basedOn w:val="20"/>
    <w:qFormat/>
    <w:uiPriority w:val="0"/>
    <w:rPr>
      <w:rFonts w:hint="eastAsia" w:ascii="宋体" w:hAnsi="宋体" w:eastAsia="宋体" w:cs="宋体"/>
      <w:color w:val="FF0000"/>
      <w:sz w:val="22"/>
      <w:szCs w:val="22"/>
      <w:u w:val="none"/>
    </w:rPr>
  </w:style>
  <w:style w:type="character" w:customStyle="1" w:styleId="52">
    <w:name w:val="font12"/>
    <w:basedOn w:val="20"/>
    <w:qFormat/>
    <w:uiPriority w:val="0"/>
    <w:rPr>
      <w:rFonts w:hint="eastAsia" w:ascii="宋体" w:hAnsi="宋体" w:eastAsia="宋体" w:cs="宋体"/>
      <w:color w:val="FF0000"/>
      <w:sz w:val="22"/>
      <w:szCs w:val="22"/>
      <w:u w:val="none"/>
    </w:rPr>
  </w:style>
  <w:style w:type="character" w:customStyle="1" w:styleId="53">
    <w:name w:val="font51"/>
    <w:basedOn w:val="20"/>
    <w:qFormat/>
    <w:uiPriority w:val="0"/>
    <w:rPr>
      <w:rFonts w:hint="eastAsia" w:ascii="宋体" w:hAnsi="宋体" w:eastAsia="宋体" w:cs="宋体"/>
      <w:color w:val="000000"/>
      <w:sz w:val="22"/>
      <w:szCs w:val="22"/>
      <w:u w:val="none"/>
    </w:rPr>
  </w:style>
  <w:style w:type="character" w:customStyle="1" w:styleId="54">
    <w:name w:val="font121"/>
    <w:basedOn w:val="20"/>
    <w:qFormat/>
    <w:uiPriority w:val="0"/>
    <w:rPr>
      <w:rFonts w:hint="eastAsia" w:ascii="宋体" w:hAnsi="宋体" w:eastAsia="宋体" w:cs="宋体"/>
      <w:color w:val="000000"/>
      <w:sz w:val="18"/>
      <w:szCs w:val="18"/>
      <w:u w:val="none"/>
    </w:rPr>
  </w:style>
  <w:style w:type="paragraph" w:customStyle="1" w:styleId="55">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标题 Char Char"/>
    <w:basedOn w:val="1"/>
    <w:next w:val="15"/>
    <w:qFormat/>
    <w:uiPriority w:val="0"/>
    <w:pPr>
      <w:jc w:val="center"/>
      <w:outlineLvl w:val="0"/>
    </w:pPr>
    <w:rPr>
      <w:rFonts w:ascii="Arial" w:hAnsi="Arial"/>
      <w:b/>
      <w:sz w:val="32"/>
    </w:rPr>
  </w:style>
  <w:style w:type="paragraph" w:customStyle="1" w:styleId="5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Normal_22"/>
    <w:qFormat/>
    <w:uiPriority w:val="0"/>
    <w:rPr>
      <w:rFonts w:ascii="Times New Roman" w:hAnsi="Times New Roman" w:eastAsia="宋体" w:cs="Times New Roman"/>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146</Pages>
  <Words>17544</Words>
  <Characters>100007</Characters>
  <Lines>833</Lines>
  <Paragraphs>234</Paragraphs>
  <TotalTime>0</TotalTime>
  <ScaleCrop>false</ScaleCrop>
  <LinksUpToDate>false</LinksUpToDate>
  <CharactersWithSpaces>117317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2020-01-03T06:30:00Z</dcterms:created>
  <dc:creator>Administrator</dc:creator>
  <cp:lastModifiedBy>NTKO</cp:lastModifiedBy>
  <cp:lastPrinted>2020-12-24T06:40:00Z</cp:lastPrinted>
  <dcterms:modified xsi:type="dcterms:W3CDTF">2021-06-21T06:42:59Z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532C1F8433704A839A79B772755A00F1</vt:lpwstr>
  </property>
</Properties>
</file>