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bookmarkStart w:id="0" w:name="OLE_LINK4"/>
      <w:bookmarkStart w:id="1" w:name="OLE_LINK1"/>
      <w:bookmarkStart w:id="2" w:name="OLE_LINK2"/>
      <w:r>
        <w:rPr>
          <w:rFonts w:hint="eastAsia" w:ascii="宋体" w:hAnsi="宋体" w:cs="宋体"/>
          <w:b/>
          <w:bCs/>
          <w:color w:val="000000"/>
          <w:sz w:val="28"/>
          <w:szCs w:val="28"/>
          <w:lang w:val="en-US" w:eastAsia="zh-CN"/>
        </w:rPr>
        <w:t>1.项目名称：铜仁市中心血站全自动血型分析仪</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2.项目编号：TRZFCG-2021-009</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3.公示期限（不少于2个工作日）：</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2021年4月21日-2021年4月22日</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4.采购预算：2700000元（最高限价：2700000元）</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5.采购预算确定依据：</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铜仁市直单位政府采购（集中采购）申报表</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6.采购人名称：铜仁市中心血站</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联系地址：铜仁市中心血站</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项目联系人：管站长</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联系电话：18985855556</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7.采购代理机构全称：铜仁市公共资源交易中心</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联系地址：铜仁市公共服务中心四楼（川硐麒龙国际会展城）</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项目联系人：杨玄</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联系电话：0856-3912922</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任何单位和个人对本项目采购文件需求公示有异议的，可在公示期限内，反馈意见给代理机构。</w:t>
      </w:r>
      <w:bookmarkEnd w:id="0"/>
      <w:bookmarkEnd w:id="1"/>
      <w:bookmarkEnd w:id="2"/>
    </w:p>
    <w:p>
      <w:pPr>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br w:type="page"/>
      </w:r>
    </w:p>
    <w:p>
      <w:pPr>
        <w:pStyle w:val="4"/>
        <w:spacing w:before="200" w:after="200" w:line="360" w:lineRule="auto"/>
        <w:jc w:val="center"/>
        <w:rPr>
          <w:rFonts w:hint="eastAsia" w:ascii="宋体" w:hAnsi="宋体"/>
          <w:sz w:val="30"/>
          <w:szCs w:val="30"/>
          <w:highlight w:val="none"/>
        </w:rPr>
      </w:pPr>
      <w:r>
        <w:rPr>
          <w:rFonts w:hint="eastAsia" w:ascii="宋体" w:hAnsi="宋体"/>
          <w:sz w:val="30"/>
          <w:szCs w:val="30"/>
          <w:highlight w:val="none"/>
        </w:rPr>
        <w:t>采购人需求</w:t>
      </w:r>
    </w:p>
    <w:p>
      <w:pPr>
        <w:rPr>
          <w:rFonts w:hint="eastAsia" w:eastAsiaTheme="minorEastAsia"/>
          <w:lang w:eastAsia="zh-CN"/>
        </w:rPr>
      </w:pPr>
      <w:r>
        <w:rPr>
          <w:rFonts w:hint="eastAsia" w:ascii="宋体" w:hAnsi="宋体"/>
          <w:sz w:val="30"/>
          <w:szCs w:val="30"/>
          <w:highlight w:val="none"/>
          <w:lang w:eastAsia="zh-CN"/>
        </w:rPr>
        <w:t>采购数量：一台</w:t>
      </w:r>
      <w:bookmarkStart w:id="3" w:name="_GoBack"/>
      <w:bookmarkEnd w:id="3"/>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bCs/>
          <w:sz w:val="28"/>
          <w:szCs w:val="28"/>
        </w:rPr>
        <w:t>功能要求：</w:t>
      </w:r>
      <w:r>
        <w:rPr>
          <w:rFonts w:hint="eastAsia" w:ascii="仿宋_GB2312" w:hAnsi="仿宋_GB2312" w:eastAsia="仿宋_GB2312" w:cs="仿宋_GB2312"/>
          <w:sz w:val="28"/>
          <w:szCs w:val="28"/>
        </w:rPr>
        <w:t>ABO正反定型、Rh-D定型；IgG和IgM不规则抗体筛查；质控品与待检标本同批上机进行血型质控试验，并能得出凝集强度量化结果，自动绘制质控图。</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
          <w:bCs/>
          <w:sz w:val="28"/>
          <w:szCs w:val="28"/>
        </w:rPr>
        <w:t>总体要求</w:t>
      </w:r>
      <w:r>
        <w:rPr>
          <w:rFonts w:hint="eastAsia" w:ascii="仿宋_GB2312" w:hAnsi="仿宋_GB2312" w:eastAsia="仿宋_GB2312" w:cs="仿宋_GB2312"/>
          <w:sz w:val="28"/>
          <w:szCs w:val="28"/>
        </w:rPr>
        <w:t>：全自动一体机；仪器顶部、前、后、左、右为全封闭设计，前面可开门，防尘防灰。</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
          <w:bCs/>
          <w:sz w:val="28"/>
          <w:szCs w:val="28"/>
        </w:rPr>
        <w:t>检测速度：</w:t>
      </w:r>
      <w:r>
        <w:rPr>
          <w:rFonts w:hint="eastAsia" w:ascii="仿宋_GB2312" w:hAnsi="仿宋_GB2312" w:eastAsia="仿宋_GB2312" w:cs="仿宋_GB2312"/>
          <w:sz w:val="28"/>
          <w:szCs w:val="28"/>
        </w:rPr>
        <w:t>每小时完成≥190个标本的ABO正反定型及Rh-D定型。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b/>
          <w:bCs/>
          <w:sz w:val="28"/>
          <w:szCs w:val="28"/>
        </w:rPr>
        <w:t>实验载体：</w:t>
      </w:r>
      <w:r>
        <w:rPr>
          <w:rFonts w:hint="eastAsia" w:ascii="仿宋_GB2312" w:hAnsi="仿宋_GB2312" w:eastAsia="仿宋_GB2312" w:cs="仿宋_GB2312"/>
          <w:sz w:val="28"/>
          <w:szCs w:val="28"/>
        </w:rPr>
        <w:t xml:space="preserve"> 96孔微板，U型或UV型微板。</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b/>
          <w:bCs/>
          <w:sz w:val="28"/>
          <w:szCs w:val="28"/>
        </w:rPr>
        <w:t>工作模式：</w:t>
      </w:r>
      <w:r>
        <w:rPr>
          <w:rFonts w:hint="eastAsia" w:ascii="仿宋_GB2312" w:hAnsi="仿宋_GB2312" w:eastAsia="仿宋_GB2312" w:cs="仿宋_GB2312"/>
          <w:sz w:val="28"/>
          <w:szCs w:val="28"/>
        </w:rPr>
        <w:t>实验过程中对至少2块实验微板并列加样、2块实验微板并列孵育、2块实验微板并列离心。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b/>
          <w:bCs/>
          <w:sz w:val="28"/>
          <w:szCs w:val="28"/>
        </w:rPr>
        <w:t>样本位：</w:t>
      </w:r>
      <w:r>
        <w:rPr>
          <w:rFonts w:hint="eastAsia" w:ascii="仿宋_GB2312" w:hAnsi="仿宋_GB2312" w:eastAsia="仿宋_GB2312" w:cs="仿宋_GB2312"/>
          <w:sz w:val="28"/>
          <w:szCs w:val="28"/>
        </w:rPr>
        <w:t>可同时装载原始试管样本数量≥190个。</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hint="eastAsia" w:ascii="仿宋_GB2312" w:hAnsi="仿宋_GB2312" w:eastAsia="仿宋_GB2312" w:cs="仿宋_GB2312"/>
          <w:b/>
          <w:bCs/>
          <w:sz w:val="28"/>
          <w:szCs w:val="28"/>
        </w:rPr>
        <w:t>加样通道：</w:t>
      </w:r>
      <w:r>
        <w:rPr>
          <w:rFonts w:hint="eastAsia" w:ascii="仿宋_GB2312" w:hAnsi="仿宋_GB2312" w:eastAsia="仿宋_GB2312" w:cs="仿宋_GB2312"/>
          <w:sz w:val="28"/>
          <w:szCs w:val="28"/>
        </w:rPr>
        <w:t>≥8个加样通道，液体置换加样原理。均采用固定式永久性钢针，无加样针耗材。</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b/>
          <w:bCs/>
          <w:sz w:val="28"/>
          <w:szCs w:val="28"/>
        </w:rPr>
        <w:t>加样精度：</w:t>
      </w:r>
      <w:r>
        <w:rPr>
          <w:rFonts w:hint="eastAsia" w:ascii="仿宋_GB2312" w:hAnsi="仿宋_GB2312" w:eastAsia="仿宋_GB2312" w:cs="仿宋_GB2312"/>
          <w:sz w:val="28"/>
          <w:szCs w:val="28"/>
        </w:rPr>
        <w:t>加样液量为10μl时，CV≤2%；加样液量＞20μl时 ，CV≤1%。</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r>
        <w:rPr>
          <w:rFonts w:hint="eastAsia" w:ascii="仿宋_GB2312" w:hAnsi="仿宋_GB2312" w:eastAsia="仿宋_GB2312" w:cs="仿宋_GB2312"/>
          <w:b/>
          <w:bCs/>
          <w:sz w:val="28"/>
          <w:szCs w:val="28"/>
        </w:rPr>
        <w:t>加样微板位：</w:t>
      </w:r>
      <w:r>
        <w:rPr>
          <w:rFonts w:hint="eastAsia" w:ascii="仿宋_GB2312" w:hAnsi="仿宋_GB2312" w:eastAsia="仿宋_GB2312" w:cs="仿宋_GB2312"/>
          <w:sz w:val="28"/>
          <w:szCs w:val="28"/>
        </w:rPr>
        <w:t>≥2个加样微板位，至少2块实验微板可同时通过微板位底座旋转90°，以高效分配标本和试剂。</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r>
        <w:rPr>
          <w:rFonts w:hint="eastAsia" w:ascii="仿宋_GB2312" w:hAnsi="仿宋_GB2312" w:eastAsia="仿宋_GB2312" w:cs="仿宋_GB2312"/>
          <w:b/>
          <w:bCs/>
          <w:sz w:val="28"/>
          <w:szCs w:val="28"/>
        </w:rPr>
        <w:t>高效分配功能：</w:t>
      </w:r>
      <w:r>
        <w:rPr>
          <w:rFonts w:hint="eastAsia" w:ascii="仿宋_GB2312" w:hAnsi="仿宋_GB2312" w:eastAsia="仿宋_GB2312" w:cs="仿宋_GB2312"/>
          <w:sz w:val="28"/>
          <w:szCs w:val="28"/>
        </w:rPr>
        <w:t>试验中一次吸液≥8个不同标本，并列分配到实验微板；一次吸取≥6种不同试剂，并列分配到实验微板。</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r>
        <w:rPr>
          <w:rFonts w:hint="eastAsia" w:ascii="仿宋_GB2312" w:hAnsi="仿宋_GB2312" w:eastAsia="仿宋_GB2312" w:cs="仿宋_GB2312"/>
          <w:b/>
          <w:bCs/>
          <w:sz w:val="28"/>
          <w:szCs w:val="28"/>
        </w:rPr>
        <w:t>标本稀释：</w:t>
      </w:r>
      <w:r>
        <w:rPr>
          <w:rFonts w:hint="eastAsia" w:ascii="仿宋_GB2312" w:hAnsi="仿宋_GB2312" w:eastAsia="仿宋_GB2312" w:cs="仿宋_GB2312"/>
          <w:sz w:val="28"/>
          <w:szCs w:val="28"/>
        </w:rPr>
        <w:t>可同时装载≥2块96孔稀释板用于标本稀释。稀释板位具备光学监测装置，当仪器工作中缺稀释板时能自动检测并报警。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r>
        <w:rPr>
          <w:rFonts w:hint="eastAsia" w:ascii="仿宋_GB2312" w:hAnsi="仿宋_GB2312" w:eastAsia="仿宋_GB2312" w:cs="仿宋_GB2312"/>
          <w:b/>
          <w:bCs/>
          <w:sz w:val="28"/>
          <w:szCs w:val="28"/>
        </w:rPr>
        <w:t>新板载架：</w:t>
      </w:r>
      <w:r>
        <w:rPr>
          <w:rFonts w:hint="eastAsia" w:ascii="仿宋_GB2312" w:hAnsi="仿宋_GB2312" w:eastAsia="仿宋_GB2312" w:cs="仿宋_GB2312"/>
          <w:sz w:val="28"/>
          <w:szCs w:val="28"/>
        </w:rPr>
        <w:t>新微板以层叠方式存储在新板载架上，仪器根据待检标本量自动取板试验，一次装载微板数量≥15块。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r>
        <w:rPr>
          <w:rFonts w:hint="eastAsia" w:ascii="仿宋_GB2312" w:hAnsi="仿宋_GB2312" w:eastAsia="仿宋_GB2312" w:cs="仿宋_GB2312"/>
          <w:b/>
          <w:bCs/>
          <w:sz w:val="28"/>
          <w:szCs w:val="28"/>
        </w:rPr>
        <w:t>废板载架：</w:t>
      </w:r>
      <w:r>
        <w:rPr>
          <w:rFonts w:hint="eastAsia" w:ascii="仿宋_GB2312" w:hAnsi="仿宋_GB2312" w:eastAsia="仿宋_GB2312" w:cs="仿宋_GB2312"/>
          <w:sz w:val="28"/>
          <w:szCs w:val="28"/>
        </w:rPr>
        <w:t>试验后的废板层叠摆放在废板载架上，废板载架内置≥15组光学感应式微板计数器，当废板数量达到装载量上限时报警提示。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r>
        <w:rPr>
          <w:rFonts w:hint="eastAsia" w:ascii="仿宋_GB2312" w:hAnsi="仿宋_GB2312" w:eastAsia="仿宋_GB2312" w:cs="仿宋_GB2312"/>
          <w:b/>
          <w:bCs/>
          <w:sz w:val="28"/>
          <w:szCs w:val="28"/>
        </w:rPr>
        <w:t>微板数量动态监测：</w:t>
      </w:r>
      <w:r>
        <w:rPr>
          <w:rFonts w:hint="eastAsia" w:ascii="仿宋_GB2312" w:hAnsi="仿宋_GB2312" w:eastAsia="仿宋_GB2312" w:cs="仿宋_GB2312"/>
          <w:sz w:val="28"/>
          <w:szCs w:val="28"/>
        </w:rPr>
        <w:t>新板载架和废板载架均具备≥15组光学传感器，自动记录微板数量并实时显示在软件界面，添加新板或取走废板后软件界面自动更新微板数。</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r>
        <w:rPr>
          <w:rFonts w:hint="eastAsia" w:ascii="仿宋_GB2312" w:hAnsi="仿宋_GB2312" w:eastAsia="仿宋_GB2312" w:cs="仿宋_GB2312"/>
          <w:b/>
          <w:bCs/>
          <w:sz w:val="28"/>
          <w:szCs w:val="28"/>
        </w:rPr>
        <w:t>反应模块：</w:t>
      </w:r>
      <w:r>
        <w:rPr>
          <w:rFonts w:hint="eastAsia" w:ascii="仿宋_GB2312" w:hAnsi="仿宋_GB2312" w:eastAsia="仿宋_GB2312" w:cs="仿宋_GB2312"/>
          <w:sz w:val="28"/>
          <w:szCs w:val="28"/>
        </w:rPr>
        <w:t>具备≥2个密闭式微板孵育器和≥1台微板离心机。孵育器控温范围：室温</w:t>
      </w:r>
      <w:r>
        <w:rPr>
          <w:rFonts w:hint="eastAsia" w:ascii="仿宋_GB2312" w:hAnsi="仿宋_GB2312" w:eastAsia="仿宋_GB2312" w:cs="仿宋_GB2312"/>
          <w:sz w:val="28"/>
          <w:szCs w:val="28"/>
          <w:lang w:eastAsia="zh-CN"/>
        </w:rPr>
        <w:t>至</w:t>
      </w:r>
      <w:r>
        <w:rPr>
          <w:rFonts w:hint="eastAsia" w:ascii="仿宋_GB2312" w:hAnsi="仿宋_GB2312" w:eastAsia="仿宋_GB2312" w:cs="仿宋_GB2312"/>
          <w:sz w:val="28"/>
          <w:szCs w:val="28"/>
        </w:rPr>
        <w:t>50℃，工作中自动封闭孵育；离心机可同时对≥2块实验微板离心，转速：0-2000rpm。孵育器与离心机须为两个相互分开独立的模块，不可共用。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w:t>
      </w:r>
      <w:r>
        <w:rPr>
          <w:rFonts w:hint="eastAsia" w:ascii="仿宋_GB2312" w:hAnsi="仿宋_GB2312" w:eastAsia="仿宋_GB2312" w:cs="仿宋_GB2312"/>
          <w:b/>
          <w:bCs/>
          <w:sz w:val="28"/>
          <w:szCs w:val="28"/>
        </w:rPr>
        <w:t>振荡器：</w:t>
      </w:r>
      <w:r>
        <w:rPr>
          <w:rFonts w:hint="eastAsia" w:ascii="仿宋_GB2312" w:hAnsi="仿宋_GB2312" w:eastAsia="仿宋_GB2312" w:cs="仿宋_GB2312"/>
          <w:sz w:val="28"/>
          <w:szCs w:val="28"/>
        </w:rPr>
        <w:t>支持直线、圆周2种振荡模式，支持同一程序含≥4种不同级别频率的振荡。</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w:t>
      </w:r>
      <w:r>
        <w:rPr>
          <w:rFonts w:hint="eastAsia" w:ascii="仿宋_GB2312" w:hAnsi="仿宋_GB2312" w:eastAsia="仿宋_GB2312" w:cs="仿宋_GB2312"/>
          <w:b/>
          <w:bCs/>
          <w:sz w:val="28"/>
          <w:szCs w:val="28"/>
        </w:rPr>
        <w:t>．上清液吸取装置：</w:t>
      </w:r>
      <w:r>
        <w:rPr>
          <w:rFonts w:hint="eastAsia" w:ascii="仿宋_GB2312" w:hAnsi="仿宋_GB2312" w:eastAsia="仿宋_GB2312" w:cs="仿宋_GB2312"/>
          <w:sz w:val="28"/>
          <w:szCs w:val="28"/>
        </w:rPr>
        <w:t xml:space="preserve">内置≥1台上清液吸取装置，吸液头：≥16通道，应用于凝聚胺介质法中自动高效去除上清液。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w:t>
      </w:r>
      <w:r>
        <w:rPr>
          <w:rFonts w:hint="eastAsia" w:ascii="仿宋_GB2312" w:hAnsi="仿宋_GB2312" w:eastAsia="仿宋_GB2312" w:cs="仿宋_GB2312"/>
          <w:b/>
          <w:bCs/>
          <w:sz w:val="28"/>
          <w:szCs w:val="28"/>
        </w:rPr>
        <w:t>判读仪：</w:t>
      </w:r>
      <w:r>
        <w:rPr>
          <w:rFonts w:hint="eastAsia" w:ascii="仿宋_GB2312" w:hAnsi="仿宋_GB2312" w:eastAsia="仿宋_GB2312" w:cs="仿宋_GB2312"/>
          <w:sz w:val="28"/>
          <w:szCs w:val="28"/>
        </w:rPr>
        <w:t>CCD数字成像技术，采用封闭式暗室成像；判读时从微板底部获取图像以避免脂血干扰。</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w:t>
      </w:r>
      <w:r>
        <w:rPr>
          <w:rFonts w:hint="eastAsia" w:ascii="仿宋_GB2312" w:hAnsi="仿宋_GB2312" w:eastAsia="仿宋_GB2312" w:cs="仿宋_GB2312"/>
          <w:b/>
          <w:bCs/>
          <w:sz w:val="28"/>
          <w:szCs w:val="28"/>
        </w:rPr>
        <w:t>全中文软件：</w:t>
      </w:r>
      <w:r>
        <w:rPr>
          <w:rFonts w:hint="eastAsia" w:ascii="仿宋_GB2312" w:hAnsi="仿宋_GB2312" w:eastAsia="仿宋_GB2312" w:cs="仿宋_GB2312"/>
          <w:sz w:val="28"/>
          <w:szCs w:val="28"/>
        </w:rPr>
        <w:t>全中文界面操作软件，能与血站管理系统软件对接。</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r>
        <w:rPr>
          <w:rFonts w:hint="eastAsia" w:ascii="仿宋_GB2312" w:hAnsi="仿宋_GB2312" w:eastAsia="仿宋_GB2312" w:cs="仿宋_GB2312"/>
          <w:b/>
          <w:bCs/>
          <w:sz w:val="28"/>
          <w:szCs w:val="28"/>
        </w:rPr>
        <w:t>断点再续功能：</w:t>
      </w:r>
      <w:r>
        <w:rPr>
          <w:rFonts w:hint="eastAsia" w:ascii="仿宋_GB2312" w:hAnsi="仿宋_GB2312" w:eastAsia="仿宋_GB2312" w:cs="仿宋_GB2312"/>
          <w:sz w:val="28"/>
          <w:szCs w:val="28"/>
        </w:rPr>
        <w:t>仪器工作中发生非正常停机时，重新启动仪器后，可紧接停机前的试验步骤自动继续完成后继试验步骤。</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w:t>
      </w:r>
      <w:r>
        <w:rPr>
          <w:rFonts w:hint="eastAsia" w:ascii="仿宋_GB2312" w:hAnsi="仿宋_GB2312" w:eastAsia="仿宋_GB2312" w:cs="仿宋_GB2312"/>
          <w:b/>
          <w:bCs/>
          <w:sz w:val="28"/>
          <w:szCs w:val="28"/>
        </w:rPr>
        <w:t>自动质控功能：</w:t>
      </w:r>
      <w:r>
        <w:rPr>
          <w:rFonts w:hint="eastAsia" w:ascii="仿宋_GB2312" w:hAnsi="仿宋_GB2312" w:eastAsia="仿宋_GB2312" w:cs="仿宋_GB2312"/>
          <w:sz w:val="28"/>
          <w:szCs w:val="28"/>
        </w:rPr>
        <w:t>质控品与正常待检测样本同批上机检测；自动对质控孔进行凝集强度量化判读分析（4+、3+、2+、1+、-）；自动绘制质控图，对失控检测结果报警提示。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w:t>
      </w:r>
      <w:r>
        <w:rPr>
          <w:rFonts w:hint="eastAsia" w:ascii="仿宋_GB2312" w:hAnsi="仿宋_GB2312" w:eastAsia="仿宋_GB2312" w:cs="仿宋_GB2312"/>
          <w:b/>
          <w:bCs/>
          <w:sz w:val="28"/>
          <w:szCs w:val="28"/>
        </w:rPr>
        <w:t>条码扫描：</w:t>
      </w:r>
      <w:r>
        <w:rPr>
          <w:rFonts w:hint="eastAsia" w:ascii="仿宋_GB2312" w:hAnsi="仿宋_GB2312" w:eastAsia="仿宋_GB2312" w:cs="仿宋_GB2312"/>
          <w:sz w:val="28"/>
          <w:szCs w:val="28"/>
        </w:rPr>
        <w:t>具备试管和微板条码扫描仪，自动扫描标本试管条码和血型微板条码。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w:t>
      </w:r>
      <w:r>
        <w:rPr>
          <w:rFonts w:hint="eastAsia" w:ascii="仿宋_GB2312" w:hAnsi="仿宋_GB2312" w:eastAsia="仿宋_GB2312" w:cs="仿宋_GB2312"/>
          <w:b/>
          <w:bCs/>
          <w:sz w:val="28"/>
          <w:szCs w:val="28"/>
        </w:rPr>
        <w:t>试剂混匀：≥</w:t>
      </w:r>
      <w:r>
        <w:rPr>
          <w:rFonts w:hint="eastAsia" w:ascii="仿宋_GB2312" w:hAnsi="仿宋_GB2312" w:eastAsia="仿宋_GB2312" w:cs="仿宋_GB2312"/>
          <w:sz w:val="28"/>
          <w:szCs w:val="28"/>
        </w:rPr>
        <w:t>6种试剂，具备独立的摇摆式或回转式混匀装置，防止细胞试剂下沉，不可使用磁力搅拌或吸吐混匀。</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24．安全防护：</w:t>
      </w:r>
      <w:r>
        <w:rPr>
          <w:rFonts w:hint="eastAsia" w:ascii="仿宋_GB2312" w:hAnsi="仿宋_GB2312" w:eastAsia="仿宋_GB2312" w:cs="仿宋_GB2312"/>
          <w:sz w:val="28"/>
          <w:szCs w:val="28"/>
        </w:rPr>
        <w:t>具备报警声、报警灯双重报警的功能；具备安全门锁，可在仪器运行过程中自动锁紧防护门。</w:t>
      </w:r>
    </w:p>
    <w:p>
      <w:pPr>
        <w:pStyle w:val="10"/>
        <w:spacing w:line="560" w:lineRule="exact"/>
        <w:ind w:firstLine="281" w:firstLineChars="100"/>
        <w:jc w:val="lef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25．系统液：</w:t>
      </w:r>
      <w:r>
        <w:rPr>
          <w:rFonts w:hint="eastAsia" w:ascii="仿宋_GB2312" w:hAnsi="仿宋_GB2312" w:eastAsia="仿宋_GB2312" w:cs="仿宋_GB2312"/>
          <w:sz w:val="28"/>
          <w:szCs w:val="28"/>
        </w:rPr>
        <w:t>系统液壶容量≥4L，自动监测液量，并将液量实时显示在软件界面。</w:t>
      </w:r>
    </w:p>
    <w:p>
      <w:pPr>
        <w:pStyle w:val="10"/>
        <w:spacing w:line="560" w:lineRule="exact"/>
        <w:ind w:firstLine="280" w:firstLineChars="100"/>
        <w:jc w:val="left"/>
        <w:rPr>
          <w:rFonts w:hint="eastAsia" w:ascii="仿宋_GB2312" w:hAnsi="仿宋_GB2312" w:eastAsia="仿宋_GB2312" w:cs="仿宋_GB2312"/>
          <w:sz w:val="28"/>
          <w:szCs w:val="28"/>
        </w:rPr>
      </w:pPr>
    </w:p>
    <w:p>
      <w:pPr>
        <w:pStyle w:val="10"/>
        <w:spacing w:line="560" w:lineRule="exact"/>
        <w:ind w:firstLine="300" w:firstLineChars="100"/>
        <w:jc w:val="left"/>
        <w:rPr>
          <w:rFonts w:hint="eastAsia" w:ascii="仿宋_GB2312" w:hAnsi="仿宋_GB2312" w:cs="仿宋_GB2312" w:eastAsiaTheme="minorEastAsia"/>
          <w:sz w:val="28"/>
          <w:szCs w:val="28"/>
          <w:lang w:eastAsia="zh-CN"/>
        </w:rPr>
      </w:pPr>
      <w:r>
        <w:rPr>
          <w:rFonts w:hint="eastAsia" w:ascii="宋体" w:hAnsi="宋体"/>
          <w:sz w:val="30"/>
          <w:szCs w:val="30"/>
          <w:highlight w:val="none"/>
        </w:rPr>
        <w:t>备注：招标文件论证费和专家评审费用由中标人承担</w:t>
      </w:r>
      <w:r>
        <w:rPr>
          <w:rFonts w:hint="eastAsia" w:hAnsi="宋体"/>
          <w:sz w:val="30"/>
          <w:szCs w:val="30"/>
          <w:highlight w:val="none"/>
          <w:lang w:eastAsia="zh-CN"/>
        </w:rPr>
        <w:t>。</w:t>
      </w:r>
    </w:p>
    <w:p>
      <w:pPr>
        <w:pStyle w:val="10"/>
        <w:spacing w:line="560" w:lineRule="exact"/>
        <w:ind w:firstLine="280" w:firstLineChars="100"/>
        <w:jc w:val="left"/>
        <w:rPr>
          <w:rFonts w:hint="eastAsia" w:ascii="仿宋_GB2312" w:hAnsi="仿宋_GB2312" w:eastAsia="仿宋_GB2312" w:cs="仿宋_GB2312"/>
          <w:sz w:val="28"/>
          <w:szCs w:val="28"/>
        </w:rPr>
      </w:pPr>
    </w:p>
    <w:p>
      <w:pPr>
        <w:pStyle w:val="10"/>
        <w:spacing w:line="560" w:lineRule="exact"/>
        <w:ind w:firstLine="280" w:firstLineChars="100"/>
        <w:jc w:val="left"/>
        <w:rPr>
          <w:rFonts w:hint="eastAsia" w:ascii="仿宋_GB2312" w:hAnsi="仿宋_GB2312" w:eastAsia="仿宋_GB2312" w:cs="仿宋_GB2312"/>
          <w:sz w:val="28"/>
          <w:szCs w:val="28"/>
        </w:rPr>
      </w:pPr>
    </w:p>
    <w:p>
      <w:pPr>
        <w:pStyle w:val="10"/>
        <w:spacing w:line="560" w:lineRule="exact"/>
        <w:ind w:firstLine="280" w:firstLineChars="100"/>
        <w:jc w:val="left"/>
        <w:rPr>
          <w:rFonts w:hint="eastAsia" w:ascii="仿宋_GB2312" w:hAnsi="仿宋_GB2312" w:eastAsia="仿宋_GB2312" w:cs="仿宋_GB2312"/>
          <w:sz w:val="28"/>
          <w:szCs w:val="28"/>
          <w:lang w:eastAsia="zh-CN"/>
        </w:rPr>
      </w:pPr>
    </w:p>
    <w:p>
      <w:pPr>
        <w:pStyle w:val="10"/>
        <w:spacing w:line="560" w:lineRule="exact"/>
        <w:ind w:firstLine="280" w:firstLineChars="100"/>
        <w:jc w:val="left"/>
        <w:rPr>
          <w:rFonts w:hint="eastAsia" w:ascii="仿宋_GB2312" w:hAnsi="仿宋_GB2312" w:eastAsia="仿宋_GB2312" w:cs="仿宋_GB2312"/>
          <w:sz w:val="28"/>
          <w:szCs w:val="28"/>
          <w:lang w:eastAsia="zh-CN"/>
        </w:rPr>
      </w:pPr>
    </w:p>
    <w:p>
      <w:pPr>
        <w:pStyle w:val="10"/>
        <w:spacing w:line="560" w:lineRule="exact"/>
        <w:ind w:firstLine="280" w:firstLineChars="100"/>
        <w:jc w:val="left"/>
        <w:rPr>
          <w:rFonts w:hint="eastAsia" w:ascii="仿宋_GB2312" w:hAnsi="仿宋_GB2312" w:eastAsia="仿宋_GB2312" w:cs="仿宋_GB2312"/>
          <w:sz w:val="28"/>
          <w:szCs w:val="28"/>
          <w:lang w:eastAsia="zh-CN"/>
        </w:rPr>
      </w:pPr>
    </w:p>
    <w:p>
      <w:pPr>
        <w:pStyle w:val="10"/>
        <w:spacing w:line="560" w:lineRule="exact"/>
        <w:ind w:firstLine="280" w:firstLineChars="100"/>
        <w:jc w:val="left"/>
        <w:rPr>
          <w:rFonts w:hint="eastAsia" w:ascii="仿宋_GB2312" w:hAnsi="仿宋_GB2312" w:eastAsia="仿宋_GB2312" w:cs="仿宋_GB2312"/>
          <w:sz w:val="28"/>
          <w:szCs w:val="28"/>
          <w:lang w:eastAsia="zh-CN"/>
        </w:rPr>
      </w:pPr>
    </w:p>
    <w:p>
      <w:pPr>
        <w:pStyle w:val="10"/>
        <w:spacing w:line="560" w:lineRule="exact"/>
        <w:ind w:firstLine="280" w:firstLineChars="100"/>
        <w:jc w:val="left"/>
        <w:rPr>
          <w:rFonts w:hint="eastAsia" w:ascii="仿宋_GB2312" w:hAnsi="仿宋_GB2312" w:eastAsia="仿宋_GB2312" w:cs="仿宋_GB2312"/>
          <w:sz w:val="28"/>
          <w:szCs w:val="28"/>
          <w:lang w:eastAsia="zh-CN"/>
        </w:rPr>
      </w:pPr>
    </w:p>
    <w:p>
      <w:pPr>
        <w:pStyle w:val="10"/>
        <w:spacing w:line="560" w:lineRule="exact"/>
        <w:ind w:firstLine="280" w:firstLineChars="100"/>
        <w:jc w:val="left"/>
        <w:rPr>
          <w:rFonts w:hint="eastAsia" w:ascii="仿宋_GB2312" w:hAnsi="仿宋_GB2312" w:eastAsia="仿宋_GB2312" w:cs="仿宋_GB2312"/>
          <w:sz w:val="28"/>
          <w:szCs w:val="28"/>
          <w:lang w:eastAsia="zh-CN"/>
        </w:rPr>
      </w:pPr>
    </w:p>
    <w:p>
      <w:pPr>
        <w:pStyle w:val="10"/>
        <w:spacing w:line="560" w:lineRule="exact"/>
        <w:ind w:firstLine="280" w:firstLineChars="100"/>
        <w:jc w:val="left"/>
        <w:rPr>
          <w:rFonts w:hint="eastAsia" w:ascii="仿宋_GB2312" w:hAnsi="仿宋_GB2312" w:eastAsia="仿宋_GB2312" w:cs="仿宋_GB2312"/>
          <w:sz w:val="28"/>
          <w:szCs w:val="28"/>
          <w:lang w:eastAsia="zh-CN"/>
        </w:rPr>
      </w:pPr>
    </w:p>
    <w:p>
      <w:pPr>
        <w:pStyle w:val="10"/>
        <w:spacing w:line="560" w:lineRule="exact"/>
        <w:ind w:firstLine="280" w:firstLineChars="100"/>
        <w:jc w:val="left"/>
        <w:rPr>
          <w:rFonts w:hint="eastAsia" w:ascii="仿宋_GB2312" w:hAnsi="仿宋_GB2312" w:eastAsia="仿宋_GB2312" w:cs="仿宋_GB2312"/>
          <w:sz w:val="28"/>
          <w:szCs w:val="28"/>
          <w:lang w:eastAsia="zh-CN"/>
        </w:rPr>
      </w:pPr>
    </w:p>
    <w:p>
      <w:pPr>
        <w:pStyle w:val="10"/>
        <w:spacing w:line="560" w:lineRule="exact"/>
        <w:ind w:firstLine="280" w:firstLineChars="1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评分标准：</w:t>
      </w:r>
    </w:p>
    <w:tbl>
      <w:tblPr>
        <w:tblStyle w:val="14"/>
        <w:tblpPr w:leftFromText="180" w:rightFromText="180" w:vertAnchor="page" w:horzAnchor="page" w:tblpX="1164" w:tblpY="2936"/>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158"/>
        <w:gridCol w:w="1029"/>
        <w:gridCol w:w="5972"/>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因素</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分值</w:t>
            </w:r>
          </w:p>
        </w:tc>
        <w:tc>
          <w:tcPr>
            <w:tcW w:w="59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评分标准</w:t>
            </w:r>
          </w:p>
        </w:tc>
        <w:tc>
          <w:tcPr>
            <w:tcW w:w="9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5"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价格</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30分</w:t>
            </w:r>
          </w:p>
        </w:tc>
        <w:tc>
          <w:tcPr>
            <w:tcW w:w="59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满足招标文件要求且投标总价最低的有效投标报价为评标基准价，其投标人的报价分为30分</w:t>
            </w:r>
            <w:r>
              <w:rPr>
                <w:rFonts w:hint="eastAsia" w:ascii="仿宋_GB2312" w:hAnsi="仿宋_GB2312" w:eastAsia="仿宋_GB2312" w:cs="仿宋_GB2312"/>
                <w:sz w:val="28"/>
                <w:szCs w:val="28"/>
                <w:lang w:val="en-US" w:eastAsia="zh-CN"/>
              </w:rPr>
              <w:t>(对小型和微型企业产品的报价给予6%的政策优惠)</w:t>
            </w:r>
            <w:r>
              <w:rPr>
                <w:rFonts w:hint="eastAsia" w:ascii="仿宋_GB2312" w:hAnsi="仿宋_GB2312" w:eastAsia="仿宋_GB2312" w:cs="仿宋_GB2312"/>
                <w:sz w:val="28"/>
                <w:szCs w:val="28"/>
              </w:rPr>
              <w:t>。</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其他投标人的报价分按以下公式计算：报价得分=(评标基准价／投标报价)×30。</w:t>
            </w:r>
          </w:p>
        </w:tc>
        <w:tc>
          <w:tcPr>
            <w:tcW w:w="9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2"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技术指标和配置</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55分</w:t>
            </w:r>
          </w:p>
        </w:tc>
        <w:tc>
          <w:tcPr>
            <w:tcW w:w="59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完全符合招标文件技术参数表的要求没有负偏离得55分。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“★”的条款为重要技术指标，每有一项不符扣10分</w:t>
            </w:r>
            <w:r>
              <w:rPr>
                <w:rFonts w:hint="eastAsia" w:ascii="仿宋_GB2312" w:hAnsi="仿宋_GB2312" w:eastAsia="仿宋_GB2312" w:cs="仿宋_GB2312"/>
                <w:sz w:val="28"/>
                <w:szCs w:val="28"/>
                <w:lang w:val="en-US" w:eastAsia="zh-CN"/>
              </w:rPr>
              <w:t>,有两项及两项以上不符作无效标处理。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非</w:t>
            </w:r>
            <w:r>
              <w:rPr>
                <w:rFonts w:hint="eastAsia" w:ascii="仿宋_GB2312" w:hAnsi="仿宋_GB2312" w:eastAsia="仿宋_GB2312" w:cs="仿宋_GB2312"/>
                <w:sz w:val="28"/>
                <w:szCs w:val="28"/>
              </w:rPr>
              <w:t>“★”条款的参数为一般参数，每有一项负偏离的扣5分，直至该项分值扣完为止。</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注：对于“★”的重要条款的技术响应，要求提供技术证明材料；对于一般条款的技术响应，应尽量提供证明材料。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（证明材料包括生产厂家的彩页资料或技术白皮书或有资质的检测机构出具的检测报告或功能截图或其他有效证明材料）</w:t>
            </w:r>
          </w:p>
        </w:tc>
        <w:tc>
          <w:tcPr>
            <w:tcW w:w="9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技术类因素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8" w:hRule="atLeast"/>
          <w:jc w:val="center"/>
        </w:trPr>
        <w:tc>
          <w:tcPr>
            <w:tcW w:w="612" w:type="dxa"/>
            <w:tcBorders>
              <w:top w:val="single" w:color="auto" w:sz="4" w:space="0"/>
              <w:left w:val="single" w:color="auto" w:sz="4" w:space="0"/>
              <w:right w:val="single" w:color="auto" w:sz="4" w:space="0"/>
            </w:tcBorders>
            <w:noWrap w:val="0"/>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158" w:type="dxa"/>
            <w:tcBorders>
              <w:top w:val="single" w:color="auto" w:sz="4" w:space="0"/>
              <w:left w:val="single" w:color="auto" w:sz="4" w:space="0"/>
              <w:right w:val="single" w:color="auto" w:sz="4" w:space="0"/>
            </w:tcBorders>
            <w:noWrap w:val="0"/>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培训方案</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5分</w:t>
            </w:r>
          </w:p>
        </w:tc>
        <w:tc>
          <w:tcPr>
            <w:tcW w:w="59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培训方案包含</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 1 \* GB3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①</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培训质量保证；</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 2 \* GB3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②</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培训人员管理制度；</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 3 \* GB3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③</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培训场次、人数、地点等具体实施方案；</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方案完整、合理得5分。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每有一项不完整，内容不合理，不能体现培训效果的，扣2分，该项分值扣完为止。</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培训方案具有漏项或者方案与实际有偏差或者相关内容需优化后才能满足项目需求或者方案描述存在不清晰不合理的，一项扣2分，该项分值扣完为止。</w:t>
            </w:r>
          </w:p>
        </w:tc>
        <w:tc>
          <w:tcPr>
            <w:tcW w:w="968" w:type="dxa"/>
            <w:vMerge w:val="restart"/>
            <w:tcBorders>
              <w:top w:val="single" w:color="auto" w:sz="4" w:space="0"/>
              <w:left w:val="single" w:color="auto" w:sz="4" w:space="0"/>
              <w:right w:val="single" w:color="auto" w:sz="4" w:space="0"/>
            </w:tcBorders>
            <w:noWrap w:val="0"/>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5" w:hRule="atLeast"/>
          <w:jc w:val="center"/>
        </w:trPr>
        <w:tc>
          <w:tcPr>
            <w:tcW w:w="612" w:type="dxa"/>
            <w:tcBorders>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158" w:type="dxa"/>
            <w:tcBorders>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售后服务方案</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8分</w:t>
            </w:r>
          </w:p>
        </w:tc>
        <w:tc>
          <w:tcPr>
            <w:tcW w:w="59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售后服务方案（包括但不限于质保期限、售后人员数量以及配备、维修响应时间、服务承诺等）内容完整、无缺项，且满足招标文件要求的得8分。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每有一项内容缺失或不完整或不满足要求的扣2分，该项分值扣完为止。</w:t>
            </w:r>
          </w:p>
        </w:tc>
        <w:tc>
          <w:tcPr>
            <w:tcW w:w="968" w:type="dxa"/>
            <w:vMerge w:val="continue"/>
            <w:tcBorders>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3"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投标文件规范性</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2分</w:t>
            </w:r>
          </w:p>
        </w:tc>
        <w:tc>
          <w:tcPr>
            <w:tcW w:w="59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投标文件制作规范，没有细微偏差情形的得2分；有一项细微偏差扣0.5分，该项分值扣完为止。</w:t>
            </w:r>
          </w:p>
        </w:tc>
        <w:tc>
          <w:tcPr>
            <w:tcW w:w="9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共同评分因素</w:t>
            </w:r>
          </w:p>
        </w:tc>
      </w:tr>
    </w:tbl>
    <w:p>
      <w:pPr>
        <w:pStyle w:val="10"/>
        <w:spacing w:line="560" w:lineRule="exact"/>
        <w:ind w:firstLine="280" w:firstLineChars="100"/>
        <w:jc w:val="left"/>
        <w:rPr>
          <w:rFonts w:hint="eastAsia" w:ascii="仿宋_GB2312" w:hAnsi="仿宋_GB2312" w:eastAsia="仿宋_GB2312" w:cs="仿宋_GB2312"/>
          <w:sz w:val="28"/>
          <w:szCs w:val="28"/>
          <w:lang w:eastAsia="zh-CN"/>
        </w:rPr>
      </w:pPr>
    </w:p>
    <w:p>
      <w:pPr>
        <w:pStyle w:val="10"/>
        <w:spacing w:line="560" w:lineRule="exact"/>
        <w:ind w:firstLine="280" w:firstLineChars="100"/>
        <w:jc w:val="left"/>
        <w:rPr>
          <w:rFonts w:hint="eastAsia" w:ascii="仿宋_GB2312" w:hAnsi="仿宋_GB2312" w:eastAsia="仿宋_GB2312" w:cs="仿宋_GB2312"/>
          <w:sz w:val="28"/>
          <w:szCs w:val="28"/>
          <w:lang w:eastAsia="zh-CN"/>
        </w:rPr>
      </w:pPr>
    </w:p>
    <w:p>
      <w:pPr>
        <w:pStyle w:val="12"/>
        <w:jc w:val="left"/>
        <w:rPr>
          <w:rFonts w:hint="eastAsia"/>
          <w:u w:val="none"/>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020941"/>
    <w:multiLevelType w:val="multilevel"/>
    <w:tmpl w:val="28020941"/>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pStyle w:val="5"/>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hAnsi="Times New Roman" w:eastAsia="宋体"/>
        <w:b/>
        <w:i w:val="0"/>
        <w:sz w:val="28"/>
      </w:r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52170"/>
    <w:rsid w:val="019656D4"/>
    <w:rsid w:val="022F34CA"/>
    <w:rsid w:val="029E1816"/>
    <w:rsid w:val="02A03C48"/>
    <w:rsid w:val="03385080"/>
    <w:rsid w:val="04053D83"/>
    <w:rsid w:val="040C3561"/>
    <w:rsid w:val="04A04175"/>
    <w:rsid w:val="05406A7D"/>
    <w:rsid w:val="05F6218F"/>
    <w:rsid w:val="09001FF7"/>
    <w:rsid w:val="09BD7216"/>
    <w:rsid w:val="0A0A1093"/>
    <w:rsid w:val="0A2948D5"/>
    <w:rsid w:val="0AFA01CF"/>
    <w:rsid w:val="0BE52170"/>
    <w:rsid w:val="0F615CB4"/>
    <w:rsid w:val="0F723765"/>
    <w:rsid w:val="0F8A3997"/>
    <w:rsid w:val="11977DDA"/>
    <w:rsid w:val="13B77EA7"/>
    <w:rsid w:val="156108C9"/>
    <w:rsid w:val="156C1119"/>
    <w:rsid w:val="15A51FA7"/>
    <w:rsid w:val="15E90284"/>
    <w:rsid w:val="1624122A"/>
    <w:rsid w:val="16674D3D"/>
    <w:rsid w:val="17320C4D"/>
    <w:rsid w:val="1A544667"/>
    <w:rsid w:val="1AC94CB2"/>
    <w:rsid w:val="1AF45D39"/>
    <w:rsid w:val="1B8E7A6F"/>
    <w:rsid w:val="1BC620E4"/>
    <w:rsid w:val="1BC953AD"/>
    <w:rsid w:val="1C223593"/>
    <w:rsid w:val="1CE80118"/>
    <w:rsid w:val="1DA94B31"/>
    <w:rsid w:val="1DB266FB"/>
    <w:rsid w:val="1DED6146"/>
    <w:rsid w:val="1E1C734C"/>
    <w:rsid w:val="1F1C5D81"/>
    <w:rsid w:val="1FA552BD"/>
    <w:rsid w:val="1FDE647D"/>
    <w:rsid w:val="20ED13FE"/>
    <w:rsid w:val="21075005"/>
    <w:rsid w:val="22717992"/>
    <w:rsid w:val="229C33A8"/>
    <w:rsid w:val="23103604"/>
    <w:rsid w:val="2322146C"/>
    <w:rsid w:val="26A872DC"/>
    <w:rsid w:val="278C2AE7"/>
    <w:rsid w:val="27B96CE8"/>
    <w:rsid w:val="27F01BB4"/>
    <w:rsid w:val="2923306D"/>
    <w:rsid w:val="2B4937C0"/>
    <w:rsid w:val="2BFD537A"/>
    <w:rsid w:val="2DD0334B"/>
    <w:rsid w:val="2F000D0A"/>
    <w:rsid w:val="2F3F2D05"/>
    <w:rsid w:val="318A1C77"/>
    <w:rsid w:val="340F7004"/>
    <w:rsid w:val="345D6BCD"/>
    <w:rsid w:val="34E105F2"/>
    <w:rsid w:val="351F7BA9"/>
    <w:rsid w:val="35282B49"/>
    <w:rsid w:val="35C04321"/>
    <w:rsid w:val="36561590"/>
    <w:rsid w:val="37E76C1D"/>
    <w:rsid w:val="39AC072B"/>
    <w:rsid w:val="3AB406EF"/>
    <w:rsid w:val="3AF3307A"/>
    <w:rsid w:val="3D067007"/>
    <w:rsid w:val="3F0A2DB7"/>
    <w:rsid w:val="3F2C1931"/>
    <w:rsid w:val="40A661CB"/>
    <w:rsid w:val="41554E5A"/>
    <w:rsid w:val="42E66127"/>
    <w:rsid w:val="432021F2"/>
    <w:rsid w:val="44105AD8"/>
    <w:rsid w:val="455F0B21"/>
    <w:rsid w:val="46401E44"/>
    <w:rsid w:val="46B4205B"/>
    <w:rsid w:val="47420655"/>
    <w:rsid w:val="47C86602"/>
    <w:rsid w:val="495816D1"/>
    <w:rsid w:val="49805174"/>
    <w:rsid w:val="4B0B0FAA"/>
    <w:rsid w:val="4CA0565A"/>
    <w:rsid w:val="4DCB07C7"/>
    <w:rsid w:val="4E0D6753"/>
    <w:rsid w:val="4E595DA0"/>
    <w:rsid w:val="4E98237F"/>
    <w:rsid w:val="4F773CDF"/>
    <w:rsid w:val="519D6A3D"/>
    <w:rsid w:val="51EA70CD"/>
    <w:rsid w:val="526C288D"/>
    <w:rsid w:val="52725823"/>
    <w:rsid w:val="541D45D8"/>
    <w:rsid w:val="54311373"/>
    <w:rsid w:val="5445294F"/>
    <w:rsid w:val="547C3A7F"/>
    <w:rsid w:val="549B2C6B"/>
    <w:rsid w:val="54ED528B"/>
    <w:rsid w:val="557D625A"/>
    <w:rsid w:val="55EE2384"/>
    <w:rsid w:val="56C34F82"/>
    <w:rsid w:val="58BB66F0"/>
    <w:rsid w:val="59811E38"/>
    <w:rsid w:val="5A213645"/>
    <w:rsid w:val="5A793414"/>
    <w:rsid w:val="5B8B7574"/>
    <w:rsid w:val="5BD32A41"/>
    <w:rsid w:val="5C7930FC"/>
    <w:rsid w:val="5CC5665E"/>
    <w:rsid w:val="5D2B3C75"/>
    <w:rsid w:val="5D301470"/>
    <w:rsid w:val="5E534C59"/>
    <w:rsid w:val="5E7002E1"/>
    <w:rsid w:val="5F131865"/>
    <w:rsid w:val="5FAB543B"/>
    <w:rsid w:val="60115372"/>
    <w:rsid w:val="62AC5CB7"/>
    <w:rsid w:val="63B12314"/>
    <w:rsid w:val="66E358D5"/>
    <w:rsid w:val="67CA3341"/>
    <w:rsid w:val="68D739A2"/>
    <w:rsid w:val="692449EE"/>
    <w:rsid w:val="6AE44653"/>
    <w:rsid w:val="6B0C104F"/>
    <w:rsid w:val="6C552E96"/>
    <w:rsid w:val="6CB012EE"/>
    <w:rsid w:val="6D40715A"/>
    <w:rsid w:val="6D535020"/>
    <w:rsid w:val="6DEA7494"/>
    <w:rsid w:val="6DFA46C3"/>
    <w:rsid w:val="6E477BEE"/>
    <w:rsid w:val="702C1F27"/>
    <w:rsid w:val="72385C09"/>
    <w:rsid w:val="72A01582"/>
    <w:rsid w:val="72CC35BD"/>
    <w:rsid w:val="738744BB"/>
    <w:rsid w:val="74594D5B"/>
    <w:rsid w:val="753C709E"/>
    <w:rsid w:val="75854221"/>
    <w:rsid w:val="75A77F5F"/>
    <w:rsid w:val="75EA11A0"/>
    <w:rsid w:val="76226518"/>
    <w:rsid w:val="765C2FCD"/>
    <w:rsid w:val="76A668B1"/>
    <w:rsid w:val="77835DD6"/>
    <w:rsid w:val="78967CF5"/>
    <w:rsid w:val="79277276"/>
    <w:rsid w:val="79881788"/>
    <w:rsid w:val="79D225D2"/>
    <w:rsid w:val="7A427D47"/>
    <w:rsid w:val="7A4C450A"/>
    <w:rsid w:val="7AA80467"/>
    <w:rsid w:val="7B600EE3"/>
    <w:rsid w:val="7E32475A"/>
    <w:rsid w:val="7E835449"/>
    <w:rsid w:val="7F2B6B2E"/>
    <w:rsid w:val="7FC23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0" w:beforeLines="0" w:line="360" w:lineRule="auto"/>
      <w:ind w:firstLine="0"/>
      <w:jc w:val="center"/>
      <w:outlineLvl w:val="0"/>
    </w:pPr>
    <w:rPr>
      <w:rFonts w:cs="宋体"/>
      <w:b/>
      <w:bCs/>
      <w:kern w:val="44"/>
      <w:sz w:val="32"/>
      <w:szCs w:val="44"/>
    </w:rPr>
  </w:style>
  <w:style w:type="paragraph" w:styleId="5">
    <w:name w:val="heading 2"/>
    <w:basedOn w:val="1"/>
    <w:next w:val="1"/>
    <w:unhideWhenUsed/>
    <w:qFormat/>
    <w:uiPriority w:val="0"/>
    <w:pPr>
      <w:keepNext/>
      <w:keepLines/>
      <w:numPr>
        <w:ilvl w:val="1"/>
        <w:numId w:val="1"/>
      </w:numPr>
      <w:spacing w:before="260" w:after="260" w:line="412" w:lineRule="auto"/>
      <w:jc w:val="center"/>
      <w:outlineLvl w:val="1"/>
    </w:pPr>
    <w:rPr>
      <w:rFonts w:ascii="CG Times" w:hAnsi="CG Times" w:cs="宋体"/>
      <w:sz w:val="30"/>
      <w:szCs w:val="20"/>
    </w:rPr>
  </w:style>
  <w:style w:type="paragraph" w:styleId="6">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6">
    <w:name w:val="Default Paragraph Font"/>
    <w:link w:val="17"/>
    <w:semiHidden/>
    <w:qFormat/>
    <w:uiPriority w:val="0"/>
    <w:rPr>
      <w:rFonts w:ascii="Times New Roman" w:hAnsi="Times New Roman"/>
      <w:szCs w:val="24"/>
    </w:rPr>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Tahoma" w:hAnsi="Tahoma"/>
      <w:szCs w:val="20"/>
    </w:rPr>
  </w:style>
  <w:style w:type="paragraph" w:styleId="3">
    <w:name w:val="Subtitle"/>
    <w:basedOn w:val="1"/>
    <w:next w:val="1"/>
    <w:qFormat/>
    <w:uiPriority w:val="0"/>
    <w:pPr>
      <w:jc w:val="center"/>
    </w:pPr>
    <w:rPr>
      <w:rFonts w:ascii="Calibri" w:hAnsi="Calibri" w:eastAsia="宋体" w:cs="Times New Roman"/>
      <w:sz w:val="24"/>
      <w:szCs w:val="24"/>
      <w:lang w:val="en-US" w:eastAsia="zh-CN" w:bidi="ar-SA"/>
    </w:rPr>
  </w:style>
  <w:style w:type="paragraph" w:styleId="7">
    <w:name w:val="Normal Indent"/>
    <w:basedOn w:val="1"/>
    <w:qFormat/>
    <w:uiPriority w:val="0"/>
    <w:pPr>
      <w:ind w:firstLine="420"/>
    </w:pPr>
  </w:style>
  <w:style w:type="paragraph" w:styleId="8">
    <w:name w:val="index 5"/>
    <w:basedOn w:val="1"/>
    <w:next w:val="1"/>
    <w:qFormat/>
    <w:uiPriority w:val="0"/>
    <w:pPr>
      <w:spacing w:before="100" w:beforeAutospacing="1" w:after="100" w:afterAutospacing="1" w:line="360" w:lineRule="auto"/>
      <w:ind w:left="1680"/>
    </w:pPr>
    <w:rPr>
      <w:rFonts w:ascii="Times New Roman" w:hAnsi="Times New Roman"/>
    </w:rPr>
  </w:style>
  <w:style w:type="paragraph" w:styleId="9">
    <w:name w:val="Body Text 3"/>
    <w:basedOn w:val="1"/>
    <w:qFormat/>
    <w:uiPriority w:val="0"/>
    <w:rPr>
      <w:rFonts w:ascii="宋体"/>
      <w:kern w:val="2"/>
      <w:sz w:val="24"/>
    </w:rPr>
  </w:style>
  <w:style w:type="paragraph" w:styleId="10">
    <w:name w:val="Plain Text"/>
    <w:basedOn w:val="1"/>
    <w:qFormat/>
    <w:uiPriority w:val="0"/>
    <w:rPr>
      <w:rFonts w:ascii="宋体" w:hAnsi="Courier New"/>
      <w:kern w:val="0"/>
      <w:sz w:val="20"/>
      <w:szCs w:val="20"/>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Lines="0" w:beforeAutospacing="1" w:after="100" w:afterLines="0" w:afterAutospacing="1"/>
    </w:pPr>
    <w:rPr>
      <w:rFonts w:ascii="宋体" w:hAnsi="宋体" w:cs="宋体"/>
      <w:sz w:val="24"/>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Char Char Char Char Char Char"/>
    <w:basedOn w:val="1"/>
    <w:link w:val="16"/>
    <w:qFormat/>
    <w:uiPriority w:val="0"/>
    <w:rPr>
      <w:rFonts w:ascii="Times New Roman" w:hAnsi="Times New Roman"/>
      <w:szCs w:val="24"/>
    </w:rPr>
  </w:style>
  <w:style w:type="character" w:styleId="18">
    <w:name w:val="Strong"/>
    <w:basedOn w:val="16"/>
    <w:qFormat/>
    <w:uiPriority w:val="22"/>
    <w:rPr>
      <w:rFonts w:eastAsia="黑体"/>
      <w:bCs/>
    </w:rPr>
  </w:style>
  <w:style w:type="character" w:styleId="19">
    <w:name w:val="page number"/>
    <w:basedOn w:val="16"/>
    <w:qFormat/>
    <w:uiPriority w:val="0"/>
  </w:style>
  <w:style w:type="paragraph" w:customStyle="1" w:styleId="20">
    <w:name w:val="列出段落1"/>
    <w:basedOn w:val="1"/>
    <w:qFormat/>
    <w:uiPriority w:val="34"/>
    <w:pPr>
      <w:ind w:firstLine="420" w:firstLineChars="200"/>
    </w:pPr>
  </w:style>
  <w:style w:type="character" w:customStyle="1" w:styleId="21">
    <w:name w:val="font01"/>
    <w:basedOn w:val="16"/>
    <w:qFormat/>
    <w:uiPriority w:val="0"/>
    <w:rPr>
      <w:rFonts w:hint="eastAsia" w:ascii="宋体" w:hAnsi="宋体" w:eastAsia="宋体" w:cs="宋体"/>
      <w:color w:val="000000"/>
      <w:sz w:val="20"/>
      <w:szCs w:val="20"/>
      <w:u w:val="none"/>
    </w:rPr>
  </w:style>
  <w:style w:type="character" w:customStyle="1" w:styleId="22">
    <w:name w:val="font21"/>
    <w:basedOn w:val="16"/>
    <w:qFormat/>
    <w:uiPriority w:val="0"/>
    <w:rPr>
      <w:rFonts w:ascii="宋体" w:hAnsi="宋体" w:eastAsia="宋体" w:cs="宋体"/>
      <w:color w:val="000000"/>
      <w:sz w:val="20"/>
      <w:szCs w:val="20"/>
      <w:u w:val="none"/>
    </w:rPr>
  </w:style>
  <w:style w:type="paragraph" w:customStyle="1" w:styleId="23">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24">
    <w:name w:val="font11"/>
    <w:basedOn w:val="16"/>
    <w:qFormat/>
    <w:uiPriority w:val="0"/>
    <w:rPr>
      <w:rFonts w:hint="eastAsia" w:ascii="宋体" w:hAnsi="宋体" w:eastAsia="宋体" w:cs="宋体"/>
      <w:color w:val="000000"/>
      <w:sz w:val="24"/>
      <w:szCs w:val="24"/>
      <w:u w:val="none"/>
    </w:rPr>
  </w:style>
  <w:style w:type="paragraph" w:customStyle="1" w:styleId="25">
    <w:name w:val="Default"/>
    <w:qFormat/>
    <w:uiPriority w:val="0"/>
    <w:pPr>
      <w:widowControl w:val="0"/>
      <w:autoSpaceDE w:val="0"/>
      <w:autoSpaceDN w:val="0"/>
      <w:adjustRightInd w:val="0"/>
    </w:pPr>
    <w:rPr>
      <w:rFonts w:ascii="宋体" w:hAnsiTheme="minorHAnsi" w:eastAsiaTheme="minorEastAsia" w:cstheme="minorBidi"/>
      <w:color w:val="000000"/>
      <w:sz w:val="24"/>
      <w:szCs w:val="24"/>
      <w:lang w:val="en-US" w:eastAsia="zh-CN" w:bidi="ar-SA"/>
    </w:rPr>
  </w:style>
  <w:style w:type="paragraph" w:customStyle="1" w:styleId="26">
    <w:name w:val="Table Paragraph"/>
    <w:basedOn w:val="1"/>
    <w:qFormat/>
    <w:uiPriority w:val="1"/>
    <w:rPr>
      <w:lang w:val="zh-CN" w:eastAsia="zh-CN" w:bidi="zh-CN"/>
    </w:rPr>
  </w:style>
  <w:style w:type="character" w:customStyle="1" w:styleId="27">
    <w:name w:val="font51"/>
    <w:basedOn w:val="16"/>
    <w:qFormat/>
    <w:uiPriority w:val="0"/>
    <w:rPr>
      <w:rFonts w:ascii="宋体" w:hAnsi="宋体" w:eastAsia="宋体" w:cs="宋体"/>
      <w:color w:val="000000"/>
      <w:sz w:val="20"/>
      <w:szCs w:val="20"/>
      <w:u w:val="none"/>
    </w:rPr>
  </w:style>
  <w:style w:type="table" w:customStyle="1" w:styleId="28">
    <w:name w:val="Table Normal"/>
    <w:unhideWhenUsed/>
    <w:qFormat/>
    <w:uiPriority w:val="2"/>
    <w:pPr>
      <w:ind w:firstLine="0" w:firstLineChars="0"/>
      <w:jc w:val="left"/>
    </w:pPr>
    <w:rPr>
      <w:rFonts w:ascii="Times New Roman" w:hAnsi="Times New Roman" w:eastAsia="宋体"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7</Pages>
  <Words>3872</Words>
  <Characters>4579</Characters>
  <Lines>0</Lines>
  <Paragraphs>0</Paragraphs>
  <TotalTime>0</TotalTime>
  <ScaleCrop>false</ScaleCrop>
  <LinksUpToDate>false</LinksUpToDate>
  <CharactersWithSpaces>4623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2018-07-11T06:18:00Z</dcterms:created>
  <dc:creator>待续</dc:creator>
  <cp:lastModifiedBy>麦子</cp:lastModifiedBy>
  <cp:lastPrinted>2018-11-02T03:19:00Z</cp:lastPrinted>
  <dcterms:modified xsi:type="dcterms:W3CDTF">2021-04-20T02:16:12Z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527189634F4E4A2EBDDE7E6EBA40E37C</vt:lpwstr>
  </property>
</Properties>
</file>