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ascii="黑体" w:hAnsi="黑体" w:eastAsia="黑体"/>
          <w:b/>
          <w:color w:val="000000"/>
          <w:spacing w:val="-4"/>
          <w:sz w:val="44"/>
          <w:szCs w:val="44"/>
        </w:rPr>
      </w:pPr>
      <w:r>
        <w:rPr>
          <w:rFonts w:hint="eastAsia" w:ascii="黑体" w:hAnsi="黑体" w:eastAsia="黑体"/>
          <w:b/>
          <w:color w:val="000000"/>
          <w:spacing w:val="-4"/>
          <w:sz w:val="44"/>
          <w:szCs w:val="44"/>
        </w:rPr>
        <w:t>铜仁市公共资源交易中心</w:t>
      </w:r>
    </w:p>
    <w:p>
      <w:pPr>
        <w:pStyle w:val="8"/>
        <w:spacing w:line="700" w:lineRule="exact"/>
        <w:jc w:val="center"/>
        <w:rPr>
          <w:rFonts w:ascii="黑体" w:hAnsi="黑体" w:eastAsia="黑体"/>
          <w:b/>
          <w:color w:val="000000"/>
          <w:spacing w:val="-4"/>
          <w:sz w:val="44"/>
          <w:szCs w:val="44"/>
        </w:rPr>
      </w:pPr>
      <w:r>
        <w:rPr>
          <w:rFonts w:hint="eastAsia" w:ascii="黑体" w:hAnsi="黑体" w:eastAsia="黑体"/>
          <w:b/>
          <w:color w:val="000000"/>
          <w:spacing w:val="-4"/>
          <w:sz w:val="44"/>
          <w:szCs w:val="44"/>
        </w:rPr>
        <w:t>（政府采购）</w:t>
      </w:r>
    </w:p>
    <w:p>
      <w:pPr>
        <w:pStyle w:val="8"/>
        <w:spacing w:line="700" w:lineRule="exact"/>
        <w:jc w:val="center"/>
        <w:rPr>
          <w:rFonts w:ascii="黑体" w:hAnsi="黑体" w:eastAsia="黑体"/>
          <w:b/>
          <w:color w:val="000000"/>
          <w:spacing w:val="-4"/>
          <w:sz w:val="44"/>
          <w:szCs w:val="44"/>
        </w:rPr>
      </w:pPr>
    </w:p>
    <w:p>
      <w:pPr>
        <w:pStyle w:val="8"/>
        <w:spacing w:line="700" w:lineRule="exact"/>
        <w:rPr>
          <w:rFonts w:ascii="黑体" w:hAnsi="黑体" w:eastAsia="黑体"/>
          <w:b/>
          <w:color w:val="000000"/>
          <w:spacing w:val="-4"/>
          <w:sz w:val="44"/>
          <w:szCs w:val="44"/>
        </w:rPr>
      </w:pPr>
    </w:p>
    <w:p>
      <w:pPr>
        <w:pStyle w:val="8"/>
        <w:spacing w:line="700" w:lineRule="exact"/>
        <w:rPr>
          <w:rFonts w:ascii="黑体" w:hAnsi="黑体" w:eastAsia="黑体"/>
          <w:b/>
          <w:color w:val="000000"/>
          <w:spacing w:val="-4"/>
          <w:sz w:val="44"/>
          <w:szCs w:val="44"/>
        </w:rPr>
      </w:pPr>
    </w:p>
    <w:p>
      <w:pPr>
        <w:pStyle w:val="8"/>
        <w:spacing w:line="360" w:lineRule="auto"/>
        <w:jc w:val="center"/>
        <w:rPr>
          <w:rFonts w:ascii="黑体" w:hAnsi="黑体" w:eastAsia="黑体"/>
          <w:b/>
          <w:bCs/>
          <w:sz w:val="44"/>
          <w:szCs w:val="44"/>
        </w:rPr>
      </w:pPr>
      <w:r>
        <w:rPr>
          <w:rFonts w:hint="eastAsia" w:ascii="黑体" w:hAnsi="黑体" w:eastAsia="黑体"/>
          <w:b/>
          <w:bCs/>
          <w:sz w:val="44"/>
          <w:szCs w:val="44"/>
        </w:rPr>
        <w:t>磋</w:t>
      </w:r>
    </w:p>
    <w:p>
      <w:pPr>
        <w:pStyle w:val="8"/>
        <w:spacing w:line="360" w:lineRule="auto"/>
        <w:jc w:val="center"/>
        <w:rPr>
          <w:rFonts w:ascii="黑体" w:hAnsi="黑体" w:eastAsia="黑体"/>
          <w:b/>
          <w:bCs/>
          <w:sz w:val="44"/>
          <w:szCs w:val="44"/>
        </w:rPr>
      </w:pPr>
      <w:r>
        <w:rPr>
          <w:rFonts w:hint="eastAsia" w:ascii="黑体" w:hAnsi="黑体" w:eastAsia="黑体"/>
          <w:b/>
          <w:bCs/>
          <w:sz w:val="44"/>
          <w:szCs w:val="44"/>
        </w:rPr>
        <w:t>商</w:t>
      </w:r>
    </w:p>
    <w:p>
      <w:pPr>
        <w:pStyle w:val="8"/>
        <w:spacing w:line="360" w:lineRule="auto"/>
        <w:jc w:val="center"/>
        <w:rPr>
          <w:rFonts w:ascii="黑体" w:hAnsi="黑体" w:eastAsia="黑体"/>
          <w:b/>
          <w:bCs/>
          <w:sz w:val="44"/>
          <w:szCs w:val="44"/>
        </w:rPr>
      </w:pPr>
      <w:r>
        <w:rPr>
          <w:rFonts w:hint="eastAsia" w:ascii="黑体" w:hAnsi="黑体" w:eastAsia="黑体"/>
          <w:b/>
          <w:bCs/>
          <w:sz w:val="44"/>
          <w:szCs w:val="44"/>
        </w:rPr>
        <w:t>文</w:t>
      </w:r>
    </w:p>
    <w:p>
      <w:pPr>
        <w:pStyle w:val="8"/>
        <w:spacing w:line="360" w:lineRule="auto"/>
        <w:jc w:val="center"/>
        <w:rPr>
          <w:rFonts w:hAnsi="宋体" w:eastAsia="宋体"/>
          <w:b/>
          <w:bCs/>
          <w:sz w:val="44"/>
          <w:szCs w:val="44"/>
        </w:rPr>
      </w:pPr>
      <w:r>
        <w:rPr>
          <w:rFonts w:hint="eastAsia" w:ascii="黑体" w:hAnsi="黑体" w:eastAsia="黑体"/>
          <w:b/>
          <w:bCs/>
          <w:sz w:val="44"/>
          <w:szCs w:val="44"/>
        </w:rPr>
        <w:t>件</w:t>
      </w:r>
    </w:p>
    <w:p>
      <w:pPr>
        <w:pStyle w:val="8"/>
        <w:spacing w:line="360" w:lineRule="auto"/>
        <w:ind w:firstLine="1265" w:firstLineChars="450"/>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8"/>
        <w:spacing w:line="360" w:lineRule="auto"/>
        <w:ind w:firstLine="1265" w:firstLineChars="450"/>
        <w:rPr>
          <w:rFonts w:ascii="黑体" w:hAnsi="黑体" w:eastAsia="黑体"/>
          <w:b/>
          <w:color w:val="000000"/>
          <w:sz w:val="28"/>
          <w:szCs w:val="28"/>
        </w:rPr>
      </w:pPr>
    </w:p>
    <w:p>
      <w:pPr>
        <w:pStyle w:val="8"/>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8"/>
        <w:spacing w:line="560" w:lineRule="exact"/>
        <w:ind w:firstLine="694" w:firstLineChars="247"/>
        <w:rPr>
          <w:rFonts w:hint="eastAsia" w:ascii="黑体" w:hAnsi="黑体" w:eastAsia="黑体"/>
          <w:b/>
          <w:bCs/>
          <w:color w:val="000000"/>
          <w:sz w:val="28"/>
          <w:szCs w:val="28"/>
          <w:lang w:val="en-US" w:eastAsia="zh-CN"/>
        </w:rPr>
      </w:pPr>
      <w:r>
        <w:rPr>
          <w:rFonts w:hint="eastAsia" w:ascii="黑体" w:hAnsi="黑体" w:eastAsia="黑体"/>
          <w:b/>
          <w:color w:val="000000"/>
          <w:sz w:val="28"/>
          <w:szCs w:val="28"/>
        </w:rPr>
        <w:t>招标项目：</w:t>
      </w:r>
      <w:r>
        <w:rPr>
          <w:rFonts w:hint="eastAsia" w:ascii="黑体" w:hAnsi="黑体" w:eastAsia="黑体"/>
          <w:b/>
          <w:bCs/>
          <w:color w:val="000000"/>
          <w:sz w:val="28"/>
          <w:szCs w:val="28"/>
          <w:lang w:eastAsia="zh-CN"/>
        </w:rPr>
        <w:t>铜仁市市级社会保险基金财政专户结余资金存放管理项目1包开户银行定期存放</w:t>
      </w:r>
    </w:p>
    <w:p>
      <w:pPr>
        <w:pStyle w:val="8"/>
        <w:spacing w:line="560" w:lineRule="exact"/>
        <w:rPr>
          <w:rFonts w:hint="eastAsia" w:ascii="黑体" w:hAnsi="黑体" w:eastAsia="黑体"/>
          <w:color w:val="000000"/>
          <w:sz w:val="28"/>
          <w:szCs w:val="28"/>
          <w:lang w:val="en-US" w:eastAsia="zh-CN"/>
        </w:rPr>
      </w:pPr>
      <w:r>
        <w:rPr>
          <w:rFonts w:hint="eastAsia" w:ascii="黑体" w:hAnsi="黑体" w:eastAsia="黑体"/>
          <w:b/>
          <w:color w:val="000000"/>
          <w:sz w:val="28"/>
          <w:szCs w:val="28"/>
        </w:rPr>
        <w:t xml:space="preserve">     招标编号：</w:t>
      </w:r>
      <w:r>
        <w:rPr>
          <w:rFonts w:hint="eastAsia" w:ascii="黑体" w:hAnsi="黑体" w:eastAsia="黑体"/>
          <w:color w:val="000000"/>
          <w:sz w:val="28"/>
          <w:szCs w:val="28"/>
          <w:lang w:eastAsia="zh-CN"/>
        </w:rPr>
        <w:t>TRZFCG-2021-024-1</w:t>
      </w:r>
    </w:p>
    <w:p>
      <w:pPr>
        <w:pStyle w:val="8"/>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招标方式：竞争性磋商  </w:t>
      </w:r>
    </w:p>
    <w:p>
      <w:pPr>
        <w:pStyle w:val="8"/>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项目类别：</w:t>
      </w:r>
      <w:r>
        <w:rPr>
          <w:rFonts w:hint="eastAsia" w:ascii="黑体" w:hAnsi="黑体" w:eastAsia="黑体"/>
          <w:b/>
          <w:color w:val="000000"/>
          <w:sz w:val="28"/>
          <w:szCs w:val="28"/>
          <w:lang w:val="en-US" w:eastAsia="zh-CN"/>
        </w:rPr>
        <w:t>服务</w:t>
      </w:r>
      <w:r>
        <w:rPr>
          <w:rFonts w:hint="eastAsia" w:ascii="黑体" w:hAnsi="黑体" w:eastAsia="黑体"/>
          <w:b/>
          <w:color w:val="000000"/>
          <w:sz w:val="28"/>
          <w:szCs w:val="28"/>
        </w:rPr>
        <w:t>类</w:t>
      </w:r>
    </w:p>
    <w:p>
      <w:pPr>
        <w:pStyle w:val="8"/>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8"/>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5"/>
        <w:ind w:firstLine="0"/>
        <w:jc w:val="center"/>
        <w:rPr>
          <w:rFonts w:ascii="黑体" w:hAnsi="黑体" w:eastAsia="黑体" w:cs="Arial"/>
          <w:b/>
          <w:bCs/>
          <w:sz w:val="28"/>
          <w:szCs w:val="28"/>
        </w:rPr>
      </w:pPr>
      <w:r>
        <w:rPr>
          <w:rFonts w:hint="eastAsia" w:ascii="黑体" w:hAnsi="黑体" w:eastAsia="黑体" w:cs="Arial"/>
          <w:b/>
          <w:bCs/>
          <w:sz w:val="28"/>
          <w:szCs w:val="28"/>
        </w:rPr>
        <w:t>铜仁市公共资源交易中心编制</w:t>
      </w:r>
    </w:p>
    <w:p>
      <w:pPr>
        <w:pStyle w:val="5"/>
        <w:spacing w:line="360" w:lineRule="auto"/>
        <w:ind w:firstLine="0"/>
        <w:jc w:val="right"/>
        <w:rPr>
          <w:rFonts w:cs="Arial"/>
          <w:b/>
          <w:bCs/>
          <w:sz w:val="30"/>
          <w:szCs w:val="30"/>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numPr>
          <w:ilvl w:val="0"/>
          <w:numId w:val="1"/>
        </w:numPr>
        <w:spacing w:line="360" w:lineRule="auto"/>
        <w:rPr>
          <w:rFonts w:ascii="宋体" w:hAnsi="宋体"/>
          <w:b/>
          <w:sz w:val="28"/>
          <w:szCs w:val="28"/>
        </w:rPr>
      </w:pPr>
      <w:r>
        <w:rPr>
          <w:rFonts w:hint="eastAsia" w:ascii="宋体" w:hAnsi="宋体"/>
          <w:b/>
          <w:sz w:val="28"/>
          <w:szCs w:val="28"/>
        </w:rPr>
        <w:t>磋商邀请</w:t>
      </w:r>
    </w:p>
    <w:p>
      <w:pPr>
        <w:numPr>
          <w:ilvl w:val="0"/>
          <w:numId w:val="1"/>
        </w:numPr>
        <w:spacing w:line="360" w:lineRule="auto"/>
        <w:rPr>
          <w:rFonts w:ascii="宋体" w:hAnsi="宋体"/>
          <w:b/>
          <w:sz w:val="28"/>
          <w:szCs w:val="28"/>
        </w:rPr>
      </w:pPr>
      <w:r>
        <w:rPr>
          <w:rFonts w:hint="eastAsia" w:ascii="宋体" w:hAnsi="宋体"/>
          <w:b/>
          <w:sz w:val="28"/>
          <w:szCs w:val="28"/>
        </w:rPr>
        <w:t>磋商供应商须知</w:t>
      </w:r>
      <w:r>
        <w:rPr>
          <w:rFonts w:hint="eastAsia" w:ascii="宋体" w:hAnsi="宋体"/>
          <w:b/>
          <w:sz w:val="28"/>
          <w:szCs w:val="28"/>
          <w:lang w:eastAsia="zh-CN"/>
        </w:rPr>
        <w:t>表</w:t>
      </w:r>
    </w:p>
    <w:p>
      <w:pPr>
        <w:numPr>
          <w:ilvl w:val="0"/>
          <w:numId w:val="0"/>
        </w:numPr>
        <w:spacing w:line="360" w:lineRule="auto"/>
        <w:rPr>
          <w:rFonts w:ascii="宋体" w:hAnsi="宋体"/>
          <w:b/>
          <w:sz w:val="28"/>
          <w:szCs w:val="28"/>
        </w:rPr>
      </w:pPr>
      <w:r>
        <w:rPr>
          <w:rFonts w:hint="eastAsia" w:ascii="宋体" w:hAnsi="宋体"/>
          <w:b/>
          <w:sz w:val="28"/>
          <w:szCs w:val="28"/>
          <w:lang w:eastAsia="zh-CN"/>
        </w:rPr>
        <w:t>第三章</w:t>
      </w:r>
      <w:r>
        <w:rPr>
          <w:rFonts w:hint="eastAsia" w:ascii="宋体" w:hAnsi="宋体"/>
          <w:b/>
          <w:sz w:val="28"/>
          <w:szCs w:val="28"/>
          <w:lang w:val="en-US" w:eastAsia="zh-CN"/>
        </w:rPr>
        <w:t xml:space="preserve"> </w:t>
      </w:r>
      <w:r>
        <w:rPr>
          <w:rFonts w:hint="eastAsia" w:ascii="宋体" w:hAnsi="宋体"/>
          <w:b/>
          <w:sz w:val="28"/>
          <w:szCs w:val="28"/>
        </w:rPr>
        <w:t>磋商供应商须知</w:t>
      </w:r>
      <w:r>
        <w:rPr>
          <w:rFonts w:hint="eastAsia" w:ascii="宋体" w:hAnsi="宋体"/>
          <w:b/>
          <w:sz w:val="28"/>
          <w:szCs w:val="28"/>
          <w:lang w:eastAsia="zh-CN"/>
        </w:rPr>
        <w:t>正文部分</w:t>
      </w:r>
    </w:p>
    <w:p>
      <w:pPr>
        <w:numPr>
          <w:ilvl w:val="0"/>
          <w:numId w:val="0"/>
        </w:numPr>
        <w:spacing w:line="360" w:lineRule="auto"/>
        <w:rPr>
          <w:rFonts w:ascii="宋体" w:hAnsi="宋体"/>
          <w:b/>
          <w:sz w:val="28"/>
          <w:szCs w:val="28"/>
        </w:rPr>
      </w:pPr>
      <w:r>
        <w:rPr>
          <w:rFonts w:hint="eastAsia" w:ascii="宋体" w:hAnsi="宋体"/>
          <w:b/>
          <w:sz w:val="28"/>
          <w:szCs w:val="28"/>
          <w:lang w:eastAsia="zh-CN"/>
        </w:rPr>
        <w:t>第四章</w:t>
      </w:r>
      <w:r>
        <w:rPr>
          <w:rFonts w:hint="eastAsia" w:ascii="宋体" w:hAnsi="宋体"/>
          <w:b/>
          <w:sz w:val="28"/>
          <w:szCs w:val="28"/>
          <w:lang w:val="en-US" w:eastAsia="zh-CN"/>
        </w:rPr>
        <w:t xml:space="preserve"> </w:t>
      </w:r>
      <w:r>
        <w:rPr>
          <w:rFonts w:hint="eastAsia" w:ascii="宋体" w:hAnsi="宋体"/>
          <w:b/>
          <w:sz w:val="28"/>
          <w:szCs w:val="28"/>
        </w:rPr>
        <w:t>磋商内容及要求</w:t>
      </w:r>
    </w:p>
    <w:p>
      <w:pPr>
        <w:numPr>
          <w:ilvl w:val="0"/>
          <w:numId w:val="0"/>
        </w:numPr>
        <w:spacing w:line="360" w:lineRule="auto"/>
        <w:rPr>
          <w:rFonts w:ascii="宋体" w:hAnsi="宋体"/>
          <w:b/>
          <w:sz w:val="28"/>
          <w:szCs w:val="28"/>
        </w:rPr>
      </w:pPr>
      <w:r>
        <w:rPr>
          <w:rFonts w:hint="eastAsia" w:ascii="宋体" w:hAnsi="宋体"/>
          <w:b/>
          <w:sz w:val="28"/>
          <w:szCs w:val="28"/>
          <w:lang w:eastAsia="zh-CN"/>
        </w:rPr>
        <w:t>第五章</w:t>
      </w:r>
      <w:r>
        <w:rPr>
          <w:rFonts w:hint="eastAsia" w:ascii="宋体" w:hAnsi="宋体"/>
          <w:b/>
          <w:sz w:val="28"/>
          <w:szCs w:val="28"/>
          <w:lang w:val="en-US" w:eastAsia="zh-CN"/>
        </w:rPr>
        <w:t xml:space="preserve"> </w:t>
      </w:r>
      <w:r>
        <w:rPr>
          <w:rFonts w:hint="eastAsia" w:ascii="宋体" w:hAnsi="宋体"/>
          <w:b/>
          <w:sz w:val="28"/>
          <w:szCs w:val="28"/>
        </w:rPr>
        <w:t>铜仁市政府采购合同（参考文本）</w:t>
      </w:r>
    </w:p>
    <w:p>
      <w:pPr>
        <w:numPr>
          <w:ilvl w:val="0"/>
          <w:numId w:val="0"/>
        </w:numPr>
        <w:spacing w:line="360" w:lineRule="auto"/>
        <w:rPr>
          <w:rFonts w:ascii="宋体" w:hAnsi="宋体"/>
          <w:b/>
          <w:sz w:val="28"/>
          <w:szCs w:val="28"/>
        </w:rPr>
      </w:pPr>
      <w:r>
        <w:rPr>
          <w:rFonts w:hint="eastAsia" w:ascii="宋体" w:hAnsi="宋体"/>
          <w:b/>
          <w:sz w:val="28"/>
          <w:szCs w:val="28"/>
          <w:lang w:eastAsia="zh-CN"/>
        </w:rPr>
        <w:t>第六章</w:t>
      </w:r>
      <w:r>
        <w:rPr>
          <w:rFonts w:hint="eastAsia" w:ascii="宋体" w:hAnsi="宋体"/>
          <w:b/>
          <w:sz w:val="28"/>
          <w:szCs w:val="28"/>
          <w:lang w:val="en-US" w:eastAsia="zh-CN"/>
        </w:rPr>
        <w:t xml:space="preserve"> </w:t>
      </w: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bookmarkEnd w:id="0"/>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jc w:val="center"/>
        <w:outlineLvl w:val="0"/>
        <w:rPr>
          <w:rFonts w:ascii="宋体" w:hAnsi="宋体"/>
          <w:b/>
          <w:bCs/>
          <w:sz w:val="36"/>
          <w:szCs w:val="36"/>
        </w:rPr>
      </w:pPr>
      <w:r>
        <w:rPr>
          <w:rFonts w:hint="eastAsia" w:ascii="宋体" w:hAnsi="宋体"/>
          <w:b/>
          <w:bCs/>
          <w:sz w:val="36"/>
          <w:szCs w:val="36"/>
        </w:rPr>
        <w:t>第一章  磋商邀请函</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hAnsi="Arial" w:cs="Arial"/>
          <w:sz w:val="24"/>
        </w:rPr>
        <w:t xml:space="preserve">    </w:t>
      </w:r>
      <w:r>
        <w:rPr>
          <w:rFonts w:hint="eastAsia" w:cs="Arial" w:asciiTheme="minorEastAsia" w:hAnsiTheme="minorEastAsia"/>
          <w:sz w:val="24"/>
          <w:szCs w:val="24"/>
        </w:rPr>
        <w:t>根据《中华人民共和国政府采购法》、《政府采购竞争性磋商采购方式管理暂行办法》及相关规定，铜仁市公共资源交易中心受</w:t>
      </w:r>
      <w:r>
        <w:rPr>
          <w:rFonts w:hint="eastAsia" w:cs="Arial" w:asciiTheme="minorEastAsia" w:hAnsiTheme="minorEastAsia"/>
          <w:b/>
          <w:bCs/>
          <w:sz w:val="24"/>
          <w:szCs w:val="24"/>
          <w:lang w:eastAsia="zh-CN"/>
        </w:rPr>
        <w:t>铜仁市财政局</w:t>
      </w:r>
      <w:r>
        <w:rPr>
          <w:rFonts w:hint="eastAsia" w:cs="Arial" w:asciiTheme="minorEastAsia" w:hAnsiTheme="minorEastAsia"/>
          <w:sz w:val="24"/>
          <w:szCs w:val="24"/>
        </w:rPr>
        <w:t>委托，对</w:t>
      </w:r>
      <w:r>
        <w:rPr>
          <w:rFonts w:hint="eastAsia" w:cs="Arial" w:asciiTheme="minorEastAsia" w:hAnsiTheme="minorEastAsia"/>
          <w:b/>
          <w:bCs/>
          <w:sz w:val="24"/>
          <w:szCs w:val="24"/>
          <w:lang w:eastAsia="zh-CN"/>
        </w:rPr>
        <w:t>铜仁市市级社会保险基金财政专户结余资金存放管理项目1包开户银行定期存放</w:t>
      </w:r>
      <w:r>
        <w:rPr>
          <w:rFonts w:hint="eastAsia" w:cs="Arial" w:asciiTheme="minorEastAsia" w:hAnsiTheme="minorEastAsia"/>
          <w:sz w:val="24"/>
          <w:szCs w:val="24"/>
        </w:rPr>
        <w:t>采用</w:t>
      </w:r>
      <w:r>
        <w:rPr>
          <w:rFonts w:hint="eastAsia" w:cs="Arial" w:asciiTheme="minorEastAsia" w:hAnsiTheme="minorEastAsia"/>
          <w:b/>
          <w:bCs/>
          <w:sz w:val="24"/>
          <w:szCs w:val="24"/>
        </w:rPr>
        <w:t>竞争性磋商</w:t>
      </w:r>
      <w:r>
        <w:rPr>
          <w:rFonts w:hint="eastAsia" w:cs="Arial" w:asciiTheme="minorEastAsia" w:hAnsiTheme="minorEastAsia"/>
          <w:sz w:val="24"/>
          <w:szCs w:val="24"/>
        </w:rPr>
        <w:t>的方式进行采购，欢迎</w:t>
      </w:r>
      <w:r>
        <w:rPr>
          <w:rFonts w:hint="eastAsia" w:ascii="宋体" w:hAnsi="宋体"/>
          <w:color w:val="auto"/>
          <w:sz w:val="24"/>
        </w:rPr>
        <w:t>国内合格的投标人</w:t>
      </w:r>
      <w:r>
        <w:rPr>
          <w:rFonts w:hint="eastAsia" w:cs="Arial" w:asciiTheme="minorEastAsia" w:hAnsiTheme="minorEastAsia"/>
          <w:sz w:val="24"/>
          <w:szCs w:val="24"/>
        </w:rPr>
        <w:t>参加投标。</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lang w:val="en-US" w:eastAsia="zh-CN"/>
        </w:rPr>
        <w:t>1.</w:t>
      </w:r>
      <w:r>
        <w:rPr>
          <w:rFonts w:hint="eastAsia" w:cs="Arial" w:asciiTheme="minorEastAsia" w:hAnsiTheme="minorEastAsia"/>
          <w:sz w:val="24"/>
          <w:szCs w:val="24"/>
        </w:rPr>
        <w:t>项目名称：</w:t>
      </w:r>
      <w:r>
        <w:rPr>
          <w:rFonts w:hint="eastAsia" w:cs="Arial" w:asciiTheme="minorEastAsia" w:hAnsiTheme="minorEastAsia"/>
          <w:sz w:val="24"/>
          <w:szCs w:val="24"/>
          <w:lang w:eastAsia="zh-CN"/>
        </w:rPr>
        <w:t>铜仁市市级社会保险基金财政专户结余资金存放管理项目1包开户银行定期存放</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2.项目编号：</w:t>
      </w:r>
      <w:r>
        <w:rPr>
          <w:rFonts w:hint="eastAsia" w:ascii="宋体" w:hAnsi="宋体" w:cs="宋体"/>
          <w:color w:val="222222"/>
          <w:kern w:val="0"/>
          <w:sz w:val="24"/>
          <w:lang w:eastAsia="zh-CN"/>
        </w:rPr>
        <w:t>TRZFCG-2021-024-1</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3.项目序列号：</w:t>
      </w:r>
      <w:r>
        <w:rPr>
          <w:rFonts w:hint="eastAsia" w:ascii="宋体" w:hAnsi="宋体" w:cs="宋体"/>
          <w:color w:val="222222"/>
          <w:kern w:val="0"/>
          <w:sz w:val="24"/>
          <w:lang w:eastAsia="zh-CN"/>
        </w:rPr>
        <w:t>TRZFCG-2021-024-1</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4.项目联系人：</w:t>
      </w:r>
      <w:r>
        <w:rPr>
          <w:rFonts w:hint="eastAsia" w:cs="Arial" w:asciiTheme="minorEastAsia" w:hAnsiTheme="minorEastAsia"/>
          <w:sz w:val="24"/>
          <w:szCs w:val="24"/>
          <w:lang w:eastAsia="zh-CN"/>
        </w:rPr>
        <w:t>张琰</w:t>
      </w:r>
      <w:r>
        <w:rPr>
          <w:rFonts w:hint="eastAsia" w:cs="Arial" w:asciiTheme="minorEastAsia" w:hAnsiTheme="minorEastAsia"/>
          <w:sz w:val="24"/>
          <w:szCs w:val="24"/>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5.项目联系电话：</w:t>
      </w:r>
      <w:r>
        <w:rPr>
          <w:rFonts w:hint="eastAsia" w:cs="Arial" w:asciiTheme="minorEastAsia" w:hAnsiTheme="minorEastAsia"/>
          <w:sz w:val="24"/>
          <w:szCs w:val="24"/>
          <w:lang w:val="en-US" w:eastAsia="zh-CN"/>
        </w:rPr>
        <w:t>0856-3912922</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6.采购方式：竞争性磋商</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7.采购货物或服务情况:</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（1）采购主要内容：</w:t>
      </w:r>
      <w:r>
        <w:rPr>
          <w:rFonts w:hint="eastAsia" w:cs="Arial" w:asciiTheme="minorEastAsia" w:hAnsiTheme="minorEastAsia"/>
          <w:b/>
          <w:bCs/>
          <w:sz w:val="24"/>
          <w:szCs w:val="24"/>
          <w:lang w:eastAsia="zh-CN"/>
        </w:rPr>
        <w:t>铜仁市市级社会保险基金财政专户结余资金存放管理项目1包开户银行定期存放</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（2）采购数量：一批</w:t>
      </w:r>
      <w:r>
        <w:rPr>
          <w:rFonts w:hint="eastAsia" w:cs="Arial" w:asciiTheme="minorEastAsia" w:hAnsiTheme="minorEastAsia"/>
          <w:sz w:val="24"/>
          <w:szCs w:val="24"/>
          <w:lang w:val="en-US" w:eastAsia="zh-CN"/>
        </w:rPr>
        <w:t>(1包：开户银行定期存放；2包：转出开户银行定期存放。)</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（3）采购预算：</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元</w:t>
      </w:r>
      <w:r>
        <w:rPr>
          <w:rFonts w:hint="eastAsia" w:cs="Arial" w:asciiTheme="minorEastAsia" w:hAnsiTheme="minorEastAsia"/>
          <w:sz w:val="24"/>
          <w:szCs w:val="24"/>
          <w:lang w:eastAsia="zh-CN"/>
        </w:rPr>
        <w:t>（最高限价</w:t>
      </w:r>
      <w:r>
        <w:rPr>
          <w:rFonts w:hint="eastAsia" w:cs="Arial" w:asciiTheme="minorEastAsia" w:hAnsiTheme="minorEastAsia"/>
          <w:sz w:val="24"/>
          <w:szCs w:val="24"/>
          <w:lang w:val="en-US" w:eastAsia="zh-CN"/>
        </w:rPr>
        <w:t>0万元</w:t>
      </w:r>
      <w:r>
        <w:rPr>
          <w:rFonts w:hint="eastAsia" w:cs="Arial" w:asciiTheme="minorEastAsia" w:hAnsiTheme="minorEastAsia"/>
          <w:sz w:val="24"/>
          <w:szCs w:val="24"/>
          <w:lang w:eastAsia="zh-CN"/>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（4）简要技术要求、服务和安全要求：详见采购文件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（5）交货时间或服务时间：详见采购文件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（6）交货地点或服务地点：采购人指定的地点</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（7）其他事项（如样品提交、现场踏勘等）：详见招标文件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8.供应商资格要求：</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（1）一般资格要求：</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①符合《中华人民共和国政府采购法》第22条的条件；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②具有国内法人资格，允许经营本项目的供应商才有资格报名参加本项目投标。</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color w:val="FF0000"/>
          <w:sz w:val="24"/>
          <w:szCs w:val="24"/>
        </w:rPr>
      </w:pPr>
      <w:r>
        <w:rPr>
          <w:rFonts w:hint="eastAsia" w:cs="Arial" w:asciiTheme="minorEastAsia" w:hAnsiTheme="minorEastAsia"/>
          <w:color w:val="FF0000"/>
          <w:sz w:val="24"/>
          <w:szCs w:val="24"/>
        </w:rPr>
        <w:t>③本项目不接受联合体投标（投标机构采取省级统一管理，使用同一平台，统一标识的除外）。</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color w:val="FF0000"/>
          <w:sz w:val="24"/>
          <w:szCs w:val="24"/>
          <w:lang w:eastAsia="zh-CN"/>
        </w:rPr>
      </w:pPr>
      <w:r>
        <w:rPr>
          <w:rFonts w:hint="eastAsia" w:cs="Arial" w:asciiTheme="minorEastAsia" w:hAnsiTheme="minorEastAsia"/>
          <w:color w:val="FF0000"/>
          <w:sz w:val="24"/>
          <w:szCs w:val="24"/>
        </w:rPr>
        <w:t>特殊资格要求：</w:t>
      </w:r>
      <w:r>
        <w:rPr>
          <w:rFonts w:hint="eastAsia" w:cs="Arial" w:asciiTheme="minorEastAsia" w:hAnsiTheme="minorEastAsia"/>
          <w:color w:val="FF0000"/>
          <w:sz w:val="24"/>
          <w:szCs w:val="24"/>
          <w:lang w:eastAsia="zh-CN"/>
        </w:rPr>
        <w:t>提供中国银行业监督管理委员会或其授权单位核发的《金融机构法人许可证》复印件或《金融营业许可证》复印件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9.获取采购文件信息：</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（1）购买采购文件时间: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24</w:t>
      </w:r>
      <w:r>
        <w:rPr>
          <w:rFonts w:hint="eastAsia" w:cs="Arial" w:asciiTheme="minorEastAsia" w:hAnsiTheme="minorEastAsia"/>
          <w:sz w:val="24"/>
          <w:szCs w:val="24"/>
        </w:rPr>
        <w:t>日至</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日17:00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（2）采购文件发售截止时间：</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日 17:00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（3）购买采购文件地点: 铜仁市公共资源交易中心官方网址（</w:t>
      </w:r>
      <w:r>
        <w:rPr>
          <w:rFonts w:hint="eastAsia" w:cs="Arial" w:asciiTheme="minorEastAsia" w:hAnsiTheme="minorEastAsia"/>
          <w:sz w:val="24"/>
          <w:szCs w:val="24"/>
          <w:u w:val="none"/>
          <w:lang w:val="en-US" w:eastAsia="zh-CN"/>
        </w:rPr>
        <w:t>jyzx.trs</w:t>
      </w:r>
      <w:r>
        <w:rPr>
          <w:rFonts w:hint="eastAsia" w:cs="Arial" w:asciiTheme="minorEastAsia" w:hAnsiTheme="minorEastAsia"/>
          <w:sz w:val="24"/>
          <w:szCs w:val="24"/>
          <w:u w:val="none"/>
        </w:rPr>
        <w:t>.</w:t>
      </w:r>
      <w:r>
        <w:rPr>
          <w:rFonts w:hint="eastAsia" w:cs="Arial" w:asciiTheme="minorEastAsia" w:hAnsiTheme="minorEastAsia"/>
          <w:sz w:val="24"/>
          <w:szCs w:val="24"/>
          <w:u w:val="none"/>
          <w:lang w:val="en-US" w:eastAsia="zh-CN"/>
        </w:rPr>
        <w:t>gov.</w:t>
      </w:r>
      <w:r>
        <w:rPr>
          <w:rFonts w:hint="eastAsia" w:cs="Arial" w:asciiTheme="minorEastAsia" w:hAnsiTheme="minorEastAsia"/>
          <w:sz w:val="24"/>
          <w:szCs w:val="24"/>
          <w:u w:val="none"/>
        </w:rPr>
        <w:t>c</w:t>
      </w:r>
      <w:r>
        <w:rPr>
          <w:rFonts w:hint="eastAsia" w:cs="Arial" w:asciiTheme="minorEastAsia" w:hAnsiTheme="minorEastAsia"/>
          <w:sz w:val="24"/>
          <w:szCs w:val="24"/>
          <w:u w:val="none"/>
          <w:lang w:val="en-US" w:eastAsia="zh-CN"/>
        </w:rPr>
        <w:t>n</w:t>
      </w:r>
      <w:r>
        <w:rPr>
          <w:rFonts w:hint="eastAsia" w:cs="Arial" w:asciiTheme="minorEastAsia" w:hAnsiTheme="minorEastAsia"/>
          <w:sz w:val="24"/>
          <w:szCs w:val="24"/>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（4）招标采购获取方式: 网上购买</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（5）采购文件售价:人民币0元/套</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10.投标截止时间（北京时间）: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日 1</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11.开标时间（北京时间）: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日 1</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12.开标地点: 铜仁市公共服务中心四楼（川硐教育园区麒龙国际旁）</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13.投标保证金情况</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投标保证金交纳方式: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240" w:firstLineChars="100"/>
        <w:textAlignment w:val="auto"/>
        <w:rPr>
          <w:rFonts w:cs="Arial" w:asciiTheme="minorEastAsia" w:hAnsiTheme="minorEastAsia"/>
          <w:sz w:val="24"/>
          <w:szCs w:val="24"/>
        </w:rPr>
      </w:pPr>
      <w:r>
        <w:rPr>
          <w:rFonts w:hint="eastAsia" w:cs="Arial" w:asciiTheme="minorEastAsia" w:hAnsiTheme="minorEastAsia"/>
          <w:sz w:val="24"/>
          <w:szCs w:val="24"/>
        </w:rPr>
        <w:t>（1）投标保证金额:</w:t>
      </w:r>
      <w:r>
        <w:rPr>
          <w:rFonts w:hint="eastAsia" w:cs="Arial" w:asciiTheme="minorEastAsia" w:hAnsiTheme="minorEastAsia"/>
          <w:sz w:val="24"/>
          <w:szCs w:val="24"/>
          <w:lang w:val="en-US" w:eastAsia="zh-CN"/>
        </w:rPr>
        <w:t>0元</w:t>
      </w:r>
      <w:r>
        <w:rPr>
          <w:rFonts w:hint="eastAsia" w:cs="Arial" w:asciiTheme="minorEastAsia" w:hAnsiTheme="minorEastAsia"/>
          <w:sz w:val="24"/>
          <w:szCs w:val="24"/>
        </w:rPr>
        <w:t>人民币</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  （2）投标保证金交纳时间: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日 1</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0前</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（3）投标保证金交纳方式:</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（4）开户银行及帐号</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单位名称: 铜仁市公共资源交易中心</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开户银行: 贵州银行股份有限公司铜仁分行</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帐  号:0601001500000296</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color w:val="auto"/>
          <w:sz w:val="24"/>
          <w:shd w:val="clear" w:color="auto" w:fill="FFFFFF"/>
          <w:lang w:eastAsia="zh-CN"/>
        </w:rPr>
      </w:pP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4</w:t>
      </w:r>
      <w:r>
        <w:rPr>
          <w:rFonts w:hint="eastAsia" w:ascii="宋体" w:hAnsi="宋体" w:cs="宋体"/>
          <w:color w:val="auto"/>
          <w:sz w:val="24"/>
          <w:shd w:val="clear" w:color="auto" w:fill="FFFFFF"/>
        </w:rPr>
        <w:t>）投标保证金交纳方式</w:t>
      </w:r>
      <w:r>
        <w:rPr>
          <w:rFonts w:hint="eastAsia" w:ascii="宋体" w:hAnsi="宋体" w:cs="宋体"/>
          <w:color w:val="auto"/>
          <w:sz w:val="24"/>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1" w:firstLineChars="100"/>
        <w:textAlignment w:val="auto"/>
        <w:rPr>
          <w:rFonts w:hint="eastAsia" w:ascii="宋体" w:hAnsi="宋体" w:cs="宋体"/>
          <w:sz w:val="24"/>
          <w:shd w:val="clear" w:color="auto" w:fill="FFFFFF"/>
        </w:rPr>
      </w:pPr>
      <w:r>
        <w:rPr>
          <w:rFonts w:hint="eastAsia" w:ascii="宋体" w:hAnsi="宋体" w:eastAsia="宋体" w:cs="宋体"/>
          <w:b/>
          <w:bCs/>
          <w:color w:val="auto"/>
          <w:sz w:val="24"/>
          <w:szCs w:val="24"/>
          <w:lang w:eastAsia="zh-CN"/>
        </w:rPr>
        <w:t>采用银行转账、电汇形式提交</w:t>
      </w:r>
      <w:r>
        <w:rPr>
          <w:rFonts w:ascii="宋体" w:hAnsi="宋体" w:eastAsia="宋体" w:cs="宋体"/>
          <w:color w:val="auto"/>
          <w:sz w:val="24"/>
          <w:szCs w:val="24"/>
        </w:rPr>
        <w:t>具体缴退流程见铜仁市公共资源交易中心网站（jyzx.trs.gov.cn），点击首页-办事指南-保证金缴退，自行缴纳保证金；或者</w:t>
      </w:r>
      <w:r>
        <w:rPr>
          <w:rFonts w:hint="eastAsia" w:ascii="宋体" w:hAnsi="宋体" w:cs="宋体"/>
          <w:b/>
          <w:bCs/>
          <w:color w:val="auto"/>
          <w:sz w:val="24"/>
          <w:shd w:val="clear" w:color="auto" w:fill="FFFFFF"/>
          <w:lang w:val="en-US" w:eastAsia="zh-CN"/>
        </w:rPr>
        <w:t>采用《投标保证金保函》（电子保函）提交</w:t>
      </w:r>
      <w:r>
        <w:rPr>
          <w:rFonts w:ascii="宋体" w:hAnsi="宋体" w:eastAsia="宋体" w:cs="宋体"/>
          <w:color w:val="auto"/>
          <w:sz w:val="24"/>
          <w:szCs w:val="24"/>
        </w:rPr>
        <w:t>（具体操作方式见铜仁市公共资源交易中心首页——办事指南——政府采购——常见问题解答——《投标电子保函申请操作步骤》）</w:t>
      </w:r>
      <w:r>
        <w:rPr>
          <w:rFonts w:hint="eastAsia" w:ascii="宋体" w:hAnsi="宋体" w:eastAsia="宋体" w:cs="宋体"/>
          <w:color w:val="auto"/>
          <w:sz w:val="24"/>
          <w:szCs w:val="24"/>
          <w:lang w:val="en-US" w:eastAsia="zh-CN"/>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14.采购人名称:</w:t>
      </w:r>
      <w:r>
        <w:rPr>
          <w:rFonts w:hint="eastAsia" w:cs="Arial" w:asciiTheme="minorEastAsia" w:hAnsiTheme="minorEastAsia"/>
          <w:sz w:val="24"/>
          <w:szCs w:val="24"/>
          <w:lang w:eastAsia="zh-CN"/>
        </w:rPr>
        <w:t>铜仁市财政局</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 xml:space="preserve">联系地址: </w:t>
      </w:r>
      <w:r>
        <w:rPr>
          <w:rFonts w:hint="eastAsia" w:ascii="宋体" w:hAnsi="宋体" w:cs="宋体"/>
          <w:sz w:val="24"/>
          <w:shd w:val="clear" w:color="auto" w:fill="FFFFFF"/>
          <w:lang w:eastAsia="zh-CN"/>
        </w:rPr>
        <w:t>铜仁市财政局</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 xml:space="preserve">项目联系人: </w:t>
      </w:r>
      <w:r>
        <w:rPr>
          <w:rFonts w:hint="eastAsia" w:ascii="宋体" w:hAnsi="宋体" w:cs="宋体"/>
          <w:sz w:val="24"/>
          <w:shd w:val="clear" w:color="auto" w:fill="FFFFFF"/>
          <w:lang w:eastAsia="zh-CN"/>
        </w:rPr>
        <w:t>王先生</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联系电话:</w:t>
      </w:r>
      <w:r>
        <w:rPr>
          <w:rFonts w:hint="eastAsia" w:ascii="宋体" w:hAnsi="宋体" w:cs="宋体"/>
          <w:sz w:val="24"/>
          <w:shd w:val="clear" w:color="auto" w:fill="FFFFFF"/>
          <w:lang w:val="en-US" w:eastAsia="zh-CN"/>
        </w:rPr>
        <w:t>0856-5223927</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15.采购项目需要落实的政府采购政策：已落实</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 xml:space="preserve">16.采购代理机构全称: </w:t>
      </w:r>
      <w:r>
        <w:rPr>
          <w:rFonts w:hint="eastAsia" w:cs="Arial" w:asciiTheme="minorEastAsia" w:hAnsiTheme="minorEastAsia"/>
          <w:sz w:val="24"/>
          <w:szCs w:val="24"/>
          <w:lang w:eastAsia="zh-CN"/>
        </w:rPr>
        <w:t>铜仁市公共资源交易中心</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联系地址: 铜仁市公共服务中心四楼（铜仁市川硐教育园区麒龙国际旁）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项目联系人: </w:t>
      </w:r>
      <w:r>
        <w:rPr>
          <w:rFonts w:hint="eastAsia" w:cs="Arial" w:asciiTheme="minorEastAsia" w:hAnsiTheme="minorEastAsia"/>
          <w:sz w:val="24"/>
          <w:szCs w:val="24"/>
          <w:lang w:eastAsia="zh-CN"/>
        </w:rPr>
        <w:t>张琰</w:t>
      </w:r>
      <w:r>
        <w:rPr>
          <w:rFonts w:hint="eastAsia" w:cs="Arial" w:asciiTheme="minorEastAsia" w:hAnsiTheme="minorEastAsia"/>
          <w:sz w:val="24"/>
          <w:szCs w:val="24"/>
        </w:rPr>
        <w:tab/>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联系电话:0856-3912922</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jc w:val="right"/>
        <w:textAlignment w:val="auto"/>
        <w:rPr>
          <w:rFonts w:cs="Arial" w:asciiTheme="minorEastAsia" w:hAnsiTheme="minorEastAsia"/>
          <w:sz w:val="24"/>
          <w:szCs w:val="24"/>
        </w:rPr>
      </w:pPr>
      <w:r>
        <w:rPr>
          <w:rFonts w:hint="eastAsia" w:cs="Arial" w:asciiTheme="minorEastAsia" w:hAnsiTheme="minorEastAsia"/>
          <w:sz w:val="24"/>
          <w:szCs w:val="24"/>
        </w:rPr>
        <w:t xml:space="preserve"> 机构名称：铜仁市公共资源交易中心</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720"/>
        <w:jc w:val="right"/>
        <w:textAlignment w:val="auto"/>
        <w:rPr>
          <w:rFonts w:hAnsi="Arial" w:cs="Arial"/>
          <w:sz w:val="24"/>
        </w:rPr>
      </w:pP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月</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Ansi="Arial" w:cs="Arial"/>
          <w:sz w:val="24"/>
        </w:rPr>
      </w:pPr>
      <w:r>
        <w:rPr>
          <w:rFonts w:hAnsi="Arial" w:cs="Arial"/>
          <w:sz w:val="24"/>
        </w:rPr>
        <w:t xml:space="preserve">  </w:t>
      </w:r>
    </w:p>
    <w:p>
      <w:pPr>
        <w:tabs>
          <w:tab w:val="left" w:pos="900"/>
        </w:tabs>
        <w:spacing w:line="360" w:lineRule="auto"/>
        <w:rPr>
          <w:rFonts w:hint="eastAsia" w:hAnsi="Arial" w:cs="Arial"/>
          <w:sz w:val="24"/>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hAnsi="Arial" w:cs="Arial"/>
          <w:sz w:val="24"/>
        </w:rPr>
        <w:t xml:space="preserve">   </w:t>
      </w:r>
    </w:p>
    <w:p>
      <w:pPr>
        <w:tabs>
          <w:tab w:val="left" w:pos="900"/>
        </w:tabs>
        <w:spacing w:line="360" w:lineRule="auto"/>
        <w:jc w:val="center"/>
        <w:rPr>
          <w:rFonts w:hAnsi="宋体"/>
        </w:rPr>
      </w:pPr>
      <w:r>
        <w:rPr>
          <w:rFonts w:hint="eastAsia" w:hAnsi="宋体"/>
          <w:b/>
          <w:sz w:val="36"/>
          <w:lang w:eastAsia="zh-CN"/>
        </w:rPr>
        <w:t>第二章</w:t>
      </w:r>
      <w:r>
        <w:rPr>
          <w:rFonts w:hint="eastAsia" w:hAnsi="宋体"/>
          <w:b/>
          <w:sz w:val="36"/>
          <w:lang w:val="en-US" w:eastAsia="zh-CN"/>
        </w:rPr>
        <w:t xml:space="preserve">  </w:t>
      </w:r>
      <w:r>
        <w:rPr>
          <w:rFonts w:hint="eastAsia" w:hAnsi="宋体"/>
          <w:b/>
          <w:sz w:val="36"/>
        </w:rPr>
        <w:t>磋商供应商须知表</w:t>
      </w:r>
    </w:p>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磋商供应商须知前附表1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asciiTheme="minorEastAsia" w:hAnsiTheme="minorEastAsia"/>
          <w:sz w:val="24"/>
          <w:szCs w:val="24"/>
        </w:rPr>
      </w:pPr>
      <w:r>
        <w:rPr>
          <w:rFonts w:hint="eastAsia" w:asciiTheme="minorEastAsia" w:hAnsiTheme="minorEastAsia"/>
          <w:sz w:val="24"/>
          <w:szCs w:val="24"/>
        </w:rPr>
        <w:t xml:space="preserve">本须知前附表的条款号是与《磋商供应商须知》中条款的项号相对应的。如果有矛盾的话，应以本附表为准。 </w:t>
      </w: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769"/>
        <w:gridCol w:w="7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项号</w:t>
            </w:r>
          </w:p>
        </w:tc>
        <w:tc>
          <w:tcPr>
            <w:tcW w:w="76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条款号</w:t>
            </w:r>
          </w:p>
        </w:tc>
        <w:tc>
          <w:tcPr>
            <w:tcW w:w="74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1.1</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sz w:val="24"/>
                <w:szCs w:val="24"/>
                <w:u w:val="single"/>
              </w:rPr>
            </w:pPr>
            <w:r>
              <w:rPr>
                <w:rFonts w:hint="eastAsia" w:asciiTheme="minorEastAsia" w:hAnsiTheme="minorEastAsia"/>
                <w:sz w:val="24"/>
                <w:szCs w:val="24"/>
              </w:rPr>
              <w:t>项目名称：</w:t>
            </w:r>
            <w:r>
              <w:rPr>
                <w:rFonts w:hint="eastAsia" w:asciiTheme="minorEastAsia" w:hAnsiTheme="minorEastAsia"/>
                <w:sz w:val="24"/>
                <w:szCs w:val="24"/>
                <w:u w:val="single"/>
                <w:lang w:eastAsia="zh-CN"/>
              </w:rPr>
              <w:t>铜仁市市级社会保险基金财政专户结余资金存放管理项目1包开户银行定期存放</w:t>
            </w:r>
            <w:r>
              <w:rPr>
                <w:rFonts w:hint="eastAsia" w:asciiTheme="minorEastAsia" w:hAnsi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采购人名称：</w:t>
            </w:r>
            <w:r>
              <w:rPr>
                <w:rFonts w:hint="eastAsia" w:asciiTheme="minorEastAsia" w:hAnsiTheme="minorEastAsia"/>
                <w:sz w:val="24"/>
                <w:szCs w:val="24"/>
                <w:u w:val="single"/>
                <w:lang w:eastAsia="zh-CN"/>
              </w:rPr>
              <w:t>铜仁市财政局</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 xml:space="preserve">采购人地址： </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eastAsia="zh-CN"/>
              </w:rPr>
              <w:t>铜仁市碧江区花果山</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项目内容</w:t>
            </w:r>
            <w:r>
              <w:rPr>
                <w:rFonts w:hint="eastAsia" w:asciiTheme="minorEastAsia" w:hAnsiTheme="minorEastAsia"/>
                <w:sz w:val="24"/>
                <w:szCs w:val="24"/>
                <w:u w:val="single"/>
              </w:rPr>
              <w:t>：</w:t>
            </w:r>
            <w:r>
              <w:rPr>
                <w:rFonts w:hint="eastAsia" w:asciiTheme="minorEastAsia" w:hAnsiTheme="minorEastAsia"/>
                <w:sz w:val="24"/>
                <w:szCs w:val="24"/>
                <w:u w:val="single"/>
                <w:lang w:eastAsia="zh-CN"/>
              </w:rPr>
              <w:t>铜仁市市级社会保险基金财政专户结余资金存放管理项目1包开户银行定期存放</w:t>
            </w:r>
            <w:r>
              <w:rPr>
                <w:rFonts w:hint="eastAsia" w:asciiTheme="minorEastAsia" w:hAnsiTheme="minorEastAsia"/>
                <w:sz w:val="24"/>
                <w:szCs w:val="24"/>
                <w:u w:val="single"/>
              </w:rPr>
              <w:t>预算</w:t>
            </w:r>
            <w:r>
              <w:rPr>
                <w:rFonts w:hint="eastAsia" w:asciiTheme="minorEastAsia" w:hAnsiTheme="minorEastAsia"/>
                <w:sz w:val="24"/>
                <w:szCs w:val="24"/>
                <w:u w:val="single"/>
                <w:lang w:val="en-US" w:eastAsia="zh-CN"/>
              </w:rPr>
              <w:t>0万</w:t>
            </w:r>
            <w:r>
              <w:rPr>
                <w:rFonts w:hint="eastAsia" w:asciiTheme="minorEastAsia" w:hAnsiTheme="minorEastAsia"/>
                <w:sz w:val="24"/>
                <w:szCs w:val="24"/>
                <w:u w:val="single"/>
              </w:rPr>
              <w:t>元，最高限价</w:t>
            </w:r>
            <w:r>
              <w:rPr>
                <w:rFonts w:hint="eastAsia" w:asciiTheme="minorEastAsia" w:hAnsiTheme="minorEastAsia"/>
                <w:sz w:val="24"/>
                <w:szCs w:val="24"/>
                <w:u w:val="single"/>
                <w:lang w:val="en-US" w:eastAsia="zh-CN"/>
              </w:rPr>
              <w:t>0万</w:t>
            </w:r>
            <w:r>
              <w:rPr>
                <w:rFonts w:hint="eastAsia" w:asciiTheme="minorEastAsia" w:hAnsiTheme="minorEastAsia"/>
                <w:sz w:val="24"/>
                <w:szCs w:val="24"/>
                <w:u w:val="single"/>
              </w:rPr>
              <w:t xml:space="preserve">元，保证金0元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rPr>
              <w:t xml:space="preserve">项目编号： </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eastAsia="zh-CN"/>
              </w:rPr>
              <w:t>TRZFCG-2021-024-1</w:t>
            </w:r>
            <w:r>
              <w:rPr>
                <w:rFonts w:hint="eastAsia" w:asciiTheme="minorEastAsia" w:hAnsi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cs="Arial" w:asciiTheme="minorEastAsia" w:hAnsiTheme="minorEastAsia"/>
                <w:sz w:val="24"/>
                <w:szCs w:val="24"/>
              </w:rPr>
              <w:t>财政审核控制价（预算价）：</w:t>
            </w:r>
            <w:r>
              <w:rPr>
                <w:rFonts w:hint="eastAsia" w:cs="Arial" w:asciiTheme="minorEastAsia" w:hAnsiTheme="minorEastAsia"/>
                <w:sz w:val="24"/>
                <w:szCs w:val="24"/>
                <w:u w:val="single"/>
              </w:rPr>
              <w:t xml:space="preserve"> </w:t>
            </w:r>
            <w:r>
              <w:rPr>
                <w:rFonts w:hint="eastAsia" w:cs="Arial" w:asciiTheme="minorEastAsia" w:hAnsiTheme="minorEastAsia"/>
                <w:sz w:val="24"/>
                <w:szCs w:val="24"/>
                <w:u w:val="single"/>
                <w:lang w:val="en-US" w:eastAsia="zh-CN"/>
              </w:rPr>
              <w:t>0</w:t>
            </w:r>
            <w:r>
              <w:rPr>
                <w:rFonts w:hint="eastAsia" w:cs="Arial" w:asciiTheme="minorEastAsia" w:hAnsiTheme="minorEastAsia"/>
                <w:sz w:val="24"/>
                <w:szCs w:val="24"/>
                <w:u w:val="single"/>
              </w:rPr>
              <w:t>万元</w:t>
            </w:r>
            <w:r>
              <w:rPr>
                <w:rFonts w:hint="eastAsia" w:cs="Arial" w:asciiTheme="minorEastAsia" w:hAnsiTheme="minorEastAsia"/>
                <w:sz w:val="24"/>
                <w:szCs w:val="24"/>
                <w:u w:val="single"/>
                <w:lang w:eastAsia="zh-CN"/>
              </w:rPr>
              <w:t>（最高限价</w:t>
            </w:r>
            <w:r>
              <w:rPr>
                <w:rFonts w:hint="eastAsia" w:cs="Arial" w:asciiTheme="minorEastAsia" w:hAnsiTheme="minorEastAsia"/>
                <w:sz w:val="24"/>
                <w:szCs w:val="24"/>
                <w:u w:val="single"/>
                <w:lang w:val="en-US" w:eastAsia="zh-CN"/>
              </w:rPr>
              <w:t>0万元</w:t>
            </w:r>
            <w:r>
              <w:rPr>
                <w:rFonts w:hint="eastAsia" w:cs="Arial" w:asciiTheme="minorEastAsia" w:hAnsiTheme="minorEastAsia"/>
                <w:sz w:val="24"/>
                <w:szCs w:val="24"/>
                <w:u w:val="single"/>
                <w:lang w:eastAsia="zh-CN"/>
              </w:rPr>
              <w:t>）</w:t>
            </w:r>
            <w:r>
              <w:rPr>
                <w:rFonts w:hint="eastAsia" w:cs="Arial" w:asciiTheme="minorEastAsia" w:hAnsiTheme="minorEastAsia"/>
                <w:sz w:val="24"/>
                <w:szCs w:val="24"/>
              </w:rPr>
              <w:t>（磋商</w:t>
            </w:r>
            <w:r>
              <w:rPr>
                <w:rFonts w:hint="eastAsia" w:asciiTheme="minorEastAsia" w:hAnsiTheme="minorEastAsia"/>
                <w:sz w:val="24"/>
                <w:szCs w:val="24"/>
              </w:rPr>
              <w:t>首次报价不能超过财政审核预算价）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是否允许中国境外供应商参加本采购项目：</w:t>
            </w: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资格标准：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详见第二章《磋商响应供应商价须知》第3条，以及第三章《采购内容及要求》有关内容。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4</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 xml:space="preserve">响应文件递交地址：  </w:t>
            </w:r>
            <w:r>
              <w:rPr>
                <w:rFonts w:hint="eastAsia" w:asciiTheme="minorEastAsia" w:hAnsiTheme="minorEastAsia"/>
                <w:sz w:val="24"/>
                <w:szCs w:val="24"/>
                <w:lang w:eastAsia="zh-CN"/>
              </w:rPr>
              <w:t>铜仁市公共资源交易中心</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响应文件提交截止时间：详见磋商邀请。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12</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cs="Arial" w:asciiTheme="minorEastAsia" w:hAnsiTheme="minorEastAsia"/>
                <w:sz w:val="24"/>
                <w:szCs w:val="24"/>
              </w:rPr>
            </w:pPr>
            <w:r>
              <w:rPr>
                <w:rFonts w:cs="Arial" w:asciiTheme="minorEastAsia" w:hAnsiTheme="minorEastAsia"/>
                <w:sz w:val="24"/>
                <w:szCs w:val="24"/>
              </w:rPr>
              <w:t>磋商保证金：响应文件应附有人民币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en-US" w:eastAsia="zh-CN"/>
              </w:rPr>
              <w:t>0万</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元</w:t>
            </w:r>
            <w:r>
              <w:rPr>
                <w:rFonts w:cs="Arial" w:asciiTheme="minorEastAsia" w:hAnsiTheme="minorEastAsia"/>
                <w:sz w:val="24"/>
                <w:szCs w:val="24"/>
              </w:rPr>
              <w:t>整的</w:t>
            </w:r>
            <w:r>
              <w:rPr>
                <w:rFonts w:hint="eastAsia" w:cs="Arial" w:asciiTheme="minorEastAsia" w:hAnsiTheme="minorEastAsia"/>
                <w:sz w:val="24"/>
                <w:szCs w:val="24"/>
              </w:rPr>
              <w:t>磋商</w:t>
            </w:r>
            <w:r>
              <w:rPr>
                <w:rFonts w:cs="Arial" w:asciiTheme="minorEastAsia" w:hAnsiTheme="minorEastAsia"/>
                <w:sz w:val="24"/>
                <w:szCs w:val="24"/>
              </w:rPr>
              <w:t>保证金，</w:t>
            </w:r>
            <w:r>
              <w:rPr>
                <w:rFonts w:hint="eastAsia" w:cs="Arial" w:asciiTheme="minorEastAsia" w:hAnsiTheme="minorEastAsia"/>
                <w:sz w:val="24"/>
                <w:szCs w:val="24"/>
              </w:rPr>
              <w:t>保证金必须从供应商账户支付且在响应文件提交截止时间前到账，保证金应当采用支票、汇票、本票、网上银行支付</w:t>
            </w:r>
            <w:r>
              <w:rPr>
                <w:rFonts w:hint="eastAsia" w:cs="Arial" w:asciiTheme="minorEastAsia" w:hAnsiTheme="minorEastAsia"/>
                <w:sz w:val="24"/>
                <w:szCs w:val="24"/>
                <w:lang w:eastAsia="zh-CN"/>
              </w:rPr>
              <w:t>、电子保函</w:t>
            </w:r>
            <w:r>
              <w:rPr>
                <w:rFonts w:hint="eastAsia" w:cs="Arial" w:asciiTheme="minorEastAsia" w:hAnsiTheme="minorEastAsia"/>
                <w:sz w:val="24"/>
                <w:szCs w:val="24"/>
              </w:rPr>
              <w:t>等非现金形式交纳。（保证金不得超过采购项目预算金额的2%）</w:t>
            </w:r>
            <w:r>
              <w:rPr>
                <w:rFonts w:cs="Arial" w:asciiTheme="minorEastAsia" w:hAnsiTheme="minorEastAsia"/>
                <w:sz w:val="24"/>
                <w:szCs w:val="24"/>
              </w:rPr>
              <w:t xml:space="preserve">        </w:t>
            </w:r>
            <w:r>
              <w:rPr>
                <w:rFonts w:hint="eastAsia"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6</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4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u w:val="single"/>
              </w:rPr>
              <w:t>磋商规则、评审标准：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u w:val="single"/>
              </w:rPr>
              <w:t>详见《磋商供应商须知前附表3》；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7</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22.4</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rPr>
              <w:t>磋商代理服务费标准及收取方式：</w:t>
            </w:r>
            <w:r>
              <w:rPr>
                <w:rFonts w:hint="eastAsia" w:asciiTheme="minorEastAsia" w:hAnsiTheme="minorEastAsia"/>
                <w:color w:val="FF0000"/>
                <w:sz w:val="24"/>
                <w:szCs w:val="24"/>
                <w:u w:val="single"/>
              </w:rPr>
              <w:t xml:space="preserve">       无      </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bCs/>
          <w:sz w:val="24"/>
          <w:szCs w:val="24"/>
          <w:u w:val="single"/>
        </w:rPr>
      </w:pPr>
      <w:r>
        <w:rPr>
          <w:rFonts w:hint="eastAsia" w:asciiTheme="minorEastAsia" w:hAnsiTheme="minorEastAsia"/>
          <w:b/>
          <w:bCs/>
          <w:sz w:val="24"/>
          <w:szCs w:val="24"/>
        </w:rPr>
        <w:br w:type="page"/>
      </w:r>
      <w:r>
        <w:rPr>
          <w:rFonts w:hint="eastAsia" w:asciiTheme="minorEastAsia" w:hAnsiTheme="minorEastAsia"/>
          <w:b/>
          <w:bCs/>
          <w:sz w:val="24"/>
          <w:szCs w:val="24"/>
          <w:u w:val="single"/>
        </w:rPr>
        <w:t>磋商供应商须知前附表2:资格性、符合性检查表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asciiTheme="minorEastAsia" w:hAnsiTheme="minorEastAsia"/>
          <w:sz w:val="24"/>
          <w:szCs w:val="24"/>
        </w:rPr>
      </w:pPr>
      <w:r>
        <w:rPr>
          <w:rFonts w:hint="eastAsia" w:asciiTheme="minorEastAsia" w:hAnsiTheme="minorEastAsia"/>
          <w:sz w:val="24"/>
          <w:szCs w:val="24"/>
        </w:rPr>
        <w:t>本须知前附表2集中列示了资格性、符合性检查的所有条款，其内容是磋商小组判断磋商供应商的报价是否有效的重要依据。</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合格的磋商供应商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具体内容详见第二章第3条“合格的磋商供应商”。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磋商代表若不是法定代表人，则必须提供法定代表人</w:t>
            </w:r>
            <w:r>
              <w:rPr>
                <w:rFonts w:hint="eastAsia" w:asciiTheme="minorEastAsia" w:hAnsiTheme="minorEastAsia"/>
                <w:color w:val="FF0000"/>
                <w:sz w:val="24"/>
                <w:szCs w:val="24"/>
                <w:lang w:eastAsia="zh-CN"/>
              </w:rPr>
              <w:t>（或负责人）</w:t>
            </w:r>
            <w:r>
              <w:rPr>
                <w:rFonts w:hint="eastAsia" w:asciiTheme="minorEastAsia" w:hAnsiTheme="minorEastAsia"/>
                <w:sz w:val="24"/>
                <w:szCs w:val="24"/>
              </w:rPr>
              <w:t>对磋商代表的授权书原件及磋商代表的身份证复印件（正反面均需复印）。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3.1</w:t>
            </w:r>
          </w:p>
        </w:tc>
        <w:tc>
          <w:tcPr>
            <w:tcW w:w="7035" w:type="dxa"/>
            <w:tcBorders>
              <w:top w:val="single" w:color="auto" w:sz="4" w:space="0"/>
              <w:left w:val="single" w:color="auto" w:sz="4" w:space="0"/>
              <w:bottom w:val="single" w:color="auto" w:sz="4" w:space="0"/>
              <w:right w:val="single" w:color="auto" w:sz="4" w:space="0"/>
            </w:tcBorders>
          </w:tcPr>
          <w:p>
            <w:pPr>
              <w:pStyle w:val="23"/>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rPr>
            </w:pPr>
            <w:r>
              <w:rPr>
                <w:rFonts w:asciiTheme="minorEastAsia" w:hAnsiTheme="minorEastAsia"/>
              </w:rPr>
              <w:t>参加政府采购活动的</w:t>
            </w:r>
            <w:r>
              <w:rPr>
                <w:rFonts w:hint="eastAsia" w:asciiTheme="minorEastAsia" w:hAnsiTheme="minorEastAsia"/>
              </w:rPr>
              <w:t>磋商供应商</w:t>
            </w:r>
            <w:r>
              <w:rPr>
                <w:rFonts w:asciiTheme="minorEastAsia" w:hAnsiTheme="minorEastAsia"/>
              </w:rPr>
              <w:t>应当具备《中华人民共和国政府采购法》第二十二条第一款规定的条件，提供下列材料：</w:t>
            </w:r>
          </w:p>
          <w:p>
            <w:pPr>
              <w:pStyle w:val="2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heme="minorEastAsia" w:hAnsiTheme="minorEastAsia"/>
              </w:rPr>
            </w:pPr>
            <w:r>
              <w:rPr>
                <w:rFonts w:hint="eastAsia" w:asciiTheme="minorEastAsia" w:hAnsiTheme="minorEastAsia"/>
              </w:rPr>
              <w:t>（1）法人或者其他组织的营业执照等证明文件，自然人的身份证明；</w:t>
            </w:r>
          </w:p>
          <w:p>
            <w:pPr>
              <w:pStyle w:val="2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heme="minorEastAsia" w:hAnsiTheme="minorEastAsia"/>
              </w:rPr>
            </w:pPr>
            <w:r>
              <w:rPr>
                <w:rFonts w:asciiTheme="minorEastAsia" w:hAnsiTheme="minorEastAsia"/>
              </w:rPr>
              <w:t>（</w:t>
            </w:r>
            <w:r>
              <w:rPr>
                <w:rFonts w:hint="eastAsia" w:asciiTheme="minorEastAsia" w:hAnsiTheme="minorEastAsia"/>
              </w:rPr>
              <w:t>2</w:t>
            </w:r>
            <w:r>
              <w:rPr>
                <w:rFonts w:hint="eastAsia" w:asciiTheme="minorEastAsia" w:hAnsiTheme="minorEastAsia"/>
                <w:lang w:eastAsia="zh-CN"/>
              </w:rPr>
              <w:t>）</w:t>
            </w:r>
            <w:r>
              <w:rPr>
                <w:rFonts w:asciiTheme="minorEastAsia" w:hAnsiTheme="minorEastAsia"/>
              </w:rPr>
              <w:t>财务状况报告</w:t>
            </w:r>
            <w:r>
              <w:rPr>
                <w:rFonts w:hint="eastAsia" w:asciiTheme="minorEastAsia" w:hAnsiTheme="minorEastAsia"/>
              </w:rPr>
              <w:t>及</w:t>
            </w:r>
            <w:r>
              <w:rPr>
                <w:rFonts w:asciiTheme="minorEastAsia" w:hAnsiTheme="minorEastAsia"/>
              </w:rPr>
              <w:t>依法缴纳税收和社会保障资金的相关材料</w:t>
            </w:r>
            <w:r>
              <w:rPr>
                <w:rFonts w:hint="eastAsia" w:asciiTheme="minorEastAsia" w:hAnsiTheme="minorEastAsia"/>
              </w:rPr>
              <w:t>；</w:t>
            </w:r>
          </w:p>
          <w:p>
            <w:pPr>
              <w:pStyle w:val="23"/>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rPr>
            </w:pPr>
            <w:r>
              <w:rPr>
                <w:rFonts w:hint="eastAsia" w:asciiTheme="minorEastAsia" w:hAnsiTheme="minorEastAsia"/>
              </w:rPr>
              <w:t>（3）具备履行合同所必需的设备和专业技术能力的证明材料；</w:t>
            </w:r>
          </w:p>
          <w:p>
            <w:pPr>
              <w:pStyle w:val="23"/>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rPr>
            </w:pPr>
            <w:r>
              <w:rPr>
                <w:rFonts w:asciiTheme="minorEastAsia" w:hAnsiTheme="minorEastAsia"/>
              </w:rPr>
              <w:t>（</w:t>
            </w:r>
            <w:r>
              <w:rPr>
                <w:rFonts w:hint="eastAsia" w:asciiTheme="minorEastAsia" w:hAnsiTheme="minorEastAsia"/>
              </w:rPr>
              <w:t>4</w:t>
            </w:r>
            <w:r>
              <w:rPr>
                <w:rFonts w:asciiTheme="minorEastAsia" w:hAnsiTheme="minorEastAsia"/>
              </w:rPr>
              <w:t>）参加政府采购活动前3年内在经营活动中没有重大违法记录的书面声明；</w:t>
            </w:r>
          </w:p>
          <w:p>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inorEastAsia" w:hAnsiTheme="minorEastAsia" w:eastAsiaTheme="minorEastAsia"/>
                <w:sz w:val="24"/>
                <w:szCs w:val="24"/>
                <w:lang w:val="en-US" w:eastAsia="zh-CN"/>
              </w:rPr>
            </w:pPr>
            <w:r>
              <w:rPr>
                <w:rFonts w:cs="宋体" w:asciiTheme="minorEastAsia" w:hAnsiTheme="minorEastAsia"/>
                <w:color w:val="auto"/>
                <w:sz w:val="24"/>
                <w:szCs w:val="24"/>
              </w:rPr>
              <w:t>（</w:t>
            </w:r>
            <w:r>
              <w:rPr>
                <w:rFonts w:hint="eastAsia" w:cs="宋体" w:asciiTheme="minorEastAsia" w:hAnsiTheme="minorEastAsia"/>
                <w:color w:val="auto"/>
                <w:sz w:val="24"/>
                <w:szCs w:val="24"/>
              </w:rPr>
              <w:t>5</w:t>
            </w:r>
            <w:r>
              <w:rPr>
                <w:rFonts w:cs="宋体" w:asciiTheme="minorEastAsia" w:hAnsiTheme="minorEastAsia"/>
                <w:color w:val="auto"/>
                <w:sz w:val="24"/>
                <w:szCs w:val="24"/>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7035" w:type="dxa"/>
            <w:tcBorders>
              <w:top w:val="single" w:color="auto" w:sz="4" w:space="0"/>
              <w:left w:val="single" w:color="auto" w:sz="4" w:space="0"/>
              <w:bottom w:val="single" w:color="auto" w:sz="4" w:space="0"/>
              <w:right w:val="single" w:color="auto" w:sz="4" w:space="0"/>
            </w:tcBorders>
          </w:tcPr>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68" w:firstLineChars="195"/>
              <w:textAlignment w:val="auto"/>
              <w:rPr>
                <w:rFonts w:asciiTheme="minorEastAsia" w:hAnsiTheme="minorEastAsia"/>
                <w:b/>
              </w:rPr>
            </w:pPr>
            <w:r>
              <w:rPr>
                <w:rFonts w:hint="eastAsia"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磋商供应商的响应文件未按规定的响应截止时间之前提交的，其响应将被拒绝。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3.8</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磋商响应供应商存在下列情形之一的，将被认定为串通响应行为并作无效响应处理：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（1）磋商响应供应商之间协商磋商报价等磋商响应文件的实质性内容；</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（2）磋商响应供应商之间约定成交供应商；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（3）磋商响应供应商之间约定部分磋商响应供应商放弃磋商响应或者成交；</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（4）属于同一集团、协会、商会等组织成员的磋商响应供应商按照该组织要求协同磋商响应；</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（5）磋商响应供应商之间为谋取成交或者排斥特定磋商响应供应商而采取的其他联合行动；</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（6）不同磋商响应供应商的响应文件由同一单位或者个人编制；</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（7）不同磋商响应供应商委托同一单位或者个人办理磋商响应事宜；</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（8）不同磋商响应供应商的响应文件载明的项目管理成员为同一人；</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（9）不同磋商响应供应商的响应文件异常一致或者报价呈规律性差异；</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（10）不同磋商响应供应商的响应文件相互混装；</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FF0000"/>
                <w:sz w:val="24"/>
                <w:szCs w:val="24"/>
              </w:rPr>
            </w:pPr>
            <w:r>
              <w:rPr>
                <w:rFonts w:hint="eastAsia" w:asciiTheme="minorEastAsia" w:hAnsiTheme="minorEastAsia"/>
                <w:color w:val="000000"/>
                <w:sz w:val="24"/>
                <w:szCs w:val="24"/>
              </w:rPr>
              <w:t>（</w:t>
            </w:r>
            <w:r>
              <w:rPr>
                <w:rFonts w:hint="eastAsia" w:asciiTheme="minorEastAsia" w:hAnsiTheme="minorEastAsia"/>
                <w:color w:val="FF0000"/>
                <w:sz w:val="24"/>
                <w:szCs w:val="24"/>
              </w:rPr>
              <w:t>11）不同磋商响应供应商的磋商保证金从同一单位或者个人的账户转出。</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（12）不同磋商响应供应商的响应文件错、漏之处一致或雷同，且不能合理解释的；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（13）不同的磋商响应供应商的法定代表人、委托代理人等由同一个单位缴纳社会保险的；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11.1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响应文件有效期：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olor w:val="FF0000"/>
                <w:sz w:val="24"/>
                <w:szCs w:val="24"/>
              </w:rPr>
            </w:pPr>
            <w:r>
              <w:rPr>
                <w:rFonts w:hint="eastAsia" w:asciiTheme="minorEastAsia" w:hAnsiTheme="minorEastAsia"/>
                <w:color w:val="FF0000"/>
                <w:sz w:val="24"/>
                <w:szCs w:val="24"/>
              </w:rPr>
              <w:t>响应文件提交截止之日起</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90</w:t>
            </w:r>
            <w:r>
              <w:rPr>
                <w:rFonts w:hint="eastAsia" w:asciiTheme="minorEastAsia" w:hAnsiTheme="minorEastAsia"/>
                <w:color w:val="FF0000"/>
                <w:sz w:val="24"/>
                <w:szCs w:val="24"/>
              </w:rPr>
              <w:t>个日历日。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12.5</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 w:val="24"/>
                <w:szCs w:val="24"/>
                <w:lang w:eastAsia="zh-CN"/>
              </w:rPr>
            </w:pPr>
            <w:r>
              <w:rPr>
                <w:rFonts w:asciiTheme="minorEastAsia" w:hAnsiTheme="minorEastAsia"/>
                <w:color w:val="FF0000"/>
                <w:sz w:val="24"/>
                <w:szCs w:val="24"/>
              </w:rPr>
              <w:t>未按规定提交磋商保证金，</w:t>
            </w:r>
            <w:r>
              <w:rPr>
                <w:rFonts w:cs="Arial" w:asciiTheme="minorEastAsia" w:hAnsiTheme="minorEastAsia"/>
                <w:color w:val="FF0000"/>
                <w:sz w:val="24"/>
                <w:szCs w:val="24"/>
              </w:rPr>
              <w:t>将被</w:t>
            </w:r>
            <w:r>
              <w:rPr>
                <w:rFonts w:hint="eastAsia" w:cs="Arial" w:asciiTheme="minorEastAsia" w:hAnsiTheme="minorEastAsia"/>
                <w:color w:val="FF0000"/>
                <w:sz w:val="24"/>
                <w:szCs w:val="24"/>
              </w:rPr>
              <w:t>视为未响应磋商文件要求，取消其磋商资格</w:t>
            </w:r>
            <w:r>
              <w:rPr>
                <w:rFonts w:cs="Arial" w:asciiTheme="minorEastAsia" w:hAnsiTheme="minorEastAsia"/>
                <w:color w:val="FF0000"/>
                <w:sz w:val="24"/>
                <w:szCs w:val="24"/>
              </w:rPr>
              <w:t>。</w:t>
            </w:r>
            <w:r>
              <w:rPr>
                <w:rFonts w:hint="eastAsia" w:cs="Arial" w:asciiTheme="minorEastAsia" w:hAnsiTheme="minorEastAsia"/>
                <w:color w:val="FF0000"/>
                <w:sz w:val="24"/>
                <w:szCs w:val="24"/>
                <w:lang w:eastAsia="zh-CN"/>
              </w:rPr>
              <w:t>（如有保证金）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17.3.2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cs="Arial" w:asciiTheme="minorEastAsia" w:hAnsiTheme="minorEastAsia"/>
                <w:sz w:val="24"/>
                <w:szCs w:val="24"/>
              </w:rPr>
              <w:t>实质性偏离是指：（1）实质性影响合同的范围、质量和履行；（2）实质性违背磋商文件，限制了采购人的权利和成交供应商合同项下的义务；（3）不公正地影响了其他作出实质性响应的磋商供应商的竞争地位。对没有实质性响应的磋商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17.3.2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left="31" w:leftChars="15" w:firstLine="480" w:firstLineChars="200"/>
              <w:textAlignment w:val="auto"/>
              <w:rPr>
                <w:rFonts w:asciiTheme="minorEastAsia" w:hAnsiTheme="minorEastAsia"/>
                <w:sz w:val="24"/>
                <w:szCs w:val="24"/>
              </w:rPr>
            </w:pPr>
            <w:r>
              <w:rPr>
                <w:rFonts w:hint="eastAsia" w:asciiTheme="minorEastAsia" w:hAnsiTheme="minorEastAsia"/>
                <w:sz w:val="24"/>
                <w:szCs w:val="24"/>
              </w:rPr>
              <w:t>凡有下列情况之一者，响应文件也将被视为未实质性响应磋商文件要求：</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(1)响应文件未按照本须知规定进行密封、标记的；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(2)未按规定由磋商响应供应商的法定代表人</w:t>
            </w:r>
            <w:r>
              <w:rPr>
                <w:rFonts w:hint="eastAsia" w:asciiTheme="minorEastAsia" w:hAnsiTheme="minorEastAsia"/>
                <w:sz w:val="24"/>
                <w:szCs w:val="24"/>
                <w:lang w:eastAsia="zh-CN"/>
              </w:rPr>
              <w:t>（负责人）</w:t>
            </w:r>
            <w:r>
              <w:rPr>
                <w:rFonts w:hint="eastAsia" w:asciiTheme="minorEastAsia" w:hAnsiTheme="minorEastAsia"/>
                <w:sz w:val="24"/>
                <w:szCs w:val="24"/>
              </w:rPr>
              <w:t>或其授权代表签章；或未加盖公章的；或授权代表未提供法定代表人</w:t>
            </w:r>
            <w:r>
              <w:rPr>
                <w:rFonts w:hint="eastAsia" w:asciiTheme="minorEastAsia" w:hAnsiTheme="minorEastAsia"/>
                <w:sz w:val="24"/>
                <w:szCs w:val="24"/>
                <w:lang w:eastAsia="zh-CN"/>
              </w:rPr>
              <w:t>（负责人）</w:t>
            </w:r>
            <w:r>
              <w:rPr>
                <w:rFonts w:hint="eastAsia" w:asciiTheme="minorEastAsia" w:hAnsiTheme="minorEastAsia"/>
                <w:sz w:val="24"/>
                <w:szCs w:val="24"/>
              </w:rPr>
              <w:t>有效授权委托书的；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(3)磋商保证金未在磋商响应截止时间前到账的；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(4)响应文件有效期不满足磋商文件要求的；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(5)响应文件内容与采购内容及要求有重大偏离或保留的；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(6)响应供应商提交的是可选择的报价；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(7)响应供应商未按磋商文件要求进行分项报价；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(8)响应文件中提供虚假或失实资料的；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(9)不符合磋商文件中规定的其它实质性条款。 </w:t>
            </w:r>
          </w:p>
          <w:p>
            <w:pPr>
              <w:keepNext w:val="0"/>
              <w:keepLines w:val="0"/>
              <w:pageBreakBefore w:val="0"/>
              <w:kinsoku/>
              <w:wordWrap/>
              <w:overflowPunct/>
              <w:topLinePunct w:val="0"/>
              <w:autoSpaceDE/>
              <w:autoSpaceDN/>
              <w:bidi w:val="0"/>
              <w:adjustRightInd/>
              <w:snapToGrid/>
              <w:spacing w:line="400" w:lineRule="exact"/>
              <w:ind w:left="69" w:leftChars="33" w:firstLine="480" w:firstLineChars="200"/>
              <w:textAlignment w:val="auto"/>
              <w:rPr>
                <w:rFonts w:asciiTheme="minorEastAsia" w:hAnsiTheme="minorEastAsia"/>
                <w:sz w:val="24"/>
                <w:szCs w:val="24"/>
              </w:rPr>
            </w:pPr>
            <w:r>
              <w:rPr>
                <w:rFonts w:hint="eastAsia" w:asciiTheme="minorEastAsia" w:hAnsiTheme="minorEastAsia"/>
                <w:sz w:val="24"/>
                <w:szCs w:val="24"/>
              </w:rPr>
              <w:t>磋商小组决定磋商响应供应商的响应性只根据响应文件本身的内容，而不寻求其他的外部证据。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19.2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若磋商供应商的报价明显低于其他报价，使得其报价可能低于其个别成本的，有可能影响商品质量或不能诚信履约的，磋商供应商应按磋商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8</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2145"/>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cs="Arial" w:asciiTheme="minorEastAsia" w:hAnsiTheme="minorEastAsia"/>
                <w:sz w:val="24"/>
                <w:szCs w:val="24"/>
              </w:rPr>
              <w:t>磋商小组将对</w:t>
            </w:r>
            <w:r>
              <w:rPr>
                <w:rFonts w:hint="eastAsia" w:cs="Arial" w:asciiTheme="minorEastAsia" w:hAnsiTheme="minorEastAsia"/>
                <w:sz w:val="24"/>
                <w:szCs w:val="24"/>
              </w:rPr>
              <w:t>磋商文件</w:t>
            </w:r>
            <w:r>
              <w:rPr>
                <w:rFonts w:cs="Arial" w:asciiTheme="minorEastAsia" w:hAnsiTheme="minorEastAsia"/>
                <w:sz w:val="24"/>
                <w:szCs w:val="24"/>
              </w:rPr>
              <w:t>中</w:t>
            </w:r>
            <w:r>
              <w:rPr>
                <w:rFonts w:hint="eastAsia" w:cs="Arial" w:asciiTheme="minorEastAsia" w:hAnsiTheme="minorEastAsia"/>
                <w:sz w:val="24"/>
                <w:szCs w:val="24"/>
              </w:rPr>
              <w:t>列明的</w:t>
            </w:r>
            <w:r>
              <w:rPr>
                <w:rFonts w:cs="Arial" w:asciiTheme="minorEastAsia" w:hAnsiTheme="minorEastAsia"/>
                <w:sz w:val="24"/>
                <w:szCs w:val="24"/>
              </w:rPr>
              <w:t>合格磋商</w:t>
            </w:r>
            <w:r>
              <w:rPr>
                <w:rFonts w:hint="eastAsia" w:cs="Arial" w:asciiTheme="minorEastAsia" w:hAnsiTheme="minorEastAsia"/>
                <w:sz w:val="24"/>
                <w:szCs w:val="24"/>
              </w:rPr>
              <w:t>供应商应符合“资格性要求”</w:t>
            </w:r>
            <w:r>
              <w:rPr>
                <w:rFonts w:cs="Arial" w:asciiTheme="minorEastAsia" w:hAnsiTheme="minorEastAsia"/>
                <w:sz w:val="24"/>
                <w:szCs w:val="24"/>
              </w:rPr>
              <w:t>部分做资格</w:t>
            </w:r>
            <w:r>
              <w:rPr>
                <w:rFonts w:hint="eastAsia" w:cs="Arial" w:asciiTheme="minorEastAsia" w:hAnsiTheme="minorEastAsia"/>
                <w:sz w:val="24"/>
                <w:szCs w:val="24"/>
              </w:rPr>
              <w:t>审查</w:t>
            </w:r>
            <w:r>
              <w:rPr>
                <w:rFonts w:cs="Arial" w:asciiTheme="minorEastAsia" w:hAnsiTheme="minorEastAsia"/>
                <w:sz w:val="24"/>
                <w:szCs w:val="24"/>
              </w:rPr>
              <w:t>，没有提供</w:t>
            </w:r>
            <w:r>
              <w:rPr>
                <w:rFonts w:hint="eastAsia" w:cs="Arial" w:asciiTheme="minorEastAsia" w:hAnsiTheme="minorEastAsia"/>
                <w:sz w:val="24"/>
                <w:szCs w:val="24"/>
              </w:rPr>
              <w:t>相关</w:t>
            </w:r>
            <w:r>
              <w:rPr>
                <w:rFonts w:cs="Arial" w:asciiTheme="minorEastAsia" w:hAnsiTheme="minorEastAsia"/>
                <w:sz w:val="24"/>
                <w:szCs w:val="24"/>
              </w:rPr>
              <w:t>证明文件或文件未按规定签署盖章者</w:t>
            </w:r>
            <w:r>
              <w:rPr>
                <w:rFonts w:hint="eastAsia" w:cs="Arial" w:asciiTheme="minorEastAsia" w:hAnsiTheme="minorEastAsia"/>
                <w:sz w:val="24"/>
                <w:szCs w:val="24"/>
              </w:rPr>
              <w:t>将导致响应无效。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9</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三</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全文中带有“*”的条款为关键性条款，如磋商供应商对这些关键性条款还存在任何负偏离或不满足将导致报价无效。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asciiTheme="minorEastAsia" w:hAnsiTheme="minorEastAsia"/>
                <w:b/>
                <w:sz w:val="24"/>
                <w:szCs w:val="24"/>
              </w:rPr>
              <w:t>……</w:t>
            </w:r>
          </w:p>
        </w:tc>
      </w:tr>
    </w:tbl>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u w:val="single"/>
        </w:rPr>
      </w:pPr>
      <w:r>
        <w:rPr>
          <w:rFonts w:hint="eastAsia" w:asciiTheme="minorEastAsia" w:hAnsiTheme="minorEastAsia"/>
          <w:b/>
          <w:sz w:val="24"/>
          <w:szCs w:val="24"/>
          <w:u w:val="single"/>
        </w:rPr>
        <w:t>磋商供应商须知前附表3：磋商规则、评审标准</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kinsoku/>
              <w:wordWrap/>
              <w:overflowPunct/>
              <w:topLinePunct w:val="0"/>
              <w:autoSpaceDE/>
              <w:autoSpaceDN/>
              <w:bidi w:val="0"/>
              <w:adjustRightInd/>
              <w:snapToGrid/>
              <w:spacing w:line="400" w:lineRule="exact"/>
              <w:textAlignment w:val="auto"/>
              <w:outlineLvl w:val="0"/>
              <w:rPr>
                <w:rFonts w:asciiTheme="minorEastAsia" w:hAnsiTheme="minorEastAsia"/>
                <w:b/>
                <w:bCs/>
                <w:sz w:val="24"/>
                <w:szCs w:val="24"/>
              </w:rPr>
            </w:pPr>
            <w:r>
              <w:rPr>
                <w:rFonts w:hint="eastAsia" w:asciiTheme="minorEastAsia" w:hAnsiTheme="minorEastAsia"/>
                <w:b/>
                <w:bCs/>
                <w:sz w:val="24"/>
                <w:szCs w:val="24"/>
              </w:rPr>
              <w:t>一、磋商规则（参考）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1.采购代理机构按有关规定编制磋商文件，组建磋商小组。供应商按照磋商文件规定提交响应文件。</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2.磋商小组审对磋商响应供应商进行资格性和符合性审查，磋商响应供应商不符合资格性及符合性条款和“*”条款要求，不进入磋商程序；磋商小组在对响应文件的有效性、完整性和响应程度进行审查时，可以要求磋商响应供应商对响应文件中含义不明确、同类问题表述不一致或者有明显文字和计算错误的内容等作出必要的澄清、说明或者更正。磋商响应供应商需以书面形式作出澄清、说明或者更正，但澄清、说明或者更正不得超出响应文件的范围或者改变响应文件的实质性内容，同时也不接受磋商响应供应商主动澄清。符合实质性响应要求的磋商响应供应商进入磋商程序。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3. 磋商小组所有成员应当集中与单一磋商响应供应商分别进行磋商，磋商顺序采用随机抽取的方法确认。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4.磋商小组对磋商文件和响应文件提出重点的磋商内容，根据磋商文件及有关规定，磋商小组与进入磋商程序的磋商响应供应商进行一轮或多轮磋商。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5.每轮磋商结束前由磋商小组决定是否需要进行下一轮磋商，如需要进行下一轮磋商，采购代理机构提前告知磋商响应供应商下一轮磋商时间。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6.在磋商过程中，磋商小组可以根据磋商文件明确规定的可能实质性变动内容变动磋商文件；有实质性变动的，磋商小组应当以书面形式通知所有参加磋商的磋商响应供应商。</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7.除非磋商文件的采购需求中的技术、服务要求以及合同草案条款有实质性变动的，否则后一次的报价不得高于前一次的报价。若出现后一次的报价高于前一次报价的，则后一次的报价无效，以前一次的报价为准。</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8.磋商响应供应商递交的响应文件澄清、更正等文件、最终报价应予密封并交至采购代理机构指定人员，报价部分单独密封。采购代理机构工作人员在收齐全部响应供应商材料后，统一送达磋商小组。</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9.经磋商确定最终采购需求和提交最后报价的磋商响应供应商后，由磋商小组采用综合评分法对提交最后报价的磋商响应供应商的响应文件和最后报价进行综合评分。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10.参加磋商并代表磋商响应供应商签署响应文件的应该是磋商文件要求的响应供应商代表，磋商时应出示身份证原件。</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11.在磋商活动中，有关人员不得透露与磋商有关的一切技术资料、价格和其它信息给其他磋商响应供应商。</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2" w:firstLineChars="200"/>
              <w:textAlignment w:val="auto"/>
              <w:rPr>
                <w:rFonts w:asciiTheme="minorEastAsia" w:hAnsiTheme="minorEastAsia"/>
                <w:sz w:val="24"/>
                <w:szCs w:val="24"/>
              </w:rPr>
            </w:pPr>
            <w:r>
              <w:rPr>
                <w:rFonts w:hint="eastAsia" w:asciiTheme="minorEastAsia" w:hAnsiTheme="minorEastAsia"/>
                <w:b/>
                <w:sz w:val="24"/>
                <w:szCs w:val="24"/>
              </w:rPr>
              <w:t>确定候选供应商原则</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A.</w:t>
            </w:r>
            <w:r>
              <w:rPr>
                <w:rFonts w:asciiTheme="minorEastAsia" w:hAnsiTheme="minorEastAsia"/>
                <w:sz w:val="24"/>
                <w:szCs w:val="24"/>
              </w:rPr>
              <w:t>磋商小组采用综合评分的方法确定成交候选</w:t>
            </w:r>
            <w:r>
              <w:rPr>
                <w:rFonts w:hint="eastAsia" w:asciiTheme="minorEastAsia" w:hAnsiTheme="minorEastAsia"/>
                <w:sz w:val="24"/>
                <w:szCs w:val="24"/>
              </w:rPr>
              <w:t>供应商</w:t>
            </w:r>
            <w:r>
              <w:rPr>
                <w:rFonts w:hint="eastAsia" w:asciiTheme="minorEastAsia" w:hAnsiTheme="minorEastAsia"/>
                <w:sz w:val="24"/>
                <w:szCs w:val="24"/>
                <w:lang w:eastAsia="zh-CN"/>
              </w:rPr>
              <w:t>的排序</w:t>
            </w:r>
            <w:r>
              <w:rPr>
                <w:rFonts w:asciiTheme="minorEastAsia" w:hAnsiTheme="minorEastAsia"/>
                <w:sz w:val="24"/>
                <w:szCs w:val="24"/>
              </w:rPr>
              <w:t>，磋商小组按照：综合得分相同的，按照最后报价由</w:t>
            </w:r>
            <w:r>
              <w:rPr>
                <w:rFonts w:hint="eastAsia" w:asciiTheme="minorEastAsia" w:hAnsiTheme="minorEastAsia"/>
                <w:sz w:val="24"/>
                <w:szCs w:val="24"/>
                <w:lang w:eastAsia="zh-CN"/>
              </w:rPr>
              <w:t>高</w:t>
            </w:r>
            <w:r>
              <w:rPr>
                <w:rFonts w:asciiTheme="minorEastAsia" w:hAnsiTheme="minorEastAsia"/>
                <w:sz w:val="24"/>
                <w:szCs w:val="24"/>
              </w:rPr>
              <w:t>到</w:t>
            </w:r>
            <w:r>
              <w:rPr>
                <w:rFonts w:hint="eastAsia" w:asciiTheme="minorEastAsia" w:hAnsiTheme="minorEastAsia"/>
                <w:sz w:val="24"/>
                <w:szCs w:val="24"/>
                <w:lang w:eastAsia="zh-CN"/>
              </w:rPr>
              <w:t>低</w:t>
            </w:r>
            <w:r>
              <w:rPr>
                <w:rFonts w:asciiTheme="minorEastAsia" w:hAnsiTheme="minorEastAsia"/>
                <w:sz w:val="24"/>
                <w:szCs w:val="24"/>
              </w:rPr>
              <w:t>的顺序推荐</w:t>
            </w:r>
            <w:r>
              <w:rPr>
                <w:rFonts w:hint="eastAsia" w:asciiTheme="minorEastAsia" w:hAnsiTheme="minorEastAsia"/>
                <w:sz w:val="24"/>
                <w:szCs w:val="24"/>
              </w:rPr>
              <w:t>；</w:t>
            </w:r>
            <w:r>
              <w:rPr>
                <w:rFonts w:asciiTheme="minorEastAsia" w:hAnsiTheme="minorEastAsia"/>
                <w:sz w:val="24"/>
                <w:szCs w:val="24"/>
              </w:rPr>
              <w:t>综合得分且最后报价相同的，按照技术评分得分</w:t>
            </w:r>
            <w:r>
              <w:rPr>
                <w:rFonts w:hint="eastAsia" w:asciiTheme="minorEastAsia" w:hAnsiTheme="minorEastAsia"/>
                <w:sz w:val="24"/>
                <w:szCs w:val="24"/>
              </w:rPr>
              <w:t>高低的</w:t>
            </w:r>
            <w:r>
              <w:rPr>
                <w:rFonts w:asciiTheme="minorEastAsia" w:hAnsiTheme="minorEastAsia"/>
                <w:sz w:val="24"/>
                <w:szCs w:val="24"/>
              </w:rPr>
              <w:t>顺序推荐</w:t>
            </w:r>
            <w:r>
              <w:rPr>
                <w:rFonts w:hint="eastAsia" w:asciiTheme="minorEastAsia" w:hAnsiTheme="minorEastAsia"/>
                <w:sz w:val="24"/>
                <w:szCs w:val="24"/>
              </w:rPr>
              <w:t>；</w:t>
            </w:r>
            <w:r>
              <w:rPr>
                <w:rFonts w:asciiTheme="minorEastAsia" w:hAnsiTheme="minorEastAsia"/>
                <w:sz w:val="24"/>
                <w:szCs w:val="24"/>
              </w:rPr>
              <w:t>综合得分且最后报价</w:t>
            </w:r>
            <w:r>
              <w:rPr>
                <w:rFonts w:hint="eastAsia" w:asciiTheme="minorEastAsia" w:hAnsiTheme="minorEastAsia"/>
                <w:sz w:val="24"/>
                <w:szCs w:val="24"/>
              </w:rPr>
              <w:t>及技术评分得分</w:t>
            </w:r>
            <w:r>
              <w:rPr>
                <w:rFonts w:asciiTheme="minorEastAsia" w:hAnsiTheme="minorEastAsia"/>
                <w:sz w:val="24"/>
                <w:szCs w:val="24"/>
              </w:rPr>
              <w:t>相同的，按照</w:t>
            </w:r>
            <w:r>
              <w:rPr>
                <w:rFonts w:hint="eastAsia" w:asciiTheme="minorEastAsia" w:hAnsiTheme="minorEastAsia"/>
                <w:sz w:val="24"/>
                <w:szCs w:val="24"/>
              </w:rPr>
              <w:t>商务</w:t>
            </w:r>
            <w:r>
              <w:rPr>
                <w:rFonts w:asciiTheme="minorEastAsia" w:hAnsiTheme="minorEastAsia"/>
                <w:sz w:val="24"/>
                <w:szCs w:val="24"/>
              </w:rPr>
              <w:t>评分得分优劣顺序推荐</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left="8" w:leftChars="4"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B. （</w:t>
            </w: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否）属于市场竞争不充分的科研项目以及需要扶持的科技成果转化项目，成交候选供应商可以为2家；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C.采用竞争性磋商采购方式的政府购买服务项目，在采购过程中符合要求的供应商只有2家的，竞争性磋商采购活动可以继续进行。采购过程中符合要求的供应商只有1家的，应当终止竞争性采购活动，发布终止公告并说明原因，重新开展采购活动。 </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磋商小组，磋商</w:t>
            </w:r>
            <w:r>
              <w:rPr>
                <w:rFonts w:asciiTheme="minorEastAsia" w:hAnsiTheme="minorEastAsia"/>
                <w:sz w:val="24"/>
                <w:szCs w:val="24"/>
              </w:rPr>
              <w:t>小组将拒绝邀请该供应商进行</w:t>
            </w:r>
            <w:r>
              <w:rPr>
                <w:rFonts w:hint="eastAsia" w:asciiTheme="minorEastAsia" w:hAnsiTheme="minorEastAsia"/>
                <w:sz w:val="24"/>
                <w:szCs w:val="24"/>
              </w:rPr>
              <w:t>磋商</w:t>
            </w:r>
            <w:r>
              <w:rPr>
                <w:rFonts w:asciiTheme="minorEastAsia" w:hAnsiTheme="minorEastAsia"/>
                <w:sz w:val="24"/>
                <w:szCs w:val="24"/>
              </w:rPr>
              <w:t>和报价</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tabs>
                <w:tab w:val="left" w:pos="1080"/>
              </w:tabs>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二、磋商可能实质性变动的内容：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1.采购需求技术内容</w:t>
            </w:r>
            <w:r>
              <w:rPr>
                <w:rFonts w:hint="eastAsia" w:asciiTheme="minorEastAsia" w:hAnsiTheme="minorEastAsia"/>
                <w:sz w:val="24"/>
                <w:szCs w:val="24"/>
                <w:u w:val="single"/>
              </w:rPr>
              <w:t xml:space="preserve">：              </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2.采购需求服务内容</w:t>
            </w:r>
            <w:r>
              <w:rPr>
                <w:rFonts w:hint="eastAsia" w:asciiTheme="minorEastAsia" w:hAnsiTheme="minorEastAsia"/>
                <w:sz w:val="24"/>
                <w:szCs w:val="24"/>
                <w:u w:val="single"/>
              </w:rPr>
              <w:t xml:space="preserve">：              </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u w:val="single"/>
              </w:rPr>
            </w:pPr>
            <w:r>
              <w:rPr>
                <w:rFonts w:hint="eastAsia" w:asciiTheme="minorEastAsia" w:hAnsiTheme="minorEastAsia"/>
                <w:sz w:val="24"/>
                <w:szCs w:val="24"/>
              </w:rPr>
              <w:t>3. 合同草案条款</w:t>
            </w:r>
            <w:r>
              <w:rPr>
                <w:rFonts w:hint="eastAsia" w:asciiTheme="minorEastAsia" w:hAnsi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三、磋商评审标准</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Theme="minorEastAsia" w:hAnsiTheme="minorEastAsia" w:eastAsiaTheme="minorEastAsia"/>
                <w:bCs/>
                <w:sz w:val="24"/>
                <w:szCs w:val="24"/>
                <w:lang w:eastAsia="zh-CN"/>
              </w:rPr>
            </w:pPr>
            <w:r>
              <w:rPr>
                <w:rFonts w:hint="eastAsia" w:asciiTheme="minorEastAsia" w:hAnsiTheme="minorEastAsia"/>
                <w:b/>
                <w:sz w:val="24"/>
                <w:szCs w:val="24"/>
              </w:rPr>
              <w:t>综合评分法：</w:t>
            </w:r>
            <w:r>
              <w:rPr>
                <w:rFonts w:asciiTheme="minorEastAsia" w:hAnsiTheme="minorEastAsia"/>
                <w:bCs/>
                <w:sz w:val="24"/>
                <w:szCs w:val="24"/>
              </w:rPr>
              <w:t xml:space="preserve"> </w:t>
            </w: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1包和2包的评分细则</w:t>
            </w:r>
            <w:r>
              <w:rPr>
                <w:rFonts w:hint="eastAsia" w:asciiTheme="minorEastAsia" w:hAnsiTheme="minorEastAsia"/>
                <w:bCs/>
                <w:sz w:val="24"/>
                <w:szCs w:val="24"/>
                <w:lang w:eastAsia="zh-CN"/>
              </w:rPr>
              <w:t>）</w:t>
            </w:r>
          </w:p>
          <w:tbl>
            <w:tblPr>
              <w:tblStyle w:val="16"/>
              <w:tblW w:w="7678" w:type="dxa"/>
              <w:jc w:val="center"/>
              <w:tblLayout w:type="fixed"/>
              <w:tblCellMar>
                <w:top w:w="0" w:type="dxa"/>
                <w:left w:w="0" w:type="dxa"/>
                <w:bottom w:w="0" w:type="dxa"/>
                <w:right w:w="0" w:type="dxa"/>
              </w:tblCellMar>
            </w:tblPr>
            <w:tblGrid>
              <w:gridCol w:w="1100"/>
              <w:gridCol w:w="1172"/>
              <w:gridCol w:w="5251"/>
              <w:gridCol w:w="90"/>
              <w:gridCol w:w="65"/>
            </w:tblGrid>
            <w:tr>
              <w:tblPrEx>
                <w:tblCellMar>
                  <w:top w:w="0" w:type="dxa"/>
                  <w:left w:w="0" w:type="dxa"/>
                  <w:bottom w:w="0" w:type="dxa"/>
                  <w:right w:w="0" w:type="dxa"/>
                </w:tblCellMar>
              </w:tblPrEx>
              <w:trPr>
                <w:gridAfter w:val="1"/>
                <w:wAfter w:w="65" w:type="dxa"/>
                <w:trHeight w:val="608" w:hRule="atLeast"/>
                <w:jc w:val="center"/>
              </w:trPr>
              <w:tc>
                <w:tcPr>
                  <w:tcW w:w="2272" w:type="dxa"/>
                  <w:gridSpan w:val="2"/>
                  <w:vMerge w:val="restart"/>
                  <w:tcBorders>
                    <w:top w:val="single" w:color="auto" w:sz="8" w:space="0"/>
                    <w:left w:val="single" w:color="auto" w:sz="8" w:space="0"/>
                    <w:right w:val="single" w:color="auto" w:sz="8" w:space="0"/>
                  </w:tcBorders>
                  <w:vAlign w:val="center"/>
                </w:tcPr>
                <w:p>
                  <w:pPr>
                    <w:autoSpaceDE w:val="0"/>
                    <w:autoSpaceDN w:val="0"/>
                    <w:adjustRightInd w:val="0"/>
                    <w:spacing w:line="250" w:lineRule="exact"/>
                    <w:jc w:val="center"/>
                    <w:rPr>
                      <w:rFonts w:eastAsia="黑体"/>
                      <w:kern w:val="0"/>
                      <w:szCs w:val="21"/>
                    </w:rPr>
                  </w:pPr>
                  <w:r>
                    <w:rPr>
                      <w:rFonts w:hAnsi="黑体" w:eastAsia="黑体"/>
                      <w:kern w:val="0"/>
                      <w:szCs w:val="21"/>
                    </w:rPr>
                    <w:t>指标名称</w:t>
                  </w:r>
                </w:p>
              </w:tc>
              <w:tc>
                <w:tcPr>
                  <w:tcW w:w="5251" w:type="dxa"/>
                  <w:vMerge w:val="restart"/>
                  <w:tcBorders>
                    <w:top w:val="single" w:color="auto" w:sz="8" w:space="0"/>
                    <w:left w:val="nil"/>
                    <w:right w:val="single" w:color="auto" w:sz="8" w:space="0"/>
                  </w:tcBorders>
                  <w:vAlign w:val="center"/>
                </w:tcPr>
                <w:p>
                  <w:pPr>
                    <w:autoSpaceDE w:val="0"/>
                    <w:autoSpaceDN w:val="0"/>
                    <w:adjustRightInd w:val="0"/>
                    <w:spacing w:line="250" w:lineRule="exact"/>
                    <w:ind w:left="2020"/>
                    <w:rPr>
                      <w:rFonts w:eastAsia="黑体"/>
                      <w:kern w:val="0"/>
                      <w:szCs w:val="21"/>
                    </w:rPr>
                  </w:pPr>
                  <w:r>
                    <w:rPr>
                      <w:rFonts w:hAnsi="黑体" w:eastAsia="黑体"/>
                      <w:kern w:val="0"/>
                      <w:szCs w:val="21"/>
                    </w:rPr>
                    <w:t>评分方法（百分制）</w:t>
                  </w:r>
                </w:p>
              </w:tc>
              <w:tc>
                <w:tcPr>
                  <w:tcW w:w="90" w:type="dxa"/>
                  <w:tcBorders>
                    <w:top w:val="nil"/>
                    <w:left w:val="nil"/>
                    <w:bottom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gridAfter w:val="1"/>
                <w:wAfter w:w="65" w:type="dxa"/>
                <w:trHeight w:val="258" w:hRule="atLeast"/>
                <w:jc w:val="center"/>
              </w:trPr>
              <w:tc>
                <w:tcPr>
                  <w:tcW w:w="2272" w:type="dxa"/>
                  <w:gridSpan w:val="2"/>
                  <w:vMerge w:val="continue"/>
                  <w:tcBorders>
                    <w:left w:val="single" w:color="auto" w:sz="8" w:space="0"/>
                    <w:bottom w:val="single" w:color="auto" w:sz="8" w:space="0"/>
                    <w:right w:val="single" w:color="auto" w:sz="8" w:space="0"/>
                  </w:tcBorders>
                  <w:vAlign w:val="center"/>
                </w:tcPr>
                <w:p>
                  <w:pPr>
                    <w:autoSpaceDE w:val="0"/>
                    <w:autoSpaceDN w:val="0"/>
                    <w:adjustRightInd w:val="0"/>
                    <w:jc w:val="center"/>
                    <w:rPr>
                      <w:b/>
                      <w:kern w:val="0"/>
                      <w:szCs w:val="21"/>
                    </w:rPr>
                  </w:pPr>
                </w:p>
              </w:tc>
              <w:tc>
                <w:tcPr>
                  <w:tcW w:w="5251" w:type="dxa"/>
                  <w:vMerge w:val="continue"/>
                  <w:tcBorders>
                    <w:left w:val="nil"/>
                    <w:bottom w:val="single" w:color="auto" w:sz="8" w:space="0"/>
                    <w:right w:val="single" w:color="auto" w:sz="8" w:space="0"/>
                  </w:tcBorders>
                  <w:vAlign w:val="center"/>
                </w:tcPr>
                <w:p>
                  <w:pPr>
                    <w:autoSpaceDE w:val="0"/>
                    <w:autoSpaceDN w:val="0"/>
                    <w:adjustRightInd w:val="0"/>
                    <w:jc w:val="center"/>
                    <w:rPr>
                      <w:b/>
                      <w:kern w:val="0"/>
                      <w:szCs w:val="21"/>
                    </w:rPr>
                  </w:pPr>
                </w:p>
              </w:tc>
              <w:tc>
                <w:tcPr>
                  <w:tcW w:w="90" w:type="dxa"/>
                  <w:tcBorders>
                    <w:top w:val="nil"/>
                    <w:left w:val="nil"/>
                    <w:bottom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843" w:hRule="atLeast"/>
                <w:jc w:val="center"/>
              </w:trPr>
              <w:tc>
                <w:tcPr>
                  <w:tcW w:w="1100" w:type="dxa"/>
                  <w:vMerge w:val="restart"/>
                  <w:tcBorders>
                    <w:left w:val="single" w:color="auto" w:sz="8" w:space="0"/>
                    <w:right w:val="single" w:color="auto" w:sz="4" w:space="0"/>
                  </w:tcBorders>
                  <w:vAlign w:val="center"/>
                </w:tcPr>
                <w:p>
                  <w:pPr>
                    <w:autoSpaceDE w:val="0"/>
                    <w:autoSpaceDN w:val="0"/>
                    <w:adjustRightInd w:val="0"/>
                    <w:jc w:val="center"/>
                    <w:rPr>
                      <w:kern w:val="0"/>
                      <w:szCs w:val="21"/>
                    </w:rPr>
                  </w:pPr>
                  <w:r>
                    <w:rPr>
                      <w:rFonts w:hint="eastAsia"/>
                      <w:kern w:val="0"/>
                      <w:szCs w:val="21"/>
                    </w:rPr>
                    <w:t>1.安全</w:t>
                  </w:r>
                  <w:r>
                    <w:rPr>
                      <w:kern w:val="0"/>
                      <w:szCs w:val="21"/>
                    </w:rPr>
                    <w:t>性指标</w:t>
                  </w:r>
                </w:p>
                <w:p>
                  <w:pPr>
                    <w:autoSpaceDE w:val="0"/>
                    <w:autoSpaceDN w:val="0"/>
                    <w:adjustRightInd w:val="0"/>
                    <w:spacing w:line="250" w:lineRule="exact"/>
                    <w:jc w:val="center"/>
                    <w:rPr>
                      <w:kern w:val="0"/>
                      <w:szCs w:val="21"/>
                    </w:rPr>
                  </w:pPr>
                  <w:r>
                    <w:rPr>
                      <w:kern w:val="0"/>
                      <w:szCs w:val="21"/>
                    </w:rPr>
                    <w:t>（</w:t>
                  </w:r>
                  <w:r>
                    <w:rPr>
                      <w:rFonts w:hint="eastAsia"/>
                      <w:kern w:val="0"/>
                      <w:szCs w:val="21"/>
                    </w:rPr>
                    <w:t>3</w:t>
                  </w:r>
                  <w:r>
                    <w:rPr>
                      <w:kern w:val="0"/>
                      <w:szCs w:val="21"/>
                    </w:rPr>
                    <w:t>0 分）</w:t>
                  </w:r>
                </w:p>
              </w:tc>
              <w:tc>
                <w:tcPr>
                  <w:tcW w:w="1172" w:type="dxa"/>
                  <w:tcBorders>
                    <w:top w:val="nil"/>
                    <w:left w:val="single" w:color="auto" w:sz="4" w:space="0"/>
                    <w:bottom w:val="single" w:color="auto" w:sz="8" w:space="0"/>
                    <w:right w:val="single" w:color="auto" w:sz="8" w:space="0"/>
                  </w:tcBorders>
                  <w:vAlign w:val="center"/>
                </w:tcPr>
                <w:p>
                  <w:pPr>
                    <w:autoSpaceDE w:val="0"/>
                    <w:autoSpaceDN w:val="0"/>
                    <w:adjustRightInd w:val="0"/>
                    <w:jc w:val="center"/>
                    <w:rPr>
                      <w:kern w:val="0"/>
                      <w:szCs w:val="21"/>
                    </w:rPr>
                  </w:pPr>
                </w:p>
                <w:p>
                  <w:pPr>
                    <w:autoSpaceDE w:val="0"/>
                    <w:autoSpaceDN w:val="0"/>
                    <w:adjustRightInd w:val="0"/>
                    <w:ind w:left="210" w:hanging="210" w:hangingChars="100"/>
                    <w:jc w:val="center"/>
                    <w:rPr>
                      <w:kern w:val="0"/>
                      <w:szCs w:val="21"/>
                    </w:rPr>
                  </w:pPr>
                  <w:r>
                    <w:rPr>
                      <w:rFonts w:hint="eastAsia"/>
                      <w:kern w:val="0"/>
                      <w:szCs w:val="21"/>
                    </w:rPr>
                    <w:t>1.</w:t>
                  </w:r>
                  <w:r>
                    <w:rPr>
                      <w:kern w:val="0"/>
                      <w:szCs w:val="21"/>
                    </w:rPr>
                    <w:t>1不良贷款率  （</w:t>
                  </w:r>
                  <w:r>
                    <w:rPr>
                      <w:rFonts w:hint="eastAsia"/>
                      <w:kern w:val="0"/>
                      <w:szCs w:val="21"/>
                    </w:rPr>
                    <w:t>10</w:t>
                  </w:r>
                  <w:r>
                    <w:rPr>
                      <w:kern w:val="0"/>
                      <w:szCs w:val="21"/>
                    </w:rPr>
                    <w:t>分）</w:t>
                  </w:r>
                </w:p>
              </w:tc>
              <w:tc>
                <w:tcPr>
                  <w:tcW w:w="5251" w:type="dxa"/>
                  <w:tcBorders>
                    <w:top w:val="nil"/>
                    <w:left w:val="nil"/>
                    <w:bottom w:val="single" w:color="auto" w:sz="8" w:space="0"/>
                    <w:right w:val="single" w:color="auto" w:sz="8" w:space="0"/>
                  </w:tcBorders>
                  <w:vAlign w:val="center"/>
                </w:tcPr>
                <w:p>
                  <w:pPr>
                    <w:autoSpaceDE w:val="0"/>
                    <w:autoSpaceDN w:val="0"/>
                    <w:adjustRightInd w:val="0"/>
                    <w:jc w:val="left"/>
                    <w:rPr>
                      <w:kern w:val="0"/>
                      <w:szCs w:val="21"/>
                    </w:rPr>
                  </w:pPr>
                  <w:r>
                    <w:rPr>
                      <w:kern w:val="0"/>
                      <w:szCs w:val="21"/>
                    </w:rPr>
                    <w:t>评标委员会根据参与银行总行2019年12月末不良贷款率数据进行从高到低评分</w:t>
                  </w:r>
                  <w:r>
                    <w:rPr>
                      <w:rFonts w:hint="eastAsia"/>
                      <w:kern w:val="0"/>
                      <w:szCs w:val="21"/>
                    </w:rPr>
                    <w:t>，</w:t>
                  </w:r>
                  <w:r>
                    <w:rPr>
                      <w:kern w:val="0"/>
                      <w:szCs w:val="21"/>
                    </w:rPr>
                    <w:t>不良贷款率最低得满分，依次递减0.5分，如果数值相同，按同档计分。</w:t>
                  </w:r>
                </w:p>
              </w:tc>
              <w:tc>
                <w:tcPr>
                  <w:tcW w:w="155" w:type="dxa"/>
                  <w:gridSpan w:val="2"/>
                  <w:tcBorders>
                    <w:top w:val="nil"/>
                    <w:left w:val="nil"/>
                    <w:bottom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843" w:hRule="atLeast"/>
                <w:jc w:val="center"/>
              </w:trPr>
              <w:tc>
                <w:tcPr>
                  <w:tcW w:w="1100" w:type="dxa"/>
                  <w:vMerge w:val="continue"/>
                  <w:tcBorders>
                    <w:left w:val="single" w:color="auto" w:sz="8" w:space="0"/>
                    <w:right w:val="single" w:color="auto" w:sz="4" w:space="0"/>
                  </w:tcBorders>
                  <w:vAlign w:val="center"/>
                </w:tcPr>
                <w:p>
                  <w:pPr>
                    <w:autoSpaceDE w:val="0"/>
                    <w:autoSpaceDN w:val="0"/>
                    <w:adjustRightInd w:val="0"/>
                    <w:spacing w:line="250" w:lineRule="exact"/>
                    <w:jc w:val="center"/>
                    <w:rPr>
                      <w:kern w:val="0"/>
                      <w:szCs w:val="21"/>
                    </w:rPr>
                  </w:pP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kern w:val="0"/>
                      <w:szCs w:val="21"/>
                    </w:rPr>
                  </w:pPr>
                  <w:r>
                    <w:rPr>
                      <w:rFonts w:hint="eastAsia"/>
                      <w:kern w:val="0"/>
                      <w:szCs w:val="21"/>
                    </w:rPr>
                    <w:t>1.</w:t>
                  </w:r>
                  <w:r>
                    <w:rPr>
                      <w:kern w:val="0"/>
                      <w:szCs w:val="21"/>
                    </w:rPr>
                    <w:t>2</w:t>
                  </w:r>
                  <w:r>
                    <w:rPr>
                      <w:color w:val="FF0000"/>
                      <w:kern w:val="0"/>
                      <w:szCs w:val="21"/>
                    </w:rPr>
                    <w:t>流动性覆盖率</w:t>
                  </w:r>
                  <w:r>
                    <w:rPr>
                      <w:rFonts w:hint="eastAsia"/>
                      <w:color w:val="FF0000"/>
                      <w:kern w:val="0"/>
                      <w:szCs w:val="21"/>
                      <w:lang w:val="en-US" w:eastAsia="zh-CN"/>
                    </w:rPr>
                    <w:t>或优质</w:t>
                  </w:r>
                  <w:r>
                    <w:rPr>
                      <w:color w:val="FF0000"/>
                      <w:kern w:val="0"/>
                      <w:szCs w:val="21"/>
                    </w:rPr>
                    <w:t>流动性</w:t>
                  </w:r>
                  <w:r>
                    <w:rPr>
                      <w:rFonts w:hint="eastAsia"/>
                      <w:color w:val="FF0000"/>
                      <w:kern w:val="0"/>
                      <w:szCs w:val="21"/>
                      <w:lang w:val="en-US" w:eastAsia="zh-CN"/>
                    </w:rPr>
                    <w:t>资产充足</w:t>
                  </w:r>
                  <w:r>
                    <w:rPr>
                      <w:color w:val="FF0000"/>
                      <w:kern w:val="0"/>
                      <w:szCs w:val="21"/>
                    </w:rPr>
                    <w:t>率</w:t>
                  </w:r>
                  <w:r>
                    <w:rPr>
                      <w:kern w:val="0"/>
                      <w:szCs w:val="21"/>
                    </w:rPr>
                    <w:t>（</w:t>
                  </w:r>
                  <w:r>
                    <w:rPr>
                      <w:rFonts w:hint="eastAsia"/>
                      <w:kern w:val="0"/>
                      <w:szCs w:val="21"/>
                    </w:rPr>
                    <w:t>10</w:t>
                  </w:r>
                  <w:r>
                    <w:rPr>
                      <w:kern w:val="0"/>
                      <w:szCs w:val="21"/>
                    </w:rPr>
                    <w:t>分）</w:t>
                  </w:r>
                </w:p>
              </w:tc>
              <w:tc>
                <w:tcPr>
                  <w:tcW w:w="5251" w:type="dxa"/>
                  <w:tcBorders>
                    <w:top w:val="nil"/>
                    <w:left w:val="nil"/>
                    <w:bottom w:val="single" w:color="auto" w:sz="4" w:space="0"/>
                    <w:right w:val="single" w:color="auto" w:sz="8" w:space="0"/>
                  </w:tcBorders>
                  <w:vAlign w:val="center"/>
                </w:tcPr>
                <w:p>
                  <w:pPr>
                    <w:autoSpaceDE w:val="0"/>
                    <w:autoSpaceDN w:val="0"/>
                    <w:adjustRightInd w:val="0"/>
                    <w:jc w:val="left"/>
                    <w:rPr>
                      <w:kern w:val="0"/>
                      <w:szCs w:val="21"/>
                    </w:rPr>
                  </w:pPr>
                  <w:r>
                    <w:rPr>
                      <w:kern w:val="0"/>
                      <w:szCs w:val="21"/>
                    </w:rPr>
                    <w:t>评标委员会根据参与银行总行</w:t>
                  </w:r>
                  <w:r>
                    <w:rPr>
                      <w:color w:val="FF0000"/>
                      <w:kern w:val="0"/>
                      <w:szCs w:val="21"/>
                    </w:rPr>
                    <w:t>2019年12月末流动性覆盖率</w:t>
                  </w:r>
                  <w:r>
                    <w:rPr>
                      <w:rFonts w:hint="eastAsia"/>
                      <w:color w:val="FF0000"/>
                      <w:kern w:val="0"/>
                      <w:szCs w:val="21"/>
                      <w:lang w:val="en-US" w:eastAsia="zh-CN"/>
                    </w:rPr>
                    <w:t>或优质</w:t>
                  </w:r>
                  <w:r>
                    <w:rPr>
                      <w:color w:val="FF0000"/>
                      <w:kern w:val="0"/>
                      <w:szCs w:val="21"/>
                    </w:rPr>
                    <w:t>流动性</w:t>
                  </w:r>
                  <w:r>
                    <w:rPr>
                      <w:rFonts w:hint="eastAsia"/>
                      <w:color w:val="FF0000"/>
                      <w:kern w:val="0"/>
                      <w:szCs w:val="21"/>
                      <w:lang w:val="en-US" w:eastAsia="zh-CN"/>
                    </w:rPr>
                    <w:t>资产充足</w:t>
                  </w:r>
                  <w:r>
                    <w:rPr>
                      <w:color w:val="FF0000"/>
                      <w:kern w:val="0"/>
                      <w:szCs w:val="21"/>
                    </w:rPr>
                    <w:t>率数据进行从高到低评分</w:t>
                  </w:r>
                  <w:r>
                    <w:rPr>
                      <w:rFonts w:hint="eastAsia"/>
                      <w:kern w:val="0"/>
                      <w:szCs w:val="21"/>
                    </w:rPr>
                    <w:t>，</w:t>
                  </w:r>
                  <w:r>
                    <w:rPr>
                      <w:kern w:val="0"/>
                      <w:szCs w:val="21"/>
                    </w:rPr>
                    <w:t>最</w:t>
                  </w:r>
                  <w:r>
                    <w:rPr>
                      <w:rFonts w:hint="eastAsia"/>
                      <w:kern w:val="0"/>
                      <w:szCs w:val="21"/>
                    </w:rPr>
                    <w:t>高</w:t>
                  </w:r>
                  <w:r>
                    <w:rPr>
                      <w:kern w:val="0"/>
                      <w:szCs w:val="21"/>
                    </w:rPr>
                    <w:t>得满分，依次递减0.5分，如果数值相同，按同档计分。</w:t>
                  </w:r>
                </w:p>
              </w:tc>
              <w:tc>
                <w:tcPr>
                  <w:tcW w:w="155" w:type="dxa"/>
                  <w:gridSpan w:val="2"/>
                  <w:tcBorders>
                    <w:top w:val="nil"/>
                    <w:left w:val="nil"/>
                    <w:bottom w:val="single" w:color="auto" w:sz="4" w:space="0"/>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833" w:hRule="atLeast"/>
                <w:jc w:val="center"/>
              </w:trPr>
              <w:tc>
                <w:tcPr>
                  <w:tcW w:w="1100" w:type="dxa"/>
                  <w:vMerge w:val="continue"/>
                  <w:tcBorders>
                    <w:left w:val="single" w:color="auto" w:sz="8" w:space="0"/>
                    <w:right w:val="single" w:color="auto" w:sz="4" w:space="0"/>
                  </w:tcBorders>
                  <w:vAlign w:val="top"/>
                </w:tcPr>
                <w:p>
                  <w:pPr>
                    <w:autoSpaceDE w:val="0"/>
                    <w:autoSpaceDN w:val="0"/>
                    <w:adjustRightInd w:val="0"/>
                    <w:spacing w:line="250" w:lineRule="exact"/>
                    <w:jc w:val="center"/>
                    <w:rPr>
                      <w:kern w:val="0"/>
                      <w:szCs w:val="21"/>
                    </w:rPr>
                  </w:pPr>
                </w:p>
              </w:tc>
              <w:tc>
                <w:tcPr>
                  <w:tcW w:w="1172"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center"/>
                    <w:rPr>
                      <w:kern w:val="0"/>
                      <w:szCs w:val="21"/>
                    </w:rPr>
                  </w:pPr>
                </w:p>
                <w:p>
                  <w:pPr>
                    <w:autoSpaceDE w:val="0"/>
                    <w:autoSpaceDN w:val="0"/>
                    <w:adjustRightInd w:val="0"/>
                    <w:jc w:val="center"/>
                    <w:rPr>
                      <w:kern w:val="0"/>
                      <w:szCs w:val="21"/>
                    </w:rPr>
                  </w:pPr>
                  <w:r>
                    <w:rPr>
                      <w:rFonts w:hint="eastAsia"/>
                      <w:kern w:val="0"/>
                      <w:szCs w:val="21"/>
                    </w:rPr>
                    <w:t>1.</w:t>
                  </w:r>
                  <w:r>
                    <w:rPr>
                      <w:kern w:val="0"/>
                      <w:szCs w:val="21"/>
                    </w:rPr>
                    <w:t>3流动性比例</w:t>
                  </w:r>
                </w:p>
                <w:p>
                  <w:pPr>
                    <w:autoSpaceDE w:val="0"/>
                    <w:autoSpaceDN w:val="0"/>
                    <w:adjustRightInd w:val="0"/>
                    <w:jc w:val="center"/>
                    <w:rPr>
                      <w:kern w:val="0"/>
                      <w:szCs w:val="21"/>
                    </w:rPr>
                  </w:pPr>
                  <w:r>
                    <w:rPr>
                      <w:kern w:val="0"/>
                      <w:szCs w:val="21"/>
                    </w:rPr>
                    <w:t>（</w:t>
                  </w:r>
                  <w:r>
                    <w:rPr>
                      <w:rFonts w:hint="eastAsia"/>
                      <w:kern w:val="0"/>
                      <w:szCs w:val="21"/>
                    </w:rPr>
                    <w:t>10</w:t>
                  </w:r>
                  <w:r>
                    <w:rPr>
                      <w:kern w:val="0"/>
                      <w:szCs w:val="21"/>
                    </w:rPr>
                    <w:t>分）</w:t>
                  </w:r>
                </w:p>
              </w:tc>
              <w:tc>
                <w:tcPr>
                  <w:tcW w:w="52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kern w:val="0"/>
                      <w:szCs w:val="21"/>
                    </w:rPr>
                  </w:pPr>
                  <w:r>
                    <w:rPr>
                      <w:kern w:val="0"/>
                      <w:szCs w:val="21"/>
                    </w:rPr>
                    <w:t>评标委员会根据参与银行总行2019年12月末流动性比例数据进行从高到低评分</w:t>
                  </w:r>
                  <w:r>
                    <w:rPr>
                      <w:rFonts w:hint="eastAsia"/>
                      <w:kern w:val="0"/>
                      <w:szCs w:val="21"/>
                    </w:rPr>
                    <w:t>，</w:t>
                  </w:r>
                  <w:r>
                    <w:rPr>
                      <w:kern w:val="0"/>
                      <w:szCs w:val="21"/>
                    </w:rPr>
                    <w:t>流动性比例最</w:t>
                  </w:r>
                  <w:r>
                    <w:rPr>
                      <w:rFonts w:hint="eastAsia"/>
                      <w:kern w:val="0"/>
                      <w:szCs w:val="21"/>
                    </w:rPr>
                    <w:t>高</w:t>
                  </w:r>
                  <w:r>
                    <w:rPr>
                      <w:kern w:val="0"/>
                      <w:szCs w:val="21"/>
                    </w:rPr>
                    <w:t>得满分，依次递减0.5分，如果数值相同，按同档计分。</w:t>
                  </w:r>
                </w:p>
              </w:tc>
              <w:tc>
                <w:tcPr>
                  <w:tcW w:w="155" w:type="dxa"/>
                  <w:gridSpan w:val="2"/>
                  <w:tcBorders>
                    <w:left w:val="single" w:color="auto" w:sz="4" w:space="0"/>
                  </w:tcBorders>
                  <w:vAlign w:val="top"/>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30" w:hRule="atLeast"/>
                <w:jc w:val="center"/>
              </w:trPr>
              <w:tc>
                <w:tcPr>
                  <w:tcW w:w="1100"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kern w:val="0"/>
                      <w:szCs w:val="21"/>
                    </w:rPr>
                  </w:pPr>
                  <w:r>
                    <w:rPr>
                      <w:rFonts w:hint="eastAsia"/>
                      <w:kern w:val="0"/>
                      <w:szCs w:val="21"/>
                    </w:rPr>
                    <w:t>2.</w:t>
                  </w:r>
                  <w:r>
                    <w:rPr>
                      <w:kern w:val="0"/>
                      <w:szCs w:val="21"/>
                    </w:rPr>
                    <w:t>收益性指标（</w:t>
                  </w:r>
                  <w:r>
                    <w:rPr>
                      <w:rFonts w:hint="eastAsia"/>
                      <w:kern w:val="0"/>
                      <w:szCs w:val="21"/>
                    </w:rPr>
                    <w:t>30</w:t>
                  </w:r>
                  <w:r>
                    <w:rPr>
                      <w:kern w:val="0"/>
                      <w:szCs w:val="21"/>
                    </w:rPr>
                    <w:t>分）</w:t>
                  </w: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kern w:val="0"/>
                      <w:szCs w:val="21"/>
                    </w:rPr>
                  </w:pPr>
                  <w:r>
                    <w:rPr>
                      <w:rFonts w:hint="eastAsia"/>
                      <w:kern w:val="0"/>
                      <w:szCs w:val="21"/>
                    </w:rPr>
                    <w:t>2</w:t>
                  </w:r>
                  <w:r>
                    <w:rPr>
                      <w:kern w:val="0"/>
                      <w:szCs w:val="21"/>
                    </w:rPr>
                    <w:t>.1</w:t>
                  </w:r>
                  <w:r>
                    <w:rPr>
                      <w:rFonts w:hint="eastAsia"/>
                      <w:kern w:val="0"/>
                      <w:szCs w:val="21"/>
                    </w:rPr>
                    <w:t>定期</w:t>
                  </w:r>
                  <w:r>
                    <w:rPr>
                      <w:kern w:val="0"/>
                      <w:szCs w:val="21"/>
                    </w:rPr>
                    <w:t>存款利率</w:t>
                  </w:r>
                </w:p>
                <w:p>
                  <w:pPr>
                    <w:autoSpaceDE w:val="0"/>
                    <w:autoSpaceDN w:val="0"/>
                    <w:adjustRightInd w:val="0"/>
                    <w:jc w:val="center"/>
                    <w:rPr>
                      <w:kern w:val="0"/>
                      <w:szCs w:val="21"/>
                    </w:rPr>
                  </w:pPr>
                  <w:r>
                    <w:rPr>
                      <w:kern w:val="0"/>
                      <w:szCs w:val="21"/>
                    </w:rPr>
                    <w:t>（</w:t>
                  </w:r>
                  <w:r>
                    <w:rPr>
                      <w:rFonts w:hint="eastAsia"/>
                      <w:kern w:val="0"/>
                      <w:szCs w:val="21"/>
                    </w:rPr>
                    <w:t>30</w:t>
                  </w:r>
                  <w:r>
                    <w:rPr>
                      <w:kern w:val="0"/>
                      <w:szCs w:val="21"/>
                    </w:rPr>
                    <w:t>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kern w:val="0"/>
                      <w:szCs w:val="21"/>
                    </w:rPr>
                  </w:pPr>
                  <w:r>
                    <w:rPr>
                      <w:kern w:val="0"/>
                      <w:szCs w:val="21"/>
                    </w:rPr>
                    <w:t>评标委员会根据参与银行投标利率上浮比率作为评分依据，参与银行投标利率以投标当日同期限金融机构人民币</w:t>
                  </w:r>
                  <w:r>
                    <w:rPr>
                      <w:rFonts w:hint="eastAsia"/>
                      <w:kern w:val="0"/>
                      <w:szCs w:val="21"/>
                    </w:rPr>
                    <w:t>定期</w:t>
                  </w:r>
                  <w:r>
                    <w:rPr>
                      <w:kern w:val="0"/>
                      <w:szCs w:val="21"/>
                    </w:rPr>
                    <w:t>存款基准利率为基础，</w:t>
                  </w:r>
                  <w:r>
                    <w:rPr>
                      <w:rFonts w:hint="eastAsia"/>
                      <w:kern w:val="0"/>
                      <w:szCs w:val="21"/>
                    </w:rPr>
                    <w:t>需符合商业银行总行利率定价机制和行业内部管理规定，</w:t>
                  </w:r>
                  <w:r>
                    <w:rPr>
                      <w:kern w:val="0"/>
                      <w:szCs w:val="21"/>
                    </w:rPr>
                    <w:t>上浮比率</w:t>
                  </w:r>
                  <w:r>
                    <w:rPr>
                      <w:rFonts w:hint="eastAsia"/>
                      <w:kern w:val="0"/>
                      <w:szCs w:val="21"/>
                    </w:rPr>
                    <w:t>最高者得满分，依次递减2分，</w:t>
                  </w:r>
                  <w:r>
                    <w:rPr>
                      <w:kern w:val="0"/>
                      <w:szCs w:val="21"/>
                    </w:rPr>
                    <w:t>如果数值相同，按同档计分。</w:t>
                  </w: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3111" w:hRule="atLeast"/>
                <w:jc w:val="center"/>
              </w:trPr>
              <w:tc>
                <w:tcPr>
                  <w:tcW w:w="1100" w:type="dxa"/>
                  <w:tcBorders>
                    <w:left w:val="single" w:color="auto" w:sz="8" w:space="0"/>
                    <w:right w:val="single" w:color="auto" w:sz="4" w:space="0"/>
                  </w:tcBorders>
                  <w:vAlign w:val="center"/>
                </w:tcPr>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rFonts w:hint="eastAsia"/>
                      <w:kern w:val="0"/>
                      <w:szCs w:val="21"/>
                    </w:rPr>
                  </w:pP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3</w:t>
                  </w:r>
                  <w:r>
                    <w:rPr>
                      <w:kern w:val="0"/>
                      <w:szCs w:val="21"/>
                    </w:rPr>
                    <w:t>.1</w:t>
                  </w:r>
                  <w:r>
                    <w:rPr>
                      <w:rFonts w:hint="eastAsia"/>
                      <w:kern w:val="0"/>
                      <w:szCs w:val="21"/>
                    </w:rPr>
                    <w:t>金融机构</w:t>
                  </w:r>
                </w:p>
                <w:p>
                  <w:pPr>
                    <w:autoSpaceDE w:val="0"/>
                    <w:autoSpaceDN w:val="0"/>
                    <w:adjustRightInd w:val="0"/>
                    <w:jc w:val="center"/>
                    <w:rPr>
                      <w:rFonts w:hint="eastAsia"/>
                      <w:kern w:val="0"/>
                      <w:szCs w:val="21"/>
                    </w:rPr>
                  </w:pPr>
                  <w:r>
                    <w:rPr>
                      <w:rFonts w:hint="eastAsia"/>
                      <w:kern w:val="0"/>
                      <w:szCs w:val="21"/>
                    </w:rPr>
                    <w:t>投放总量</w:t>
                  </w:r>
                </w:p>
                <w:p>
                  <w:pPr>
                    <w:autoSpaceDE w:val="0"/>
                    <w:autoSpaceDN w:val="0"/>
                    <w:adjustRightInd w:val="0"/>
                    <w:jc w:val="center"/>
                    <w:rPr>
                      <w:rFonts w:hint="eastAsia"/>
                      <w:kern w:val="0"/>
                      <w:szCs w:val="21"/>
                    </w:rPr>
                  </w:pPr>
                  <w:r>
                    <w:rPr>
                      <w:rFonts w:hint="eastAsia"/>
                      <w:kern w:val="0"/>
                      <w:szCs w:val="21"/>
                    </w:rPr>
                    <w:t>（</w:t>
                  </w:r>
                  <w:r>
                    <w:rPr>
                      <w:kern w:val="0"/>
                      <w:szCs w:val="21"/>
                    </w:rPr>
                    <w:t>10</w:t>
                  </w:r>
                  <w:r>
                    <w:rPr>
                      <w:rFonts w:hint="eastAsia"/>
                      <w:kern w:val="0"/>
                      <w:szCs w:val="21"/>
                    </w:rPr>
                    <w:t>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kern w:val="0"/>
                      <w:szCs w:val="21"/>
                    </w:rPr>
                  </w:pPr>
                  <w:r>
                    <w:rPr>
                      <w:rFonts w:hint="eastAsia"/>
                      <w:kern w:val="0"/>
                      <w:szCs w:val="21"/>
                    </w:rPr>
                    <w:t>评标委员会根据各投标银行2020年金融机构</w:t>
                  </w:r>
                  <w:r>
                    <w:rPr>
                      <w:rFonts w:hint="eastAsia"/>
                      <w:color w:val="FF0000"/>
                      <w:kern w:val="0"/>
                      <w:szCs w:val="21"/>
                    </w:rPr>
                    <w:t>对全市</w:t>
                  </w:r>
                  <w:r>
                    <w:rPr>
                      <w:rFonts w:hint="eastAsia"/>
                      <w:kern w:val="0"/>
                      <w:szCs w:val="21"/>
                    </w:rPr>
                    <w:t>投放同期</w:t>
                  </w:r>
                  <w:r>
                    <w:rPr>
                      <w:rFonts w:hint="eastAsia"/>
                      <w:kern w:val="0"/>
                      <w:szCs w:val="21"/>
                      <w:lang w:val="en-US" w:eastAsia="zh-CN"/>
                    </w:rPr>
                    <w:t>总</w:t>
                  </w:r>
                  <w:r>
                    <w:rPr>
                      <w:rFonts w:hint="eastAsia"/>
                      <w:kern w:val="0"/>
                      <w:szCs w:val="21"/>
                    </w:rPr>
                    <w:t>量来进行评分，投放总量</w:t>
                  </w:r>
                  <w:r>
                    <w:rPr>
                      <w:kern w:val="0"/>
                      <w:szCs w:val="21"/>
                    </w:rPr>
                    <w:t>最</w:t>
                  </w:r>
                  <w:r>
                    <w:rPr>
                      <w:rFonts w:hint="eastAsia"/>
                      <w:kern w:val="0"/>
                      <w:szCs w:val="21"/>
                    </w:rPr>
                    <w:t>高</w:t>
                  </w:r>
                  <w:r>
                    <w:rPr>
                      <w:kern w:val="0"/>
                      <w:szCs w:val="21"/>
                    </w:rPr>
                    <w:t>得满分，依次递减</w:t>
                  </w:r>
                  <w:r>
                    <w:rPr>
                      <w:rFonts w:hint="eastAsia"/>
                      <w:kern w:val="0"/>
                      <w:szCs w:val="21"/>
                    </w:rPr>
                    <w:t>1</w:t>
                  </w:r>
                  <w:r>
                    <w:rPr>
                      <w:kern w:val="0"/>
                      <w:szCs w:val="21"/>
                    </w:rPr>
                    <w:t>分，如果数值相同，按同档计分</w:t>
                  </w:r>
                  <w:r>
                    <w:rPr>
                      <w:rFonts w:hint="eastAsia"/>
                      <w:color w:val="FF0000"/>
                      <w:kern w:val="0"/>
                      <w:szCs w:val="21"/>
                      <w:lang w:eastAsia="zh-CN"/>
                    </w:rPr>
                    <w:t>，</w:t>
                  </w:r>
                  <w:r>
                    <w:rPr>
                      <w:rFonts w:hint="eastAsia"/>
                      <w:color w:val="FF0000"/>
                      <w:kern w:val="0"/>
                      <w:szCs w:val="21"/>
                    </w:rPr>
                    <w:t>没有投放的为0分</w:t>
                  </w:r>
                  <w:r>
                    <w:rPr>
                      <w:rFonts w:hint="eastAsia"/>
                      <w:kern w:val="0"/>
                      <w:szCs w:val="21"/>
                    </w:rPr>
                    <w:t>。数据由人民银行铜仁中心支行提供。</w:t>
                  </w:r>
                </w:p>
                <w:p>
                  <w:pPr>
                    <w:autoSpaceDE w:val="0"/>
                    <w:autoSpaceDN w:val="0"/>
                    <w:adjustRightInd w:val="0"/>
                    <w:jc w:val="left"/>
                    <w:rPr>
                      <w:rFonts w:hint="eastAsia"/>
                      <w:kern w:val="0"/>
                      <w:szCs w:val="21"/>
                    </w:rPr>
                  </w:pP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10" w:hRule="atLeast"/>
                <w:jc w:val="center"/>
              </w:trPr>
              <w:tc>
                <w:tcPr>
                  <w:tcW w:w="1100" w:type="dxa"/>
                  <w:tcBorders>
                    <w:left w:val="single" w:color="auto" w:sz="8" w:space="0"/>
                    <w:right w:val="single" w:color="auto" w:sz="4" w:space="0"/>
                  </w:tcBorders>
                  <w:vAlign w:val="center"/>
                </w:tcPr>
                <w:p>
                  <w:pPr>
                    <w:autoSpaceDE w:val="0"/>
                    <w:autoSpaceDN w:val="0"/>
                    <w:adjustRightInd w:val="0"/>
                    <w:jc w:val="center"/>
                    <w:rPr>
                      <w:kern w:val="0"/>
                      <w:szCs w:val="21"/>
                    </w:rPr>
                  </w:pPr>
                </w:p>
                <w:p>
                  <w:pPr>
                    <w:autoSpaceDE w:val="0"/>
                    <w:autoSpaceDN w:val="0"/>
                    <w:adjustRightInd w:val="0"/>
                    <w:jc w:val="center"/>
                    <w:rPr>
                      <w:rFonts w:hint="eastAsia"/>
                      <w:kern w:val="0"/>
                      <w:szCs w:val="21"/>
                    </w:rPr>
                  </w:pPr>
                  <w:r>
                    <w:rPr>
                      <w:rFonts w:hint="eastAsia"/>
                      <w:kern w:val="0"/>
                      <w:szCs w:val="21"/>
                    </w:rPr>
                    <w:t>3</w:t>
                  </w:r>
                  <w:r>
                    <w:rPr>
                      <w:kern w:val="0"/>
                      <w:szCs w:val="21"/>
                    </w:rPr>
                    <w:t>.</w:t>
                  </w:r>
                  <w:r>
                    <w:rPr>
                      <w:rFonts w:hint="eastAsia"/>
                      <w:kern w:val="0"/>
                      <w:szCs w:val="21"/>
                    </w:rPr>
                    <w:t>贡献度指标（30分）</w:t>
                  </w: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3</w:t>
                  </w:r>
                  <w:r>
                    <w:rPr>
                      <w:kern w:val="0"/>
                      <w:szCs w:val="21"/>
                    </w:rPr>
                    <w:t>.2</w:t>
                  </w:r>
                  <w:r>
                    <w:rPr>
                      <w:rFonts w:hint="eastAsia"/>
                      <w:kern w:val="0"/>
                      <w:szCs w:val="21"/>
                    </w:rPr>
                    <w:t>金融机构</w:t>
                  </w:r>
                </w:p>
                <w:p>
                  <w:pPr>
                    <w:autoSpaceDE w:val="0"/>
                    <w:autoSpaceDN w:val="0"/>
                    <w:adjustRightInd w:val="0"/>
                    <w:jc w:val="center"/>
                    <w:rPr>
                      <w:rFonts w:hint="eastAsia"/>
                      <w:kern w:val="0"/>
                      <w:szCs w:val="21"/>
                    </w:rPr>
                  </w:pPr>
                  <w:r>
                    <w:rPr>
                      <w:rFonts w:hint="eastAsia"/>
                      <w:kern w:val="0"/>
                      <w:szCs w:val="21"/>
                    </w:rPr>
                    <w:t>对实体经济</w:t>
                  </w:r>
                </w:p>
                <w:p>
                  <w:pPr>
                    <w:autoSpaceDE w:val="0"/>
                    <w:autoSpaceDN w:val="0"/>
                    <w:adjustRightInd w:val="0"/>
                    <w:jc w:val="center"/>
                    <w:rPr>
                      <w:rFonts w:hint="eastAsia"/>
                      <w:kern w:val="0"/>
                      <w:szCs w:val="21"/>
                    </w:rPr>
                  </w:pPr>
                  <w:r>
                    <w:rPr>
                      <w:rFonts w:hint="eastAsia"/>
                      <w:kern w:val="0"/>
                      <w:szCs w:val="21"/>
                    </w:rPr>
                    <w:t>的支持情况</w:t>
                  </w:r>
                </w:p>
                <w:p>
                  <w:pPr>
                    <w:autoSpaceDE w:val="0"/>
                    <w:autoSpaceDN w:val="0"/>
                    <w:adjustRightInd w:val="0"/>
                    <w:jc w:val="center"/>
                    <w:rPr>
                      <w:rFonts w:hint="eastAsia"/>
                      <w:kern w:val="0"/>
                      <w:szCs w:val="21"/>
                    </w:rPr>
                  </w:pPr>
                  <w:r>
                    <w:rPr>
                      <w:rFonts w:hint="eastAsia"/>
                      <w:kern w:val="0"/>
                      <w:szCs w:val="21"/>
                    </w:rPr>
                    <w:t>（</w:t>
                  </w:r>
                  <w:r>
                    <w:rPr>
                      <w:kern w:val="0"/>
                      <w:szCs w:val="21"/>
                    </w:rPr>
                    <w:t>10</w:t>
                  </w:r>
                  <w:r>
                    <w:rPr>
                      <w:rFonts w:hint="eastAsia"/>
                      <w:kern w:val="0"/>
                      <w:szCs w:val="21"/>
                    </w:rPr>
                    <w:t>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kern w:val="0"/>
                      <w:szCs w:val="21"/>
                    </w:rPr>
                  </w:pPr>
                  <w:r>
                    <w:rPr>
                      <w:rFonts w:hint="eastAsia"/>
                      <w:kern w:val="0"/>
                      <w:szCs w:val="21"/>
                    </w:rPr>
                    <w:t>评标委员会根据各投标银行2</w:t>
                  </w:r>
                  <w:r>
                    <w:rPr>
                      <w:kern w:val="0"/>
                      <w:szCs w:val="21"/>
                    </w:rPr>
                    <w:t>020</w:t>
                  </w:r>
                  <w:r>
                    <w:rPr>
                      <w:rFonts w:hint="eastAsia"/>
                      <w:kern w:val="0"/>
                      <w:szCs w:val="21"/>
                    </w:rPr>
                    <w:t>年对全市实体经济支持情况进行评分。数据由市银保监局提供。</w:t>
                  </w:r>
                </w:p>
                <w:p>
                  <w:pPr>
                    <w:autoSpaceDE w:val="0"/>
                    <w:autoSpaceDN w:val="0"/>
                    <w:adjustRightInd w:val="0"/>
                    <w:jc w:val="left"/>
                    <w:rPr>
                      <w:rFonts w:hint="eastAsia"/>
                      <w:kern w:val="0"/>
                      <w:szCs w:val="21"/>
                    </w:rPr>
                  </w:pPr>
                  <w:r>
                    <w:rPr>
                      <w:rFonts w:hint="eastAsia"/>
                      <w:kern w:val="0"/>
                      <w:szCs w:val="21"/>
                    </w:rPr>
                    <w:t>金融机构对实体经济支持情况得分=（投标银行对实体经济支持余额÷最高有效对全市实体经济支持金额）×</w:t>
                  </w:r>
                  <w:r>
                    <w:rPr>
                      <w:kern w:val="0"/>
                      <w:szCs w:val="21"/>
                    </w:rPr>
                    <w:t>10</w:t>
                  </w: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10" w:hRule="atLeast"/>
                <w:jc w:val="center"/>
              </w:trPr>
              <w:tc>
                <w:tcPr>
                  <w:tcW w:w="1100" w:type="dxa"/>
                  <w:tcBorders>
                    <w:left w:val="single" w:color="auto" w:sz="8" w:space="0"/>
                    <w:right w:val="single" w:color="auto" w:sz="4" w:space="0"/>
                  </w:tcBorders>
                  <w:vAlign w:val="center"/>
                </w:tcPr>
                <w:p>
                  <w:pPr>
                    <w:autoSpaceDE w:val="0"/>
                    <w:autoSpaceDN w:val="0"/>
                    <w:adjustRightInd w:val="0"/>
                    <w:jc w:val="center"/>
                    <w:rPr>
                      <w:rFonts w:hint="eastAsia"/>
                      <w:kern w:val="0"/>
                      <w:szCs w:val="21"/>
                    </w:rPr>
                  </w:pP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3</w:t>
                  </w:r>
                  <w:r>
                    <w:rPr>
                      <w:kern w:val="0"/>
                      <w:szCs w:val="21"/>
                    </w:rPr>
                    <w:t>.3</w:t>
                  </w:r>
                  <w:r>
                    <w:rPr>
                      <w:rFonts w:hint="eastAsia"/>
                      <w:kern w:val="0"/>
                      <w:szCs w:val="21"/>
                    </w:rPr>
                    <w:t>化解债务(5分)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rFonts w:hint="eastAsia"/>
                      <w:kern w:val="0"/>
                      <w:szCs w:val="21"/>
                    </w:rPr>
                  </w:pPr>
                  <w:r>
                    <w:rPr>
                      <w:rFonts w:hint="eastAsia"/>
                      <w:kern w:val="0"/>
                      <w:szCs w:val="21"/>
                    </w:rPr>
                    <w:t>评标委员会根据</w:t>
                  </w:r>
                  <w:r>
                    <w:rPr>
                      <w:rFonts w:hint="eastAsia"/>
                      <w:color w:val="000000"/>
                      <w:kern w:val="0"/>
                      <w:szCs w:val="21"/>
                    </w:rPr>
                    <w:t>各投标银行</w:t>
                  </w:r>
                  <w:r>
                    <w:rPr>
                      <w:color w:val="000000"/>
                      <w:kern w:val="0"/>
                      <w:szCs w:val="21"/>
                    </w:rPr>
                    <w:t>2019</w:t>
                  </w:r>
                  <w:r>
                    <w:rPr>
                      <w:rFonts w:hint="eastAsia"/>
                      <w:color w:val="000000"/>
                      <w:kern w:val="0"/>
                      <w:szCs w:val="21"/>
                    </w:rPr>
                    <w:t>年-</w:t>
                  </w:r>
                  <w:r>
                    <w:rPr>
                      <w:color w:val="000000"/>
                      <w:kern w:val="0"/>
                      <w:szCs w:val="21"/>
                    </w:rPr>
                    <w:t>2020</w:t>
                  </w:r>
                  <w:r>
                    <w:rPr>
                      <w:rFonts w:hint="eastAsia"/>
                      <w:color w:val="000000"/>
                      <w:kern w:val="0"/>
                      <w:szCs w:val="21"/>
                    </w:rPr>
                    <w:t>年投放</w:t>
                  </w:r>
                  <w:r>
                    <w:rPr>
                      <w:rFonts w:hint="eastAsia"/>
                      <w:color w:val="FF0000"/>
                      <w:kern w:val="0"/>
                      <w:szCs w:val="21"/>
                      <w:lang w:val="en-US" w:eastAsia="zh-CN"/>
                    </w:rPr>
                    <w:t>全市</w:t>
                  </w:r>
                  <w:r>
                    <w:rPr>
                      <w:rFonts w:hint="eastAsia"/>
                      <w:color w:val="000000"/>
                      <w:kern w:val="0"/>
                      <w:szCs w:val="21"/>
                    </w:rPr>
                    <w:t>国有企业贷款</w:t>
                  </w:r>
                  <w:r>
                    <w:rPr>
                      <w:rFonts w:hint="eastAsia"/>
                      <w:color w:val="FF0000"/>
                      <w:kern w:val="0"/>
                      <w:szCs w:val="21"/>
                      <w:lang w:eastAsia="zh-CN"/>
                    </w:rPr>
                    <w:t>，</w:t>
                  </w:r>
                  <w:r>
                    <w:rPr>
                      <w:rFonts w:hint="eastAsia"/>
                      <w:color w:val="FF0000"/>
                      <w:kern w:val="0"/>
                      <w:szCs w:val="21"/>
                      <w:lang w:val="en-US" w:eastAsia="zh-CN"/>
                    </w:rPr>
                    <w:t>购买辖区内公司及企业发行债券</w:t>
                  </w:r>
                  <w:r>
                    <w:rPr>
                      <w:rFonts w:hint="eastAsia"/>
                      <w:color w:val="000000"/>
                      <w:kern w:val="0"/>
                      <w:szCs w:val="21"/>
                    </w:rPr>
                    <w:t>金额</w:t>
                  </w:r>
                  <w:r>
                    <w:rPr>
                      <w:rFonts w:hint="eastAsia"/>
                      <w:kern w:val="0"/>
                      <w:szCs w:val="21"/>
                    </w:rPr>
                    <w:t>进行评分， 投放</w:t>
                  </w:r>
                  <w:r>
                    <w:rPr>
                      <w:kern w:val="0"/>
                      <w:szCs w:val="21"/>
                    </w:rPr>
                    <w:t>最</w:t>
                  </w:r>
                  <w:r>
                    <w:rPr>
                      <w:rFonts w:hint="eastAsia"/>
                      <w:kern w:val="0"/>
                      <w:szCs w:val="21"/>
                    </w:rPr>
                    <w:t>高</w:t>
                  </w:r>
                  <w:r>
                    <w:rPr>
                      <w:kern w:val="0"/>
                      <w:szCs w:val="21"/>
                    </w:rPr>
                    <w:t>得满分，依次递减</w:t>
                  </w:r>
                  <w:r>
                    <w:rPr>
                      <w:rFonts w:hint="eastAsia"/>
                      <w:kern w:val="0"/>
                      <w:szCs w:val="21"/>
                    </w:rPr>
                    <w:t>1</w:t>
                  </w:r>
                  <w:r>
                    <w:rPr>
                      <w:kern w:val="0"/>
                      <w:szCs w:val="21"/>
                    </w:rPr>
                    <w:t>分，如果数值相同，按同档计分</w:t>
                  </w:r>
                  <w:r>
                    <w:rPr>
                      <w:rFonts w:hint="eastAsia"/>
                      <w:kern w:val="0"/>
                      <w:szCs w:val="21"/>
                    </w:rPr>
                    <w:t>，没有投放的为0分。</w:t>
                  </w:r>
                </w:p>
                <w:p>
                  <w:pPr>
                    <w:autoSpaceDE w:val="0"/>
                    <w:autoSpaceDN w:val="0"/>
                    <w:adjustRightInd w:val="0"/>
                    <w:jc w:val="left"/>
                    <w:rPr>
                      <w:rFonts w:hint="eastAsia"/>
                      <w:kern w:val="0"/>
                      <w:szCs w:val="21"/>
                    </w:rPr>
                  </w:pP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10" w:hRule="atLeast"/>
                <w:jc w:val="center"/>
              </w:trPr>
              <w:tc>
                <w:tcPr>
                  <w:tcW w:w="1100" w:type="dxa"/>
                  <w:tcBorders>
                    <w:left w:val="single" w:color="auto" w:sz="8" w:space="0"/>
                    <w:bottom w:val="single" w:color="auto" w:sz="4" w:space="0"/>
                    <w:right w:val="single" w:color="auto" w:sz="4" w:space="0"/>
                  </w:tcBorders>
                  <w:vAlign w:val="center"/>
                </w:tcPr>
                <w:p>
                  <w:pPr>
                    <w:autoSpaceDE w:val="0"/>
                    <w:autoSpaceDN w:val="0"/>
                    <w:adjustRightInd w:val="0"/>
                    <w:jc w:val="center"/>
                    <w:rPr>
                      <w:rFonts w:hint="eastAsia"/>
                      <w:kern w:val="0"/>
                      <w:szCs w:val="21"/>
                      <w:u w:val="single"/>
                    </w:rPr>
                  </w:pP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3</w:t>
                  </w:r>
                  <w:r>
                    <w:rPr>
                      <w:kern w:val="0"/>
                      <w:szCs w:val="21"/>
                    </w:rPr>
                    <w:t>.4</w:t>
                  </w:r>
                  <w:r>
                    <w:rPr>
                      <w:rFonts w:hint="eastAsia"/>
                      <w:kern w:val="0"/>
                      <w:szCs w:val="21"/>
                    </w:rPr>
                    <w:t>税费缴纳        （5分）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rFonts w:hint="eastAsia"/>
                      <w:kern w:val="0"/>
                      <w:szCs w:val="21"/>
                    </w:rPr>
                  </w:pPr>
                  <w:r>
                    <w:rPr>
                      <w:rFonts w:hint="eastAsia"/>
                      <w:kern w:val="0"/>
                      <w:szCs w:val="21"/>
                    </w:rPr>
                    <w:t>评标委员会根据各商业银行在本市范围内税费缴纳情况进行</w:t>
                  </w:r>
                  <w:r>
                    <w:rPr>
                      <w:kern w:val="0"/>
                      <w:szCs w:val="21"/>
                    </w:rPr>
                    <w:t>从高到低评分</w:t>
                  </w:r>
                  <w:r>
                    <w:rPr>
                      <w:rFonts w:hint="eastAsia"/>
                      <w:kern w:val="0"/>
                      <w:szCs w:val="21"/>
                    </w:rPr>
                    <w:t>，税费缴纳</w:t>
                  </w:r>
                  <w:r>
                    <w:rPr>
                      <w:kern w:val="0"/>
                      <w:szCs w:val="21"/>
                    </w:rPr>
                    <w:t>最</w:t>
                  </w:r>
                  <w:r>
                    <w:rPr>
                      <w:rFonts w:hint="eastAsia"/>
                      <w:kern w:val="0"/>
                      <w:szCs w:val="21"/>
                    </w:rPr>
                    <w:t>高</w:t>
                  </w:r>
                  <w:r>
                    <w:rPr>
                      <w:kern w:val="0"/>
                      <w:szCs w:val="21"/>
                    </w:rPr>
                    <w:t>得满分，依次递减</w:t>
                  </w:r>
                  <w:r>
                    <w:rPr>
                      <w:rFonts w:hint="eastAsia"/>
                      <w:kern w:val="0"/>
                      <w:szCs w:val="21"/>
                    </w:rPr>
                    <w:t>1</w:t>
                  </w:r>
                  <w:r>
                    <w:rPr>
                      <w:kern w:val="0"/>
                      <w:szCs w:val="21"/>
                    </w:rPr>
                    <w:t>分，如果数值相同，按同档计分</w:t>
                  </w:r>
                  <w:r>
                    <w:rPr>
                      <w:rFonts w:hint="eastAsia"/>
                      <w:kern w:val="0"/>
                      <w:szCs w:val="21"/>
                    </w:rPr>
                    <w:t>，没有税费缴纳记录的为0分</w:t>
                  </w:r>
                  <w:r>
                    <w:rPr>
                      <w:rFonts w:hint="eastAsia"/>
                      <w:kern w:val="0"/>
                      <w:szCs w:val="21"/>
                      <w:lang w:eastAsia="zh-CN"/>
                    </w:rPr>
                    <w:t>。</w:t>
                  </w:r>
                  <w:r>
                    <w:rPr>
                      <w:rFonts w:hint="eastAsia"/>
                      <w:kern w:val="0"/>
                      <w:szCs w:val="21"/>
                    </w:rPr>
                    <w:t>以铜仁市税务局提供依据为准。</w:t>
                  </w: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20" w:hRule="atLeast"/>
                <w:jc w:val="center"/>
              </w:trPr>
              <w:tc>
                <w:tcPr>
                  <w:tcW w:w="1100"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hint="eastAsia"/>
                      <w:kern w:val="0"/>
                      <w:szCs w:val="21"/>
                    </w:rPr>
                  </w:pPr>
                  <w:r>
                    <w:rPr>
                      <w:rFonts w:hint="eastAsia"/>
                      <w:kern w:val="0"/>
                      <w:szCs w:val="21"/>
                    </w:rPr>
                    <w:t>4.服务水平及能力（10）</w:t>
                  </w: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4.1服务网点数量及服务水平（10分）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rFonts w:hint="eastAsia"/>
                      <w:kern w:val="0"/>
                      <w:szCs w:val="21"/>
                    </w:rPr>
                  </w:pPr>
                </w:p>
                <w:p>
                  <w:pPr>
                    <w:tabs>
                      <w:tab w:val="left" w:pos="1002"/>
                    </w:tabs>
                    <w:jc w:val="left"/>
                    <w:rPr>
                      <w:rFonts w:hint="eastAsia"/>
                      <w:kern w:val="0"/>
                      <w:szCs w:val="21"/>
                    </w:rPr>
                  </w:pPr>
                  <w:r>
                    <w:rPr>
                      <w:rFonts w:hint="eastAsia"/>
                      <w:kern w:val="0"/>
                      <w:szCs w:val="21"/>
                    </w:rPr>
                    <w:t>评标</w:t>
                  </w:r>
                  <w:r>
                    <w:rPr>
                      <w:rFonts w:hint="eastAsia"/>
                      <w:kern w:val="0"/>
                      <w:szCs w:val="21"/>
                      <w:lang w:eastAsia="zh-CN"/>
                    </w:rPr>
                    <w:t>评标会</w:t>
                  </w:r>
                  <w:r>
                    <w:rPr>
                      <w:rFonts w:hint="eastAsia"/>
                      <w:kern w:val="0"/>
                      <w:szCs w:val="21"/>
                    </w:rPr>
                    <w:t>根据参与银行当地行2020年12月末对外服务网点（含网点、ATM、农村金融服务点等）和各商业银行对财政业务签订协议内容履行义务职责进行评分。从高到低评分，最高值得满分，依次递减1分，如果数值相同，按同档计分。</w:t>
                  </w:r>
                </w:p>
              </w:tc>
              <w:tc>
                <w:tcPr>
                  <w:tcW w:w="155" w:type="dxa"/>
                  <w:gridSpan w:val="2"/>
                  <w:tcBorders>
                    <w:left w:val="nil"/>
                    <w:right w:val="nil"/>
                  </w:tcBorders>
                  <w:vAlign w:val="center"/>
                </w:tcPr>
                <w:p>
                  <w:pPr>
                    <w:autoSpaceDE w:val="0"/>
                    <w:autoSpaceDN w:val="0"/>
                    <w:adjustRightInd w:val="0"/>
                    <w:jc w:val="center"/>
                    <w:rPr>
                      <w:kern w:val="0"/>
                      <w:szCs w:val="21"/>
                    </w:rPr>
                  </w:pPr>
                </w:p>
              </w:tc>
            </w:tr>
          </w:tbl>
          <w:p>
            <w:pPr>
              <w:pStyle w:val="7"/>
            </w:pPr>
          </w:p>
          <w:p>
            <w:pPr>
              <w:pStyle w:val="7"/>
              <w:rPr>
                <w:rFonts w:hint="eastAsia" w:asciiTheme="minorEastAsia" w:hAnsiTheme="minorEastAsia"/>
                <w:bCs/>
                <w:sz w:val="24"/>
                <w:szCs w:val="24"/>
                <w:lang w:val="en-US" w:eastAsia="zh-CN"/>
              </w:rPr>
            </w:pPr>
          </w:p>
          <w:p>
            <w:pPr>
              <w:pStyle w:val="7"/>
              <w:rPr>
                <w:rFonts w:hint="eastAsia" w:asciiTheme="minorEastAsia" w:hAnsiTheme="minorEastAsia"/>
                <w:bCs/>
                <w:sz w:val="24"/>
                <w:szCs w:val="24"/>
                <w:lang w:val="en-US" w:eastAsia="zh-CN"/>
              </w:rPr>
            </w:pPr>
          </w:p>
          <w:tbl>
            <w:tblPr>
              <w:tblStyle w:val="16"/>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808" w:type="dxa"/>
                  <w:vAlign w:val="center"/>
                </w:tcPr>
                <w:p>
                  <w:pPr>
                    <w:spacing w:line="4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资格性符合性审查表格（审查内容）：</w:t>
                  </w:r>
                </w:p>
                <w:tbl>
                  <w:tblPr>
                    <w:tblStyle w:val="16"/>
                    <w:tblW w:w="7759" w:type="dxa"/>
                    <w:tblInd w:w="93" w:type="dxa"/>
                    <w:tblLayout w:type="fixed"/>
                    <w:tblCellMar>
                      <w:top w:w="0" w:type="dxa"/>
                      <w:left w:w="108" w:type="dxa"/>
                      <w:bottom w:w="0" w:type="dxa"/>
                      <w:right w:w="108" w:type="dxa"/>
                    </w:tblCellMar>
                  </w:tblPr>
                  <w:tblGrid>
                    <w:gridCol w:w="618"/>
                    <w:gridCol w:w="7141"/>
                  </w:tblGrid>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序号</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资格要求</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1</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eastAsia="zh-CN"/>
                          </w:rPr>
                        </w:pPr>
                        <w:r>
                          <w:rPr>
                            <w:kern w:val="0"/>
                            <w:szCs w:val="21"/>
                          </w:rPr>
                          <w:t>投标保证金</w:t>
                        </w:r>
                        <w:r>
                          <w:rPr>
                            <w:rFonts w:hint="eastAsia"/>
                            <w:kern w:val="0"/>
                            <w:szCs w:val="21"/>
                            <w:lang w:eastAsia="zh-CN"/>
                          </w:rPr>
                          <w:t>（如有）</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2</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投标书</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szCs w:val="21"/>
                          </w:rPr>
                          <w:t>3</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提供“营业执照副本、组织机构代码证副本、税务登记证副本复印件”或“三证合一复印件”</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4</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提供中国银行业监督管理委员会或其授权单位核发的《金融机构法人许可证》复印件或《金融营业许可证》复印件</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bookmarkStart w:id="1" w:name="_Hlk38633076"/>
                        <w:r>
                          <w:rPr>
                            <w:rFonts w:hint="eastAsia"/>
                            <w:kern w:val="0"/>
                            <w:szCs w:val="21"/>
                          </w:rPr>
                          <w:t>5</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rFonts w:hint="eastAsia"/>
                            <w:szCs w:val="21"/>
                          </w:rPr>
                          <w:t>不良贷款率≤</w:t>
                        </w:r>
                        <w:r>
                          <w:rPr>
                            <w:szCs w:val="21"/>
                          </w:rPr>
                          <w:t>5</w:t>
                        </w:r>
                        <w:r>
                          <w:rPr>
                            <w:rFonts w:hint="eastAsia"/>
                            <w:szCs w:val="21"/>
                          </w:rPr>
                          <w:t>%，流动性覆盖率≥1</w:t>
                        </w:r>
                        <w:r>
                          <w:rPr>
                            <w:szCs w:val="21"/>
                          </w:rPr>
                          <w:t>00</w:t>
                        </w:r>
                        <w:r>
                          <w:rPr>
                            <w:rFonts w:hint="eastAsia"/>
                            <w:szCs w:val="21"/>
                          </w:rPr>
                          <w:t>%，流动性比例≥</w:t>
                        </w:r>
                        <w:r>
                          <w:rPr>
                            <w:szCs w:val="21"/>
                          </w:rPr>
                          <w:t>25</w:t>
                        </w:r>
                        <w:r>
                          <w:rPr>
                            <w:rFonts w:hint="eastAsia"/>
                            <w:szCs w:val="21"/>
                          </w:rPr>
                          <w:t>%</w:t>
                        </w:r>
                      </w:p>
                    </w:tc>
                  </w:tr>
                  <w:bookmarkEnd w:id="1"/>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6</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依法开展经营活动，近 3 年内在经营活动中无重大违法记录</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7</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内部管理机制健全，具有较强的风险控制能力，近3年内未发生金融风险及重大违约事件</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8</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投标银行质押的国债面值数额为</w:t>
                        </w:r>
                        <w:r>
                          <w:rPr>
                            <w:rFonts w:hint="eastAsia"/>
                            <w:szCs w:val="21"/>
                          </w:rPr>
                          <w:t>定期存放</w:t>
                        </w:r>
                        <w:r>
                          <w:rPr>
                            <w:szCs w:val="21"/>
                          </w:rPr>
                          <w:t>金额的105%，质押的地方政府债券面值数额为</w:t>
                        </w:r>
                        <w:r>
                          <w:rPr>
                            <w:rFonts w:hint="eastAsia"/>
                            <w:szCs w:val="21"/>
                          </w:rPr>
                          <w:t>定期存放</w:t>
                        </w:r>
                        <w:r>
                          <w:rPr>
                            <w:szCs w:val="21"/>
                          </w:rPr>
                          <w:t>金额的115%。参与投标银行须提供</w:t>
                        </w:r>
                        <w:r>
                          <w:rPr>
                            <w:rFonts w:hint="eastAsia"/>
                            <w:color w:val="FF0000"/>
                            <w:szCs w:val="21"/>
                            <w:lang w:val="en-US" w:eastAsia="zh-CN"/>
                          </w:rPr>
                          <w:t>本级或上级</w:t>
                        </w:r>
                        <w:r>
                          <w:rPr>
                            <w:szCs w:val="21"/>
                          </w:rPr>
                          <w:t>可质押的国债和</w:t>
                        </w:r>
                        <w:r>
                          <w:rPr>
                            <w:rFonts w:hint="eastAsia"/>
                            <w:szCs w:val="21"/>
                          </w:rPr>
                          <w:t>地方政府债券</w:t>
                        </w:r>
                        <w:r>
                          <w:rPr>
                            <w:rFonts w:hint="eastAsia"/>
                            <w:szCs w:val="21"/>
                            <w:lang w:eastAsia="zh-CN"/>
                          </w:rPr>
                          <w:t>或证券</w:t>
                        </w:r>
                        <w:r>
                          <w:rPr>
                            <w:szCs w:val="21"/>
                          </w:rPr>
                          <w:t>承诺函</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9</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ind w:left="5" w:hanging="5"/>
                          <w:rPr>
                            <w:kern w:val="0"/>
                            <w:szCs w:val="21"/>
                          </w:rPr>
                        </w:pPr>
                        <w:r>
                          <w:rPr>
                            <w:szCs w:val="21"/>
                          </w:rPr>
                          <w:t>提供法人银行授权委托书</w:t>
                        </w:r>
                        <w:r>
                          <w:rPr>
                            <w:rFonts w:hint="eastAsia"/>
                            <w:szCs w:val="21"/>
                          </w:rPr>
                          <w:t>（省级分行负责人授权委托书亦可）</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rFonts w:hint="eastAsia"/>
                            <w:kern w:val="0"/>
                            <w:szCs w:val="21"/>
                          </w:rPr>
                          <w:t>10</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rFonts w:hint="eastAsia"/>
                            <w:szCs w:val="21"/>
                          </w:rPr>
                          <w:t>相关指标需与2019、2020年度年报公开数据一致</w:t>
                        </w:r>
                      </w:p>
                    </w:tc>
                  </w:tr>
                </w:tbl>
                <w:p>
                  <w:pPr>
                    <w:spacing w:line="560" w:lineRule="exact"/>
                    <w:ind w:firstLine="53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澄清有关问题。对投标文件中含义不明确、同类问题表述不一致或者有明显文字和计算错误的内容，评标委员会可以书面形式要求投标人作出必要的澄清、说明或者纠正。投标人的澄清、说明或者纠正应当采用书面形式，由其授权的代表签字，并不得超出投标文件的范围或者改变投标文件的实质性内容。</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（三）比较与评价。按招标文件中规定的评标方法和标准，对资格性检查和符合性检查合格的投标文件进评估，综合比较与评价。</w:t>
                  </w:r>
                  <w:r>
                    <w:rPr>
                      <w:rFonts w:hint="eastAsia" w:ascii="仿宋_GB2312" w:hAnsi="仿宋_GB2312" w:eastAsia="仿宋_GB2312" w:cs="仿宋_GB2312"/>
                      <w:kern w:val="0"/>
                      <w:sz w:val="32"/>
                      <w:szCs w:val="32"/>
                      <w:lang w:eastAsia="zh-CN"/>
                    </w:rPr>
                    <w:t>（按照得分，从高到低排序）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（四）推荐中标候选银行名单。根据</w:t>
                  </w:r>
                  <w:r>
                    <w:rPr>
                      <w:rFonts w:hint="eastAsia" w:ascii="仿宋_GB2312" w:hAnsi="仿宋_GB2312" w:eastAsia="仿宋_GB2312" w:cs="仿宋_GB2312"/>
                      <w:sz w:val="32"/>
                      <w:szCs w:val="32"/>
                    </w:rPr>
                    <w:t>评标委员评分结果，选取贡献度指标不为0的银行为中标银行。</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（五）编写评标报告。评标报告是评标委员会根据全体评标成员签字的原始评标记录和评标结果编写的报告，其主要内容包括：</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1.招标公告刊登的媒体名称、开标日期和地点；</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2.购买招标文件的投标人名单和评标委员会成员名单；</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3.评标方法和标准；</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4.开标记录和评标情况及说明，包括投标无效投标人名单及原因；</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5.评标结果和中标候选供应商排序表；</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6.评标委员会的授标建议。</w:t>
                  </w:r>
                </w:p>
                <w:p>
                  <w:pPr>
                    <w:keepNext w:val="0"/>
                    <w:keepLines w:val="0"/>
                    <w:pageBreakBefore w:val="0"/>
                    <w:tabs>
                      <w:tab w:val="left" w:pos="-1080"/>
                      <w:tab w:val="left" w:pos="180"/>
                      <w:tab w:val="left" w:pos="1080"/>
                    </w:tabs>
                    <w:kinsoku/>
                    <w:wordWrap/>
                    <w:overflowPunct/>
                    <w:topLinePunct w:val="0"/>
                    <w:autoSpaceDE/>
                    <w:autoSpaceDN/>
                    <w:bidi w:val="0"/>
                    <w:adjustRightInd/>
                    <w:snapToGrid/>
                    <w:spacing w:line="400" w:lineRule="exact"/>
                    <w:ind w:firstLine="361" w:firstLineChars="150"/>
                    <w:textAlignment w:val="auto"/>
                    <w:rPr>
                      <w:rFonts w:asciiTheme="minorEastAsia" w:hAnsiTheme="minorEastAsia"/>
                      <w:b/>
                      <w:sz w:val="24"/>
                      <w:szCs w:val="24"/>
                    </w:rPr>
                  </w:pP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bCs/>
                <w:sz w:val="24"/>
                <w:szCs w:val="24"/>
              </w:rPr>
            </w:pPr>
            <w:r>
              <w:rPr>
                <w:rFonts w:hint="eastAsia" w:asciiTheme="minorEastAsia" w:hAnsiTheme="minorEastAsia"/>
                <w:bCs/>
                <w:sz w:val="24"/>
                <w:szCs w:val="24"/>
              </w:rPr>
              <w:t>采购人在收到评审报告后五个工作日内，根据成交候选供应商排列顺序确定成交候选供应商为成交供应商</w:t>
            </w:r>
            <w:r>
              <w:rPr>
                <w:rFonts w:asciiTheme="minorEastAsia" w:hAnsiTheme="minorEastAsia"/>
                <w:bCs/>
                <w:sz w:val="24"/>
                <w:szCs w:val="24"/>
              </w:rPr>
              <w:t>。</w:t>
            </w:r>
          </w:p>
          <w:p>
            <w:pPr>
              <w:keepNext w:val="0"/>
              <w:keepLines w:val="0"/>
              <w:pageBreakBefore w:val="0"/>
              <w:kinsoku/>
              <w:wordWrap/>
              <w:overflowPunct/>
              <w:topLinePunct w:val="0"/>
              <w:autoSpaceDE/>
              <w:autoSpaceDN/>
              <w:bidi w:val="0"/>
              <w:adjustRightInd/>
              <w:snapToGrid/>
              <w:spacing w:line="400" w:lineRule="exact"/>
              <w:ind w:right="-40" w:rightChars="-19" w:firstLine="480" w:firstLineChars="200"/>
              <w:textAlignment w:val="auto"/>
              <w:rPr>
                <w:rFonts w:asciiTheme="minorEastAsia" w:hAnsiTheme="minorEastAsia"/>
                <w:sz w:val="24"/>
                <w:szCs w:val="24"/>
              </w:rPr>
            </w:pPr>
            <w:r>
              <w:rPr>
                <w:rFonts w:asciiTheme="minorEastAsia" w:hAnsiTheme="minorEastAsia"/>
                <w:bCs/>
                <w:sz w:val="24"/>
                <w:szCs w:val="24"/>
              </w:rPr>
              <w:t>成交供应商</w:t>
            </w:r>
            <w:r>
              <w:rPr>
                <w:rFonts w:hint="eastAsia" w:asciiTheme="minorEastAsia" w:hAnsiTheme="minorEastAsia"/>
                <w:bCs/>
                <w:sz w:val="24"/>
                <w:szCs w:val="24"/>
              </w:rPr>
              <w:t>拒绝签订政府采购合同的，采购人可以按照成交候选供应商的排序顺序由高到低</w:t>
            </w:r>
            <w:r>
              <w:rPr>
                <w:rFonts w:hint="eastAsia" w:asciiTheme="minorEastAsia" w:hAnsiTheme="minorEastAsia"/>
                <w:sz w:val="24"/>
                <w:szCs w:val="24"/>
              </w:rPr>
              <w:t>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p>
        </w:tc>
      </w:tr>
    </w:tbl>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磋商供应商</w:t>
      </w:r>
      <w:r>
        <w:rPr>
          <w:rFonts w:asciiTheme="minorEastAsia" w:hAnsiTheme="minorEastAsia" w:eastAsiaTheme="minorEastAsia"/>
          <w:sz w:val="24"/>
          <w:szCs w:val="24"/>
        </w:rPr>
        <w:t>须知前附表</w:t>
      </w: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序号</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项目</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1</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本项目是否属于专门面向中小企业和监狱企业的政府采购活动：</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w:t>
            </w:r>
            <w:r>
              <w:rPr>
                <w:rFonts w:hint="eastAsia" w:cs="宋体" w:asciiTheme="minorEastAsia" w:hAnsiTheme="minorEastAsia"/>
                <w:kern w:val="0"/>
                <w:sz w:val="24"/>
                <w:szCs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2</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b/>
                <w:sz w:val="24"/>
                <w:szCs w:val="24"/>
              </w:rPr>
              <w:t>中小企业的认定标准</w:t>
            </w:r>
          </w:p>
        </w:tc>
        <w:tc>
          <w:tcPr>
            <w:tcW w:w="6256" w:type="dxa"/>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磋商供应商须同时满足以下两个条件，才能认定为中小企业</w:t>
            </w:r>
            <w:r>
              <w:rPr>
                <w:rFonts w:hint="eastAsia" w:asciiTheme="minorEastAsia" w:hAnsiTheme="minorEastAsia"/>
                <w:b/>
                <w:sz w:val="24"/>
                <w:szCs w:val="24"/>
              </w:rPr>
              <w:t>（含中型、小型、微型企业，下同）</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注： 联合体参与磋商响应的的，以联合体中划型标准较高的一方，作为该联合体的企业划型标准。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（2）提供本企业制造的货物、承担的工程或者服务，或者提供其他中小企业制造的货物。</w:t>
            </w:r>
            <w:r>
              <w:rPr>
                <w:rFonts w:hint="eastAsia" w:cs="SimSun-Identity-H" w:asciiTheme="minorEastAsia" w:hAnsiTheme="minorEastAsia"/>
                <w:kern w:val="0"/>
                <w:sz w:val="24"/>
                <w:szCs w:val="24"/>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3</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监狱企业的认定标准</w:t>
            </w:r>
          </w:p>
        </w:tc>
        <w:tc>
          <w:tcPr>
            <w:tcW w:w="6256" w:type="dxa"/>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cs="宋体" w:asciiTheme="minorEastAsia" w:hAnsiTheme="minorEastAsia"/>
                <w:kern w:val="0"/>
                <w:sz w:val="24"/>
                <w:szCs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4</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优惠办法：</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12" w:firstLineChars="5"/>
              <w:textAlignment w:val="auto"/>
              <w:rPr>
                <w:rFonts w:asciiTheme="minorEastAsia" w:hAnsiTheme="minorEastAsia"/>
                <w:b/>
                <w:sz w:val="24"/>
                <w:szCs w:val="24"/>
              </w:rPr>
            </w:pPr>
            <w:r>
              <w:rPr>
                <w:rFonts w:hint="eastAsia" w:asciiTheme="minorEastAsia" w:hAnsiTheme="minorEastAsia"/>
                <w:b/>
                <w:sz w:val="24"/>
                <w:szCs w:val="24"/>
              </w:rPr>
              <w:t>小型企业或微型企业：</w:t>
            </w:r>
          </w:p>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475" w:firstLineChars="205"/>
              <w:textAlignment w:val="auto"/>
              <w:rPr>
                <w:rFonts w:asciiTheme="minorEastAsia" w:hAnsiTheme="minorEastAsia"/>
                <w:color w:val="000000"/>
                <w:spacing w:val="-4"/>
                <w:sz w:val="24"/>
                <w:szCs w:val="24"/>
              </w:rPr>
            </w:pPr>
            <w:r>
              <w:rPr>
                <w:rFonts w:hint="eastAsia" w:asciiTheme="minorEastAsia" w:hAnsiTheme="minorEastAsia"/>
                <w:color w:val="000000"/>
                <w:spacing w:val="-4"/>
                <w:sz w:val="24"/>
                <w:szCs w:val="24"/>
              </w:rPr>
              <w:t>价格扣除：按</w:t>
            </w:r>
            <w:r>
              <w:rPr>
                <w:rFonts w:hint="eastAsia" w:asciiTheme="minorEastAsia" w:hAnsiTheme="minorEastAsia"/>
                <w:color w:val="auto"/>
                <w:spacing w:val="-4"/>
                <w:sz w:val="24"/>
                <w:szCs w:val="24"/>
              </w:rPr>
              <w:t>报价的</w:t>
            </w:r>
            <w:r>
              <w:rPr>
                <w:rFonts w:hint="eastAsia" w:asciiTheme="minorEastAsia" w:hAnsiTheme="minorEastAsia"/>
                <w:color w:val="auto"/>
                <w:spacing w:val="-4"/>
                <w:sz w:val="24"/>
                <w:szCs w:val="24"/>
                <w:u w:val="single"/>
              </w:rPr>
              <w:t>（94%）</w:t>
            </w:r>
            <w:r>
              <w:rPr>
                <w:rFonts w:hint="eastAsia" w:asciiTheme="minorEastAsia" w:hAnsiTheme="minorEastAsia"/>
                <w:color w:val="auto"/>
                <w:spacing w:val="-4"/>
                <w:sz w:val="24"/>
                <w:szCs w:val="24"/>
              </w:rPr>
              <w:t>计</w:t>
            </w:r>
            <w:r>
              <w:rPr>
                <w:rFonts w:hint="eastAsia" w:asciiTheme="minorEastAsia" w:hAnsiTheme="minorEastAsia"/>
                <w:color w:val="000000"/>
                <w:spacing w:val="-4"/>
                <w:sz w:val="24"/>
                <w:szCs w:val="24"/>
              </w:rPr>
              <w:t>算评审价</w:t>
            </w:r>
          </w:p>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12" w:firstLineChars="5"/>
              <w:textAlignment w:val="auto"/>
              <w:rPr>
                <w:rFonts w:asciiTheme="minorEastAsia" w:hAnsiTheme="minorEastAsia"/>
                <w:b/>
                <w:color w:val="000000"/>
                <w:spacing w:val="-4"/>
                <w:sz w:val="24"/>
                <w:szCs w:val="24"/>
              </w:rPr>
            </w:pPr>
            <w:r>
              <w:rPr>
                <w:rFonts w:hint="eastAsia" w:asciiTheme="minorEastAsia" w:hAnsiTheme="minorEastAsia"/>
                <w:b/>
                <w:color w:val="000000"/>
                <w:spacing w:val="-4"/>
                <w:sz w:val="24"/>
                <w:szCs w:val="24"/>
              </w:rPr>
              <w:t>中型企业：</w:t>
            </w:r>
          </w:p>
          <w:p>
            <w:pPr>
              <w:keepNext w:val="0"/>
              <w:keepLines w:val="0"/>
              <w:pageBreakBefore w:val="0"/>
              <w:kinsoku/>
              <w:wordWrap/>
              <w:overflowPunct/>
              <w:topLinePunct w:val="0"/>
              <w:autoSpaceDE/>
              <w:autoSpaceDN/>
              <w:bidi w:val="0"/>
              <w:adjustRightInd/>
              <w:snapToGrid/>
              <w:spacing w:beforeLines="25" w:afterLines="25" w:line="400" w:lineRule="exact"/>
              <w:ind w:firstLine="480" w:firstLineChars="200"/>
              <w:textAlignment w:val="auto"/>
              <w:rPr>
                <w:rFonts w:asciiTheme="minorEastAsia" w:hAnsiTheme="minorEastAsia"/>
                <w:color w:val="000000"/>
                <w:spacing w:val="-4"/>
                <w:sz w:val="24"/>
                <w:szCs w:val="24"/>
              </w:rPr>
            </w:pPr>
            <w:r>
              <w:rPr>
                <w:rFonts w:hint="eastAsia" w:asciiTheme="minorEastAsia" w:hAnsiTheme="minorEastAsia"/>
                <w:sz w:val="24"/>
                <w:szCs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5</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小型或微型企业产品价格清单</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sz w:val="24"/>
                <w:szCs w:val="24"/>
              </w:rPr>
              <w:t>（</w:t>
            </w:r>
            <w:r>
              <w:rPr>
                <w:rFonts w:hint="eastAsia" w:asciiTheme="minorEastAsia" w:hAnsiTheme="minorEastAsia"/>
                <w:b/>
                <w:sz w:val="24"/>
                <w:szCs w:val="24"/>
              </w:rPr>
              <w:t>本清单附在《中小企业声明函》后，不附所报产品视为非小微企业产品）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b/>
                      <w:sz w:val="24"/>
                      <w:szCs w:val="24"/>
                    </w:rPr>
                    <w:t>小型或微型企业服务价格清单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供应商中小企业性质（中型、小型、微型）：</w:t>
                  </w:r>
                  <w:r>
                    <w:rPr>
                      <w:rFonts w:hint="eastAsia" w:asciiTheme="minorEastAsia" w:hAnsi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备注：如供应商为大型或中型企业，表格以下部分无需填写。如供应商所投货物无论全部或者部分为小微企业服务，均需在表格中进行明确。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序号</w:t>
                  </w:r>
                </w:p>
              </w:tc>
              <w:tc>
                <w:tcPr>
                  <w:tcW w:w="96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服务名称</w:t>
                  </w:r>
                </w:p>
              </w:tc>
              <w:tc>
                <w:tcPr>
                  <w:tcW w:w="8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服务商</w:t>
                  </w:r>
                </w:p>
              </w:tc>
              <w:tc>
                <w:tcPr>
                  <w:tcW w:w="18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服务商性质（小型、微型）</w:t>
                  </w:r>
                </w:p>
              </w:tc>
              <w:tc>
                <w:tcPr>
                  <w:tcW w:w="13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2</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3</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小型或微型企业服务金额合计A</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报价一览表中所有服务报价B</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评审价格</w:t>
                  </w:r>
                  <w:r>
                    <w:rPr>
                      <w:rFonts w:hint="eastAsia" w:asciiTheme="minorEastAsia" w:hAnsiTheme="minorEastAsia"/>
                      <w:color w:val="auto"/>
                      <w:sz w:val="24"/>
                      <w:szCs w:val="24"/>
                    </w:rPr>
                    <w:t>C=</w:t>
                  </w:r>
                  <w:r>
                    <w:rPr>
                      <w:rFonts w:hint="eastAsia" w:asciiTheme="minorEastAsia" w:hAnsiTheme="minorEastAsia"/>
                      <w:color w:val="auto"/>
                      <w:sz w:val="24"/>
                      <w:szCs w:val="24"/>
                      <w:u w:val="single"/>
                    </w:rPr>
                    <w:t>（0.94）</w:t>
                  </w:r>
                  <w:r>
                    <w:rPr>
                      <w:rFonts w:hint="eastAsia" w:asciiTheme="minorEastAsia" w:hAnsiTheme="minorEastAsia"/>
                      <w:color w:val="auto"/>
                      <w:sz w:val="24"/>
                      <w:szCs w:val="24"/>
                    </w:rPr>
                    <w:t>*</w:t>
                  </w:r>
                  <w:r>
                    <w:rPr>
                      <w:rFonts w:hint="eastAsia" w:asciiTheme="minorEastAsia" w:hAnsiTheme="minorEastAsia"/>
                      <w:sz w:val="24"/>
                      <w:szCs w:val="24"/>
                    </w:rPr>
                    <w:t>A+B-A</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bl>
          <w:p>
            <w:pPr>
              <w:keepNext w:val="0"/>
              <w:keepLines w:val="0"/>
              <w:pageBreakBefore w:val="0"/>
              <w:kinsoku/>
              <w:wordWrap/>
              <w:overflowPunct/>
              <w:topLinePunct w:val="0"/>
              <w:autoSpaceDE/>
              <w:autoSpaceDN/>
              <w:bidi w:val="0"/>
              <w:adjustRightInd/>
              <w:snapToGrid/>
              <w:spacing w:beforeLines="25" w:afterLines="25" w:line="400" w:lineRule="exact"/>
              <w:textAlignment w:val="auto"/>
              <w:rPr>
                <w:rFonts w:asciiTheme="minorEastAsia" w:hAnsiTheme="minorEastAsia"/>
                <w:b/>
                <w:sz w:val="24"/>
                <w:szCs w:val="24"/>
              </w:rPr>
            </w:pPr>
            <w:r>
              <w:rPr>
                <w:rFonts w:hint="eastAsia" w:asciiTheme="minorEastAsia" w:hAnsiTheme="minorEastAsia"/>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6</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证明材料</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供应商参与磋商响应时须对照《中小企业划型标准规定》（工信部联企业[2011]300号）文件规定，提供《中小企业声明函》。</w:t>
            </w:r>
            <w:r>
              <w:rPr>
                <w:rFonts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符合监狱企业政策的供应商参与磋商时需提供</w:t>
            </w:r>
            <w:r>
              <w:rPr>
                <w:rFonts w:hint="eastAsia" w:cs="宋体" w:asciiTheme="minorEastAsia" w:hAnsiTheme="minorEastAsia"/>
                <w:kern w:val="0"/>
                <w:sz w:val="24"/>
                <w:szCs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7</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相关风险</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b/>
                <w:sz w:val="24"/>
                <w:szCs w:val="24"/>
              </w:rPr>
            </w:pPr>
            <w:r>
              <w:rPr>
                <w:rFonts w:hint="eastAsia" w:asciiTheme="minorEastAsia" w:hAnsiTheme="minorEastAsia"/>
                <w:b/>
                <w:sz w:val="24"/>
                <w:szCs w:val="24"/>
              </w:rPr>
              <w:t>一、经评审委员会评审，存在下列任一情况的，磋商供应商将不被视为中小企业：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 磋商供应商不符合“工信部联企业[2011]300号”规定的中小企业标准的；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2.响应货物全部或部分为使用大型企业注册商标的货物的；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3. 响应文件中标明的中小企业产品的制造商不符合“工信部联企业[2011]300号”规定的中小企业标准的；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cs="SimSun-Identity-H" w:asciiTheme="minorEastAsia" w:hAnsiTheme="minorEastAsia"/>
                <w:b/>
                <w:kern w:val="0"/>
                <w:sz w:val="24"/>
                <w:szCs w:val="24"/>
              </w:rPr>
            </w:pPr>
            <w:r>
              <w:rPr>
                <w:rFonts w:hint="eastAsia" w:cs="SimSun-Identity-H" w:asciiTheme="minorEastAsia" w:hAnsiTheme="minorEastAsia"/>
                <w:b/>
                <w:kern w:val="0"/>
                <w:sz w:val="24"/>
                <w:szCs w:val="24"/>
              </w:rPr>
              <w:t>二、提供虚假证明材料后果：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cs="SimSun-Identity-H" w:asciiTheme="minorEastAsia" w:hAnsiTheme="minorEastAsia"/>
                <w:kern w:val="0"/>
                <w:sz w:val="24"/>
                <w:szCs w:val="24"/>
              </w:rPr>
              <w:t>供应商为取得中小企业身份而提供虚假证明材料，在评审过程中发现的，按无效响应处理，磋商保证金不予退还；已取得成交资格的，无论该行为是否影响成交，均取消其成交资格，磋商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asciiTheme="minorEastAsia" w:hAnsiTheme="minorEastAsia"/>
          <w:bCs/>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b/>
          <w:bCs/>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r>
        <w:rPr>
          <w:rFonts w:hint="eastAsia" w:asciiTheme="minorEastAsia" w:hAnsiTheme="minorEastAsia"/>
          <w:b/>
          <w:bCs/>
          <w:sz w:val="24"/>
          <w:szCs w:val="24"/>
          <w:u w:val="single"/>
        </w:rPr>
        <w:t>磋商供应商须知前附表5：节能、环境标志信息安全产品采购政策</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adjustRightInd/>
              <w:snapToGrid/>
              <w:spacing w:line="400" w:lineRule="exact"/>
              <w:ind w:firstLine="600"/>
              <w:jc w:val="center"/>
              <w:textAlignment w:val="auto"/>
              <w:rPr>
                <w:rFonts w:asciiTheme="minorEastAsia" w:hAnsiTheme="minorEastAsia"/>
                <w:b/>
                <w:sz w:val="24"/>
                <w:szCs w:val="24"/>
              </w:rPr>
            </w:pPr>
            <w:r>
              <w:rPr>
                <w:rFonts w:hint="eastAsia" w:asciiTheme="minorEastAsia" w:hAnsiTheme="minorEastAsia"/>
                <w:b/>
                <w:sz w:val="24"/>
                <w:szCs w:val="24"/>
              </w:rPr>
              <w:t>二、节能、环境标志、信息安全产品优先采购政策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asciiTheme="minorEastAsia" w:hAnsiTheme="minorEastAsia"/>
                <w:b/>
                <w:sz w:val="24"/>
                <w:szCs w:val="24"/>
              </w:rPr>
            </w:pPr>
            <w:r>
              <w:rPr>
                <w:rFonts w:hint="eastAsia" w:asciiTheme="minorEastAsia" w:hAnsiTheme="minorEastAsia"/>
                <w:b/>
                <w:sz w:val="24"/>
                <w:szCs w:val="24"/>
              </w:rPr>
              <w:t>三、提醒事项：</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asciiTheme="minorEastAsia" w:hAnsiTheme="minorEastAsia"/>
                <w:sz w:val="24"/>
                <w:szCs w:val="24"/>
              </w:rPr>
            </w:pPr>
            <w:r>
              <w:rPr>
                <w:rFonts w:hint="eastAsia" w:asciiTheme="minorEastAsia" w:hAnsiTheme="minorEastAsia"/>
                <w:b/>
                <w:sz w:val="24"/>
                <w:szCs w:val="24"/>
              </w:rPr>
              <w:t>成交供应商必须凭成交通知书的原件与采购人签订《政府采购合同》。</w:t>
            </w:r>
          </w:p>
        </w:tc>
      </w:tr>
    </w:tbl>
    <w:p>
      <w:pPr>
        <w:spacing w:line="360" w:lineRule="auto"/>
        <w:outlineLvl w:val="0"/>
        <w:rPr>
          <w:rFonts w:ascii="宋体" w:hAnsi="宋体"/>
          <w:b/>
          <w:bCs/>
          <w:sz w:val="30"/>
          <w:szCs w:val="30"/>
        </w:rPr>
      </w:pPr>
      <w:bookmarkStart w:id="2" w:name="_Toc66198171"/>
      <w:bookmarkStart w:id="3" w:name="_Toc268599008"/>
    </w:p>
    <w:p>
      <w:pPr>
        <w:spacing w:line="360" w:lineRule="auto"/>
        <w:outlineLvl w:val="0"/>
        <w:rPr>
          <w:rFonts w:ascii="宋体" w:hAnsi="宋体"/>
          <w:b/>
          <w:bCs/>
          <w:sz w:val="30"/>
          <w:szCs w:val="30"/>
        </w:rPr>
      </w:pPr>
    </w:p>
    <w:bookmarkEnd w:id="2"/>
    <w:bookmarkEnd w:id="3"/>
    <w:p>
      <w:pPr>
        <w:pStyle w:val="8"/>
        <w:spacing w:line="360" w:lineRule="auto"/>
        <w:jc w:val="both"/>
        <w:rPr>
          <w:rFonts w:hAnsi="宋体"/>
          <w:b/>
          <w:sz w:val="32"/>
          <w:szCs w:val="32"/>
        </w:rPr>
      </w:pPr>
    </w:p>
    <w:p>
      <w:pPr>
        <w:pStyle w:val="8"/>
        <w:spacing w:line="360" w:lineRule="auto"/>
        <w:jc w:val="both"/>
        <w:rPr>
          <w:rFonts w:hAnsi="宋体"/>
          <w:b/>
          <w:sz w:val="32"/>
          <w:szCs w:val="32"/>
        </w:rPr>
      </w:pPr>
    </w:p>
    <w:p>
      <w:pPr>
        <w:pStyle w:val="8"/>
        <w:spacing w:line="360" w:lineRule="auto"/>
        <w:jc w:val="both"/>
        <w:rPr>
          <w:rFonts w:hAnsi="宋体"/>
          <w:b/>
          <w:sz w:val="32"/>
          <w:szCs w:val="32"/>
        </w:rPr>
      </w:pPr>
    </w:p>
    <w:p>
      <w:pPr>
        <w:pStyle w:val="8"/>
        <w:spacing w:line="360" w:lineRule="auto"/>
        <w:jc w:val="both"/>
        <w:rPr>
          <w:rFonts w:hAnsi="宋体"/>
          <w:b/>
          <w:sz w:val="32"/>
          <w:szCs w:val="32"/>
        </w:rPr>
      </w:pPr>
    </w:p>
    <w:p>
      <w:pPr>
        <w:pStyle w:val="8"/>
        <w:spacing w:line="360" w:lineRule="auto"/>
        <w:jc w:val="center"/>
        <w:rPr>
          <w:rFonts w:hint="eastAsia" w:hAnsi="宋体"/>
          <w:b/>
          <w:sz w:val="36"/>
          <w:szCs w:val="36"/>
        </w:rPr>
      </w:pPr>
      <w:r>
        <w:rPr>
          <w:rFonts w:hint="eastAsia" w:hAnsi="宋体"/>
          <w:b/>
          <w:sz w:val="36"/>
          <w:szCs w:val="36"/>
        </w:rPr>
        <w:br w:type="page"/>
      </w:r>
    </w:p>
    <w:p>
      <w:pPr>
        <w:pStyle w:val="8"/>
        <w:spacing w:line="360" w:lineRule="auto"/>
        <w:jc w:val="center"/>
        <w:rPr>
          <w:rFonts w:hAnsi="宋体"/>
          <w:b/>
          <w:sz w:val="24"/>
        </w:rPr>
      </w:pPr>
      <w:r>
        <w:rPr>
          <w:rFonts w:hint="eastAsia" w:hAnsi="宋体"/>
          <w:b/>
          <w:sz w:val="36"/>
          <w:szCs w:val="36"/>
        </w:rPr>
        <w:t>第</w:t>
      </w:r>
      <w:r>
        <w:rPr>
          <w:rFonts w:hint="eastAsia" w:hAnsi="宋体"/>
          <w:b/>
          <w:sz w:val="36"/>
          <w:szCs w:val="36"/>
          <w:lang w:eastAsia="zh-CN"/>
        </w:rPr>
        <w:t>三</w:t>
      </w:r>
      <w:r>
        <w:rPr>
          <w:rFonts w:hint="eastAsia" w:hAnsi="宋体"/>
          <w:b/>
          <w:sz w:val="36"/>
          <w:szCs w:val="36"/>
        </w:rPr>
        <w:t>章  磋商响应供应商须知</w:t>
      </w:r>
    </w:p>
    <w:p>
      <w:pPr>
        <w:pStyle w:val="8"/>
        <w:spacing w:line="360" w:lineRule="auto"/>
        <w:jc w:val="center"/>
        <w:rPr>
          <w:rFonts w:asciiTheme="minorEastAsia" w:hAnsiTheme="minorEastAsia"/>
          <w:b/>
          <w:sz w:val="32"/>
          <w:szCs w:val="32"/>
        </w:rPr>
      </w:pPr>
      <w:r>
        <w:rPr>
          <w:rFonts w:hint="eastAsia" w:asciiTheme="minorEastAsia" w:hAnsiTheme="minorEastAsia"/>
          <w:b/>
          <w:sz w:val="32"/>
          <w:szCs w:val="32"/>
        </w:rPr>
        <w:t>一、</w:t>
      </w:r>
      <w:r>
        <w:rPr>
          <w:rFonts w:asciiTheme="minorEastAsia" w:hAnsiTheme="minorEastAsia"/>
          <w:b/>
          <w:sz w:val="32"/>
          <w:szCs w:val="32"/>
        </w:rPr>
        <w:t>说明</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1.适用范围</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1.1本磋商文件仅适用于邀请中所叙述项目的货物</w:t>
      </w:r>
      <w:r>
        <w:rPr>
          <w:rFonts w:hint="eastAsia" w:asciiTheme="minorEastAsia" w:hAnsiTheme="minorEastAsia"/>
          <w:sz w:val="24"/>
          <w:szCs w:val="24"/>
        </w:rPr>
        <w:t>、</w:t>
      </w:r>
      <w:r>
        <w:rPr>
          <w:rFonts w:asciiTheme="minorEastAsia" w:hAnsiTheme="minorEastAsia"/>
          <w:sz w:val="24"/>
          <w:szCs w:val="24"/>
        </w:rPr>
        <w:t>服务</w:t>
      </w:r>
      <w:r>
        <w:rPr>
          <w:rFonts w:hint="eastAsia" w:asciiTheme="minorEastAsia" w:hAnsiTheme="minorEastAsia"/>
          <w:sz w:val="24"/>
          <w:szCs w:val="24"/>
        </w:rPr>
        <w:t>及工程</w:t>
      </w:r>
      <w:r>
        <w:rPr>
          <w:rFonts w:asciiTheme="minorEastAsia" w:hAnsiTheme="minorEastAsia"/>
          <w:sz w:val="24"/>
          <w:szCs w:val="24"/>
        </w:rPr>
        <w:t>采购。</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2.定义</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2.1 “采购人”系指</w:t>
      </w:r>
      <w:r>
        <w:rPr>
          <w:rFonts w:hint="eastAsia" w:asciiTheme="minorEastAsia" w:hAnsiTheme="minorEastAsia"/>
          <w:sz w:val="24"/>
          <w:szCs w:val="24"/>
          <w:lang w:eastAsia="zh-CN"/>
        </w:rPr>
        <w:t>铜仁市财政局</w:t>
      </w:r>
      <w:r>
        <w:rPr>
          <w:rFonts w:hint="eastAsia" w:asciiTheme="minorEastAsia" w:hAnsiTheme="minorEastAsia"/>
          <w:sz w:val="24"/>
          <w:szCs w:val="24"/>
        </w:rPr>
        <w:t>。是采购活动当事人之一，负责项目的整体规划、技术方案可行性设计论证与实施，作为合同采购方(用户)的主体承担质疑回复、履行合同、验收等义务。</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2.2 “采购单位”系指组织本次采购活动的采购人或采购代理机构。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4</w:t>
      </w:r>
      <w:r>
        <w:rPr>
          <w:rFonts w:asciiTheme="minorEastAsia" w:hAnsiTheme="minorEastAsia"/>
          <w:sz w:val="24"/>
          <w:szCs w:val="24"/>
        </w:rPr>
        <w:t xml:space="preserve"> “磋商响应供应商”系指</w:t>
      </w:r>
      <w:r>
        <w:rPr>
          <w:rFonts w:hint="eastAsia" w:asciiTheme="minorEastAsia" w:hAnsiTheme="minorEastAsia"/>
          <w:sz w:val="24"/>
          <w:szCs w:val="24"/>
        </w:rPr>
        <w:t>购买了本磋商文件，且已经</w:t>
      </w:r>
      <w:r>
        <w:rPr>
          <w:rFonts w:asciiTheme="minorEastAsia" w:hAnsiTheme="minorEastAsia"/>
          <w:sz w:val="24"/>
          <w:szCs w:val="24"/>
        </w:rPr>
        <w:t>提交</w:t>
      </w:r>
      <w:r>
        <w:rPr>
          <w:rFonts w:hint="eastAsia" w:asciiTheme="minorEastAsia" w:hAnsiTheme="minorEastAsia"/>
          <w:sz w:val="24"/>
          <w:szCs w:val="24"/>
        </w:rPr>
        <w:t>或准备提交</w:t>
      </w:r>
      <w:r>
        <w:rPr>
          <w:rFonts w:asciiTheme="minorEastAsia" w:hAnsiTheme="minorEastAsia"/>
          <w:sz w:val="24"/>
          <w:szCs w:val="24"/>
        </w:rPr>
        <w:t>响应文件的</w:t>
      </w:r>
      <w:r>
        <w:rPr>
          <w:rFonts w:hint="eastAsia" w:asciiTheme="minorEastAsia" w:hAnsiTheme="minorEastAsia"/>
          <w:sz w:val="24"/>
          <w:szCs w:val="24"/>
        </w:rPr>
        <w:t>供货商、服务商或承包商</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5</w:t>
      </w:r>
      <w:r>
        <w:rPr>
          <w:rFonts w:asciiTheme="minorEastAsia" w:hAnsiTheme="minorEastAsia"/>
          <w:sz w:val="24"/>
          <w:szCs w:val="24"/>
        </w:rPr>
        <w:t xml:space="preserve"> “货物”系指</w:t>
      </w:r>
      <w:r>
        <w:rPr>
          <w:rFonts w:hint="eastAsia" w:asciiTheme="minorEastAsia" w:hAnsiTheme="minorEastAsia"/>
          <w:sz w:val="24"/>
          <w:szCs w:val="24"/>
        </w:rPr>
        <w:t>指各种形态和和种类的物品，包括原材料、燃料、设备、产品等。</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3.合格的磋商响应供应商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asciiTheme="minorEastAsia" w:hAnsiTheme="minorEastAsia"/>
          <w:sz w:val="24"/>
          <w:szCs w:val="24"/>
        </w:rPr>
        <w:t>3.1 凡</w:t>
      </w:r>
      <w:r>
        <w:rPr>
          <w:rFonts w:hint="eastAsia" w:asciiTheme="minorEastAsia" w:hAnsiTheme="minorEastAsia"/>
          <w:sz w:val="24"/>
          <w:szCs w:val="24"/>
        </w:rPr>
        <w:t>有能力提供本磋商文件所述货物、服务及工程的，符合本磋商文件规定资格要求的供应商均可能成为合格的磋商响应供应商。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磋商响应供应商具备《中华人民共和国政府采购法》第二十二条第一款规定的条件，应提供以下材料：</w:t>
      </w:r>
    </w:p>
    <w:p>
      <w:pPr>
        <w:keepNext w:val="0"/>
        <w:keepLines w:val="0"/>
        <w:pageBreakBefore w:val="0"/>
        <w:kinsoku/>
        <w:wordWrap/>
        <w:overflowPunct/>
        <w:topLinePunct w:val="0"/>
        <w:autoSpaceDE/>
        <w:autoSpaceDN/>
        <w:bidi w:val="0"/>
        <w:adjustRightInd/>
        <w:spacing w:line="400" w:lineRule="exact"/>
        <w:ind w:right="0" w:rightChars="0" w:firstLine="480"/>
        <w:textAlignment w:val="auto"/>
        <w:rPr>
          <w:rFonts w:asciiTheme="minorEastAsia" w:hAnsiTheme="minorEastAsia"/>
          <w:sz w:val="24"/>
          <w:szCs w:val="24"/>
        </w:rPr>
      </w:pPr>
      <w:r>
        <w:rPr>
          <w:rFonts w:hint="eastAsia" w:asciiTheme="minorEastAsia" w:hAnsiTheme="minorEastAsia"/>
          <w:sz w:val="24"/>
          <w:szCs w:val="24"/>
        </w:rPr>
        <w:t>（1）法人或者其他组织的营业执照等证明文件，自然人的身份证明；</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（2）财务状况报告，依法缴纳税收和社会保障资金的相关材料；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（3）具备履行合同所必需的设备和专业技术能力的证明材料；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（4）参加政府采购活动前3年内在经营活动中没有重大违法记录的书面声明；</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（5）具备法律、行政法规规定的其他条件的证明材料。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3.2 磋商响应供应商应遵守有关法律、法规和规章的规定，同时其响应货物或服务也应符合有关法律、法规和规章的规定。</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3.3经中国政府采购网失信信息查询，有失信信息记录且在禁止参加政府采购活动处罚期间内的供应商不能成为合格响应供应商将取消成交候选资格。</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3.4一个磋商响应供应商只能提交一个响应文件。如果磋商响应供应商之间存在下列互为关联关系的情形之一的，不得同时参加本项目同一合同包响应：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 法定代表人、单位负责人为同一人或夫妻关系的不同供应商；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 存在直接控股、管理关系的不同供应商；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 均为同一家母公司直接或间接持股50％及以上的被投资公司。</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3.5 磋商响应供应商不得与本次磋商项下设计、编制技术规格和其他文件的公司或提供咨询服务的公司包括其附属机构有任何关联。 </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3.6若接受联合体磋商，则两个或者两个以上磋商响应供应商可以组成一个响应联合体，以一个磋商响应供应商的身份响应。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以联合体形式参加磋商的，联合体各方均应当符合合格的磋商响应供应商相关规定。采购人根据采购项目的特殊要求规定磋商响应供应商特定条件的，联合体各方中至少应当有一方符合采购人规定的全部特定条件，如联合体各方中没有一方符合全部特定条件的，该联合体响应无效。</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联合体各方之间应当签订共同响应协议，明确约定联合体各方承担的工作和相应的责任，并将共同响应协议连同响应文件一并提交采购代理机构。联合体各方签订共同磋商协议后，不得再以自己名义单独在同一项目中响应，也不得组成新的联合体参加同一项目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以联合体形式响应的，除本竞争性磋商采购文件其他章节或本须知其他条款另有规定或要求外，响应文件中仅加盖联合体一方公章的相关文件，对联合体各方均具有约束力。</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（3）项目如涉及资质要求，该部分内容应由联合体中具有该资质要求的供应商承担。联合体协议及签订的采购合同应包含此项内容。</w:t>
      </w:r>
    </w:p>
    <w:p>
      <w:pPr>
        <w:keepNext w:val="0"/>
        <w:keepLines w:val="0"/>
        <w:pageBreakBefore w:val="0"/>
        <w:kinsoku/>
        <w:wordWrap/>
        <w:overflowPunct/>
        <w:topLinePunct w:val="0"/>
        <w:autoSpaceDE/>
        <w:autoSpaceDN/>
        <w:bidi w:val="0"/>
        <w:adjustRightInd/>
        <w:spacing w:line="400" w:lineRule="exact"/>
        <w:ind w:right="0" w:rightChars="0" w:firstLine="600" w:firstLineChars="250"/>
        <w:textAlignment w:val="auto"/>
        <w:rPr>
          <w:rFonts w:asciiTheme="minorEastAsia" w:hAnsiTheme="minorEastAsia"/>
          <w:sz w:val="24"/>
          <w:szCs w:val="24"/>
        </w:rPr>
      </w:pPr>
      <w:r>
        <w:rPr>
          <w:rFonts w:hint="eastAsia" w:asciiTheme="minorEastAsia" w:hAnsiTheme="minorEastAsia"/>
          <w:sz w:val="24"/>
          <w:szCs w:val="24"/>
        </w:rPr>
        <w:t>(4)联合体中有同类资质的供应商按照联合体分工承担相同工作的，应当按照资质等级较低的供应商确定资质等级。</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3.7磋商代理人在同一个项目中只能接受一个磋商响应供应商的委托参加磋商响应。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3.8磋商响应供应商存在下列情形之一的，将被认定为串通响应行为并作无效响应处理：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（1）磋商响应供应商之间协商磋商报价等磋商文件的实质性内容；</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（2）磋商响应供应商之间约定成交供应商；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（3）磋商响应供应商之间约定部分磋商响应供应商放弃磋商响应或者成交；</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（4）属于同一集团、协会、商会等组织成员的磋商响应供应商按照该组织要求协同磋商响应；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（5）磋商响应供应商之间为谋取成交或者排斥特定磋商响应供应商而采取的其他联合行动；</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（6）不同磋商响应供应商的响应文件由同一单位或者个人编制；</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（7）不同磋商响应供应商委托同一单位或者个人办理磋商响应事宜；</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（8）不同磋商响应供应商的响应文件载明的项目管理成员为同一人；</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（9）不同磋商响应供应商的响应文件异常一致或者报价呈规律性差异；</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（10）不同磋商响应供应商的响应文件相互混装；</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color w:val="000000"/>
          <w:sz w:val="24"/>
          <w:szCs w:val="24"/>
        </w:rPr>
        <w:t>（11）不同磋商响应供应商的磋商保证金从同一单位或者个人的账户转出。</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（12）不同磋商响应供应商的响应文件错、漏之处一致或雷同，且不能合理解释的；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（13）不同的磋商响应供应商的法定代表人、委托代理人等由同一个单位缴纳社会保险的；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（15）有关法律、法规或规章规定的其他串通行为。</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4.磋商费用</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4.1 磋商响应供应商应承担其准备与参加磋商所涉及的一切费用。</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5.知识产权</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5.1 磋商响应供应商应保证在本项目使用任何产品或其任何一部分时，不会产生因第三方提出侵犯其专利权、商标权或其它知识产权而引起的法律和经济责任。因此产生的法律和经济责任由磋商响应供应商承担。</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5.2如响应供应商不拥有相应的知识产权，则在报价中必须包括合法获取该知识产权的相关费用。</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asciiTheme="minorEastAsia" w:hAnsiTheme="minorEastAsia"/>
          <w:b/>
          <w:sz w:val="32"/>
          <w:szCs w:val="32"/>
        </w:rPr>
      </w:pPr>
      <w:r>
        <w:rPr>
          <w:rFonts w:hint="eastAsia" w:asciiTheme="minorEastAsia" w:hAnsiTheme="minorEastAsia"/>
          <w:b/>
          <w:sz w:val="32"/>
          <w:szCs w:val="32"/>
        </w:rPr>
        <w:t>二、</w:t>
      </w:r>
      <w:r>
        <w:rPr>
          <w:rFonts w:asciiTheme="minorEastAsia" w:hAnsiTheme="minorEastAsia"/>
          <w:b/>
          <w:sz w:val="32"/>
          <w:szCs w:val="32"/>
        </w:rPr>
        <w:t xml:space="preserve"> </w:t>
      </w:r>
      <w:r>
        <w:rPr>
          <w:rFonts w:hint="eastAsia" w:asciiTheme="minorEastAsia" w:hAnsiTheme="minorEastAsia"/>
          <w:b/>
          <w:sz w:val="32"/>
          <w:szCs w:val="32"/>
        </w:rPr>
        <w:t>磋商文件</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6.磋商文件的组成</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6.1磋商文件用以阐明所需货物及服务、磋商程序和合同格式及条款。磋商文件由下述部分组成：</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宋体" w:hAnsi="宋体" w:eastAsia="宋体" w:cs="Times New Roman"/>
          <w:kern w:val="2"/>
          <w:sz w:val="24"/>
          <w:szCs w:val="24"/>
          <w:lang w:val="en-US" w:eastAsia="zh-CN" w:bidi="ar"/>
        </w:rPr>
      </w:pPr>
      <w:r>
        <w:rPr>
          <w:rFonts w:asciiTheme="minorEastAsia" w:hAnsiTheme="minorEastAsia"/>
          <w:sz w:val="24"/>
          <w:szCs w:val="24"/>
        </w:rPr>
        <w:t xml:space="preserve">  </w:t>
      </w:r>
      <w:r>
        <w:rPr>
          <w:rFonts w:hint="eastAsia" w:ascii="宋体" w:hAnsi="宋体" w:eastAsia="宋体" w:cs="Times New Roman"/>
          <w:kern w:val="2"/>
          <w:sz w:val="24"/>
          <w:szCs w:val="24"/>
          <w:lang w:val="en-US" w:eastAsia="zh-CN" w:bidi="ar"/>
        </w:rPr>
        <w:t>（1）磋商邀请函</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宋体" w:hAnsi="宋体" w:eastAsia="宋体" w:cs="Times New Roman"/>
          <w:kern w:val="2"/>
          <w:sz w:val="24"/>
          <w:szCs w:val="24"/>
          <w:lang w:val="en-US" w:eastAsia="zh-CN" w:bidi="ar"/>
        </w:rPr>
      </w:pPr>
      <w:r>
        <w:rPr>
          <w:rFonts w:hint="default" w:ascii="宋体" w:hAnsi="宋体" w:eastAsia="宋体" w:cs="Times New Roman"/>
          <w:kern w:val="2"/>
          <w:sz w:val="24"/>
          <w:szCs w:val="24"/>
          <w:lang w:val="en-US" w:eastAsia="zh-CN" w:bidi="ar"/>
        </w:rPr>
        <w:t xml:space="preserve">  </w:t>
      </w:r>
      <w:r>
        <w:rPr>
          <w:rFonts w:hint="eastAsia" w:ascii="宋体" w:hAnsi="宋体" w:eastAsia="宋体" w:cs="Times New Roman"/>
          <w:kern w:val="2"/>
          <w:sz w:val="24"/>
          <w:szCs w:val="24"/>
          <w:lang w:val="en-US" w:eastAsia="zh-CN" w:bidi="ar"/>
        </w:rPr>
        <w:t>（</w:t>
      </w:r>
      <w:r>
        <w:rPr>
          <w:rFonts w:hint="default" w:ascii="宋体" w:hAnsi="宋体" w:eastAsia="宋体" w:cs="Times New Roman"/>
          <w:kern w:val="2"/>
          <w:sz w:val="24"/>
          <w:szCs w:val="24"/>
          <w:lang w:val="en-US" w:eastAsia="zh-CN" w:bidi="ar"/>
        </w:rPr>
        <w:t>2</w:t>
      </w:r>
      <w:r>
        <w:rPr>
          <w:rFonts w:hint="eastAsia" w:ascii="宋体" w:hAnsi="宋体" w:eastAsia="宋体" w:cs="Times New Roman"/>
          <w:kern w:val="2"/>
          <w:sz w:val="24"/>
          <w:szCs w:val="24"/>
          <w:lang w:val="en-US" w:eastAsia="zh-CN" w:bidi="ar"/>
        </w:rPr>
        <w:t>）磋商响应供应商须知</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40" w:firstLineChars="100"/>
        <w:jc w:val="left"/>
        <w:textAlignment w:val="auto"/>
        <w:outlineLvl w:val="9"/>
        <w:rPr>
          <w:rFonts w:hint="eastAsia" w:ascii="宋体" w:hAnsi="宋体" w:eastAsia="宋体" w:cs="Times New Roman"/>
          <w:kern w:val="2"/>
          <w:sz w:val="24"/>
          <w:szCs w:val="24"/>
          <w:lang w:val="en-US" w:eastAsia="zh-CN" w:bidi="ar"/>
        </w:rPr>
      </w:pPr>
      <w:r>
        <w:rPr>
          <w:rFonts w:hint="eastAsia" w:eastAsia="宋体" w:cs="Times New Roman"/>
          <w:kern w:val="2"/>
          <w:sz w:val="24"/>
          <w:szCs w:val="24"/>
          <w:lang w:val="en-US" w:eastAsia="zh-CN" w:bidi="ar"/>
        </w:rPr>
        <w:t>（3）</w:t>
      </w:r>
      <w:r>
        <w:rPr>
          <w:rFonts w:hint="eastAsia" w:ascii="宋体" w:hAnsi="宋体" w:eastAsia="宋体" w:cs="Times New Roman"/>
          <w:kern w:val="2"/>
          <w:sz w:val="24"/>
          <w:szCs w:val="24"/>
          <w:lang w:val="en-US" w:eastAsia="zh-CN" w:bidi="ar"/>
        </w:rPr>
        <w:t>磋商响应供应商须知正文部分</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hint="eastAsia" w:ascii="宋体" w:hAnsi="宋体" w:eastAsia="宋体" w:cs="Times New Roman"/>
          <w:kern w:val="2"/>
          <w:sz w:val="24"/>
          <w:szCs w:val="24"/>
          <w:lang w:val="en-US" w:eastAsia="zh-CN" w:bidi="ar"/>
        </w:rPr>
      </w:pPr>
      <w:r>
        <w:rPr>
          <w:rFonts w:hint="eastAsia" w:eastAsia="宋体" w:cs="Times New Roman"/>
          <w:kern w:val="2"/>
          <w:sz w:val="24"/>
          <w:szCs w:val="24"/>
          <w:lang w:val="en-US" w:eastAsia="zh-CN" w:bidi="ar"/>
        </w:rPr>
        <w:t>（4）</w:t>
      </w:r>
      <w:r>
        <w:rPr>
          <w:rFonts w:hint="eastAsia" w:ascii="宋体" w:hAnsi="宋体" w:eastAsia="宋体" w:cs="Times New Roman"/>
          <w:kern w:val="2"/>
          <w:sz w:val="24"/>
          <w:szCs w:val="24"/>
          <w:lang w:val="en-US" w:eastAsia="zh-CN" w:bidi="ar"/>
        </w:rPr>
        <w:t>采购内容及要求</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40" w:firstLineChars="100"/>
        <w:jc w:val="left"/>
        <w:textAlignment w:val="auto"/>
        <w:outlineLvl w:val="9"/>
        <w:rPr>
          <w:rFonts w:hAnsi="宋体"/>
          <w:sz w:val="24"/>
          <w:szCs w:val="24"/>
          <w:lang w:val="en-US"/>
        </w:rPr>
      </w:pPr>
      <w:r>
        <w:rPr>
          <w:rFonts w:hint="eastAsia" w:eastAsia="宋体" w:cs="Times New Roman"/>
          <w:kern w:val="2"/>
          <w:sz w:val="24"/>
          <w:szCs w:val="24"/>
          <w:lang w:val="en-US" w:eastAsia="zh-CN" w:bidi="ar"/>
        </w:rPr>
        <w:t>（5）</w:t>
      </w:r>
      <w:r>
        <w:rPr>
          <w:rFonts w:hint="eastAsia" w:ascii="宋体" w:hAnsi="宋体" w:eastAsia="宋体" w:cs="Times New Roman"/>
          <w:color w:val="auto"/>
          <w:kern w:val="2"/>
          <w:sz w:val="24"/>
          <w:szCs w:val="24"/>
          <w:lang w:val="en-US" w:eastAsia="zh-CN" w:bidi="ar"/>
        </w:rPr>
        <w:t>政府采购合同</w:t>
      </w:r>
      <w:r>
        <w:rPr>
          <w:rFonts w:hint="eastAsia" w:eastAsia="宋体" w:cs="Times New Roman"/>
          <w:color w:val="auto"/>
          <w:kern w:val="2"/>
          <w:sz w:val="24"/>
          <w:szCs w:val="24"/>
          <w:lang w:val="en-US" w:eastAsia="zh-CN" w:bidi="ar"/>
        </w:rPr>
        <w:tab/>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asciiTheme="minorEastAsia" w:hAnsiTheme="minorEastAsia"/>
          <w:sz w:val="24"/>
          <w:szCs w:val="24"/>
        </w:rPr>
      </w:pPr>
      <w:r>
        <w:rPr>
          <w:rFonts w:hint="eastAsia" w:eastAsia="宋体" w:cs="Times New Roman"/>
          <w:kern w:val="2"/>
          <w:sz w:val="24"/>
          <w:szCs w:val="24"/>
          <w:lang w:val="en-US" w:eastAsia="zh-CN" w:bidi="ar"/>
        </w:rPr>
        <w:t>（6）</w:t>
      </w:r>
      <w:r>
        <w:rPr>
          <w:rFonts w:hint="eastAsia" w:ascii="宋体" w:hAnsi="宋体" w:eastAsia="宋体" w:cs="Times New Roman"/>
          <w:kern w:val="2"/>
          <w:sz w:val="24"/>
          <w:szCs w:val="24"/>
          <w:lang w:val="en-US" w:eastAsia="zh-CN" w:bidi="ar"/>
        </w:rPr>
        <w:t>磋商响应文件格式</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7.</w:t>
      </w:r>
      <w:r>
        <w:rPr>
          <w:rFonts w:hint="eastAsia" w:asciiTheme="minorEastAsia" w:hAnsiTheme="minorEastAsia"/>
          <w:b/>
          <w:sz w:val="24"/>
          <w:szCs w:val="24"/>
        </w:rPr>
        <w:t>磋商文件的澄清与修改</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Chars="175"/>
        <w:textAlignment w:val="auto"/>
        <w:outlineLvl w:val="0"/>
        <w:rPr>
          <w:rFonts w:asciiTheme="minorEastAsia" w:hAnsiTheme="minorEastAsia"/>
          <w:bCs/>
          <w:color w:val="000000"/>
          <w:sz w:val="24"/>
          <w:szCs w:val="24"/>
        </w:rPr>
      </w:pPr>
      <w:r>
        <w:rPr>
          <w:rFonts w:hint="eastAsia" w:asciiTheme="minorEastAsia" w:hAnsiTheme="minorEastAsia"/>
          <w:sz w:val="24"/>
          <w:szCs w:val="24"/>
        </w:rPr>
        <w:t>7.1</w:t>
      </w:r>
      <w:r>
        <w:rPr>
          <w:rFonts w:hint="eastAsia" w:asciiTheme="minorEastAsia" w:hAnsiTheme="minorEastAsia"/>
          <w:bCs/>
          <w:color w:val="000000"/>
          <w:sz w:val="24"/>
          <w:szCs w:val="24"/>
        </w:rPr>
        <w:t>至磋商响应截止时间5日（如至原定截止时间不足5日，则需延长截止时间）前，</w:t>
      </w:r>
      <w:r>
        <w:rPr>
          <w:rFonts w:hint="eastAsia" w:asciiTheme="minorEastAsia" w:hAnsiTheme="minorEastAsia"/>
          <w:sz w:val="24"/>
          <w:szCs w:val="24"/>
        </w:rPr>
        <w:t>采购代理代理机构</w:t>
      </w:r>
      <w:r>
        <w:rPr>
          <w:rFonts w:hint="eastAsia" w:asciiTheme="minorEastAsia" w:hAnsiTheme="minorEastAsia"/>
          <w:bCs/>
          <w:color w:val="000000"/>
          <w:sz w:val="24"/>
          <w:szCs w:val="24"/>
        </w:rPr>
        <w:t>可主动或依供应商要求澄清的问题修改磋商文件，但应当</w:t>
      </w:r>
      <w:r>
        <w:rPr>
          <w:rFonts w:hint="eastAsia" w:asciiTheme="minorEastAsia" w:hAnsiTheme="minorEastAsia"/>
          <w:sz w:val="24"/>
          <w:szCs w:val="24"/>
        </w:rPr>
        <w:t>在原信息发布媒体上发布更正公告，</w:t>
      </w:r>
      <w:r>
        <w:rPr>
          <w:rFonts w:hint="eastAsia" w:asciiTheme="minorEastAsia" w:hAnsiTheme="minorEastAsia"/>
          <w:bCs/>
          <w:color w:val="000000"/>
          <w:sz w:val="24"/>
          <w:szCs w:val="24"/>
        </w:rPr>
        <w:t>并以书面形式通知所有磋商文件收受人，供应商在收到该通知后应当立即以传真形式予以确认</w:t>
      </w:r>
      <w:r>
        <w:rPr>
          <w:rFonts w:hint="eastAsia" w:asciiTheme="minorEastAsia" w:hAnsiTheme="minorEastAsia"/>
          <w:sz w:val="24"/>
          <w:szCs w:val="24"/>
        </w:rPr>
        <w:t>（如属网上采购项目</w:t>
      </w:r>
      <w:r>
        <w:rPr>
          <w:rFonts w:hint="eastAsia" w:asciiTheme="minorEastAsia" w:hAnsiTheme="minorEastAsia"/>
          <w:bCs/>
          <w:color w:val="000000"/>
          <w:sz w:val="24"/>
          <w:szCs w:val="24"/>
        </w:rPr>
        <w:t>，在采购公告原发布媒体及实施网上采购的网站发布更正公告，不再书面答复）。</w:t>
      </w:r>
      <w:r>
        <w:rPr>
          <w:rFonts w:hint="eastAsia" w:asciiTheme="minorEastAsia" w:hAnsiTheme="minorEastAsia"/>
          <w:sz w:val="24"/>
          <w:szCs w:val="24"/>
        </w:rPr>
        <w:t>该修改内容为磋商文件的组成部分，对供应商具有约束力。但</w:t>
      </w:r>
      <w:r>
        <w:rPr>
          <w:rFonts w:hint="eastAsia" w:asciiTheme="minorEastAsia" w:hAnsiTheme="minorEastAsia"/>
          <w:bCs/>
          <w:color w:val="000000"/>
          <w:sz w:val="24"/>
          <w:szCs w:val="24"/>
        </w:rPr>
        <w:t>本磋商文件第7.2条规定的推迟响应截止时间情形不受本条约束。</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Chars="175"/>
        <w:textAlignment w:val="auto"/>
        <w:outlineLvl w:val="0"/>
        <w:rPr>
          <w:rFonts w:asciiTheme="minorEastAsia" w:hAnsiTheme="minorEastAsia"/>
          <w:sz w:val="24"/>
          <w:szCs w:val="24"/>
        </w:rPr>
      </w:pPr>
      <w:r>
        <w:rPr>
          <w:rFonts w:hint="eastAsia" w:asciiTheme="minorEastAsia" w:hAnsiTheme="minorEastAsia"/>
          <w:sz w:val="24"/>
          <w:szCs w:val="24"/>
        </w:rPr>
        <w:t>7.2为使供应商在准备响应文件时有合理的时间考虑响应文件的修改，采购代理机构可酌情推迟磋商响应截止时间，但应当至少在截止时间3个工作日前将变更时间以书面形式通知所有获取磋商文件的供应商，该修改内容为磋商文件的组成部分。在此情况下，采购人和供应商受磋商响应截止期制约的所有权利和义务均应延长至新的截止日期。</w:t>
      </w: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r>
        <w:rPr>
          <w:rFonts w:hint="eastAsia" w:asciiTheme="minorEastAsia" w:hAnsiTheme="minorEastAsia"/>
          <w:b/>
          <w:sz w:val="32"/>
          <w:szCs w:val="32"/>
        </w:rPr>
        <w:t>三、响应文件的编写</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8.要求</w:t>
      </w:r>
    </w:p>
    <w:p>
      <w:pPr>
        <w:pStyle w:val="8"/>
        <w:keepNext w:val="0"/>
        <w:keepLines w:val="0"/>
        <w:pageBreakBefore w:val="0"/>
        <w:kinsoku/>
        <w:wordWrap/>
        <w:overflowPunct/>
        <w:topLinePunct w:val="0"/>
        <w:autoSpaceDE/>
        <w:autoSpaceDN/>
        <w:bidi w:val="0"/>
        <w:adjustRightInd/>
        <w:spacing w:line="400" w:lineRule="exact"/>
        <w:ind w:right="0" w:rightChars="0" w:firstLine="480"/>
        <w:jc w:val="left"/>
        <w:textAlignment w:val="auto"/>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.1磋商响应供应商应仔细阅读磋商文件的所有内容，按磋商文件的要求提供响应文件，</w:t>
      </w:r>
      <w:r>
        <w:rPr>
          <w:rFonts w:hint="eastAsia" w:asciiTheme="minorEastAsia" w:hAnsiTheme="minorEastAsia"/>
          <w:sz w:val="24"/>
          <w:szCs w:val="24"/>
        </w:rPr>
        <w:t>响应文件应对磋商文件的要求作出实质性响应，</w:t>
      </w:r>
      <w:r>
        <w:rPr>
          <w:rFonts w:asciiTheme="minorEastAsia" w:hAnsiTheme="minorEastAsia"/>
          <w:sz w:val="24"/>
          <w:szCs w:val="24"/>
        </w:rPr>
        <w:t>并保证所提供的全部资料的真实性，否则其响应文件可被作</w:t>
      </w:r>
      <w:r>
        <w:rPr>
          <w:rFonts w:hint="eastAsia" w:asciiTheme="minorEastAsia" w:hAnsiTheme="minorEastAsia"/>
          <w:sz w:val="24"/>
          <w:szCs w:val="24"/>
        </w:rPr>
        <w:t>响应</w:t>
      </w:r>
      <w:r>
        <w:rPr>
          <w:rFonts w:asciiTheme="minorEastAsia" w:hAnsiTheme="minorEastAsia"/>
          <w:sz w:val="24"/>
          <w:szCs w:val="24"/>
        </w:rPr>
        <w:t>无效处理。</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8.2除非有另外的规定，磋商响应供应商应按被邀请参加</w:t>
      </w:r>
      <w:r>
        <w:rPr>
          <w:rFonts w:hint="eastAsia" w:asciiTheme="minorEastAsia" w:hAnsiTheme="minorEastAsia"/>
          <w:sz w:val="24"/>
          <w:szCs w:val="24"/>
        </w:rPr>
        <w:t>响应</w:t>
      </w:r>
      <w:r>
        <w:rPr>
          <w:rFonts w:asciiTheme="minorEastAsia" w:hAnsiTheme="minorEastAsia"/>
          <w:sz w:val="24"/>
          <w:szCs w:val="24"/>
        </w:rPr>
        <w:t>的合同包进行报价，同时，应对所报价合同包下的所有品目号进行报价。采购</w:t>
      </w:r>
      <w:r>
        <w:rPr>
          <w:rFonts w:hint="eastAsia" w:asciiTheme="minorEastAsia" w:hAnsiTheme="minorEastAsia"/>
          <w:sz w:val="24"/>
          <w:szCs w:val="24"/>
        </w:rPr>
        <w:t>人</w:t>
      </w:r>
      <w:r>
        <w:rPr>
          <w:rFonts w:asciiTheme="minorEastAsia" w:hAnsiTheme="minorEastAsia"/>
          <w:sz w:val="24"/>
          <w:szCs w:val="24"/>
        </w:rPr>
        <w:t>不接受有任何可选择性的报价，每一种货物</w:t>
      </w:r>
      <w:r>
        <w:rPr>
          <w:rFonts w:hint="eastAsia" w:asciiTheme="minorEastAsia" w:hAnsiTheme="minorEastAsia"/>
          <w:sz w:val="24"/>
          <w:szCs w:val="24"/>
        </w:rPr>
        <w:t>、服务、工程</w:t>
      </w:r>
      <w:r>
        <w:rPr>
          <w:rFonts w:asciiTheme="minorEastAsia" w:hAnsiTheme="minorEastAsia"/>
          <w:sz w:val="24"/>
          <w:szCs w:val="24"/>
        </w:rPr>
        <w:t>只能有一个报价。</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9.磋商响应文件语言及报价要求</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b/>
          <w:sz w:val="24"/>
          <w:szCs w:val="24"/>
        </w:rPr>
      </w:pPr>
      <w:r>
        <w:rPr>
          <w:rFonts w:hint="eastAsia" w:asciiTheme="minorEastAsia" w:hAnsiTheme="minorEastAsia"/>
          <w:sz w:val="24"/>
          <w:szCs w:val="24"/>
        </w:rPr>
        <w:t>9</w:t>
      </w:r>
      <w:r>
        <w:rPr>
          <w:rFonts w:asciiTheme="minorEastAsia" w:hAnsiTheme="minorEastAsia"/>
          <w:sz w:val="24"/>
          <w:szCs w:val="24"/>
        </w:rPr>
        <w:t>.1</w:t>
      </w:r>
      <w:r>
        <w:rPr>
          <w:rFonts w:hint="eastAsia" w:asciiTheme="minorEastAsia" w:hAnsiTheme="minorEastAsia"/>
          <w:sz w:val="24"/>
          <w:szCs w:val="24"/>
        </w:rPr>
        <w:t>磋商</w:t>
      </w:r>
      <w:r>
        <w:rPr>
          <w:rFonts w:asciiTheme="minorEastAsia" w:hAnsiTheme="minorEastAsia"/>
          <w:sz w:val="24"/>
          <w:szCs w:val="24"/>
        </w:rPr>
        <w:t>响应文件应用中文书写。</w:t>
      </w:r>
      <w:r>
        <w:rPr>
          <w:rFonts w:hint="eastAsia" w:asciiTheme="minorEastAsia" w:hAnsiTheme="minorEastAsia"/>
          <w:sz w:val="24"/>
          <w:szCs w:val="24"/>
        </w:rPr>
        <w:t>响应文件中所附或所引用的原件不是中文时，应附中文译文。各种计量单位及符号应采用国际上统一使用的公制计量单位和符号。</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10</w:t>
      </w:r>
      <w:r>
        <w:rPr>
          <w:rFonts w:asciiTheme="minorEastAsia" w:hAnsiTheme="minorEastAsia"/>
          <w:b/>
          <w:sz w:val="24"/>
          <w:szCs w:val="24"/>
        </w:rPr>
        <w:t>.</w:t>
      </w:r>
      <w:r>
        <w:rPr>
          <w:rFonts w:hint="eastAsia" w:asciiTheme="minorEastAsia" w:hAnsiTheme="minorEastAsia"/>
          <w:b/>
          <w:sz w:val="24"/>
          <w:szCs w:val="24"/>
        </w:rPr>
        <w:t>磋商</w:t>
      </w:r>
      <w:r>
        <w:rPr>
          <w:rFonts w:asciiTheme="minorEastAsia" w:hAnsiTheme="minorEastAsia"/>
          <w:b/>
          <w:sz w:val="24"/>
          <w:szCs w:val="24"/>
        </w:rPr>
        <w:t>响应文件的组成</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10</w:t>
      </w:r>
      <w:r>
        <w:rPr>
          <w:rFonts w:asciiTheme="minorEastAsia" w:hAnsiTheme="minorEastAsia"/>
          <w:sz w:val="24"/>
          <w:szCs w:val="24"/>
        </w:rPr>
        <w:t>.1</w:t>
      </w:r>
      <w:r>
        <w:rPr>
          <w:rFonts w:hint="eastAsia" w:asciiTheme="minorEastAsia" w:hAnsiTheme="minorEastAsia"/>
          <w:sz w:val="24"/>
          <w:szCs w:val="24"/>
        </w:rPr>
        <w:t>磋商响应文件应包括下列部分：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(1)磋商响应声明函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(2)磋商报价一览表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sz w:val="24"/>
          <w:szCs w:val="24"/>
          <w:lang w:val="en-US"/>
        </w:rPr>
      </w:pPr>
      <w:r>
        <w:rPr>
          <w:rFonts w:hint="eastAsia" w:ascii="宋体" w:hAnsi="宋体" w:eastAsia="宋体" w:cs="宋体"/>
          <w:kern w:val="2"/>
          <w:sz w:val="24"/>
          <w:szCs w:val="24"/>
          <w:lang w:val="en-US" w:eastAsia="zh-CN" w:bidi="ar"/>
        </w:rPr>
        <w:t>(3)</w:t>
      </w:r>
      <w:r>
        <w:rPr>
          <w:rFonts w:hint="eastAsia" w:ascii="宋体" w:hAnsi="宋体" w:eastAsia="宋体" w:cs="宋体"/>
          <w:bCs/>
          <w:kern w:val="2"/>
          <w:sz w:val="24"/>
          <w:szCs w:val="24"/>
          <w:lang w:val="en-US" w:eastAsia="zh-CN" w:bidi="ar"/>
        </w:rPr>
        <w:t>资格的声明函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sz w:val="24"/>
          <w:szCs w:val="24"/>
          <w:lang w:val="en-US"/>
        </w:rPr>
      </w:pPr>
      <w:r>
        <w:rPr>
          <w:rFonts w:hint="eastAsia" w:ascii="宋体" w:hAnsi="宋体" w:eastAsia="宋体" w:cs="宋体"/>
          <w:kern w:val="2"/>
          <w:sz w:val="24"/>
          <w:szCs w:val="24"/>
          <w:lang w:val="en-US" w:eastAsia="zh-CN" w:bidi="ar"/>
        </w:rPr>
        <w:t>(6)</w:t>
      </w:r>
      <w:r>
        <w:rPr>
          <w:rFonts w:hint="eastAsia" w:ascii="宋体" w:hAnsi="宋体" w:eastAsia="宋体" w:cs="宋体"/>
          <w:bCs/>
          <w:kern w:val="2"/>
          <w:sz w:val="24"/>
          <w:szCs w:val="24"/>
          <w:lang w:val="en-US" w:eastAsia="zh-CN" w:bidi="ar"/>
        </w:rPr>
        <w:t>法定代表人或分支机构负责人授权委托书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bCs/>
          <w:kern w:val="2"/>
          <w:sz w:val="24"/>
          <w:szCs w:val="24"/>
          <w:lang w:val="en-US" w:eastAsia="zh-CN" w:bidi="ar"/>
        </w:rPr>
      </w:pPr>
      <w:r>
        <w:rPr>
          <w:rFonts w:hint="eastAsia" w:ascii="宋体" w:hAnsi="宋体" w:eastAsia="宋体" w:cs="宋体"/>
          <w:kern w:val="2"/>
          <w:sz w:val="24"/>
          <w:szCs w:val="24"/>
          <w:lang w:val="en-US" w:eastAsia="zh-CN" w:bidi="ar"/>
        </w:rPr>
        <w:t>(7)</w:t>
      </w:r>
      <w:r>
        <w:rPr>
          <w:rFonts w:hint="eastAsia" w:ascii="宋体" w:hAnsi="宋体" w:eastAsia="宋体" w:cs="宋体"/>
          <w:bCs/>
          <w:kern w:val="2"/>
          <w:sz w:val="24"/>
          <w:szCs w:val="24"/>
          <w:lang w:val="en-US" w:eastAsia="zh-CN" w:bidi="ar"/>
        </w:rPr>
        <w:t>中小企业声明函（如有）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lang w:val="en-US"/>
        </w:rPr>
      </w:pPr>
      <w:r>
        <w:rPr>
          <w:rFonts w:hint="eastAsia" w:ascii="宋体" w:hAnsi="宋体" w:eastAsia="宋体" w:cs="宋体"/>
          <w:bCs/>
          <w:kern w:val="2"/>
          <w:sz w:val="24"/>
          <w:szCs w:val="24"/>
          <w:lang w:val="en-US" w:eastAsia="zh-CN" w:bidi="ar"/>
        </w:rPr>
        <w:t>(8)残疾人福利性单位声明函（如有）</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w:t>
      </w:r>
      <w:r>
        <w:rPr>
          <w:rFonts w:hint="eastAsia" w:asciiTheme="minorEastAsia" w:hAnsiTheme="minorEastAsia"/>
          <w:b/>
          <w:sz w:val="24"/>
          <w:szCs w:val="24"/>
        </w:rPr>
        <w:t>1</w:t>
      </w:r>
      <w:r>
        <w:rPr>
          <w:rFonts w:asciiTheme="minorEastAsia" w:hAnsiTheme="minorEastAsia"/>
          <w:b/>
          <w:sz w:val="24"/>
          <w:szCs w:val="24"/>
        </w:rPr>
        <w:t>.</w:t>
      </w:r>
      <w:r>
        <w:rPr>
          <w:rFonts w:hint="eastAsia" w:asciiTheme="minorEastAsia" w:hAnsiTheme="minorEastAsia"/>
          <w:b/>
          <w:sz w:val="24"/>
          <w:szCs w:val="24"/>
        </w:rPr>
        <w:t>磋商响应</w:t>
      </w:r>
      <w:r>
        <w:rPr>
          <w:rFonts w:asciiTheme="minorEastAsia" w:hAnsiTheme="minorEastAsia"/>
          <w:b/>
          <w:sz w:val="24"/>
          <w:szCs w:val="24"/>
        </w:rPr>
        <w:t>有效期</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11.1响应文件从</w:t>
      </w:r>
      <w:r>
        <w:rPr>
          <w:rFonts w:hint="eastAsia" w:asciiTheme="minorEastAsia" w:hAnsiTheme="minorEastAsia"/>
          <w:bCs/>
          <w:sz w:val="24"/>
          <w:szCs w:val="24"/>
        </w:rPr>
        <w:t>磋商响应供应商须知前附表1</w:t>
      </w:r>
      <w:r>
        <w:rPr>
          <w:rFonts w:hint="eastAsia" w:asciiTheme="minorEastAsia" w:hAnsiTheme="minorEastAsia"/>
          <w:sz w:val="24"/>
          <w:szCs w:val="24"/>
        </w:rPr>
        <w:t>所规定的磋商响应截止期之日开始生效，在</w:t>
      </w:r>
      <w:r>
        <w:rPr>
          <w:rFonts w:hint="eastAsia" w:asciiTheme="minorEastAsia" w:hAnsiTheme="minorEastAsia"/>
          <w:bCs/>
          <w:sz w:val="24"/>
          <w:szCs w:val="24"/>
        </w:rPr>
        <w:t>磋商响应供应商须知前附表</w:t>
      </w:r>
      <w:r>
        <w:rPr>
          <w:rFonts w:hint="eastAsia" w:asciiTheme="minorEastAsia" w:hAnsiTheme="minorEastAsia"/>
          <w:sz w:val="24"/>
          <w:szCs w:val="24"/>
        </w:rPr>
        <w:t>所规定的期限内保持有效。有效期不足将导致其响应文件被拒绝。</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11.2特殊情况下采购代理机构可于磋商有效期满之前书面要求磋商响应供应商同意延长有效期，磋商响应供应商应在采购代理机构规定的期限内以书面形式予以答复。磋商响应供应商可以拒绝上述要求而其磋商保证金可按规定予以退还。磋商响应供应商答复不明确或者逾期未答复的，均视为拒绝上述要求。对于接受该要求的磋商响应供应商，既不要求也不允许其修改响应文件，但将要求其相应延长磋商保证金有效期，有关退还和不予退还磋商保证金的规定在报价有效期延长期内继续有效。</w:t>
      </w:r>
      <w:r>
        <w:rPr>
          <w:rFonts w:asciiTheme="minorEastAsia" w:hAnsiTheme="minorEastAsia"/>
          <w:sz w:val="24"/>
          <w:szCs w:val="24"/>
        </w:rPr>
        <w:t xml:space="preserve">      </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w:t>
      </w:r>
      <w:r>
        <w:rPr>
          <w:rFonts w:hint="eastAsia" w:asciiTheme="minorEastAsia" w:hAnsiTheme="minorEastAsia"/>
          <w:b/>
          <w:sz w:val="24"/>
          <w:szCs w:val="24"/>
        </w:rPr>
        <w:t>2</w:t>
      </w:r>
      <w:r>
        <w:rPr>
          <w:rFonts w:asciiTheme="minorEastAsia" w:hAnsiTheme="minorEastAsia"/>
          <w:b/>
          <w:sz w:val="24"/>
          <w:szCs w:val="24"/>
        </w:rPr>
        <w:t>.磋商保证金</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w:t>
      </w:r>
      <w:r>
        <w:rPr>
          <w:rFonts w:asciiTheme="minorEastAsia" w:hAnsiTheme="minorEastAsia"/>
          <w:sz w:val="24"/>
          <w:szCs w:val="24"/>
        </w:rPr>
        <w:t>.1 磋商保证金为响应文件的组成部分之一。</w:t>
      </w:r>
    </w:p>
    <w:p>
      <w:pPr>
        <w:keepNext w:val="0"/>
        <w:keepLines w:val="0"/>
        <w:pageBreakBefore w:val="0"/>
        <w:kinsoku/>
        <w:wordWrap/>
        <w:overflowPunct/>
        <w:topLinePunct w:val="0"/>
        <w:autoSpaceDE/>
        <w:autoSpaceDN/>
        <w:bidi w:val="0"/>
        <w:adjustRightInd/>
        <w:spacing w:line="400" w:lineRule="exact"/>
        <w:ind w:right="0" w:rightChars="0" w:firstLine="480"/>
        <w:textAlignment w:val="auto"/>
        <w:rPr>
          <w:rFonts w:asciiTheme="minorEastAsia" w:hAnsiTheme="minorEastAsia"/>
          <w:sz w:val="24"/>
          <w:szCs w:val="24"/>
        </w:rPr>
      </w:pPr>
      <w:r>
        <w:rPr>
          <w:rFonts w:hint="eastAsia" w:asciiTheme="minorEastAsia" w:hAnsiTheme="minorEastAsia"/>
          <w:sz w:val="24"/>
          <w:szCs w:val="24"/>
        </w:rPr>
        <w:t>12.2磋商响应供应商应在提交响应文件之前向采购代理机构指定的政府采购保证金专户缴交磋商响应供应商须知前附表要求的磋商保证金。联合体参加磋商的，可以由联合体中的一方或者共同提交磋商保证金，以一方名义提交磋商保证金的，对联合体各方均具有约束力。</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w:t>
      </w:r>
      <w:r>
        <w:rPr>
          <w:rFonts w:asciiTheme="minorEastAsia" w:hAnsiTheme="minorEastAsia"/>
          <w:sz w:val="24"/>
          <w:szCs w:val="24"/>
        </w:rPr>
        <w:t>.3 磋商保证金用于保护本次磋商活动免受磋商响应供应商的行为而引起的风险。</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.4</w:t>
      </w:r>
      <w:r>
        <w:rPr>
          <w:rFonts w:hint="eastAsia" w:asciiTheme="minorEastAsia" w:hAnsiTheme="minorEastAsia"/>
          <w:sz w:val="24"/>
          <w:szCs w:val="24"/>
        </w:rPr>
        <w:t>磋商保证金交纳方式及其它：</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①磋商保证金以保证金应当采用支票、汇票、本票、网上银行支付等非现金形式交纳：且应在磋商响应截止时间前到账，否则视为未提交磋商保证金；磋商保证金到账以到截止时间时保证金系统显示为标准，未显示到账的一律视为未提交磋商保证金）。</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②若项目存在分包的，则磋商保证金应按不同的合同包号分别提交。</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③磋商响应供应商为中小企业的，其磋商保证金减半交纳。减半交纳磋商保证金的磋商响应供应商未按照磋商文件格式要求在响应文件中提供《中小企业声明函》的，其磋商响应作无效响应处理。</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.5 未按</w:t>
      </w:r>
      <w:r>
        <w:rPr>
          <w:rFonts w:hint="eastAsia" w:asciiTheme="minorEastAsia" w:hAnsiTheme="minorEastAsia"/>
          <w:sz w:val="24"/>
          <w:szCs w:val="24"/>
        </w:rPr>
        <w:t>要求</w:t>
      </w:r>
      <w:r>
        <w:rPr>
          <w:rFonts w:asciiTheme="minorEastAsia" w:hAnsiTheme="minorEastAsia"/>
          <w:sz w:val="24"/>
          <w:szCs w:val="24"/>
        </w:rPr>
        <w:t>提交磋商保证金的</w:t>
      </w:r>
      <w:r>
        <w:rPr>
          <w:rFonts w:hint="eastAsia" w:asciiTheme="minorEastAsia" w:hAnsiTheme="minorEastAsia"/>
          <w:sz w:val="24"/>
          <w:szCs w:val="24"/>
        </w:rPr>
        <w:t>磋商响应</w:t>
      </w:r>
      <w:r>
        <w:rPr>
          <w:rFonts w:asciiTheme="minorEastAsia" w:hAnsiTheme="minorEastAsia"/>
          <w:sz w:val="24"/>
          <w:szCs w:val="24"/>
        </w:rPr>
        <w:t>，将被视为无效</w:t>
      </w:r>
      <w:r>
        <w:rPr>
          <w:rFonts w:hint="eastAsia" w:asciiTheme="minorEastAsia" w:hAnsiTheme="minorEastAsia"/>
          <w:sz w:val="24"/>
          <w:szCs w:val="24"/>
        </w:rPr>
        <w:t>响应</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 xml:space="preserve">.6 </w:t>
      </w:r>
      <w:r>
        <w:rPr>
          <w:rFonts w:hint="eastAsia" w:asciiTheme="minorEastAsia" w:hAnsiTheme="minorEastAsia"/>
          <w:sz w:val="24"/>
          <w:szCs w:val="24"/>
        </w:rPr>
        <w:t>采购代理机构将在成交通知书发出之日起5个工作日内予以原额无息退还未成交供应商的磋商保证金。</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.7</w:t>
      </w:r>
      <w:r>
        <w:rPr>
          <w:rFonts w:hint="eastAsia" w:asciiTheme="minorEastAsia" w:hAnsiTheme="minorEastAsia"/>
          <w:sz w:val="24"/>
          <w:szCs w:val="24"/>
        </w:rPr>
        <w:t>在</w:t>
      </w:r>
      <w:r>
        <w:rPr>
          <w:rFonts w:asciiTheme="minorEastAsia" w:hAnsiTheme="minorEastAsia"/>
          <w:sz w:val="24"/>
          <w:szCs w:val="24"/>
        </w:rPr>
        <w:t>成交供应商</w:t>
      </w:r>
      <w:r>
        <w:rPr>
          <w:rFonts w:hint="eastAsia" w:asciiTheme="minorEastAsia" w:hAnsiTheme="minorEastAsia"/>
          <w:sz w:val="24"/>
          <w:szCs w:val="24"/>
        </w:rPr>
        <w:t>支付所有采购代理服务费并签订合同后5个工作日内，采购代理机构对成交供应商的磋商保证金予以原额无息退还</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12.8</w:t>
      </w:r>
      <w:r>
        <w:rPr>
          <w:rFonts w:asciiTheme="minorEastAsia" w:hAnsiTheme="minorEastAsia"/>
          <w:sz w:val="24"/>
          <w:szCs w:val="24"/>
        </w:rPr>
        <w:t>发生以下情况</w:t>
      </w:r>
      <w:r>
        <w:rPr>
          <w:rFonts w:hint="eastAsia" w:asciiTheme="minorEastAsia" w:hAnsiTheme="minorEastAsia"/>
          <w:sz w:val="24"/>
          <w:szCs w:val="24"/>
        </w:rPr>
        <w:t>之一的，</w:t>
      </w:r>
      <w:r>
        <w:rPr>
          <w:rFonts w:asciiTheme="minorEastAsia" w:hAnsiTheme="minorEastAsia"/>
          <w:sz w:val="24"/>
          <w:szCs w:val="24"/>
        </w:rPr>
        <w:t>磋商保证金将</w:t>
      </w:r>
      <w:r>
        <w:rPr>
          <w:rFonts w:hint="eastAsia" w:asciiTheme="minorEastAsia" w:hAnsiTheme="minorEastAsia"/>
          <w:sz w:val="24"/>
          <w:szCs w:val="24"/>
        </w:rPr>
        <w:t>不予退还，由采购代理机构上缴财政部门：</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（1）磋商响应供应商在</w:t>
      </w:r>
      <w:r>
        <w:rPr>
          <w:rFonts w:hint="eastAsia" w:asciiTheme="minorEastAsia" w:hAnsiTheme="minorEastAsia"/>
          <w:sz w:val="24"/>
          <w:szCs w:val="24"/>
        </w:rPr>
        <w:t>提交最后报价后，</w:t>
      </w:r>
      <w:r>
        <w:rPr>
          <w:rFonts w:asciiTheme="minorEastAsia" w:hAnsiTheme="minorEastAsia"/>
          <w:sz w:val="24"/>
          <w:szCs w:val="24"/>
        </w:rPr>
        <w:t>撤回</w:t>
      </w:r>
      <w:r>
        <w:rPr>
          <w:rFonts w:hint="eastAsia" w:asciiTheme="minorEastAsia" w:hAnsiTheme="minorEastAsia"/>
          <w:sz w:val="24"/>
          <w:szCs w:val="24"/>
        </w:rPr>
        <w:t>磋商响应</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asciiTheme="minorEastAsia" w:hAnsiTheme="minorEastAsia"/>
          <w:sz w:val="24"/>
          <w:szCs w:val="24"/>
        </w:rPr>
        <w:t>（2）</w:t>
      </w:r>
      <w:r>
        <w:rPr>
          <w:rFonts w:hint="eastAsia" w:asciiTheme="minorEastAsia" w:hAnsiTheme="minorEastAsia"/>
          <w:sz w:val="24"/>
          <w:szCs w:val="24"/>
        </w:rPr>
        <w:t>除因不可抗力或磋商文件认可的情形外，</w:t>
      </w:r>
      <w:r>
        <w:rPr>
          <w:rFonts w:asciiTheme="minorEastAsia" w:hAnsiTheme="minorEastAsia"/>
          <w:sz w:val="24"/>
          <w:szCs w:val="24"/>
        </w:rPr>
        <w:t>成交供应商未能做到按本须知规定签订合同</w:t>
      </w:r>
      <w:r>
        <w:rPr>
          <w:rFonts w:hint="eastAsia" w:asciiTheme="minorEastAsia" w:hAnsiTheme="minorEastAsia"/>
          <w:sz w:val="24"/>
          <w:szCs w:val="24"/>
        </w:rPr>
        <w:t>的</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以他人名义参与磋商响应或者以其他方式弄虚作假，骗取成交的；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lang w:val="en-US" w:eastAsia="zh-CN"/>
        </w:rPr>
        <w:t>4</w:t>
      </w:r>
      <w:r>
        <w:rPr>
          <w:rFonts w:asciiTheme="minorEastAsia" w:hAnsiTheme="minorEastAsia"/>
          <w:sz w:val="24"/>
          <w:szCs w:val="24"/>
        </w:rPr>
        <w:t>）</w:t>
      </w:r>
      <w:r>
        <w:rPr>
          <w:rFonts w:hint="eastAsia" w:asciiTheme="minorEastAsia" w:hAnsiTheme="minorEastAsia"/>
          <w:sz w:val="24"/>
          <w:szCs w:val="24"/>
        </w:rPr>
        <w:t>磋商响应供应商在响应文件中提供虚假材料的；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（5）在禁止参加政府采购活动的处罚期内，仍参加政府采购活动的；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（6）以不正当手段诋毁、排挤其他供应商的；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（7）因本项目政府采购过程中的违法行为，受到行政处罚的；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（8）与采购人、其他供应商或者采购代理机构恶意串通的；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（9）法律、法规、规章及本磋商文件中规定的其他没收磋商保证金的情形。</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上述不予退还磋商保证金的情形给采购单位造成损失的，相关责任人还应当承担赔偿责任。</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13</w:t>
      </w:r>
      <w:r>
        <w:rPr>
          <w:rFonts w:asciiTheme="minorEastAsia" w:hAnsiTheme="minorEastAsia"/>
          <w:b/>
          <w:sz w:val="24"/>
          <w:szCs w:val="24"/>
        </w:rPr>
        <w:t>.</w:t>
      </w:r>
      <w:r>
        <w:rPr>
          <w:rFonts w:hint="eastAsia" w:asciiTheme="minorEastAsia" w:hAnsiTheme="minorEastAsia"/>
          <w:b/>
          <w:sz w:val="24"/>
          <w:szCs w:val="24"/>
        </w:rPr>
        <w:t>磋商响应文件的格式</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eastAsiaTheme="minorEastAsia"/>
          <w:color w:val="FF0000"/>
          <w:sz w:val="24"/>
          <w:szCs w:val="24"/>
          <w:lang w:eastAsia="zh-CN"/>
        </w:rPr>
      </w:pPr>
      <w:r>
        <w:rPr>
          <w:rFonts w:hint="eastAsia" w:asciiTheme="minorEastAsia" w:hAnsiTheme="minorEastAsia"/>
          <w:sz w:val="24"/>
          <w:szCs w:val="24"/>
        </w:rPr>
        <w:t>13.1</w:t>
      </w:r>
      <w:r>
        <w:rPr>
          <w:rFonts w:hint="eastAsia" w:asciiTheme="minorEastAsia" w:hAnsiTheme="minorEastAsia"/>
          <w:color w:val="FF0000"/>
          <w:sz w:val="24"/>
          <w:szCs w:val="24"/>
        </w:rPr>
        <w:t>投标人应将投标文件用密封袋密封，</w:t>
      </w:r>
      <w:r>
        <w:rPr>
          <w:rFonts w:hint="eastAsia" w:asciiTheme="minorEastAsia" w:hAnsiTheme="minorEastAsia"/>
          <w:color w:val="FF0000"/>
          <w:sz w:val="24"/>
          <w:szCs w:val="24"/>
          <w:lang w:eastAsia="zh-CN"/>
        </w:rPr>
        <w:t>一正一副即可，磋商文件</w:t>
      </w:r>
      <w:r>
        <w:rPr>
          <w:rFonts w:hint="eastAsia" w:asciiTheme="minorEastAsia" w:hAnsiTheme="minorEastAsia"/>
          <w:color w:val="FF0000"/>
          <w:sz w:val="24"/>
          <w:szCs w:val="24"/>
        </w:rPr>
        <w:t>正、副本一起封装，单独封装亦可，投标文件密封袋及正文封面均应注明“正本”“副本”。正副本信封及投标文件封面均应写明项目名称、招标编号、投标人名称、地址、联系人及联系人电话，并加盖投标单位公章。</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.2响应文件应由磋商响应供应商的法定代表人</w:t>
      </w:r>
      <w:r>
        <w:rPr>
          <w:rFonts w:hint="eastAsia" w:asciiTheme="minorEastAsia" w:hAnsiTheme="minorEastAsia"/>
          <w:sz w:val="24"/>
          <w:szCs w:val="24"/>
          <w:lang w:eastAsia="zh-CN"/>
        </w:rPr>
        <w:t>（负责人）</w:t>
      </w:r>
      <w:r>
        <w:rPr>
          <w:rFonts w:asciiTheme="minorEastAsia" w:hAnsiTheme="minorEastAsia"/>
          <w:sz w:val="24"/>
          <w:szCs w:val="24"/>
        </w:rPr>
        <w:t>或其授权代表签字并加盖公章</w:t>
      </w:r>
      <w:r>
        <w:rPr>
          <w:rFonts w:hint="eastAsia" w:asciiTheme="minorEastAsia" w:hAnsiTheme="minorEastAsia"/>
          <w:sz w:val="24"/>
          <w:szCs w:val="24"/>
        </w:rPr>
        <w:t>，如由后者签字，应提供“法定代表人</w:t>
      </w:r>
      <w:r>
        <w:rPr>
          <w:rFonts w:hint="eastAsia" w:asciiTheme="minorEastAsia" w:hAnsiTheme="minorEastAsia"/>
          <w:sz w:val="24"/>
          <w:szCs w:val="24"/>
          <w:lang w:eastAsia="zh-CN"/>
        </w:rPr>
        <w:t>（负责人）</w:t>
      </w:r>
      <w:r>
        <w:rPr>
          <w:rFonts w:hint="eastAsia" w:asciiTheme="minorEastAsia" w:hAnsiTheme="minorEastAsia"/>
          <w:sz w:val="24"/>
          <w:szCs w:val="24"/>
        </w:rPr>
        <w:t>授权委托书”。</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.3</w:t>
      </w:r>
      <w:r>
        <w:rPr>
          <w:rFonts w:hint="eastAsia" w:asciiTheme="minorEastAsia" w:hAnsiTheme="minorEastAsia"/>
          <w:sz w:val="24"/>
          <w:szCs w:val="24"/>
        </w:rPr>
        <w:t>除非另有规定或许可，磋商响应使用货币为人民币。</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.4磋商响应供应商应提交证明其拟供货物</w:t>
      </w:r>
      <w:r>
        <w:rPr>
          <w:rFonts w:hint="eastAsia" w:asciiTheme="minorEastAsia" w:hAnsiTheme="minorEastAsia"/>
          <w:sz w:val="24"/>
          <w:szCs w:val="24"/>
        </w:rPr>
        <w:t>、服务、工程</w:t>
      </w:r>
      <w:r>
        <w:rPr>
          <w:rFonts w:asciiTheme="minorEastAsia" w:hAnsiTheme="minorEastAsia"/>
          <w:sz w:val="24"/>
          <w:szCs w:val="24"/>
        </w:rPr>
        <w:t>符合磋商文件要求的技术响应文件，该文件可以是文字资料、图纸和数据，并须提供货物</w:t>
      </w:r>
      <w:r>
        <w:rPr>
          <w:rFonts w:hint="eastAsia" w:asciiTheme="minorEastAsia" w:hAnsiTheme="minorEastAsia"/>
          <w:sz w:val="24"/>
          <w:szCs w:val="24"/>
        </w:rPr>
        <w:t>、服务、工程</w:t>
      </w:r>
      <w:r>
        <w:rPr>
          <w:rFonts w:asciiTheme="minorEastAsia" w:hAnsiTheme="minorEastAsia"/>
          <w:sz w:val="24"/>
          <w:szCs w:val="24"/>
        </w:rPr>
        <w:t>主要技术性能的详细描述。</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13.5磋商文件的正本和全部副本均应使用不能擦去的墨料或墨水打印、书写或复印，并由法定代表人或其授权代表签署，盖磋商响应供应商公章。</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13.6 全套响应文件应无涂改和行间插字，除非这些改动是根据采购代理机构的指示进行的，或者是为改正磋商响应供应商造成的必须修改的错误而进行的。有改动时，修改处应由法定代表人或授权代表签字证明或加盖磋商响应供应商公章。</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13.7未按本须知规定的格式填写响应文件、响应文件字迹模糊不清的，其磋商响应将被拒绝。</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13.8 所有资格证明文件复印件须加盖磋商响应供应商公章。</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hint="eastAsia" w:asciiTheme="minorEastAsia" w:hAnsiTheme="minorEastAsia"/>
          <w:sz w:val="24"/>
          <w:szCs w:val="24"/>
        </w:rPr>
      </w:pPr>
      <w:r>
        <w:rPr>
          <w:rFonts w:hint="eastAsia" w:asciiTheme="minorEastAsia" w:hAnsiTheme="minorEastAsia"/>
          <w:sz w:val="24"/>
          <w:szCs w:val="24"/>
        </w:rPr>
        <w:t>13.9磋商响应供应商应将上述文件按顺序装订成册、打印页码，并编列响应文件目录、资料清单，由于装订不规范或编排顺序混乱而导致响应文件被误读或漏读，该磋商响应可能被视为无效响应或承担不利的评审结果。</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hint="eastAsia" w:asciiTheme="minorEastAsia" w:hAnsiTheme="minorEastAsia"/>
          <w:sz w:val="24"/>
          <w:szCs w:val="24"/>
        </w:rPr>
      </w:pPr>
    </w:p>
    <w:p>
      <w:pPr>
        <w:pStyle w:val="26"/>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asciiTheme="minorEastAsia" w:hAnsiTheme="minorEastAsia"/>
          <w:b/>
          <w:sz w:val="32"/>
          <w:szCs w:val="32"/>
        </w:rPr>
      </w:pPr>
      <w:r>
        <w:rPr>
          <w:rFonts w:hint="eastAsia" w:asciiTheme="minorEastAsia" w:hAnsiTheme="minorEastAsia"/>
          <w:b/>
          <w:sz w:val="32"/>
          <w:szCs w:val="32"/>
        </w:rPr>
        <w:t>四、响应文件的提交</w:t>
      </w:r>
    </w:p>
    <w:p>
      <w:pPr>
        <w:pStyle w:val="26"/>
        <w:keepNext w:val="0"/>
        <w:keepLines w:val="0"/>
        <w:pageBreakBefore w:val="0"/>
        <w:kinsoku/>
        <w:wordWrap/>
        <w:overflowPunct/>
        <w:topLinePunct w:val="0"/>
        <w:autoSpaceDE/>
        <w:autoSpaceDN/>
        <w:bidi w:val="0"/>
        <w:adjustRightInd/>
        <w:spacing w:line="400" w:lineRule="exact"/>
        <w:ind w:right="0" w:rightChars="0"/>
        <w:textAlignment w:val="auto"/>
        <w:outlineLvl w:val="9"/>
        <w:rPr>
          <w:rFonts w:asciiTheme="minorEastAsia" w:hAnsiTheme="minorEastAsia"/>
          <w:b/>
          <w:sz w:val="24"/>
          <w:szCs w:val="24"/>
        </w:rPr>
      </w:pPr>
      <w:r>
        <w:rPr>
          <w:rFonts w:hint="eastAsia" w:asciiTheme="minorEastAsia" w:hAnsiTheme="minorEastAsia"/>
          <w:b/>
          <w:sz w:val="24"/>
          <w:szCs w:val="24"/>
        </w:rPr>
        <w:t>14.响应文件的密封、标记和递交</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hint="eastAsia" w:asciiTheme="minorEastAsia" w:hAnsiTheme="minorEastAsia"/>
          <w:sz w:val="24"/>
          <w:szCs w:val="24"/>
        </w:rPr>
      </w:pPr>
      <w:r>
        <w:rPr>
          <w:rFonts w:hint="eastAsia" w:asciiTheme="minorEastAsia" w:hAnsiTheme="minorEastAsia"/>
          <w:sz w:val="24"/>
          <w:szCs w:val="24"/>
        </w:rPr>
        <w:t>14.1</w:t>
      </w:r>
      <w:r>
        <w:rPr>
          <w:rFonts w:hint="eastAsia" w:asciiTheme="minorEastAsia" w:hAnsiTheme="minorEastAsia" w:eastAsiaTheme="minorEastAsia" w:cstheme="minorBidi"/>
          <w:kern w:val="0"/>
          <w:sz w:val="24"/>
          <w:szCs w:val="24"/>
          <w:lang w:val="en-US" w:eastAsia="zh-CN" w:bidi="ar-SA"/>
        </w:rPr>
        <w:t xml:space="preserve"> </w:t>
      </w:r>
      <w:r>
        <w:rPr>
          <w:rFonts w:hint="eastAsia" w:asciiTheme="minorEastAsia" w:hAnsiTheme="minorEastAsia" w:cstheme="minorBidi"/>
          <w:color w:val="FF0000"/>
          <w:kern w:val="0"/>
          <w:sz w:val="24"/>
          <w:szCs w:val="24"/>
          <w:lang w:val="en-US" w:eastAsia="zh-CN" w:bidi="ar-SA"/>
        </w:rPr>
        <w:t>磋商</w:t>
      </w:r>
      <w:r>
        <w:rPr>
          <w:rFonts w:hint="eastAsia" w:asciiTheme="minorEastAsia" w:hAnsiTheme="minorEastAsia" w:eastAsiaTheme="minorEastAsia" w:cstheme="minorBidi"/>
          <w:color w:val="FF0000"/>
          <w:kern w:val="0"/>
          <w:sz w:val="24"/>
          <w:szCs w:val="24"/>
          <w:lang w:val="en-US" w:eastAsia="zh-CN" w:bidi="ar-SA"/>
        </w:rPr>
        <w:t>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4.2</w:t>
      </w:r>
      <w:r>
        <w:rPr>
          <w:rFonts w:asciiTheme="minorEastAsia" w:hAnsiTheme="minorEastAsia"/>
          <w:sz w:val="24"/>
          <w:szCs w:val="24"/>
        </w:rPr>
        <w:t xml:space="preserve"> 如果未按上述规定进行密封和标记，采购代理机构</w:t>
      </w:r>
      <w:r>
        <w:rPr>
          <w:rFonts w:hint="eastAsia" w:asciiTheme="minorEastAsia" w:hAnsiTheme="minorEastAsia"/>
          <w:sz w:val="24"/>
          <w:szCs w:val="24"/>
        </w:rPr>
        <w:t>将不承担由此造成的对响应文件的误投或提前拆封的责任。</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14.3响应文件应在磋商邀请中规定的截止时间前送达，迟到的响应文件为无效响应文件，将被拒绝。</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14.4磋商响应供应商在磋商响应截止时间前，可以对所提交的磋商文件进行修改或者撤回，并书面通知采购代理机构。修改的内容和撤回通知应当按本须知要求签署、盖章、密封，并作为响应文件的组成部分。</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14.5磋商响应供应商在磋商响应截止期后不得修改、撤回响应文件。磋商响应供应商在报价截止期后修改响应文件的，其磋商响应将被拒绝。</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14.6 属于市场竞争不充分的科研项目，以及需要扶持的科技成果转化项目，符合实质性响应要求，提交最后报价的供应商可以为2家。属于政府购买服务项目的，在采购过程中符合要求的供应商只有2家的，竞争性磋商采购活动可以继续进行，采购过程中符合要求的供应商只有1家的，应当终止采购活动，发布项目终止公告并说明原因，重新开展采购活动。</w:t>
      </w:r>
    </w:p>
    <w:p>
      <w:pPr>
        <w:pStyle w:val="26"/>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asciiTheme="minorEastAsia" w:hAnsiTheme="minorEastAsia"/>
          <w:b/>
          <w:sz w:val="32"/>
          <w:szCs w:val="32"/>
        </w:rPr>
      </w:pPr>
    </w:p>
    <w:p>
      <w:pPr>
        <w:pStyle w:val="26"/>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asciiTheme="minorEastAsia" w:hAnsiTheme="minorEastAsia"/>
          <w:b/>
          <w:sz w:val="32"/>
          <w:szCs w:val="32"/>
        </w:rPr>
      </w:pPr>
      <w:r>
        <w:rPr>
          <w:rFonts w:hint="eastAsia" w:asciiTheme="minorEastAsia" w:hAnsiTheme="minorEastAsia"/>
          <w:b/>
          <w:sz w:val="32"/>
          <w:szCs w:val="32"/>
        </w:rPr>
        <w:t>五、响应文件的评估和比较</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15.磋商时间</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b/>
          <w:sz w:val="24"/>
          <w:szCs w:val="24"/>
        </w:rPr>
        <w:t xml:space="preserve">   </w:t>
      </w:r>
      <w:r>
        <w:rPr>
          <w:rFonts w:hint="eastAsia" w:asciiTheme="minorEastAsia" w:hAnsiTheme="minorEastAsia"/>
          <w:sz w:val="24"/>
          <w:szCs w:val="24"/>
        </w:rPr>
        <w:t xml:space="preserve"> 15.1在磋商响应供应商须知前附表中所规定的时间、地点磋商（如有推迟情形，以推迟后的时间、地点为准）。</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 xml:space="preserve">    15.2磋商由采购代理机构主持，邀请采购人、磋商响应供应商和有关方面代表参加。磋商响应供应商一般应派授权代表参加磋商，并办理签到手续。</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16.</w:t>
      </w:r>
      <w:r>
        <w:rPr>
          <w:rFonts w:asciiTheme="minorEastAsia" w:hAnsiTheme="minorEastAsia"/>
          <w:b/>
          <w:sz w:val="24"/>
          <w:szCs w:val="24"/>
        </w:rPr>
        <w:t>磋商</w:t>
      </w:r>
      <w:r>
        <w:rPr>
          <w:rFonts w:hint="eastAsia" w:asciiTheme="minorEastAsia" w:hAnsiTheme="minorEastAsia"/>
          <w:b/>
          <w:sz w:val="24"/>
          <w:szCs w:val="24"/>
        </w:rPr>
        <w:t>小组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磋商小组由采购人代表和评审专家组成，成员人数应当为</w:t>
      </w:r>
      <w:r>
        <w:rPr>
          <w:rFonts w:hint="eastAsia" w:asciiTheme="minorEastAsia" w:hAnsiTheme="minorEastAsia"/>
          <w:sz w:val="24"/>
          <w:szCs w:val="24"/>
          <w:lang w:val="en-US" w:eastAsia="zh-CN"/>
        </w:rPr>
        <w:t>3</w:t>
      </w:r>
      <w:r>
        <w:rPr>
          <w:rFonts w:hint="eastAsia" w:asciiTheme="minorEastAsia" w:hAnsiTheme="minorEastAsia"/>
          <w:sz w:val="24"/>
          <w:szCs w:val="24"/>
        </w:rPr>
        <w:t>人以上单数，其中评审专家不得少于成员总数的三分之二。</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采购项目符合下列情形之一的，评标委员会成员人数应当为7人以上单数：</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(一)采购预算金额在1000万元以上;</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(二)技术复杂;</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(三)社会影响较大。</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评审专家对本单位的采购项目只能作为采购人代表参与评标，本办法第四十八条第二款规定情形除外。采购代理机构工作人员不得参加由本机构代理的政府采购项目的评标。</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磋商小组成员名单在评标结果公告前应当保密。</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17.响应文件的初审</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对所有磋商响应供应商的评估，都采用相同的程序和标准。评议过程将严格按照磋商文件的要求和条件进行。</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有关响应文件的审查、澄清、评估和比较以及推荐成交候选人的一切情况都不得透露给任一磋商响应供应商或与上诉磋商工作无关的人员。</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磋商响应供应商任何试图影响磋商小组对响应文件的评审、比较或者推荐候选人的行为，都将导致其磋商响应被拒绝，并被没收磋商保证金。</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17.1磋商小组将对响应文件进行审查，以确定响应文件是否完整、有无计算上的错误、是否提交了磋商保证金、文件是否已正确签署。 </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17.2 算术错误将按以下方法更正：</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(1)响应文件中报价一览表内容与响应文件中明细表内容不一致的，以报价一览表为准。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如果磋商响应供应商不接受按上述方法对响应文件中的算术错误进行更正，其响应将被拒绝并没收其磋商保证金。</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17.3资格性检查和符合性检查 </w:t>
      </w:r>
    </w:p>
    <w:p>
      <w:pPr>
        <w:keepNext w:val="0"/>
        <w:keepLines w:val="0"/>
        <w:pageBreakBefore w:val="0"/>
        <w:kinsoku/>
        <w:wordWrap/>
        <w:overflowPunct/>
        <w:topLinePunct w:val="0"/>
        <w:autoSpaceDE/>
        <w:autoSpaceDN/>
        <w:bidi w:val="0"/>
        <w:adjustRightInd/>
        <w:spacing w:line="400" w:lineRule="exact"/>
        <w:ind w:right="0" w:rightChars="0"/>
        <w:textAlignment w:val="auto"/>
        <w:rPr>
          <w:rFonts w:asciiTheme="minorEastAsia" w:hAnsiTheme="minorEastAsia"/>
          <w:sz w:val="24"/>
          <w:szCs w:val="24"/>
        </w:rPr>
      </w:pPr>
      <w:r>
        <w:rPr>
          <w:rFonts w:hint="eastAsia" w:asciiTheme="minorEastAsia" w:hAnsiTheme="minorEastAsia"/>
          <w:sz w:val="24"/>
          <w:szCs w:val="24"/>
        </w:rPr>
        <w:t xml:space="preserve">    17.3.1资格性检查。依据法律法规和磋商文件的规定，在对响应文件详细评估之前，磋商小组将依据磋商响应供应商提交的响应文件按磋商响应供应商须知前附表2所述的资格性要求对磋商响应供应商进行资格审查, 以确定其是否具备磋商资格。如果磋商响应供应商不具备磋商资格，不满足磋商文件所规定的资格标准或提供资格证明文件不全的, 其磋商响应将被拒绝。</w:t>
      </w:r>
    </w:p>
    <w:p>
      <w:pPr>
        <w:keepNext w:val="0"/>
        <w:keepLines w:val="0"/>
        <w:pageBreakBefore w:val="0"/>
        <w:kinsoku/>
        <w:wordWrap/>
        <w:overflowPunct/>
        <w:topLinePunct w:val="0"/>
        <w:autoSpaceDE/>
        <w:autoSpaceDN/>
        <w:bidi w:val="0"/>
        <w:adjustRightInd/>
        <w:spacing w:line="400" w:lineRule="exact"/>
        <w:ind w:left="31" w:leftChars="15" w:right="0" w:rightChars="0" w:firstLine="480" w:firstLineChars="200"/>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7</w:t>
      </w:r>
      <w:r>
        <w:rPr>
          <w:rFonts w:asciiTheme="minorEastAsia" w:hAnsiTheme="minorEastAsia"/>
          <w:sz w:val="24"/>
          <w:szCs w:val="24"/>
        </w:rPr>
        <w:t>.</w:t>
      </w:r>
      <w:r>
        <w:rPr>
          <w:rFonts w:hint="eastAsia" w:asciiTheme="minorEastAsia" w:hAnsiTheme="minorEastAsia"/>
          <w:sz w:val="24"/>
          <w:szCs w:val="24"/>
        </w:rPr>
        <w:t>3.2符合性检查。依据磋商文件的规定，磋商小组还将从响应文件的有效性、完整性和对磋商文件的响应程度进行审查，以确定其是否符合对磋商文件的实质性要求作出响应。（采购人可根据具体项目的情况对实质性要求作特别的规定。）实质性偏离是指：(1)实质性影响合同的范围、质量和履行；(2)实质性违背磋商文件，限制了采购人的权利和成交供应商合同项下的义务；((3)不公正地影响了其它作出实质性响应的磋商响应供应商的竞争地位。对没有实质性响应的响应文件将不进行评估，其响应将按照无效响应处理。凡有下列情况之一者，响应文件也将被视为未实质性响应磋商文件要求：</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(1)磋商响应文件未按照本须知规定进行密封、标记的；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(2)未按规定由磋商响应供应商的</w:t>
      </w:r>
      <w:r>
        <w:rPr>
          <w:rFonts w:hint="eastAsia" w:asciiTheme="minorEastAsia" w:hAnsiTheme="minorEastAsia"/>
          <w:color w:val="FF0000"/>
          <w:sz w:val="24"/>
          <w:szCs w:val="24"/>
        </w:rPr>
        <w:t>法定代表人</w:t>
      </w:r>
      <w:r>
        <w:rPr>
          <w:rFonts w:hint="eastAsia" w:asciiTheme="minorEastAsia" w:hAnsiTheme="minorEastAsia"/>
          <w:color w:val="FF0000"/>
          <w:sz w:val="24"/>
          <w:szCs w:val="24"/>
          <w:lang w:eastAsia="zh-CN"/>
        </w:rPr>
        <w:t>（负责人）</w:t>
      </w:r>
      <w:r>
        <w:rPr>
          <w:rFonts w:hint="eastAsia" w:asciiTheme="minorEastAsia" w:hAnsiTheme="minorEastAsia"/>
          <w:sz w:val="24"/>
          <w:szCs w:val="24"/>
        </w:rPr>
        <w:t>或其授权代表签字；或未加盖磋商响应供应商公章的；或签字人未提供</w:t>
      </w:r>
      <w:r>
        <w:rPr>
          <w:rFonts w:hint="eastAsia" w:asciiTheme="minorEastAsia" w:hAnsiTheme="minorEastAsia"/>
          <w:color w:val="FF0000"/>
          <w:sz w:val="24"/>
          <w:szCs w:val="24"/>
        </w:rPr>
        <w:t>法定代表人</w:t>
      </w:r>
      <w:r>
        <w:rPr>
          <w:rFonts w:hint="eastAsia" w:asciiTheme="minorEastAsia" w:hAnsiTheme="minorEastAsia"/>
          <w:color w:val="FF0000"/>
          <w:sz w:val="24"/>
          <w:szCs w:val="24"/>
          <w:lang w:eastAsia="zh-CN"/>
        </w:rPr>
        <w:t>（负责人）</w:t>
      </w:r>
      <w:r>
        <w:rPr>
          <w:rFonts w:hint="eastAsia" w:asciiTheme="minorEastAsia" w:hAnsiTheme="minorEastAsia"/>
          <w:sz w:val="24"/>
          <w:szCs w:val="24"/>
        </w:rPr>
        <w:t>有效授权委托书的；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(3)未按规定提交磋商保证金的；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(4)磋商响应有效期不满足磋商文件要求的；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(5)响应文件内容与磋商文件内容及要求有重大偏离或保留的；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(6)磋商响应供应商提交的是可选择的报价；</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(7)磋商响应供应商未按磋商文件要求进行分项报价；</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(8)响应文件中提供虚假或失实资料的；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(9)不符合磋商文件中规定的其它实质性条款。 </w:t>
      </w:r>
    </w:p>
    <w:p>
      <w:pPr>
        <w:keepNext w:val="0"/>
        <w:keepLines w:val="0"/>
        <w:pageBreakBefore w:val="0"/>
        <w:kinsoku/>
        <w:wordWrap/>
        <w:overflowPunct/>
        <w:topLinePunct w:val="0"/>
        <w:autoSpaceDE/>
        <w:autoSpaceDN/>
        <w:bidi w:val="0"/>
        <w:adjustRightInd/>
        <w:spacing w:line="400" w:lineRule="exact"/>
        <w:ind w:left="69" w:leftChars="33"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磋商小组决定报价的响应性只根据响应文件本身的内容，而不寻求其他的外部证据。</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17.4</w:t>
      </w:r>
      <w:r>
        <w:rPr>
          <w:rFonts w:asciiTheme="minorEastAsia" w:hAnsiTheme="minorEastAsia"/>
          <w:sz w:val="24"/>
          <w:szCs w:val="24"/>
        </w:rPr>
        <w:t>磋商响应供应商提交的响应文件将给予保密，但不予退回。</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asciiTheme="minorEastAsia" w:hAnsiTheme="minorEastAsia"/>
          <w:sz w:val="24"/>
          <w:szCs w:val="24"/>
        </w:rPr>
      </w:pPr>
      <w:r>
        <w:rPr>
          <w:rFonts w:hint="eastAsia" w:asciiTheme="minorEastAsia" w:hAnsiTheme="minorEastAsia"/>
          <w:sz w:val="24"/>
          <w:szCs w:val="24"/>
        </w:rPr>
        <w:t>17.5磋商响应供应商资格和报价产品均必须满足中华人民共和国相关法律法规及行业的强制性要求，否则将作无效响应处理。</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0"/>
        <w:textAlignment w:val="auto"/>
        <w:outlineLvl w:val="0"/>
        <w:rPr>
          <w:rFonts w:asciiTheme="minorEastAsia" w:hAnsiTheme="minorEastAsia"/>
          <w:sz w:val="24"/>
          <w:szCs w:val="24"/>
        </w:rPr>
      </w:pPr>
      <w:r>
        <w:rPr>
          <w:rFonts w:hint="eastAsia" w:asciiTheme="minorEastAsia" w:hAnsiTheme="minorEastAsia"/>
          <w:b/>
          <w:sz w:val="24"/>
          <w:szCs w:val="24"/>
        </w:rPr>
        <w:t>18.磋商相应文件的澄清</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asciiTheme="minorEastAsia" w:hAnsiTheme="minorEastAsia"/>
          <w:sz w:val="24"/>
          <w:szCs w:val="24"/>
        </w:rPr>
      </w:pPr>
      <w:r>
        <w:rPr>
          <w:rFonts w:hint="eastAsia" w:asciiTheme="minorEastAsia" w:hAnsiTheme="minorEastAsia"/>
          <w:sz w:val="24"/>
          <w:szCs w:val="24"/>
        </w:rPr>
        <w:t>18.1对磋商文件中含义不明确、同类问题表述不一致或者有明显文字和计算错误的内容，磋商小组可以书面形式要求磋商响应供应商作出必要的澄清、说明或者纠正。磋商响应供应商的澄清、说明或者补正应当在磋商小组规定的时间内以书面形式作出，由其</w:t>
      </w:r>
      <w:r>
        <w:rPr>
          <w:rFonts w:hint="eastAsia" w:asciiTheme="minorEastAsia" w:hAnsiTheme="minorEastAsia"/>
          <w:color w:val="FF0000"/>
          <w:sz w:val="24"/>
          <w:szCs w:val="24"/>
        </w:rPr>
        <w:t>法定代表人</w:t>
      </w:r>
      <w:r>
        <w:rPr>
          <w:rFonts w:hint="eastAsia" w:asciiTheme="minorEastAsia" w:hAnsiTheme="minorEastAsia"/>
          <w:color w:val="FF0000"/>
          <w:sz w:val="24"/>
          <w:szCs w:val="24"/>
          <w:lang w:eastAsia="zh-CN"/>
        </w:rPr>
        <w:t>（负责人）</w:t>
      </w:r>
      <w:r>
        <w:rPr>
          <w:rFonts w:hint="eastAsia" w:asciiTheme="minorEastAsia" w:hAnsiTheme="minorEastAsia"/>
          <w:sz w:val="24"/>
          <w:szCs w:val="24"/>
        </w:rPr>
        <w:t>或者授权代表签字，并不得超出响应文件的范围或者改变响应文件的实质性内容。</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19</w:t>
      </w:r>
      <w:r>
        <w:rPr>
          <w:rFonts w:asciiTheme="minorEastAsia" w:hAnsiTheme="minorEastAsia"/>
          <w:b/>
          <w:sz w:val="24"/>
          <w:szCs w:val="24"/>
        </w:rPr>
        <w:t>.</w:t>
      </w:r>
      <w:r>
        <w:rPr>
          <w:rFonts w:hint="eastAsia" w:asciiTheme="minorEastAsia" w:hAnsiTheme="minorEastAsia"/>
          <w:b/>
          <w:sz w:val="24"/>
          <w:szCs w:val="24"/>
        </w:rPr>
        <w:t>比较与评价</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w:t>
      </w:r>
      <w:r>
        <w:rPr>
          <w:rFonts w:asciiTheme="minorEastAsia" w:hAnsiTheme="minorEastAsia"/>
          <w:sz w:val="24"/>
          <w:szCs w:val="24"/>
        </w:rPr>
        <w:t xml:space="preserve">.1 </w:t>
      </w:r>
      <w:r>
        <w:rPr>
          <w:rFonts w:hint="eastAsia" w:asciiTheme="minorEastAsia" w:hAnsiTheme="minorEastAsia"/>
          <w:sz w:val="24"/>
          <w:szCs w:val="24"/>
        </w:rPr>
        <w:t>磋商小组将按磋商响应供应商须知前附表3所诉评审方法与标准，对资格性检查和符合性检查合格的磋商文件进行商务和技术评估，综合比较与评价。</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19.2对漏（缺）报项的处理：磋商文件中要求列入报价的费用（含配置、功能），漏（缺）报的视同已含在报价总价中。但在评审时取有效磋商响应供应商该项最高报价加入漏（缺）报人的磋商响应报价进行评审。对多报及赠送项的价格评审时不予核减，全部进入评审价评议。</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w:t>
      </w:r>
      <w:r>
        <w:rPr>
          <w:rFonts w:asciiTheme="minorEastAsia" w:hAnsiTheme="minorEastAsia"/>
          <w:sz w:val="24"/>
          <w:szCs w:val="24"/>
        </w:rPr>
        <w:t>.</w:t>
      </w:r>
      <w:r>
        <w:rPr>
          <w:rFonts w:hint="eastAsia" w:asciiTheme="minorEastAsia" w:hAnsiTheme="minorEastAsia"/>
          <w:sz w:val="24"/>
          <w:szCs w:val="24"/>
        </w:rPr>
        <w:t>3若磋商响应供应商的报价明显低于其他报价，使得其报价可能低于其个别成本的，有可能影响商品质量或不能诚信履约的，磋商相应供应商应按磋商小组要求作出书面说明并提供相关证明材料，不能合理说明或不能提供相关证明材料的，可作无效报价处理。</w:t>
      </w: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asciiTheme="minorEastAsia" w:hAnsiTheme="minorEastAsia"/>
          <w:b/>
          <w:sz w:val="32"/>
          <w:szCs w:val="32"/>
        </w:rPr>
      </w:pPr>
      <w:r>
        <w:rPr>
          <w:rFonts w:hint="eastAsia" w:asciiTheme="minorEastAsia" w:hAnsiTheme="minorEastAsia"/>
          <w:b/>
          <w:sz w:val="32"/>
          <w:szCs w:val="32"/>
        </w:rPr>
        <w:t>六、成交与签订合同</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20.成交准则</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 xml:space="preserve">    20.1磋商响应供应商的响应文件符合磋商文件要求，按磋商文件确定评审方法、标准，经磋商小组评审并推荐成交候选人。 </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21</w:t>
      </w:r>
      <w:r>
        <w:rPr>
          <w:rFonts w:asciiTheme="minorEastAsia" w:hAnsiTheme="minorEastAsia"/>
          <w:b/>
          <w:sz w:val="24"/>
          <w:szCs w:val="24"/>
        </w:rPr>
        <w:t>.成交通知</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21.1</w:t>
      </w:r>
      <w:r>
        <w:rPr>
          <w:rFonts w:cs="Arial" w:asciiTheme="minorEastAsia" w:hAnsiTheme="minorEastAsia"/>
          <w:sz w:val="24"/>
          <w:szCs w:val="24"/>
        </w:rPr>
        <w:t>磋商结束后，磋商结果经采购人确认后，采购代理机构</w:t>
      </w:r>
      <w:r>
        <w:rPr>
          <w:rFonts w:hint="eastAsia" w:cs="Arial" w:asciiTheme="minorEastAsia" w:hAnsiTheme="minorEastAsia"/>
          <w:sz w:val="24"/>
          <w:szCs w:val="24"/>
        </w:rPr>
        <w:t>应自成交人确定之日起2个工作日内在铜仁市公共资源交易中心网、贵州省政府采购网上对成交结果进行公告，同时采购代理机构向</w:t>
      </w:r>
      <w:r>
        <w:rPr>
          <w:rFonts w:cs="Arial" w:asciiTheme="minorEastAsia" w:hAnsiTheme="minorEastAsia"/>
          <w:sz w:val="24"/>
          <w:szCs w:val="24"/>
        </w:rPr>
        <w:t>成交供应商发出成交通知书。成交通知书对采购人和成交供应商具有同等法律效力。成交通知书发出后，采购人改变成交结果或者成交供应商放弃</w:t>
      </w:r>
      <w:r>
        <w:rPr>
          <w:rFonts w:hint="eastAsia" w:cs="Arial" w:asciiTheme="minorEastAsia" w:hAnsiTheme="minorEastAsia"/>
          <w:sz w:val="24"/>
          <w:szCs w:val="24"/>
        </w:rPr>
        <w:t>成交</w:t>
      </w:r>
      <w:r>
        <w:rPr>
          <w:rFonts w:cs="Arial" w:asciiTheme="minorEastAsia" w:hAnsiTheme="minorEastAsia"/>
          <w:sz w:val="24"/>
          <w:szCs w:val="24"/>
        </w:rPr>
        <w:t>，应承担相应的法律责任。</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21.2</w:t>
      </w:r>
      <w:r>
        <w:rPr>
          <w:rFonts w:cs="Arial" w:asciiTheme="minorEastAsia" w:hAnsiTheme="minorEastAsia"/>
          <w:sz w:val="24"/>
          <w:szCs w:val="24"/>
        </w:rPr>
        <w:t>《成交通知书》将作为签订合同的依据。</w:t>
      </w:r>
      <w:r>
        <w:rPr>
          <w:rFonts w:hint="eastAsia" w:cs="Arial" w:asciiTheme="minorEastAsia" w:hAnsiTheme="minorEastAsia"/>
          <w:sz w:val="24"/>
          <w:szCs w:val="24"/>
        </w:rPr>
        <w:t>采购合同签订后，《成交通知书》成为合同的一部分。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21.3</w:t>
      </w:r>
      <w:r>
        <w:rPr>
          <w:rFonts w:cs="Arial" w:asciiTheme="minorEastAsia" w:hAnsiTheme="minorEastAsia"/>
          <w:sz w:val="24"/>
          <w:szCs w:val="24"/>
        </w:rPr>
        <w:t>《成交通知书》发出后5个工作日内，采购代理机构以原缴交方式向未成交的磋商响应供应商退还其磋商保证金</w:t>
      </w:r>
      <w:r>
        <w:rPr>
          <w:rFonts w:hint="eastAsia" w:cs="Arial" w:asciiTheme="minorEastAsia" w:hAnsiTheme="minorEastAsia"/>
          <w:sz w:val="24"/>
          <w:szCs w:val="24"/>
        </w:rPr>
        <w:t>（含保函）</w:t>
      </w:r>
      <w:r>
        <w:rPr>
          <w:rFonts w:cs="Arial" w:asciiTheme="minorEastAsia" w:hAnsiTheme="minorEastAsia"/>
          <w:sz w:val="24"/>
          <w:szCs w:val="24"/>
        </w:rPr>
        <w:t>。在合同签订后5个工作日内，以原缴交方式退还成交供应商的磋商保证金。</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22.</w:t>
      </w:r>
      <w:r>
        <w:rPr>
          <w:rFonts w:asciiTheme="minorEastAsia" w:hAnsiTheme="minorEastAsia"/>
          <w:b/>
          <w:sz w:val="24"/>
          <w:szCs w:val="24"/>
        </w:rPr>
        <w:t>签订合同</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.1</w:t>
      </w:r>
      <w:r>
        <w:rPr>
          <w:rFonts w:hint="eastAsia" w:asciiTheme="minorEastAsia" w:hAnsiTheme="minorEastAsia"/>
          <w:sz w:val="24"/>
          <w:szCs w:val="24"/>
        </w:rPr>
        <w:t>采购人、成交供应商在《成交通知书》发出之日起30日内，根据磋商文件确定的事项和成交供应商响应文件，参照本磋商文件第四章的《合同》文本签订合同。双方所签订的合同不得对磋商文件和成交供应商响应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w:t>
      </w:r>
      <w:r>
        <w:rPr>
          <w:rFonts w:hint="eastAsia" w:asciiTheme="minorEastAsia" w:hAnsiTheme="minorEastAsia"/>
          <w:sz w:val="24"/>
          <w:szCs w:val="24"/>
        </w:rPr>
        <w:t>2磋商文件、磋商文件的修改文件、成交供应商的响应文件、补充或修改的文件及澄清或承诺文件等，均为双方签订合同的组成部分，并与合同一并作为本磋商文件所列采购项目的互补性法律文件，与合同具有同等法律效力。</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22.4成交供应商因不可抗力或者自身原因不能履行政府采购合同的，采购人可以与排位在成交供应商之后第一位的成交备选供应商签订政府采购合同，以此类推。</w:t>
      </w:r>
      <w:r>
        <w:rPr>
          <w:rFonts w:asciiTheme="minorEastAsia" w:hAnsiTheme="minorEastAsia"/>
          <w:sz w:val="24"/>
          <w:szCs w:val="24"/>
        </w:rPr>
        <w:t>且在此情况下，作为成交供应商之后第一位的成交候选人应同意与采购</w:t>
      </w:r>
      <w:r>
        <w:rPr>
          <w:rFonts w:hint="eastAsia" w:asciiTheme="minorEastAsia" w:hAnsiTheme="minorEastAsia"/>
          <w:sz w:val="24"/>
          <w:szCs w:val="24"/>
        </w:rPr>
        <w:t>人</w:t>
      </w:r>
      <w:r>
        <w:rPr>
          <w:rFonts w:asciiTheme="minorEastAsia" w:hAnsiTheme="minorEastAsia"/>
          <w:sz w:val="24"/>
          <w:szCs w:val="24"/>
        </w:rPr>
        <w:t>按不高于其最终报价签订采购合同。</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23.成交服务费</w:t>
      </w:r>
    </w:p>
    <w:p>
      <w:pPr>
        <w:keepNext w:val="0"/>
        <w:keepLines w:val="0"/>
        <w:pageBreakBefore w:val="0"/>
        <w:kinsoku/>
        <w:wordWrap/>
        <w:overflowPunct/>
        <w:topLinePunct w:val="0"/>
        <w:autoSpaceDE/>
        <w:autoSpaceDN/>
        <w:bidi w:val="0"/>
        <w:adjustRightInd/>
        <w:spacing w:line="400" w:lineRule="exact"/>
        <w:ind w:right="0" w:rightChars="0" w:firstLine="240" w:firstLineChars="100"/>
        <w:textAlignment w:val="auto"/>
        <w:rPr>
          <w:rFonts w:asciiTheme="minorEastAsia" w:hAnsiTheme="minorEastAsia"/>
          <w:sz w:val="24"/>
          <w:szCs w:val="24"/>
          <w:shd w:val="pct10" w:color="auto" w:fill="FFFFFF"/>
        </w:rPr>
      </w:pPr>
      <w:r>
        <w:rPr>
          <w:rFonts w:hint="eastAsia" w:asciiTheme="minorEastAsia" w:hAnsiTheme="minorEastAsia"/>
          <w:sz w:val="24"/>
          <w:szCs w:val="24"/>
          <w:lang w:eastAsia="zh-CN"/>
        </w:rPr>
        <w:t>本</w:t>
      </w:r>
      <w:r>
        <w:rPr>
          <w:rFonts w:hint="eastAsia" w:asciiTheme="minorEastAsia" w:hAnsiTheme="minorEastAsia"/>
          <w:sz w:val="24"/>
          <w:szCs w:val="24"/>
        </w:rPr>
        <w:t>中心不收取采购代理服务费。</w:t>
      </w:r>
      <w:r>
        <w:rPr>
          <w:rFonts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pacing w:line="400" w:lineRule="exact"/>
        <w:ind w:right="0" w:rightChars="0"/>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both"/>
        <w:textAlignment w:val="auto"/>
        <w:outlineLvl w:val="0"/>
        <w:rPr>
          <w:rFonts w:ascii="宋体" w:hAnsi="宋体"/>
          <w:b/>
          <w:bCs/>
          <w:sz w:val="30"/>
          <w:szCs w:val="30"/>
        </w:rPr>
        <w:sectPr>
          <w:pgSz w:w="11906" w:h="16838"/>
          <w:pgMar w:top="1440" w:right="1797" w:bottom="1440" w:left="1797" w:header="851" w:footer="992" w:gutter="0"/>
          <w:cols w:space="720" w:num="1"/>
          <w:docGrid w:linePitch="312" w:charSpace="0"/>
        </w:sect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numPr>
          <w:ilvl w:val="0"/>
          <w:numId w:val="0"/>
        </w:numPr>
        <w:spacing w:line="360" w:lineRule="auto"/>
        <w:ind w:leftChars="0"/>
        <w:jc w:val="center"/>
        <w:outlineLvl w:val="0"/>
        <w:rPr>
          <w:rFonts w:hint="eastAsia" w:ascii="宋体" w:hAnsi="宋体"/>
          <w:b/>
          <w:bCs/>
          <w:sz w:val="36"/>
          <w:szCs w:val="36"/>
        </w:rPr>
      </w:pPr>
      <w:r>
        <w:rPr>
          <w:rFonts w:hint="eastAsia" w:ascii="宋体" w:hAnsi="宋体"/>
          <w:b/>
          <w:bCs/>
          <w:sz w:val="36"/>
          <w:szCs w:val="36"/>
          <w:lang w:eastAsia="zh-CN"/>
        </w:rPr>
        <w:t>第四章</w:t>
      </w:r>
      <w:r>
        <w:rPr>
          <w:rFonts w:hint="eastAsia" w:ascii="宋体" w:hAnsi="宋体"/>
          <w:b/>
          <w:bCs/>
          <w:sz w:val="36"/>
          <w:szCs w:val="36"/>
        </w:rPr>
        <w:t xml:space="preserve"> 磋商内容及要求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30"/>
          <w:szCs w:val="30"/>
          <w:lang w:val="en-US" w:eastAsia="zh-CN"/>
        </w:rPr>
      </w:pPr>
      <w:bookmarkStart w:id="4" w:name="_Toc268599010"/>
      <w:r>
        <w:rPr>
          <w:rFonts w:hint="eastAsia" w:ascii="宋体" w:hAnsi="宋体" w:eastAsia="宋体" w:cs="宋体"/>
          <w:b/>
          <w:bCs/>
          <w:sz w:val="30"/>
          <w:szCs w:val="30"/>
          <w:lang w:val="en-US" w:eastAsia="zh-CN"/>
        </w:rPr>
        <w:t>铜仁市市级社会保险基金财政专户结余资金存放管理项目1包开户银行定期存放</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default"/>
          <w:sz w:val="28"/>
          <w:szCs w:val="28"/>
          <w:lang w:val="en-US" w:eastAsia="zh-CN"/>
        </w:rPr>
      </w:pPr>
    </w:p>
    <w:p>
      <w:pPr>
        <w:ind w:firstLine="640" w:firstLineChars="200"/>
        <w:jc w:val="left"/>
        <w:rPr>
          <w:rFonts w:hint="eastAsia" w:ascii="仿宋_GB2312" w:eastAsia="仿宋_GB2312"/>
          <w:sz w:val="32"/>
          <w:szCs w:val="32"/>
        </w:rPr>
      </w:pPr>
      <w:bookmarkStart w:id="5" w:name="_Toc46308528"/>
      <w:bookmarkStart w:id="6" w:name="_Toc37663392"/>
      <w:bookmarkStart w:id="7" w:name="_Toc40762371"/>
      <w:bookmarkStart w:id="8" w:name="_Toc46308684"/>
      <w:bookmarkStart w:id="9" w:name="_Toc37331081"/>
      <w:bookmarkStart w:id="10" w:name="_Toc37581421"/>
      <w:bookmarkStart w:id="11" w:name="_Toc37569520"/>
      <w:bookmarkStart w:id="12" w:name="_Toc37331039"/>
      <w:r>
        <w:rPr>
          <w:rFonts w:hint="eastAsia" w:ascii="仿宋_GB2312" w:hAnsi="宋体" w:eastAsia="仿宋_GB2312"/>
          <w:sz w:val="32"/>
          <w:szCs w:val="32"/>
        </w:rPr>
        <w:t>根据《财政部关于进一步加强财政部门和预算单位资金存放管理的指导意见》（财库〔2017〕76号）</w:t>
      </w:r>
      <w:r>
        <w:rPr>
          <w:rFonts w:hint="eastAsia" w:ascii="仿宋_GB2312" w:hAnsi="宋体" w:eastAsia="仿宋_GB2312"/>
          <w:sz w:val="32"/>
          <w:szCs w:val="32"/>
          <w:lang w:val="en-US" w:eastAsia="zh-CN"/>
        </w:rPr>
        <w:t>和《贵州省省级财政专户资金存放管理办法的通知》（黔财库〔2018〕93号 ）等</w:t>
      </w:r>
      <w:r>
        <w:rPr>
          <w:rFonts w:hint="eastAsia" w:ascii="仿宋_GB2312" w:hAnsi="宋体" w:eastAsia="仿宋_GB2312"/>
          <w:sz w:val="32"/>
          <w:szCs w:val="32"/>
        </w:rPr>
        <w:t>文件精神，为进一步加强市本级财政社保基金存放管理，确保基金保值增值和增加抗风险能力，同时结合“金融支持助推我市地方经济发展和脱贫攻坚</w:t>
      </w:r>
      <w:r>
        <w:rPr>
          <w:rFonts w:hint="eastAsia" w:ascii="仿宋_GB2312" w:hAnsi="宋体" w:eastAsia="仿宋_GB2312"/>
          <w:sz w:val="32"/>
          <w:szCs w:val="32"/>
          <w:lang w:eastAsia="zh-CN"/>
        </w:rPr>
        <w:t>”</w:t>
      </w:r>
      <w:r>
        <w:rPr>
          <w:rFonts w:hint="eastAsia" w:ascii="仿宋_GB2312" w:hAnsi="宋体" w:eastAsia="仿宋_GB2312"/>
          <w:sz w:val="32"/>
          <w:szCs w:val="32"/>
        </w:rPr>
        <w:t>工作情况，经市局党组研究并报市政府批复同意，特制定本方案。</w:t>
      </w:r>
      <w:r>
        <w:rPr>
          <w:rFonts w:hint="eastAsia" w:ascii="仿宋_GB2312" w:eastAsia="仿宋_GB2312"/>
          <w:sz w:val="32"/>
          <w:szCs w:val="32"/>
        </w:rPr>
        <w:t xml:space="preserve"> </w:t>
      </w:r>
    </w:p>
    <w:p>
      <w:pPr>
        <w:numPr>
          <w:ilvl w:val="0"/>
          <w:numId w:val="2"/>
        </w:numPr>
        <w:rPr>
          <w:rFonts w:hint="eastAsia" w:ascii="黑体" w:hAnsi="黑体" w:eastAsia="黑体" w:cs="黑体"/>
          <w:sz w:val="32"/>
          <w:szCs w:val="32"/>
        </w:rPr>
      </w:pPr>
      <w:r>
        <w:rPr>
          <w:rFonts w:hint="eastAsia" w:ascii="黑体" w:hAnsi="黑体" w:eastAsia="黑体" w:cs="黑体"/>
          <w:sz w:val="32"/>
          <w:szCs w:val="32"/>
        </w:rPr>
        <w:t>资金存放总量及期限</w:t>
      </w:r>
    </w:p>
    <w:p>
      <w:pPr>
        <w:ind w:firstLine="640" w:firstLineChars="200"/>
        <w:rPr>
          <w:rFonts w:hint="eastAsia" w:ascii="仿宋_GB2312" w:eastAsia="仿宋_GB2312"/>
          <w:color w:val="FF0000"/>
          <w:sz w:val="32"/>
          <w:szCs w:val="32"/>
          <w:lang w:eastAsia="zh-CN"/>
        </w:rPr>
      </w:pPr>
      <w:r>
        <w:rPr>
          <w:rFonts w:hint="eastAsia" w:ascii="仿宋_GB2312" w:eastAsia="仿宋_GB2312"/>
          <w:sz w:val="32"/>
          <w:szCs w:val="32"/>
        </w:rPr>
        <w:t>社会保险基金大额财政专户资金定期存放总量为</w:t>
      </w:r>
      <w:r>
        <w:rPr>
          <w:rFonts w:hint="eastAsia" w:ascii="仿宋_GB2312" w:eastAsia="仿宋_GB2312"/>
          <w:sz w:val="32"/>
          <w:szCs w:val="32"/>
          <w:lang w:val="en-US" w:eastAsia="zh-CN"/>
        </w:rPr>
        <w:t>平均结余资金的40%</w:t>
      </w:r>
      <w:r>
        <w:rPr>
          <w:rFonts w:hint="eastAsia" w:ascii="仿宋_GB2312" w:eastAsia="仿宋_GB2312"/>
          <w:sz w:val="32"/>
          <w:szCs w:val="32"/>
        </w:rPr>
        <w:t>，按5:5比例进行定额存放，其中开户银行定期存放和转出开户银行定期存放各占50%。基金大额定期存放方式为一年期和三年期阶梯式定存，其中：三年期定存</w:t>
      </w:r>
      <w:r>
        <w:rPr>
          <w:rFonts w:hint="eastAsia" w:ascii="仿宋_GB2312" w:eastAsia="仿宋_GB2312"/>
          <w:sz w:val="32"/>
          <w:szCs w:val="32"/>
          <w:lang w:val="en-US" w:eastAsia="zh-CN"/>
        </w:rPr>
        <w:t>占资金总量90%</w:t>
      </w:r>
      <w:r>
        <w:rPr>
          <w:rFonts w:hint="eastAsia" w:ascii="仿宋_GB2312" w:eastAsia="仿宋_GB2312"/>
          <w:sz w:val="32"/>
          <w:szCs w:val="32"/>
        </w:rPr>
        <w:t>，一年期定存</w:t>
      </w:r>
      <w:r>
        <w:rPr>
          <w:rFonts w:hint="eastAsia" w:ascii="仿宋_GB2312" w:eastAsia="仿宋_GB2312"/>
          <w:sz w:val="32"/>
          <w:szCs w:val="32"/>
          <w:lang w:val="en-US" w:eastAsia="zh-CN"/>
        </w:rPr>
        <w:t>占资金总量10%</w:t>
      </w:r>
      <w:r>
        <w:rPr>
          <w:rFonts w:hint="eastAsia" w:ascii="仿宋_GB2312" w:eastAsia="仿宋_GB2312"/>
          <w:sz w:val="32"/>
          <w:szCs w:val="32"/>
        </w:rPr>
        <w:t>。一年期定期存款到期后将视基金当期结余总体情况进行调整存放。</w:t>
      </w:r>
      <w:r>
        <w:rPr>
          <w:rFonts w:hint="eastAsia" w:ascii="仿宋_GB2312" w:eastAsia="仿宋_GB2312"/>
          <w:color w:val="FF0000"/>
          <w:sz w:val="32"/>
          <w:szCs w:val="32"/>
          <w:lang w:eastAsia="zh-CN"/>
        </w:rPr>
        <w:t>一包：</w:t>
      </w:r>
      <w:r>
        <w:rPr>
          <w:rFonts w:hint="eastAsia" w:ascii="仿宋_GB2312" w:eastAsia="仿宋_GB2312"/>
          <w:color w:val="FF0000"/>
          <w:sz w:val="32"/>
          <w:szCs w:val="32"/>
        </w:rPr>
        <w:t>开户银行定期存放</w:t>
      </w:r>
      <w:r>
        <w:rPr>
          <w:rFonts w:hint="eastAsia" w:ascii="仿宋_GB2312" w:eastAsia="仿宋_GB2312"/>
          <w:color w:val="FF0000"/>
          <w:sz w:val="32"/>
          <w:szCs w:val="32"/>
          <w:lang w:eastAsia="zh-CN"/>
        </w:rPr>
        <w:t>；二包：</w:t>
      </w:r>
      <w:r>
        <w:rPr>
          <w:rFonts w:hint="eastAsia" w:ascii="仿宋_GB2312" w:eastAsia="仿宋_GB2312"/>
          <w:color w:val="FF0000"/>
          <w:sz w:val="32"/>
          <w:szCs w:val="32"/>
        </w:rPr>
        <w:t>转出开户银行定期存放</w:t>
      </w:r>
      <w:r>
        <w:rPr>
          <w:rFonts w:hint="eastAsia" w:ascii="仿宋_GB2312" w:eastAsia="仿宋_GB2312"/>
          <w:color w:val="FF0000"/>
          <w:sz w:val="32"/>
          <w:szCs w:val="32"/>
          <w:lang w:eastAsia="zh-CN"/>
        </w:rPr>
        <w:t>。</w:t>
      </w:r>
    </w:p>
    <w:p>
      <w:pPr>
        <w:ind w:firstLine="640" w:firstLineChars="200"/>
        <w:rPr>
          <w:rFonts w:hint="eastAsia" w:ascii="仿宋_GB2312" w:eastAsia="仿宋_GB2312"/>
          <w:color w:val="FF0000"/>
          <w:sz w:val="32"/>
          <w:szCs w:val="32"/>
          <w:lang w:val="en-US" w:eastAsia="zh-CN"/>
        </w:rPr>
      </w:pPr>
      <w:r>
        <w:rPr>
          <w:rFonts w:hint="eastAsia" w:ascii="仿宋_GB2312" w:eastAsia="仿宋_GB2312"/>
          <w:color w:val="FF0000"/>
          <w:sz w:val="32"/>
          <w:szCs w:val="32"/>
          <w:lang w:val="en-US" w:eastAsia="zh-CN"/>
        </w:rPr>
        <w:t>本次招标服务期：三年。</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 xml:space="preserve"> 二、投标资格要求</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1.铜仁市辖区内设有分支机构且有营业网点的国有商业银行、政策性银行、股份制商业银行、农村商业银行、邮政储蓄银行和农村信用社。</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2.持有中国银行业监督管理委员会或其授权单位颁发的《金融机构法人许可证》或《金融许可证》，以及工商行政管理部门颁发的营业执照。</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3.经营性指标需与2019年度年报公开数据一致，且达到银行业金融机构监管指标，不良贷款率≤5%，流动覆盖率≥100%，流动性比例≥25%。</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4.依法开展经营活动，近 3 年内在经营活动中无重大违法记录。</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5.内部管理机制健全，具有较强的风险控制能力，近3年内未发生金融风险及重大违约事件。</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6.投标银行必须以可流通国债和地方政府债券为质押，质押的国债面值数额为定期存放金额的105%，质押的地方政府债券面值数额为定期存放金额的115%。参与投标银行须提供可质押的</w:t>
      </w:r>
      <w:r>
        <w:rPr>
          <w:rFonts w:hint="eastAsia" w:ascii="仿宋_GB2312" w:hAnsi="宋体" w:eastAsia="仿宋_GB2312"/>
          <w:color w:val="FF0000"/>
          <w:sz w:val="32"/>
          <w:szCs w:val="32"/>
          <w:lang w:eastAsia="zh-CN"/>
        </w:rPr>
        <w:t>本级及以上</w:t>
      </w:r>
      <w:r>
        <w:rPr>
          <w:rFonts w:hint="eastAsia" w:ascii="仿宋_GB2312" w:hAnsi="宋体" w:eastAsia="仿宋_GB2312"/>
          <w:sz w:val="32"/>
          <w:szCs w:val="32"/>
        </w:rPr>
        <w:t>国债和地方政府债券</w:t>
      </w:r>
      <w:r>
        <w:rPr>
          <w:rFonts w:hint="eastAsia" w:ascii="仿宋_GB2312" w:hAnsi="宋体" w:eastAsia="仿宋_GB2312"/>
          <w:sz w:val="32"/>
          <w:szCs w:val="32"/>
          <w:lang w:eastAsia="zh-CN"/>
        </w:rPr>
        <w:t>或证券</w:t>
      </w:r>
      <w:r>
        <w:rPr>
          <w:rFonts w:hint="eastAsia" w:ascii="仿宋_GB2312" w:hAnsi="宋体" w:eastAsia="仿宋_GB2312"/>
          <w:sz w:val="32"/>
          <w:szCs w:val="32"/>
        </w:rPr>
        <w:t>承诺函。</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7.本项目不接受联合体投标</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投标机构采取省级</w:t>
      </w:r>
      <w:r>
        <w:rPr>
          <w:rFonts w:hint="eastAsia" w:ascii="仿宋_GB2312" w:hAnsi="仿宋_GB2312" w:eastAsia="仿宋_GB2312" w:cs="仿宋_GB2312"/>
          <w:b w:val="0"/>
          <w:bCs w:val="0"/>
          <w:sz w:val="32"/>
          <w:szCs w:val="32"/>
          <w:lang w:val="en-US" w:eastAsia="zh-CN"/>
        </w:rPr>
        <w:t>统一管理，使用同一平台，统一标识的除外</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 xml:space="preserve">8.法律、行政法规规定的其他条件。       </w:t>
      </w:r>
    </w:p>
    <w:p>
      <w:pPr>
        <w:ind w:firstLine="640" w:firstLineChars="200"/>
        <w:jc w:val="left"/>
        <w:rPr>
          <w:b/>
          <w:sz w:val="36"/>
          <w:szCs w:val="36"/>
        </w:rPr>
      </w:pPr>
      <w:r>
        <w:rPr>
          <w:rFonts w:hint="eastAsia" w:ascii="黑体" w:hAnsi="黑体" w:eastAsia="黑体" w:cs="黑体"/>
          <w:sz w:val="32"/>
          <w:szCs w:val="32"/>
        </w:rPr>
        <w:t>三、评标办法和中标资金分配原则</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（一）评标原则。</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1.认真贯彻国家有关采购的法律、法规和政策，维护国家利益。</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2.维护各方当事人的合法权益。</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3.按照招标文件确定的标准和方法，对投标文件进行评审和比较。没有纳入招标文件的标准和方法，不得作为评标的依据。</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（二）评标方法。</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 xml:space="preserve">1. </w:t>
      </w:r>
      <w:bookmarkStart w:id="13" w:name="_Hlk28076528"/>
      <w:r>
        <w:rPr>
          <w:rFonts w:hint="eastAsia" w:ascii="仿宋_GB2312" w:hAnsi="宋体" w:eastAsia="仿宋_GB2312"/>
          <w:sz w:val="32"/>
          <w:szCs w:val="32"/>
        </w:rPr>
        <w:t>本次评标采用综合评分法，并按照招标文件中规定的各项因素进行综合评审后，按开户银行和非开户银行分类记分，并按从高到低顺序，选取贡献度指标不为0的银行为中标银行，依次分配存款额度。</w:t>
      </w:r>
    </w:p>
    <w:bookmarkEnd w:id="13"/>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2.各中标银行的存款额度以亿元为单位，四舍五入后保留两位小数。</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3.各银行中标利率。各中标银行的投标利率即为其中标利率。</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四、评标流程</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（一）投标文件初审。初审分为资格性检查和符合性检查。</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1.资格性检查。依据法律法规和招标文件的规定，对投标文件中的资格证明、投标保证金等进行审查，以确定投标人是否具备投标资格。</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2.符合性检查。依据招标文件的规定，从投标文件的有效性、完整性和对招标文件的响应程度进行审查，以确定是否对招标文件的实质性要求作出响应。</w:t>
      </w:r>
    </w:p>
    <w:p>
      <w:pPr>
        <w:spacing w:line="4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资格性符合性审查表格（审查内容）：</w:t>
      </w:r>
    </w:p>
    <w:tbl>
      <w:tblPr>
        <w:tblStyle w:val="16"/>
        <w:tblW w:w="9087" w:type="dxa"/>
        <w:tblInd w:w="93" w:type="dxa"/>
        <w:tblLayout w:type="fixed"/>
        <w:tblCellMar>
          <w:top w:w="0" w:type="dxa"/>
          <w:left w:w="108" w:type="dxa"/>
          <w:bottom w:w="0" w:type="dxa"/>
          <w:right w:w="108" w:type="dxa"/>
        </w:tblCellMar>
      </w:tblPr>
      <w:tblGrid>
        <w:gridCol w:w="724"/>
        <w:gridCol w:w="8363"/>
      </w:tblGrid>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序号</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资格要求</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1</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eastAsia="zh-CN"/>
              </w:rPr>
            </w:pPr>
            <w:r>
              <w:rPr>
                <w:kern w:val="0"/>
                <w:szCs w:val="21"/>
              </w:rPr>
              <w:t>投标保证金</w:t>
            </w:r>
            <w:r>
              <w:rPr>
                <w:rFonts w:hint="eastAsia"/>
                <w:color w:val="FF0000"/>
                <w:kern w:val="0"/>
                <w:szCs w:val="21"/>
                <w:lang w:eastAsia="zh-CN"/>
              </w:rPr>
              <w:t>（如有）</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2</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投标书</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szCs w:val="21"/>
              </w:rPr>
              <w:t>3</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提供“营业执照副本、组织机构代码证副本、税务登记证副本复印件”或“三证合一复印件”</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4</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提供中国银行业监督管理委员会或其授权单位核发的《金融机构法人许可证》复印件或《金融营业许可证》复印件</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rFonts w:hint="eastAsia"/>
                <w:kern w:val="0"/>
                <w:szCs w:val="21"/>
              </w:rPr>
              <w:t>5</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rFonts w:hint="eastAsia"/>
                <w:szCs w:val="21"/>
              </w:rPr>
              <w:t>不良贷款率≤</w:t>
            </w:r>
            <w:r>
              <w:rPr>
                <w:szCs w:val="21"/>
              </w:rPr>
              <w:t>5</w:t>
            </w:r>
            <w:r>
              <w:rPr>
                <w:rFonts w:hint="eastAsia"/>
                <w:szCs w:val="21"/>
              </w:rPr>
              <w:t>%，流动性覆盖率≥1</w:t>
            </w:r>
            <w:r>
              <w:rPr>
                <w:szCs w:val="21"/>
              </w:rPr>
              <w:t>00</w:t>
            </w:r>
            <w:r>
              <w:rPr>
                <w:rFonts w:hint="eastAsia"/>
                <w:szCs w:val="21"/>
              </w:rPr>
              <w:t>%，流动性比例≥</w:t>
            </w:r>
            <w:r>
              <w:rPr>
                <w:szCs w:val="21"/>
              </w:rPr>
              <w:t>25</w:t>
            </w:r>
            <w:r>
              <w:rPr>
                <w:rFonts w:hint="eastAsia"/>
                <w:szCs w:val="21"/>
              </w:rPr>
              <w:t>%</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6</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依法开展经营活动，近 3 年内在经营活动中无重大违法记录</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7</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内部管理机制健全，具有较强的风险控制能力，近3年内未发生金融风险及重大违约事件</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8</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投标银行质押的国债面值数额为</w:t>
            </w:r>
            <w:r>
              <w:rPr>
                <w:rFonts w:hint="eastAsia"/>
                <w:szCs w:val="21"/>
              </w:rPr>
              <w:t>定期存放</w:t>
            </w:r>
            <w:r>
              <w:rPr>
                <w:szCs w:val="21"/>
              </w:rPr>
              <w:t>金额的105%，质押的地方政府债券面值数额为</w:t>
            </w:r>
            <w:r>
              <w:rPr>
                <w:rFonts w:hint="eastAsia"/>
                <w:szCs w:val="21"/>
              </w:rPr>
              <w:t>定期存放</w:t>
            </w:r>
            <w:r>
              <w:rPr>
                <w:szCs w:val="21"/>
              </w:rPr>
              <w:t>金额的115%。参与投标银行须提供</w:t>
            </w:r>
            <w:r>
              <w:rPr>
                <w:rFonts w:hint="eastAsia"/>
                <w:color w:val="FF0000"/>
                <w:szCs w:val="21"/>
                <w:lang w:val="en-US" w:eastAsia="zh-CN"/>
              </w:rPr>
              <w:t>本级或上级</w:t>
            </w:r>
            <w:r>
              <w:rPr>
                <w:szCs w:val="21"/>
              </w:rPr>
              <w:t>可质押的国债和</w:t>
            </w:r>
            <w:r>
              <w:rPr>
                <w:rFonts w:hint="eastAsia"/>
                <w:szCs w:val="21"/>
              </w:rPr>
              <w:t>地方政府债券</w:t>
            </w:r>
            <w:r>
              <w:rPr>
                <w:rFonts w:hint="eastAsia"/>
                <w:szCs w:val="21"/>
                <w:lang w:eastAsia="zh-CN"/>
              </w:rPr>
              <w:t>或证券</w:t>
            </w:r>
            <w:r>
              <w:rPr>
                <w:szCs w:val="21"/>
              </w:rPr>
              <w:t>承诺函</w:t>
            </w:r>
            <w:bookmarkStart w:id="15" w:name="_GoBack"/>
            <w:bookmarkEnd w:id="15"/>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9</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ind w:left="5" w:hanging="5"/>
              <w:rPr>
                <w:kern w:val="0"/>
                <w:szCs w:val="21"/>
              </w:rPr>
            </w:pPr>
            <w:r>
              <w:rPr>
                <w:szCs w:val="21"/>
              </w:rPr>
              <w:t>提供法人银行授权委托书</w:t>
            </w:r>
            <w:r>
              <w:rPr>
                <w:rFonts w:hint="eastAsia"/>
                <w:szCs w:val="21"/>
              </w:rPr>
              <w:t>（省级分行负责人授权委托书亦可）</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rFonts w:hint="eastAsia"/>
                <w:kern w:val="0"/>
                <w:szCs w:val="21"/>
              </w:rPr>
              <w:t>10</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rFonts w:hint="eastAsia"/>
                <w:szCs w:val="21"/>
              </w:rPr>
              <w:t>相关指标需与2019、2020年度年报公开数据一致</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eastAsiaTheme="minorEastAsia"/>
                <w:kern w:val="0"/>
                <w:szCs w:val="21"/>
                <w:lang w:val="en-US" w:eastAsia="zh-CN"/>
              </w:rPr>
            </w:pPr>
            <w:r>
              <w:rPr>
                <w:rFonts w:hint="eastAsia"/>
                <w:kern w:val="0"/>
                <w:szCs w:val="21"/>
                <w:lang w:val="en-US" w:eastAsia="zh-CN"/>
              </w:rPr>
              <w:t>11</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Cs w:val="21"/>
              </w:rPr>
            </w:pPr>
            <w:r>
              <w:rPr>
                <w:rFonts w:hint="eastAsia"/>
                <w:szCs w:val="21"/>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tc>
      </w:tr>
    </w:tbl>
    <w:p>
      <w:pPr>
        <w:spacing w:line="560" w:lineRule="exact"/>
        <w:ind w:firstLine="53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澄清有关问题。对投标文件中含义不明确、同类问题表述不一致或者有明显文字和计算错误的内容，评标委员会可以书面形式要求投标人作出必要的澄清、说明或者纠正。投标人的澄清、说明或者纠正应当采用书面形式，由其授权的代表签字，并不得超出投标文件的范围或者改变投标文件的实质性内容。</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（三）比较与评价。按招标文件中规定的评标方法和标准，对资格性检查和符合性检查合格的投标文件进评估，综合比较与评价。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（四）推荐中标候选银行名单。根据</w:t>
      </w:r>
      <w:r>
        <w:rPr>
          <w:rFonts w:hint="eastAsia" w:ascii="仿宋_GB2312" w:hAnsi="仿宋_GB2312" w:eastAsia="仿宋_GB2312" w:cs="仿宋_GB2312"/>
          <w:sz w:val="32"/>
          <w:szCs w:val="32"/>
        </w:rPr>
        <w:t>评标委员评分结果，选取贡献度指标不为0的银行为中标银行。</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（五）编写评标报告。评标报告是评标委员会根据全体评标成员签字的原始评标记录和评标结果编写的报告，其主要内容包括：</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1.招标公告刊登的媒体名称、开标日期和地点；</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2.购买招标文件的投标人名单和评标委员会成员名单；</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3.评标方法和标准；</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4.开标记录和评标情况及说明，包括投标无效投标人名单及原因；</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5.评标结果和中标候选供应商排序表；</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6.评标委员会的授标建议。</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五、定标原则</w:t>
      </w:r>
    </w:p>
    <w:p>
      <w:pPr>
        <w:tabs>
          <w:tab w:val="left" w:pos="306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招标人将把合同授予被确定为实质上响应招标文件的要求并有履行合同能力的投标人。</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六、废标条款</w:t>
      </w:r>
    </w:p>
    <w:p>
      <w:pPr>
        <w:spacing w:line="560" w:lineRule="exact"/>
        <w:ind w:firstLine="405"/>
        <w:rPr>
          <w:rFonts w:hint="eastAsia" w:ascii="仿宋_GB2312" w:hAnsi="仿宋_GB2312" w:eastAsia="仿宋_GB2312" w:cs="仿宋_GB2312"/>
          <w:b/>
          <w:sz w:val="32"/>
          <w:szCs w:val="32"/>
        </w:rPr>
      </w:pPr>
      <w:r>
        <w:rPr>
          <w:rFonts w:hint="eastAsia" w:ascii="仿宋_GB2312" w:hAnsi="仿宋_GB2312" w:eastAsia="仿宋_GB2312" w:cs="仿宋_GB2312"/>
          <w:kern w:val="0"/>
          <w:sz w:val="32"/>
          <w:szCs w:val="32"/>
        </w:rPr>
        <w:t>在招标采购中，出现下列情形之一的，应予废标：</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1.符合专业条件的供应商或者对招标文件作实质响应的供应商不足三家的。</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2.出现影响采购公正的违法、违规行为的。</w:t>
      </w:r>
    </w:p>
    <w:p>
      <w:pPr>
        <w:spacing w:line="560" w:lineRule="exact"/>
        <w:ind w:firstLine="640" w:firstLineChars="200"/>
        <w:rPr>
          <w:b/>
          <w:kern w:val="0"/>
          <w:sz w:val="36"/>
          <w:szCs w:val="36"/>
        </w:rPr>
      </w:pPr>
      <w:r>
        <w:rPr>
          <w:rFonts w:hint="eastAsia" w:ascii="仿宋_GB2312" w:hAnsi="仿宋_GB2312" w:eastAsia="仿宋_GB2312" w:cs="仿宋_GB2312"/>
          <w:kern w:val="0"/>
          <w:sz w:val="32"/>
          <w:szCs w:val="32"/>
        </w:rPr>
        <w:t>3.因重大变故，采购任务取消的。</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七、商务要求</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（一）资质要求：详情请见资格性符合性审查表格。</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标银行需提供固定的定期存款账户信息，由中标银行加盖公章后，交市财政局作为社保基金竞争性存放资金划款或核实中标银行所出具定期存款证明的依据。竞争性存放资金实行专账管理，中标银行不得随意更改定期存款账户信息。</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（三）质押品办理：中标商业银行必须在中标结果公布后次三个工作日内足额提供质押品。</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（四）质押当天和市财政局签订《铜仁市市级社保基金</w:t>
      </w:r>
      <w:r>
        <w:rPr>
          <w:rFonts w:hint="eastAsia" w:ascii="仿宋_GB2312" w:hAnsi="仿宋_GB2312" w:eastAsia="仿宋_GB2312" w:cs="仿宋_GB2312"/>
          <w:kern w:val="0"/>
          <w:sz w:val="32"/>
          <w:szCs w:val="32"/>
        </w:rPr>
        <w:t>竞争性</w:t>
      </w:r>
      <w:r>
        <w:rPr>
          <w:rFonts w:hint="eastAsia" w:ascii="仿宋_GB2312" w:hAnsi="仿宋_GB2312" w:eastAsia="仿宋_GB2312" w:cs="仿宋_GB2312"/>
          <w:sz w:val="32"/>
          <w:szCs w:val="32"/>
        </w:rPr>
        <w:t>存放协议》，签订《XX银行廉政承诺书》。</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（五）市财政局确认存款银行足额质押和签订协议后的次一个工作日内，将划拨凭证（含电子数据）送达相关银行。银行收到市财政局提交的划款凭证，经审核无误后，于当日将资金划转拨至存款银行。</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具存款证明：存款银行收到资金后，当日开具存款证明，当日起息。存款证明包括户名、账号、开户行、金额、利率、期限等要素内容，户名统一为“铜仁市财政局社会保障基金专户”。存款银行收到存款资金当日将存款证明送至市财政局。</w:t>
      </w:r>
    </w:p>
    <w:p>
      <w:pPr>
        <w:widowControl/>
        <w:shd w:val="clear" w:color="auto" w:fill="FFFFFF"/>
        <w:tabs>
          <w:tab w:val="left" w:pos="2520"/>
          <w:tab w:val="left" w:pos="270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（七）存款本金和利息划回：存款到期日，存款银行根据市财政局提供的账户信息将存款本金和利息划回指定账户（节假日顺延）。</w:t>
      </w:r>
    </w:p>
    <w:p>
      <w:pPr>
        <w:ind w:firstLine="600" w:firstLineChars="200"/>
        <w:jc w:val="left"/>
        <w:rPr>
          <w:rFonts w:hint="eastAsia" w:ascii="宋体" w:hAnsi="宋体"/>
          <w:color w:val="0000FF"/>
          <w:sz w:val="30"/>
          <w:szCs w:val="30"/>
        </w:rPr>
      </w:pPr>
    </w:p>
    <w:p>
      <w:pPr>
        <w:ind w:firstLine="600" w:firstLineChars="200"/>
        <w:jc w:val="left"/>
        <w:rPr>
          <w:rFonts w:hint="eastAsia" w:ascii="宋体" w:hAnsi="宋体"/>
          <w:color w:val="0000FF"/>
          <w:sz w:val="30"/>
          <w:szCs w:val="30"/>
        </w:rPr>
      </w:pPr>
      <w:r>
        <w:rPr>
          <w:rFonts w:hint="eastAsia" w:ascii="宋体" w:hAnsi="宋体"/>
          <w:color w:val="0000FF"/>
          <w:sz w:val="30"/>
          <w:szCs w:val="30"/>
        </w:rPr>
        <w:t>备注：招标文件论证费和专家评审费用由中标人承担。</w:t>
      </w:r>
    </w:p>
    <w:bookmarkEnd w:id="5"/>
    <w:bookmarkEnd w:id="6"/>
    <w:bookmarkEnd w:id="7"/>
    <w:bookmarkEnd w:id="8"/>
    <w:bookmarkEnd w:id="9"/>
    <w:bookmarkEnd w:id="10"/>
    <w:bookmarkEnd w:id="11"/>
    <w:bookmarkEnd w:id="12"/>
    <w:p>
      <w:pPr>
        <w:spacing w:line="360" w:lineRule="auto"/>
        <w:jc w:val="both"/>
        <w:rPr>
          <w:rFonts w:hint="eastAsia" w:ascii="宋体" w:hAnsi="宋体" w:eastAsia="黑体"/>
          <w:b/>
          <w:bCs/>
          <w:color w:val="000000"/>
          <w:sz w:val="32"/>
          <w:szCs w:val="32"/>
          <w:lang w:val="en-US" w:eastAsia="zh-CN"/>
        </w:rPr>
      </w:pPr>
      <w:r>
        <w:rPr>
          <w:rFonts w:hint="eastAsia" w:ascii="宋体" w:hAnsi="宋体"/>
          <w:color w:val="auto"/>
          <w:sz w:val="20"/>
          <w:highlight w:val="white"/>
        </w:rPr>
        <w:br w:type="page"/>
      </w:r>
    </w:p>
    <w:p>
      <w:pPr>
        <w:pStyle w:val="7"/>
      </w:pPr>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章  铜仁市</w:t>
      </w:r>
      <w:r>
        <w:rPr>
          <w:rFonts w:hint="eastAsia" w:ascii="宋体" w:hAnsi="宋体"/>
          <w:b/>
          <w:sz w:val="36"/>
          <w:szCs w:val="36"/>
        </w:rPr>
        <w:t>政府采购合同（参考文本）</w:t>
      </w:r>
    </w:p>
    <w:bookmarkEnd w:id="4"/>
    <w:p>
      <w:pPr>
        <w:spacing w:line="360" w:lineRule="auto"/>
        <w:rPr>
          <w:rFonts w:asciiTheme="minorEastAsia" w:hAnsiTheme="minorEastAsia"/>
          <w:sz w:val="24"/>
          <w:szCs w:val="24"/>
        </w:rPr>
      </w:pPr>
      <w:bookmarkStart w:id="14" w:name="_Toc268599011"/>
      <w:r>
        <w:rPr>
          <w:rFonts w:hint="eastAsia" w:asciiTheme="minorEastAsia" w:hAnsiTheme="minorEastAsia"/>
          <w:sz w:val="24"/>
          <w:szCs w:val="24"/>
        </w:rPr>
        <w:t>甲方</w:t>
      </w:r>
      <w:r>
        <w:rPr>
          <w:rFonts w:asciiTheme="minorEastAsia" w:hAnsiTheme="minorEastAsia"/>
          <w:sz w:val="24"/>
          <w:szCs w:val="24"/>
        </w:rPr>
        <w:t>（</w:t>
      </w:r>
      <w:r>
        <w:rPr>
          <w:rFonts w:hint="eastAsia" w:asciiTheme="minorEastAsia" w:hAnsiTheme="minorEastAsia"/>
          <w:sz w:val="24"/>
          <w:szCs w:val="24"/>
        </w:rPr>
        <w:t>采购人</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签订地点：</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spacing w:line="360" w:lineRule="auto"/>
        <w:rPr>
          <w:rFonts w:asciiTheme="minorEastAsia" w:hAnsiTheme="minorEastAsia"/>
          <w:sz w:val="24"/>
          <w:szCs w:val="24"/>
          <w:u w:val="single"/>
        </w:rPr>
      </w:pPr>
      <w:r>
        <w:rPr>
          <w:rFonts w:hint="eastAsia" w:asciiTheme="minorEastAsia" w:hAnsiTheme="minorEastAsia"/>
          <w:sz w:val="24"/>
          <w:szCs w:val="24"/>
        </w:rPr>
        <w:t>乙方（成交供应商）：</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签订日期： </w:t>
      </w:r>
      <w:r>
        <w:rPr>
          <w:rFonts w:hint="eastAsia" w:asciiTheme="minorEastAsia" w:hAnsiTheme="minorEastAsia"/>
          <w:sz w:val="24"/>
          <w:szCs w:val="24"/>
          <w:u w:val="single"/>
        </w:rPr>
        <w:t xml:space="preserve">     年   月   日</w:t>
      </w:r>
    </w:p>
    <w:p>
      <w:pPr>
        <w:spacing w:line="360" w:lineRule="auto"/>
        <w:rPr>
          <w:rFonts w:asciiTheme="minorEastAsia" w:hAnsiTheme="minorEastAsia"/>
          <w:sz w:val="24"/>
          <w:szCs w:val="24"/>
        </w:rPr>
      </w:pPr>
      <w:r>
        <w:rPr>
          <w:rFonts w:hint="eastAsia" w:asciiTheme="minorEastAsia" w:hAnsiTheme="minorEastAsia"/>
          <w:sz w:val="24"/>
          <w:szCs w:val="24"/>
        </w:rPr>
        <w:t xml:space="preserve">    根据甲方委托</w:t>
      </w:r>
      <w:r>
        <w:rPr>
          <w:rFonts w:hint="eastAsia" w:asciiTheme="minorEastAsia" w:hAnsiTheme="minorEastAsia"/>
          <w:sz w:val="24"/>
          <w:szCs w:val="24"/>
          <w:u w:val="single"/>
        </w:rPr>
        <w:t>（采购代理机构）</w:t>
      </w:r>
      <w:r>
        <w:rPr>
          <w:rFonts w:hint="eastAsia" w:asciiTheme="minorEastAsia" w:hAnsiTheme="minorEastAsia"/>
          <w:sz w:val="24"/>
          <w:szCs w:val="24"/>
        </w:rPr>
        <w:t>对</w:t>
      </w:r>
      <w:r>
        <w:rPr>
          <w:rFonts w:hint="eastAsia" w:asciiTheme="minorEastAsia" w:hAnsiTheme="minorEastAsia"/>
          <w:sz w:val="24"/>
          <w:szCs w:val="24"/>
          <w:u w:val="single"/>
        </w:rPr>
        <w:t xml:space="preserve">       </w:t>
      </w:r>
      <w:r>
        <w:rPr>
          <w:rFonts w:hint="eastAsia" w:asciiTheme="minorEastAsia" w:hAnsiTheme="minorEastAsia"/>
          <w:sz w:val="24"/>
          <w:szCs w:val="24"/>
        </w:rPr>
        <w:t>进行采购（项目编号：</w:t>
      </w:r>
      <w:r>
        <w:rPr>
          <w:rFonts w:hint="eastAsia" w:asciiTheme="minorEastAsia" w:hAnsiTheme="minorEastAsia"/>
          <w:sz w:val="24"/>
          <w:szCs w:val="24"/>
          <w:u w:val="single"/>
        </w:rPr>
        <w:t xml:space="preserve">     </w:t>
      </w:r>
      <w:r>
        <w:rPr>
          <w:rFonts w:hint="eastAsia" w:asciiTheme="minorEastAsia" w:hAnsiTheme="minorEastAsia"/>
          <w:sz w:val="24"/>
          <w:szCs w:val="24"/>
        </w:rPr>
        <w:t>）的采购结果，乙方为成交供应商，现依照磋商文件、</w:t>
      </w:r>
      <w:r>
        <w:rPr>
          <w:rFonts w:hint="eastAsia" w:asciiTheme="minorEastAsia" w:hAnsiTheme="minorEastAsia"/>
          <w:sz w:val="24"/>
          <w:szCs w:val="24"/>
          <w:u w:val="single"/>
        </w:rPr>
        <w:t>（成交供应商）</w:t>
      </w:r>
      <w:r>
        <w:rPr>
          <w:rFonts w:hint="eastAsia" w:asciiTheme="minorEastAsia" w:hAnsiTheme="minorEastAsia"/>
          <w:sz w:val="24"/>
          <w:szCs w:val="24"/>
        </w:rPr>
        <w:t>磋商响应文件及有关法律、法规、规章规定的内容，双方达成如下协议：</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1.合同标物的和合同价格</w:t>
      </w:r>
    </w:p>
    <w:tbl>
      <w:tblPr>
        <w:tblStyle w:val="16"/>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464"/>
        <w:gridCol w:w="1464"/>
        <w:gridCol w:w="1008"/>
        <w:gridCol w:w="1008"/>
        <w:gridCol w:w="100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6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产品名称</w:t>
            </w:r>
          </w:p>
        </w:tc>
        <w:tc>
          <w:tcPr>
            <w:tcW w:w="1464"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规格型号</w:t>
            </w:r>
          </w:p>
        </w:tc>
        <w:tc>
          <w:tcPr>
            <w:tcW w:w="1464"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生产厂家</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数 量</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单 价</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总 价</w:t>
            </w:r>
          </w:p>
        </w:tc>
        <w:tc>
          <w:tcPr>
            <w:tcW w:w="1156"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63"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156" w:type="dxa"/>
            <w:vAlign w:val="center"/>
          </w:tcPr>
          <w:p>
            <w:pPr>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63"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156" w:type="dxa"/>
            <w:vAlign w:val="center"/>
          </w:tcPr>
          <w:p>
            <w:pPr>
              <w:spacing w:line="360" w:lineRule="auto"/>
              <w:rPr>
                <w:rFonts w:asciiTheme="minorEastAsia" w:hAnsiTheme="minorEastAsia"/>
                <w:sz w:val="24"/>
                <w:szCs w:val="24"/>
              </w:rPr>
            </w:pPr>
          </w:p>
        </w:tc>
      </w:tr>
    </w:tbl>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2.交货方式和交货地点</w:t>
      </w:r>
    </w:p>
    <w:p>
      <w:pPr>
        <w:spacing w:line="360" w:lineRule="auto"/>
        <w:ind w:firstLine="480" w:firstLineChars="200"/>
        <w:rPr>
          <w:rFonts w:asciiTheme="minorEastAsia" w:hAnsiTheme="minorEastAsia"/>
          <w:sz w:val="24"/>
          <w:szCs w:val="24"/>
          <w:u w:val="single"/>
        </w:rPr>
      </w:pPr>
      <w:r>
        <w:rPr>
          <w:rFonts w:asciiTheme="minorEastAsia" w:hAnsiTheme="minorEastAsia"/>
          <w:sz w:val="24"/>
          <w:szCs w:val="24"/>
        </w:rPr>
        <w:t>2.1</w:t>
      </w:r>
      <w:r>
        <w:rPr>
          <w:rFonts w:hint="eastAsia" w:asciiTheme="minorEastAsia" w:hAnsiTheme="minorEastAsia"/>
          <w:sz w:val="24"/>
          <w:szCs w:val="24"/>
        </w:rPr>
        <w:t xml:space="preserve">交货方式： </w:t>
      </w:r>
      <w:r>
        <w:rPr>
          <w:rFonts w:hint="eastAsia" w:asciiTheme="minorEastAsia" w:hAnsiTheme="minorEastAsia"/>
          <w:sz w:val="24"/>
          <w:szCs w:val="24"/>
          <w:u w:val="single"/>
        </w:rPr>
        <w:t xml:space="preserve">                   </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2.2</w:t>
      </w:r>
      <w:r>
        <w:rPr>
          <w:rFonts w:hint="eastAsia" w:asciiTheme="minorEastAsia" w:hAnsiTheme="minorEastAsia"/>
          <w:sz w:val="24"/>
          <w:szCs w:val="24"/>
        </w:rPr>
        <w:t>交货地点：</w:t>
      </w:r>
      <w:r>
        <w:rPr>
          <w:rFonts w:hint="eastAsia" w:asciiTheme="minorEastAsia" w:hAnsiTheme="minorEastAsia"/>
          <w:sz w:val="24"/>
          <w:szCs w:val="24"/>
          <w:u w:val="single"/>
        </w:rPr>
        <w:t xml:space="preserve">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3</w:t>
      </w:r>
      <w:r>
        <w:rPr>
          <w:rFonts w:hint="eastAsia" w:cs="Arial" w:asciiTheme="minorEastAsia" w:hAnsiTheme="minorEastAsia"/>
          <w:sz w:val="24"/>
          <w:szCs w:val="24"/>
        </w:rPr>
        <w:t>.供货清单</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3.1</w:t>
      </w:r>
      <w:r>
        <w:rPr>
          <w:rFonts w:hint="eastAsia" w:cs="Arial" w:asciiTheme="minorEastAsia" w:hAnsiTheme="minorEastAsia"/>
          <w:sz w:val="24"/>
          <w:szCs w:val="24"/>
        </w:rPr>
        <w:t>供货清单：包括产品主机、随机备品备件、专用工具的名称及数量。（采购人对包装及运输有特别要求的，应作具体约定。）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4.付款方式与条件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4.1货物交货付款</w:t>
      </w:r>
    </w:p>
    <w:p>
      <w:pPr>
        <w:spacing w:line="360" w:lineRule="auto"/>
        <w:rPr>
          <w:rFonts w:asciiTheme="minorEastAsia" w:hAnsiTheme="minorEastAsia"/>
          <w:sz w:val="24"/>
          <w:szCs w:val="24"/>
        </w:rPr>
      </w:pPr>
      <w:r>
        <w:rPr>
          <w:rFonts w:hint="eastAsia" w:asciiTheme="minorEastAsia" w:hAnsiTheme="minorEastAsia"/>
          <w:sz w:val="24"/>
          <w:szCs w:val="24"/>
        </w:rPr>
        <w:t xml:space="preserve">    全部货物交货并经验收合格后，甲方凭收讫货物的验收凭证和货物验收合格文件等材料以</w:t>
      </w:r>
      <w:r>
        <w:rPr>
          <w:rFonts w:hint="eastAsia" w:asciiTheme="minorEastAsia" w:hAnsiTheme="minorEastAsia"/>
          <w:sz w:val="24"/>
          <w:szCs w:val="24"/>
          <w:u w:val="single"/>
        </w:rPr>
        <w:t xml:space="preserve">     </w:t>
      </w:r>
      <w:r>
        <w:rPr>
          <w:rFonts w:hint="eastAsia" w:asciiTheme="minorEastAsia" w:hAnsiTheme="minorEastAsia"/>
          <w:sz w:val="24"/>
          <w:szCs w:val="24"/>
        </w:rPr>
        <w:t>方式向乙方一次性支付</w:t>
      </w:r>
      <w:r>
        <w:rPr>
          <w:rFonts w:hint="eastAsia" w:asciiTheme="minorEastAsia" w:hAnsiTheme="minorEastAsia"/>
          <w:sz w:val="24"/>
          <w:szCs w:val="24"/>
          <w:u w:val="single"/>
        </w:rPr>
        <w:t xml:space="preserve">    </w:t>
      </w:r>
      <w:r>
        <w:rPr>
          <w:rFonts w:hint="eastAsia" w:asciiTheme="minorEastAsia" w:hAnsiTheme="minorEastAsia"/>
          <w:sz w:val="24"/>
          <w:szCs w:val="24"/>
        </w:rPr>
        <w:t>%的货物价款。（若乙方有支付履约保证金的，可在支付货款时予以扣除。）</w:t>
      </w:r>
    </w:p>
    <w:p>
      <w:pPr>
        <w:spacing w:line="360" w:lineRule="auto"/>
        <w:rPr>
          <w:rFonts w:asciiTheme="minorEastAsia" w:hAnsiTheme="minorEastAsia"/>
          <w:sz w:val="24"/>
          <w:szCs w:val="24"/>
        </w:rPr>
      </w:pPr>
      <w:r>
        <w:rPr>
          <w:rFonts w:hint="eastAsia" w:asciiTheme="minorEastAsia" w:hAnsiTheme="minorEastAsia"/>
          <w:sz w:val="24"/>
          <w:szCs w:val="24"/>
        </w:rPr>
        <w:t xml:space="preserve">    现场交货条件下，乙方要求付款应提交下列单证和文件。</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a.</w:t>
      </w:r>
      <w:r>
        <w:rPr>
          <w:rFonts w:hint="eastAsia" w:cs="Arial" w:asciiTheme="minorEastAsia" w:hAnsiTheme="minorEastAsia"/>
          <w:sz w:val="24"/>
          <w:szCs w:val="24"/>
        </w:rPr>
        <w:t>金额为有关合同货物价格</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%的正式发票。</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b.</w:t>
      </w:r>
      <w:r>
        <w:rPr>
          <w:rFonts w:hint="eastAsia" w:cs="Arial" w:asciiTheme="minorEastAsia" w:hAnsiTheme="minorEastAsia"/>
          <w:sz w:val="24"/>
          <w:szCs w:val="24"/>
        </w:rPr>
        <w:t>制造厂家出具的货物质量合格证书。</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c.</w:t>
      </w:r>
      <w:r>
        <w:rPr>
          <w:rFonts w:hint="eastAsia" w:cs="Arial" w:asciiTheme="minorEastAsia" w:hAnsiTheme="minorEastAsia"/>
          <w:sz w:val="24"/>
          <w:szCs w:val="24"/>
        </w:rPr>
        <w:t xml:space="preserve"> 甲方已收讫货物的验收凭证。</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d.</w:t>
      </w:r>
      <w:r>
        <w:rPr>
          <w:rFonts w:hint="eastAsia" w:cs="Arial" w:asciiTheme="minorEastAsia" w:hAnsiTheme="minorEastAsia"/>
          <w:sz w:val="24"/>
          <w:szCs w:val="24"/>
        </w:rPr>
        <w:t xml:space="preserve"> 甲方签发的验收合格文件。</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4.</w:t>
      </w:r>
      <w:r>
        <w:rPr>
          <w:rFonts w:hint="eastAsia" w:asciiTheme="minorEastAsia" w:hAnsiTheme="minorEastAsia"/>
          <w:sz w:val="24"/>
          <w:szCs w:val="24"/>
        </w:rPr>
        <w:t>2分期支付货款的，余下的货款应于</w:t>
      </w:r>
      <w:r>
        <w:rPr>
          <w:rFonts w:hint="eastAsia" w:asciiTheme="minorEastAsia" w:hAnsiTheme="minorEastAsia"/>
          <w:sz w:val="24"/>
          <w:szCs w:val="24"/>
          <w:u w:val="single"/>
        </w:rPr>
        <w:t xml:space="preserve">       </w:t>
      </w:r>
      <w:r>
        <w:rPr>
          <w:rFonts w:hint="eastAsia" w:asciiTheme="minorEastAsia" w:hAnsiTheme="minorEastAsia"/>
          <w:sz w:val="24"/>
          <w:szCs w:val="24"/>
        </w:rPr>
        <w:t>（时间）支付。</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5.质量要求和技术标准</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质量条款可细分为产品质量、包装质量、技术资料质量等内容。</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（质量要求和技术标准应按磋商文件要求填列。）</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6</w:t>
      </w:r>
      <w:r>
        <w:rPr>
          <w:rFonts w:hint="eastAsia" w:cs="Arial" w:asciiTheme="minorEastAsia" w:hAnsiTheme="minorEastAsia"/>
          <w:sz w:val="24"/>
          <w:szCs w:val="24"/>
        </w:rPr>
        <w:t>.安装调试、技术服务、人员培训及技术资料</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xml:space="preserve">  （安装调试、技术服务、人员培训及技术资料应按磋商文件要求填列。）</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7</w:t>
      </w:r>
      <w:r>
        <w:rPr>
          <w:rFonts w:hint="eastAsia" w:cs="Arial" w:asciiTheme="minorEastAsia" w:hAnsiTheme="minorEastAsia"/>
          <w:sz w:val="24"/>
          <w:szCs w:val="24"/>
        </w:rPr>
        <w:t>.验收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货物验收标准和方法应按磋商文件要求填列。）验收结果经双方确认后，双方代表必须按规定的验收交接单上的项目对照本合同填好验收结果并签名盖章。验收可细分为到货时的外在质量的验收，投产前的质量验收，大型设备可能还存在更多的验收步骤和验收方式，采购人可在磋商文件中细化规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8.质量保证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各合同包货物质保期要求均为货物经最终验收合格后 </w:t>
      </w:r>
      <w:r>
        <w:rPr>
          <w:rFonts w:hint="eastAsia" w:asciiTheme="minorEastAsia" w:hAnsiTheme="minorEastAsia"/>
          <w:sz w:val="24"/>
          <w:szCs w:val="24"/>
          <w:u w:val="single"/>
        </w:rPr>
        <w:t xml:space="preserve">    </w:t>
      </w:r>
      <w:r>
        <w:rPr>
          <w:rFonts w:hint="eastAsia" w:asciiTheme="minorEastAsia" w:hAnsiTheme="minorEastAsia"/>
          <w:sz w:val="24"/>
          <w:szCs w:val="24"/>
        </w:rPr>
        <w:t>个月，在质量保证期内设备运行发生故障时，乙方在接到甲方故障通知后</w:t>
      </w:r>
      <w:r>
        <w:rPr>
          <w:rFonts w:hint="eastAsia" w:asciiTheme="minorEastAsia" w:hAnsiTheme="minorEastAsia"/>
          <w:sz w:val="24"/>
          <w:szCs w:val="24"/>
          <w:u w:val="single"/>
        </w:rPr>
        <w:t xml:space="preserve">   </w:t>
      </w:r>
      <w:r>
        <w:rPr>
          <w:rFonts w:hint="eastAsia" w:asciiTheme="minorEastAsia" w:hAnsiTheme="minorEastAsia"/>
          <w:sz w:val="24"/>
          <w:szCs w:val="24"/>
        </w:rPr>
        <w:t>小时内应委派专业技术人员到现场免费提供咨询、维修和更换零部件等服务，并及时填写维修报告（包括故障原因、处理情况及甲方意见等）报甲方备案，若</w:t>
      </w:r>
      <w:r>
        <w:rPr>
          <w:rFonts w:hint="eastAsia" w:asciiTheme="minorEastAsia" w:hAnsiTheme="minorEastAsia"/>
          <w:sz w:val="24"/>
          <w:szCs w:val="24"/>
          <w:u w:val="single"/>
        </w:rPr>
        <w:t xml:space="preserve">    </w:t>
      </w:r>
      <w:r>
        <w:rPr>
          <w:rFonts w:hint="eastAsia" w:asciiTheme="minorEastAsia" w:hAnsiTheme="minorEastAsia"/>
          <w:sz w:val="24"/>
          <w:szCs w:val="24"/>
        </w:rPr>
        <w:t>小时内无法排除故障，则应先提供同档次备用机供甲方使用。其中发生一切费用由乙方承担。质量保证期内乙方有责任对设备进行不定期的巡查检修。磋商响应供应商视自身能力在磋商响应文件中提供更优、更合理的维修服务承诺。</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9.知识产权</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10.违约责任</w:t>
      </w:r>
    </w:p>
    <w:p>
      <w:pPr>
        <w:spacing w:line="360" w:lineRule="auto"/>
        <w:ind w:firstLine="480" w:firstLineChars="200"/>
        <w:rPr>
          <w:rFonts w:asciiTheme="minorEastAsia" w:hAnsiTheme="minorEastAsia"/>
          <w:sz w:val="24"/>
          <w:szCs w:val="24"/>
          <w:u w:val="single"/>
        </w:rPr>
      </w:pPr>
      <w:r>
        <w:rPr>
          <w:rFonts w:hint="eastAsia" w:cs="Arial" w:asciiTheme="minorEastAsia" w:hAnsiTheme="minorEastAsia"/>
          <w:sz w:val="24"/>
          <w:szCs w:val="24"/>
        </w:rPr>
        <w:t>10.1未按期交货的违约责任：</w:t>
      </w:r>
      <w:r>
        <w:rPr>
          <w:rFonts w:hint="eastAsia" w:asciiTheme="minorEastAsia" w:hAnsiTheme="minorEastAsia"/>
          <w:sz w:val="24"/>
          <w:szCs w:val="24"/>
          <w:u w:val="single"/>
        </w:rPr>
        <w:t xml:space="preserve">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w:t>
      </w:r>
      <w:r>
        <w:rPr>
          <w:rFonts w:hint="eastAsia" w:cs="Arial" w:asciiTheme="minorEastAsia" w:hAnsiTheme="minorEastAsia"/>
          <w:sz w:val="24"/>
          <w:szCs w:val="24"/>
        </w:rPr>
        <w:t>1.违约终止合同</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w:t>
      </w:r>
      <w:r>
        <w:rPr>
          <w:rFonts w:hint="eastAsia" w:cs="Arial" w:asciiTheme="minorEastAsia" w:hAnsiTheme="minorEastAsia"/>
          <w:sz w:val="24"/>
          <w:szCs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11.1.1</w:t>
      </w:r>
      <w:r>
        <w:rPr>
          <w:rFonts w:hint="eastAsia" w:cs="Arial" w:asciiTheme="minorEastAsia" w:hAnsiTheme="minorEastAsia"/>
          <w:sz w:val="24"/>
          <w:szCs w:val="24"/>
        </w:rPr>
        <w:t>如果乙方未能在合同规定的期限内或双方另行确定的延期交货时间内交付合同约定的货物。</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11.1.2</w:t>
      </w:r>
      <w:r>
        <w:rPr>
          <w:rFonts w:hint="eastAsia" w:cs="Arial" w:asciiTheme="minorEastAsia" w:hAnsiTheme="minorEastAsia"/>
          <w:sz w:val="24"/>
          <w:szCs w:val="24"/>
        </w:rPr>
        <w:t>乙方未能履行合同项下的任何其它义务。</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12.不可抗力</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）向（</w:t>
      </w:r>
      <w:r>
        <w:rPr>
          <w:rFonts w:hint="eastAsia" w:cs="Arial" w:asciiTheme="minorEastAsia" w:hAnsiTheme="minorEastAsia"/>
          <w:sz w:val="24"/>
          <w:szCs w:val="24"/>
          <w:u w:val="single"/>
        </w:rPr>
        <w:t>甲方所在地）</w:t>
      </w:r>
      <w:r>
        <w:rPr>
          <w:rFonts w:hint="eastAsia" w:cs="Arial" w:asciiTheme="minorEastAsia" w:hAnsiTheme="minorEastAsia"/>
          <w:sz w:val="24"/>
          <w:szCs w:val="24"/>
        </w:rPr>
        <w:t>仲裁委员会申请仲裁；</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）向有管辖权的人民法院提起诉讼。</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14.其他约定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14.1本采购项目的磋商文件、成交供应商的磋商响应文件以及相关的澄清确认函（如果有的话）均为本合同不可分割的一部分，与本合同具有同等法律效力。</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14.2本合同未尽事宜，双方另行补充。</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14.3本合同一式三份，经双方授权代表签字并加盖公章后生效。甲方、乙方各执一份，送采购代理机构备案一份，具有同等效力。</w:t>
      </w:r>
    </w:p>
    <w:p>
      <w:pPr>
        <w:spacing w:line="360" w:lineRule="auto"/>
        <w:ind w:firstLine="480" w:firstLineChars="200"/>
        <w:rPr>
          <w:rFonts w:hint="eastAsia" w:cs="Arial" w:asciiTheme="minorEastAsia" w:hAnsiTheme="minorEastAsia"/>
          <w:sz w:val="24"/>
          <w:szCs w:val="24"/>
        </w:rPr>
      </w:pPr>
      <w:r>
        <w:rPr>
          <w:rFonts w:hint="eastAsia" w:cs="Arial" w:asciiTheme="minorEastAsia" w:hAnsiTheme="minorEastAsia"/>
          <w:sz w:val="24"/>
          <w:szCs w:val="24"/>
        </w:rPr>
        <w:t>14.4甲方应当自合同签订之日起2个工作日，将合同在</w:t>
      </w:r>
      <w:r>
        <w:rPr>
          <w:rFonts w:hint="eastAsia" w:cs="Arial" w:asciiTheme="minorEastAsia" w:hAnsiTheme="minorEastAsia"/>
          <w:sz w:val="24"/>
          <w:szCs w:val="24"/>
          <w:lang w:eastAsia="zh-CN"/>
        </w:rPr>
        <w:t>铜仁</w:t>
      </w:r>
      <w:r>
        <w:rPr>
          <w:rFonts w:hint="eastAsia" w:cs="Arial" w:asciiTheme="minorEastAsia" w:hAnsiTheme="minorEastAsia"/>
          <w:sz w:val="24"/>
          <w:szCs w:val="24"/>
        </w:rPr>
        <w:t>市政府采购网上公告，但合同中涉及国家秘密、商业秘密的内容除外。</w:t>
      </w:r>
    </w:p>
    <w:p>
      <w:pPr>
        <w:spacing w:line="360" w:lineRule="auto"/>
        <w:rPr>
          <w:rFonts w:asciiTheme="minorEastAsia" w:hAnsiTheme="minorEastAsia"/>
          <w:sz w:val="24"/>
          <w:szCs w:val="24"/>
        </w:rPr>
      </w:pPr>
      <w:r>
        <w:rPr>
          <w:rFonts w:hint="eastAsia" w:asciiTheme="minorEastAsia" w:hAnsiTheme="minorEastAsia"/>
          <w:sz w:val="24"/>
          <w:szCs w:val="24"/>
        </w:rPr>
        <w:t>甲    方：                            乙    方：</w:t>
      </w:r>
    </w:p>
    <w:p>
      <w:pPr>
        <w:spacing w:line="360" w:lineRule="auto"/>
        <w:rPr>
          <w:rFonts w:asciiTheme="minorEastAsia" w:hAnsiTheme="minorEastAsia"/>
          <w:sz w:val="24"/>
          <w:szCs w:val="24"/>
        </w:rPr>
      </w:pPr>
      <w:r>
        <w:rPr>
          <w:rFonts w:hint="eastAsia" w:asciiTheme="minorEastAsia" w:hAnsiTheme="minorEastAsia"/>
          <w:sz w:val="24"/>
          <w:szCs w:val="24"/>
        </w:rPr>
        <w:t>单位地址：                            单位地址：</w:t>
      </w:r>
    </w:p>
    <w:p>
      <w:pPr>
        <w:spacing w:line="360" w:lineRule="auto"/>
        <w:rPr>
          <w:rFonts w:asciiTheme="minorEastAsia" w:hAnsiTheme="minorEastAsia"/>
          <w:sz w:val="24"/>
          <w:szCs w:val="24"/>
        </w:rPr>
      </w:pPr>
      <w:r>
        <w:rPr>
          <w:rFonts w:hint="eastAsia" w:asciiTheme="minorEastAsia" w:hAnsiTheme="minorEastAsia"/>
          <w:sz w:val="24"/>
          <w:szCs w:val="24"/>
        </w:rPr>
        <w:t>法定代表人：                          法定代表人：</w:t>
      </w:r>
    </w:p>
    <w:p>
      <w:pPr>
        <w:spacing w:line="360" w:lineRule="auto"/>
        <w:rPr>
          <w:rFonts w:asciiTheme="minorEastAsia" w:hAnsiTheme="minorEastAsia"/>
          <w:sz w:val="24"/>
          <w:szCs w:val="24"/>
        </w:rPr>
      </w:pPr>
      <w:r>
        <w:rPr>
          <w:rFonts w:hint="eastAsia" w:asciiTheme="minorEastAsia" w:hAnsiTheme="minorEastAsia"/>
          <w:sz w:val="24"/>
          <w:szCs w:val="24"/>
        </w:rPr>
        <w:t>委托代理人：                          委托代理人：</w:t>
      </w:r>
    </w:p>
    <w:p>
      <w:pPr>
        <w:spacing w:line="360" w:lineRule="auto"/>
        <w:rPr>
          <w:rFonts w:asciiTheme="minorEastAsia" w:hAnsiTheme="minorEastAsia"/>
          <w:sz w:val="24"/>
          <w:szCs w:val="24"/>
        </w:rPr>
      </w:pPr>
      <w:r>
        <w:rPr>
          <w:rFonts w:hint="eastAsia" w:asciiTheme="minorEastAsia" w:hAnsiTheme="minorEastAsia"/>
          <w:sz w:val="24"/>
          <w:szCs w:val="24"/>
        </w:rPr>
        <w:t>电    话：                            电    话：</w:t>
      </w:r>
    </w:p>
    <w:p>
      <w:pPr>
        <w:spacing w:line="360" w:lineRule="auto"/>
        <w:rPr>
          <w:rFonts w:asciiTheme="minorEastAsia" w:hAnsiTheme="minorEastAsia"/>
          <w:sz w:val="24"/>
          <w:szCs w:val="24"/>
        </w:rPr>
      </w:pPr>
      <w:r>
        <w:rPr>
          <w:rFonts w:hint="eastAsia" w:asciiTheme="minorEastAsia" w:hAnsiTheme="minorEastAsia"/>
          <w:sz w:val="24"/>
          <w:szCs w:val="24"/>
        </w:rPr>
        <w:t>开户银行：                            开户银行：</w:t>
      </w:r>
    </w:p>
    <w:p>
      <w:pPr>
        <w:spacing w:line="360" w:lineRule="auto"/>
        <w:outlineLvl w:val="0"/>
        <w:rPr>
          <w:rFonts w:hint="eastAsia" w:asciiTheme="minorEastAsia" w:hAnsiTheme="minorEastAsia"/>
          <w:sz w:val="24"/>
          <w:szCs w:val="24"/>
        </w:rPr>
      </w:pPr>
      <w:r>
        <w:rPr>
          <w:rFonts w:hint="eastAsia" w:asciiTheme="minorEastAsia" w:hAnsiTheme="minorEastAsia"/>
          <w:sz w:val="24"/>
          <w:szCs w:val="24"/>
        </w:rPr>
        <w:t>账    号：                            账    号：</w:t>
      </w:r>
    </w:p>
    <w:p>
      <w:pPr>
        <w:spacing w:line="360" w:lineRule="auto"/>
        <w:jc w:val="center"/>
        <w:outlineLvl w:val="0"/>
        <w:rPr>
          <w:rFonts w:hint="eastAsia" w:ascii="宋体" w:hAnsi="宋体"/>
          <w:b/>
          <w:bCs/>
          <w:sz w:val="36"/>
          <w:szCs w:val="36"/>
        </w:rPr>
      </w:pPr>
    </w:p>
    <w:p>
      <w:pPr>
        <w:spacing w:line="360" w:lineRule="auto"/>
        <w:jc w:val="center"/>
        <w:outlineLvl w:val="0"/>
        <w:rPr>
          <w:rFonts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六</w:t>
      </w:r>
      <w:r>
        <w:rPr>
          <w:rFonts w:hint="eastAsia" w:ascii="宋体" w:hAnsi="宋体"/>
          <w:b/>
          <w:bCs/>
          <w:sz w:val="36"/>
          <w:szCs w:val="36"/>
        </w:rPr>
        <w:t>章　响应文件格式</w:t>
      </w:r>
      <w:bookmarkEnd w:id="14"/>
    </w:p>
    <w:p>
      <w:pPr>
        <w:spacing w:line="360" w:lineRule="auto"/>
        <w:jc w:val="center"/>
        <w:rPr>
          <w:rFonts w:ascii="宋体" w:hAnsi="宋体"/>
          <w:b/>
          <w:color w:val="000000"/>
          <w:sz w:val="32"/>
          <w:szCs w:val="32"/>
        </w:rPr>
      </w:pPr>
      <w:r>
        <w:rPr>
          <w:rFonts w:hint="eastAsia" w:ascii="宋体" w:hAnsi="宋体"/>
          <w:b/>
          <w:color w:val="000000"/>
          <w:sz w:val="32"/>
          <w:szCs w:val="32"/>
        </w:rPr>
        <w:t>投标密封袋及文件封面格式</w:t>
      </w:r>
    </w:p>
    <w:p>
      <w:pPr>
        <w:spacing w:line="480" w:lineRule="auto"/>
        <w:jc w:val="center"/>
        <w:rPr>
          <w:rFonts w:ascii="宋体" w:hAnsi="宋体" w:cs="宋体"/>
          <w:b/>
          <w:color w:val="000000"/>
          <w:sz w:val="24"/>
          <w:szCs w:val="24"/>
        </w:rPr>
      </w:pPr>
      <w:r>
        <w:rPr>
          <w:rFonts w:hint="eastAsia" w:ascii="宋体" w:hAnsi="宋体" w:cs="宋体"/>
          <w:b/>
          <w:color w:val="000000"/>
          <w:sz w:val="24"/>
          <w:szCs w:val="24"/>
        </w:rPr>
        <w:t xml:space="preserve">                          </w:t>
      </w:r>
    </w:p>
    <w:p>
      <w:pPr>
        <w:spacing w:line="480" w:lineRule="auto"/>
        <w:jc w:val="center"/>
        <w:rPr>
          <w:rFonts w:ascii="宋体" w:hAnsi="宋体" w:cs="宋体"/>
          <w:b/>
          <w:color w:val="000000"/>
          <w:sz w:val="24"/>
          <w:szCs w:val="24"/>
        </w:rPr>
      </w:pPr>
      <w:r>
        <w:rPr>
          <w:rFonts w:hint="eastAsia" w:ascii="宋体" w:hAnsi="宋体" w:cs="宋体"/>
          <w:b/>
          <w:color w:val="000000"/>
          <w:sz w:val="24"/>
          <w:szCs w:val="24"/>
        </w:rPr>
        <w:t xml:space="preserve">                               注:投标文件标明</w:t>
      </w:r>
      <w:r>
        <w:rPr>
          <w:rFonts w:hint="eastAsia" w:ascii="宋体" w:hAnsi="宋体" w:cs="宋体"/>
          <w:b/>
          <w:color w:val="000000"/>
          <w:sz w:val="24"/>
          <w:szCs w:val="24"/>
          <w:u w:val="single"/>
        </w:rPr>
        <w:t>正本或副本</w:t>
      </w:r>
    </w:p>
    <w:p>
      <w:pPr>
        <w:spacing w:line="480" w:lineRule="auto"/>
        <w:jc w:val="center"/>
        <w:rPr>
          <w:rFonts w:ascii="宋体" w:hAnsi="宋体" w:cs="宋体"/>
          <w:bCs/>
          <w:color w:val="000000"/>
          <w:sz w:val="24"/>
          <w:szCs w:val="24"/>
        </w:rPr>
      </w:pPr>
      <w:r>
        <w:rPr>
          <w:rFonts w:hint="eastAsia" w:ascii="宋体" w:hAnsi="宋体" w:cs="宋体"/>
          <w:bCs/>
          <w:color w:val="000000"/>
          <w:sz w:val="24"/>
          <w:szCs w:val="24"/>
        </w:rPr>
        <w:t>铜仁市公共资源交易中心（政府采购）项目</w:t>
      </w:r>
    </w:p>
    <w:p>
      <w:pPr>
        <w:spacing w:line="480" w:lineRule="auto"/>
        <w:jc w:val="center"/>
        <w:rPr>
          <w:rFonts w:ascii="宋体" w:hAnsi="宋体" w:cs="宋体"/>
          <w:bCs/>
          <w:color w:val="000000"/>
          <w:sz w:val="24"/>
          <w:szCs w:val="24"/>
        </w:rPr>
      </w:pPr>
    </w:p>
    <w:p>
      <w:pPr>
        <w:spacing w:line="480" w:lineRule="auto"/>
        <w:rPr>
          <w:rFonts w:ascii="宋体" w:hAnsi="宋体" w:cs="宋体"/>
          <w:bCs/>
          <w:color w:val="000000"/>
          <w:sz w:val="24"/>
          <w:szCs w:val="24"/>
        </w:rPr>
      </w:pPr>
    </w:p>
    <w:p>
      <w:pPr>
        <w:spacing w:line="480" w:lineRule="auto"/>
        <w:jc w:val="center"/>
        <w:rPr>
          <w:rFonts w:ascii="宋体" w:hAnsi="宋体" w:cs="宋体"/>
          <w:bCs/>
          <w:color w:val="000000"/>
          <w:sz w:val="24"/>
          <w:szCs w:val="24"/>
        </w:rPr>
      </w:pPr>
      <w:r>
        <w:rPr>
          <w:rFonts w:hint="eastAsia" w:ascii="宋体" w:hAnsi="宋体" w:cs="宋体"/>
          <w:bCs/>
          <w:color w:val="000000"/>
          <w:sz w:val="24"/>
          <w:szCs w:val="24"/>
          <w:lang w:eastAsia="zh-CN"/>
        </w:rPr>
        <w:t>磋商</w:t>
      </w:r>
      <w:r>
        <w:rPr>
          <w:rFonts w:hint="eastAsia" w:ascii="宋体" w:hAnsi="宋体" w:cs="宋体"/>
          <w:bCs/>
          <w:color w:val="000000"/>
          <w:sz w:val="24"/>
          <w:szCs w:val="24"/>
        </w:rPr>
        <w:t>响应文件</w:t>
      </w: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采购项目名称:</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采购项目编号:</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投标单位名称:</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eastAsia="zh-CN"/>
        </w:rPr>
        <w:t>（请盖单位公章）</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地        址:</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rPr>
        <w:tab/>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联   系   人:</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
          <w:color w:val="000000"/>
          <w:sz w:val="24"/>
          <w:szCs w:val="24"/>
          <w:u w:val="single"/>
        </w:rPr>
      </w:pPr>
      <w:r>
        <w:rPr>
          <w:rFonts w:hint="eastAsia" w:ascii="宋体" w:hAnsi="宋体" w:cs="宋体"/>
          <w:bCs/>
          <w:color w:val="000000"/>
          <w:sz w:val="24"/>
          <w:szCs w:val="24"/>
        </w:rPr>
        <w:t>联  系 电 话:</w:t>
      </w:r>
      <w:r>
        <w:rPr>
          <w:rFonts w:hint="eastAsia" w:ascii="宋体" w:hAnsi="宋体" w:cs="宋体"/>
          <w:bCs/>
          <w:color w:val="000000"/>
          <w:sz w:val="24"/>
          <w:szCs w:val="24"/>
          <w:u w:val="single"/>
        </w:rPr>
        <w:t xml:space="preserve">                                         </w:t>
      </w:r>
      <w:r>
        <w:rPr>
          <w:rFonts w:hint="eastAsia" w:ascii="宋体" w:hAnsi="宋体" w:cs="宋体"/>
          <w:b/>
          <w:color w:val="000000"/>
          <w:sz w:val="24"/>
          <w:szCs w:val="24"/>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pStyle w:val="5"/>
        <w:snapToGrid w:val="0"/>
        <w:spacing w:line="360" w:lineRule="auto"/>
        <w:ind w:firstLine="883" w:firstLineChars="275"/>
        <w:jc w:val="center"/>
        <w:rPr>
          <w:b/>
          <w:bCs/>
          <w:sz w:val="32"/>
        </w:rPr>
      </w:pPr>
    </w:p>
    <w:p>
      <w:pPr>
        <w:spacing w:line="360" w:lineRule="auto"/>
        <w:rPr>
          <w:rFonts w:ascii="宋体" w:hAnsi="宋体"/>
          <w:sz w:val="24"/>
        </w:rPr>
      </w:pPr>
    </w:p>
    <w:p>
      <w:pPr>
        <w:spacing w:line="360" w:lineRule="auto"/>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lang w:eastAsia="zh-CN"/>
        </w:rPr>
        <w:t>磋商</w:t>
      </w:r>
      <w:r>
        <w:rPr>
          <w:rFonts w:hint="eastAsia" w:ascii="宋体" w:hAnsi="宋体"/>
          <w:b/>
          <w:sz w:val="36"/>
        </w:rPr>
        <w:t>响应声明函</w:t>
      </w:r>
    </w:p>
    <w:p>
      <w:pPr>
        <w:spacing w:line="360" w:lineRule="auto"/>
        <w:ind w:left="105" w:leftChars="50" w:firstLine="2"/>
        <w:rPr>
          <w:rFonts w:ascii="宋体" w:hAnsi="宋体"/>
          <w:b/>
          <w:sz w:val="24"/>
        </w:rPr>
      </w:pPr>
      <w:r>
        <w:rPr>
          <w:rFonts w:hint="eastAsia" w:ascii="宋体" w:hAnsi="宋体"/>
          <w:b/>
          <w:sz w:val="24"/>
        </w:rPr>
        <w:t>致：铜仁市公共资源交易中心</w:t>
      </w:r>
    </w:p>
    <w:p>
      <w:pPr>
        <w:spacing w:line="360" w:lineRule="auto"/>
        <w:ind w:left="105" w:leftChars="50" w:firstLine="480" w:firstLineChars="200"/>
        <w:rPr>
          <w:rFonts w:ascii="宋体" w:hAnsi="宋体"/>
          <w:sz w:val="24"/>
        </w:rPr>
      </w:pPr>
      <w:r>
        <w:rPr>
          <w:rFonts w:hint="eastAsia" w:ascii="宋体" w:hAnsi="宋体"/>
          <w:sz w:val="24"/>
        </w:rPr>
        <w:t>我方确认收到贵单位</w:t>
      </w:r>
      <w:r>
        <w:rPr>
          <w:rFonts w:hint="eastAsia" w:ascii="宋体" w:hAnsi="宋体"/>
          <w:sz w:val="24"/>
          <w:u w:val="single"/>
        </w:rPr>
        <w:t xml:space="preserve">                 </w:t>
      </w:r>
      <w:r>
        <w:rPr>
          <w:rFonts w:hint="eastAsia" w:ascii="宋体" w:hAnsi="宋体"/>
          <w:sz w:val="24"/>
        </w:rPr>
        <w:t>相关服务的招标文件（项目编号：</w:t>
      </w:r>
      <w:r>
        <w:rPr>
          <w:rFonts w:hint="eastAsia" w:ascii="宋体" w:hAnsi="宋体"/>
          <w:bCs/>
          <w:sz w:val="24"/>
          <w:u w:val="single"/>
          <w:lang w:eastAsia="zh-CN"/>
        </w:rPr>
        <w:t>TRZFCG-2021-024-1</w:t>
      </w:r>
      <w:r>
        <w:rPr>
          <w:rFonts w:hint="eastAsia" w:ascii="宋体" w:hAnsi="宋体"/>
          <w:sz w:val="24"/>
        </w:rPr>
        <w:t>），</w:t>
      </w:r>
      <w:r>
        <w:rPr>
          <w:rFonts w:hint="eastAsia" w:ascii="宋体" w:hAnsi="宋体"/>
          <w:sz w:val="24"/>
          <w:u w:val="single"/>
        </w:rPr>
        <w:t xml:space="preserve"> (供应商名称、地址)</w:t>
      </w:r>
      <w:r>
        <w:rPr>
          <w:rFonts w:hint="eastAsia" w:ascii="宋体" w:hAnsi="宋体"/>
          <w:sz w:val="24"/>
        </w:rPr>
        <w:t>作为供应商已正式授权</w:t>
      </w:r>
      <w:r>
        <w:rPr>
          <w:rFonts w:hint="eastAsia" w:ascii="宋体" w:hAnsi="宋体"/>
          <w:sz w:val="24"/>
          <w:u w:val="single"/>
        </w:rPr>
        <w:t xml:space="preserve"> (被供应商授权代表全名、职务)</w:t>
      </w:r>
      <w:r>
        <w:rPr>
          <w:rFonts w:hint="eastAsia" w:ascii="宋体" w:hAnsi="宋体"/>
          <w:sz w:val="24"/>
        </w:rPr>
        <w:t>为我方签名代表，签名代表在此声明并同意：</w:t>
      </w:r>
    </w:p>
    <w:p>
      <w:pPr>
        <w:tabs>
          <w:tab w:val="left" w:pos="780"/>
        </w:tabs>
        <w:snapToGrid w:val="0"/>
        <w:spacing w:line="360" w:lineRule="auto"/>
        <w:ind w:firstLine="480" w:firstLineChars="200"/>
        <w:rPr>
          <w:rFonts w:ascii="宋体" w:hAnsi="宋体"/>
          <w:sz w:val="24"/>
        </w:rPr>
      </w:pPr>
      <w:r>
        <w:rPr>
          <w:rFonts w:hint="eastAsia" w:ascii="宋体" w:hAnsi="宋体"/>
          <w:sz w:val="24"/>
        </w:rPr>
        <w:t>1.我们愿意遵守采购中心招标文件的各项规定，自愿参加投标，并已清楚招标文件的要求及有关文件规定，并严格按照招标文件的规定履行全部责任和义务。</w:t>
      </w:r>
    </w:p>
    <w:p>
      <w:pPr>
        <w:tabs>
          <w:tab w:val="left" w:pos="780"/>
        </w:tabs>
        <w:snapToGrid w:val="0"/>
        <w:spacing w:line="360" w:lineRule="auto"/>
        <w:ind w:firstLine="480" w:firstLineChars="200"/>
        <w:rPr>
          <w:rFonts w:ascii="宋体" w:hAnsi="宋体"/>
          <w:sz w:val="24"/>
        </w:rPr>
      </w:pPr>
      <w:r>
        <w:rPr>
          <w:rFonts w:hint="eastAsia" w:ascii="宋体" w:hAnsi="宋体"/>
          <w:sz w:val="24"/>
        </w:rPr>
        <w:t>2.我们同意本投标自投标截止之日起</w:t>
      </w:r>
      <w:r>
        <w:rPr>
          <w:rFonts w:hint="eastAsia" w:ascii="宋体" w:hAnsi="宋体"/>
          <w:sz w:val="24"/>
          <w:u w:val="single"/>
        </w:rPr>
        <w:t>90</w:t>
      </w:r>
      <w:r>
        <w:rPr>
          <w:rFonts w:hint="eastAsia" w:ascii="宋体" w:hAnsi="宋体"/>
          <w:sz w:val="24"/>
        </w:rPr>
        <w:t>天内有效。如果我们的投标被接受，则直至合同生效时止，本投标始终有效并不撤回已递交的投标文件。</w:t>
      </w:r>
    </w:p>
    <w:p>
      <w:pPr>
        <w:tabs>
          <w:tab w:val="left" w:pos="780"/>
        </w:tabs>
        <w:snapToGrid w:val="0"/>
        <w:spacing w:line="360" w:lineRule="auto"/>
        <w:ind w:firstLine="480" w:firstLineChars="200"/>
        <w:rPr>
          <w:rFonts w:ascii="宋体" w:hAnsi="宋体"/>
          <w:sz w:val="24"/>
        </w:rPr>
      </w:pPr>
      <w:r>
        <w:rPr>
          <w:rFonts w:hint="eastAsia" w:ascii="宋体" w:hAnsi="宋体"/>
          <w:sz w:val="24"/>
        </w:rPr>
        <w:t>3.我们已经详细地阅读并完全明白了全部招标文件及附件，包括澄清（如有）及参考文件，我们完全理解本招标文件的要求。</w:t>
      </w:r>
    </w:p>
    <w:p>
      <w:pPr>
        <w:tabs>
          <w:tab w:val="left" w:pos="780"/>
        </w:tabs>
        <w:snapToGrid w:val="0"/>
        <w:spacing w:line="360" w:lineRule="auto"/>
        <w:ind w:firstLine="480" w:firstLineChars="200"/>
        <w:rPr>
          <w:rFonts w:ascii="宋体" w:hAnsi="宋体"/>
          <w:sz w:val="24"/>
        </w:rPr>
      </w:pPr>
      <w:r>
        <w:rPr>
          <w:rFonts w:hint="eastAsia" w:ascii="宋体" w:hAnsi="宋体"/>
          <w:sz w:val="24"/>
        </w:rPr>
        <w:t>4.我们同意提供采购人及采购中心与评标委员会要求的有关投标的一切数据或资料。</w:t>
      </w:r>
    </w:p>
    <w:p>
      <w:pPr>
        <w:tabs>
          <w:tab w:val="left" w:pos="780"/>
        </w:tabs>
        <w:snapToGrid w:val="0"/>
        <w:spacing w:line="360" w:lineRule="auto"/>
        <w:ind w:firstLine="480" w:firstLineChars="200"/>
        <w:rPr>
          <w:rFonts w:ascii="宋体" w:hAnsi="宋体"/>
          <w:sz w:val="24"/>
        </w:rPr>
      </w:pPr>
      <w:r>
        <w:rPr>
          <w:rFonts w:hint="eastAsia" w:ascii="宋体" w:hAnsi="宋体"/>
          <w:sz w:val="24"/>
        </w:rPr>
        <w:t>5.我们理解采购人及采购中心与评标委员会并无义务必须接受最低报价的投标或其它任何投标，完全理解采购中心拒绝迟到的任何投标和最低投标报价不是被授予中标的唯一条件。</w:t>
      </w:r>
    </w:p>
    <w:p>
      <w:pPr>
        <w:tabs>
          <w:tab w:val="left" w:pos="780"/>
        </w:tabs>
        <w:snapToGrid w:val="0"/>
        <w:spacing w:line="360" w:lineRule="auto"/>
        <w:ind w:firstLine="480" w:firstLineChars="200"/>
        <w:rPr>
          <w:rFonts w:ascii="宋体" w:hAnsi="宋体"/>
          <w:sz w:val="24"/>
        </w:rPr>
      </w:pPr>
      <w:r>
        <w:rPr>
          <w:rFonts w:hint="eastAsia" w:ascii="宋体" w:hAnsi="宋体"/>
          <w:sz w:val="24"/>
        </w:rPr>
        <w:t xml:space="preserve">6.如果我们未对招标文件要求作出实质性响应，则完全同意并接受按无效投标处理。 </w:t>
      </w:r>
    </w:p>
    <w:p>
      <w:pPr>
        <w:tabs>
          <w:tab w:val="left" w:pos="780"/>
        </w:tabs>
        <w:snapToGrid w:val="0"/>
        <w:spacing w:line="360" w:lineRule="auto"/>
        <w:ind w:firstLine="480" w:firstLineChars="200"/>
        <w:rPr>
          <w:rFonts w:ascii="宋体" w:hAnsi="宋体"/>
          <w:sz w:val="24"/>
        </w:rPr>
      </w:pPr>
      <w:r>
        <w:rPr>
          <w:rFonts w:hint="eastAsia" w:ascii="宋体" w:hAnsi="宋体"/>
          <w:sz w:val="24"/>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tabs>
          <w:tab w:val="left" w:pos="780"/>
        </w:tabs>
        <w:snapToGrid w:val="0"/>
        <w:spacing w:line="360" w:lineRule="auto"/>
        <w:ind w:firstLine="480" w:firstLineChars="200"/>
        <w:rPr>
          <w:rFonts w:ascii="宋体" w:hAnsi="宋体"/>
          <w:sz w:val="24"/>
        </w:rPr>
      </w:pPr>
      <w:r>
        <w:rPr>
          <w:rFonts w:hint="eastAsia" w:ascii="宋体" w:hAnsi="宋体"/>
          <w:sz w:val="24"/>
        </w:rPr>
        <w:t>8.如果我们提供的声明或承诺不真实，则完全同意认定为我司提供虚假材料，并同意作相应处理。</w:t>
      </w:r>
    </w:p>
    <w:p>
      <w:pPr>
        <w:tabs>
          <w:tab w:val="left" w:pos="780"/>
        </w:tabs>
        <w:snapToGrid w:val="0"/>
        <w:spacing w:line="360" w:lineRule="auto"/>
        <w:ind w:firstLine="480" w:firstLineChars="200"/>
        <w:rPr>
          <w:rFonts w:ascii="宋体" w:hAnsi="宋体"/>
          <w:sz w:val="24"/>
        </w:rPr>
      </w:pPr>
      <w:r>
        <w:rPr>
          <w:rFonts w:hint="eastAsia" w:ascii="宋体" w:hAnsi="宋体"/>
          <w:sz w:val="24"/>
        </w:rPr>
        <w:t>9.我们是依法注册的法人，在法律、财务及运作上完全独立于本项目采购人、用户单位（如有）和采购中心。</w:t>
      </w:r>
    </w:p>
    <w:p>
      <w:pPr>
        <w:tabs>
          <w:tab w:val="left" w:pos="780"/>
        </w:tabs>
        <w:snapToGrid w:val="0"/>
        <w:spacing w:line="360" w:lineRule="auto"/>
        <w:ind w:firstLine="480" w:firstLineChars="200"/>
        <w:rPr>
          <w:rFonts w:ascii="宋体" w:hAnsi="宋体"/>
          <w:sz w:val="24"/>
        </w:rPr>
      </w:pPr>
      <w:r>
        <w:rPr>
          <w:rFonts w:hint="eastAsia" w:ascii="宋体" w:hAnsi="宋体"/>
          <w:sz w:val="24"/>
        </w:rPr>
        <w:t>10.所有有关本次投标的函电请寄：</w:t>
      </w:r>
      <w:r>
        <w:rPr>
          <w:rFonts w:hint="eastAsia" w:ascii="宋体" w:hAnsi="宋体"/>
          <w:sz w:val="24"/>
          <w:u w:val="single"/>
        </w:rPr>
        <w:t xml:space="preserve">  （供应商地址）   </w:t>
      </w:r>
    </w:p>
    <w:p>
      <w:pPr>
        <w:autoSpaceDE w:val="0"/>
        <w:autoSpaceDN w:val="0"/>
        <w:adjustRightInd w:val="0"/>
        <w:spacing w:line="360" w:lineRule="auto"/>
        <w:ind w:left="420" w:firstLine="6"/>
        <w:rPr>
          <w:rFonts w:ascii="宋体" w:hAnsi="宋体"/>
          <w:sz w:val="24"/>
        </w:rPr>
      </w:pPr>
      <w:r>
        <w:rPr>
          <w:rFonts w:hint="eastAsia" w:ascii="宋体" w:hAnsi="宋体"/>
          <w:sz w:val="24"/>
        </w:rPr>
        <w:t xml:space="preserve">备注：本投标函内容不得擅自删改，否则视为无效投标。 </w:t>
      </w:r>
    </w:p>
    <w:p>
      <w:pPr>
        <w:adjustRightInd w:val="0"/>
        <w:snapToGrid w:val="0"/>
        <w:spacing w:line="360" w:lineRule="auto"/>
        <w:rPr>
          <w:rFonts w:ascii="宋体" w:hAnsi="宋体"/>
          <w:sz w:val="24"/>
        </w:rPr>
      </w:pPr>
      <w:r>
        <w:rPr>
          <w:rFonts w:hint="eastAsia" w:ascii="宋体"/>
          <w:sz w:val="24"/>
        </w:rPr>
        <w:t xml:space="preserve">   </w:t>
      </w:r>
      <w:r>
        <w:rPr>
          <w:rFonts w:hint="eastAsia" w:ascii="宋体" w:hAnsi="宋体"/>
          <w:sz w:val="24"/>
        </w:rPr>
        <w:t>供应商名称（公章）：</w:t>
      </w:r>
    </w:p>
    <w:p>
      <w:pPr>
        <w:adjustRightInd w:val="0"/>
        <w:snapToGrid w:val="0"/>
        <w:spacing w:line="360" w:lineRule="auto"/>
        <w:rPr>
          <w:sz w:val="24"/>
        </w:rPr>
      </w:pPr>
      <w:r>
        <w:rPr>
          <w:rFonts w:hint="eastAsia"/>
          <w:sz w:val="24"/>
        </w:rPr>
        <w:t>法定代表人</w:t>
      </w:r>
      <w:r>
        <w:rPr>
          <w:rFonts w:hint="eastAsia"/>
          <w:sz w:val="24"/>
          <w:lang w:eastAsia="zh-CN"/>
        </w:rPr>
        <w:t>（负责人）</w:t>
      </w:r>
      <w:r>
        <w:rPr>
          <w:rFonts w:hint="eastAsia"/>
          <w:sz w:val="24"/>
        </w:rPr>
        <w:t>或其授权代表签名：</w:t>
      </w:r>
    </w:p>
    <w:p>
      <w:pP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br w:type="page"/>
      </w:r>
    </w:p>
    <w:p>
      <w:pPr>
        <w:spacing w:line="360" w:lineRule="auto"/>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cstheme="minorEastAsia"/>
          <w:b/>
          <w:sz w:val="36"/>
          <w:szCs w:val="36"/>
          <w:lang w:val="en-US" w:eastAsia="zh-CN"/>
        </w:rPr>
        <w:t>磋商</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jc w:val="center"/>
        <w:rPr>
          <w:rFonts w:hint="eastAsia" w:asciiTheme="minorEastAsia" w:hAnsiTheme="minorEastAsia" w:eastAsiaTheme="minorEastAsia" w:cstheme="minorEastAsia"/>
          <w:color w:val="000000"/>
          <w:sz w:val="24"/>
          <w:szCs w:val="24"/>
        </w:rPr>
      </w:pPr>
    </w:p>
    <w:p>
      <w:pPr>
        <w:tabs>
          <w:tab w:val="left" w:pos="7740"/>
        </w:tabs>
        <w:adjustRightInd w:val="0"/>
        <w:snapToGrid w:val="0"/>
        <w:spacing w:line="360" w:lineRule="auto"/>
        <w:rPr>
          <w:rFonts w:ascii="宋体" w:hAnsi="宋体"/>
          <w:color w:val="000000"/>
          <w:sz w:val="24"/>
        </w:rPr>
      </w:pPr>
      <w:r>
        <w:rPr>
          <w:rFonts w:hint="eastAsia" w:ascii="宋体" w:hAnsi="宋体"/>
        </w:rPr>
        <w:t xml:space="preserve">                                                      </w:t>
      </w:r>
      <w:r>
        <w:rPr>
          <w:rFonts w:hint="eastAsia" w:ascii="宋体" w:hAnsi="宋体"/>
          <w:sz w:val="24"/>
        </w:rPr>
        <w:t>项目编号：</w:t>
      </w:r>
      <w:r>
        <w:rPr>
          <w:rFonts w:hint="eastAsia" w:ascii="宋体" w:hAnsi="宋体"/>
          <w:bCs/>
          <w:sz w:val="24"/>
        </w:rPr>
        <w:t xml:space="preserve">      </w:t>
      </w:r>
    </w:p>
    <w:tbl>
      <w:tblPr>
        <w:tblStyle w:val="16"/>
        <w:tblW w:w="91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905"/>
        <w:gridCol w:w="2890"/>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875" w:type="dxa"/>
            <w:vAlign w:val="center"/>
          </w:tcPr>
          <w:p>
            <w:pPr>
              <w:adjustRightInd w:val="0"/>
              <w:snapToGrid w:val="0"/>
              <w:jc w:val="center"/>
              <w:rPr>
                <w:rFonts w:ascii="宋体" w:hAnsi="宋体"/>
                <w:bCs/>
                <w:sz w:val="24"/>
              </w:rPr>
            </w:pPr>
            <w:r>
              <w:rPr>
                <w:rFonts w:hint="eastAsia" w:ascii="宋体" w:hAnsi="宋体"/>
                <w:sz w:val="24"/>
              </w:rPr>
              <w:t>采购内容</w:t>
            </w:r>
          </w:p>
        </w:tc>
        <w:tc>
          <w:tcPr>
            <w:tcW w:w="905" w:type="dxa"/>
            <w:vAlign w:val="center"/>
          </w:tcPr>
          <w:p>
            <w:pPr>
              <w:adjustRightInd w:val="0"/>
              <w:snapToGrid w:val="0"/>
              <w:jc w:val="center"/>
              <w:rPr>
                <w:rFonts w:ascii="宋体" w:hAnsi="宋体"/>
                <w:bCs/>
                <w:sz w:val="24"/>
              </w:rPr>
            </w:pPr>
            <w:r>
              <w:rPr>
                <w:rFonts w:hint="eastAsia" w:ascii="宋体" w:hAnsi="宋体"/>
                <w:sz w:val="24"/>
              </w:rPr>
              <w:t>数量</w:t>
            </w:r>
          </w:p>
        </w:tc>
        <w:tc>
          <w:tcPr>
            <w:tcW w:w="2890" w:type="dxa"/>
            <w:vAlign w:val="center"/>
          </w:tcPr>
          <w:p>
            <w:pPr>
              <w:adjustRightInd w:val="0"/>
              <w:snapToGrid w:val="0"/>
              <w:jc w:val="center"/>
              <w:rPr>
                <w:rFonts w:ascii="宋体" w:hAnsi="宋体"/>
                <w:sz w:val="24"/>
              </w:rPr>
            </w:pPr>
            <w:r>
              <w:rPr>
                <w:rFonts w:hint="eastAsia" w:ascii="宋体" w:hAnsi="宋体"/>
                <w:sz w:val="24"/>
              </w:rPr>
              <w:t>投标利率</w:t>
            </w:r>
          </w:p>
          <w:p>
            <w:pPr>
              <w:adjustRightInd w:val="0"/>
              <w:snapToGrid w:val="0"/>
              <w:rPr>
                <w:rFonts w:ascii="宋体" w:hAnsi="宋体"/>
                <w:bCs/>
                <w:sz w:val="24"/>
                <w:u w:val="single"/>
              </w:rPr>
            </w:pPr>
          </w:p>
        </w:tc>
        <w:tc>
          <w:tcPr>
            <w:tcW w:w="3436" w:type="dxa"/>
            <w:vAlign w:val="center"/>
          </w:tcPr>
          <w:p>
            <w:pPr>
              <w:pStyle w:val="35"/>
              <w:spacing w:line="240" w:lineRule="auto"/>
              <w:ind w:left="-44" w:leftChars="-21" w:right="-69" w:rightChars="-33"/>
              <w:rPr>
                <w:rFonts w:hint="eastAsia" w:ascii="宋体" w:hAnsi="宋体"/>
                <w:bCs/>
                <w:szCs w:val="24"/>
              </w:rPr>
            </w:pPr>
            <w:r>
              <w:rPr>
                <w:rFonts w:hint="eastAsia" w:ascii="宋体" w:hAnsi="宋体"/>
                <w:szCs w:val="24"/>
              </w:rPr>
              <w:t>备注（分为一年期，三年期）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875" w:type="dxa"/>
            <w:vAlign w:val="center"/>
          </w:tcPr>
          <w:p>
            <w:pPr>
              <w:adjustRightInd w:val="0"/>
              <w:snapToGrid w:val="0"/>
              <w:jc w:val="center"/>
              <w:rPr>
                <w:rFonts w:ascii="宋体" w:hAnsi="宋体"/>
                <w:bCs/>
                <w:sz w:val="24"/>
              </w:rPr>
            </w:pPr>
          </w:p>
        </w:tc>
        <w:tc>
          <w:tcPr>
            <w:tcW w:w="905" w:type="dxa"/>
            <w:vAlign w:val="center"/>
          </w:tcPr>
          <w:p>
            <w:pPr>
              <w:adjustRightInd w:val="0"/>
              <w:snapToGrid w:val="0"/>
              <w:jc w:val="center"/>
              <w:rPr>
                <w:rFonts w:ascii="宋体" w:hAnsi="宋体"/>
                <w:bCs/>
                <w:sz w:val="24"/>
              </w:rPr>
            </w:pPr>
          </w:p>
        </w:tc>
        <w:tc>
          <w:tcPr>
            <w:tcW w:w="2890" w:type="dxa"/>
            <w:vAlign w:val="center"/>
          </w:tcPr>
          <w:p>
            <w:pPr>
              <w:adjustRightInd w:val="0"/>
              <w:snapToGrid w:val="0"/>
              <w:rPr>
                <w:rFonts w:ascii="宋体" w:hAnsi="宋体"/>
                <w:bCs/>
                <w:sz w:val="24"/>
                <w:u w:val="single"/>
              </w:rPr>
            </w:pPr>
          </w:p>
        </w:tc>
        <w:tc>
          <w:tcPr>
            <w:tcW w:w="3436" w:type="dxa"/>
            <w:vAlign w:val="center"/>
          </w:tcPr>
          <w:p>
            <w:pPr>
              <w:pStyle w:val="35"/>
              <w:spacing w:line="240" w:lineRule="auto"/>
              <w:ind w:left="-44" w:leftChars="-21" w:right="-69" w:rightChars="-33"/>
              <w:rPr>
                <w:rFonts w:ascii="宋体" w:hAnsi="宋体"/>
                <w:szCs w:val="24"/>
              </w:rPr>
            </w:pPr>
          </w:p>
        </w:tc>
      </w:tr>
    </w:tbl>
    <w:p>
      <w:pPr>
        <w:spacing w:line="360" w:lineRule="auto"/>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供应商名称（公章）</w:t>
      </w:r>
      <w:r>
        <w:rPr>
          <w:rFonts w:ascii="宋体" w:hAnsi="宋体"/>
          <w:sz w:val="24"/>
        </w:rPr>
        <w:t>:</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lang w:eastAsia="zh-CN"/>
        </w:rPr>
        <w:t>（负责人）</w:t>
      </w:r>
      <w:r>
        <w:rPr>
          <w:rFonts w:hint="eastAsia" w:ascii="宋体" w:hAnsi="宋体"/>
          <w:sz w:val="24"/>
        </w:rPr>
        <w:t>或其授权代表签名：</w:t>
      </w:r>
    </w:p>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 xml:space="preserve">日    期：   </w:t>
      </w:r>
    </w:p>
    <w:p>
      <w:pPr>
        <w:spacing w:line="360" w:lineRule="auto"/>
        <w:rPr>
          <w:rFonts w:ascii="宋体" w:hAnsi="宋体"/>
          <w:sz w:val="24"/>
        </w:rPr>
      </w:pPr>
    </w:p>
    <w:p>
      <w:pPr>
        <w:spacing w:line="360" w:lineRule="auto"/>
        <w:ind w:firstLine="480" w:firstLineChars="200"/>
        <w:rPr>
          <w:rFonts w:ascii="宋体" w:hAnsi="宋体"/>
          <w:bCs/>
          <w:sz w:val="24"/>
        </w:rPr>
      </w:pPr>
      <w:r>
        <w:rPr>
          <w:rFonts w:hint="eastAsia" w:ascii="宋体" w:hAnsi="宋体"/>
          <w:bCs/>
          <w:sz w:val="24"/>
        </w:rPr>
        <w:t>备注：</w:t>
      </w:r>
    </w:p>
    <w:p>
      <w:pPr>
        <w:spacing w:line="360" w:lineRule="auto"/>
        <w:ind w:firstLine="480" w:firstLineChars="200"/>
        <w:rPr>
          <w:rFonts w:ascii="宋体" w:hAnsi="宋体"/>
          <w:bCs/>
          <w:sz w:val="24"/>
        </w:rPr>
      </w:pPr>
      <w:r>
        <w:rPr>
          <w:rFonts w:hint="eastAsia" w:ascii="宋体" w:hAnsi="宋体"/>
          <w:sz w:val="24"/>
        </w:rPr>
        <w:t>1.</w:t>
      </w:r>
      <w:r>
        <w:rPr>
          <w:rFonts w:ascii="宋体" w:hAnsi="宋体"/>
          <w:sz w:val="24"/>
        </w:rPr>
        <w:t>此表</w:t>
      </w:r>
      <w:r>
        <w:rPr>
          <w:rFonts w:hint="eastAsia" w:ascii="宋体" w:hAnsi="宋体"/>
          <w:sz w:val="24"/>
        </w:rPr>
        <w:t>为投标文件的组成部分，</w:t>
      </w:r>
      <w:r>
        <w:rPr>
          <w:rFonts w:ascii="宋体" w:hAnsi="宋体"/>
          <w:sz w:val="24"/>
        </w:rPr>
        <w:t>须附在正、副本的投标文件</w:t>
      </w:r>
      <w:r>
        <w:rPr>
          <w:rFonts w:hint="eastAsia" w:ascii="宋体" w:hAnsi="宋体"/>
          <w:sz w:val="24"/>
        </w:rPr>
        <w:t>。</w:t>
      </w:r>
    </w:p>
    <w:p>
      <w:pPr>
        <w:spacing w:line="360" w:lineRule="auto"/>
        <w:ind w:firstLine="480" w:firstLineChars="200"/>
        <w:rPr>
          <w:rFonts w:ascii="宋体" w:hAnsi="宋体"/>
          <w:bCs/>
          <w:sz w:val="24"/>
        </w:rPr>
      </w:pPr>
      <w:r>
        <w:rPr>
          <w:rFonts w:hint="eastAsia" w:ascii="宋体" w:hAnsi="宋体"/>
          <w:sz w:val="24"/>
        </w:rPr>
        <w:t>2.此表内投标报价为最终价，投标文件内不得含有任何对本报价进行修改的其他说明或资料，否则为无效投标</w:t>
      </w:r>
      <w:r>
        <w:rPr>
          <w:rFonts w:hint="eastAsia" w:ascii="宋体" w:hAnsi="宋体"/>
          <w:bCs/>
          <w:sz w:val="24"/>
        </w:rPr>
        <w:t>。</w:t>
      </w:r>
    </w:p>
    <w:p>
      <w:pPr>
        <w:spacing w:line="440" w:lineRule="exact"/>
        <w:ind w:firstLine="480" w:firstLineChars="200"/>
        <w:rPr>
          <w:rFonts w:ascii="黑体" w:eastAsia="黑体"/>
          <w:bCs/>
          <w:sz w:val="28"/>
        </w:rPr>
      </w:pPr>
      <w:r>
        <w:rPr>
          <w:rFonts w:hint="eastAsia" w:ascii="宋体" w:hAnsi="宋体"/>
          <w:bCs/>
          <w:sz w:val="24"/>
        </w:rPr>
        <w:t>3.包含税等所有费用的总报价。</w:t>
      </w:r>
    </w:p>
    <w:p>
      <w:pPr>
        <w:adjustRightInd w:val="0"/>
        <w:snapToGrid w:val="0"/>
        <w:spacing w:before="156" w:beforeLines="50" w:after="156" w:afterLines="50" w:line="360" w:lineRule="auto"/>
        <w:jc w:val="center"/>
        <w:rPr>
          <w:rFonts w:hint="eastAsia"/>
          <w:b/>
          <w:sz w:val="36"/>
          <w:szCs w:val="36"/>
        </w:rPr>
      </w:pP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spacing w:line="360" w:lineRule="auto"/>
        <w:jc w:val="center"/>
        <w:rPr>
          <w:rFonts w:ascii="宋体" w:hAnsi="宋体"/>
          <w:b/>
          <w:sz w:val="32"/>
        </w:rPr>
        <w:sectPr>
          <w:pgSz w:w="11906" w:h="16838"/>
          <w:pgMar w:top="1440" w:right="1797" w:bottom="1440" w:left="1797" w:header="851" w:footer="992" w:gutter="0"/>
          <w:cols w:space="720" w:num="1"/>
          <w:docGrid w:linePitch="312" w:charSpace="0"/>
        </w:sectPr>
      </w:pPr>
    </w:p>
    <w:p>
      <w:pPr>
        <w:numPr>
          <w:ilvl w:val="0"/>
          <w:numId w:val="0"/>
        </w:numPr>
        <w:spacing w:line="360" w:lineRule="auto"/>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三</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3"/>
        <w:bidi w:val="0"/>
        <w:spacing w:line="336" w:lineRule="auto"/>
        <w:ind w:right="84" w:rightChars="40"/>
        <w:rPr>
          <w:rStyle w:val="17"/>
          <w:rFonts w:hint="eastAsia" w:ascii="宋体" w:hAnsi="宋体" w:eastAsia="宋体" w:cs="Times New Roman"/>
          <w:sz w:val="24"/>
          <w:szCs w:val="24"/>
        </w:rPr>
      </w:pPr>
      <w:r>
        <w:rPr>
          <w:rStyle w:val="17"/>
          <w:rFonts w:hint="eastAsia" w:ascii="宋体" w:hAnsi="宋体" w:cs="Times New Roman"/>
          <w:sz w:val="24"/>
          <w:szCs w:val="24"/>
          <w:lang w:eastAsia="zh-CN"/>
        </w:rPr>
        <w:t>铜仁市</w:t>
      </w:r>
      <w:r>
        <w:rPr>
          <w:rStyle w:val="17"/>
          <w:rFonts w:hint="eastAsia" w:ascii="宋体" w:hAnsi="宋体" w:eastAsia="宋体" w:cs="Times New Roman"/>
          <w:sz w:val="24"/>
          <w:szCs w:val="24"/>
        </w:rPr>
        <w:t>公共资源交易中心：</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关于贵方</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年</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月</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日发布关于“</w:t>
      </w:r>
      <w:r>
        <w:rPr>
          <w:rStyle w:val="17"/>
          <w:rFonts w:hint="eastAsia" w:ascii="宋体" w:hAnsi="宋体" w:cs="Times New Roman"/>
          <w:sz w:val="24"/>
          <w:szCs w:val="24"/>
          <w:u w:val="single"/>
          <w:lang w:val="en-US" w:eastAsia="zh-CN"/>
        </w:rPr>
        <w:t xml:space="preserve">                    </w:t>
      </w:r>
      <w:r>
        <w:rPr>
          <w:rStyle w:val="17"/>
          <w:rFonts w:hint="eastAsia" w:ascii="宋体" w:hAnsi="宋体" w:eastAsia="宋体" w:cs="Times New Roman"/>
          <w:sz w:val="24"/>
          <w:szCs w:val="24"/>
        </w:rPr>
        <w:t>”（项目编号：</w:t>
      </w:r>
      <w:r>
        <w:rPr>
          <w:rStyle w:val="17"/>
          <w:rFonts w:hint="eastAsia" w:ascii="宋体" w:hAnsi="宋体" w:cs="Times New Roman"/>
          <w:sz w:val="24"/>
          <w:szCs w:val="24"/>
          <w:u w:val="single"/>
          <w:lang w:val="en-US" w:eastAsia="zh-CN"/>
        </w:rPr>
        <w:t xml:space="preserve">             </w:t>
      </w:r>
      <w:r>
        <w:rPr>
          <w:rStyle w:val="17"/>
          <w:rFonts w:hint="eastAsia" w:ascii="宋体" w:hAnsi="宋体" w:eastAsia="宋体" w:cs="Times New Roman"/>
          <w:sz w:val="24"/>
          <w:szCs w:val="24"/>
        </w:rPr>
        <w:t>）的采购公告，我方愿意参加</w:t>
      </w:r>
      <w:r>
        <w:rPr>
          <w:rStyle w:val="17"/>
          <w:rFonts w:hint="eastAsia" w:ascii="宋体" w:hAnsi="宋体" w:cs="Times New Roman"/>
          <w:sz w:val="24"/>
          <w:szCs w:val="24"/>
          <w:lang w:eastAsia="zh-CN"/>
        </w:rPr>
        <w:t>谈判</w:t>
      </w:r>
      <w:r>
        <w:rPr>
          <w:rStyle w:val="17"/>
          <w:rFonts w:hint="eastAsia" w:ascii="宋体" w:hAnsi="宋体" w:eastAsia="宋体" w:cs="Times New Roman"/>
          <w:sz w:val="24"/>
          <w:szCs w:val="24"/>
        </w:rPr>
        <w:t>，并声明截至开标日：</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我方具备《中华人民共和国政府采购法》第二十二条所规定的条件，并已清楚</w:t>
      </w:r>
      <w:r>
        <w:rPr>
          <w:rStyle w:val="17"/>
          <w:rFonts w:hint="eastAsia" w:ascii="宋体" w:hAnsi="宋体" w:cs="Times New Roman"/>
          <w:sz w:val="24"/>
          <w:szCs w:val="24"/>
          <w:lang w:eastAsia="zh-CN"/>
        </w:rPr>
        <w:t>采购</w:t>
      </w:r>
      <w:r>
        <w:rPr>
          <w:rStyle w:val="17"/>
          <w:rFonts w:hint="eastAsia" w:ascii="宋体" w:hAnsi="宋体" w:eastAsia="宋体" w:cs="Times New Roman"/>
          <w:sz w:val="24"/>
          <w:szCs w:val="24"/>
        </w:rPr>
        <w:t>文件的要求及有关文件规定。</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（一）</w:t>
      </w:r>
      <w:r>
        <w:rPr>
          <w:rStyle w:val="17"/>
          <w:rFonts w:ascii="Calibri" w:hAnsi="宋体" w:eastAsia="宋体" w:cs="Times New Roman"/>
          <w:sz w:val="24"/>
          <w:szCs w:val="24"/>
        </w:rPr>
        <w:t>具有独立承担民事责任的能力</w:t>
      </w:r>
      <w:r>
        <w:rPr>
          <w:rStyle w:val="17"/>
          <w:rFonts w:hint="eastAsia" w:ascii="Calibri" w:hAnsi="宋体" w:eastAsia="宋体" w:cs="Times New Roman"/>
          <w:sz w:val="24"/>
          <w:szCs w:val="24"/>
        </w:rPr>
        <w:t>，提供以下</w:t>
      </w:r>
      <w:r>
        <w:rPr>
          <w:rStyle w:val="17"/>
          <w:rFonts w:ascii="Calibri" w:hAnsi="宋体" w:eastAsia="宋体" w:cs="Times New Roman"/>
          <w:sz w:val="24"/>
          <w:szCs w:val="24"/>
        </w:rPr>
        <w:t>相关证照</w:t>
      </w:r>
      <w:r>
        <w:rPr>
          <w:rStyle w:val="17"/>
          <w:rFonts w:hint="eastAsia" w:ascii="Calibri" w:hAnsi="宋体" w:eastAsia="宋体" w:cs="Times New Roman"/>
          <w:sz w:val="24"/>
          <w:szCs w:val="24"/>
        </w:rPr>
        <w:t>的</w:t>
      </w:r>
      <w:r>
        <w:rPr>
          <w:rStyle w:val="17"/>
          <w:rFonts w:ascii="Calibri" w:hAnsi="宋体" w:eastAsia="宋体" w:cs="Times New Roman"/>
          <w:sz w:val="24"/>
          <w:szCs w:val="24"/>
        </w:rPr>
        <w:t>原件扫描件</w:t>
      </w:r>
      <w:r>
        <w:rPr>
          <w:rStyle w:val="17"/>
          <w:rFonts w:hint="eastAsia" w:ascii="Calibri" w:hAnsi="宋体" w:eastAsia="宋体" w:cs="Times New Roman"/>
          <w:sz w:val="24"/>
          <w:szCs w:val="24"/>
        </w:rPr>
        <w:t>（见附件）之一：1.</w:t>
      </w:r>
      <w:r>
        <w:rPr>
          <w:rStyle w:val="17"/>
          <w:rFonts w:ascii="Calibri" w:hAnsi="宋体" w:eastAsia="宋体" w:cs="Times New Roman"/>
          <w:sz w:val="24"/>
          <w:szCs w:val="24"/>
        </w:rPr>
        <w:t>营业执照</w:t>
      </w:r>
      <w:r>
        <w:rPr>
          <w:rStyle w:val="17"/>
          <w:rFonts w:hint="eastAsia" w:ascii="Calibri" w:hAnsi="宋体" w:eastAsia="宋体" w:cs="Times New Roman"/>
          <w:sz w:val="24"/>
          <w:szCs w:val="24"/>
        </w:rPr>
        <w:t>；2.</w:t>
      </w:r>
      <w:r>
        <w:rPr>
          <w:rStyle w:val="17"/>
          <w:rFonts w:ascii="Calibri" w:hAnsi="宋体" w:eastAsia="宋体" w:cs="Times New Roman"/>
          <w:sz w:val="24"/>
          <w:szCs w:val="24"/>
        </w:rPr>
        <w:t>事业法人登记证</w:t>
      </w:r>
      <w:r>
        <w:rPr>
          <w:rStyle w:val="17"/>
          <w:rFonts w:hint="eastAsia" w:ascii="Calibri" w:hAnsi="宋体" w:eastAsia="宋体" w:cs="Times New Roman"/>
          <w:sz w:val="24"/>
          <w:szCs w:val="24"/>
        </w:rPr>
        <w:t>；3.</w:t>
      </w:r>
      <w:r>
        <w:rPr>
          <w:rStyle w:val="17"/>
          <w:rFonts w:ascii="Calibri" w:hAnsi="宋体" w:eastAsia="宋体" w:cs="Times New Roman"/>
          <w:sz w:val="24"/>
          <w:szCs w:val="24"/>
        </w:rPr>
        <w:t>其他组织的营业执照</w:t>
      </w:r>
      <w:r>
        <w:rPr>
          <w:rStyle w:val="17"/>
          <w:rFonts w:hint="eastAsia" w:ascii="Calibri" w:hAnsi="宋体" w:eastAsia="宋体" w:cs="Times New Roman"/>
          <w:sz w:val="24"/>
          <w:szCs w:val="24"/>
        </w:rPr>
        <w:t>或</w:t>
      </w:r>
      <w:r>
        <w:rPr>
          <w:rStyle w:val="17"/>
          <w:rFonts w:ascii="Calibri" w:hAnsi="宋体" w:eastAsia="宋体" w:cs="Times New Roman"/>
          <w:sz w:val="24"/>
          <w:szCs w:val="24"/>
        </w:rPr>
        <w:t>执业许可证</w:t>
      </w:r>
      <w:r>
        <w:rPr>
          <w:rStyle w:val="17"/>
          <w:rFonts w:hint="eastAsia" w:ascii="Calibri" w:hAnsi="宋体" w:eastAsia="宋体" w:cs="Times New Roman"/>
          <w:sz w:val="24"/>
          <w:szCs w:val="24"/>
        </w:rPr>
        <w:t>；4.居民身份证</w:t>
      </w:r>
      <w:r>
        <w:rPr>
          <w:rStyle w:val="17"/>
          <w:rFonts w:ascii="Calibri" w:hAnsi="宋体" w:eastAsia="宋体" w:cs="Times New Roman"/>
          <w:sz w:val="24"/>
          <w:szCs w:val="24"/>
        </w:rPr>
        <w:t>等</w:t>
      </w:r>
      <w:r>
        <w:rPr>
          <w:rStyle w:val="17"/>
          <w:rFonts w:hint="eastAsia" w:ascii="宋体" w:hAnsi="宋体" w:eastAsia="宋体" w:cs="Times New Roman"/>
          <w:sz w:val="24"/>
          <w:szCs w:val="24"/>
        </w:rPr>
        <w:t>；</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（二）具有良好的商业信誉和健全的财务会计制度；</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（三）具有履行合同所必需的设备和专业技术能力；</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（四）有依法缴纳税收和社会保障资金的良好记录；</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（五）参加政府采购活动前三年内，在经营活动中没有重大违法记录；</w:t>
      </w:r>
    </w:p>
    <w:p>
      <w:pPr>
        <w:pStyle w:val="33"/>
        <w:bidi w:val="0"/>
        <w:spacing w:line="336" w:lineRule="auto"/>
        <w:ind w:right="84" w:rightChars="40" w:firstLine="480" w:firstLineChars="200"/>
        <w:rPr>
          <w:rStyle w:val="17"/>
          <w:rFonts w:hint="eastAsia" w:ascii="宋体" w:hAnsi="宋体" w:eastAsia="宋体" w:cs="Times New Roman"/>
          <w:color w:val="auto"/>
          <w:sz w:val="24"/>
          <w:szCs w:val="24"/>
        </w:rPr>
      </w:pPr>
      <w:r>
        <w:rPr>
          <w:rStyle w:val="17"/>
          <w:rFonts w:hint="eastAsia" w:ascii="宋体" w:hAnsi="宋体" w:eastAsia="宋体" w:cs="Times New Roman"/>
          <w:color w:val="auto"/>
          <w:sz w:val="24"/>
          <w:szCs w:val="24"/>
        </w:rPr>
        <w:t>（六）法律、行政法规规定的其他条件。</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本次采购活动中，如有违法、违规、弄虚作假行为，所造成的损失、不良后果及法律责任，一律由我方承担。</w:t>
      </w:r>
    </w:p>
    <w:p>
      <w:pPr>
        <w:pStyle w:val="33"/>
        <w:bidi w:val="0"/>
        <w:spacing w:line="336" w:lineRule="auto"/>
        <w:ind w:right="84" w:rightChars="40" w:firstLine="482" w:firstLineChars="200"/>
        <w:rPr>
          <w:rStyle w:val="17"/>
          <w:rFonts w:hint="eastAsia" w:ascii="宋体" w:hAnsi="宋体" w:eastAsia="宋体" w:cs="Times New Roman"/>
          <w:b/>
          <w:sz w:val="24"/>
          <w:szCs w:val="24"/>
        </w:rPr>
      </w:pPr>
      <w:r>
        <w:rPr>
          <w:rStyle w:val="17"/>
          <w:rFonts w:hint="eastAsia" w:ascii="宋体" w:hAnsi="宋体" w:eastAsia="宋体" w:cs="Times New Roman"/>
          <w:b/>
          <w:sz w:val="24"/>
          <w:szCs w:val="24"/>
        </w:rPr>
        <w:t>特此声明！</w:t>
      </w:r>
    </w:p>
    <w:p>
      <w:pPr>
        <w:pStyle w:val="33"/>
        <w:bidi w:val="0"/>
        <w:spacing w:line="336" w:lineRule="auto"/>
        <w:ind w:right="84" w:rightChars="40"/>
        <w:rPr>
          <w:rStyle w:val="17"/>
          <w:rFonts w:hint="eastAsia" w:ascii="宋体" w:hAnsi="宋体" w:eastAsia="宋体" w:cs="Times New Roman"/>
          <w:sz w:val="24"/>
          <w:szCs w:val="24"/>
        </w:rPr>
      </w:pPr>
    </w:p>
    <w:p>
      <w:pPr>
        <w:pStyle w:val="33"/>
        <w:bidi w:val="0"/>
        <w:spacing w:line="336" w:lineRule="auto"/>
        <w:ind w:right="84" w:rightChars="40" w:firstLine="5520" w:firstLineChars="2300"/>
        <w:rPr>
          <w:rStyle w:val="17"/>
          <w:rFonts w:hint="eastAsia" w:ascii="宋体" w:hAnsi="宋体" w:eastAsia="宋体" w:cs="Times New Roman"/>
          <w:sz w:val="24"/>
          <w:szCs w:val="24"/>
        </w:rPr>
      </w:pPr>
      <w:r>
        <w:rPr>
          <w:rStyle w:val="17"/>
          <w:rFonts w:hint="eastAsia" w:ascii="宋体" w:hAnsi="宋体" w:eastAsia="宋体" w:cs="Times New Roman"/>
          <w:sz w:val="24"/>
          <w:szCs w:val="24"/>
        </w:rPr>
        <w:t>日期：20  年   月   日</w:t>
      </w:r>
    </w:p>
    <w:p>
      <w:pPr>
        <w:pStyle w:val="33"/>
        <w:bidi w:val="0"/>
        <w:spacing w:line="336" w:lineRule="auto"/>
        <w:ind w:right="84" w:rightChars="40"/>
        <w:rPr>
          <w:rStyle w:val="17"/>
          <w:rFonts w:ascii="宋体" w:hAnsi="宋体" w:eastAsia="宋体" w:cs="Times New Roman"/>
          <w:sz w:val="24"/>
          <w:szCs w:val="24"/>
        </w:rPr>
      </w:pPr>
    </w:p>
    <w:p>
      <w:pPr>
        <w:pStyle w:val="33"/>
        <w:bidi w:val="0"/>
        <w:spacing w:line="336" w:lineRule="auto"/>
        <w:ind w:right="84" w:rightChars="40"/>
        <w:rPr>
          <w:rStyle w:val="17"/>
          <w:rFonts w:hint="eastAsia" w:ascii="宋体" w:hAnsi="宋体" w:eastAsia="宋体" w:cs="Times New Roman"/>
          <w:sz w:val="24"/>
          <w:szCs w:val="24"/>
        </w:rPr>
      </w:pPr>
      <w:r>
        <w:rPr>
          <w:rStyle w:val="17"/>
          <w:rFonts w:hint="eastAsia" w:ascii="宋体" w:hAnsi="宋体" w:eastAsia="宋体" w:cs="Times New Roman"/>
          <w:sz w:val="24"/>
          <w:szCs w:val="24"/>
        </w:rPr>
        <w:t>说明：1.本格式文件内容不得擅自删改。</w:t>
      </w:r>
    </w:p>
    <w:p>
      <w:pPr>
        <w:pStyle w:val="33"/>
        <w:numPr>
          <w:ilvl w:val="0"/>
          <w:numId w:val="0"/>
        </w:numPr>
        <w:bidi w:val="0"/>
        <w:spacing w:line="336" w:lineRule="auto"/>
        <w:ind w:left="720" w:leftChars="0" w:right="84" w:rightChars="40"/>
        <w:rPr>
          <w:rStyle w:val="17"/>
          <w:rFonts w:hint="default" w:ascii="宋体" w:hAnsi="宋体" w:cs="Times New Roman"/>
          <w:color w:val="auto"/>
          <w:sz w:val="24"/>
          <w:szCs w:val="24"/>
          <w:lang w:val="en-US" w:eastAsia="zh-CN"/>
        </w:rPr>
      </w:pPr>
      <w:r>
        <w:rPr>
          <w:rStyle w:val="17"/>
          <w:rFonts w:hint="eastAsia" w:ascii="宋体" w:hAnsi="宋体" w:cs="Times New Roman"/>
          <w:color w:val="auto"/>
          <w:sz w:val="24"/>
          <w:szCs w:val="24"/>
          <w:lang w:val="en-US" w:eastAsia="zh-CN"/>
        </w:rPr>
        <w:t>2.后附相关材料（3.1-3.8）。</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snapToGrid w:val="0"/>
        <w:spacing w:line="360" w:lineRule="auto"/>
        <w:ind w:firstLine="484" w:firstLineChars="202"/>
        <w:rPr>
          <w:rFonts w:hint="eastAsia" w:ascii="宋体" w:hAnsi="宋体" w:eastAsia="宋体"/>
          <w:color w:val="FF0000"/>
          <w:sz w:val="24"/>
          <w:szCs w:val="24"/>
          <w:lang w:eastAsia="zh-CN"/>
        </w:rPr>
      </w:pPr>
      <w:r>
        <w:rPr>
          <w:rFonts w:hint="eastAsia" w:hAnsi="宋体"/>
          <w:color w:val="auto"/>
          <w:sz w:val="24"/>
          <w:szCs w:val="24"/>
          <w:lang w:val="en-US" w:eastAsia="zh-CN"/>
        </w:rPr>
        <w:t>3.</w:t>
      </w:r>
      <w:r>
        <w:rPr>
          <w:rFonts w:hint="eastAsia" w:ascii="宋体" w:hAnsi="宋体"/>
          <w:color w:val="auto"/>
          <w:sz w:val="24"/>
          <w:szCs w:val="24"/>
        </w:rPr>
        <w:t>1.具有独立承担民事责任的能力：提供法人或其他组织的营业执照等证明文件，或自然人身份证明；法定代表人</w:t>
      </w:r>
      <w:r>
        <w:rPr>
          <w:rFonts w:hint="eastAsia" w:ascii="宋体" w:hAnsi="宋体"/>
          <w:color w:val="auto"/>
          <w:sz w:val="24"/>
          <w:szCs w:val="24"/>
          <w:lang w:eastAsia="zh-CN"/>
        </w:rPr>
        <w:t>（负责人）</w:t>
      </w:r>
      <w:r>
        <w:rPr>
          <w:rFonts w:hint="eastAsia" w:ascii="宋体" w:hAnsi="宋体"/>
          <w:color w:val="auto"/>
          <w:sz w:val="24"/>
          <w:szCs w:val="24"/>
        </w:rPr>
        <w:t>身份证或委托代理人持授权委托书及代理人身份证</w:t>
      </w:r>
      <w:r>
        <w:rPr>
          <w:rFonts w:hint="eastAsia" w:ascii="宋体" w:hAnsi="宋体"/>
          <w:color w:val="auto"/>
          <w:sz w:val="24"/>
          <w:szCs w:val="24"/>
          <w:lang w:eastAsia="zh-CN"/>
        </w:rPr>
        <w:t>；</w:t>
      </w:r>
      <w:r>
        <w:rPr>
          <w:rFonts w:hint="eastAsia" w:ascii="宋体" w:hAnsi="宋体"/>
          <w:color w:val="FF0000"/>
          <w:sz w:val="24"/>
          <w:szCs w:val="24"/>
          <w:lang w:val="en-US" w:eastAsia="zh-CN"/>
        </w:rPr>
        <w:t>[备注：</w:t>
      </w:r>
      <w:r>
        <w:rPr>
          <w:rFonts w:hint="eastAsia" w:ascii="宋体" w:hAnsi="宋体"/>
          <w:color w:val="FF0000"/>
          <w:sz w:val="24"/>
        </w:rPr>
        <w:t>（1）工商营业执照副本；（2）法人或者法人授权的分支机构，投标人是法人需具备营业执照和金融许可证；投标人是法人授权的分支机构的，具备法人授权委托书和分支机构营业执照；</w:t>
      </w:r>
      <w:r>
        <w:rPr>
          <w:rFonts w:hint="eastAsia" w:ascii="宋体" w:hAnsi="宋体"/>
          <w:color w:val="FF0000"/>
          <w:sz w:val="24"/>
          <w:lang w:val="en-US" w:eastAsia="zh-CN"/>
        </w:rPr>
        <w:t>]</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w:t>
      </w:r>
      <w:r>
        <w:rPr>
          <w:rFonts w:hint="eastAsia" w:ascii="宋体" w:hAnsi="宋体"/>
          <w:color w:val="auto"/>
          <w:sz w:val="24"/>
          <w:szCs w:val="24"/>
        </w:rPr>
        <w:t>2.具有良好的商业信誉和健全的财务会计制度：</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具体要求：供应商是法人的，应提供经审计的财务报告或基本开户银行出具的资信证明。</w:t>
      </w:r>
      <w:r>
        <w:rPr>
          <w:rFonts w:hint="eastAsia" w:ascii="宋体" w:hAnsi="宋体"/>
          <w:color w:val="auto"/>
          <w:sz w:val="24"/>
          <w:szCs w:val="24"/>
          <w:lang w:eastAsia="zh-CN"/>
        </w:rPr>
        <w:t>新成立未满一年、</w:t>
      </w:r>
      <w:r>
        <w:rPr>
          <w:rFonts w:hint="eastAsia" w:ascii="宋体" w:hAnsi="宋体"/>
          <w:color w:val="auto"/>
          <w:sz w:val="24"/>
          <w:szCs w:val="24"/>
        </w:rPr>
        <w:t>部分其他组织和自然人，没有经审计的财务报告，可以提供银行出具的资信证明。</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w:t>
      </w:r>
      <w:r>
        <w:rPr>
          <w:rFonts w:hint="eastAsia" w:ascii="宋体" w:hAnsi="宋体"/>
          <w:color w:val="auto"/>
          <w:sz w:val="24"/>
          <w:szCs w:val="24"/>
        </w:rPr>
        <w:t>3.具有履行合同所必须的设备和专业技术能力：</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具体要求：提供具备履行合同所必需的设备和专业技术能力的证明材料</w:t>
      </w:r>
      <w:r>
        <w:rPr>
          <w:rFonts w:hint="eastAsia" w:hAnsi="宋体"/>
          <w:color w:val="auto"/>
          <w:sz w:val="24"/>
          <w:szCs w:val="24"/>
          <w:lang w:eastAsia="zh-CN"/>
        </w:rPr>
        <w:t>（自行承诺即可）</w:t>
      </w:r>
      <w:r>
        <w:rPr>
          <w:rFonts w:hint="eastAsia" w:ascii="宋体" w:hAnsi="宋体"/>
          <w:color w:val="auto"/>
          <w:sz w:val="24"/>
          <w:szCs w:val="24"/>
        </w:rPr>
        <w:t xml:space="preserve">； </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w:t>
      </w:r>
      <w:r>
        <w:rPr>
          <w:rFonts w:hint="eastAsia" w:ascii="宋体" w:hAnsi="宋体"/>
          <w:color w:val="auto"/>
          <w:sz w:val="24"/>
          <w:szCs w:val="24"/>
        </w:rPr>
        <w:t>4.具有依法缴纳税收和社会保障资金的良好记录：</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具体要求：如提供依法缴纳税收和社会保障资金的有效证明材料，</w:t>
      </w:r>
      <w:r>
        <w:rPr>
          <w:rFonts w:hint="eastAsia" w:hAnsi="宋体"/>
          <w:color w:val="auto"/>
          <w:sz w:val="24"/>
          <w:szCs w:val="24"/>
          <w:lang w:eastAsia="zh-CN"/>
        </w:rPr>
        <w:t>近一年</w:t>
      </w:r>
      <w:r>
        <w:rPr>
          <w:rFonts w:hint="eastAsia" w:ascii="宋体" w:hAnsi="宋体"/>
          <w:color w:val="auto"/>
          <w:sz w:val="24"/>
          <w:szCs w:val="24"/>
          <w:lang w:eastAsia="zh-CN"/>
        </w:rPr>
        <w:t>任意一个月及以上的证明材料</w:t>
      </w:r>
      <w:r>
        <w:rPr>
          <w:rFonts w:hint="eastAsia" w:ascii="宋体" w:hAnsi="宋体"/>
          <w:color w:val="auto"/>
          <w:sz w:val="24"/>
          <w:szCs w:val="24"/>
        </w:rPr>
        <w:t>；</w:t>
      </w:r>
    </w:p>
    <w:p>
      <w:pPr>
        <w:pStyle w:val="8"/>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.5</w:t>
      </w:r>
      <w:r>
        <w:rPr>
          <w:rFonts w:hint="eastAsia" w:ascii="宋体" w:hAnsi="宋体"/>
          <w:color w:val="auto"/>
          <w:sz w:val="24"/>
          <w:szCs w:val="24"/>
        </w:rPr>
        <w:t>法律、行政法规规定的其他条件：提供有关证明材料</w:t>
      </w:r>
      <w:r>
        <w:rPr>
          <w:rFonts w:hint="eastAsia" w:ascii="宋体" w:hAnsi="宋体"/>
          <w:color w:val="auto"/>
          <w:sz w:val="24"/>
          <w:szCs w:val="24"/>
          <w:lang w:eastAsia="zh-CN"/>
        </w:rPr>
        <w:t>（</w:t>
      </w:r>
      <w:r>
        <w:rPr>
          <w:rFonts w:hint="eastAsia" w:ascii="宋体" w:hAnsi="宋体"/>
          <w:color w:val="auto"/>
          <w:sz w:val="24"/>
          <w:szCs w:val="24"/>
          <w:lang w:val="en-US" w:eastAsia="zh-CN"/>
        </w:rPr>
        <w:t>如有）</w:t>
      </w:r>
      <w:r>
        <w:rPr>
          <w:rFonts w:hint="eastAsia" w:ascii="宋体" w:hAnsi="宋体"/>
          <w:color w:val="auto"/>
          <w:sz w:val="24"/>
          <w:szCs w:val="24"/>
        </w:rPr>
        <w:t>。</w:t>
      </w:r>
    </w:p>
    <w:p>
      <w:pPr>
        <w:pStyle w:val="8"/>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eastAsia="宋体" w:cs="宋体"/>
          <w:i w:val="0"/>
          <w:caps w:val="0"/>
          <w:color w:val="auto"/>
          <w:spacing w:val="0"/>
          <w:sz w:val="24"/>
          <w:szCs w:val="24"/>
          <w:shd w:val="clear" w:color="auto" w:fill="FFFFFF"/>
          <w:lang w:val="en-US" w:eastAsia="zh-CN"/>
        </w:rPr>
        <w:t>3.6</w:t>
      </w:r>
      <w:r>
        <w:rPr>
          <w:rFonts w:hint="eastAsia" w:ascii="宋体" w:hAnsi="宋体" w:eastAsia="宋体" w:cs="宋体"/>
          <w:i w:val="0"/>
          <w:caps w:val="0"/>
          <w:color w:val="auto"/>
          <w:spacing w:val="0"/>
          <w:sz w:val="24"/>
          <w:szCs w:val="24"/>
          <w:shd w:val="clear" w:color="auto" w:fill="FFFFFF"/>
        </w:rPr>
        <w:t>“信用中国”网站（</w:t>
      </w:r>
      <w:r>
        <w:rPr>
          <w:rFonts w:ascii="宋体" w:hAnsi="宋体" w:eastAsia="宋体" w:cs="宋体"/>
          <w:i w:val="0"/>
          <w:caps w:val="0"/>
          <w:color w:val="auto"/>
          <w:spacing w:val="0"/>
          <w:sz w:val="21"/>
          <w:szCs w:val="21"/>
          <w:u w:val="none"/>
          <w:shd w:val="clear" w:color="auto" w:fill="FFFFFF"/>
        </w:rPr>
        <w:fldChar w:fldCharType="begin"/>
      </w:r>
      <w:r>
        <w:rPr>
          <w:rFonts w:ascii="宋体" w:hAnsi="宋体" w:eastAsia="宋体" w:cs="宋体"/>
          <w:i w:val="0"/>
          <w:caps w:val="0"/>
          <w:color w:val="auto"/>
          <w:spacing w:val="0"/>
          <w:sz w:val="21"/>
          <w:szCs w:val="21"/>
          <w:u w:val="none"/>
          <w:shd w:val="clear" w:color="auto" w:fill="FFFFFF"/>
        </w:rPr>
        <w:instrText xml:space="preserve"> HYPERLINK "http://www.creditchina.gov.cn/" </w:instrText>
      </w:r>
      <w:r>
        <w:rPr>
          <w:rFonts w:ascii="宋体" w:hAnsi="宋体" w:eastAsia="宋体" w:cs="宋体"/>
          <w:i w:val="0"/>
          <w:caps w:val="0"/>
          <w:color w:val="auto"/>
          <w:spacing w:val="0"/>
          <w:sz w:val="21"/>
          <w:szCs w:val="21"/>
          <w:u w:val="none"/>
          <w:shd w:val="clear" w:color="auto" w:fill="FFFFFF"/>
        </w:rPr>
        <w:fldChar w:fldCharType="separate"/>
      </w:r>
      <w:r>
        <w:rPr>
          <w:rStyle w:val="20"/>
          <w:rFonts w:hint="eastAsia" w:ascii="宋体" w:hAnsi="宋体" w:eastAsia="宋体" w:cs="宋体"/>
          <w:i w:val="0"/>
          <w:caps w:val="0"/>
          <w:color w:val="auto"/>
          <w:spacing w:val="0"/>
          <w:sz w:val="24"/>
          <w:szCs w:val="24"/>
          <w:u w:val="none"/>
          <w:shd w:val="clear" w:color="auto" w:fill="FFFFFF"/>
        </w:rPr>
        <w:t>www.creditchina.gov.cn</w:t>
      </w:r>
      <w:r>
        <w:rPr>
          <w:rFonts w:ascii="宋体" w:hAnsi="宋体" w:eastAsia="宋体" w:cs="宋体"/>
          <w:i w:val="0"/>
          <w:caps w:val="0"/>
          <w:color w:val="auto"/>
          <w:spacing w:val="0"/>
          <w:sz w:val="21"/>
          <w:szCs w:val="21"/>
          <w:u w:val="none"/>
          <w:shd w:val="clear" w:color="auto" w:fill="FFFFFF"/>
        </w:rPr>
        <w:fldChar w:fldCharType="end"/>
      </w:r>
      <w:r>
        <w:rPr>
          <w:rFonts w:hint="eastAsia" w:ascii="宋体" w:hAnsi="宋体" w:eastAsia="宋体" w:cs="宋体"/>
          <w:i w:val="0"/>
          <w:caps w:val="0"/>
          <w:color w:val="auto"/>
          <w:spacing w:val="0"/>
          <w:sz w:val="24"/>
          <w:szCs w:val="24"/>
          <w:shd w:val="clear" w:color="auto" w:fill="FFFFFF"/>
        </w:rPr>
        <w:t>），政府采购严重违法失信行为记录名单（</w:t>
      </w:r>
      <w:r>
        <w:rPr>
          <w:rFonts w:ascii="宋体" w:hAnsi="宋体" w:eastAsia="宋体" w:cs="宋体"/>
          <w:i w:val="0"/>
          <w:caps w:val="0"/>
          <w:color w:val="auto"/>
          <w:spacing w:val="0"/>
          <w:sz w:val="21"/>
          <w:szCs w:val="21"/>
          <w:u w:val="none"/>
          <w:shd w:val="clear" w:color="auto" w:fill="FFFFFF"/>
        </w:rPr>
        <w:fldChar w:fldCharType="begin"/>
      </w:r>
      <w:r>
        <w:rPr>
          <w:rFonts w:ascii="宋体" w:hAnsi="宋体" w:eastAsia="宋体" w:cs="宋体"/>
          <w:i w:val="0"/>
          <w:caps w:val="0"/>
          <w:color w:val="auto"/>
          <w:spacing w:val="0"/>
          <w:sz w:val="21"/>
          <w:szCs w:val="21"/>
          <w:u w:val="none"/>
          <w:shd w:val="clear" w:color="auto" w:fill="FFFFFF"/>
        </w:rPr>
        <w:instrText xml:space="preserve"> HYPERLINK "http://www.ccgp.gov.cn/search/cr/" </w:instrText>
      </w:r>
      <w:r>
        <w:rPr>
          <w:rFonts w:ascii="宋体" w:hAnsi="宋体" w:eastAsia="宋体" w:cs="宋体"/>
          <w:i w:val="0"/>
          <w:caps w:val="0"/>
          <w:color w:val="auto"/>
          <w:spacing w:val="0"/>
          <w:sz w:val="21"/>
          <w:szCs w:val="21"/>
          <w:u w:val="none"/>
          <w:shd w:val="clear" w:color="auto" w:fill="FFFFFF"/>
        </w:rPr>
        <w:fldChar w:fldCharType="separate"/>
      </w:r>
      <w:r>
        <w:rPr>
          <w:rStyle w:val="20"/>
          <w:rFonts w:hint="eastAsia" w:ascii="宋体" w:hAnsi="宋体" w:eastAsia="宋体" w:cs="宋体"/>
          <w:i w:val="0"/>
          <w:caps w:val="0"/>
          <w:color w:val="auto"/>
          <w:spacing w:val="0"/>
          <w:sz w:val="24"/>
          <w:szCs w:val="24"/>
          <w:u w:val="none"/>
          <w:shd w:val="clear" w:color="auto" w:fill="FFFFFF"/>
        </w:rPr>
        <w:t>http://www.ccgp.gov.cn/search/cr/</w:t>
      </w:r>
      <w:r>
        <w:rPr>
          <w:rFonts w:ascii="宋体" w:hAnsi="宋体" w:eastAsia="宋体" w:cs="宋体"/>
          <w:i w:val="0"/>
          <w:caps w:val="0"/>
          <w:color w:val="auto"/>
          <w:spacing w:val="0"/>
          <w:sz w:val="21"/>
          <w:szCs w:val="21"/>
          <w:u w:val="none"/>
          <w:shd w:val="clear" w:color="auto" w:fill="FFFFFF"/>
        </w:rPr>
        <w:fldChar w:fldCharType="end"/>
      </w:r>
      <w:r>
        <w:rPr>
          <w:rFonts w:hint="eastAsia" w:ascii="宋体" w:hAnsi="宋体" w:eastAsia="宋体" w:cs="宋体"/>
          <w:i w:val="0"/>
          <w:caps w:val="0"/>
          <w:color w:val="auto"/>
          <w:spacing w:val="0"/>
          <w:sz w:val="24"/>
          <w:szCs w:val="24"/>
          <w:shd w:val="clear" w:color="auto"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ascii="宋体" w:hAnsi="宋体" w:eastAsia="宋体" w:cs="宋体"/>
          <w:color w:val="auto"/>
          <w:sz w:val="24"/>
        </w:rPr>
      </w:pPr>
      <w:r>
        <w:rPr>
          <w:rFonts w:hint="eastAsia" w:hAnsi="宋体"/>
          <w:color w:val="auto"/>
          <w:sz w:val="24"/>
          <w:szCs w:val="24"/>
          <w:lang w:val="en-US" w:eastAsia="zh-CN"/>
        </w:rPr>
        <w:t>3</w:t>
      </w:r>
      <w:r>
        <w:rPr>
          <w:rFonts w:hint="eastAsia" w:ascii="宋体" w:hAnsi="宋体"/>
          <w:color w:val="auto"/>
          <w:sz w:val="24"/>
          <w:szCs w:val="24"/>
          <w:lang w:val="en-US" w:eastAsia="zh-CN"/>
        </w:rPr>
        <w:t>.7</w:t>
      </w:r>
      <w:r>
        <w:rPr>
          <w:rFonts w:hint="eastAsia" w:ascii="宋体" w:hAnsi="宋体"/>
          <w:color w:val="auto"/>
          <w:sz w:val="24"/>
          <w:szCs w:val="24"/>
        </w:rPr>
        <w:t>本项目所需特殊行业资质或要求</w:t>
      </w:r>
      <w:r>
        <w:rPr>
          <w:rFonts w:hint="eastAsia" w:ascii="宋体" w:hAnsi="宋体"/>
          <w:color w:val="auto"/>
          <w:sz w:val="24"/>
          <w:szCs w:val="24"/>
          <w:lang w:eastAsia="zh-CN"/>
        </w:rPr>
        <w:t>（</w:t>
      </w:r>
      <w:r>
        <w:rPr>
          <w:rFonts w:hint="eastAsia" w:ascii="宋体" w:hAnsi="宋体"/>
          <w:color w:val="auto"/>
          <w:sz w:val="24"/>
          <w:szCs w:val="24"/>
          <w:lang w:val="en-US" w:eastAsia="zh-CN"/>
        </w:rPr>
        <w:t>如有）</w:t>
      </w:r>
      <w:r>
        <w:rPr>
          <w:rFonts w:hint="eastAsia" w:ascii="宋体" w:hAnsi="宋体"/>
          <w:color w:val="auto"/>
          <w:sz w:val="24"/>
          <w:szCs w:val="24"/>
          <w:lang w:eastAsia="zh-CN"/>
        </w:rPr>
        <w:t>；</w:t>
      </w:r>
      <w:r>
        <w:rPr>
          <w:rFonts w:hint="eastAsia" w:ascii="宋体" w:hAnsi="宋体" w:eastAsia="宋体" w:cs="宋体"/>
          <w:color w:val="auto"/>
          <w:sz w:val="24"/>
        </w:rPr>
        <w:t xml:space="preserve">             </w:t>
      </w:r>
    </w:p>
    <w:p>
      <w:pPr>
        <w:adjustRightInd w:val="0"/>
        <w:spacing w:beforeLines="100" w:beforeAutospacing="0" w:afterLines="50" w:afterAutospacing="0" w:line="240" w:lineRule="auto"/>
        <w:ind w:right="480"/>
        <w:jc w:val="center"/>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3.8参加政府采购活动前3年内在经营活动中没有重大违法记录的书面声明</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center"/>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center"/>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无重大违法记录的声明函</w:t>
      </w:r>
    </w:p>
    <w:p>
      <w:pPr>
        <w:adjustRightInd w:val="0"/>
        <w:spacing w:beforeLines="100" w:beforeAutospacing="0" w:afterLines="50" w:afterAutospacing="0" w:line="240" w:lineRule="auto"/>
        <w:ind w:right="480"/>
        <w:jc w:val="both"/>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FF0000"/>
          <w:kern w:val="2"/>
          <w:sz w:val="24"/>
          <w:szCs w:val="24"/>
          <w:lang w:val="en-US" w:eastAsia="zh-CN" w:bidi="ar-SA"/>
        </w:rPr>
        <w:t>法定代表人（负责人）</w:t>
      </w:r>
      <w:r>
        <w:rPr>
          <w:rStyle w:val="17"/>
          <w:rFonts w:hint="eastAsia" w:ascii="宋体" w:hAnsi="宋体" w:eastAsia="宋体" w:cs="Times New Roman"/>
          <w:color w:val="auto"/>
          <w:kern w:val="2"/>
          <w:sz w:val="24"/>
          <w:szCs w:val="24"/>
          <w:lang w:val="en-US" w:eastAsia="zh-CN" w:bidi="ar-SA"/>
        </w:rPr>
        <w:t xml:space="preserve">或授权代表（签字）：                </w:t>
      </w:r>
    </w:p>
    <w:p>
      <w:pPr>
        <w:pStyle w:val="33"/>
        <w:bidi w:val="0"/>
        <w:spacing w:line="336" w:lineRule="auto"/>
        <w:ind w:right="84" w:rightChars="40"/>
        <w:jc w:val="center"/>
        <w:rPr>
          <w:rStyle w:val="17"/>
          <w:rFonts w:hint="default" w:ascii="宋体" w:hAnsi="宋体" w:eastAsia="宋体" w:cs="Times New Roman"/>
          <w:sz w:val="24"/>
          <w:szCs w:val="24"/>
          <w:lang w:val="en-US" w:eastAsia="zh-CN"/>
        </w:rPr>
      </w:pPr>
      <w:r>
        <w:rPr>
          <w:rStyle w:val="17"/>
          <w:rFonts w:hint="eastAsia" w:ascii="宋体" w:hAnsi="宋体" w:cs="Times New Roman"/>
          <w:color w:val="auto"/>
          <w:kern w:val="2"/>
          <w:sz w:val="24"/>
          <w:szCs w:val="24"/>
          <w:lang w:val="en-US" w:eastAsia="zh-CN" w:bidi="ar-SA"/>
        </w:rPr>
        <w:t xml:space="preserve">           </w:t>
      </w:r>
      <w:r>
        <w:rPr>
          <w:rStyle w:val="17"/>
          <w:rFonts w:hint="eastAsia" w:ascii="宋体" w:hAnsi="宋体" w:eastAsia="宋体" w:cs="Times New Roman"/>
          <w:color w:val="auto"/>
          <w:kern w:val="2"/>
          <w:sz w:val="24"/>
          <w:szCs w:val="24"/>
          <w:lang w:val="en-US" w:eastAsia="zh-CN" w:bidi="ar-SA"/>
        </w:rPr>
        <w:t>投标日期：</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宋体" w:hAnsi="宋体"/>
          <w:color w:val="auto"/>
          <w:sz w:val="24"/>
          <w:szCs w:val="24"/>
          <w:lang w:eastAsia="zh-CN"/>
        </w:rPr>
      </w:pPr>
      <w:r>
        <w:rPr>
          <w:rFonts w:hint="eastAsia" w:ascii="宋体" w:hAnsi="宋体"/>
          <w:color w:val="auto"/>
          <w:sz w:val="24"/>
          <w:szCs w:val="24"/>
          <w:lang w:eastAsia="zh-CN"/>
        </w:rPr>
        <w:t>具有</w:t>
      </w:r>
      <w:r>
        <w:rPr>
          <w:rFonts w:hint="eastAsia" w:ascii="宋体" w:hAnsi="宋体"/>
          <w:color w:val="auto"/>
          <w:sz w:val="24"/>
          <w:szCs w:val="24"/>
        </w:rPr>
        <w:t>履行合同所必须的设备和专业技术能力</w:t>
      </w:r>
      <w:r>
        <w:rPr>
          <w:rFonts w:hint="eastAsia" w:ascii="宋体" w:hAnsi="宋体"/>
          <w:color w:val="auto"/>
          <w:sz w:val="24"/>
          <w:szCs w:val="24"/>
          <w:lang w:eastAsia="zh-CN"/>
        </w:rPr>
        <w:t>承诺函</w:t>
      </w:r>
    </w:p>
    <w:p>
      <w:pPr>
        <w:adjustRightInd w:val="0"/>
        <w:spacing w:beforeLines="100" w:beforeAutospacing="0" w:afterLines="50" w:afterAutospacing="0" w:line="240" w:lineRule="auto"/>
        <w:ind w:right="480"/>
        <w:jc w:val="both"/>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      </w:t>
      </w:r>
      <w:r>
        <w:rPr>
          <w:rStyle w:val="17"/>
          <w:rFonts w:hint="eastAsia" w:ascii="宋体" w:hAnsi="宋体" w:eastAsia="宋体" w:cs="Times New Roman"/>
          <w:color w:val="auto"/>
          <w:kern w:val="2"/>
          <w:sz w:val="24"/>
          <w:szCs w:val="24"/>
          <w:u w:val="single"/>
          <w:lang w:val="en-US" w:eastAsia="zh-CN" w:bidi="ar-SA"/>
        </w:rPr>
        <w:t xml:space="preserve">（供应商全称）          </w:t>
      </w:r>
      <w:r>
        <w:rPr>
          <w:rStyle w:val="17"/>
          <w:rFonts w:hint="eastAsia" w:ascii="宋体" w:hAnsi="宋体" w:eastAsia="宋体" w:cs="Times New Roman"/>
          <w:color w:val="auto"/>
          <w:kern w:val="2"/>
          <w:sz w:val="24"/>
          <w:szCs w:val="24"/>
          <w:lang w:val="en-US" w:eastAsia="zh-CN" w:bidi="ar-SA"/>
        </w:rPr>
        <w:t xml:space="preserve"> ，参加贵单位组织的项目名称为：</w:t>
      </w:r>
      <w:r>
        <w:rPr>
          <w:rStyle w:val="17"/>
          <w:rFonts w:hint="eastAsia" w:ascii="宋体" w:hAnsi="宋体" w:eastAsia="宋体" w:cs="Times New Roman"/>
          <w:color w:val="auto"/>
          <w:kern w:val="2"/>
          <w:sz w:val="24"/>
          <w:szCs w:val="24"/>
          <w:u w:val="single"/>
          <w:lang w:val="en-US" w:eastAsia="zh-CN" w:bidi="ar-SA"/>
        </w:rPr>
        <w:t xml:space="preserve">           </w:t>
      </w:r>
      <w:r>
        <w:rPr>
          <w:rStyle w:val="17"/>
          <w:rFonts w:hint="eastAsia" w:ascii="宋体" w:hAnsi="宋体" w:eastAsia="宋体" w:cs="Times New Roman"/>
          <w:color w:val="auto"/>
          <w:kern w:val="2"/>
          <w:sz w:val="24"/>
          <w:szCs w:val="24"/>
          <w:lang w:val="en-US" w:eastAsia="zh-CN" w:bidi="ar-SA"/>
        </w:rPr>
        <w:t>，项目编号：</w:t>
      </w:r>
      <w:r>
        <w:rPr>
          <w:rStyle w:val="17"/>
          <w:rFonts w:hint="eastAsia" w:ascii="宋体" w:hAnsi="宋体" w:eastAsia="宋体" w:cs="Times New Roman"/>
          <w:color w:val="auto"/>
          <w:kern w:val="2"/>
          <w:sz w:val="24"/>
          <w:szCs w:val="24"/>
          <w:u w:val="single"/>
          <w:lang w:val="en-US" w:eastAsia="zh-CN" w:bidi="ar-SA"/>
        </w:rPr>
        <w:t xml:space="preserve">            </w:t>
      </w:r>
      <w:r>
        <w:rPr>
          <w:rStyle w:val="17"/>
          <w:rFonts w:hint="eastAsia" w:ascii="宋体" w:hAnsi="宋体" w:eastAsia="宋体" w:cs="Times New Roman"/>
          <w:color w:val="auto"/>
          <w:kern w:val="2"/>
          <w:sz w:val="24"/>
          <w:szCs w:val="24"/>
          <w:lang w:val="en-US" w:eastAsia="zh-CN" w:bidi="ar-SA"/>
        </w:rPr>
        <w:t>的政府采购活动，在此郑重声明：我单位具有履行合同所必须的设备和专业技术能力。</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法定代表人（负责人）或授权代表（签字）：                </w:t>
      </w:r>
    </w:p>
    <w:p>
      <w:pPr>
        <w:pStyle w:val="33"/>
        <w:bidi w:val="0"/>
        <w:spacing w:line="336" w:lineRule="auto"/>
        <w:ind w:right="84" w:rightChars="40"/>
        <w:jc w:val="center"/>
        <w:rPr>
          <w:rFonts w:hint="eastAsia" w:asciiTheme="minorEastAsia" w:hAnsiTheme="minorEastAsia" w:cstheme="minorEastAsia"/>
          <w:b/>
          <w:bCs/>
          <w:sz w:val="24"/>
          <w:szCs w:val="24"/>
          <w:lang w:eastAsia="zh-CN"/>
        </w:rPr>
      </w:pPr>
      <w:r>
        <w:rPr>
          <w:rStyle w:val="17"/>
          <w:rFonts w:hint="eastAsia" w:ascii="宋体" w:hAnsi="宋体" w:cs="Times New Roman"/>
          <w:color w:val="auto"/>
          <w:kern w:val="2"/>
          <w:sz w:val="24"/>
          <w:szCs w:val="24"/>
          <w:lang w:val="en-US" w:eastAsia="zh-CN" w:bidi="ar-SA"/>
        </w:rPr>
        <w:t xml:space="preserve">           </w:t>
      </w:r>
      <w:r>
        <w:rPr>
          <w:rStyle w:val="17"/>
          <w:rFonts w:hint="eastAsia" w:ascii="宋体" w:hAnsi="宋体" w:eastAsia="宋体" w:cs="Times New Roman"/>
          <w:color w:val="auto"/>
          <w:kern w:val="2"/>
          <w:sz w:val="24"/>
          <w:szCs w:val="24"/>
          <w:lang w:val="en-US" w:eastAsia="zh-CN" w:bidi="ar-SA"/>
        </w:rPr>
        <w:t>投标日期：</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pStyle w:val="8"/>
        <w:rPr>
          <w:rFonts w:hint="eastAsia"/>
          <w:lang w:eastAsia="zh-CN"/>
        </w:rPr>
      </w:pPr>
    </w:p>
    <w:p>
      <w:pPr>
        <w:adjustRightInd w:val="0"/>
        <w:snapToGrid w:val="0"/>
        <w:spacing w:before="156" w:beforeLines="50" w:after="156" w:afterLines="50" w:line="360" w:lineRule="auto"/>
        <w:jc w:val="center"/>
        <w:rPr>
          <w:rFonts w:hint="eastAsia" w:asciiTheme="minorEastAsia" w:hAnsiTheme="minorEastAsia" w:eastAsiaTheme="minorEastAsia" w:cstheme="minorEastAsia"/>
          <w:b/>
          <w:bCs/>
          <w:sz w:val="36"/>
          <w:szCs w:val="36"/>
          <w:lang w:val="en-US" w:eastAsia="zh-CN"/>
        </w:rPr>
      </w:pPr>
    </w:p>
    <w:p>
      <w:pPr>
        <w:adjustRightInd w:val="0"/>
        <w:snapToGrid w:val="0"/>
        <w:spacing w:before="156" w:beforeLines="50" w:after="156" w:afterLines="50" w:line="360" w:lineRule="auto"/>
        <w:jc w:val="center"/>
        <w:rPr>
          <w:rFonts w:hint="eastAsia" w:asciiTheme="minorEastAsia" w:hAnsiTheme="minorEastAsia" w:eastAsiaTheme="minorEastAsia" w:cstheme="minorEastAsia"/>
          <w:b/>
          <w:bCs/>
          <w:sz w:val="36"/>
          <w:szCs w:val="36"/>
          <w:lang w:val="en-US" w:eastAsia="zh-CN"/>
        </w:rPr>
      </w:pPr>
    </w:p>
    <w:p>
      <w:pPr>
        <w:adjustRightInd w:val="0"/>
        <w:snapToGrid w:val="0"/>
        <w:spacing w:before="156" w:beforeLines="50" w:after="156" w:afterLines="50" w:line="360" w:lineRule="auto"/>
        <w:jc w:val="center"/>
        <w:rPr>
          <w:b/>
          <w:sz w:val="36"/>
          <w:szCs w:val="36"/>
        </w:rPr>
      </w:pPr>
      <w:r>
        <w:rPr>
          <w:rFonts w:hint="eastAsia" w:asciiTheme="minorEastAsia" w:hAnsiTheme="minorEastAsia" w:eastAsiaTheme="minorEastAsia" w:cstheme="minorEastAsia"/>
          <w:b/>
          <w:bCs/>
          <w:sz w:val="36"/>
          <w:szCs w:val="36"/>
          <w:lang w:val="en-US" w:eastAsia="zh-CN"/>
        </w:rPr>
        <w:t xml:space="preserve"> </w:t>
      </w:r>
      <w:r>
        <w:rPr>
          <w:rFonts w:hint="eastAsia"/>
          <w:b/>
          <w:sz w:val="36"/>
          <w:szCs w:val="36"/>
        </w:rPr>
        <w:t>四  法定代表人或分支机构负责人授权委托书</w:t>
      </w: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b/>
          <w:sz w:val="24"/>
        </w:rPr>
        <w:t>铜仁市公共资源交易中心</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兹授权以下同志（见身份证复印件），为我方参与</w:t>
      </w:r>
      <w:r>
        <w:rPr>
          <w:rFonts w:hint="eastAsia" w:ascii="宋体" w:hAnsi="宋体"/>
          <w:color w:val="000000"/>
          <w:sz w:val="24"/>
          <w:u w:val="single"/>
        </w:rPr>
        <w:t xml:space="preserve">                    </w:t>
      </w:r>
      <w:r>
        <w:rPr>
          <w:rFonts w:hint="eastAsia" w:ascii="宋体" w:hAnsi="宋体"/>
          <w:color w:val="000000"/>
          <w:sz w:val="24"/>
        </w:rPr>
        <w:t>事务代理人，其权限是：</w:t>
      </w:r>
      <w:r>
        <w:rPr>
          <w:rFonts w:hint="eastAsia" w:ascii="宋体" w:hAnsi="宋体"/>
          <w:color w:val="000000"/>
          <w:sz w:val="24"/>
          <w:u w:val="single"/>
        </w:rPr>
        <w:t>全权代表本公司参与上述采购项目的投标，负责提供与签署确认一切文书资料，以及向贵方递交的任何补充承诺</w:t>
      </w:r>
      <w:r>
        <w:rPr>
          <w:rFonts w:hint="eastAsia" w:ascii="宋体" w:hAnsi="宋体"/>
          <w:color w:val="000000"/>
          <w:sz w:val="24"/>
        </w:rPr>
        <w:t>。</w:t>
      </w:r>
    </w:p>
    <w:p>
      <w:pPr>
        <w:pStyle w:val="8"/>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磋商</w:t>
      </w:r>
      <w:r>
        <w:rPr>
          <w:rFonts w:hint="eastAsia" w:asciiTheme="minorEastAsia" w:hAnsiTheme="minorEastAsia" w:eastAsiaTheme="minorEastAsia" w:cstheme="minorEastAsia"/>
          <w:sz w:val="24"/>
          <w:szCs w:val="24"/>
        </w:rPr>
        <w:t>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磋商</w:t>
      </w:r>
      <w:r>
        <w:rPr>
          <w:rFonts w:hint="eastAsia" w:asciiTheme="minorEastAsia" w:hAnsiTheme="minorEastAsia" w:eastAsiaTheme="minorEastAsia" w:cstheme="minorEastAsia"/>
          <w:sz w:val="24"/>
          <w:szCs w:val="24"/>
        </w:rPr>
        <w:t>响应供应商（全称并加盖公章）：</w:t>
      </w:r>
      <w:r>
        <w:rPr>
          <w:rFonts w:hint="eastAsia" w:asciiTheme="minorEastAsia" w:hAnsiTheme="minorEastAsia" w:eastAsiaTheme="minorEastAsia" w:cstheme="minorEastAsia"/>
          <w:sz w:val="24"/>
          <w:szCs w:val="24"/>
          <w:u w:val="single"/>
        </w:rPr>
        <w:t xml:space="preserve">                    </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cstheme="minorEastAsia"/>
          <w:sz w:val="24"/>
          <w:szCs w:val="24"/>
          <w:lang w:eastAsia="zh-CN"/>
        </w:rPr>
        <w:t>（负责人）</w:t>
      </w: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bCs/>
          <w:sz w:val="28"/>
          <w:szCs w:val="28"/>
        </w:rPr>
      </w:pPr>
    </w:p>
    <w:p>
      <w:pPr>
        <w:ind w:firstLine="1954" w:firstLineChars="695"/>
        <w:rPr>
          <w:rFonts w:hint="eastAsia" w:asciiTheme="minorEastAsia" w:hAnsiTheme="minorEastAsia" w:cstheme="minorEastAsia"/>
          <w:b/>
          <w:sz w:val="36"/>
          <w:szCs w:val="36"/>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tabs>
          <w:tab w:val="left" w:pos="2100"/>
          <w:tab w:val="center" w:pos="4201"/>
        </w:tabs>
        <w:spacing w:line="360" w:lineRule="auto"/>
        <w:ind w:firstLine="630" w:firstLineChars="300"/>
        <w:jc w:val="left"/>
        <w:rPr>
          <w:rFonts w:hint="eastAsia" w:asciiTheme="minorEastAsia" w:hAnsiTheme="minorEastAsia" w:cstheme="minorEastAsia"/>
          <w:b/>
          <w:bCs/>
          <w:sz w:val="24"/>
          <w:szCs w:val="24"/>
          <w:lang w:eastAsia="zh-CN"/>
        </w:rPr>
      </w:pPr>
      <w:r>
        <w:rPr>
          <w:rFonts w:ascii="宋体" w:hAnsi="宋体"/>
          <w:color w:val="auto"/>
        </w:rPr>
        <w:tab/>
      </w:r>
    </w:p>
    <w:p>
      <w:pPr>
        <w:tabs>
          <w:tab w:val="left" w:pos="2100"/>
          <w:tab w:val="center" w:pos="4201"/>
        </w:tabs>
        <w:spacing w:line="360" w:lineRule="auto"/>
        <w:ind w:firstLine="723" w:firstLineChars="300"/>
        <w:jc w:val="left"/>
        <w:rPr>
          <w:rFonts w:hint="eastAsia" w:asciiTheme="minorEastAsia" w:hAnsiTheme="minorEastAsia" w:cstheme="minorEastAsia"/>
          <w:b/>
          <w:bCs/>
          <w:sz w:val="24"/>
          <w:szCs w:val="24"/>
          <w:lang w:eastAsia="zh-CN"/>
        </w:rPr>
      </w:pPr>
    </w:p>
    <w:p>
      <w:pPr>
        <w:spacing w:line="360" w:lineRule="auto"/>
        <w:jc w:val="center"/>
        <w:rPr>
          <w:rFonts w:hint="eastAsia" w:ascii="宋体" w:hAnsi="宋体"/>
          <w:b/>
          <w:sz w:val="36"/>
          <w:szCs w:val="36"/>
          <w:lang w:eastAsia="zh-CN"/>
        </w:rPr>
      </w:pPr>
    </w:p>
    <w:p>
      <w:pPr>
        <w:spacing w:line="360" w:lineRule="auto"/>
        <w:jc w:val="center"/>
        <w:rPr>
          <w:rFonts w:hint="eastAsia" w:ascii="宋体" w:hAnsi="宋体" w:eastAsiaTheme="minorEastAsia"/>
          <w:b/>
          <w:sz w:val="36"/>
          <w:szCs w:val="36"/>
          <w:lang w:eastAsia="zh-CN"/>
        </w:rPr>
      </w:pPr>
      <w:r>
        <w:rPr>
          <w:rFonts w:hint="eastAsia" w:ascii="宋体" w:hAnsi="宋体"/>
          <w:b/>
          <w:sz w:val="36"/>
          <w:szCs w:val="36"/>
          <w:lang w:val="en-US" w:eastAsia="zh-CN"/>
        </w:rPr>
        <w:t xml:space="preserve">五  </w:t>
      </w:r>
      <w:r>
        <w:rPr>
          <w:rFonts w:hint="eastAsia" w:ascii="宋体" w:hAnsi="宋体"/>
          <w:b/>
          <w:sz w:val="36"/>
          <w:szCs w:val="36"/>
        </w:rPr>
        <w:t>中小企业声明函</w:t>
      </w:r>
      <w:r>
        <w:rPr>
          <w:rFonts w:hint="eastAsia" w:ascii="宋体" w:hAnsi="宋体"/>
          <w:b/>
          <w:sz w:val="36"/>
          <w:szCs w:val="36"/>
          <w:lang w:eastAsia="zh-CN"/>
        </w:rPr>
        <w:t>（如有）</w:t>
      </w:r>
    </w:p>
    <w:p>
      <w:pPr>
        <w:spacing w:line="360" w:lineRule="auto"/>
        <w:ind w:firstLine="480" w:firstLineChars="200"/>
        <w:rPr>
          <w:rFonts w:ascii="宋体" w:hAnsi="宋体"/>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本公司郑重声明，根据《政府采购促进中小企业发展暂行办法》（财库</w:t>
      </w:r>
      <w:r>
        <w:rPr>
          <w:rFonts w:asciiTheme="minorEastAsia" w:hAnsiTheme="minorEastAsia"/>
          <w:sz w:val="24"/>
          <w:szCs w:val="24"/>
        </w:rPr>
        <w:t>〔2011〕181</w:t>
      </w:r>
      <w:r>
        <w:rPr>
          <w:rFonts w:hint="eastAsia" w:asciiTheme="minorEastAsia" w:hAnsiTheme="minorEastAsia"/>
          <w:sz w:val="24"/>
          <w:szCs w:val="24"/>
        </w:rPr>
        <w:t>号）的规定，本公司为</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（请填写：中型、小型、微型）企业。即，本公司同时满足以下条件：</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根据《工业和信息化部、国家统计局、国家发展和改革委员会、财政部关于印发中小企业划型标准规定的通知》（工信部联企业</w:t>
      </w:r>
      <w:r>
        <w:rPr>
          <w:rFonts w:asciiTheme="minorEastAsia" w:hAnsiTheme="minorEastAsia"/>
          <w:sz w:val="24"/>
          <w:szCs w:val="24"/>
        </w:rPr>
        <w:t>〔2011〕300</w:t>
      </w:r>
      <w:r>
        <w:rPr>
          <w:rFonts w:hint="eastAsia" w:asciiTheme="minorEastAsia" w:hAnsiTheme="minorEastAsia"/>
          <w:sz w:val="24"/>
          <w:szCs w:val="24"/>
        </w:rPr>
        <w:t>号）规定的划分标准，本公司为</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本公司参加</w:t>
      </w:r>
      <w:r>
        <w:rPr>
          <w:rFonts w:asciiTheme="minorEastAsia" w:hAnsiTheme="minorEastAsia"/>
          <w:sz w:val="24"/>
          <w:szCs w:val="24"/>
          <w:u w:val="single"/>
        </w:rPr>
        <w:t xml:space="preserve">                     </w:t>
      </w:r>
      <w:r>
        <w:rPr>
          <w:rFonts w:hint="eastAsia" w:asciiTheme="minorEastAsia" w:hAnsiTheme="minorEastAsia"/>
          <w:sz w:val="24"/>
          <w:szCs w:val="24"/>
        </w:rPr>
        <w:t>单位的</w:t>
      </w:r>
      <w:r>
        <w:rPr>
          <w:rFonts w:asciiTheme="minorEastAsia" w:hAnsiTheme="minorEastAsia"/>
          <w:sz w:val="24"/>
          <w:szCs w:val="24"/>
          <w:u w:val="single"/>
        </w:rPr>
        <w:t xml:space="preserve">              </w:t>
      </w:r>
      <w:r>
        <w:rPr>
          <w:rFonts w:hint="eastAsia" w:asciiTheme="minorEastAsia" w:hAnsiTheme="minorEastAsia"/>
          <w:sz w:val="24"/>
          <w:szCs w:val="24"/>
        </w:rPr>
        <w:t>项目采购活动提供本企业制造的货物，由本企业承担工程、提供服务，或者提供其他</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本公司对上述声明的真实性负责。如有虚假，将依法承担响应的责任。</w:t>
      </w:r>
      <w:r>
        <w:rPr>
          <w:rFonts w:asciiTheme="minorEastAsia" w:hAnsiTheme="minorEastAsia"/>
          <w:sz w:val="24"/>
          <w:szCs w:val="24"/>
        </w:rPr>
        <w:t xml:space="preserve"> </w:t>
      </w:r>
    </w:p>
    <w:p>
      <w:pPr>
        <w:spacing w:line="360" w:lineRule="auto"/>
        <w:ind w:firstLine="435"/>
        <w:rPr>
          <w:rFonts w:asciiTheme="minorEastAsia" w:hAnsiTheme="minorEastAsia"/>
          <w:sz w:val="24"/>
          <w:szCs w:val="24"/>
        </w:rPr>
      </w:pPr>
    </w:p>
    <w:p>
      <w:pPr>
        <w:spacing w:line="360" w:lineRule="auto"/>
        <w:ind w:firstLine="435"/>
        <w:rPr>
          <w:rFonts w:asciiTheme="minorEastAsia" w:hAnsiTheme="minorEastAsia"/>
          <w:sz w:val="24"/>
          <w:szCs w:val="24"/>
        </w:rPr>
      </w:pPr>
      <w:r>
        <w:rPr>
          <w:rFonts w:asciiTheme="minorEastAsia" w:hAnsiTheme="minorEastAsia"/>
          <w:sz w:val="24"/>
          <w:szCs w:val="24"/>
        </w:rPr>
        <w:t xml:space="preserve">                </w:t>
      </w:r>
    </w:p>
    <w:p>
      <w:pPr>
        <w:spacing w:line="360" w:lineRule="auto"/>
        <w:ind w:firstLine="435"/>
        <w:rPr>
          <w:rFonts w:asciiTheme="minorEastAsia" w:hAnsiTheme="minorEastAsia"/>
          <w:sz w:val="24"/>
          <w:szCs w:val="24"/>
        </w:rPr>
      </w:pPr>
      <w:r>
        <w:rPr>
          <w:rFonts w:asciiTheme="minorEastAsia" w:hAnsiTheme="minorEastAsia"/>
          <w:sz w:val="24"/>
          <w:szCs w:val="24"/>
        </w:rPr>
        <w:t xml:space="preserve">    </w:t>
      </w:r>
    </w:p>
    <w:p>
      <w:pPr>
        <w:spacing w:line="360" w:lineRule="auto"/>
        <w:ind w:firstLine="2772" w:firstLineChars="1155"/>
        <w:jc w:val="right"/>
        <w:rPr>
          <w:rFonts w:asciiTheme="minorEastAsia" w:hAnsiTheme="minorEastAsia"/>
          <w:sz w:val="24"/>
          <w:szCs w:val="24"/>
        </w:rPr>
      </w:pPr>
      <w:r>
        <w:rPr>
          <w:rFonts w:hint="eastAsia" w:asciiTheme="minorEastAsia" w:hAnsiTheme="minorEastAsia"/>
          <w:sz w:val="24"/>
          <w:szCs w:val="24"/>
        </w:rPr>
        <w:t>磋商供应商名称（盖章）：</w:t>
      </w:r>
    </w:p>
    <w:p>
      <w:pPr>
        <w:spacing w:line="360" w:lineRule="auto"/>
        <w:ind w:firstLine="435"/>
        <w:jc w:val="right"/>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日期：</w:t>
      </w: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r>
        <w:rPr>
          <w:rFonts w:hint="eastAsia" w:ascii="宋体" w:hAnsi="宋体"/>
          <w:b/>
          <w:sz w:val="36"/>
          <w:szCs w:val="36"/>
          <w:lang w:eastAsia="zh-CN"/>
        </w:rPr>
        <w:t>（如有）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rPr>
          <w:rFonts w:hint="eastAsia" w:ascii="宋体" w:hAnsi="宋体"/>
          <w:sz w:val="24"/>
          <w:lang w:eastAsia="zh-CN"/>
        </w:rPr>
      </w:pPr>
      <w:r>
        <w:rPr>
          <w:rFonts w:hint="eastAsia" w:ascii="宋体" w:hAnsi="宋体"/>
          <w:sz w:val="24"/>
        </w:rPr>
        <w:t>6.关于企业从业人员的认定，供应商应该真实填写</w:t>
      </w:r>
      <w:r>
        <w:rPr>
          <w:rFonts w:hint="eastAsia" w:ascii="宋体" w:hAnsi="宋体"/>
          <w:sz w:val="24"/>
          <w:lang w:eastAsia="zh-CN"/>
        </w:rPr>
        <w:t>（格式自拟）。</w:t>
      </w:r>
    </w:p>
    <w:p>
      <w:pPr>
        <w:adjustRightInd w:val="0"/>
        <w:snapToGrid w:val="0"/>
        <w:spacing w:beforeLines="50" w:afterLines="50" w:line="360" w:lineRule="auto"/>
        <w:jc w:val="center"/>
        <w:rPr>
          <w:rFonts w:hint="eastAsia"/>
          <w:b/>
          <w:sz w:val="36"/>
          <w:szCs w:val="36"/>
          <w:lang w:val="en-US" w:eastAsia="zh-CN"/>
        </w:rPr>
      </w:pPr>
      <w:r>
        <w:rPr>
          <w:rFonts w:hint="eastAsia"/>
          <w:b/>
          <w:sz w:val="36"/>
          <w:szCs w:val="36"/>
          <w:lang w:val="en-US" w:eastAsia="zh-CN"/>
        </w:rPr>
        <w:t>九 残疾人福利性单位声明函</w:t>
      </w:r>
      <w:r>
        <w:rPr>
          <w:rFonts w:hint="eastAsia" w:ascii="宋体" w:hAnsi="宋体"/>
          <w:b/>
          <w:sz w:val="36"/>
          <w:szCs w:val="36"/>
          <w:lang w:eastAsia="zh-CN"/>
        </w:rPr>
        <w:t>（如有）</w:t>
      </w:r>
    </w:p>
    <w:p>
      <w:pPr>
        <w:pStyle w:val="28"/>
        <w:bidi w:val="0"/>
        <w:spacing w:line="588" w:lineRule="exact"/>
        <w:ind w:firstLine="504" w:firstLineChars="200"/>
        <w:rPr>
          <w:rStyle w:val="17"/>
          <w:rFonts w:ascii="宋体" w:hAnsi="宋体"/>
          <w:spacing w:val="6"/>
          <w:sz w:val="24"/>
          <w:szCs w:val="24"/>
          <w:lang w:val="en-US" w:eastAsia="zh-CN" w:bidi="ar-SA"/>
        </w:rPr>
      </w:pPr>
      <w:r>
        <w:rPr>
          <w:rStyle w:val="17"/>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8"/>
        <w:bidi w:val="0"/>
        <w:spacing w:line="588" w:lineRule="exact"/>
        <w:ind w:firstLine="504" w:firstLineChars="200"/>
        <w:rPr>
          <w:rStyle w:val="17"/>
          <w:rFonts w:ascii="宋体" w:hAnsi="宋体"/>
          <w:spacing w:val="6"/>
          <w:sz w:val="24"/>
          <w:szCs w:val="24"/>
          <w:lang w:val="en-US" w:eastAsia="zh-CN" w:bidi="ar-SA"/>
        </w:rPr>
      </w:pPr>
      <w:r>
        <w:rPr>
          <w:rStyle w:val="17"/>
          <w:rFonts w:hint="eastAsia" w:ascii="宋体" w:hAnsi="宋体"/>
          <w:spacing w:val="6"/>
          <w:sz w:val="24"/>
          <w:szCs w:val="24"/>
          <w:lang w:val="en-US" w:eastAsia="zh-CN" w:bidi="ar-SA"/>
        </w:rPr>
        <w:t>本单位对上述声明的真实性负责。如有虚假，将依法承担相应责任。</w:t>
      </w:r>
    </w:p>
    <w:p>
      <w:pPr>
        <w:pStyle w:val="28"/>
        <w:bidi w:val="0"/>
        <w:spacing w:line="360" w:lineRule="auto"/>
        <w:ind w:firstLine="504" w:firstLineChars="200"/>
        <w:rPr>
          <w:rStyle w:val="17"/>
          <w:rFonts w:ascii="宋体" w:hAnsi="宋体"/>
          <w:color w:val="993300"/>
          <w:spacing w:val="6"/>
          <w:sz w:val="24"/>
          <w:lang w:val="en-US" w:eastAsia="zh-CN" w:bidi="ar-SA"/>
        </w:rPr>
      </w:pPr>
    </w:p>
    <w:p>
      <w:pPr>
        <w:pStyle w:val="28"/>
        <w:tabs>
          <w:tab w:val="left" w:pos="4860"/>
        </w:tabs>
        <w:bidi w:val="0"/>
        <w:spacing w:line="360" w:lineRule="auto"/>
        <w:ind w:right="1560" w:firstLine="504" w:firstLineChars="200"/>
        <w:jc w:val="center"/>
        <w:rPr>
          <w:rStyle w:val="17"/>
          <w:rFonts w:ascii="宋体" w:hAnsi="宋体"/>
          <w:spacing w:val="6"/>
          <w:sz w:val="24"/>
          <w:lang w:val="en-US" w:eastAsia="zh-CN" w:bidi="ar-SA"/>
        </w:rPr>
      </w:pPr>
      <w:r>
        <w:rPr>
          <w:rStyle w:val="17"/>
          <w:rFonts w:hint="eastAsia" w:ascii="宋体" w:hAnsi="宋体"/>
          <w:spacing w:val="6"/>
          <w:sz w:val="24"/>
          <w:lang w:val="en-US" w:eastAsia="zh-CN" w:bidi="ar-SA"/>
        </w:rPr>
        <w:t xml:space="preserve">              </w:t>
      </w:r>
    </w:p>
    <w:p>
      <w:pPr>
        <w:pStyle w:val="28"/>
        <w:tabs>
          <w:tab w:val="left" w:pos="4860"/>
        </w:tabs>
        <w:bidi w:val="0"/>
        <w:spacing w:line="360" w:lineRule="auto"/>
        <w:ind w:right="1560" w:firstLine="504" w:firstLineChars="200"/>
        <w:jc w:val="center"/>
        <w:rPr>
          <w:rStyle w:val="17"/>
          <w:rFonts w:ascii="宋体" w:hAnsi="宋体"/>
          <w:spacing w:val="6"/>
          <w:sz w:val="24"/>
          <w:lang w:val="en-US" w:eastAsia="zh-CN" w:bidi="ar-SA"/>
        </w:rPr>
      </w:pPr>
      <w:r>
        <w:rPr>
          <w:rStyle w:val="17"/>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7"/>
          <w:rFonts w:hint="eastAsia" w:ascii="宋体" w:hAnsi="宋体" w:cs="Arial"/>
          <w:sz w:val="24"/>
          <w:lang w:val="en-US" w:eastAsia="zh-CN" w:bidi="ar-SA"/>
        </w:rPr>
      </w:pPr>
      <w:r>
        <w:rPr>
          <w:rStyle w:val="17"/>
          <w:rFonts w:hint="eastAsia" w:ascii="宋体" w:hAnsi="宋体"/>
          <w:sz w:val="24"/>
          <w:lang w:val="en-US" w:eastAsia="zh-CN" w:bidi="ar-SA"/>
        </w:rPr>
        <w:t>日期：</w:t>
      </w:r>
      <w:r>
        <w:rPr>
          <w:rStyle w:val="17"/>
          <w:rFonts w:hint="eastAsia" w:ascii="宋体" w:hAnsi="宋体" w:cs="Arial"/>
          <w:sz w:val="24"/>
          <w:lang w:val="en-US" w:eastAsia="zh-CN" w:bidi="ar-SA"/>
        </w:rPr>
        <w:t>20  年   月   日</w:t>
      </w:r>
    </w:p>
    <w:p>
      <w:pPr>
        <w:pStyle w:val="7"/>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44</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45</w:t>
    </w:r>
    <w:r>
      <w:rPr>
        <w:rFonts w:ascii="宋体" w:hAnsi="宋体"/>
      </w:rPr>
      <w:fldChar w:fldCharType="end"/>
    </w:r>
    <w:r>
      <w:rPr>
        <w:rStyle w:val="1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4876A4"/>
    <w:multiLevelType w:val="singleLevel"/>
    <w:tmpl w:val="ED4876A4"/>
    <w:lvl w:ilvl="0" w:tentative="0">
      <w:start w:val="1"/>
      <w:numFmt w:val="chineseCounting"/>
      <w:suff w:val="nothing"/>
      <w:lvlText w:val="%1、"/>
      <w:lvlJc w:val="left"/>
      <w:pPr>
        <w:ind w:left="800" w:firstLine="0"/>
      </w:pPr>
      <w:rPr>
        <w:rFonts w:hint="eastAsia"/>
      </w:rPr>
    </w:lvl>
  </w:abstractNum>
  <w:abstractNum w:abstractNumId="1">
    <w:nsid w:val="59A303B5"/>
    <w:multiLevelType w:val="singleLevel"/>
    <w:tmpl w:val="59A303B5"/>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C6446"/>
    <w:rsid w:val="000350B2"/>
    <w:rsid w:val="00040B9E"/>
    <w:rsid w:val="00050F8B"/>
    <w:rsid w:val="00087FF1"/>
    <w:rsid w:val="000A1F9D"/>
    <w:rsid w:val="001714AB"/>
    <w:rsid w:val="00180F91"/>
    <w:rsid w:val="00191A8D"/>
    <w:rsid w:val="001A70B8"/>
    <w:rsid w:val="001D0FCA"/>
    <w:rsid w:val="0027072D"/>
    <w:rsid w:val="00345AE9"/>
    <w:rsid w:val="00354155"/>
    <w:rsid w:val="00365898"/>
    <w:rsid w:val="003B5A5F"/>
    <w:rsid w:val="003D0CED"/>
    <w:rsid w:val="003E0023"/>
    <w:rsid w:val="003F2162"/>
    <w:rsid w:val="004157B7"/>
    <w:rsid w:val="0044387E"/>
    <w:rsid w:val="004455B4"/>
    <w:rsid w:val="004525F5"/>
    <w:rsid w:val="00456F2C"/>
    <w:rsid w:val="0048658E"/>
    <w:rsid w:val="004A1096"/>
    <w:rsid w:val="004B4C75"/>
    <w:rsid w:val="004C507B"/>
    <w:rsid w:val="004D3269"/>
    <w:rsid w:val="005802A2"/>
    <w:rsid w:val="00590FBC"/>
    <w:rsid w:val="005B03B3"/>
    <w:rsid w:val="00651538"/>
    <w:rsid w:val="006B0B14"/>
    <w:rsid w:val="00762FC5"/>
    <w:rsid w:val="007773D0"/>
    <w:rsid w:val="007B368B"/>
    <w:rsid w:val="007C738B"/>
    <w:rsid w:val="0082351A"/>
    <w:rsid w:val="00874268"/>
    <w:rsid w:val="008B3145"/>
    <w:rsid w:val="008B4716"/>
    <w:rsid w:val="00947D38"/>
    <w:rsid w:val="009943DD"/>
    <w:rsid w:val="009E21C4"/>
    <w:rsid w:val="009F7D9C"/>
    <w:rsid w:val="00A76F89"/>
    <w:rsid w:val="00A83805"/>
    <w:rsid w:val="00AC415B"/>
    <w:rsid w:val="00B03EB7"/>
    <w:rsid w:val="00B07A13"/>
    <w:rsid w:val="00B7007D"/>
    <w:rsid w:val="00C81B07"/>
    <w:rsid w:val="00D20ABC"/>
    <w:rsid w:val="00D62A80"/>
    <w:rsid w:val="00D675D2"/>
    <w:rsid w:val="00DC521B"/>
    <w:rsid w:val="00E16808"/>
    <w:rsid w:val="00E42E23"/>
    <w:rsid w:val="00E45820"/>
    <w:rsid w:val="00F4536E"/>
    <w:rsid w:val="00F938D3"/>
    <w:rsid w:val="00FD015E"/>
    <w:rsid w:val="00FF284A"/>
    <w:rsid w:val="00FF7F51"/>
    <w:rsid w:val="0178097C"/>
    <w:rsid w:val="01F6216D"/>
    <w:rsid w:val="01F93E3A"/>
    <w:rsid w:val="048379E3"/>
    <w:rsid w:val="04992DE8"/>
    <w:rsid w:val="056912EA"/>
    <w:rsid w:val="061A08CA"/>
    <w:rsid w:val="06962BFC"/>
    <w:rsid w:val="06EF4218"/>
    <w:rsid w:val="07587554"/>
    <w:rsid w:val="090C0122"/>
    <w:rsid w:val="09662AB2"/>
    <w:rsid w:val="0A026989"/>
    <w:rsid w:val="0AC33FD4"/>
    <w:rsid w:val="0B25739B"/>
    <w:rsid w:val="0CF16518"/>
    <w:rsid w:val="0E8F7973"/>
    <w:rsid w:val="0FF009C4"/>
    <w:rsid w:val="103519F7"/>
    <w:rsid w:val="11F373A1"/>
    <w:rsid w:val="123A2CD9"/>
    <w:rsid w:val="136C6446"/>
    <w:rsid w:val="1372105B"/>
    <w:rsid w:val="14490037"/>
    <w:rsid w:val="14557C21"/>
    <w:rsid w:val="14D212F7"/>
    <w:rsid w:val="150C0CB0"/>
    <w:rsid w:val="150C1FA3"/>
    <w:rsid w:val="154B3885"/>
    <w:rsid w:val="15D361D2"/>
    <w:rsid w:val="164A234E"/>
    <w:rsid w:val="167E05F6"/>
    <w:rsid w:val="1730482A"/>
    <w:rsid w:val="181D00FC"/>
    <w:rsid w:val="183A38CC"/>
    <w:rsid w:val="196A1F03"/>
    <w:rsid w:val="1A87243E"/>
    <w:rsid w:val="1B0D2869"/>
    <w:rsid w:val="1B5950C1"/>
    <w:rsid w:val="1B7B7DEB"/>
    <w:rsid w:val="1B9F6623"/>
    <w:rsid w:val="1D6F1433"/>
    <w:rsid w:val="1E337B45"/>
    <w:rsid w:val="1E834AC0"/>
    <w:rsid w:val="1F4F0192"/>
    <w:rsid w:val="1FA3644A"/>
    <w:rsid w:val="1FC47A98"/>
    <w:rsid w:val="20945CEA"/>
    <w:rsid w:val="20BB1A90"/>
    <w:rsid w:val="21763DCE"/>
    <w:rsid w:val="221458D5"/>
    <w:rsid w:val="22C82723"/>
    <w:rsid w:val="22FE61D1"/>
    <w:rsid w:val="231F109E"/>
    <w:rsid w:val="23A13F07"/>
    <w:rsid w:val="23DF0376"/>
    <w:rsid w:val="255B353E"/>
    <w:rsid w:val="278B2A8A"/>
    <w:rsid w:val="27DC09E2"/>
    <w:rsid w:val="27E074ED"/>
    <w:rsid w:val="28FB4365"/>
    <w:rsid w:val="2A18151E"/>
    <w:rsid w:val="2AAF5E58"/>
    <w:rsid w:val="2BB12A43"/>
    <w:rsid w:val="2CA56F11"/>
    <w:rsid w:val="2CCD0EEA"/>
    <w:rsid w:val="2DD4163E"/>
    <w:rsid w:val="2DDC4B74"/>
    <w:rsid w:val="2E7F1B00"/>
    <w:rsid w:val="2ED4438B"/>
    <w:rsid w:val="2FE811FD"/>
    <w:rsid w:val="303A5AC8"/>
    <w:rsid w:val="334918FB"/>
    <w:rsid w:val="33CF5175"/>
    <w:rsid w:val="34D56222"/>
    <w:rsid w:val="36920DD0"/>
    <w:rsid w:val="37381E1B"/>
    <w:rsid w:val="376221E5"/>
    <w:rsid w:val="377567E8"/>
    <w:rsid w:val="383F435B"/>
    <w:rsid w:val="39A356E4"/>
    <w:rsid w:val="3A974D43"/>
    <w:rsid w:val="3D744EC2"/>
    <w:rsid w:val="3DD330BA"/>
    <w:rsid w:val="3DD64938"/>
    <w:rsid w:val="3EF91CD3"/>
    <w:rsid w:val="40BE4D5A"/>
    <w:rsid w:val="412D72D9"/>
    <w:rsid w:val="41BB0BF2"/>
    <w:rsid w:val="42D02BFB"/>
    <w:rsid w:val="437D6160"/>
    <w:rsid w:val="44300F64"/>
    <w:rsid w:val="46003208"/>
    <w:rsid w:val="473A6FA6"/>
    <w:rsid w:val="49F02BB1"/>
    <w:rsid w:val="4AFA367D"/>
    <w:rsid w:val="4B2772C3"/>
    <w:rsid w:val="4BC106B1"/>
    <w:rsid w:val="4DC63790"/>
    <w:rsid w:val="4E4B3973"/>
    <w:rsid w:val="4EC34F53"/>
    <w:rsid w:val="4EEE3D05"/>
    <w:rsid w:val="503115D8"/>
    <w:rsid w:val="519172DB"/>
    <w:rsid w:val="532C3CA0"/>
    <w:rsid w:val="55CE03B2"/>
    <w:rsid w:val="567A6D13"/>
    <w:rsid w:val="597E1704"/>
    <w:rsid w:val="59B249DB"/>
    <w:rsid w:val="5B0741F3"/>
    <w:rsid w:val="5DA53F4E"/>
    <w:rsid w:val="5EBA133F"/>
    <w:rsid w:val="5EBC290B"/>
    <w:rsid w:val="60E03752"/>
    <w:rsid w:val="60F016F5"/>
    <w:rsid w:val="6134722D"/>
    <w:rsid w:val="61BB51FD"/>
    <w:rsid w:val="61E82D1F"/>
    <w:rsid w:val="62121A8D"/>
    <w:rsid w:val="63641317"/>
    <w:rsid w:val="6520257C"/>
    <w:rsid w:val="653471BA"/>
    <w:rsid w:val="68A96E37"/>
    <w:rsid w:val="68BD77E5"/>
    <w:rsid w:val="692C4ACD"/>
    <w:rsid w:val="6A871A2D"/>
    <w:rsid w:val="6C03748B"/>
    <w:rsid w:val="6E896D73"/>
    <w:rsid w:val="6F7B48CA"/>
    <w:rsid w:val="704B1ADE"/>
    <w:rsid w:val="722820B3"/>
    <w:rsid w:val="729A00C4"/>
    <w:rsid w:val="72F84659"/>
    <w:rsid w:val="72FB2833"/>
    <w:rsid w:val="730F169E"/>
    <w:rsid w:val="75435BF4"/>
    <w:rsid w:val="755E43EE"/>
    <w:rsid w:val="763A7240"/>
    <w:rsid w:val="77116850"/>
    <w:rsid w:val="78756246"/>
    <w:rsid w:val="78B86E17"/>
    <w:rsid w:val="79BD4280"/>
    <w:rsid w:val="7C027916"/>
    <w:rsid w:val="7C577D0D"/>
    <w:rsid w:val="7DA1616C"/>
    <w:rsid w:val="7E1C2D6B"/>
    <w:rsid w:val="7E7E2C8C"/>
    <w:rsid w:val="7F8B1819"/>
    <w:rsid w:val="7F8F4215"/>
    <w:rsid w:val="7F96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28"/>
      <w:szCs w:val="20"/>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link w:val="18"/>
    <w:unhideWhenUsed/>
    <w:qFormat/>
    <w:uiPriority w:val="1"/>
    <w:rPr>
      <w:rFonts w:ascii="Times New Roman" w:hAnsi="Times New Roman"/>
      <w:szCs w:val="24"/>
    </w:rPr>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spacing w:before="100" w:beforeAutospacing="1" w:after="100" w:afterAutospacing="1" w:line="360" w:lineRule="auto"/>
      <w:ind w:left="1680"/>
    </w:pPr>
  </w:style>
  <w:style w:type="paragraph" w:styleId="5">
    <w:name w:val="Normal Indent"/>
    <w:basedOn w:val="1"/>
    <w:qFormat/>
    <w:uiPriority w:val="0"/>
    <w:pPr>
      <w:ind w:firstLine="420"/>
    </w:pPr>
    <w:rPr>
      <w:rFonts w:ascii="宋体" w:hAnsi="宋体"/>
      <w:kern w:val="0"/>
      <w:sz w:val="20"/>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rPr>
      <w:szCs w:val="24"/>
    </w:rPr>
  </w:style>
  <w:style w:type="paragraph" w:styleId="8">
    <w:name w:val="Plain Text"/>
    <w:basedOn w:val="1"/>
    <w:qFormat/>
    <w:uiPriority w:val="0"/>
    <w:rPr>
      <w:rFonts w:ascii="宋体" w:hAnsi="Courier New"/>
      <w:kern w:val="0"/>
      <w:sz w:val="20"/>
      <w:szCs w:val="20"/>
    </w:rPr>
  </w:style>
  <w:style w:type="paragraph" w:styleId="9">
    <w:name w:val="Body Text Indent 2"/>
    <w:basedOn w:val="1"/>
    <w:qFormat/>
    <w:uiPriority w:val="0"/>
    <w:pPr>
      <w:spacing w:after="120" w:line="480" w:lineRule="auto"/>
      <w:ind w:left="420" w:leftChars="200"/>
    </w:pPr>
    <w:rPr>
      <w:szCs w:val="24"/>
    </w:rPr>
  </w:style>
  <w:style w:type="paragraph" w:styleId="10">
    <w:name w:val="Balloon Text"/>
    <w:basedOn w:val="1"/>
    <w:link w:val="27"/>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Body Text Indent 3"/>
    <w:basedOn w:val="1"/>
    <w:qFormat/>
    <w:uiPriority w:val="0"/>
    <w:pPr>
      <w:spacing w:after="120" w:afterLines="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Char Char Char Char Char Char"/>
    <w:basedOn w:val="1"/>
    <w:link w:val="17"/>
    <w:qFormat/>
    <w:uiPriority w:val="0"/>
    <w:rPr>
      <w:rFonts w:ascii="Times New Roman" w:hAnsi="Times New Roman"/>
      <w:szCs w:val="24"/>
    </w:rPr>
  </w:style>
  <w:style w:type="character" w:styleId="19">
    <w:name w:val="page number"/>
    <w:basedOn w:val="17"/>
    <w:qFormat/>
    <w:uiPriority w:val="0"/>
  </w:style>
  <w:style w:type="character" w:styleId="20">
    <w:name w:val="Hyperlink"/>
    <w:basedOn w:val="17"/>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4">
    <w:name w:val="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8"/>
    <w:qFormat/>
    <w:uiPriority w:val="0"/>
    <w:pPr>
      <w:spacing w:line="0" w:lineRule="atLeast"/>
      <w:outlineLvl w:val="0"/>
    </w:pPr>
    <w:rPr>
      <w:sz w:val="28"/>
    </w:rPr>
  </w:style>
  <w:style w:type="character" w:customStyle="1" w:styleId="27">
    <w:name w:val="批注框文本 Char"/>
    <w:basedOn w:val="17"/>
    <w:link w:val="10"/>
    <w:qFormat/>
    <w:uiPriority w:val="0"/>
    <w:rPr>
      <w:kern w:val="2"/>
      <w:sz w:val="18"/>
      <w:szCs w:val="18"/>
    </w:rPr>
  </w:style>
  <w:style w:type="paragraph" w:customStyle="1" w:styleId="28">
    <w:name w:val="Normal_22"/>
    <w:qFormat/>
    <w:uiPriority w:val="0"/>
    <w:rPr>
      <w:rFonts w:ascii="Times New Roman" w:hAnsi="Times New Roman" w:eastAsia="宋体" w:cs="Times New Roman"/>
      <w:kern w:val="0"/>
      <w:sz w:val="21"/>
      <w:szCs w:val="20"/>
    </w:rPr>
  </w:style>
  <w:style w:type="character" w:customStyle="1" w:styleId="29">
    <w:name w:val="font21"/>
    <w:basedOn w:val="17"/>
    <w:qFormat/>
    <w:uiPriority w:val="0"/>
    <w:rPr>
      <w:rFonts w:hint="eastAsia" w:ascii="宋体" w:hAnsi="宋体" w:eastAsia="宋体" w:cs="宋体"/>
      <w:color w:val="FF0000"/>
      <w:sz w:val="20"/>
      <w:szCs w:val="20"/>
      <w:u w:val="none"/>
    </w:rPr>
  </w:style>
  <w:style w:type="character" w:customStyle="1" w:styleId="30">
    <w:name w:val="font41"/>
    <w:basedOn w:val="17"/>
    <w:qFormat/>
    <w:uiPriority w:val="0"/>
    <w:rPr>
      <w:rFonts w:hint="eastAsia" w:ascii="宋体" w:hAnsi="宋体" w:eastAsia="宋体" w:cs="宋体"/>
      <w:color w:val="000000"/>
      <w:sz w:val="20"/>
      <w:szCs w:val="20"/>
      <w:u w:val="none"/>
    </w:rPr>
  </w:style>
  <w:style w:type="character" w:customStyle="1" w:styleId="31">
    <w:name w:val="font11"/>
    <w:basedOn w:val="17"/>
    <w:qFormat/>
    <w:uiPriority w:val="0"/>
    <w:rPr>
      <w:rFonts w:hint="default" w:ascii="Times New Roman" w:hAnsi="Times New Roman" w:cs="Times New Roman"/>
      <w:color w:val="000000"/>
      <w:sz w:val="20"/>
      <w:szCs w:val="20"/>
      <w:u w:val="none"/>
    </w:rPr>
  </w:style>
  <w:style w:type="paragraph" w:styleId="32">
    <w:name w:val="List Paragraph"/>
    <w:basedOn w:val="1"/>
    <w:qFormat/>
    <w:uiPriority w:val="99"/>
    <w:pPr>
      <w:ind w:firstLine="420" w:firstLineChars="200"/>
    </w:pPr>
  </w:style>
  <w:style w:type="paragraph" w:customStyle="1" w:styleId="33">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font31"/>
    <w:basedOn w:val="17"/>
    <w:qFormat/>
    <w:uiPriority w:val="0"/>
    <w:rPr>
      <w:rFonts w:hint="eastAsia" w:ascii="宋体" w:hAnsi="宋体" w:eastAsia="宋体" w:cs="宋体"/>
      <w:color w:val="000000"/>
      <w:sz w:val="22"/>
      <w:szCs w:val="22"/>
      <w:u w:val="none"/>
    </w:rPr>
  </w:style>
  <w:style w:type="paragraph" w:customStyle="1" w:styleId="35">
    <w:name w:val="图"/>
    <w:basedOn w:val="1"/>
    <w:qFormat/>
    <w:uiPriority w:val="0"/>
    <w:pPr>
      <w:keepNext/>
      <w:adjustRightInd w:val="0"/>
      <w:spacing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3797</Words>
  <Characters>21644</Characters>
  <Lines>180</Lines>
  <Paragraphs>50</Paragraphs>
  <TotalTime>1</TotalTime>
  <ScaleCrop>false</ScaleCrop>
  <LinksUpToDate>false</LinksUpToDate>
  <CharactersWithSpaces>25391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2017-08-27T18:37:00Z</dcterms:created>
  <dc:creator>Administrator</dc:creator>
  <cp:lastModifiedBy>丁丁猫</cp:lastModifiedBy>
  <cp:lastPrinted>2021-02-23T06:03:00Z</cp:lastPrinted>
  <dcterms:modified xsi:type="dcterms:W3CDTF">2021-03-01T08:49:43Z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