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bookmarkStart w:id="0" w:name="OLE_LINK4"/>
      <w:bookmarkStart w:id="1" w:name="OLE_LINK1"/>
      <w:bookmarkStart w:id="2" w:name="OLE_LINK2"/>
      <w:r>
        <w:rPr>
          <w:rFonts w:hint="eastAsia" w:ascii="宋体" w:hAnsi="宋体" w:cs="宋体"/>
          <w:b/>
          <w:bCs/>
          <w:color w:val="000000"/>
          <w:sz w:val="28"/>
          <w:szCs w:val="28"/>
          <w:highlight w:val="none"/>
          <w:lang w:val="en-US" w:eastAsia="zh-CN"/>
        </w:rPr>
        <w:t>1.项目名称：</w:t>
      </w:r>
      <w:r>
        <w:rPr>
          <w:rFonts w:hint="eastAsia" w:asciiTheme="minorEastAsia" w:hAnsiTheme="minorEastAsia" w:cstheme="minorEastAsia"/>
          <w:b/>
          <w:color w:val="000000"/>
          <w:sz w:val="28"/>
          <w:szCs w:val="28"/>
          <w:highlight w:val="none"/>
          <w:lang w:eastAsia="zh-CN"/>
        </w:rPr>
        <w:t>铜仁市公安局万山分局公共安全视频监控建设设备采购</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default"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2.项目编号：TRZFCG-2021-033</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default" w:ascii="宋体" w:hAnsi="宋体" w:cs="宋体" w:eastAsiaTheme="minorEastAsia"/>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3.采购方式：公开招标</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4.公示期限（不少于2个工作日）：</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2021年2月24日-2021年2月25日</w:t>
      </w:r>
    </w:p>
    <w:p>
      <w:pPr>
        <w:keepNext w:val="0"/>
        <w:keepLines w:val="0"/>
        <w:pageBreakBefore w:val="0"/>
        <w:widowControl/>
        <w:numPr>
          <w:ilvl w:val="0"/>
          <w:numId w:val="1"/>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采购预算：7890000.00元(最高限价7890000.00元)</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6.采购预算确定依据：</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万山区政府采购实施计划备案表</w:t>
      </w:r>
    </w:p>
    <w:p>
      <w:pPr>
        <w:keepNext w:val="0"/>
        <w:keepLines w:val="0"/>
        <w:pageBreakBefore w:val="0"/>
        <w:widowControl/>
        <w:numPr>
          <w:ilvl w:val="0"/>
          <w:numId w:val="2"/>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采购人名称：铜仁市公安局万山分局</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项目联系人：成科长</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default"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联系电话：18908561233</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8.采购代理机构全称:铜仁市公共资源交易中心</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联系地址:铜仁市公共服务中心四楼（川硐麒龙国际会展城）</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项目联系人:黄丽</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联系电话:0856-3912922</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700" w:lineRule="exact"/>
        <w:jc w:val="left"/>
        <w:textAlignment w:val="auto"/>
        <w:outlineLvl w:val="9"/>
        <w:rPr>
          <w:rFonts w:hint="eastAsia"/>
          <w:highlight w:val="none"/>
        </w:rPr>
      </w:pPr>
      <w:r>
        <w:rPr>
          <w:rFonts w:hint="eastAsia" w:ascii="宋体" w:hAnsi="宋体" w:cs="宋体"/>
          <w:b/>
          <w:bCs/>
          <w:color w:val="000000"/>
          <w:sz w:val="28"/>
          <w:szCs w:val="28"/>
          <w:highlight w:val="none"/>
          <w:lang w:val="en-US" w:eastAsia="zh-CN"/>
        </w:rPr>
        <w:t>任何单位和个人对本项目采购文件需求公示有异议的，可在公示期限内，反馈意见给代理机构。</w:t>
      </w:r>
      <w:bookmarkEnd w:id="0"/>
      <w:bookmarkEnd w:id="1"/>
      <w:bookmarkEnd w:id="2"/>
    </w:p>
    <w:p>
      <w:pPr>
        <w:pStyle w:val="3"/>
        <w:rPr>
          <w:rFonts w:hint="eastAsia"/>
          <w:sz w:val="48"/>
          <w:szCs w:val="48"/>
          <w:highlight w:val="none"/>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hint="eastAsia"/>
          <w:highlight w:val="none"/>
          <w:lang w:eastAsia="zh-CN"/>
        </w:rPr>
      </w:pPr>
    </w:p>
    <w:p>
      <w:pPr>
        <w:pStyle w:val="3"/>
        <w:rPr>
          <w:rFonts w:hint="eastAsia"/>
          <w:b/>
          <w:bCs/>
          <w:sz w:val="36"/>
          <w:szCs w:val="36"/>
          <w:highlight w:val="none"/>
          <w:lang w:val="en-US" w:eastAsia="zh-CN"/>
        </w:rPr>
      </w:pPr>
      <w:r>
        <w:rPr>
          <w:rFonts w:hint="eastAsia"/>
          <w:sz w:val="36"/>
          <w:szCs w:val="36"/>
          <w:highlight w:val="none"/>
          <w:lang w:eastAsia="zh-CN"/>
        </w:rPr>
        <w:t>铜仁市公安局万山分局公共安全视频监控建设设备采购</w:t>
      </w:r>
      <w:r>
        <w:rPr>
          <w:rFonts w:hint="eastAsia"/>
          <w:sz w:val="36"/>
          <w:szCs w:val="36"/>
          <w:highlight w:val="none"/>
        </w:rPr>
        <w:t>需</w:t>
      </w:r>
      <w:r>
        <w:rPr>
          <w:sz w:val="36"/>
          <w:szCs w:val="36"/>
          <w:highlight w:val="none"/>
        </w:rPr>
        <w:t>求书</w:t>
      </w:r>
    </w:p>
    <w:p>
      <w:pPr>
        <w:spacing w:line="276" w:lineRule="auto"/>
        <w:jc w:val="center"/>
        <w:rPr>
          <w:rFonts w:hint="eastAsia" w:ascii="宋体" w:hAnsi="宋体"/>
          <w:b/>
          <w:color w:val="FF0000"/>
          <w:sz w:val="24"/>
          <w:highlight w:val="none"/>
        </w:rPr>
      </w:pPr>
    </w:p>
    <w:p>
      <w:pPr>
        <w:rPr>
          <w:rFonts w:hint="eastAsia"/>
          <w:highlight w:val="none"/>
          <w:lang w:eastAsia="zh-CN"/>
        </w:rPr>
      </w:pPr>
      <w:bookmarkStart w:id="3" w:name="EB93c4e8d19c1041a5b927e28a0c288bfb"/>
    </w:p>
    <w:tbl>
      <w:tblPr>
        <w:tblStyle w:val="13"/>
        <w:tblW w:w="90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259"/>
        <w:gridCol w:w="5459"/>
        <w:gridCol w:w="543"/>
        <w:gridCol w:w="12"/>
        <w:gridCol w:w="63"/>
        <w:gridCol w:w="126"/>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8" w:space="0"/>
              <w:left w:val="single" w:color="auto" w:sz="8" w:space="0"/>
              <w:bottom w:val="single" w:color="auto" w:sz="4" w:space="0"/>
              <w:right w:val="single" w:color="000000" w:sz="8" w:space="0"/>
            </w:tcBorders>
            <w:shd w:val="clear" w:color="000000" w:fill="FFFFFF"/>
            <w:vAlign w:val="center"/>
          </w:tcPr>
          <w:p>
            <w:pPr>
              <w:widowControl/>
              <w:jc w:val="center"/>
              <w:rPr>
                <w:rFonts w:ascii="宋体" w:hAnsi="宋体" w:eastAsia="宋体" w:cs="宋体"/>
                <w:b/>
                <w:bCs/>
                <w:kern w:val="0"/>
                <w:sz w:val="40"/>
                <w:szCs w:val="44"/>
                <w:highlight w:val="none"/>
              </w:rPr>
            </w:pPr>
            <w:r>
              <w:rPr>
                <w:rFonts w:hint="eastAsia" w:ascii="宋体" w:hAnsi="宋体" w:eastAsia="宋体" w:cs="宋体"/>
                <w:b/>
                <w:bCs/>
                <w:kern w:val="0"/>
                <w:sz w:val="40"/>
                <w:szCs w:val="44"/>
                <w:highlight w:val="none"/>
              </w:rPr>
              <w:t>公共安全视频监控建设设备采购清单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4"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宋体" w:hAnsi="宋体" w:eastAsia="宋体" w:cs="宋体"/>
                <w:b/>
                <w:bCs/>
                <w:kern w:val="0"/>
                <w:sz w:val="36"/>
                <w:szCs w:val="44"/>
                <w:highlight w:val="none"/>
              </w:rPr>
            </w:pPr>
            <w:r>
              <w:rPr>
                <w:rFonts w:hint="eastAsia" w:ascii="宋体" w:hAnsi="宋体" w:eastAsia="宋体" w:cs="宋体"/>
                <w:b/>
                <w:bCs/>
                <w:kern w:val="0"/>
                <w:sz w:val="36"/>
                <w:szCs w:val="44"/>
                <w:highlight w:val="none"/>
              </w:rPr>
              <w:t>人脸识别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color w:val="000000"/>
                <w:kern w:val="0"/>
                <w:sz w:val="22"/>
                <w:szCs w:val="28"/>
                <w:highlight w:val="none"/>
              </w:rPr>
            </w:pPr>
            <w:r>
              <w:rPr>
                <w:rFonts w:hint="eastAsia" w:ascii="微软雅黑" w:hAnsi="微软雅黑" w:eastAsia="微软雅黑" w:cs="宋体"/>
                <w:b/>
                <w:bCs/>
                <w:color w:val="000000"/>
                <w:kern w:val="0"/>
                <w:sz w:val="22"/>
                <w:szCs w:val="28"/>
                <w:highlight w:val="none"/>
              </w:rPr>
              <w:t>序号</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color w:val="000000"/>
                <w:kern w:val="0"/>
                <w:sz w:val="22"/>
                <w:szCs w:val="28"/>
                <w:highlight w:val="none"/>
              </w:rPr>
            </w:pPr>
            <w:r>
              <w:rPr>
                <w:rFonts w:hint="eastAsia" w:ascii="微软雅黑" w:hAnsi="微软雅黑" w:eastAsia="微软雅黑" w:cs="宋体"/>
                <w:b/>
                <w:bCs/>
                <w:color w:val="000000"/>
                <w:kern w:val="0"/>
                <w:sz w:val="22"/>
                <w:szCs w:val="28"/>
                <w:highlight w:val="none"/>
              </w:rPr>
              <w:t>设备名称</w:t>
            </w:r>
          </w:p>
        </w:tc>
        <w:tc>
          <w:tcPr>
            <w:tcW w:w="54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color w:val="000000"/>
                <w:kern w:val="0"/>
                <w:sz w:val="22"/>
                <w:szCs w:val="28"/>
                <w:highlight w:val="none"/>
              </w:rPr>
            </w:pPr>
            <w:r>
              <w:rPr>
                <w:rFonts w:hint="eastAsia" w:ascii="微软雅黑" w:hAnsi="微软雅黑" w:eastAsia="微软雅黑" w:cs="宋体"/>
                <w:b/>
                <w:bCs/>
                <w:color w:val="000000"/>
                <w:kern w:val="0"/>
                <w:sz w:val="22"/>
                <w:szCs w:val="28"/>
                <w:highlight w:val="none"/>
              </w:rPr>
              <w:t>参数</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b/>
                <w:bCs/>
                <w:color w:val="000000"/>
                <w:kern w:val="0"/>
                <w:sz w:val="22"/>
                <w:szCs w:val="28"/>
                <w:highlight w:val="none"/>
              </w:rPr>
            </w:pPr>
            <w:r>
              <w:rPr>
                <w:rFonts w:hint="eastAsia" w:ascii="微软雅黑" w:hAnsi="微软雅黑" w:eastAsia="微软雅黑" w:cs="宋体"/>
                <w:b/>
                <w:bCs/>
                <w:color w:val="000000"/>
                <w:kern w:val="0"/>
                <w:sz w:val="22"/>
                <w:szCs w:val="28"/>
                <w:highlight w:val="none"/>
              </w:rPr>
              <w:t>单位</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微软雅黑" w:hAnsi="微软雅黑" w:eastAsia="微软雅黑" w:cs="宋体"/>
                <w:b/>
                <w:bCs/>
                <w:color w:val="000000"/>
                <w:kern w:val="0"/>
                <w:sz w:val="22"/>
                <w:szCs w:val="28"/>
                <w:highlight w:val="none"/>
              </w:rPr>
            </w:pPr>
            <w:r>
              <w:rPr>
                <w:rFonts w:hint="eastAsia" w:ascii="微软雅黑" w:hAnsi="微软雅黑" w:eastAsia="微软雅黑" w:cs="宋体"/>
                <w:b/>
                <w:bCs/>
                <w:color w:val="000000"/>
                <w:kern w:val="0"/>
                <w:sz w:val="22"/>
                <w:szCs w:val="28"/>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400万1/1.8" 摄像机</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1.支持四种智能资源切换：通用行为分析、人脸检测、视频结构化、人数统计；</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2.人脸检测：支持跟踪，支持优选，支持抓拍，支持上报最优的人脸抓图，支持人脸增强，人脸曝光，支持人脸属性提取，支持7种属性，8种表情；</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3.人数统计：支持排队管理；支持区域内人数统计，进入/离开人数统计，并可生成人数统计日/月/年报表，导出使用（区域内人数统计、排队管理不支持报表）；</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4.支持绊线入侵，区域入侵，快速移动（三项均支持人车分类及精准检测），物品遗留，物品搬移，徘徊检测，人员聚集，停车检测，热度图</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5.支持视频结构化功能，包括机动车，非机动车，人员等目标的抓拍和属性识别</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6.采用400万像素1/1.8英寸CMOS图像传感器；</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7.可输出400万（2688×1520）@25fps；</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8.支持H.265编码；</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9.支持走廊模式，宽动态，3D降噪，强光抑制，背光补偿，数字水印，适用不同监控环境；</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10.支持ROI，SVC，SMART H.264/H.265，帧前滤波，灵活编码，适用不同带宽和存储环境；</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11.支持报警2进2出，音频1进1出，BNC，256G Micro SD卡，内置MIC；</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12.支持DC12V/AC24V/POE供电方式，支持12V电源返送，最大电流0.165A，方便工程安装；</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护罩</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单护罩，15英寸，带遮阳罩，带补光灯安装孔位</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补光灯</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白光，20W，220V，光控</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TF卡</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128G存储卡 </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张</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摄像机电源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桌面式，DC12V 2.0A，带国标三插AC电源线（1.5米），绿色端子插头（1.5米）</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个</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固定支架</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横杆抱箍装</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智能设备箱</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高≥650mm宽≥500mm深≥400mm，室外防水设计、长条锁、一层可拆卸隔板、冷轧钢板制作、表面喷塑处理（专用室外塑粉）色卡标号为RAL7046。箱体内部包含测试插座1个、共用零排1块、地排1块</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立杆高≤3m；圆型；含避雷针；件内外热镀锌表面喷塑处理。</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根</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横臂</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镀锌，≥1.5米</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根</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水泥基础及接地</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立杆基础：基础尺寸为0.6m*0.6m*0.6m;含基础，开挖、回填、机械费、人工费、垃圾外运。</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立杆地锚：立杆地锚等基础结构件</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接地</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次</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PE管材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顶管和接驳沟道使用按实际负载配置</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配件</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抱箍、万向头、紧固件、螺钉、盘纤盒、线槽、水晶头、接地线、钢丝等其它</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RJ45跳线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1米RJ45跳线</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RJ45跳线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3米RJ45跳线</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RVV2 1.0电源线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RVV2x1.0</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墙钉、飞线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定制墙钉、飞线</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直埋</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定制破路直埋,原样材料回填，并原样恢复。</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PVC管材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Φ25，线路穿管用</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钢管</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镀锌钢管</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安装调试</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设备安装及调试</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运维及质保</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eastAsia="zh-CN"/>
              </w:rPr>
              <w:t>三年</w:t>
            </w:r>
          </w:p>
        </w:tc>
        <w:tc>
          <w:tcPr>
            <w:tcW w:w="61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838" w:type="dxa"/>
            <w:gridSpan w:val="2"/>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4"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微卡口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设备名称</w:t>
            </w:r>
          </w:p>
        </w:tc>
        <w:tc>
          <w:tcPr>
            <w:tcW w:w="54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参数</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单位</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微卡口数据应用软件 </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 大数据可视化模块与车辆大数据管理模块、车辆数据库模块、车辆数据研判分析模块、车辆深度识别服务器一起构建车辆</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 大数据系统。针对过车图片数量增长快、车辆识别特征信息少、海量数据检索速度慢、信息碰撞研判能力弱等实际应用中的突出问题，</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 系统采用大数据检索、分布式存储、图像深度学习、可视化模型等先进技术，提供车辆查询、稽查布控、研判分析、违法管理、数据</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 统计和可视化展示等功能。</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 可通过视图关系展示多样化数据统计分析；</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 支持多种图表组件，包括条图/线图/面积图/饼状图/雷达图/气泡图/热力图/计量</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7. 图/区域地图/散点地图等；</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8. 可灵活配置图表展示内容元素的名称/颜色/大小/位置等；可将图表/边框/图片/视频/文字/地图/背景等编辑为</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9. 可视化模板，支持模板复制和导入导出；</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10. 可对数据源进行创建/编辑/删除，可灵活配置数据库/数据文件/数据接口。</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微卡业务服器</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 企业级高性能平台服务器，2U高度8盘位标准机架式；</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 32G内存，2个千兆网口；</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 每个处理器内存通道数4个；64位内存的</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 计算能力，同时保持对32位计算的兼容性；</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 支持最新的DDR4 内存；</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w:t>
            </w:r>
            <w:r>
              <w:rPr>
                <w:rFonts w:hint="eastAsia" w:ascii="宋体" w:hAnsi="宋体" w:eastAsia="宋体" w:cs="宋体"/>
                <w:kern w:val="0"/>
                <w:sz w:val="20"/>
                <w:szCs w:val="20"/>
                <w:highlight w:val="none"/>
              </w:rPr>
              <w:t>≥</w:t>
            </w:r>
            <w:r>
              <w:rPr>
                <w:rFonts w:hint="eastAsia" w:ascii="宋体" w:hAnsi="宋体" w:eastAsia="宋体" w:cs="宋体"/>
                <w:kern w:val="0"/>
                <w:sz w:val="18"/>
                <w:szCs w:val="18"/>
                <w:highlight w:val="none"/>
              </w:rPr>
              <w:t xml:space="preserve"> 6个高速PCIE 3.0扩展槽，支持多种外插卡</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4K全结构化一体机</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 具有100M/1000M以太网口、音频输入接口、音频输出接口、</w:t>
            </w:r>
            <w:r>
              <w:rPr>
                <w:rFonts w:hint="eastAsia" w:ascii="宋体" w:hAnsi="宋体" w:eastAsia="宋体" w:cs="宋体"/>
                <w:kern w:val="0"/>
                <w:sz w:val="20"/>
                <w:szCs w:val="20"/>
                <w:highlight w:val="none"/>
              </w:rPr>
              <w:t>≥</w:t>
            </w:r>
            <w:r>
              <w:rPr>
                <w:rFonts w:hint="eastAsia" w:ascii="宋体" w:hAnsi="宋体" w:eastAsia="宋体" w:cs="宋体"/>
                <w:color w:val="000000"/>
                <w:kern w:val="0"/>
                <w:sz w:val="20"/>
                <w:szCs w:val="20"/>
                <w:highlight w:val="none"/>
              </w:rPr>
              <w:t>3路报警输入接口，</w:t>
            </w:r>
            <w:r>
              <w:rPr>
                <w:rFonts w:hint="eastAsia" w:ascii="宋体" w:hAnsi="宋体" w:eastAsia="宋体" w:cs="宋体"/>
                <w:kern w:val="0"/>
                <w:sz w:val="20"/>
                <w:szCs w:val="20"/>
                <w:highlight w:val="none"/>
              </w:rPr>
              <w:t>≥</w:t>
            </w:r>
            <w:r>
              <w:rPr>
                <w:rFonts w:hint="eastAsia" w:ascii="宋体" w:hAnsi="宋体" w:eastAsia="宋体" w:cs="宋体"/>
                <w:color w:val="000000"/>
                <w:kern w:val="0"/>
                <w:sz w:val="20"/>
                <w:szCs w:val="20"/>
                <w:highlight w:val="none"/>
              </w:rPr>
              <w:t>2路开关量输出接口、1路RS485接口、TF卡接口、复位接口</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 1/1.8" CMOS 800万像素传感器，12.5-50mm电动变焦镜头</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 支持32kbps～16Mbps视频码率可调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4. 支持H.265、H.264（MainProfile，HighProfile，BaselineProfile）、M-JPEG视频压缩格式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5. 支持G.711a、G.711u、G726、ADPCM、AAC音频编码标准</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6. 分辨力：彩色≥2000TVL（分辨率为3840×2160，码率为8Mbps，帧率为25帧/s）</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7. 亮度（灰度）鉴别等级≥11级</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8. 信噪比≥60dB</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9. 最低照度：0.0004lx（AGC ON，彩色模式），能基本分辨被摄目标的轮廓特征和色彩；0.0001lx（AGC ON，黑白模式），能基本分辨被摄目标的轮廓特征。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 宽动态≥120dB</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11. 图像延时：≤200ms（分辨率3840×2160，帧率30fps，码流4Mbps）</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12. 具有电子快门，快门速度1/100000s-1s可调</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13. 具有白光补光灯，可独立设置开启/关闭。可手动开启选定的补光方式。</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14. 当环境照度低于一定值时，通过白光灯照射，可分辨距离50米所摄目标的轮廓和状态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15. 人脸抓拍模式：支持人脸和人体的关联抓拍，并支持人脸、人体的属性识别；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16. 车辆抓拍模式：支持车辆、非机动车、人体的同时抓拍，并支持车辆、非机动车、人体的属性识别；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17. 混合并行抓拍模式：支持在视频画面中，对人脸、人体、车辆、非机动车等运动目标的同时抓拍功能，并支持人脸，人体、车辆、非机动车的属性识别。"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18. 能将捕获到的目标进行分类，分类至少包括机动车（不包括摩托车）、非机动车（摩托车、自行车、电动二轮车）、行人，分类准确率不低于95%。</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19. 设备能根据实际停止线、车道标线自动绘制检测线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20. ★可识别</w:t>
            </w:r>
            <w:r>
              <w:rPr>
                <w:rFonts w:hint="eastAsia" w:ascii="宋体" w:hAnsi="宋体" w:eastAsia="宋体" w:cs="宋体"/>
                <w:kern w:val="0"/>
                <w:sz w:val="20"/>
                <w:szCs w:val="20"/>
                <w:highlight w:val="none"/>
              </w:rPr>
              <w:t>≥</w:t>
            </w:r>
            <w:r>
              <w:rPr>
                <w:rFonts w:hint="eastAsia" w:ascii="宋体" w:hAnsi="宋体" w:eastAsia="宋体" w:cs="宋体"/>
                <w:color w:val="000000"/>
                <w:kern w:val="0"/>
                <w:sz w:val="20"/>
                <w:szCs w:val="20"/>
                <w:highlight w:val="none"/>
              </w:rPr>
              <w:t>22种车型，其中车头方向有</w:t>
            </w:r>
            <w:r>
              <w:rPr>
                <w:rFonts w:hint="eastAsia" w:ascii="宋体" w:hAnsi="宋体" w:eastAsia="宋体" w:cs="宋体"/>
                <w:kern w:val="0"/>
                <w:sz w:val="20"/>
                <w:szCs w:val="20"/>
                <w:highlight w:val="none"/>
              </w:rPr>
              <w:t>≥</w:t>
            </w:r>
            <w:r>
              <w:rPr>
                <w:rFonts w:hint="eastAsia" w:ascii="宋体" w:hAnsi="宋体" w:eastAsia="宋体" w:cs="宋体"/>
                <w:color w:val="000000"/>
                <w:kern w:val="0"/>
                <w:sz w:val="20"/>
                <w:szCs w:val="20"/>
                <w:highlight w:val="none"/>
              </w:rPr>
              <w:t>18种，二轮车、三轮车、两厢轿车、三厢轿车、轿跑、小型轿车、微型轿车、客车、中型客车、面包车、微型面包车、大货车、中型货车、小货车、SUV、MVP、皮卡</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21. 支持识别车辆的车品牌和二级子品牌，年款和车辆类型等信息。可识别11种车身颜色，包括：红、黄、蓝、绿、棕、白、黑、灰、粉、紫、青</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22. 具备车牌识别功能，可识别的车牌颜色包括:黑、白、黄、蓝、绿</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23. 支持同一场景中同时检测出场景中出现的行人、车辆和非机动车并进行抓图，支持人脸抠图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24. 支持对基于骑行的人员性别、运动方向的检测，以及驾驶摩托车车牌检测、识别</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25. 支持跨场景人脸与人体、车辆、非机动车的关联匹配，车牌与机动车关联匹配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26. ★支持识别人脸属性包括：性别（男、女）：是否背包、运动方向（向下、向上、向左、向右）：上身颜色（黑、白、灰、棕、红、蓝、黄、绿、粉、橙、青、紫）下身颜色（黑、白、灰、棕、红、蓝、黄、绿、粉、橙、青、紫），头部特征（长头发、短头发、戴帽子）衣着（长袖、短袖、长裤、短裤、长裙、短裙）速度（快、慢）</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27. 支持瞳距20个像素以上的人脸检测功能，可自动发现并抓拍人脸图片，支持人脸抓拍次数1~10张可设，支持对人脸进行检测、跟踪、抓拍、评分、筛选，输出最优的人脸抓图</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28. 支持人脸目标抓拍头肩照或全景照，模式可选择；</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29. 抓拍策略设置：支持最优抓拍、最快抓拍、定时抓拍，跨线抓拍等抓拍策略设置</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30. 支持遮挡人脸检测、包括戴墨镜、鸭舌帽子、口罩等遮挡人脸的人脸抓拍</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31. 静电抗干扰：空气放电15KV，接触放电8KV</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32. 温度：-40°±3℃~+70±2℃</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33. 电源：AC24V（±25%）</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34. 外壳等级：IP66</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35. 防爆性能：IK10</w:t>
            </w:r>
            <w:r>
              <w:rPr>
                <w:rFonts w:hint="eastAsia" w:ascii="宋体" w:hAnsi="宋体" w:eastAsia="宋体" w:cs="宋体"/>
                <w:color w:val="000000"/>
                <w:kern w:val="0"/>
                <w:sz w:val="20"/>
                <w:szCs w:val="20"/>
                <w:highlight w:val="none"/>
              </w:rPr>
              <w:br w:type="textWrapping"/>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补光灯</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发光角度 25度、40度可选</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光源数量 36颗</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有效寿命 30000小时</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补光强度 80Lux/20m</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显色指数 ≥70</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色温 6000～7000K</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波长范围 380nm-780nm</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开启方式 常亮/时控开关/光敏控制（可选）</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功率 36W</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功率因素 &gt;90%</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供电方式 AC 100V~265V / 50~60HZ</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摄像机电源</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防水电源</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个</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固定支架</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配合抓拍机或护罩使用，多相位可调整</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智能设备箱</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高≥650mm宽≥500mm深≥400mm，室外防水设计、长条锁、一层可拆卸隔板、冷轧钢板制作、表面喷塑处理（专用室外塑粉）色卡标号为RAL7046。箱体内部包含2P16A空开一个、1P16A空开2个、测试插座一个、共用零排一块、地排一块</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立杆高约≤</w:t>
            </w:r>
            <w:r>
              <w:rPr>
                <w:rFonts w:hint="eastAsia" w:ascii="宋体" w:hAnsi="宋体" w:eastAsia="宋体" w:cs="宋体"/>
                <w:kern w:val="0"/>
                <w:sz w:val="20"/>
                <w:szCs w:val="20"/>
                <w:highlight w:val="none"/>
                <w:lang w:val="en-US" w:eastAsia="zh-CN"/>
              </w:rPr>
              <w:t>6</w:t>
            </w:r>
            <w:r>
              <w:rPr>
                <w:rFonts w:hint="eastAsia" w:ascii="宋体" w:hAnsi="宋体" w:eastAsia="宋体" w:cs="宋体"/>
                <w:kern w:val="0"/>
                <w:sz w:val="20"/>
                <w:szCs w:val="20"/>
                <w:highlight w:val="none"/>
              </w:rPr>
              <w:t>m；含避雷针；件内外热镀锌，表面喷塑处理，灰度7046</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根</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横臂</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镀锌，长≤</w:t>
            </w:r>
            <w:r>
              <w:rPr>
                <w:rFonts w:hint="eastAsia" w:ascii="宋体" w:hAnsi="宋体" w:cs="宋体"/>
                <w:kern w:val="0"/>
                <w:sz w:val="20"/>
                <w:szCs w:val="20"/>
                <w:highlight w:val="none"/>
                <w:lang w:val="en-US" w:eastAsia="zh-CN"/>
              </w:rPr>
              <w:t>4</w:t>
            </w:r>
            <w:r>
              <w:rPr>
                <w:rFonts w:hint="eastAsia" w:ascii="宋体" w:hAnsi="宋体" w:eastAsia="宋体" w:cs="宋体"/>
                <w:kern w:val="0"/>
                <w:sz w:val="20"/>
                <w:szCs w:val="20"/>
                <w:highlight w:val="none"/>
              </w:rPr>
              <w:t>米</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根</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水泥基础及接地</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杆件基础：技术参数：基础尺寸为1.0m*1.0m*1.2m;含基础，开挖、回填、机械费、人工费、垃圾外运</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杆件地锚：立杆地锚等基础结构件</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杆件接地</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次</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bookmarkStart w:id="4" w:name="_GoBack"/>
            <w:bookmarkEnd w:id="4"/>
            <w:r>
              <w:rPr>
                <w:rFonts w:hint="eastAsia" w:ascii="宋体" w:hAnsi="宋体" w:eastAsia="宋体" w:cs="宋体"/>
                <w:kern w:val="0"/>
                <w:sz w:val="20"/>
                <w:szCs w:val="20"/>
                <w:highlight w:val="no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配件</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抱箍、万向头、紧固件、螺钉、盘纤盒、线槽、水晶头、接地线、钢丝等其它</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RJ45跳线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5米RJ45跳线</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RVV2 1.0电源线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RVV2x1.0</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PE管材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Φ32，顶管和接驳沟道使用按实际负载配置</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墙钉、飞线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定制墙钉、飞线</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直埋</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定制破路直埋,原样材料回填，并原样恢复。</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PVC管材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Φ25，线路穿管用</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钢管</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镀锌钢管</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安装调试</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设备安装及调试</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运维及质保</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eastAsia="zh-CN"/>
              </w:rPr>
              <w:t>三年</w:t>
            </w:r>
          </w:p>
        </w:tc>
        <w:tc>
          <w:tcPr>
            <w:tcW w:w="54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913" w:type="dxa"/>
            <w:gridSpan w:val="4"/>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4"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监控部分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500万超星光多场景抓拍护罩一体机</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 具有RJ45千兆网口、RS485接口、音频输入/输出接口、SD卡槽、复位按钮、内置MIC、内置扬声器；支持</w:t>
            </w:r>
            <w:r>
              <w:rPr>
                <w:rFonts w:hint="eastAsia" w:ascii="宋体" w:hAnsi="宋体" w:eastAsia="宋体" w:cs="宋体"/>
                <w:kern w:val="0"/>
                <w:sz w:val="20"/>
                <w:szCs w:val="20"/>
                <w:highlight w:val="none"/>
              </w:rPr>
              <w:t>≥</w:t>
            </w:r>
            <w:r>
              <w:rPr>
                <w:rFonts w:hint="eastAsia" w:ascii="宋体" w:hAnsi="宋体" w:eastAsia="宋体" w:cs="宋体"/>
                <w:color w:val="000000"/>
                <w:kern w:val="0"/>
                <w:sz w:val="18"/>
                <w:szCs w:val="18"/>
                <w:highlight w:val="none"/>
              </w:rPr>
              <w:t>2路报警输入、</w:t>
            </w:r>
            <w:r>
              <w:rPr>
                <w:rFonts w:hint="eastAsia" w:ascii="宋体" w:hAnsi="宋体" w:eastAsia="宋体" w:cs="宋体"/>
                <w:kern w:val="0"/>
                <w:sz w:val="20"/>
                <w:szCs w:val="20"/>
                <w:highlight w:val="none"/>
              </w:rPr>
              <w:t>≥</w:t>
            </w:r>
            <w:r>
              <w:rPr>
                <w:rFonts w:hint="eastAsia" w:ascii="宋体" w:hAnsi="宋体" w:eastAsia="宋体" w:cs="宋体"/>
                <w:color w:val="000000"/>
                <w:kern w:val="0"/>
                <w:sz w:val="18"/>
                <w:szCs w:val="18"/>
                <w:highlight w:val="none"/>
              </w:rPr>
              <w:t>1路报警输出。</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 最大分辨率为2592X1944，12.5～50mm变焦镜头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3. 具有TCP、UDP、HTTP、MULTICAST、UPnP、DHCP、PPPoE、DDNS、NFS、FTP、NTP、RTP、RTSP、IPv4、IPv6、SNMP、SMTP、802.1X、QoS、HTTPS设置选项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4. 靶面尺寸检查：不小于1/1.8英寸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5. H.265、H.264（Main Profile，High Profile，Baseline Profile）、M-JPEG</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6. 支持32kbps～16Mbps视频码率可调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7. 支持G.711A、G.711U、ADPCM_D、AAC_LC音频编码标准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8. 彩色：≥1600TVL（分辨率为2592X1944，码率为4Mbps，帧率为25帧/s）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9. 亮度（灰度）鉴别等级≥11级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10. 信噪比≥60dB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11. 最低照度：0.0003lx（F=1.2，AGC ON，彩色模式），能基本分辨被摄目标的轮廓特征和色彩。0.0001lx（F=1.2，AGC ON，黑白模式），能基本分辨被摄目标的轮廓特征。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12. 宽动态：≥118dB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13. 支持ABF自动后焦调节，可通过IE浏览器进行一键聚焦。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14. 支持在视频图像任意位置叠加所上传的图片（图片要求：200X200像素BMP格式、24位）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字体可设置为16X16像素，24X24像素、32X32像素、48X48像素、64X64像素、96X96像素；支持时间、日期、星期叠加；支持最大可叠加10行字符；支持5个区域的附加字符叠加，支持矢量、点阵字库类型设置，支持设置5种字体颜色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15. 最大支持50路分辨率为2592X1944、码率为4Mbps、帧率为25帧/秒的视频同时进行浏览（配合NVR进行）。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16. 可将视频图像及抓拍图片存储至Micro SD 卡或客户端，最大支持512GB Micro SD卡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17. 支持移动侦测功能，周界报警功能、虚焦侦测、故障报警、场景变更侦测、声音异常检测等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18. 支持侧脸检测功能，包括人脸俯仰（≤30°）、人脸倾斜（≤50°）、左右偏转（≤50°）时可以对人脸进行检测并且抓拍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19. 具有人脸检测、人脸跟踪、人脸抓拍功能，人脸抓拍数量1~10张可设；具有人脸全景图片抓拍和人脸特写图片抓拍功能；可设置人脸检测区域；支持人脸检测的最小人脸尺寸设置，最小可设置19像素；能对同时出现在静态图片中的至少32个人脸目标进行检测并框出人脸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20. 支持人脸抓拍照片上报时间不超过2s,支持对人脸以最优策略、最快速度等方式进行抓拍；支持人脸抓拍，可将人脸抓拍图片分别存储为场景大图和人脸小图，场景大图和人脸小图可关联存储；支持遮挡人脸抓拍功能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21. 人脸抓拍捕获率≥99%（人脸正对摄像机，且人脸尺寸不小于12像素）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人员奔跑抓拍捕获率≥99%（奔跑时人脸正对摄像机，且人脸尺寸不小于12像素，人员奔跑速度不大于20km/h）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22. 车辆捕获率≥99%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23. 具有混合目标（机动车、非机动车、人体、人脸）抓拍功能，并提供混合目标对应的全景图片抓怕和特写图片抓拍功能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24. 系统具有双重备份功能，当操作系统文件损坏或异常时，设备重启后仍可正常运行 </w:t>
            </w:r>
            <w:r>
              <w:rPr>
                <w:rFonts w:hint="eastAsia" w:ascii="宋体" w:hAnsi="宋体" w:cs="宋体"/>
                <w:color w:val="000000"/>
                <w:kern w:val="0"/>
                <w:sz w:val="18"/>
                <w:szCs w:val="18"/>
                <w:highlight w:val="none"/>
                <w:lang w:val="en-US" w:eastAsia="zh-CN"/>
              </w:rPr>
              <w:t>,</w:t>
            </w:r>
            <w:r>
              <w:rPr>
                <w:rFonts w:hint="eastAsia" w:ascii="宋体" w:hAnsi="宋体" w:eastAsia="宋体" w:cs="宋体"/>
                <w:color w:val="000000"/>
                <w:kern w:val="0"/>
                <w:sz w:val="18"/>
                <w:szCs w:val="18"/>
                <w:highlight w:val="none"/>
              </w:rPr>
              <w:t xml:space="preserve"> 同一静止场景相同图像质量下，在H.265编码方式时，开启智能编码功能和不开启智能编码相比，码率节约90%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25. 支持对经过监控画面中的行人进行双向通行的人员进行计数，支持报表统计。</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26. 在设定的区域内，可对人群的密度进行统计，并实时上报统计结果，区域内的人数上限可配置，当超过设定人数时支持告警上报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27. 具有6颗白光灯阵列，支持白光灯自动开启或定时开启；具有白光灯补光功能，补光距离10米处人脸可辨识；当环境照度低于一定值时，通过白光灯照射，可基本分辨距离50米处所摄车辆或人体目标的轮廓及颜色，支持根据环境亮度智能改变补光灯的亮度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28. 支持28181协议设置选项；支持ONVIF协议设置选项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29. 电源功率≤6W（未开启补光灯）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30. 电源；DV12V±20%的供电条件下正常工作，支持反向12V输出；支持POE供电</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highlight w:val="none"/>
              </w:rPr>
              <w:t xml:space="preserve">31. 温度：支持-45℃±3℃~70℃±2℃下正常工作。 </w:t>
            </w:r>
            <w:r>
              <w:rPr>
                <w:rFonts w:hint="eastAsia" w:ascii="宋体" w:hAnsi="宋体" w:eastAsia="宋体" w:cs="宋体"/>
                <w:color w:val="000000"/>
                <w:kern w:val="0"/>
                <w:sz w:val="18"/>
                <w:szCs w:val="18"/>
                <w:highlight w:val="none"/>
              </w:rPr>
              <w:br w:type="textWrapping"/>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500万超星光高清智能球机</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具有1个RJ4510M/100M/1000M自适应网口、1对音频输入/输出接口、1个TF卡槽、1个复位键；支持1路报警输入，1路报警输出。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可以控制全景和细节通道转动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具有2路拾音器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具有1个RJ4510M/100M/1000M自适应网口、1对音频输入/输出接口、1个TF卡槽、1个复位键；支持1路报警输入，1路报警输出。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★具有红蓝白警戒灯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水平旋转角度：全景通道：0~260°；细节通道：0~360°。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垂直旋转角度：全景通道：-45~45°；细节通道：-32~90°。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水平最大速度不小于360°/s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云台定位准确度：＜0.1°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靶面尺寸：全景通道≥1/1.8英寸；细节通道≥1/1.8英寸。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水平中心分辨力：全景通道不小于1700TVL（分辨率设置为3072*1728.帧率设置为25fps、码率设置为1Mbps或4Mbps、RJ45输出）；细节通道不小于1700TVL（分辨率设置为3072*1728.帧率设置为25fps,码率设置为1Mbps或4Mbps、RJ45输出）。（以公安部检测报告为准）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具有自动扫描功能，可以完成水平扫描、垂直扫描、随机扫描、帧扫描、全景扫描，64条扫描路径。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能按照所设置的预置位完成64条巡航路径。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能按照所设置的轨迹完成64条模式路径，每条路径的最大记录时间应不小于10min。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细节通道：应能在监视画面上设置遮盖的区域，区域的个数、大小、位置可设置，最多可设置30个区域，每个区域可以设置不同的颜色或马赛克。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细节通道：可在输出的图像中叠加中文文字和符号信息，信息包括：时间、日期、可编辑中文字符、方位、角度等。字体可设置为16×16像素、32×32像素、48×48像素、64×64像素、96×96像素、128×128像素自适应等模式，字体颜色可设置。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进行人脸和人形、机动车和车牌抓拍、非机动车抓拍并对其结构化属性进行显示；</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w:t>
            </w:r>
            <w:r>
              <w:rPr>
                <w:rFonts w:hint="eastAsia" w:ascii="宋体" w:hAnsi="宋体" w:cs="宋体"/>
                <w:kern w:val="0"/>
                <w:sz w:val="20"/>
                <w:szCs w:val="20"/>
                <w:highlight w:val="none"/>
                <w:lang w:eastAsia="zh-CN"/>
              </w:rPr>
              <w:t>支持识别</w:t>
            </w:r>
            <w:r>
              <w:rPr>
                <w:rFonts w:hint="eastAsia" w:ascii="宋体" w:hAnsi="宋体" w:eastAsia="宋体" w:cs="宋体"/>
                <w:kern w:val="0"/>
                <w:sz w:val="20"/>
                <w:szCs w:val="20"/>
                <w:highlight w:val="none"/>
              </w:rPr>
              <w:t xml:space="preserve">人脸属性包含性别、年龄、口罩、眼镜、胡子；人形属性包含性别、发型、背包、上衣样式、上衣颜色、下衣样式、下衣颜色；车辆属性包含车辆类型、车身颜色、行驶方向、车辆品牌；车牌属性包含车牌、车牌类型、车牌颜色；非机动车属性包含非机动车种类。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★支持在结构化算法下开启提升车辆（车牌）抓图效果功能，针对车辆（车牌）进行最优曝光策略。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支持设置16个不同的检测场景，在每个场景内行为分析可设置8个智能分析区域。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支持人、车目标分离警戒，即只有人或车进入警戒区域时，会报警，其他情况下不会报警；应支持三种人车分离模式：仅对人进行警戒、仅对车进行警戒、对人、车同时警戒。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能通过客户端软件或IE浏览器发起双向语音对讲。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具有4个白光补光灯。开启白光补光灯时，能识别距样机100m处的人体轮廓。</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★具有6个红外补光灯。通过IE浏览器开启/关闭红外灯或使红外灯在低照度下自动开启。红外灯开启，能根据被摄物的距离自动调节红外灯亮度。开启红外补光灯时，能识别距</w:t>
            </w:r>
            <w:r>
              <w:rPr>
                <w:rFonts w:hint="eastAsia" w:ascii="宋体" w:hAnsi="宋体" w:cs="宋体"/>
                <w:kern w:val="0"/>
                <w:sz w:val="20"/>
                <w:szCs w:val="20"/>
                <w:highlight w:val="none"/>
                <w:lang w:eastAsia="zh-CN"/>
              </w:rPr>
              <w:t>离</w:t>
            </w:r>
            <w:r>
              <w:rPr>
                <w:rFonts w:hint="eastAsia" w:ascii="宋体" w:hAnsi="宋体" w:eastAsia="宋体" w:cs="宋体"/>
                <w:kern w:val="0"/>
                <w:sz w:val="20"/>
                <w:szCs w:val="20"/>
                <w:highlight w:val="none"/>
              </w:rPr>
              <w:t>270m处的人体轮廓。</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电源电压在AC24V±30%、DC24V～DC48V范围内变化时，能正常工作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工作温度支持－40℃～＋70℃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外壳防护等级IP66。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 </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补光灯</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白光，20W，220V，光控</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TF卡</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128G存储卡 </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张</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摄像机电源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防水电源</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个</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固定支架</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配合抓拍机或护罩使用，多相位可调整</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智能设备箱</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高650mm宽500mm深400mm，室外防水设计、长条锁、一层可拆卸隔板、冷轧钢板制作、表面喷塑处理（专用室外塑粉）色卡标号为RAL7046。箱体内部包含测试插座一个、共用零排一块、地排一块</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立杆高3m；圆型；含避雷针；件内外热镀锌表面喷塑处理。</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根</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横臂</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镀锌，1.5米</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根</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水泥基础及接地</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立杆基础：基础尺寸为0.6m*0.6m*0.6m;含基础，开挖、回填、机械费、人工费、垃圾外运。</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立杆地锚：立杆地锚等基础结构件</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立杆接地</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次</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PE管材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顶管和接驳沟道使用按实际负载配置</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配件</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抱箍、万向头、紧固件、螺钉、盘纤盒、线槽、水晶头、接地线、钢丝等其它</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RJ45跳线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1米的RJ45跳线</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RJ45跳线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3米的RJ45跳线</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RVV2 1.0电源线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RVV2x1.0</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墙钉、飞线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定制墙钉、飞线</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直埋</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定制破路直埋,原样材料回填，并原样恢复。</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PVC管材</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Φ25，线路穿管用</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钢管</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DN50镀锌钢管</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米</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安装调试</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设备安装及调试</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运维及质保</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eastAsia="zh-CN"/>
              </w:rPr>
              <w:t>三年</w:t>
            </w:r>
          </w:p>
        </w:tc>
        <w:tc>
          <w:tcPr>
            <w:tcW w:w="555"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901" w:type="dxa"/>
            <w:gridSpan w:val="3"/>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4"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大屏部分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解码拼控一体云主机</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1. 可根据需要配置不同数量的业务板卡（高清视频输入卡/解码卡）；单机最多可配置不少于12块业务卡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 支持设备级联，数量支持不少于4台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3. 具有不少于1对音频输入/输出接口、16个报警输入接口、8个报警输出接口、1个RS485接口和1个复位按键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4. 整机支持不少于24路解码输出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5. 支持不少于16个系统预案及快速调取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6. 支持GB28181、ONVIF标准协议接入设备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7. 视频接入分辨率支持不少于如下分辨率：3840×2160@30/25fps；2048×1536@30/25fps；1600×1200@30/25fps；1920×1080@60/50/30/25fps；1280×720@60/50/30/25fps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8. 单块解码卡支持不少于2个VGA接口、2个HDMI接口、2个音频输出接口和1个视频输出接口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9. 支持H.264、H.265、MPEG4、MJPEG等视频编码格式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10. 音频解码支持G.711A、G.711U、AAC、ADPCM格式的解码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11. 单块解码卡解码能力不低于4路 分辨率3840×2160/10路 分辨率2048×1536/16路 分辨率1920×1080/32路 分辨率1280×720/64路 分辨率704×576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12. 整机解码能力不低于48路 分辨率3840×2160/120路 分辨率2048×1536/192路 分辨率1920×1080/384路 分辨率1280×720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13. 支持视频解码输出显示至下列分辨率的显示器上：3840×2160@60/30Hz；2560×1600@30Hz；1920×1080@60/50Hz；1280×1024@60Hz；1280×720@60/50Hz；1280×800@60Hz；1440×900@60Hz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14. 支持画面分割功能，可分割为1、2、4、6、8、9、10、13、16、20、25、36、40、64个分屏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15. 支持不少于96块屏的拼接、开窗、叠加、漫游、跨屏等功能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16. 支持单画面添加不少于64路通道轮巡解码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17. 支持对视频流进行解码，实现分割、拼接、开窗、漫游、叠加等功能，支持单屏64个窗口分割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18. 支持视频接入屏幕窗口的缩放功能  </w:t>
            </w:r>
            <w:r>
              <w:rPr>
                <w:rFonts w:hint="eastAsia" w:ascii="宋体" w:hAnsi="宋体" w:eastAsia="宋体" w:cs="宋体"/>
                <w:kern w:val="0"/>
                <w:sz w:val="20"/>
                <w:szCs w:val="20"/>
                <w:highlight w:val="none"/>
              </w:rPr>
              <w:br w:type="textWrapping"/>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解码拼控一体云卡</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单卡解码能力：4路8MP/4路6MP/6路5MP/8路4MP/10路3MP/16路1080P/32路720P/64路4CIF；视频解码方式：H.264/265解码自适应；音频解码方式：支持G.711A、G.711U、AAC、ADPCM音频格式的解码；画面分割：1/2/4/6/8/9/10/13/16/20A/20B/25/36/40/64</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解码拼控一体编码卡</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支持编码输入分辨率1920*1080@60HZ；1920*1080@50HZ；1600*1200@60HZ；1680*1050@60HZ ；1280*1024@60HZ；1440*900@60HZ；1280*800@60HZ； 1280*720@60HZ；1280*720@50HZ；1024*768@60HZ；高清视频输入可随解码一同分割、拼接、开窗、漫游、叠加等功能；整机支持24路高清视频解码输出+24路音频解码输出+12路模拟视频解码输出或2路高清视频解码输出+2路音频解码输出+1路模拟视频解码输出+11路高清视频输入+11路音频输入</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15米HDMI视频线</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55寸大屏</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1. 对角线：55” 外形尺寸：1213.7x684.5*70mm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2. 点距：0.63(H)*0.63(V)    分辨率：1920x1080</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3. 可视角度（水平/垂直）：178°/178°   亮度：500cd/m²</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4. 响应时间：≦8ms   显示色彩：16.7M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5. 接口：VGA*1、HDMI*1、DVI*1、AV input*2、USB*1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6. 亮点、暗点或其他坏点的累计数为0</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7. 接触放电4kV，空气放电8kV</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8. 工作温度：0℃～40℃</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9. 水平分辨力：1000TVL</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10. 亮度等级≥12</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11. 漏光度≤0.2cd/m2</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12. 图像质量主观评价应达到《民用闭路监视电视系统工程技术规范》(GB 50198- 2011)规定的五级损伤评分等级四级以上的要求。</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13. 无需外部图形控制器，可直接进行画面拼接显示，且拼接能力不小于10×10。支持拼缝补偿功能，可在控制端对显示单元拼接时的缝隙进行屏幕数据补偿，几何修正</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14. 支持在选中的信号源间进行轮巡，巡航时间可设。</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15. 具有电子放大功能。</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16. 具有智能温控功能，可在温度达到设定值时自动启用散热风扇。</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17. 具有断电记忆功能，可在开机后显示为断电前工作状态</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18. 具有定时开关机功能。</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19. 具有画面静止功能，可将播放中画面静止。</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20. 具有场频转换功能，可将场频为30Hz、59Hz等的输入图像转换为60Hz输出。</w:t>
            </w:r>
            <w:r>
              <w:rPr>
                <w:rFonts w:hint="eastAsia" w:ascii="宋体" w:hAnsi="宋体" w:eastAsia="宋体" w:cs="宋体"/>
                <w:kern w:val="0"/>
                <w:sz w:val="20"/>
                <w:szCs w:val="20"/>
                <w:highlight w:val="none"/>
              </w:rPr>
              <w:br w:type="textWrapping"/>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支架</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15米VGA线</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条</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指挥中心装修</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定制/电视墙、静电地板、维修通道</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安装调试</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设备安装及调试</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运维及质保</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eastAsia="zh-CN"/>
              </w:rPr>
              <w:t>三年</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4"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中心部分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设备名称</w:t>
            </w:r>
          </w:p>
        </w:tc>
        <w:tc>
          <w:tcPr>
            <w:tcW w:w="54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参数</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单位</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控制和业务服务器</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软件功能：实现人脸及相关数据调度、存储、分析、比对等功能。</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服务器配置要求：</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1) CPU：Intel XEON E5-2630 V4*2；</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2) 内存：32G DDR4 2133MHz *8；</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3) 硬盘：8块 8TB SATA 硬盘 加硬 RAID 卡 + 1块 Intel S3520 480 GB SSD；</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4) GPU卡：Geforce GTX 1070 *2；</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5) 网卡：板载1000M*2；</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6) 电源：冗余双电800W；</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7) 其它：GPU支架，支持标高标长的板卡（PCI-E16x），GPU供电线。</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 网络存储服务器</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1. 配置64位多核处理器；8G内存；支持扩展4个光口；具有4个RJ-45网络接口、2个前置USB2.0;2个后置USB3.0接口；1个串口，1个VGA接口、2个HDMI接口；具有24个SATA硬盘接口。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 支持安装双系统，主系统出现故障时，备用系统可继续工作；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3. 支持多模式存储功能：支持同时开启SAN、NAS模式；支持视频流存储模式、图片直存模式的配置和管理；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4. 可同时对接入摄像机的主、辅码流进行存储；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5. 能预录报警触发前1~40min的视频录像；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6. 当录像视频流丢失5s以上可在日志中记录报警信息；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7. 当CPU使用率达到设定级别时，可通过IE浏览器给出报警提示信息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8. 支持主动模式连接平台客户端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9. 支持在录像文件目录损坏时重建索引，恢复录像查询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10. 支持配置不同的磁盘策略，按照时间删除、按空间删除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11. 可计算并显示出剩余存储空间可存储的录像时长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12. 支持设定存储路径和备份路径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13. 支持接入符合Onvif,GB/T 28181的摄像机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14. 支持流媒体协议直接存储功能。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15. 视频接入带宽不小于1536M，支持接入视频编码格式：MJPEG、H.264(Main Profile，High Profile，Baseline Profile)、H.265；最大支持分辨率4096×2160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16. 支持RAID功能，包括RAID0、RAID1、RAID3、RAID4、RAID5、RAID6、RAID7、RAID10、RAID50、RAID60、RAID5EE、RAID Erasing code模式，并支持RAID即建即用模式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17. 支持磁盘漫游功能：支持磁盘在同一设备内或两台同样配置的设备间实现磁盘槽位置变更后，磁盘中数据不丢失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18. ""硬盘容量支持IT、 2T、3T、 4T、6T、8T、 10T；""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19. 当RAID中某块硬盘被误拔出后，35秒内插回，该硬盘能恢复到RAID中，系统恢复工作，而且会对拔掉的硬盘进行数据恢复。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20. 支持自动识别磁盘的剩余空间容量，根据用户的数据存储需求，可划分多个容量不同的分区，并支持在线空间扩展、快照，不影响业务连续性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21. 可对正在录像的视频图像或已存储的录像文件进行锁定并归档，锁定后的录像不能被覆盖，解锁后才会被覆盖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22. 支持硬盘免螺丝安装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23. 支持远程实现每一块硬盘单独断电操作；支持远程实现每一块硬盘指示灯单独点亮操作，定位磁盘位置；支持启动时磁盘按顺序上电，实现交错启动 </w:t>
            </w:r>
            <w:r>
              <w:rPr>
                <w:rFonts w:hint="eastAsia" w:ascii="宋体" w:hAnsi="宋体" w:eastAsia="宋体" w:cs="宋体"/>
                <w:kern w:val="0"/>
                <w:sz w:val="20"/>
                <w:szCs w:val="20"/>
                <w:highlight w:val="none"/>
              </w:rPr>
              <w:br w:type="textWrapping"/>
            </w:r>
            <w:r>
              <w:rPr>
                <w:rFonts w:hint="eastAsia" w:ascii="宋体" w:hAnsi="宋体" w:eastAsia="宋体" w:cs="宋体"/>
                <w:kern w:val="0"/>
                <w:sz w:val="20"/>
                <w:szCs w:val="20"/>
                <w:highlight w:val="none"/>
              </w:rPr>
              <w:t xml:space="preserve">24. 支持双电源冗余供电 </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专用硬盘</w:t>
            </w:r>
          </w:p>
        </w:tc>
        <w:tc>
          <w:tcPr>
            <w:tcW w:w="545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一体化SATA硬盘(4000G)</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机柜</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标准19寸，高两米，底座0.1米</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空调</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cs="宋体"/>
                <w:kern w:val="0"/>
                <w:sz w:val="20"/>
                <w:szCs w:val="20"/>
                <w:highlight w:val="none"/>
                <w:lang w:eastAsia="zh-CN"/>
              </w:rPr>
              <w:t>环保节能</w:t>
            </w:r>
            <w:r>
              <w:rPr>
                <w:rFonts w:hint="eastAsia" w:ascii="宋体" w:hAnsi="宋体" w:eastAsia="宋体" w:cs="宋体"/>
                <w:kern w:val="0"/>
                <w:sz w:val="20"/>
                <w:szCs w:val="20"/>
                <w:highlight w:val="none"/>
              </w:rPr>
              <w:t>3p</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台</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安装调试</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设备安装及调试</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运维及质保</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eastAsia="zh-CN"/>
              </w:rPr>
              <w:t>三年</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6" w:type="dxa"/>
            <w:gridSpan w:val="8"/>
            <w:tcBorders>
              <w:top w:val="single" w:color="auto" w:sz="4"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运维管理平台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设备名称</w:t>
            </w:r>
          </w:p>
        </w:tc>
        <w:tc>
          <w:tcPr>
            <w:tcW w:w="54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参数</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单位</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门户展现模块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运用可视化、交互软件技术，实现定制图数据门户展现，支持表格、柱状图、折线图、饼图等多种图形样式，直观展现各种数据信息和统计信息。</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视频设备监控管理模块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支持主流品牌摄像机和视频存储设备的性能与故障监控管理，实现主要指标参数：在线状态、丢包率、磁盘容量、磁盘剩余空间等的监控，并结合阈值策略向告警模块推送相应等级的告警。同时支持设备的分级、分类管理及可视化展现。 </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视频诊断模块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支持对接业主已有视频诊断服务器，对视频质量问题（抖动、丢失、遮挡、亮度、偏色、噪声、条纹、冻结等）进行数据统计。</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网络设备监控管理模块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交换机（接入交换机、汇聚交换机、核心交换机等）、路由器（接入路由器、汇聚路由器、核心路由器等）的性能与故障监控管理，主要监测指标为：在线状态、端口流量速率、端口信息、端口丢包率、端口错包率等的监控，并结合阈值策略向告警模块推送相应等级的告警；</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服务器监控管理模块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支持主流设备厂家服务器的性能与故障监控管理，实现主要指标参数：在线状态、CPU使用率、内存使用率、磁盘使用率等的监控，并结合阈值策略向告警模块推送相应等级的告警。</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应用系统监控管理模块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支持对HTTPS、POP3、FTP、Nginx、Apache 、Tomcat等常见的标准应用的监控，并结合阈值策略向告警模块推送相应等级的告警；</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资产配置管理模块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遵循ITIL/ITSS标准的CMDB，提供资产的生命周期管理，维护全</w:t>
            </w:r>
            <w:r>
              <w:rPr>
                <w:rFonts w:hint="eastAsia" w:ascii="Microsoft JhengHei" w:hAnsi="Microsoft JhengHei" w:eastAsia="Microsoft JhengHei" w:cs="Microsoft JhengHei"/>
                <w:kern w:val="0"/>
                <w:sz w:val="20"/>
                <w:szCs w:val="20"/>
                <w:highlight w:val="none"/>
              </w:rPr>
              <w:t>⽹</w:t>
            </w:r>
            <w:r>
              <w:rPr>
                <w:rFonts w:hint="eastAsia" w:ascii="宋体" w:hAnsi="宋体" w:eastAsia="宋体" w:cs="宋体"/>
                <w:kern w:val="0"/>
                <w:sz w:val="20"/>
                <w:szCs w:val="20"/>
                <w:highlight w:val="none"/>
              </w:rPr>
              <w:t>资源的每个资产配置项的详细数据、维护信息、变更信息等；支持资产信息的添加、编辑、审核、查询、导入、导出。</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告警管理模块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提供了统一的告警接入能力，通过整合各个告警和监控模块的告警推送，按照类别、状态对告警集中展现； 支持告警的统计、查询、处理，支持和运维工单模块的关联对告警进行人工派单和自动派单处理。</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运维工单模块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提供了面向ITSM，运维事件管理流程，可自定义修改流程流向,可进行工单新建、受理、改派、延期、挂起、关闭等操作，实现了工单的管理、申告受理、工单查询和工单设置 ，同时关联告警管理模块处理其推送的工单。</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统计报表模块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实现各种基础信息、采集信息、告警信息、运维信息等的可视化呈现，主要包括：视频统计、工单统计、告警统计、资产配置统计等统计分析，生成相应的图形图表，并支持打印和导出。</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智能巡检模块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实现系统资源健康情况进行快速诊断，并导出巡检报告；支持默认巡检模板和自定义巡检模板（对指定范围内的设备资源和性能指标进行巡检）。</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无人值守管理模块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支持告警、工单系统内的提醒，邮件提醒。</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系统管理模块</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支持用户管理、基础设置、日志管理：实现用户、部门、角色、权限等的管理设置，以及值班、工单告警提醒、阈值策略设置、邮件短信提醒、系统日志的功能。</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套</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安装调试</w:t>
            </w:r>
          </w:p>
        </w:tc>
        <w:tc>
          <w:tcPr>
            <w:tcW w:w="5459"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设备安装及调试</w:t>
            </w:r>
          </w:p>
        </w:tc>
        <w:tc>
          <w:tcPr>
            <w:tcW w:w="744" w:type="dxa"/>
            <w:gridSpan w:val="4"/>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2" w:type="dxa"/>
            <w:tcBorders>
              <w:top w:val="nil"/>
              <w:left w:val="single" w:color="auto" w:sz="8" w:space="0"/>
              <w:bottom w:val="single" w:color="auto" w:sz="8"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1259" w:type="dxa"/>
            <w:tcBorders>
              <w:top w:val="nil"/>
              <w:left w:val="nil"/>
              <w:bottom w:val="single" w:color="auto" w:sz="8"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运维及质保</w:t>
            </w:r>
          </w:p>
        </w:tc>
        <w:tc>
          <w:tcPr>
            <w:tcW w:w="5459" w:type="dxa"/>
            <w:tcBorders>
              <w:top w:val="nil"/>
              <w:left w:val="nil"/>
              <w:bottom w:val="single" w:color="auto" w:sz="8" w:space="0"/>
              <w:right w:val="single" w:color="auto" w:sz="4" w:space="0"/>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eastAsia="zh-CN"/>
              </w:rPr>
              <w:t>三年</w:t>
            </w:r>
          </w:p>
        </w:tc>
        <w:tc>
          <w:tcPr>
            <w:tcW w:w="744" w:type="dxa"/>
            <w:gridSpan w:val="4"/>
            <w:tcBorders>
              <w:top w:val="nil"/>
              <w:left w:val="nil"/>
              <w:bottom w:val="single" w:color="auto" w:sz="8"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w:t>
            </w:r>
          </w:p>
        </w:tc>
        <w:tc>
          <w:tcPr>
            <w:tcW w:w="712" w:type="dxa"/>
            <w:tcBorders>
              <w:top w:val="nil"/>
              <w:left w:val="nil"/>
              <w:bottom w:val="single" w:color="auto" w:sz="8" w:space="0"/>
              <w:right w:val="single" w:color="auto" w:sz="8" w:space="0"/>
            </w:tcBorders>
            <w:shd w:val="clear" w:color="000000" w:fill="FFFFFF"/>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r>
    </w:tbl>
    <w:p>
      <w:pPr>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lang w:eastAsia="zh-CN"/>
        </w:rPr>
      </w:pPr>
      <w:r>
        <w:rPr>
          <w:rFonts w:hint="eastAsia"/>
          <w:sz w:val="24"/>
          <w:szCs w:val="24"/>
          <w:highlight w:val="none"/>
          <w:lang w:val="en-US" w:eastAsia="zh-CN"/>
        </w:rPr>
        <w:t>1、</w:t>
      </w:r>
      <w:r>
        <w:rPr>
          <w:rFonts w:hint="eastAsia"/>
          <w:sz w:val="24"/>
          <w:szCs w:val="24"/>
          <w:highlight w:val="none"/>
          <w:lang w:eastAsia="zh-CN"/>
        </w:rPr>
        <w:t>交付期及交货地点：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eastAsia="zh-CN"/>
        </w:rPr>
        <w:t>交付期：中标后</w:t>
      </w:r>
      <w:r>
        <w:rPr>
          <w:rFonts w:hint="eastAsia"/>
          <w:sz w:val="24"/>
          <w:szCs w:val="24"/>
          <w:highlight w:val="none"/>
          <w:lang w:val="en-US" w:eastAsia="zh-CN"/>
        </w:rPr>
        <w:t>3个月内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交货地点：采购人指定的地点</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验收标准、规范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验收标准：达到国家现行相关质量验收规范标准。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质量要求：质量符合国家现行有关质量验收规范标准。</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在合同中约定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4、质保期：3年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5、项目的付款方式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合同中约定</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履约保证金：合同中约定</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（1）投标人须承诺具体项目中标后办理施工许可证等相关手续(如需要)。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（2）关于允许有投标备选方案的约定：不允许。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（3）关于投标联合体的规定：不允许。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highlight w:val="none"/>
          <w:lang w:val="en-US" w:eastAsia="zh-CN"/>
        </w:rPr>
      </w:pPr>
      <w:r>
        <w:rPr>
          <w:rFonts w:hint="eastAsia"/>
          <w:sz w:val="24"/>
          <w:szCs w:val="24"/>
          <w:highlight w:val="none"/>
          <w:lang w:val="en-US" w:eastAsia="zh-CN"/>
        </w:rPr>
        <w:t>（4）供应商须书面承诺：中标后提供产品开箱验收，若产品不符合按国家规定索赔：所投报价已包含运输费、税费、安装费及所需的材料费用等。</w:t>
      </w:r>
    </w:p>
    <w:p>
      <w:pPr>
        <w:pStyle w:val="2"/>
        <w:rPr>
          <w:rFonts w:hint="eastAsia" w:ascii="宋体" w:hAnsi="宋体"/>
          <w:sz w:val="30"/>
          <w:szCs w:val="30"/>
          <w:highlight w:val="none"/>
        </w:rPr>
      </w:pPr>
    </w:p>
    <w:p>
      <w:pPr>
        <w:rPr>
          <w:rFonts w:hint="eastAsia" w:ascii="宋体" w:hAnsi="宋体"/>
          <w:sz w:val="30"/>
          <w:szCs w:val="30"/>
          <w:highlight w:val="none"/>
        </w:rPr>
      </w:pPr>
    </w:p>
    <w:p>
      <w:pPr>
        <w:pStyle w:val="2"/>
        <w:rPr>
          <w:rFonts w:hint="eastAsia" w:ascii="宋体" w:hAnsi="宋体"/>
          <w:sz w:val="30"/>
          <w:szCs w:val="30"/>
          <w:highlight w:val="none"/>
        </w:rPr>
      </w:pPr>
    </w:p>
    <w:p>
      <w:pPr>
        <w:rPr>
          <w:rFonts w:hint="eastAsia"/>
          <w:highlight w:val="none"/>
        </w:rPr>
      </w:pPr>
    </w:p>
    <w:tbl>
      <w:tblPr>
        <w:tblStyle w:val="13"/>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3"/>
        <w:gridCol w:w="1008"/>
        <w:gridCol w:w="5337"/>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8880" w:type="dxa"/>
            <w:gridSpan w:val="4"/>
            <w:tcBorders>
              <w:top w:val="single" w:color="auto" w:sz="4" w:space="0"/>
              <w:left w:val="single" w:color="auto" w:sz="4" w:space="0"/>
              <w:bottom w:val="single" w:color="auto" w:sz="4" w:space="0"/>
              <w:right w:val="single" w:color="auto" w:sz="4" w:space="0"/>
              <w:tl2br w:val="single" w:color="auto" w:sz="4" w:space="0"/>
            </w:tcBorders>
            <w:shd w:val="clear" w:color="auto" w:fill="FFFFFF"/>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 xml:space="preserve">                                                             供应商名称                                           </w:t>
            </w:r>
          </w:p>
          <w:p>
            <w:pPr>
              <w:widowControl/>
              <w:jc w:val="left"/>
              <w:rPr>
                <w:rFonts w:ascii="宋体" w:hAnsi="宋体" w:eastAsia="宋体" w:cs="宋体"/>
                <w:sz w:val="18"/>
                <w:highlight w:val="none"/>
              </w:rPr>
            </w:pPr>
            <w:r>
              <w:rPr>
                <w:rFonts w:hint="eastAsia" w:ascii="宋体" w:hAnsi="宋体" w:eastAsia="宋体" w:cs="宋体"/>
                <w:sz w:val="18"/>
                <w:highlight w:val="none"/>
              </w:rPr>
              <w:t>评分项及分值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7628"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评分项</w:t>
            </w:r>
          </w:p>
        </w:tc>
        <w:tc>
          <w:tcPr>
            <w:tcW w:w="125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分值标准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8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 xml:space="preserve">报价部分 </w:t>
            </w:r>
            <w:r>
              <w:rPr>
                <w:rFonts w:hint="eastAsia" w:ascii="宋体" w:hAnsi="宋体" w:eastAsia="宋体" w:cs="宋体"/>
                <w:sz w:val="18"/>
                <w:highlight w:val="none"/>
              </w:rPr>
              <w:br w:type="textWrapping"/>
            </w:r>
            <w:r>
              <w:rPr>
                <w:rFonts w:hint="eastAsia" w:ascii="宋体" w:hAnsi="宋体" w:eastAsia="宋体" w:cs="宋体"/>
                <w:sz w:val="18"/>
                <w:highlight w:val="none"/>
              </w:rPr>
              <w:t>（</w:t>
            </w:r>
            <w:r>
              <w:rPr>
                <w:rFonts w:hint="eastAsia" w:ascii="宋体" w:hAnsi="宋体" w:cs="宋体"/>
                <w:sz w:val="18"/>
                <w:highlight w:val="none"/>
                <w:lang w:val="en-US" w:eastAsia="zh-CN"/>
              </w:rPr>
              <w:t>30</w:t>
            </w:r>
            <w:r>
              <w:rPr>
                <w:rFonts w:hint="eastAsia" w:ascii="宋体" w:hAnsi="宋体" w:eastAsia="宋体" w:cs="宋体"/>
                <w:sz w:val="18"/>
                <w:highlight w:val="none"/>
              </w:rPr>
              <w:t>分）</w:t>
            </w:r>
          </w:p>
        </w:tc>
        <w:tc>
          <w:tcPr>
            <w:tcW w:w="6345"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 xml:space="preserve">价格分采用低价优先法计算，即满足招标文件要求且投标最低的投标报价为评标基准价，其价格分为满分。其他投标人的价格分统一按照下列公式计算：投标报价得分＝（评标基准价／投标报价）×报价分  </w:t>
            </w:r>
          </w:p>
        </w:tc>
        <w:tc>
          <w:tcPr>
            <w:tcW w:w="125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30</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283"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商务部分</w:t>
            </w:r>
          </w:p>
          <w:p>
            <w:pPr>
              <w:widowControl/>
              <w:jc w:val="center"/>
              <w:rPr>
                <w:rFonts w:ascii="宋体" w:hAnsi="宋体" w:eastAsia="宋体" w:cs="宋体"/>
                <w:sz w:val="18"/>
                <w:highlight w:val="none"/>
              </w:rPr>
            </w:pPr>
            <w:r>
              <w:rPr>
                <w:rFonts w:hint="eastAsia" w:ascii="宋体" w:hAnsi="宋体" w:eastAsia="宋体" w:cs="宋体"/>
                <w:sz w:val="18"/>
                <w:highlight w:val="none"/>
              </w:rPr>
              <w:t>（2</w:t>
            </w: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公司实力及资质（15分）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1、供应商具备国家保密局颁发的涉密系统集成甲级资质的得</w:t>
            </w:r>
            <w:r>
              <w:rPr>
                <w:rFonts w:hint="eastAsia" w:ascii="宋体" w:hAnsi="宋体" w:cs="宋体"/>
                <w:sz w:val="18"/>
                <w:highlight w:val="none"/>
                <w:lang w:val="en-US" w:eastAsia="zh-CN"/>
              </w:rPr>
              <w:t>3</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2、供应商具备建设行政主管部门颁发的电子与智能化工程专业承包贰级及以上资质的得</w:t>
            </w:r>
            <w:r>
              <w:rPr>
                <w:rFonts w:hint="eastAsia" w:ascii="宋体" w:hAnsi="宋体" w:cs="宋体"/>
                <w:sz w:val="18"/>
                <w:highlight w:val="none"/>
                <w:lang w:val="en-US" w:eastAsia="zh-CN"/>
              </w:rPr>
              <w:t>1</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3、供应商具备中华人民共和国住房和城乡建设部颁发的工程设计资质（电子系统工程）专业甲级及以上证书的得</w:t>
            </w:r>
            <w:r>
              <w:rPr>
                <w:rFonts w:hint="eastAsia" w:ascii="宋体" w:hAnsi="宋体" w:cs="宋体"/>
                <w:sz w:val="18"/>
                <w:highlight w:val="none"/>
                <w:lang w:val="en-US" w:eastAsia="zh-CN"/>
              </w:rPr>
              <w:t>3</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4、供应商具有电子信息行业联合会颁发的“信息系统集成及服务资质证书（一级）的得</w:t>
            </w:r>
            <w:r>
              <w:rPr>
                <w:rFonts w:hint="eastAsia" w:ascii="宋体" w:hAnsi="宋体" w:cs="宋体"/>
                <w:sz w:val="18"/>
                <w:highlight w:val="none"/>
                <w:lang w:val="en-US" w:eastAsia="zh-CN"/>
              </w:rPr>
              <w:t>1</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5、供应商具有提供中国信息安全测评中心颁发的信息安全服务资质证书（安全工程类一级）的</w:t>
            </w:r>
            <w:r>
              <w:rPr>
                <w:rFonts w:hint="eastAsia" w:ascii="宋体" w:hAnsi="宋体" w:cs="宋体"/>
                <w:sz w:val="18"/>
                <w:highlight w:val="none"/>
                <w:lang w:eastAsia="zh-CN"/>
              </w:rPr>
              <w:t>得</w:t>
            </w:r>
            <w:r>
              <w:rPr>
                <w:rFonts w:hint="eastAsia" w:ascii="宋体" w:hAnsi="宋体" w:eastAsia="宋体" w:cs="宋体"/>
                <w:sz w:val="18"/>
                <w:highlight w:val="none"/>
              </w:rPr>
              <w:t>1分；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6、供应商具有安防工程企业资质证书（一级）</w:t>
            </w:r>
            <w:r>
              <w:rPr>
                <w:rFonts w:hint="eastAsia" w:ascii="宋体" w:hAnsi="宋体" w:cs="宋体"/>
                <w:sz w:val="18"/>
                <w:highlight w:val="none"/>
                <w:lang w:eastAsia="zh-CN"/>
              </w:rPr>
              <w:t>得</w:t>
            </w:r>
            <w:r>
              <w:rPr>
                <w:rFonts w:hint="eastAsia" w:ascii="宋体" w:hAnsi="宋体" w:eastAsia="宋体" w:cs="宋体"/>
                <w:sz w:val="18"/>
                <w:highlight w:val="none"/>
              </w:rPr>
              <w:t>0.5分；</w:t>
            </w:r>
          </w:p>
          <w:p>
            <w:pPr>
              <w:widowControl/>
              <w:ind w:firstLine="360" w:firstLineChars="200"/>
              <w:rPr>
                <w:rFonts w:ascii="宋体" w:hAnsi="宋体" w:eastAsia="宋体" w:cs="宋体"/>
                <w:sz w:val="18"/>
                <w:highlight w:val="none"/>
              </w:rPr>
            </w:pPr>
            <w:r>
              <w:rPr>
                <w:rFonts w:hint="eastAsia" w:ascii="宋体" w:hAnsi="宋体" w:cs="宋体"/>
                <w:sz w:val="18"/>
                <w:highlight w:val="none"/>
                <w:lang w:val="en-US" w:eastAsia="zh-CN"/>
              </w:rPr>
              <w:t>7</w:t>
            </w:r>
            <w:r>
              <w:rPr>
                <w:rFonts w:hint="eastAsia" w:ascii="宋体" w:hAnsi="宋体" w:eastAsia="宋体" w:cs="宋体"/>
                <w:sz w:val="18"/>
                <w:highlight w:val="none"/>
              </w:rPr>
              <w:t>、供应商具有有效的安全生产许可证</w:t>
            </w:r>
            <w:r>
              <w:rPr>
                <w:rFonts w:hint="eastAsia" w:ascii="宋体" w:hAnsi="宋体" w:cs="宋体"/>
                <w:sz w:val="18"/>
                <w:highlight w:val="none"/>
                <w:lang w:eastAsia="zh-CN"/>
              </w:rPr>
              <w:t>得</w:t>
            </w:r>
            <w:r>
              <w:rPr>
                <w:rFonts w:hint="eastAsia" w:ascii="宋体" w:hAnsi="宋体" w:eastAsia="宋体" w:cs="宋体"/>
                <w:sz w:val="18"/>
                <w:highlight w:val="none"/>
              </w:rPr>
              <w:t>0.5分</w:t>
            </w:r>
          </w:p>
          <w:p>
            <w:pPr>
              <w:widowControl/>
              <w:ind w:firstLine="360" w:firstLineChars="200"/>
              <w:rPr>
                <w:rFonts w:ascii="宋体" w:hAnsi="宋体" w:eastAsia="宋体" w:cs="宋体"/>
                <w:sz w:val="18"/>
                <w:highlight w:val="none"/>
              </w:rPr>
            </w:pPr>
            <w:r>
              <w:rPr>
                <w:rFonts w:hint="eastAsia" w:ascii="宋体" w:hAnsi="宋体" w:cs="宋体"/>
                <w:sz w:val="18"/>
                <w:highlight w:val="none"/>
                <w:lang w:val="en-US" w:eastAsia="zh-CN"/>
              </w:rPr>
              <w:t>8</w:t>
            </w:r>
            <w:r>
              <w:rPr>
                <w:rFonts w:hint="eastAsia" w:ascii="宋体" w:hAnsi="宋体" w:eastAsia="宋体" w:cs="宋体"/>
                <w:sz w:val="18"/>
                <w:highlight w:val="none"/>
              </w:rPr>
              <w:t>、供应商具有有效期内的ISO20000（信息技术服务管理体系认证证书）、ISO27001（信息安全管理体系认证证书）、ISO9001（质量管理体系认证证书）、OHSAS18001（职业健康安全管理体系认证证书）、ISO14001（环境管理体系认证证书），以上五项证书，提供一项得1分，全部满足得5分，满足四个得3分，其他不得分。</w:t>
            </w:r>
          </w:p>
          <w:p>
            <w:pPr>
              <w:widowControl/>
              <w:rPr>
                <w:rFonts w:ascii="宋体" w:hAnsi="宋体" w:eastAsia="宋体" w:cs="宋体"/>
                <w:sz w:val="18"/>
                <w:highlight w:val="none"/>
              </w:rPr>
            </w:pPr>
            <w:r>
              <w:rPr>
                <w:rFonts w:hint="eastAsia" w:ascii="宋体" w:hAnsi="宋体" w:eastAsia="宋体" w:cs="宋体"/>
                <w:b w:val="0"/>
                <w:bCs w:val="0"/>
                <w:sz w:val="18"/>
                <w:highlight w:val="none"/>
              </w:rPr>
              <w:t>以上资料须提供相关证明资质材料复印件，加盖供应商公章，否则不计分。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83" w:type="dxa"/>
            <w:vMerge w:val="continue"/>
            <w:tcBorders>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类似业绩（2分）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提供投标人近3年（2017年1月至今）承担过类似项目案例的，每提供一个</w:t>
            </w:r>
            <w:r>
              <w:rPr>
                <w:rFonts w:hint="eastAsia" w:ascii="宋体" w:hAnsi="宋体" w:cs="宋体"/>
                <w:sz w:val="18"/>
                <w:highlight w:val="none"/>
                <w:lang w:val="en-US" w:eastAsia="zh-CN"/>
              </w:rPr>
              <w:t>得</w:t>
            </w:r>
            <w:r>
              <w:rPr>
                <w:rFonts w:hint="eastAsia" w:ascii="宋体" w:hAnsi="宋体" w:eastAsia="宋体" w:cs="宋体"/>
                <w:sz w:val="18"/>
                <w:highlight w:val="none"/>
              </w:rPr>
              <w:t>0.5分，最多</w:t>
            </w:r>
            <w:r>
              <w:rPr>
                <w:rFonts w:hint="eastAsia" w:ascii="宋体" w:hAnsi="宋体" w:cs="宋体"/>
                <w:sz w:val="18"/>
                <w:highlight w:val="none"/>
                <w:lang w:eastAsia="zh-CN"/>
              </w:rPr>
              <w:t>得</w:t>
            </w:r>
            <w:r>
              <w:rPr>
                <w:rFonts w:hint="eastAsia" w:ascii="宋体" w:hAnsi="宋体" w:eastAsia="宋体" w:cs="宋体"/>
                <w:sz w:val="18"/>
                <w:highlight w:val="none"/>
              </w:rPr>
              <w:t>2分。</w:t>
            </w:r>
          </w:p>
          <w:p>
            <w:pPr>
              <w:widowControl/>
              <w:rPr>
                <w:rFonts w:ascii="宋体" w:hAnsi="宋体" w:eastAsia="宋体" w:cs="宋体"/>
                <w:sz w:val="18"/>
                <w:highlight w:val="none"/>
              </w:rPr>
            </w:pPr>
            <w:r>
              <w:rPr>
                <w:rFonts w:hint="eastAsia" w:ascii="宋体" w:hAnsi="宋体" w:eastAsia="宋体" w:cs="宋体"/>
                <w:sz w:val="18"/>
                <w:highlight w:val="none"/>
              </w:rPr>
              <w:t>（注：需提供项目合同或协议的关键页（包括但不限于合同首尾页、金额页、盖章页）复印件，加盖公章</w:t>
            </w:r>
            <w:r>
              <w:rPr>
                <w:rFonts w:hint="eastAsia" w:ascii="宋体" w:hAnsi="宋体" w:cs="宋体"/>
                <w:sz w:val="18"/>
                <w:highlight w:val="none"/>
                <w:lang w:val="en-US" w:eastAsia="zh-CN"/>
              </w:rPr>
              <w:t>,</w:t>
            </w:r>
            <w:r>
              <w:rPr>
                <w:rFonts w:hint="eastAsia" w:ascii="宋体" w:hAnsi="宋体" w:eastAsia="宋体" w:cs="宋体"/>
                <w:sz w:val="18"/>
                <w:highlight w:val="none"/>
              </w:rPr>
              <w:t>否则不得分）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jc w:val="center"/>
        </w:trPr>
        <w:tc>
          <w:tcPr>
            <w:tcW w:w="1283" w:type="dxa"/>
            <w:vMerge w:val="continue"/>
            <w:tcBorders>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制造商能力评价（</w:t>
            </w:r>
            <w:r>
              <w:rPr>
                <w:rFonts w:hint="eastAsia" w:ascii="宋体" w:hAnsi="宋体" w:cs="宋体"/>
                <w:sz w:val="18"/>
                <w:highlight w:val="none"/>
                <w:lang w:val="en-US" w:eastAsia="zh-CN"/>
              </w:rPr>
              <w:t>5</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1、投标人所投主要监控</w:t>
            </w:r>
            <w:r>
              <w:rPr>
                <w:rFonts w:hint="eastAsia" w:ascii="宋体" w:hAnsi="宋体" w:cs="宋体"/>
                <w:sz w:val="18"/>
                <w:highlight w:val="none"/>
                <w:lang w:eastAsia="zh-CN"/>
              </w:rPr>
              <w:t>等设备</w:t>
            </w:r>
            <w:r>
              <w:rPr>
                <w:rFonts w:hint="eastAsia" w:ascii="宋体" w:hAnsi="宋体" w:eastAsia="宋体" w:cs="宋体"/>
                <w:sz w:val="18"/>
                <w:highlight w:val="none"/>
              </w:rPr>
              <w:t>产品厂商具备国家保密局颁发的涉密信息系统集成资质甲级（安防监控）资质，得</w:t>
            </w:r>
            <w:r>
              <w:rPr>
                <w:rFonts w:hint="eastAsia" w:ascii="宋体" w:hAnsi="宋体" w:cs="宋体"/>
                <w:sz w:val="18"/>
                <w:highlight w:val="none"/>
                <w:lang w:val="en-US" w:eastAsia="zh-CN"/>
              </w:rPr>
              <w:t>3</w:t>
            </w:r>
            <w:r>
              <w:rPr>
                <w:rFonts w:hint="eastAsia" w:ascii="宋体" w:hAnsi="宋体" w:eastAsia="宋体" w:cs="宋体"/>
                <w:sz w:val="18"/>
                <w:highlight w:val="none"/>
              </w:rPr>
              <w:t>分，乙级得1分，其他的不得分。（（此项满分</w:t>
            </w:r>
            <w:r>
              <w:rPr>
                <w:rFonts w:hint="eastAsia" w:ascii="宋体" w:hAnsi="宋体" w:cs="宋体"/>
                <w:sz w:val="18"/>
                <w:highlight w:val="none"/>
                <w:lang w:val="en-US" w:eastAsia="zh-CN"/>
              </w:rPr>
              <w:t>3</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2、投标人所投主要</w:t>
            </w:r>
            <w:r>
              <w:rPr>
                <w:rFonts w:hint="eastAsia" w:ascii="宋体" w:hAnsi="宋体" w:cs="宋体"/>
                <w:sz w:val="18"/>
                <w:highlight w:val="none"/>
                <w:lang w:eastAsia="zh-CN"/>
              </w:rPr>
              <w:t>设备</w:t>
            </w:r>
            <w:r>
              <w:rPr>
                <w:rFonts w:hint="eastAsia" w:ascii="宋体" w:hAnsi="宋体" w:eastAsia="宋体" w:cs="宋体"/>
                <w:sz w:val="18"/>
                <w:highlight w:val="none"/>
              </w:rPr>
              <w:t>厂商具备CMMI认证（软件能力成熟度模型集成）5级得</w:t>
            </w:r>
            <w:r>
              <w:rPr>
                <w:rFonts w:hint="eastAsia" w:ascii="宋体" w:hAnsi="宋体" w:cs="宋体"/>
                <w:sz w:val="18"/>
                <w:highlight w:val="none"/>
                <w:lang w:val="en-US" w:eastAsia="zh-CN"/>
              </w:rPr>
              <w:t>2</w:t>
            </w:r>
            <w:r>
              <w:rPr>
                <w:rFonts w:hint="eastAsia" w:ascii="宋体" w:hAnsi="宋体" w:eastAsia="宋体" w:cs="宋体"/>
                <w:sz w:val="18"/>
                <w:highlight w:val="none"/>
              </w:rPr>
              <w:t>分，3-4级</w:t>
            </w:r>
            <w:r>
              <w:rPr>
                <w:rFonts w:hint="eastAsia" w:ascii="宋体" w:hAnsi="宋体" w:cs="宋体"/>
                <w:sz w:val="18"/>
                <w:highlight w:val="none"/>
                <w:lang w:eastAsia="zh-CN"/>
              </w:rPr>
              <w:t>得</w:t>
            </w:r>
            <w:r>
              <w:rPr>
                <w:rFonts w:hint="eastAsia" w:ascii="宋体" w:hAnsi="宋体" w:cs="宋体"/>
                <w:sz w:val="18"/>
                <w:highlight w:val="none"/>
                <w:lang w:val="en-US" w:eastAsia="zh-CN"/>
              </w:rPr>
              <w:t>1</w:t>
            </w:r>
            <w:r>
              <w:rPr>
                <w:rFonts w:hint="eastAsia" w:ascii="宋体" w:hAnsi="宋体" w:eastAsia="宋体" w:cs="宋体"/>
                <w:sz w:val="18"/>
                <w:highlight w:val="none"/>
              </w:rPr>
              <w:t>分。（此项满分</w:t>
            </w:r>
            <w:r>
              <w:rPr>
                <w:rFonts w:hint="eastAsia" w:ascii="宋体" w:hAnsi="宋体" w:cs="宋体"/>
                <w:sz w:val="18"/>
                <w:highlight w:val="none"/>
                <w:lang w:val="en-US" w:eastAsia="zh-CN"/>
              </w:rPr>
              <w:t>2</w:t>
            </w:r>
            <w:r>
              <w:rPr>
                <w:rFonts w:hint="eastAsia" w:ascii="宋体" w:hAnsi="宋体" w:eastAsia="宋体" w:cs="宋体"/>
                <w:sz w:val="18"/>
                <w:highlight w:val="none"/>
              </w:rPr>
              <w:t>分）</w:t>
            </w:r>
          </w:p>
          <w:p>
            <w:pPr>
              <w:widowControl/>
              <w:rPr>
                <w:rFonts w:ascii="宋体" w:hAnsi="宋体" w:eastAsia="宋体" w:cs="宋体"/>
                <w:sz w:val="18"/>
                <w:highlight w:val="none"/>
              </w:rPr>
            </w:pPr>
            <w:r>
              <w:rPr>
                <w:rFonts w:hint="eastAsia" w:ascii="宋体" w:hAnsi="宋体" w:eastAsia="宋体" w:cs="宋体"/>
                <w:sz w:val="18"/>
                <w:highlight w:val="none"/>
              </w:rPr>
              <w:t>（提供相应证明文件</w:t>
            </w:r>
            <w:r>
              <w:rPr>
                <w:rFonts w:hint="eastAsia" w:ascii="宋体" w:hAnsi="宋体" w:cs="宋体"/>
                <w:sz w:val="18"/>
                <w:highlight w:val="none"/>
                <w:lang w:eastAsia="zh-CN"/>
              </w:rPr>
              <w:t>并加盖厂商公章</w:t>
            </w:r>
            <w:r>
              <w:rPr>
                <w:rFonts w:hint="eastAsia" w:ascii="宋体" w:hAnsi="宋体" w:eastAsia="宋体" w:cs="宋体"/>
                <w:sz w:val="18"/>
                <w:highlight w:val="none"/>
              </w:rPr>
              <w:t>）</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5</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6" w:hRule="atLeast"/>
          <w:jc w:val="center"/>
        </w:trPr>
        <w:tc>
          <w:tcPr>
            <w:tcW w:w="128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技术部分</w:t>
            </w:r>
          </w:p>
          <w:p>
            <w:pPr>
              <w:widowControl/>
              <w:jc w:val="center"/>
              <w:rPr>
                <w:rFonts w:ascii="宋体" w:hAnsi="宋体" w:eastAsia="宋体" w:cs="宋体"/>
                <w:sz w:val="18"/>
                <w:highlight w:val="none"/>
              </w:rPr>
            </w:pPr>
            <w:r>
              <w:rPr>
                <w:rFonts w:hint="eastAsia" w:ascii="宋体" w:hAnsi="宋体" w:eastAsia="宋体" w:cs="宋体"/>
                <w:sz w:val="18"/>
                <w:highlight w:val="none"/>
              </w:rPr>
              <w:t>（</w:t>
            </w:r>
            <w:r>
              <w:rPr>
                <w:rFonts w:hint="eastAsia" w:ascii="宋体" w:hAnsi="宋体" w:cs="宋体"/>
                <w:sz w:val="18"/>
                <w:highlight w:val="none"/>
                <w:lang w:val="en-US" w:eastAsia="zh-CN"/>
              </w:rPr>
              <w:t>45</w:t>
            </w:r>
            <w:r>
              <w:rPr>
                <w:rFonts w:hint="eastAsia" w:ascii="宋体" w:hAnsi="宋体" w:eastAsia="宋体" w:cs="宋体"/>
                <w:sz w:val="18"/>
                <w:highlight w:val="none"/>
              </w:rPr>
              <w:t>分）</w:t>
            </w: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技术参数评价（2</w:t>
            </w:r>
            <w:r>
              <w:rPr>
                <w:rFonts w:hint="eastAsia" w:ascii="宋体" w:hAnsi="宋体" w:cs="宋体"/>
                <w:sz w:val="18"/>
                <w:highlight w:val="none"/>
                <w:lang w:val="en-US" w:eastAsia="zh-CN"/>
              </w:rPr>
              <w:t>5</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技术要求响应性评价（满分2</w:t>
            </w:r>
            <w:r>
              <w:rPr>
                <w:rFonts w:hint="eastAsia" w:ascii="宋体" w:hAnsi="宋体" w:cs="宋体"/>
                <w:sz w:val="18"/>
                <w:highlight w:val="none"/>
                <w:lang w:val="en-US" w:eastAsia="zh-CN"/>
              </w:rPr>
              <w:t>5</w:t>
            </w:r>
            <w:r>
              <w:rPr>
                <w:rFonts w:hint="eastAsia" w:ascii="宋体" w:hAnsi="宋体" w:eastAsia="宋体" w:cs="宋体"/>
                <w:sz w:val="18"/>
                <w:highlight w:val="none"/>
              </w:rPr>
              <w:t>分）：</w:t>
            </w:r>
          </w:p>
          <w:p>
            <w:pPr>
              <w:widowControl/>
              <w:rPr>
                <w:rFonts w:ascii="宋体" w:hAnsi="宋体" w:eastAsia="宋体" w:cs="宋体"/>
                <w:sz w:val="18"/>
                <w:highlight w:val="none"/>
              </w:rPr>
            </w:pPr>
            <w:r>
              <w:rPr>
                <w:rFonts w:hint="eastAsia" w:ascii="宋体" w:hAnsi="宋体" w:eastAsia="宋体" w:cs="宋体"/>
                <w:sz w:val="18"/>
                <w:highlight w:val="none"/>
              </w:rPr>
              <w:t>技术参数部分带★产品性能为重要参数，带★产品性能、技术参数不能提供公安部检测报告证明的每一项减5分，不提供检测报告或检测报告中不体现不得分，每条标星项不满足减分且不作为废标处理，5条及以上不满足此项不得分；偏离非“★”号的技术指标，每不响应或负偏离一项扣2分，扣完为止。注：标★项技术参数须提供公安部权威检测机构出具的检测报告作为佐证依据，投标文件中提供扫描件或复印件加盖产品生产厂商公章。</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25</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8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18"/>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项目团队专业技术力量（</w:t>
            </w:r>
            <w:r>
              <w:rPr>
                <w:rFonts w:hint="eastAsia" w:ascii="宋体" w:hAnsi="宋体" w:cs="宋体"/>
                <w:sz w:val="18"/>
                <w:highlight w:val="none"/>
                <w:lang w:val="en-US" w:eastAsia="zh-CN"/>
              </w:rPr>
              <w:t>12</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1、拟投入的项目负责人具有中国电子信息行业联合会颁发的高级项目经理资格证书的得</w:t>
            </w:r>
            <w:r>
              <w:rPr>
                <w:rFonts w:hint="eastAsia" w:ascii="宋体" w:hAnsi="宋体" w:cs="宋体"/>
                <w:sz w:val="18"/>
                <w:highlight w:val="none"/>
                <w:lang w:val="en-US" w:eastAsia="zh-CN"/>
              </w:rPr>
              <w:t>1</w:t>
            </w:r>
            <w:r>
              <w:rPr>
                <w:rFonts w:hint="eastAsia" w:ascii="宋体" w:hAnsi="宋体" w:eastAsia="宋体" w:cs="宋体"/>
                <w:sz w:val="18"/>
                <w:highlight w:val="none"/>
              </w:rPr>
              <w:t>分，同时具有工程师职称的得</w:t>
            </w:r>
            <w:r>
              <w:rPr>
                <w:rFonts w:hint="eastAsia" w:ascii="宋体" w:hAnsi="宋体" w:cs="宋体"/>
                <w:sz w:val="18"/>
                <w:highlight w:val="none"/>
                <w:lang w:val="en-US" w:eastAsia="zh-CN"/>
              </w:rPr>
              <w:t>2</w:t>
            </w:r>
            <w:r>
              <w:rPr>
                <w:rFonts w:hint="eastAsia" w:ascii="宋体" w:hAnsi="宋体" w:eastAsia="宋体" w:cs="宋体"/>
                <w:sz w:val="18"/>
                <w:highlight w:val="none"/>
              </w:rPr>
              <w:t>分；具有高级工程师及以上职称的得</w:t>
            </w:r>
            <w:r>
              <w:rPr>
                <w:rFonts w:hint="eastAsia" w:ascii="宋体" w:hAnsi="宋体" w:cs="宋体"/>
                <w:sz w:val="18"/>
                <w:highlight w:val="none"/>
                <w:lang w:val="en-US" w:eastAsia="zh-CN"/>
              </w:rPr>
              <w:t>4</w:t>
            </w:r>
            <w:r>
              <w:rPr>
                <w:rFonts w:hint="eastAsia" w:ascii="宋体" w:hAnsi="宋体" w:eastAsia="宋体" w:cs="宋体"/>
                <w:sz w:val="18"/>
                <w:highlight w:val="none"/>
              </w:rPr>
              <w:t>分。（此项满分</w:t>
            </w:r>
            <w:r>
              <w:rPr>
                <w:rFonts w:hint="eastAsia" w:ascii="宋体" w:hAnsi="宋体" w:cs="宋体"/>
                <w:sz w:val="18"/>
                <w:highlight w:val="none"/>
                <w:lang w:val="en-US" w:eastAsia="zh-CN"/>
              </w:rPr>
              <w:t>4</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2、拟投入的设计团队人员中技术负责人（非项目负责人）具有高级工程师（信息系统设计或咨询、集成）资质得</w:t>
            </w:r>
            <w:r>
              <w:rPr>
                <w:rFonts w:hint="eastAsia" w:ascii="宋体" w:hAnsi="宋体" w:cs="宋体"/>
                <w:sz w:val="18"/>
                <w:highlight w:val="none"/>
                <w:lang w:val="en-US" w:eastAsia="zh-CN"/>
              </w:rPr>
              <w:t>1</w:t>
            </w:r>
            <w:r>
              <w:rPr>
                <w:rFonts w:hint="eastAsia" w:ascii="宋体" w:hAnsi="宋体" w:eastAsia="宋体" w:cs="宋体"/>
                <w:sz w:val="18"/>
                <w:highlight w:val="none"/>
              </w:rPr>
              <w:t>分，并具有国家工信部颁发的信息系统项目管理师（高级）资质的得</w:t>
            </w:r>
            <w:r>
              <w:rPr>
                <w:rFonts w:hint="eastAsia" w:ascii="宋体" w:hAnsi="宋体" w:cs="宋体"/>
                <w:sz w:val="18"/>
                <w:highlight w:val="none"/>
                <w:lang w:val="en-US" w:eastAsia="zh-CN"/>
              </w:rPr>
              <w:t>3</w:t>
            </w:r>
            <w:r>
              <w:rPr>
                <w:rFonts w:hint="eastAsia" w:ascii="宋体" w:hAnsi="宋体" w:eastAsia="宋体" w:cs="宋体"/>
                <w:sz w:val="18"/>
                <w:highlight w:val="none"/>
              </w:rPr>
              <w:t>分。（此项满分</w:t>
            </w:r>
            <w:r>
              <w:rPr>
                <w:rFonts w:hint="eastAsia" w:ascii="宋体" w:hAnsi="宋体" w:cs="宋体"/>
                <w:sz w:val="18"/>
                <w:highlight w:val="none"/>
                <w:lang w:val="en-US" w:eastAsia="zh-CN"/>
              </w:rPr>
              <w:t>3</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3、拟投入的项目实施团队具有计算机/通信/网络/信息化类专业项目经理及项目管理师的得</w:t>
            </w:r>
            <w:r>
              <w:rPr>
                <w:rFonts w:hint="eastAsia" w:ascii="宋体" w:hAnsi="宋体" w:cs="宋体"/>
                <w:sz w:val="18"/>
                <w:highlight w:val="none"/>
                <w:lang w:val="en-US" w:eastAsia="zh-CN"/>
              </w:rPr>
              <w:t>3</w:t>
            </w:r>
            <w:r>
              <w:rPr>
                <w:rFonts w:hint="eastAsia" w:ascii="宋体" w:hAnsi="宋体" w:eastAsia="宋体" w:cs="宋体"/>
                <w:sz w:val="18"/>
                <w:highlight w:val="none"/>
              </w:rPr>
              <w:t>分，缺项不得分；（此项满分</w:t>
            </w:r>
            <w:r>
              <w:rPr>
                <w:rFonts w:hint="eastAsia" w:ascii="宋体" w:hAnsi="宋体" w:cs="宋体"/>
                <w:sz w:val="18"/>
                <w:highlight w:val="none"/>
                <w:lang w:val="en-US" w:eastAsia="zh-CN"/>
              </w:rPr>
              <w:t>3</w:t>
            </w:r>
            <w:r>
              <w:rPr>
                <w:rFonts w:hint="eastAsia" w:ascii="宋体" w:hAnsi="宋体" w:eastAsia="宋体" w:cs="宋体"/>
                <w:sz w:val="18"/>
                <w:highlight w:val="none"/>
              </w:rPr>
              <w:t>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4、项目实施团队具备CISP证书得1分；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5、项目团队具有2名安全生产管理员证书得1分；</w:t>
            </w:r>
          </w:p>
          <w:p>
            <w:pPr>
              <w:widowControl/>
              <w:ind w:firstLine="360" w:firstLineChars="200"/>
              <w:rPr>
                <w:rFonts w:ascii="宋体" w:hAnsi="宋体" w:eastAsia="宋体" w:cs="宋体"/>
                <w:sz w:val="18"/>
                <w:highlight w:val="none"/>
              </w:rPr>
            </w:pPr>
            <w:r>
              <w:rPr>
                <w:rFonts w:hint="eastAsia" w:ascii="宋体" w:hAnsi="宋体" w:eastAsia="宋体" w:cs="宋体"/>
                <w:sz w:val="18"/>
                <w:highlight w:val="none"/>
              </w:rPr>
              <w:t>注：上述各项中，一个人具备多项资质的，只取其中一项计分，不重复计分；须提供项目团队人员2020年度任意连续6个月的社保缴纳证明清单和各类证书的复印件并加盖供应商公章，否则不计分。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12</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jc w:val="center"/>
        </w:trPr>
        <w:tc>
          <w:tcPr>
            <w:tcW w:w="128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18"/>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人员组织（</w:t>
            </w: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立足项目专业性要求较高、质量要求高、时间要求紧的客观情况，根据供应商对项目集成实施相关人员组织织构架和安排情况，进行比较评审（</w:t>
            </w:r>
            <w:r>
              <w:rPr>
                <w:rFonts w:hint="eastAsia" w:ascii="宋体" w:hAnsi="宋体" w:cs="宋体"/>
                <w:sz w:val="18"/>
                <w:highlight w:val="none"/>
                <w:lang w:val="en-US" w:eastAsia="zh-CN"/>
              </w:rPr>
              <w:t>2</w:t>
            </w:r>
            <w:r>
              <w:rPr>
                <w:rFonts w:hint="eastAsia" w:ascii="宋体" w:hAnsi="宋体" w:eastAsia="宋体" w:cs="宋体"/>
                <w:sz w:val="18"/>
                <w:highlight w:val="none"/>
              </w:rPr>
              <w:t>-0.1分），未提供</w:t>
            </w:r>
            <w:r>
              <w:rPr>
                <w:rFonts w:hint="eastAsia" w:ascii="宋体" w:hAnsi="宋体" w:cs="宋体"/>
                <w:sz w:val="18"/>
                <w:highlight w:val="none"/>
                <w:lang w:eastAsia="zh-CN"/>
              </w:rPr>
              <w:t>得</w:t>
            </w:r>
            <w:r>
              <w:rPr>
                <w:rFonts w:hint="eastAsia" w:ascii="宋体" w:hAnsi="宋体" w:eastAsia="宋体" w:cs="宋体"/>
                <w:sz w:val="18"/>
                <w:highlight w:val="none"/>
              </w:rPr>
              <w:t>0分。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28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技术方案（</w:t>
            </w: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r>
              <w:rPr>
                <w:rFonts w:hint="eastAsia" w:ascii="宋体" w:hAnsi="宋体" w:eastAsia="宋体" w:cs="宋体"/>
                <w:sz w:val="18"/>
                <w:highlight w:val="none"/>
              </w:rPr>
              <w:t>根据供应商提供的技术方案，结合用户现状，需求分析准确，明确清晰，可操作性强进行比较评审（</w:t>
            </w:r>
            <w:r>
              <w:rPr>
                <w:rFonts w:hint="eastAsia" w:ascii="宋体" w:hAnsi="宋体" w:cs="宋体"/>
                <w:sz w:val="18"/>
                <w:highlight w:val="none"/>
                <w:lang w:val="en-US" w:eastAsia="zh-CN"/>
              </w:rPr>
              <w:t>2</w:t>
            </w:r>
            <w:r>
              <w:rPr>
                <w:rFonts w:hint="eastAsia" w:ascii="宋体" w:hAnsi="宋体" w:eastAsia="宋体" w:cs="宋体"/>
                <w:sz w:val="18"/>
                <w:highlight w:val="none"/>
              </w:rPr>
              <w:t>-0.1分），未提供</w:t>
            </w:r>
            <w:r>
              <w:rPr>
                <w:rFonts w:hint="eastAsia" w:ascii="宋体" w:hAnsi="宋体" w:cs="宋体"/>
                <w:sz w:val="18"/>
                <w:highlight w:val="none"/>
                <w:lang w:eastAsia="zh-CN"/>
              </w:rPr>
              <w:t>得</w:t>
            </w:r>
            <w:r>
              <w:rPr>
                <w:rFonts w:hint="eastAsia" w:ascii="宋体" w:hAnsi="宋体" w:eastAsia="宋体" w:cs="宋体"/>
                <w:sz w:val="18"/>
                <w:highlight w:val="none"/>
              </w:rPr>
              <w:t>0分。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jc w:val="center"/>
        </w:trPr>
        <w:tc>
          <w:tcPr>
            <w:tcW w:w="128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18"/>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项目实施方案（</w:t>
            </w: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根据供应商提供的项目实施方案根据投标人的响应情况进行比较评审（</w:t>
            </w:r>
            <w:r>
              <w:rPr>
                <w:rFonts w:hint="eastAsia" w:ascii="宋体" w:hAnsi="宋体" w:cs="宋体"/>
                <w:sz w:val="18"/>
                <w:highlight w:val="none"/>
                <w:lang w:val="en-US" w:eastAsia="zh-CN"/>
              </w:rPr>
              <w:t>2</w:t>
            </w:r>
            <w:r>
              <w:rPr>
                <w:rFonts w:hint="eastAsia" w:ascii="宋体" w:hAnsi="宋体" w:eastAsia="宋体" w:cs="宋体"/>
                <w:sz w:val="18"/>
                <w:highlight w:val="none"/>
              </w:rPr>
              <w:t>-0.1分），未提供</w:t>
            </w:r>
            <w:r>
              <w:rPr>
                <w:rFonts w:hint="eastAsia" w:ascii="宋体" w:hAnsi="宋体" w:cs="宋体"/>
                <w:sz w:val="18"/>
                <w:highlight w:val="none"/>
                <w:lang w:eastAsia="zh-CN"/>
              </w:rPr>
              <w:t>得</w:t>
            </w:r>
            <w:r>
              <w:rPr>
                <w:rFonts w:hint="eastAsia" w:ascii="宋体" w:hAnsi="宋体" w:eastAsia="宋体" w:cs="宋体"/>
                <w:sz w:val="18"/>
                <w:highlight w:val="none"/>
              </w:rPr>
              <w:t>0分。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128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sz w:val="18"/>
                <w:highlight w:val="none"/>
              </w:rPr>
            </w:pPr>
          </w:p>
        </w:tc>
        <w:tc>
          <w:tcPr>
            <w:tcW w:w="100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后续服务的安排及保证措施（</w:t>
            </w: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c>
          <w:tcPr>
            <w:tcW w:w="53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根据供应商提供的后续服务中的安排及保证措施方案是否得当进行比较评审（</w:t>
            </w:r>
            <w:r>
              <w:rPr>
                <w:rFonts w:hint="eastAsia" w:ascii="宋体" w:hAnsi="宋体" w:cs="宋体"/>
                <w:sz w:val="18"/>
                <w:highlight w:val="none"/>
                <w:lang w:val="en-US" w:eastAsia="zh-CN"/>
              </w:rPr>
              <w:t>2</w:t>
            </w:r>
            <w:r>
              <w:rPr>
                <w:rFonts w:hint="eastAsia" w:ascii="宋体" w:hAnsi="宋体" w:eastAsia="宋体" w:cs="宋体"/>
                <w:sz w:val="18"/>
                <w:highlight w:val="none"/>
              </w:rPr>
              <w:t>-0.1分），未提供</w:t>
            </w:r>
            <w:r>
              <w:rPr>
                <w:rFonts w:hint="eastAsia" w:ascii="宋体" w:hAnsi="宋体" w:cs="宋体"/>
                <w:sz w:val="18"/>
                <w:highlight w:val="none"/>
                <w:lang w:eastAsia="zh-CN"/>
              </w:rPr>
              <w:t>得</w:t>
            </w:r>
            <w:r>
              <w:rPr>
                <w:rFonts w:hint="eastAsia" w:ascii="宋体" w:hAnsi="宋体" w:eastAsia="宋体" w:cs="宋体"/>
                <w:sz w:val="18"/>
                <w:highlight w:val="none"/>
              </w:rPr>
              <w:t>0分。</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cs="宋体"/>
                <w:sz w:val="18"/>
                <w:highlight w:val="none"/>
                <w:lang w:val="en-US" w:eastAsia="zh-CN"/>
              </w:rPr>
              <w:t>2</w:t>
            </w:r>
            <w:r>
              <w:rPr>
                <w:rFonts w:hint="eastAsia" w:ascii="宋体" w:hAnsi="宋体" w:eastAsia="宋体" w:cs="宋体"/>
                <w:sz w:val="18"/>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8" w:hRule="atLeast"/>
          <w:jc w:val="center"/>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sz w:val="18"/>
                <w:highlight w:val="none"/>
              </w:rPr>
            </w:pPr>
            <w:r>
              <w:rPr>
                <w:rFonts w:hint="eastAsia" w:ascii="宋体" w:hAnsi="宋体" w:eastAsia="宋体" w:cs="宋体"/>
                <w:sz w:val="18"/>
                <w:highlight w:val="none"/>
              </w:rPr>
              <w:t>售后服务（3分）</w:t>
            </w:r>
          </w:p>
        </w:tc>
        <w:tc>
          <w:tcPr>
            <w:tcW w:w="1008"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sz w:val="18"/>
                <w:highlight w:val="none"/>
              </w:rPr>
            </w:pPr>
            <w:r>
              <w:rPr>
                <w:rFonts w:hint="eastAsia" w:ascii="宋体" w:hAnsi="宋体" w:eastAsia="宋体" w:cs="宋体"/>
                <w:sz w:val="18"/>
                <w:highlight w:val="none"/>
              </w:rPr>
              <w:t>本地化服务（3分）</w:t>
            </w:r>
          </w:p>
        </w:tc>
        <w:tc>
          <w:tcPr>
            <w:tcW w:w="5337" w:type="dxa"/>
            <w:tcBorders>
              <w:top w:val="single" w:color="auto" w:sz="4" w:space="0"/>
              <w:left w:val="single" w:color="auto" w:sz="4" w:space="0"/>
              <w:bottom w:val="nil"/>
              <w:right w:val="single" w:color="auto" w:sz="4" w:space="0"/>
            </w:tcBorders>
            <w:shd w:val="clear" w:color="auto" w:fill="auto"/>
            <w:vAlign w:val="center"/>
          </w:tcPr>
          <w:p>
            <w:pPr>
              <w:widowControl/>
              <w:jc w:val="left"/>
              <w:textAlignment w:val="center"/>
              <w:rPr>
                <w:rFonts w:ascii="宋体" w:hAnsi="宋体" w:eastAsia="宋体" w:cs="宋体"/>
                <w:sz w:val="18"/>
                <w:highlight w:val="none"/>
              </w:rPr>
            </w:pPr>
            <w:r>
              <w:rPr>
                <w:rFonts w:hint="eastAsia" w:ascii="宋体" w:hAnsi="宋体" w:cs="宋体"/>
                <w:color w:val="000000"/>
                <w:kern w:val="0"/>
                <w:sz w:val="20"/>
                <w:szCs w:val="20"/>
                <w:highlight w:val="none"/>
              </w:rPr>
              <w:t>投标人</w:t>
            </w:r>
            <w:r>
              <w:rPr>
                <w:rFonts w:hint="eastAsia" w:ascii="宋体" w:hAnsi="宋体" w:cs="宋体"/>
                <w:color w:val="000000"/>
                <w:kern w:val="0"/>
                <w:sz w:val="20"/>
                <w:szCs w:val="20"/>
                <w:highlight w:val="none"/>
                <w:lang w:eastAsia="zh-CN"/>
              </w:rPr>
              <w:t>提供驻地</w:t>
            </w:r>
            <w:r>
              <w:rPr>
                <w:rFonts w:hint="eastAsia" w:ascii="宋体" w:hAnsi="宋体" w:cs="宋体"/>
                <w:color w:val="000000"/>
                <w:kern w:val="0"/>
                <w:sz w:val="20"/>
                <w:szCs w:val="20"/>
                <w:highlight w:val="none"/>
              </w:rPr>
              <w:t>运维</w:t>
            </w:r>
            <w:r>
              <w:rPr>
                <w:rFonts w:hint="eastAsia" w:ascii="宋体" w:hAnsi="宋体" w:cs="宋体"/>
                <w:color w:val="000000"/>
                <w:kern w:val="0"/>
                <w:sz w:val="20"/>
                <w:szCs w:val="20"/>
                <w:highlight w:val="none"/>
                <w:lang w:eastAsia="zh-CN"/>
              </w:rPr>
              <w:t>服务</w:t>
            </w:r>
            <w:r>
              <w:rPr>
                <w:rFonts w:hint="eastAsia" w:ascii="宋体" w:hAnsi="宋体" w:cs="宋体"/>
                <w:color w:val="000000"/>
                <w:kern w:val="0"/>
                <w:sz w:val="20"/>
                <w:szCs w:val="20"/>
                <w:highlight w:val="none"/>
              </w:rPr>
              <w:t>车辆</w:t>
            </w:r>
            <w:r>
              <w:rPr>
                <w:rFonts w:hint="eastAsia" w:ascii="宋体" w:hAnsi="宋体" w:cs="宋体"/>
                <w:color w:val="000000"/>
                <w:kern w:val="0"/>
                <w:sz w:val="20"/>
                <w:szCs w:val="20"/>
                <w:highlight w:val="none"/>
                <w:lang w:eastAsia="zh-CN"/>
              </w:rPr>
              <w:t>及运维人员</w:t>
            </w:r>
            <w:r>
              <w:rPr>
                <w:rFonts w:hint="eastAsia" w:ascii="宋体" w:hAnsi="宋体" w:cs="宋体"/>
                <w:color w:val="000000"/>
                <w:kern w:val="0"/>
                <w:sz w:val="20"/>
                <w:szCs w:val="20"/>
                <w:highlight w:val="none"/>
                <w:lang w:val="en-US" w:eastAsia="zh-CN"/>
              </w:rPr>
              <w:t>2人以上,响应时间1小时内的得</w:t>
            </w:r>
            <w:r>
              <w:rPr>
                <w:rFonts w:hint="eastAsia" w:ascii="宋体" w:hAnsi="宋体" w:cs="宋体"/>
                <w:color w:val="000000"/>
                <w:kern w:val="0"/>
                <w:sz w:val="20"/>
                <w:szCs w:val="20"/>
                <w:highlight w:val="none"/>
              </w:rPr>
              <w:t>3分；</w:t>
            </w:r>
            <w:r>
              <w:rPr>
                <w:rFonts w:hint="eastAsia" w:ascii="宋体" w:hAnsi="宋体" w:cs="宋体"/>
                <w:color w:val="000000"/>
                <w:kern w:val="0"/>
                <w:sz w:val="20"/>
                <w:szCs w:val="20"/>
                <w:highlight w:val="none"/>
                <w:lang w:eastAsia="zh-CN"/>
              </w:rPr>
              <w:t>提供</w:t>
            </w:r>
            <w:r>
              <w:rPr>
                <w:rFonts w:hint="eastAsia" w:ascii="宋体" w:hAnsi="宋体" w:cs="宋体"/>
                <w:color w:val="000000"/>
                <w:kern w:val="0"/>
                <w:sz w:val="20"/>
                <w:szCs w:val="20"/>
                <w:highlight w:val="none"/>
              </w:rPr>
              <w:t>驻</w:t>
            </w:r>
            <w:r>
              <w:rPr>
                <w:rFonts w:hint="eastAsia" w:ascii="宋体" w:hAnsi="宋体" w:cs="宋体"/>
                <w:color w:val="000000"/>
                <w:kern w:val="0"/>
                <w:sz w:val="20"/>
                <w:szCs w:val="20"/>
                <w:highlight w:val="none"/>
                <w:lang w:eastAsia="zh-CN"/>
              </w:rPr>
              <w:t>地</w:t>
            </w:r>
            <w:r>
              <w:rPr>
                <w:rFonts w:hint="eastAsia" w:ascii="宋体" w:hAnsi="宋体" w:cs="宋体"/>
                <w:color w:val="000000"/>
                <w:kern w:val="0"/>
                <w:sz w:val="20"/>
                <w:szCs w:val="20"/>
                <w:highlight w:val="none"/>
              </w:rPr>
              <w:t>运维</w:t>
            </w:r>
            <w:r>
              <w:rPr>
                <w:rFonts w:hint="eastAsia" w:ascii="宋体" w:hAnsi="宋体" w:cs="宋体"/>
                <w:color w:val="000000"/>
                <w:kern w:val="0"/>
                <w:sz w:val="20"/>
                <w:szCs w:val="20"/>
                <w:highlight w:val="none"/>
                <w:lang w:eastAsia="zh-CN"/>
              </w:rPr>
              <w:t>服务人员</w:t>
            </w:r>
            <w:r>
              <w:rPr>
                <w:rFonts w:hint="eastAsia" w:ascii="宋体" w:hAnsi="宋体" w:cs="宋体"/>
                <w:color w:val="000000"/>
                <w:kern w:val="0"/>
                <w:sz w:val="20"/>
                <w:szCs w:val="20"/>
                <w:highlight w:val="none"/>
                <w:lang w:val="en-US" w:eastAsia="zh-CN"/>
              </w:rPr>
              <w:t>2人,响应时间4小时内</w:t>
            </w:r>
            <w:r>
              <w:rPr>
                <w:rFonts w:hint="eastAsia" w:ascii="宋体" w:hAnsi="宋体" w:cs="宋体"/>
                <w:color w:val="000000"/>
                <w:kern w:val="0"/>
                <w:sz w:val="20"/>
                <w:szCs w:val="20"/>
                <w:highlight w:val="none"/>
              </w:rPr>
              <w:t>得2分；</w:t>
            </w:r>
            <w:r>
              <w:rPr>
                <w:rFonts w:hint="eastAsia" w:ascii="宋体" w:hAnsi="宋体" w:eastAsia="宋体" w:cs="宋体"/>
                <w:sz w:val="18"/>
                <w:highlight w:val="none"/>
              </w:rPr>
              <w:t>未提供</w:t>
            </w:r>
            <w:r>
              <w:rPr>
                <w:rFonts w:hint="eastAsia" w:ascii="宋体" w:hAnsi="宋体" w:cs="宋体"/>
                <w:sz w:val="18"/>
                <w:highlight w:val="none"/>
                <w:lang w:eastAsia="zh-CN"/>
              </w:rPr>
              <w:t>得</w:t>
            </w:r>
            <w:r>
              <w:rPr>
                <w:rFonts w:hint="eastAsia" w:ascii="宋体" w:hAnsi="宋体" w:eastAsia="宋体" w:cs="宋体"/>
                <w:sz w:val="18"/>
                <w:highlight w:val="none"/>
              </w:rPr>
              <w:t>0分</w:t>
            </w:r>
            <w:r>
              <w:rPr>
                <w:rFonts w:hint="eastAsia" w:ascii="宋体" w:hAnsi="宋体" w:cs="宋体"/>
                <w:color w:val="000000"/>
                <w:kern w:val="0"/>
                <w:sz w:val="20"/>
                <w:szCs w:val="20"/>
                <w:highlight w:val="none"/>
              </w:rPr>
              <w:t>。（需提供车辆行驶证复印件）</w:t>
            </w: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2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eastAsia="宋体" w:cs="宋体"/>
                <w:sz w:val="18"/>
                <w:highlight w:val="none"/>
              </w:rPr>
            </w:pPr>
          </w:p>
        </w:tc>
        <w:tc>
          <w:tcPr>
            <w:tcW w:w="125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sz w:val="18"/>
                <w:highlight w:val="none"/>
              </w:rPr>
            </w:pPr>
            <w:r>
              <w:rPr>
                <w:rFonts w:hint="eastAsia" w:ascii="宋体" w:hAnsi="宋体" w:eastAsia="宋体" w:cs="宋体"/>
                <w:sz w:val="18"/>
                <w:highlight w:val="none"/>
              </w:rPr>
              <w:t>100</w:t>
            </w:r>
          </w:p>
        </w:tc>
      </w:tr>
    </w:tbl>
    <w:p>
      <w:pPr>
        <w:rPr>
          <w:rFonts w:hint="eastAsia"/>
          <w:highlight w:val="none"/>
        </w:rPr>
      </w:pPr>
    </w:p>
    <w:p>
      <w:pPr>
        <w:pStyle w:val="8"/>
        <w:numPr>
          <w:ilvl w:val="0"/>
          <w:numId w:val="0"/>
        </w:numPr>
        <w:ind w:leftChars="0"/>
        <w:rPr>
          <w:rFonts w:hint="default"/>
          <w:highlight w:val="none"/>
          <w:lang w:val="en-US" w:eastAsia="zh-CN"/>
        </w:rPr>
      </w:pPr>
    </w:p>
    <w:p>
      <w:pPr>
        <w:spacing w:line="360" w:lineRule="auto"/>
        <w:rPr>
          <w:rFonts w:hint="eastAsia"/>
          <w:b/>
          <w:bCs/>
          <w:sz w:val="32"/>
          <w:szCs w:val="32"/>
          <w:highlight w:val="none"/>
          <w:lang w:val="en-US" w:eastAsia="zh-CN"/>
        </w:rPr>
      </w:pPr>
      <w:r>
        <w:rPr>
          <w:rFonts w:hint="eastAsia"/>
          <w:b/>
          <w:bCs/>
          <w:sz w:val="32"/>
          <w:szCs w:val="32"/>
          <w:highlight w:val="none"/>
          <w:lang w:val="en-US" w:eastAsia="zh-CN"/>
        </w:rPr>
        <w:t>备注：专家论证费和专家评审费由中标人承担。</w:t>
      </w:r>
    </w:p>
    <w:p>
      <w:pPr>
        <w:rPr>
          <w:rFonts w:hint="eastAsia" w:ascii="宋体" w:hAnsi="宋体"/>
          <w:color w:val="auto"/>
          <w:sz w:val="20"/>
          <w:highlight w:val="none"/>
          <w:lang w:eastAsia="zh-CN"/>
        </w:rPr>
      </w:pPr>
      <w:r>
        <w:rPr>
          <w:rFonts w:hint="eastAsia" w:ascii="宋体" w:hAnsi="宋体"/>
          <w:color w:val="auto"/>
          <w:sz w:val="20"/>
          <w:highlight w:val="none"/>
        </w:rPr>
        <w:t xml:space="preserve"> </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swiss"/>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139BB1"/>
    <w:multiLevelType w:val="singleLevel"/>
    <w:tmpl w:val="D5139BB1"/>
    <w:lvl w:ilvl="0" w:tentative="0">
      <w:start w:val="7"/>
      <w:numFmt w:val="decimal"/>
      <w:lvlText w:val="%1."/>
      <w:lvlJc w:val="left"/>
      <w:pPr>
        <w:tabs>
          <w:tab w:val="left" w:pos="312"/>
        </w:tabs>
      </w:pPr>
    </w:lvl>
  </w:abstractNum>
  <w:abstractNum w:abstractNumId="1">
    <w:nsid w:val="08130DFB"/>
    <w:multiLevelType w:val="singleLevel"/>
    <w:tmpl w:val="08130DFB"/>
    <w:lvl w:ilvl="0" w:tentative="0">
      <w:start w:val="5"/>
      <w:numFmt w:val="decimal"/>
      <w:lvlText w:val="%1."/>
      <w:lvlJc w:val="left"/>
      <w:pPr>
        <w:tabs>
          <w:tab w:val="left" w:pos="312"/>
        </w:tabs>
      </w:pPr>
    </w:lvl>
  </w:abstractNum>
  <w:abstractNum w:abstractNumId="2">
    <w:nsid w:val="603377F9"/>
    <w:multiLevelType w:val="singleLevel"/>
    <w:tmpl w:val="603377F9"/>
    <w:lvl w:ilvl="0" w:tentative="0">
      <w:start w:val="2"/>
      <w:numFmt w:val="decimal"/>
      <w:suff w:val="nothing"/>
      <w:lvlText w:val="%1、"/>
      <w:lvlJc w:val="left"/>
    </w:lvl>
  </w:abstractNum>
  <w:abstractNum w:abstractNumId="3">
    <w:nsid w:val="603378EE"/>
    <w:multiLevelType w:val="singleLevel"/>
    <w:tmpl w:val="603378EE"/>
    <w:lvl w:ilvl="0" w:tentative="0">
      <w:start w:val="6"/>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52170"/>
    <w:rsid w:val="019656D4"/>
    <w:rsid w:val="025C1FC0"/>
    <w:rsid w:val="02A03C48"/>
    <w:rsid w:val="04053D83"/>
    <w:rsid w:val="040C3561"/>
    <w:rsid w:val="044F7412"/>
    <w:rsid w:val="04A04175"/>
    <w:rsid w:val="05227056"/>
    <w:rsid w:val="055F495A"/>
    <w:rsid w:val="06BE40C9"/>
    <w:rsid w:val="09BD7216"/>
    <w:rsid w:val="0A2948D5"/>
    <w:rsid w:val="0AFA01CF"/>
    <w:rsid w:val="0BE52170"/>
    <w:rsid w:val="0C12316E"/>
    <w:rsid w:val="0F723765"/>
    <w:rsid w:val="124E4CF9"/>
    <w:rsid w:val="13964205"/>
    <w:rsid w:val="156108C9"/>
    <w:rsid w:val="156C1119"/>
    <w:rsid w:val="15907F5B"/>
    <w:rsid w:val="1624122A"/>
    <w:rsid w:val="16674D3D"/>
    <w:rsid w:val="17320C4D"/>
    <w:rsid w:val="1A544667"/>
    <w:rsid w:val="1AF45D39"/>
    <w:rsid w:val="1B8E7A6F"/>
    <w:rsid w:val="1BC620E4"/>
    <w:rsid w:val="1BC953AD"/>
    <w:rsid w:val="1C223593"/>
    <w:rsid w:val="1DA94B31"/>
    <w:rsid w:val="1DED6146"/>
    <w:rsid w:val="1DF70BE2"/>
    <w:rsid w:val="1E1C734C"/>
    <w:rsid w:val="1FA552BD"/>
    <w:rsid w:val="1FDE647D"/>
    <w:rsid w:val="21075005"/>
    <w:rsid w:val="22717992"/>
    <w:rsid w:val="229C33A8"/>
    <w:rsid w:val="23103604"/>
    <w:rsid w:val="2322146C"/>
    <w:rsid w:val="26A872DC"/>
    <w:rsid w:val="27B96CE8"/>
    <w:rsid w:val="2B477BC9"/>
    <w:rsid w:val="2B4937C0"/>
    <w:rsid w:val="2DD0334B"/>
    <w:rsid w:val="2F000D0A"/>
    <w:rsid w:val="318A1C77"/>
    <w:rsid w:val="319C2700"/>
    <w:rsid w:val="340F7004"/>
    <w:rsid w:val="345D6BCD"/>
    <w:rsid w:val="34E105F2"/>
    <w:rsid w:val="351F7BA9"/>
    <w:rsid w:val="35C04321"/>
    <w:rsid w:val="37E76C1D"/>
    <w:rsid w:val="39AC072B"/>
    <w:rsid w:val="3AB406EF"/>
    <w:rsid w:val="3D067007"/>
    <w:rsid w:val="422E1229"/>
    <w:rsid w:val="426352F3"/>
    <w:rsid w:val="42E66127"/>
    <w:rsid w:val="44105AD8"/>
    <w:rsid w:val="455E210C"/>
    <w:rsid w:val="46401E44"/>
    <w:rsid w:val="47C86602"/>
    <w:rsid w:val="49805174"/>
    <w:rsid w:val="4B072103"/>
    <w:rsid w:val="4B0B0FAA"/>
    <w:rsid w:val="4C2B7A40"/>
    <w:rsid w:val="4DCB07C7"/>
    <w:rsid w:val="4E595DA0"/>
    <w:rsid w:val="4E98237F"/>
    <w:rsid w:val="52586C04"/>
    <w:rsid w:val="526C288D"/>
    <w:rsid w:val="52725823"/>
    <w:rsid w:val="529E2F4B"/>
    <w:rsid w:val="5445294F"/>
    <w:rsid w:val="54ED528B"/>
    <w:rsid w:val="56C34F82"/>
    <w:rsid w:val="5A213645"/>
    <w:rsid w:val="5B7B14A6"/>
    <w:rsid w:val="5B8B7574"/>
    <w:rsid w:val="5BD32A41"/>
    <w:rsid w:val="5D301470"/>
    <w:rsid w:val="5E534C59"/>
    <w:rsid w:val="5F131865"/>
    <w:rsid w:val="5FAB543B"/>
    <w:rsid w:val="60115372"/>
    <w:rsid w:val="61E429AA"/>
    <w:rsid w:val="62AC5CB7"/>
    <w:rsid w:val="63B12314"/>
    <w:rsid w:val="66A756BA"/>
    <w:rsid w:val="68C56957"/>
    <w:rsid w:val="68D739A2"/>
    <w:rsid w:val="692449EE"/>
    <w:rsid w:val="6AE44653"/>
    <w:rsid w:val="6B0C104F"/>
    <w:rsid w:val="6D40715A"/>
    <w:rsid w:val="6D535020"/>
    <w:rsid w:val="703D1D01"/>
    <w:rsid w:val="710167A8"/>
    <w:rsid w:val="712658CF"/>
    <w:rsid w:val="72385C09"/>
    <w:rsid w:val="72A01582"/>
    <w:rsid w:val="738744BB"/>
    <w:rsid w:val="73B87E01"/>
    <w:rsid w:val="74594D5B"/>
    <w:rsid w:val="75854221"/>
    <w:rsid w:val="75A77F5F"/>
    <w:rsid w:val="75A92818"/>
    <w:rsid w:val="765C2FCD"/>
    <w:rsid w:val="781C0B5A"/>
    <w:rsid w:val="79D225D2"/>
    <w:rsid w:val="7A427D47"/>
    <w:rsid w:val="7A4C450A"/>
    <w:rsid w:val="7E32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0" w:beforeLines="0" w:line="360" w:lineRule="auto"/>
      <w:ind w:firstLine="0"/>
      <w:jc w:val="center"/>
      <w:outlineLvl w:val="0"/>
    </w:pPr>
    <w:rPr>
      <w:rFonts w:cs="宋体"/>
      <w:b/>
      <w:bCs/>
      <w:kern w:val="44"/>
      <w:sz w:val="32"/>
      <w:szCs w:val="44"/>
    </w:rPr>
  </w:style>
  <w:style w:type="paragraph" w:styleId="4">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5">
    <w:name w:val="heading 4"/>
    <w:basedOn w:val="1"/>
    <w:next w:val="1"/>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character" w:default="1" w:styleId="15">
    <w:name w:val="Default Paragraph Font"/>
    <w:link w:val="16"/>
    <w:semiHidden/>
    <w:qFormat/>
    <w:uiPriority w:val="0"/>
    <w:rPr>
      <w:rFonts w:ascii="Times New Roman" w:hAnsi="Times New Roman"/>
      <w:szCs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ahoma" w:hAnsi="Tahoma"/>
      <w:szCs w:val="20"/>
    </w:rPr>
  </w:style>
  <w:style w:type="paragraph" w:styleId="6">
    <w:name w:val="Normal Indent"/>
    <w:basedOn w:val="1"/>
    <w:qFormat/>
    <w:uiPriority w:val="0"/>
    <w:pPr>
      <w:ind w:firstLine="420"/>
    </w:pPr>
  </w:style>
  <w:style w:type="paragraph" w:styleId="7">
    <w:name w:val="Body Text 3"/>
    <w:basedOn w:val="1"/>
    <w:qFormat/>
    <w:uiPriority w:val="0"/>
    <w:rPr>
      <w:rFonts w:ascii="宋体"/>
      <w:kern w:val="2"/>
      <w:sz w:val="24"/>
    </w:rPr>
  </w:style>
  <w:style w:type="paragraph" w:styleId="8">
    <w:name w:val="Plain Text"/>
    <w:basedOn w:val="1"/>
    <w:qFormat/>
    <w:uiPriority w:val="0"/>
    <w:rPr>
      <w:rFonts w:ascii="宋体" w:hAnsi="Courier New"/>
      <w:kern w:val="0"/>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Normal (Web)"/>
    <w:basedOn w:val="1"/>
    <w:qFormat/>
    <w:uiPriority w:val="0"/>
    <w:pPr>
      <w:spacing w:before="100" w:beforeLines="0" w:beforeAutospacing="1" w:after="100" w:afterLines="0" w:afterAutospacing="1"/>
    </w:pPr>
    <w:rPr>
      <w:rFonts w:ascii="宋体" w:hAnsi="宋体" w:cs="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Char Char"/>
    <w:basedOn w:val="1"/>
    <w:link w:val="15"/>
    <w:qFormat/>
    <w:uiPriority w:val="0"/>
    <w:rPr>
      <w:rFonts w:ascii="Times New Roman" w:hAnsi="Times New Roman"/>
      <w:szCs w:val="24"/>
    </w:rPr>
  </w:style>
  <w:style w:type="character" w:styleId="17">
    <w:name w:val="Strong"/>
    <w:basedOn w:val="15"/>
    <w:qFormat/>
    <w:uiPriority w:val="0"/>
    <w:rPr>
      <w:b/>
    </w:rPr>
  </w:style>
  <w:style w:type="character" w:styleId="18">
    <w:name w:val="page number"/>
    <w:basedOn w:val="15"/>
    <w:qFormat/>
    <w:uiPriority w:val="0"/>
  </w:style>
  <w:style w:type="character" w:styleId="19">
    <w:name w:val="FollowedHyperlink"/>
    <w:basedOn w:val="15"/>
    <w:qFormat/>
    <w:uiPriority w:val="0"/>
    <w:rPr>
      <w:color w:val="333333"/>
      <w:u w:val="none"/>
    </w:rPr>
  </w:style>
  <w:style w:type="character" w:styleId="20">
    <w:name w:val="Emphasis"/>
    <w:basedOn w:val="15"/>
    <w:qFormat/>
    <w:uiPriority w:val="0"/>
  </w:style>
  <w:style w:type="character" w:styleId="21">
    <w:name w:val="HTML Definition"/>
    <w:basedOn w:val="15"/>
    <w:qFormat/>
    <w:uiPriority w:val="0"/>
    <w:rPr>
      <w:i/>
    </w:rPr>
  </w:style>
  <w:style w:type="character" w:styleId="22">
    <w:name w:val="Hyperlink"/>
    <w:basedOn w:val="15"/>
    <w:qFormat/>
    <w:uiPriority w:val="0"/>
    <w:rPr>
      <w:color w:val="333333"/>
      <w:u w:val="none"/>
    </w:rPr>
  </w:style>
  <w:style w:type="character" w:styleId="23">
    <w:name w:val="HTML Code"/>
    <w:basedOn w:val="15"/>
    <w:qFormat/>
    <w:uiPriority w:val="0"/>
    <w:rPr>
      <w:rFonts w:hint="default" w:ascii="Consolas" w:hAnsi="Consolas" w:eastAsia="Consolas" w:cs="Consolas"/>
      <w:color w:val="C7254E"/>
      <w:sz w:val="21"/>
      <w:szCs w:val="21"/>
      <w:shd w:val="clear" w:fill="F9F2F4"/>
    </w:rPr>
  </w:style>
  <w:style w:type="character" w:styleId="24">
    <w:name w:val="HTML Keyboard"/>
    <w:basedOn w:val="15"/>
    <w:qFormat/>
    <w:uiPriority w:val="0"/>
    <w:rPr>
      <w:rFonts w:hint="default" w:ascii="Consolas" w:hAnsi="Consolas" w:eastAsia="Consolas" w:cs="Consolas"/>
      <w:color w:val="FFFFFF"/>
      <w:sz w:val="21"/>
      <w:szCs w:val="21"/>
      <w:shd w:val="clear" w:fill="333333"/>
    </w:rPr>
  </w:style>
  <w:style w:type="character" w:styleId="25">
    <w:name w:val="HTML Sample"/>
    <w:basedOn w:val="15"/>
    <w:qFormat/>
    <w:uiPriority w:val="0"/>
    <w:rPr>
      <w:rFonts w:ascii="Consolas" w:hAnsi="Consolas" w:eastAsia="Consolas" w:cs="Consolas"/>
      <w:sz w:val="21"/>
      <w:szCs w:val="21"/>
    </w:rPr>
  </w:style>
  <w:style w:type="paragraph" w:customStyle="1" w:styleId="26">
    <w:name w:val="列出段落1"/>
    <w:basedOn w:val="1"/>
    <w:qFormat/>
    <w:uiPriority w:val="34"/>
    <w:pPr>
      <w:ind w:firstLine="420" w:firstLineChars="200"/>
    </w:pPr>
  </w:style>
  <w:style w:type="character" w:customStyle="1" w:styleId="27">
    <w:name w:val="font01"/>
    <w:basedOn w:val="15"/>
    <w:qFormat/>
    <w:uiPriority w:val="0"/>
    <w:rPr>
      <w:rFonts w:hint="eastAsia" w:ascii="宋体" w:hAnsi="宋体" w:eastAsia="宋体" w:cs="宋体"/>
      <w:color w:val="000000"/>
      <w:sz w:val="20"/>
      <w:szCs w:val="20"/>
      <w:u w:val="none"/>
    </w:rPr>
  </w:style>
  <w:style w:type="character" w:customStyle="1" w:styleId="28">
    <w:name w:val="font21"/>
    <w:basedOn w:val="15"/>
    <w:qFormat/>
    <w:uiPriority w:val="0"/>
    <w:rPr>
      <w:rFonts w:ascii="宋体" w:hAnsi="宋体" w:eastAsia="宋体" w:cs="宋体"/>
      <w:color w:val="000000"/>
      <w:sz w:val="20"/>
      <w:szCs w:val="20"/>
      <w:u w:val="none"/>
    </w:rPr>
  </w:style>
  <w:style w:type="paragraph" w:customStyle="1" w:styleId="2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0">
    <w:name w:val="List Paragraph"/>
    <w:basedOn w:val="1"/>
    <w:qFormat/>
    <w:uiPriority w:val="34"/>
    <w:pPr>
      <w:ind w:firstLine="420" w:firstLineChars="200"/>
    </w:pPr>
    <w:rPr>
      <w:rFonts w:ascii="Calibri" w:hAnsi="Calibri" w:eastAsia="宋体"/>
    </w:rPr>
  </w:style>
  <w:style w:type="paragraph" w:customStyle="1" w:styleId="31">
    <w:name w:val="_Style 21"/>
    <w:basedOn w:val="1"/>
    <w:next w:val="1"/>
    <w:qFormat/>
    <w:uiPriority w:val="0"/>
    <w:pPr>
      <w:pBdr>
        <w:bottom w:val="single" w:color="auto" w:sz="6" w:space="1"/>
      </w:pBdr>
      <w:jc w:val="center"/>
    </w:pPr>
    <w:rPr>
      <w:rFonts w:ascii="Arial" w:eastAsia="宋体"/>
      <w:vanish/>
      <w:sz w:val="16"/>
    </w:rPr>
  </w:style>
  <w:style w:type="paragraph" w:customStyle="1" w:styleId="32">
    <w:name w:val="_Style 22"/>
    <w:basedOn w:val="1"/>
    <w:next w:val="1"/>
    <w:qFormat/>
    <w:uiPriority w:val="0"/>
    <w:pPr>
      <w:pBdr>
        <w:top w:val="single" w:color="auto" w:sz="6" w:space="1"/>
      </w:pBdr>
      <w:jc w:val="center"/>
    </w:pPr>
    <w:rPr>
      <w:rFonts w:ascii="Arial" w:eastAsia="宋体"/>
      <w:vanish/>
      <w:sz w:val="16"/>
    </w:rPr>
  </w:style>
  <w:style w:type="character" w:customStyle="1" w:styleId="33">
    <w:name w:val="hover4"/>
    <w:basedOn w:val="15"/>
    <w:qFormat/>
    <w:uiPriority w:val="0"/>
    <w:rPr>
      <w:color w:val="999999"/>
    </w:rPr>
  </w:style>
  <w:style w:type="paragraph" w:customStyle="1" w:styleId="3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1877</Words>
  <Characters>1969</Characters>
  <Lines>0</Lines>
  <Paragraphs>0</Paragraphs>
  <TotalTime>4</TotalTime>
  <ScaleCrop>false</ScaleCrop>
  <LinksUpToDate>false</LinksUpToDate>
  <CharactersWithSpaces>1971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2018-07-11T06:18:00Z</dcterms:created>
  <dc:creator>待续</dc:creator>
  <cp:lastModifiedBy>Lily-servienne</cp:lastModifiedBy>
  <cp:lastPrinted>2018-11-02T03:19:00Z</cp:lastPrinted>
  <dcterms:modified xsi:type="dcterms:W3CDTF">2021-02-23T07:50:14Z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