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bookmarkStart w:id="0" w:name="_GoBack"/>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：铜仁市疾病预防控制中心疫情防控能力提升和疫情防控物资采购项目</w:t>
      </w:r>
    </w:p>
    <w:p>
      <w:pPr>
        <w:numPr>
          <w:ilvl w:val="0"/>
          <w:numId w:val="1"/>
        </w:numPr>
        <w:rPr>
          <w:rFonts w:hint="eastAsia"/>
          <w:lang w:val="en-US" w:eastAsia="zh-CN"/>
        </w:rPr>
      </w:pPr>
      <w:r>
        <w:rPr>
          <w:rFonts w:hint="eastAsia"/>
        </w:rPr>
        <w:t>项目编号</w:t>
      </w:r>
      <w:r>
        <w:rPr>
          <w:rFonts w:hint="eastAsia"/>
          <w:lang w:eastAsia="zh-CN"/>
        </w:rPr>
        <w:t>： TRZFCG-2020-</w:t>
      </w:r>
      <w:r>
        <w:rPr>
          <w:rFonts w:hint="eastAsia"/>
          <w:lang w:val="en-US" w:eastAsia="zh-CN"/>
        </w:rPr>
        <w:t>207</w:t>
      </w:r>
    </w:p>
    <w:p>
      <w:pPr>
        <w:numPr>
          <w:ilvl w:val="0"/>
          <w:numId w:val="1"/>
        </w:numPr>
        <w:rPr>
          <w:rFonts w:hint="eastAsia"/>
        </w:rPr>
      </w:pPr>
      <w:r>
        <w:rPr>
          <w:rFonts w:hint="eastAsia"/>
        </w:rPr>
        <w:t>项目序列号</w:t>
      </w:r>
      <w:r>
        <w:rPr>
          <w:rFonts w:hint="eastAsia"/>
          <w:lang w:eastAsia="zh-CN"/>
        </w:rPr>
        <w:t>： TRZFCG-2020-</w:t>
      </w:r>
      <w:r>
        <w:rPr>
          <w:rFonts w:hint="eastAsia"/>
          <w:lang w:val="en-US" w:eastAsia="zh-CN"/>
        </w:rPr>
        <w:t>207</w:t>
      </w:r>
    </w:p>
    <w:p>
      <w:pPr>
        <w:numPr>
          <w:ilvl w:val="0"/>
          <w:numId w:val="1"/>
        </w:numPr>
        <w:rPr>
          <w:rFonts w:hint="eastAsia"/>
        </w:rPr>
      </w:pPr>
      <w:r>
        <w:rPr>
          <w:rFonts w:hint="eastAsia"/>
        </w:rPr>
        <w:t>项目联系人</w:t>
      </w:r>
      <w:r>
        <w:rPr>
          <w:rFonts w:hint="eastAsia"/>
          <w:lang w:eastAsia="zh-CN"/>
        </w:rPr>
        <w:t>：龙娅芝</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2020年12月4日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2020年12月9日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：管平均、李群英、金立军、罗应斌、张琳岚</w:t>
      </w:r>
    </w:p>
    <w:p>
      <w:pPr>
        <w:numPr>
          <w:ilvl w:val="0"/>
          <w:numId w:val="1"/>
        </w:numPr>
        <w:rPr>
          <w:rFonts w:hint="eastAsia"/>
          <w:lang w:val="en-US" w:eastAsia="zh-CN"/>
        </w:rPr>
      </w:pPr>
      <w:r>
        <w:rPr>
          <w:rFonts w:hint="eastAsia"/>
        </w:rPr>
        <w:t>定标日期: </w:t>
      </w:r>
      <w:r>
        <w:rPr>
          <w:rFonts w:hint="eastAsia"/>
          <w:lang w:val="en-US" w:eastAsia="zh-CN"/>
        </w:rPr>
        <w:t>2020年12月9日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贵州迈道罄医疗器械有限公司</w:t>
            </w:r>
          </w:p>
        </w:tc>
        <w:tc>
          <w:tcPr>
            <w:tcW w:w="2389" w:type="dxa"/>
            <w:vAlign w:val="center"/>
          </w:tcPr>
          <w:p>
            <w:pPr>
              <w:numPr>
                <w:ilvl w:val="0"/>
                <w:numId w:val="0"/>
              </w:numPr>
              <w:jc w:val="both"/>
              <w:rPr>
                <w:rFonts w:hint="default" w:eastAsia="宋体"/>
                <w:lang w:val="en-US" w:eastAsia="zh-CN"/>
              </w:rPr>
            </w:pPr>
            <w:r>
              <w:rPr>
                <w:rFonts w:hint="eastAsia"/>
                <w:lang w:val="en-US" w:eastAsia="zh-CN"/>
              </w:rPr>
              <w:t>贵州省贵阳市乌当区航天大道北段23号科开一号苑26层2号</w:t>
            </w:r>
          </w:p>
        </w:tc>
        <w:tc>
          <w:tcPr>
            <w:tcW w:w="1827" w:type="dxa"/>
            <w:vAlign w:val="center"/>
          </w:tcPr>
          <w:p>
            <w:pPr>
              <w:numPr>
                <w:ilvl w:val="0"/>
                <w:numId w:val="0"/>
              </w:numPr>
              <w:jc w:val="both"/>
              <w:rPr>
                <w:rFonts w:hint="default" w:eastAsia="宋体"/>
                <w:lang w:val="en-US" w:eastAsia="zh-CN"/>
              </w:rPr>
            </w:pPr>
            <w:r>
              <w:rPr>
                <w:rFonts w:hint="default" w:eastAsia="宋体"/>
                <w:lang w:val="en-US" w:eastAsia="zh-CN"/>
              </w:rPr>
              <w:t xml:space="preserve">2包：疫情防控能力提升 </w:t>
            </w:r>
          </w:p>
        </w:tc>
        <w:tc>
          <w:tcPr>
            <w:tcW w:w="1686" w:type="dxa"/>
            <w:vAlign w:val="center"/>
          </w:tcPr>
          <w:p>
            <w:pPr>
              <w:numPr>
                <w:ilvl w:val="0"/>
                <w:numId w:val="0"/>
              </w:numPr>
              <w:jc w:val="both"/>
              <w:rPr>
                <w:rFonts w:hint="default"/>
                <w:lang w:val="en-US" w:eastAsia="zh-CN"/>
              </w:rPr>
            </w:pPr>
            <w:r>
              <w:rPr>
                <w:rFonts w:hint="eastAsia"/>
                <w:lang w:val="en-US" w:eastAsia="zh-CN"/>
              </w:rPr>
              <w:t>4590000.00</w:t>
            </w:r>
          </w:p>
        </w:tc>
      </w:tr>
    </w:tbl>
    <w:p>
      <w:pPr>
        <w:numPr>
          <w:ilvl w:val="0"/>
          <w:numId w:val="1"/>
        </w:numPr>
        <w:rPr>
          <w:rFonts w:hint="eastAsia"/>
        </w:rPr>
      </w:pPr>
      <w:r>
        <w:rPr>
          <w:rFonts w:hint="eastAsia"/>
        </w:rPr>
        <w:t>采购人名称:</w:t>
      </w:r>
      <w:r>
        <w:rPr>
          <w:rFonts w:hint="eastAsia"/>
          <w:lang w:eastAsia="zh-CN"/>
        </w:rPr>
        <w:t>铜仁市疾病预防控制中心</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lang w:eastAsia="zh-CN"/>
        </w:rPr>
        <w:t>铜仁市疾病预防控制中心</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杨科长</w:t>
      </w:r>
    </w:p>
    <w:p>
      <w:pPr>
        <w:numPr>
          <w:ilvl w:val="0"/>
          <w:numId w:val="0"/>
        </w:numPr>
        <w:ind w:firstLine="420" w:firstLineChars="200"/>
        <w:rPr>
          <w:rFonts w:hint="eastAsia"/>
          <w:sz w:val="21"/>
          <w:szCs w:val="21"/>
          <w:lang w:val="en-US" w:eastAsia="zh-CN"/>
        </w:rPr>
      </w:pPr>
      <w:r>
        <w:rPr>
          <w:rFonts w:hint="eastAsia"/>
          <w:sz w:val="21"/>
          <w:szCs w:val="21"/>
        </w:rPr>
        <w:t>联系电话:18722916180</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龙娅芝</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贵州迈道罄医疗器械有限公司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0ECF05A0"/>
    <w:rsid w:val="11D702E6"/>
    <w:rsid w:val="11EC76CE"/>
    <w:rsid w:val="12933485"/>
    <w:rsid w:val="13C5294A"/>
    <w:rsid w:val="14691EA0"/>
    <w:rsid w:val="1473234A"/>
    <w:rsid w:val="14BF106F"/>
    <w:rsid w:val="153A4497"/>
    <w:rsid w:val="15A83C9B"/>
    <w:rsid w:val="15FF7EAD"/>
    <w:rsid w:val="16032C35"/>
    <w:rsid w:val="16245444"/>
    <w:rsid w:val="166E62D4"/>
    <w:rsid w:val="17977B0B"/>
    <w:rsid w:val="18206AAD"/>
    <w:rsid w:val="196E10D6"/>
    <w:rsid w:val="19754DFF"/>
    <w:rsid w:val="197A170C"/>
    <w:rsid w:val="19B126EA"/>
    <w:rsid w:val="1AE516E0"/>
    <w:rsid w:val="1B71575D"/>
    <w:rsid w:val="1CB84FA4"/>
    <w:rsid w:val="1CE32679"/>
    <w:rsid w:val="1D08187C"/>
    <w:rsid w:val="1D4B04E3"/>
    <w:rsid w:val="1DA0690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0EC1116"/>
    <w:rsid w:val="316A63BD"/>
    <w:rsid w:val="32B847D5"/>
    <w:rsid w:val="330B27ED"/>
    <w:rsid w:val="333F2D21"/>
    <w:rsid w:val="34592268"/>
    <w:rsid w:val="36CA2F0D"/>
    <w:rsid w:val="374C4969"/>
    <w:rsid w:val="39BE7447"/>
    <w:rsid w:val="3B4045C6"/>
    <w:rsid w:val="3B4833D4"/>
    <w:rsid w:val="3C08141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533BD9"/>
    <w:rsid w:val="73A705A5"/>
    <w:rsid w:val="76192F7E"/>
    <w:rsid w:val="764D53DD"/>
    <w:rsid w:val="76680709"/>
    <w:rsid w:val="76CE7859"/>
    <w:rsid w:val="76D22001"/>
    <w:rsid w:val="770779D4"/>
    <w:rsid w:val="783B09F0"/>
    <w:rsid w:val="788B7599"/>
    <w:rsid w:val="789323B5"/>
    <w:rsid w:val="78E81348"/>
    <w:rsid w:val="7923348D"/>
    <w:rsid w:val="7AA75AA1"/>
    <w:rsid w:val="7AAF19B7"/>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MyGirl</cp:lastModifiedBy>
  <cp:lastPrinted>2020-12-09T04:01:00Z</cp:lastPrinted>
  <dcterms:modified xsi:type="dcterms:W3CDTF">2020-12-09T05:15:30Z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