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项目名称: 碧江区川硐敬老院及碧江区六龙山瓦屋片区敬老院电梯项目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项目编号: TRZFCG-20</w:t>
      </w:r>
      <w:r>
        <w:rPr>
          <w:rFonts w:hint="eastAsia"/>
          <w:lang w:eastAsia="zh-CN"/>
        </w:rPr>
        <w:t>20-</w:t>
      </w:r>
      <w:r>
        <w:rPr>
          <w:rFonts w:hint="eastAsia"/>
          <w:lang w:val="en-US" w:eastAsia="zh-CN"/>
        </w:rPr>
        <w:t>167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项目序列号: TRZFCG-20</w:t>
      </w:r>
      <w:r>
        <w:rPr>
          <w:rFonts w:hint="eastAsia"/>
          <w:lang w:eastAsia="zh-CN"/>
        </w:rPr>
        <w:t>20-</w:t>
      </w:r>
      <w:r>
        <w:rPr>
          <w:rFonts w:hint="eastAsia"/>
          <w:lang w:val="en-US" w:eastAsia="zh-CN"/>
        </w:rPr>
        <w:t>167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项目用途、简要技术要求及合同履行日期: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2020年11月24日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2020年12月15日</w:t>
      </w:r>
    </w:p>
    <w:p>
      <w:pPr>
        <w:numPr>
          <w:ilvl w:val="0"/>
          <w:numId w:val="0"/>
        </w:numP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11.公示时间:2020年</w:t>
      </w: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月</w:t>
      </w: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16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日至2020年</w:t>
      </w: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月</w:t>
      </w: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17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日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</w:t>
      </w:r>
      <w:bookmarkStart w:id="0" w:name="_GoBack"/>
      <w:r>
        <w:rPr>
          <w:rFonts w:hint="eastAsia"/>
          <w:lang w:val="en-US" w:eastAsia="zh-CN"/>
        </w:rPr>
        <w:t>姚力生、史天波、杨端、孙冬秀、赵再琴</w:t>
      </w:r>
    </w:p>
    <w:bookmarkEnd w:id="0"/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中标（成交）信息:</w:t>
      </w:r>
    </w:p>
    <w:tbl>
      <w:tblPr>
        <w:tblStyle w:val="8"/>
        <w:tblW w:w="9240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474"/>
        <w:gridCol w:w="2475"/>
        <w:gridCol w:w="1892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7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4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9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贵州铜仁恒毅电梯工程有限公司</w:t>
            </w: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贵州省铜仁市碧江区环北民族风情园风情楼一层1-143、144＃</w:t>
            </w:r>
          </w:p>
        </w:tc>
        <w:tc>
          <w:tcPr>
            <w:tcW w:w="189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电梯</w:t>
            </w:r>
          </w:p>
        </w:tc>
        <w:tc>
          <w:tcPr>
            <w:tcW w:w="174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1243000</w:t>
            </w:r>
          </w:p>
        </w:tc>
      </w:tr>
    </w:tbl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>采购人名称: 铜仁市碧江区民政局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联系地址:铜仁市碧江区民政局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项目联系人:陈科长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联系电话：0856-5238090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17、采购文件上传（PDF格式）：(招标文件)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8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根</w:t>
            </w:r>
            <w:r>
              <w:rPr>
                <w:rFonts w:hint="eastAsia"/>
              </w:rPr>
              <w:t>据本项目招标文件规定，评标委员会推荐得分最高的</w:t>
            </w:r>
            <w:r>
              <w:rPr>
                <w:rFonts w:hint="eastAsia"/>
                <w:u w:val="single"/>
                <w:lang w:eastAsia="zh-CN"/>
              </w:rPr>
              <w:t>贵州铜仁恒毅电梯工程有限公司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第一中</w:t>
            </w:r>
            <w:r>
              <w:rPr>
                <w:rFonts w:hint="eastAsia"/>
              </w:rPr>
              <w:t>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791EEA"/>
    <w:rsid w:val="00806C68"/>
    <w:rsid w:val="008365CD"/>
    <w:rsid w:val="009136D1"/>
    <w:rsid w:val="009F3709"/>
    <w:rsid w:val="00DE1311"/>
    <w:rsid w:val="029D1BFA"/>
    <w:rsid w:val="03EB606F"/>
    <w:rsid w:val="0474224E"/>
    <w:rsid w:val="052C3508"/>
    <w:rsid w:val="069432DC"/>
    <w:rsid w:val="0851720B"/>
    <w:rsid w:val="0A9F063D"/>
    <w:rsid w:val="0AC14DAA"/>
    <w:rsid w:val="0CE312FE"/>
    <w:rsid w:val="0E046D3B"/>
    <w:rsid w:val="0E8D6543"/>
    <w:rsid w:val="0FF22CE4"/>
    <w:rsid w:val="11D702E6"/>
    <w:rsid w:val="11EC76CE"/>
    <w:rsid w:val="1473234A"/>
    <w:rsid w:val="153A4497"/>
    <w:rsid w:val="15FF7EAD"/>
    <w:rsid w:val="16032C35"/>
    <w:rsid w:val="17977B0B"/>
    <w:rsid w:val="17E56C29"/>
    <w:rsid w:val="18206AAD"/>
    <w:rsid w:val="196E10D6"/>
    <w:rsid w:val="19754DFF"/>
    <w:rsid w:val="197A170C"/>
    <w:rsid w:val="19B126EA"/>
    <w:rsid w:val="1A2A5301"/>
    <w:rsid w:val="1ADB0A2E"/>
    <w:rsid w:val="1AE516E0"/>
    <w:rsid w:val="1BFF78B5"/>
    <w:rsid w:val="1D4B04E3"/>
    <w:rsid w:val="1D4D001D"/>
    <w:rsid w:val="1DF34E13"/>
    <w:rsid w:val="20162A42"/>
    <w:rsid w:val="205A498C"/>
    <w:rsid w:val="20861DF0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7B6CC7"/>
    <w:rsid w:val="279B1720"/>
    <w:rsid w:val="2835199E"/>
    <w:rsid w:val="28576F1B"/>
    <w:rsid w:val="29FB1316"/>
    <w:rsid w:val="2C051B0C"/>
    <w:rsid w:val="2CF57B8A"/>
    <w:rsid w:val="2D3018B7"/>
    <w:rsid w:val="2D360085"/>
    <w:rsid w:val="31FC1B67"/>
    <w:rsid w:val="32045BC7"/>
    <w:rsid w:val="338627A6"/>
    <w:rsid w:val="33C678EA"/>
    <w:rsid w:val="346D7B25"/>
    <w:rsid w:val="36564B84"/>
    <w:rsid w:val="36B81308"/>
    <w:rsid w:val="36CA2F0D"/>
    <w:rsid w:val="374C4969"/>
    <w:rsid w:val="384A7865"/>
    <w:rsid w:val="3B4045C6"/>
    <w:rsid w:val="3D6C3A0E"/>
    <w:rsid w:val="3DA967CE"/>
    <w:rsid w:val="3E5F280E"/>
    <w:rsid w:val="3F212C57"/>
    <w:rsid w:val="3FA32DD8"/>
    <w:rsid w:val="402A7F4B"/>
    <w:rsid w:val="40477ACE"/>
    <w:rsid w:val="417332B9"/>
    <w:rsid w:val="43A86AD7"/>
    <w:rsid w:val="44304D33"/>
    <w:rsid w:val="44CA18D8"/>
    <w:rsid w:val="4561427A"/>
    <w:rsid w:val="462F4DE1"/>
    <w:rsid w:val="490C3E22"/>
    <w:rsid w:val="4A170773"/>
    <w:rsid w:val="4B361BAC"/>
    <w:rsid w:val="4BEA0D82"/>
    <w:rsid w:val="4CCC50B7"/>
    <w:rsid w:val="4EBA68CD"/>
    <w:rsid w:val="4F3249CF"/>
    <w:rsid w:val="4F430181"/>
    <w:rsid w:val="4FDD3EFE"/>
    <w:rsid w:val="50217A30"/>
    <w:rsid w:val="5083623F"/>
    <w:rsid w:val="512220F5"/>
    <w:rsid w:val="51DC38D2"/>
    <w:rsid w:val="52C15E15"/>
    <w:rsid w:val="55AC5E34"/>
    <w:rsid w:val="55B515AA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BD660E8"/>
    <w:rsid w:val="6D126A8C"/>
    <w:rsid w:val="6D52184A"/>
    <w:rsid w:val="6D925039"/>
    <w:rsid w:val="6E1012D7"/>
    <w:rsid w:val="6E567335"/>
    <w:rsid w:val="6E59071B"/>
    <w:rsid w:val="710A120D"/>
    <w:rsid w:val="71AB2476"/>
    <w:rsid w:val="71E0144C"/>
    <w:rsid w:val="72654F8B"/>
    <w:rsid w:val="72A20070"/>
    <w:rsid w:val="72CF5F18"/>
    <w:rsid w:val="736077F4"/>
    <w:rsid w:val="73A705A5"/>
    <w:rsid w:val="76CE7859"/>
    <w:rsid w:val="783B09F0"/>
    <w:rsid w:val="788B7599"/>
    <w:rsid w:val="789323B5"/>
    <w:rsid w:val="79272687"/>
    <w:rsid w:val="79F92335"/>
    <w:rsid w:val="7A3676C2"/>
    <w:rsid w:val="7AA75AA1"/>
    <w:rsid w:val="7C0314A1"/>
    <w:rsid w:val="7C1D3972"/>
    <w:rsid w:val="7C861F1D"/>
    <w:rsid w:val="7C9008DF"/>
    <w:rsid w:val="7E2D5AD7"/>
    <w:rsid w:val="7E915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help-inline"/>
    <w:basedOn w:val="9"/>
    <w:qFormat/>
    <w:uiPriority w:val="0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丁丁猫</cp:lastModifiedBy>
  <cp:lastPrinted>2020-12-15T09:50:39Z</cp:lastPrinted>
  <dcterms:modified xsi:type="dcterms:W3CDTF">2020-12-15T09:58:09Z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