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0"/>
        </w:numPr>
        <w:rPr>
          <w:rFonts w:hint="eastAsia"/>
          <w:lang w:val="en-US" w:eastAsia="zh-CN"/>
        </w:rPr>
      </w:pPr>
      <w:r>
        <w:rPr>
          <w:rFonts w:hint="eastAsia"/>
          <w:lang w:val="en-US" w:eastAsia="zh-CN"/>
        </w:rPr>
        <w:t>1、</w:t>
      </w:r>
      <w:r>
        <w:rPr>
          <w:rFonts w:hint="eastAsia"/>
        </w:rPr>
        <w:t>项目名称</w:t>
      </w:r>
      <w:r>
        <w:rPr>
          <w:rFonts w:hint="eastAsia"/>
          <w:lang w:eastAsia="zh-CN"/>
        </w:rPr>
        <w:t>：铜仁学院科技大楼（致用楼）网络建设项目</w:t>
      </w:r>
    </w:p>
    <w:p>
      <w:pPr>
        <w:numPr>
          <w:ilvl w:val="0"/>
          <w:numId w:val="0"/>
        </w:numPr>
        <w:rPr>
          <w:rFonts w:hint="default"/>
          <w:lang w:val="en-US" w:eastAsia="zh-CN"/>
        </w:rPr>
      </w:pPr>
      <w:r>
        <w:rPr>
          <w:rFonts w:hint="eastAsia"/>
          <w:lang w:val="en-US" w:eastAsia="zh-CN"/>
        </w:rPr>
        <w:t>2、</w:t>
      </w:r>
      <w:r>
        <w:rPr>
          <w:rFonts w:hint="eastAsia"/>
        </w:rPr>
        <w:t>项目编号</w:t>
      </w:r>
      <w:r>
        <w:rPr>
          <w:rFonts w:hint="eastAsia"/>
          <w:lang w:eastAsia="zh-CN"/>
        </w:rPr>
        <w:t>： TRZFCG-2020-1</w:t>
      </w:r>
      <w:r>
        <w:rPr>
          <w:rFonts w:hint="eastAsia"/>
          <w:lang w:val="en-US" w:eastAsia="zh-CN"/>
        </w:rPr>
        <w:t>93</w:t>
      </w:r>
    </w:p>
    <w:p>
      <w:pPr>
        <w:numPr>
          <w:ilvl w:val="0"/>
          <w:numId w:val="0"/>
        </w:numPr>
        <w:rPr>
          <w:rFonts w:hint="default"/>
          <w:lang w:val="en-US"/>
        </w:rPr>
      </w:pPr>
      <w:r>
        <w:rPr>
          <w:rFonts w:hint="eastAsia"/>
          <w:lang w:val="en-US" w:eastAsia="zh-CN"/>
        </w:rPr>
        <w:t>3、</w:t>
      </w:r>
      <w:r>
        <w:rPr>
          <w:rFonts w:hint="eastAsia"/>
        </w:rPr>
        <w:t>项目序列号</w:t>
      </w:r>
      <w:r>
        <w:rPr>
          <w:rFonts w:hint="eastAsia"/>
          <w:lang w:eastAsia="zh-CN"/>
        </w:rPr>
        <w:t>：TRZFCG-2020-1</w:t>
      </w:r>
      <w:r>
        <w:rPr>
          <w:rFonts w:hint="eastAsia"/>
          <w:lang w:val="en-US" w:eastAsia="zh-CN"/>
        </w:rPr>
        <w:t>93</w:t>
      </w:r>
    </w:p>
    <w:p>
      <w:pPr>
        <w:numPr>
          <w:ilvl w:val="0"/>
          <w:numId w:val="0"/>
        </w:numPr>
        <w:rPr>
          <w:rFonts w:hint="eastAsia"/>
        </w:rPr>
      </w:pPr>
      <w:r>
        <w:rPr>
          <w:rFonts w:hint="eastAsia"/>
          <w:lang w:val="en-US" w:eastAsia="zh-CN"/>
        </w:rPr>
        <w:t>4、</w:t>
      </w:r>
      <w:r>
        <w:rPr>
          <w:rFonts w:hint="eastAsia"/>
        </w:rPr>
        <w:t>项目联系人</w:t>
      </w:r>
      <w:r>
        <w:rPr>
          <w:rFonts w:hint="eastAsia"/>
          <w:lang w:eastAsia="zh-CN"/>
        </w:rPr>
        <w:t>：杨惠茹</w:t>
      </w:r>
    </w:p>
    <w:p>
      <w:pPr>
        <w:numPr>
          <w:ilvl w:val="0"/>
          <w:numId w:val="0"/>
        </w:numPr>
        <w:rPr>
          <w:rFonts w:hint="eastAsia"/>
        </w:rPr>
      </w:pPr>
      <w:r>
        <w:rPr>
          <w:rFonts w:hint="eastAsia"/>
          <w:lang w:val="en-US" w:eastAsia="zh-CN"/>
        </w:rPr>
        <w:t>5、</w:t>
      </w:r>
      <w:r>
        <w:rPr>
          <w:rFonts w:hint="eastAsia"/>
        </w:rPr>
        <w:t>项目联系电话: 0856-</w:t>
      </w:r>
      <w:r>
        <w:rPr>
          <w:rFonts w:hint="eastAsia"/>
          <w:lang w:val="en-US" w:eastAsia="zh-CN"/>
        </w:rPr>
        <w:t>3912921</w:t>
      </w:r>
      <w:r>
        <w:rPr>
          <w:rFonts w:hint="eastAsia"/>
        </w:rPr>
        <w:t xml:space="preserve"> </w:t>
      </w:r>
    </w:p>
    <w:p>
      <w:pPr>
        <w:numPr>
          <w:ilvl w:val="0"/>
          <w:numId w:val="0"/>
        </w:numPr>
        <w:rPr>
          <w:rFonts w:hint="eastAsia"/>
        </w:rPr>
      </w:pPr>
      <w:r>
        <w:rPr>
          <w:rFonts w:hint="eastAsia"/>
          <w:lang w:val="en-US" w:eastAsia="zh-CN"/>
        </w:rPr>
        <w:t>6、</w:t>
      </w:r>
      <w:r>
        <w:rPr>
          <w:rFonts w:hint="eastAsia"/>
        </w:rPr>
        <w:t>项目用途、简要技术要求及合同履行日期:详见招标文件</w:t>
      </w:r>
    </w:p>
    <w:p>
      <w:pPr>
        <w:numPr>
          <w:ilvl w:val="0"/>
          <w:numId w:val="0"/>
        </w:numPr>
        <w:rPr>
          <w:rFonts w:hint="eastAsia"/>
          <w:lang w:eastAsia="zh-CN"/>
        </w:rPr>
      </w:pPr>
      <w:r>
        <w:rPr>
          <w:rFonts w:hint="eastAsia"/>
          <w:lang w:val="en-US" w:eastAsia="zh-CN"/>
        </w:rPr>
        <w:t>7、</w:t>
      </w:r>
      <w:r>
        <w:rPr>
          <w:rFonts w:hint="eastAsia"/>
        </w:rPr>
        <w:t>采购方式:</w:t>
      </w:r>
      <w:r>
        <w:rPr>
          <w:rFonts w:hint="eastAsia"/>
          <w:lang w:eastAsia="zh-CN"/>
        </w:rPr>
        <w:t>竞争性谈判</w:t>
      </w:r>
    </w:p>
    <w:p>
      <w:pPr>
        <w:numPr>
          <w:ilvl w:val="0"/>
          <w:numId w:val="0"/>
        </w:numPr>
        <w:rPr>
          <w:rFonts w:hint="eastAsia"/>
        </w:rPr>
      </w:pPr>
      <w:r>
        <w:rPr>
          <w:rFonts w:hint="eastAsia"/>
          <w:lang w:val="en-US" w:eastAsia="zh-CN"/>
        </w:rPr>
        <w:t>8、</w:t>
      </w:r>
      <w:r>
        <w:rPr>
          <w:rFonts w:hint="eastAsia"/>
        </w:rPr>
        <w:t>采购公告日期</w:t>
      </w:r>
      <w:r>
        <w:rPr>
          <w:rFonts w:hint="eastAsia"/>
          <w:lang w:eastAsia="zh-CN"/>
        </w:rPr>
        <w:t>：</w:t>
      </w:r>
      <w:r>
        <w:rPr>
          <w:rFonts w:hint="eastAsia"/>
          <w:lang w:val="en-US" w:eastAsia="zh-CN"/>
        </w:rPr>
        <w:t>2020年12月15日</w:t>
      </w:r>
    </w:p>
    <w:p>
      <w:pPr>
        <w:numPr>
          <w:ilvl w:val="0"/>
          <w:numId w:val="0"/>
        </w:numPr>
        <w:rPr>
          <w:rFonts w:hint="eastAsia"/>
        </w:rPr>
      </w:pPr>
      <w:r>
        <w:rPr>
          <w:rFonts w:hint="eastAsia"/>
          <w:lang w:val="en-US" w:eastAsia="zh-CN"/>
        </w:rPr>
        <w:t>9、</w:t>
      </w:r>
      <w:r>
        <w:rPr>
          <w:rFonts w:hint="eastAsia"/>
        </w:rPr>
        <w:t>公告媒体 </w:t>
      </w:r>
      <w:r>
        <w:rPr>
          <w:rFonts w:hint="eastAsia"/>
          <w:lang w:eastAsia="zh-CN"/>
        </w:rPr>
        <w:t>：贵州省政府采购网、铜仁市公共资源交易中心网站</w:t>
      </w:r>
    </w:p>
    <w:p>
      <w:pPr>
        <w:numPr>
          <w:ilvl w:val="0"/>
          <w:numId w:val="0"/>
        </w:numPr>
        <w:rPr>
          <w:rFonts w:hint="eastAsia"/>
        </w:rPr>
      </w:pPr>
      <w:r>
        <w:rPr>
          <w:rFonts w:hint="eastAsia"/>
          <w:lang w:val="en-US" w:eastAsia="zh-CN"/>
        </w:rPr>
        <w:t>10、</w:t>
      </w:r>
      <w:r>
        <w:rPr>
          <w:rFonts w:hint="eastAsia"/>
        </w:rPr>
        <w:t>评审时间: </w:t>
      </w:r>
      <w:r>
        <w:rPr>
          <w:rFonts w:hint="eastAsia"/>
          <w:lang w:val="en-US" w:eastAsia="zh-CN"/>
        </w:rPr>
        <w:t>2020年12月21日</w:t>
      </w:r>
    </w:p>
    <w:p>
      <w:pPr>
        <w:numPr>
          <w:ilvl w:val="0"/>
          <w:numId w:val="0"/>
        </w:numPr>
        <w:rPr>
          <w:rFonts w:hint="eastAsia"/>
          <w:lang w:eastAsia="zh-CN"/>
        </w:rPr>
      </w:pPr>
      <w:r>
        <w:rPr>
          <w:rFonts w:hint="eastAsia"/>
          <w:lang w:val="en-US" w:eastAsia="zh-CN"/>
        </w:rPr>
        <w:t>11、</w:t>
      </w:r>
      <w:r>
        <w:rPr>
          <w:rFonts w:hint="eastAsia"/>
        </w:rPr>
        <w:t>评审地点: </w:t>
      </w:r>
      <w:r>
        <w:rPr>
          <w:rFonts w:hint="eastAsia"/>
          <w:lang w:eastAsia="zh-CN"/>
        </w:rPr>
        <w:t>铜仁市公共资源交易中心</w:t>
      </w:r>
    </w:p>
    <w:p>
      <w:pPr>
        <w:numPr>
          <w:ilvl w:val="0"/>
          <w:numId w:val="0"/>
        </w:numPr>
        <w:rPr>
          <w:rFonts w:hint="eastAsia"/>
          <w:lang w:val="en-US" w:eastAsia="zh-CN"/>
        </w:rPr>
      </w:pPr>
      <w:r>
        <w:rPr>
          <w:rFonts w:hint="eastAsia"/>
          <w:lang w:val="en-US" w:eastAsia="zh-CN"/>
        </w:rPr>
        <w:t>12、</w:t>
      </w:r>
      <w:r>
        <w:rPr>
          <w:rFonts w:hint="eastAsia"/>
        </w:rPr>
        <w:t>评审委员会成员名单</w:t>
      </w:r>
      <w:r>
        <w:rPr>
          <w:rFonts w:hint="eastAsia"/>
          <w:lang w:eastAsia="zh-CN"/>
        </w:rPr>
        <w:t>：杨军胜,段永平,赵贵平</w:t>
      </w:r>
    </w:p>
    <w:p>
      <w:pPr>
        <w:numPr>
          <w:ilvl w:val="0"/>
          <w:numId w:val="0"/>
        </w:numPr>
        <w:rPr>
          <w:rFonts w:hint="eastAsia"/>
          <w:lang w:val="en-US" w:eastAsia="zh-CN"/>
        </w:rPr>
      </w:pPr>
      <w:r>
        <w:rPr>
          <w:rFonts w:hint="eastAsia"/>
          <w:lang w:val="en-US" w:eastAsia="zh-CN"/>
        </w:rPr>
        <w:t>13、</w:t>
      </w:r>
      <w:r>
        <w:rPr>
          <w:rFonts w:hint="eastAsia"/>
        </w:rPr>
        <w:t>定标日期: </w:t>
      </w:r>
      <w:r>
        <w:rPr>
          <w:rFonts w:hint="eastAsia"/>
          <w:lang w:val="en-US" w:eastAsia="zh-CN"/>
        </w:rPr>
        <w:t>2020年12月21日</w:t>
      </w:r>
    </w:p>
    <w:p>
      <w:pPr>
        <w:numPr>
          <w:ilvl w:val="0"/>
          <w:numId w:val="0"/>
        </w:numPr>
        <w:rPr>
          <w:rFonts w:hint="eastAsia"/>
        </w:rPr>
      </w:pPr>
      <w:r>
        <w:rPr>
          <w:rFonts w:hint="eastAsia"/>
          <w:lang w:val="en-US" w:eastAsia="zh-CN"/>
        </w:rPr>
        <w:t>14、</w:t>
      </w:r>
      <w:r>
        <w:rPr>
          <w:rFonts w:hint="eastAsia"/>
        </w:rPr>
        <w:t>中标（成交）信息:</w:t>
      </w:r>
    </w:p>
    <w:tbl>
      <w:tblPr>
        <w:tblStyle w:val="11"/>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7"/>
        <w:gridCol w:w="2581"/>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337" w:type="dxa"/>
            <w:vAlign w:val="top"/>
          </w:tcPr>
          <w:p>
            <w:pPr>
              <w:numPr>
                <w:ilvl w:val="0"/>
                <w:numId w:val="0"/>
              </w:numPr>
              <w:jc w:val="center"/>
              <w:rPr>
                <w:rFonts w:hint="eastAsia"/>
              </w:rPr>
            </w:pPr>
            <w:r>
              <w:rPr>
                <w:rFonts w:hint="eastAsia"/>
              </w:rPr>
              <w:t>序号</w:t>
            </w:r>
          </w:p>
        </w:tc>
        <w:tc>
          <w:tcPr>
            <w:tcW w:w="2581" w:type="dxa"/>
            <w:vAlign w:val="top"/>
          </w:tcPr>
          <w:p>
            <w:pPr>
              <w:numPr>
                <w:ilvl w:val="0"/>
                <w:numId w:val="0"/>
              </w:numPr>
              <w:jc w:val="center"/>
              <w:rPr>
                <w:rFonts w:hint="eastAsia"/>
              </w:rPr>
            </w:pPr>
            <w:r>
              <w:rPr>
                <w:rFonts w:hint="eastAsia"/>
              </w:rPr>
              <w:t>中标供应商</w:t>
            </w:r>
          </w:p>
        </w:tc>
        <w:tc>
          <w:tcPr>
            <w:tcW w:w="2389" w:type="dxa"/>
            <w:vAlign w:val="top"/>
          </w:tcPr>
          <w:p>
            <w:pPr>
              <w:numPr>
                <w:ilvl w:val="0"/>
                <w:numId w:val="0"/>
              </w:numPr>
              <w:jc w:val="center"/>
              <w:rPr>
                <w:rFonts w:hint="eastAsia"/>
              </w:rPr>
            </w:pPr>
            <w:r>
              <w:rPr>
                <w:rFonts w:hint="eastAsia"/>
              </w:rPr>
              <w:t>中标供应商地址</w:t>
            </w:r>
          </w:p>
        </w:tc>
        <w:tc>
          <w:tcPr>
            <w:tcW w:w="1827" w:type="dxa"/>
            <w:vAlign w:val="top"/>
          </w:tcPr>
          <w:p>
            <w:pPr>
              <w:numPr>
                <w:ilvl w:val="0"/>
                <w:numId w:val="0"/>
              </w:numPr>
              <w:jc w:val="center"/>
              <w:rPr>
                <w:rFonts w:hint="eastAsia"/>
              </w:rPr>
            </w:pPr>
            <w:r>
              <w:rPr>
                <w:rFonts w:hint="eastAsia"/>
              </w:rPr>
              <w:t>主要中标（成交）的详细内容</w:t>
            </w:r>
          </w:p>
        </w:tc>
        <w:tc>
          <w:tcPr>
            <w:tcW w:w="1686" w:type="dxa"/>
            <w:vAlign w:val="top"/>
          </w:tcPr>
          <w:p>
            <w:pPr>
              <w:numPr>
                <w:ilvl w:val="0"/>
                <w:numId w:val="0"/>
              </w:numPr>
              <w:jc w:val="cente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337" w:type="dxa"/>
            <w:vAlign w:val="center"/>
          </w:tcPr>
          <w:p>
            <w:pPr>
              <w:numPr>
                <w:ilvl w:val="0"/>
                <w:numId w:val="0"/>
              </w:numPr>
              <w:jc w:val="center"/>
              <w:rPr>
                <w:rFonts w:hint="eastAsia" w:eastAsia="宋体"/>
                <w:lang w:val="en-US" w:eastAsia="zh-CN"/>
              </w:rPr>
            </w:pPr>
            <w:r>
              <w:rPr>
                <w:rFonts w:hint="eastAsia"/>
                <w:lang w:val="en-US" w:eastAsia="zh-CN"/>
              </w:rPr>
              <w:t>1</w:t>
            </w:r>
          </w:p>
        </w:tc>
        <w:tc>
          <w:tcPr>
            <w:tcW w:w="2581" w:type="dxa"/>
            <w:vAlign w:val="center"/>
          </w:tcPr>
          <w:p>
            <w:pPr>
              <w:numPr>
                <w:ilvl w:val="0"/>
                <w:numId w:val="0"/>
              </w:numPr>
              <w:jc w:val="center"/>
              <w:rPr>
                <w:rFonts w:hint="eastAsia" w:eastAsia="宋体"/>
                <w:lang w:val="en-US" w:eastAsia="zh-CN"/>
              </w:rPr>
            </w:pPr>
            <w:r>
              <w:rPr>
                <w:rFonts w:hint="eastAsia" w:eastAsia="宋体"/>
                <w:lang w:val="en-US" w:eastAsia="zh-CN"/>
              </w:rPr>
              <w:t>北京东方捷通科技发展有限公司</w:t>
            </w:r>
          </w:p>
        </w:tc>
        <w:tc>
          <w:tcPr>
            <w:tcW w:w="2389" w:type="dxa"/>
            <w:vAlign w:val="center"/>
          </w:tcPr>
          <w:p>
            <w:pPr>
              <w:numPr>
                <w:ilvl w:val="0"/>
                <w:numId w:val="0"/>
              </w:numPr>
              <w:jc w:val="center"/>
              <w:rPr>
                <w:rFonts w:hint="default" w:eastAsia="宋体"/>
                <w:lang w:val="en-US" w:eastAsia="zh-CN"/>
              </w:rPr>
            </w:pPr>
            <w:r>
              <w:rPr>
                <w:rFonts w:hint="eastAsia"/>
                <w:lang w:val="en-US" w:eastAsia="zh-CN"/>
              </w:rPr>
              <w:t>北京市门头沟区石龙经济开发区永安路20号3幢B1-2083室</w:t>
            </w:r>
          </w:p>
        </w:tc>
        <w:tc>
          <w:tcPr>
            <w:tcW w:w="1827" w:type="dxa"/>
            <w:vAlign w:val="center"/>
          </w:tcPr>
          <w:p>
            <w:pPr>
              <w:numPr>
                <w:ilvl w:val="0"/>
                <w:numId w:val="0"/>
              </w:numPr>
              <w:jc w:val="center"/>
              <w:rPr>
                <w:rFonts w:hint="default" w:eastAsia="宋体" w:cs="Times New Roman"/>
                <w:lang w:val="en-US" w:eastAsia="zh-CN"/>
              </w:rPr>
            </w:pPr>
            <w:bookmarkStart w:id="0" w:name="_GoBack"/>
            <w:bookmarkEnd w:id="0"/>
            <w:r>
              <w:rPr>
                <w:rFonts w:hint="default" w:eastAsia="宋体" w:cs="Times New Roman"/>
                <w:lang w:val="en-US" w:eastAsia="zh-CN"/>
              </w:rPr>
              <w:t>网络建设</w:t>
            </w:r>
          </w:p>
        </w:tc>
        <w:tc>
          <w:tcPr>
            <w:tcW w:w="1686" w:type="dxa"/>
            <w:vAlign w:val="center"/>
          </w:tcPr>
          <w:p>
            <w:pPr>
              <w:numPr>
                <w:ilvl w:val="0"/>
                <w:numId w:val="0"/>
              </w:numPr>
              <w:jc w:val="center"/>
              <w:rPr>
                <w:rFonts w:hint="default"/>
                <w:lang w:val="en-US" w:eastAsia="zh-CN"/>
              </w:rPr>
            </w:pPr>
            <w:r>
              <w:rPr>
                <w:rFonts w:hint="eastAsia"/>
                <w:lang w:val="en-US" w:eastAsia="zh-CN"/>
              </w:rPr>
              <w:t>451800.00</w:t>
            </w:r>
          </w:p>
        </w:tc>
      </w:tr>
    </w:tbl>
    <w:p>
      <w:pPr>
        <w:numPr>
          <w:ilvl w:val="0"/>
          <w:numId w:val="0"/>
        </w:numPr>
        <w:rPr>
          <w:rFonts w:hint="eastAsia"/>
          <w:sz w:val="21"/>
          <w:szCs w:val="21"/>
        </w:rPr>
      </w:pPr>
      <w:r>
        <w:rPr>
          <w:rFonts w:hint="eastAsia"/>
          <w:sz w:val="21"/>
          <w:szCs w:val="21"/>
          <w:lang w:val="en-US" w:eastAsia="zh-CN"/>
        </w:rPr>
        <w:t>15、</w:t>
      </w:r>
      <w:r>
        <w:rPr>
          <w:rFonts w:hint="eastAsia"/>
          <w:sz w:val="21"/>
          <w:szCs w:val="21"/>
        </w:rPr>
        <w:t>采购人名称:铜仁学院</w:t>
      </w:r>
    </w:p>
    <w:p>
      <w:pPr>
        <w:numPr>
          <w:ilvl w:val="0"/>
          <w:numId w:val="0"/>
        </w:numPr>
        <w:ind w:firstLine="420"/>
        <w:rPr>
          <w:rFonts w:hint="eastAsia"/>
          <w:sz w:val="21"/>
          <w:szCs w:val="21"/>
        </w:rPr>
      </w:pPr>
      <w:r>
        <w:rPr>
          <w:rFonts w:hint="eastAsia"/>
          <w:sz w:val="21"/>
          <w:szCs w:val="21"/>
        </w:rPr>
        <w:t>联系地址:铜仁学院</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曾</w:t>
      </w:r>
      <w:r>
        <w:rPr>
          <w:rFonts w:hint="eastAsia"/>
          <w:sz w:val="21"/>
          <w:szCs w:val="21"/>
        </w:rPr>
        <w:t>老师</w:t>
      </w:r>
    </w:p>
    <w:p>
      <w:pPr>
        <w:numPr>
          <w:ilvl w:val="0"/>
          <w:numId w:val="0"/>
        </w:numPr>
        <w:ind w:firstLine="420"/>
        <w:rPr>
          <w:rFonts w:hint="eastAsia"/>
          <w:sz w:val="21"/>
          <w:szCs w:val="21"/>
          <w:lang w:val="en-US" w:eastAsia="zh-CN"/>
        </w:rPr>
      </w:pPr>
      <w:r>
        <w:rPr>
          <w:rFonts w:hint="eastAsia"/>
          <w:sz w:val="21"/>
          <w:szCs w:val="21"/>
        </w:rPr>
        <w:t>联系电话:0856-5230998</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杨惠茹</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0856-3912921</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11"/>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北京东方捷通科技发展有限公司  </w:t>
            </w:r>
            <w:r>
              <w:rPr>
                <w:rFonts w:hint="eastAsia"/>
                <w:lang w:eastAsia="zh-CN"/>
              </w:rPr>
              <w:t>为拟成交供应商。</w:t>
            </w:r>
          </w:p>
          <w:p>
            <w:pPr>
              <w:numPr>
                <w:ilvl w:val="0"/>
                <w:numId w:val="0"/>
              </w:numPr>
              <w:rPr>
                <w:rFonts w:hint="eastAsia"/>
              </w:rPr>
            </w:pPr>
          </w:p>
        </w:tc>
      </w:tr>
    </w:tbl>
    <w:p>
      <w:pPr>
        <w:numPr>
          <w:ilvl w:val="0"/>
          <w:numId w:val="0"/>
        </w:numPr>
        <w:jc w:val="right"/>
        <w:rPr>
          <w:rFonts w:hint="eastAsia"/>
          <w:lang w:val="en-US" w:eastAsia="zh-CN"/>
        </w:rPr>
      </w:pPr>
      <w:r>
        <w:rPr>
          <w:rFonts w:hint="eastAsia"/>
          <w:lang w:val="en-US" w:eastAsia="zh-CN"/>
        </w:rPr>
        <w:t xml:space="preserve">   </w:t>
      </w:r>
    </w:p>
    <w:p>
      <w:pPr>
        <w:numPr>
          <w:ilvl w:val="0"/>
          <w:numId w:val="0"/>
        </w:numPr>
        <w:jc w:val="right"/>
        <w:rPr>
          <w:rFonts w:hint="eastAsia"/>
          <w:lang w:val="en-US" w:eastAsia="zh-CN"/>
        </w:rPr>
      </w:pP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53772FD"/>
    <w:rsid w:val="069432DC"/>
    <w:rsid w:val="06962F0B"/>
    <w:rsid w:val="07733C3D"/>
    <w:rsid w:val="07991AEB"/>
    <w:rsid w:val="08291B68"/>
    <w:rsid w:val="0851720B"/>
    <w:rsid w:val="086A60AB"/>
    <w:rsid w:val="089E36D8"/>
    <w:rsid w:val="092A4BD8"/>
    <w:rsid w:val="0A496B03"/>
    <w:rsid w:val="0A5F5467"/>
    <w:rsid w:val="0A75044F"/>
    <w:rsid w:val="0A9F063D"/>
    <w:rsid w:val="0AC14DAA"/>
    <w:rsid w:val="0BF93360"/>
    <w:rsid w:val="0CE312FE"/>
    <w:rsid w:val="0E046D3B"/>
    <w:rsid w:val="0E8D6543"/>
    <w:rsid w:val="0F660E64"/>
    <w:rsid w:val="11D702E6"/>
    <w:rsid w:val="11EC76CE"/>
    <w:rsid w:val="11EE6A3A"/>
    <w:rsid w:val="12933485"/>
    <w:rsid w:val="13C5294A"/>
    <w:rsid w:val="14691EA0"/>
    <w:rsid w:val="1473234A"/>
    <w:rsid w:val="153A4497"/>
    <w:rsid w:val="15A83C9B"/>
    <w:rsid w:val="15FF7EAD"/>
    <w:rsid w:val="16032C35"/>
    <w:rsid w:val="16245444"/>
    <w:rsid w:val="166E62D4"/>
    <w:rsid w:val="169B4091"/>
    <w:rsid w:val="16CB2AEE"/>
    <w:rsid w:val="17977B0B"/>
    <w:rsid w:val="17A80348"/>
    <w:rsid w:val="18206AAD"/>
    <w:rsid w:val="196E10D6"/>
    <w:rsid w:val="19754DFF"/>
    <w:rsid w:val="197A170C"/>
    <w:rsid w:val="19B126EA"/>
    <w:rsid w:val="1AE516E0"/>
    <w:rsid w:val="1B71575D"/>
    <w:rsid w:val="1B806692"/>
    <w:rsid w:val="1CB84FA4"/>
    <w:rsid w:val="1CE32679"/>
    <w:rsid w:val="1D08187C"/>
    <w:rsid w:val="1D47439E"/>
    <w:rsid w:val="1D4B04E3"/>
    <w:rsid w:val="1DE56B98"/>
    <w:rsid w:val="1DF34E13"/>
    <w:rsid w:val="1F7114FB"/>
    <w:rsid w:val="208C3241"/>
    <w:rsid w:val="21672CD8"/>
    <w:rsid w:val="220D5599"/>
    <w:rsid w:val="229226AC"/>
    <w:rsid w:val="22AC3869"/>
    <w:rsid w:val="23C116FA"/>
    <w:rsid w:val="245705AB"/>
    <w:rsid w:val="24AE6659"/>
    <w:rsid w:val="25452EC9"/>
    <w:rsid w:val="263372A2"/>
    <w:rsid w:val="269E4077"/>
    <w:rsid w:val="26D83B7C"/>
    <w:rsid w:val="27543A2E"/>
    <w:rsid w:val="275E03B9"/>
    <w:rsid w:val="279B1720"/>
    <w:rsid w:val="2835199E"/>
    <w:rsid w:val="28576F1B"/>
    <w:rsid w:val="28710825"/>
    <w:rsid w:val="2902408D"/>
    <w:rsid w:val="29FB1316"/>
    <w:rsid w:val="2B5C6367"/>
    <w:rsid w:val="2B846A45"/>
    <w:rsid w:val="2CF57B8A"/>
    <w:rsid w:val="2D3018B7"/>
    <w:rsid w:val="2D360085"/>
    <w:rsid w:val="2E9A6290"/>
    <w:rsid w:val="3058156F"/>
    <w:rsid w:val="310F2512"/>
    <w:rsid w:val="316A63BD"/>
    <w:rsid w:val="32B847D5"/>
    <w:rsid w:val="333F2D21"/>
    <w:rsid w:val="335D246F"/>
    <w:rsid w:val="34592268"/>
    <w:rsid w:val="36CA2F0D"/>
    <w:rsid w:val="374C4969"/>
    <w:rsid w:val="392F1A96"/>
    <w:rsid w:val="39A61DDE"/>
    <w:rsid w:val="39BE7447"/>
    <w:rsid w:val="3B3E282D"/>
    <w:rsid w:val="3B4045C6"/>
    <w:rsid w:val="3B4833D4"/>
    <w:rsid w:val="3C0954C5"/>
    <w:rsid w:val="3CBA2CBF"/>
    <w:rsid w:val="3D6C3A0E"/>
    <w:rsid w:val="3DA967CE"/>
    <w:rsid w:val="3DBA6A19"/>
    <w:rsid w:val="3E40101C"/>
    <w:rsid w:val="3E5F280E"/>
    <w:rsid w:val="3F212C57"/>
    <w:rsid w:val="3F9B2942"/>
    <w:rsid w:val="402A7F4B"/>
    <w:rsid w:val="40633216"/>
    <w:rsid w:val="40640E45"/>
    <w:rsid w:val="417332B9"/>
    <w:rsid w:val="42EC5D39"/>
    <w:rsid w:val="43A86AD7"/>
    <w:rsid w:val="441B56A8"/>
    <w:rsid w:val="44A32A7C"/>
    <w:rsid w:val="452653E2"/>
    <w:rsid w:val="45626558"/>
    <w:rsid w:val="462F4DE1"/>
    <w:rsid w:val="469A0D00"/>
    <w:rsid w:val="46E73CA1"/>
    <w:rsid w:val="47624F22"/>
    <w:rsid w:val="488D1CCB"/>
    <w:rsid w:val="49F93F8B"/>
    <w:rsid w:val="4A170773"/>
    <w:rsid w:val="4B0B45FD"/>
    <w:rsid w:val="4B361BAC"/>
    <w:rsid w:val="4BEA0D82"/>
    <w:rsid w:val="4CCC50B7"/>
    <w:rsid w:val="4D1240C0"/>
    <w:rsid w:val="4D174CC1"/>
    <w:rsid w:val="4D1E2E9F"/>
    <w:rsid w:val="4E28279D"/>
    <w:rsid w:val="4EBA68CD"/>
    <w:rsid w:val="4EDF088E"/>
    <w:rsid w:val="4F430181"/>
    <w:rsid w:val="4FDD3EFE"/>
    <w:rsid w:val="50217A30"/>
    <w:rsid w:val="5083623F"/>
    <w:rsid w:val="512220F5"/>
    <w:rsid w:val="51776C00"/>
    <w:rsid w:val="51DC38D2"/>
    <w:rsid w:val="52796A43"/>
    <w:rsid w:val="527F0AE6"/>
    <w:rsid w:val="52C15E15"/>
    <w:rsid w:val="53FC4271"/>
    <w:rsid w:val="54BE66F7"/>
    <w:rsid w:val="550C2ADB"/>
    <w:rsid w:val="55D458BF"/>
    <w:rsid w:val="566038F8"/>
    <w:rsid w:val="56C43AA2"/>
    <w:rsid w:val="572F06A0"/>
    <w:rsid w:val="591D138B"/>
    <w:rsid w:val="597A0962"/>
    <w:rsid w:val="59EF77AB"/>
    <w:rsid w:val="5A4C4D62"/>
    <w:rsid w:val="5A82516F"/>
    <w:rsid w:val="5B23666E"/>
    <w:rsid w:val="5B380549"/>
    <w:rsid w:val="5C770418"/>
    <w:rsid w:val="5DBF5016"/>
    <w:rsid w:val="5E201D8E"/>
    <w:rsid w:val="5EB0330B"/>
    <w:rsid w:val="5F3D2286"/>
    <w:rsid w:val="5FB038B9"/>
    <w:rsid w:val="5FD9450E"/>
    <w:rsid w:val="60E1450F"/>
    <w:rsid w:val="61157615"/>
    <w:rsid w:val="61B416AD"/>
    <w:rsid w:val="61FF4104"/>
    <w:rsid w:val="62627818"/>
    <w:rsid w:val="63236B4E"/>
    <w:rsid w:val="63AE38D1"/>
    <w:rsid w:val="63D6127C"/>
    <w:rsid w:val="64AA3FFD"/>
    <w:rsid w:val="65364694"/>
    <w:rsid w:val="65B9296B"/>
    <w:rsid w:val="67CE4B37"/>
    <w:rsid w:val="67F014ED"/>
    <w:rsid w:val="68BD54E2"/>
    <w:rsid w:val="69645C10"/>
    <w:rsid w:val="6A322C2F"/>
    <w:rsid w:val="6A436FDB"/>
    <w:rsid w:val="6A980C3A"/>
    <w:rsid w:val="6AAC3881"/>
    <w:rsid w:val="6AC90858"/>
    <w:rsid w:val="6B29046C"/>
    <w:rsid w:val="6D126A8C"/>
    <w:rsid w:val="6D6012C4"/>
    <w:rsid w:val="6D925039"/>
    <w:rsid w:val="6D984B5A"/>
    <w:rsid w:val="6E567335"/>
    <w:rsid w:val="6F2515FC"/>
    <w:rsid w:val="6F8E6B44"/>
    <w:rsid w:val="70394A29"/>
    <w:rsid w:val="70795370"/>
    <w:rsid w:val="710A120D"/>
    <w:rsid w:val="71287EF9"/>
    <w:rsid w:val="71492189"/>
    <w:rsid w:val="7231629D"/>
    <w:rsid w:val="72CF5F18"/>
    <w:rsid w:val="73A705A5"/>
    <w:rsid w:val="740C6ECF"/>
    <w:rsid w:val="76192F7E"/>
    <w:rsid w:val="76675397"/>
    <w:rsid w:val="76CE7859"/>
    <w:rsid w:val="76D22001"/>
    <w:rsid w:val="770779D4"/>
    <w:rsid w:val="783B09F0"/>
    <w:rsid w:val="788B7599"/>
    <w:rsid w:val="789323B5"/>
    <w:rsid w:val="78E81348"/>
    <w:rsid w:val="7923348D"/>
    <w:rsid w:val="795054AD"/>
    <w:rsid w:val="7AA75AA1"/>
    <w:rsid w:val="7B430D3A"/>
    <w:rsid w:val="7BAD1451"/>
    <w:rsid w:val="7BC66DB5"/>
    <w:rsid w:val="7C1D3972"/>
    <w:rsid w:val="7C861F1D"/>
    <w:rsid w:val="7D323133"/>
    <w:rsid w:val="7D577EB7"/>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4">
    <w:name w:val="Body Text"/>
    <w:basedOn w:val="1"/>
    <w:next w:val="5"/>
    <w:qFormat/>
    <w:uiPriority w:val="0"/>
    <w:pPr>
      <w:spacing w:after="120" w:afterLines="0"/>
    </w:pPr>
    <w:rPr>
      <w:rFonts w:ascii="Tahoma" w:hAnsi="Tahoma"/>
      <w:szCs w:val="20"/>
    </w:rPr>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Plain Text"/>
    <w:basedOn w:val="1"/>
    <w:qFormat/>
    <w:uiPriority w:val="0"/>
    <w:rPr>
      <w:rFonts w:ascii="宋体" w:hAnsi="Courier New"/>
      <w:szCs w:val="21"/>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0"/>
    <w:rPr>
      <w:color w:val="333333"/>
      <w:u w:val="none"/>
    </w:rPr>
  </w:style>
  <w:style w:type="character" w:styleId="15">
    <w:name w:val="Emphasis"/>
    <w:basedOn w:val="12"/>
    <w:qFormat/>
    <w:uiPriority w:val="20"/>
  </w:style>
  <w:style w:type="character" w:styleId="16">
    <w:name w:val="HTML Definition"/>
    <w:basedOn w:val="12"/>
    <w:semiHidden/>
    <w:unhideWhenUsed/>
    <w:qFormat/>
    <w:uiPriority w:val="0"/>
  </w:style>
  <w:style w:type="character" w:styleId="17">
    <w:name w:val="HTML Acronym"/>
    <w:basedOn w:val="12"/>
    <w:semiHidden/>
    <w:unhideWhenUsed/>
    <w:qFormat/>
    <w:uiPriority w:val="0"/>
  </w:style>
  <w:style w:type="character" w:styleId="18">
    <w:name w:val="HTML Variable"/>
    <w:basedOn w:val="12"/>
    <w:semiHidden/>
    <w:unhideWhenUsed/>
    <w:qFormat/>
    <w:uiPriority w:val="0"/>
  </w:style>
  <w:style w:type="character" w:styleId="19">
    <w:name w:val="Hyperlink"/>
    <w:basedOn w:val="12"/>
    <w:unhideWhenUsed/>
    <w:qFormat/>
    <w:uiPriority w:val="99"/>
    <w:rPr>
      <w:color w:val="0000FF"/>
      <w:u w:val="single"/>
    </w:rPr>
  </w:style>
  <w:style w:type="character" w:styleId="20">
    <w:name w:val="HTML Code"/>
    <w:basedOn w:val="12"/>
    <w:semiHidden/>
    <w:unhideWhenUsed/>
    <w:qFormat/>
    <w:uiPriority w:val="0"/>
    <w:rPr>
      <w:rFonts w:hint="default" w:ascii="Consolas" w:hAnsi="Consolas" w:eastAsia="Consolas" w:cs="Consolas"/>
      <w:color w:val="C7254E"/>
      <w:sz w:val="21"/>
      <w:szCs w:val="21"/>
      <w:shd w:val="clear" w:fill="F9F2F4"/>
    </w:rPr>
  </w:style>
  <w:style w:type="character" w:styleId="21">
    <w:name w:val="HTML Cite"/>
    <w:basedOn w:val="12"/>
    <w:semiHidden/>
    <w:unhideWhenUsed/>
    <w:qFormat/>
    <w:uiPriority w:val="0"/>
  </w:style>
  <w:style w:type="character" w:styleId="22">
    <w:name w:val="HTML Keyboard"/>
    <w:basedOn w:val="12"/>
    <w:semiHidden/>
    <w:unhideWhenUsed/>
    <w:qFormat/>
    <w:uiPriority w:val="0"/>
    <w:rPr>
      <w:rFonts w:ascii="Consolas" w:hAnsi="Consolas" w:eastAsia="Consolas" w:cs="Consolas"/>
      <w:color w:val="FFFFFF"/>
      <w:sz w:val="21"/>
      <w:szCs w:val="21"/>
      <w:shd w:val="clear" w:fill="333333"/>
    </w:rPr>
  </w:style>
  <w:style w:type="character" w:styleId="23">
    <w:name w:val="HTML Sample"/>
    <w:basedOn w:val="12"/>
    <w:semiHidden/>
    <w:unhideWhenUsed/>
    <w:qFormat/>
    <w:uiPriority w:val="0"/>
    <w:rPr>
      <w:rFonts w:hint="default" w:ascii="Consolas" w:hAnsi="Consolas" w:eastAsia="Consolas" w:cs="Consolas"/>
      <w:sz w:val="21"/>
      <w:szCs w:val="21"/>
    </w:rPr>
  </w:style>
  <w:style w:type="character" w:customStyle="1" w:styleId="24">
    <w:name w:val="apple-converted-space"/>
    <w:basedOn w:val="12"/>
    <w:qFormat/>
    <w:uiPriority w:val="0"/>
  </w:style>
  <w:style w:type="character" w:customStyle="1" w:styleId="25">
    <w:name w:val="help-inline"/>
    <w:basedOn w:val="12"/>
    <w:qFormat/>
    <w:uiPriority w:val="0"/>
  </w:style>
  <w:style w:type="character" w:customStyle="1" w:styleId="26">
    <w:name w:val="页眉 Char"/>
    <w:basedOn w:val="12"/>
    <w:link w:val="8"/>
    <w:semiHidden/>
    <w:qFormat/>
    <w:uiPriority w:val="99"/>
    <w:rPr>
      <w:sz w:val="18"/>
      <w:szCs w:val="18"/>
    </w:rPr>
  </w:style>
  <w:style w:type="character" w:customStyle="1" w:styleId="27">
    <w:name w:val="页脚 Char"/>
    <w:basedOn w:val="12"/>
    <w:link w:val="7"/>
    <w:semiHidden/>
    <w:qFormat/>
    <w:uiPriority w:val="99"/>
    <w:rPr>
      <w:sz w:val="18"/>
      <w:szCs w:val="18"/>
    </w:rPr>
  </w:style>
  <w:style w:type="paragraph" w:customStyle="1" w:styleId="28">
    <w:name w:val="_Style 14"/>
    <w:basedOn w:val="1"/>
    <w:next w:val="1"/>
    <w:qFormat/>
    <w:uiPriority w:val="0"/>
    <w:pPr>
      <w:pBdr>
        <w:bottom w:val="single" w:color="auto" w:sz="6" w:space="1"/>
      </w:pBdr>
      <w:jc w:val="center"/>
    </w:pPr>
    <w:rPr>
      <w:rFonts w:ascii="Arial" w:eastAsia="宋体"/>
      <w:vanish/>
      <w:sz w:val="16"/>
    </w:rPr>
  </w:style>
  <w:style w:type="paragraph" w:customStyle="1" w:styleId="29">
    <w:name w:val="_Style 15"/>
    <w:basedOn w:val="1"/>
    <w:next w:val="1"/>
    <w:qFormat/>
    <w:uiPriority w:val="0"/>
    <w:pPr>
      <w:pBdr>
        <w:top w:val="single" w:color="auto" w:sz="6" w:space="1"/>
      </w:pBdr>
      <w:jc w:val="center"/>
    </w:pPr>
    <w:rPr>
      <w:rFonts w:ascii="Arial" w:eastAsia="宋体"/>
      <w:vanish/>
      <w:sz w:val="16"/>
    </w:rPr>
  </w:style>
  <w:style w:type="character" w:customStyle="1" w:styleId="30">
    <w:name w:val="hover5"/>
    <w:basedOn w:val="12"/>
    <w:qFormat/>
    <w:uiPriority w:val="0"/>
    <w:rPr>
      <w:color w:val="0063BA"/>
    </w:rPr>
  </w:style>
  <w:style w:type="character" w:customStyle="1" w:styleId="31">
    <w:name w:val="before"/>
    <w:basedOn w:val="12"/>
    <w:qFormat/>
    <w:uiPriority w:val="0"/>
    <w:rPr>
      <w:shd w:val="clear" w:fill="E22323"/>
    </w:rPr>
  </w:style>
  <w:style w:type="character" w:customStyle="1" w:styleId="32">
    <w:name w:val="hover4"/>
    <w:basedOn w:val="12"/>
    <w:qFormat/>
    <w:uiPriority w:val="0"/>
    <w:rPr>
      <w:color w:val="0063B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2020-11-23T07:20:00Z</cp:lastPrinted>
  <dcterms:modified xsi:type="dcterms:W3CDTF">2020-12-21T06:06:01Z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