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工程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：铜仁市妇幼保健院住院楼和康复楼外挂电梯安装（含电梯井、钢结构、土建等部分）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173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项目序列号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173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：杨玄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项目联系电话: 0856-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3912922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公开招标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采购公告日期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2020年11月20日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公告媒体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评审时间: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2020年12月10日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评审地点: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评审委员会成员名单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：杜先国，杨端，毛捷，王达勇，姚力生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定标日期: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2020年12月10日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贵州铜仁康达电梯有限公司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贵州省铜仁市碧江区文笔路132号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外挂电梯安装（含电梯井、钢结构、土建等部分）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1383300.00</w:t>
            </w: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铜仁市妇幼保健院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铜仁市妇幼保健院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王科长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="宋体" w:hAnsi="宋体" w:cs="宋体"/>
          <w:color w:val="auto"/>
          <w:sz w:val="24"/>
          <w:shd w:val="clear" w:color="auto" w:fill="FFFFFF"/>
          <w:lang w:val="en-US" w:eastAsia="zh-CN"/>
        </w:rPr>
        <w:t>18608568973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采购代理机构全称: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杨玄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17、采购文件上传（PDF格式）：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据本项目招标文件规定，评标委员会推荐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贵州铜仁康达电梯有限公司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为本项目中标候选供应商。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BA61F77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930C9E"/>
    <w:rsid w:val="72CF5F18"/>
    <w:rsid w:val="73A705A5"/>
    <w:rsid w:val="75F21332"/>
    <w:rsid w:val="76192F7E"/>
    <w:rsid w:val="76CE7859"/>
    <w:rsid w:val="76D22001"/>
    <w:rsid w:val="76F54F1F"/>
    <w:rsid w:val="770779D4"/>
    <w:rsid w:val="77993013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2020-12-10T03:55:28Z</cp:lastPrinted>
  <dcterms:modified xsi:type="dcterms:W3CDTF">2020-12-10T03:55:39Z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