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ind w:firstLine="240" w:firstLineChars="100"/>
        <w:jc w:val="left"/>
        <w:rPr>
          <w:rFonts w:hint="eastAsia" w:ascii="宋体" w:hAnsi="宋体" w:eastAsia="宋体" w:cs="宋体"/>
          <w:b/>
          <w:bCs/>
          <w:color w:val="000000"/>
          <w:kern w:val="0"/>
          <w:sz w:val="28"/>
          <w:szCs w:val="28"/>
          <w:u w:val="single"/>
          <w:lang w:val="en-US" w:eastAsia="zh-CN"/>
        </w:rPr>
      </w:pPr>
      <w:bookmarkStart w:id="0" w:name="_GoBack"/>
      <w:bookmarkEnd w:id="0"/>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工程</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：铜仁市碧江区中等职业学校咨询室装修项目工程</w:t>
      </w:r>
    </w:p>
    <w:p>
      <w:pPr>
        <w:numPr>
          <w:ilvl w:val="0"/>
          <w:numId w:val="1"/>
        </w:numPr>
        <w:rPr>
          <w:rFonts w:hint="eastAsia"/>
          <w:lang w:val="en-US" w:eastAsia="zh-CN"/>
        </w:rPr>
      </w:pPr>
      <w:r>
        <w:rPr>
          <w:rFonts w:hint="eastAsia"/>
        </w:rPr>
        <w:t>项目编号</w:t>
      </w:r>
      <w:r>
        <w:rPr>
          <w:rFonts w:hint="eastAsia"/>
          <w:lang w:eastAsia="zh-CN"/>
        </w:rPr>
        <w:t>： TRZFCG-2020-098</w:t>
      </w:r>
    </w:p>
    <w:p>
      <w:pPr>
        <w:numPr>
          <w:ilvl w:val="0"/>
          <w:numId w:val="1"/>
        </w:numPr>
        <w:rPr>
          <w:rFonts w:hint="eastAsia"/>
        </w:rPr>
      </w:pPr>
      <w:r>
        <w:rPr>
          <w:rFonts w:hint="eastAsia"/>
        </w:rPr>
        <w:t>项目序列号</w:t>
      </w:r>
      <w:r>
        <w:rPr>
          <w:rFonts w:hint="eastAsia"/>
          <w:lang w:eastAsia="zh-CN"/>
        </w:rPr>
        <w:t>： TRZFCG-2020-098</w:t>
      </w:r>
    </w:p>
    <w:p>
      <w:pPr>
        <w:numPr>
          <w:ilvl w:val="0"/>
          <w:numId w:val="1"/>
        </w:numPr>
        <w:rPr>
          <w:rFonts w:hint="eastAsia"/>
        </w:rPr>
      </w:pPr>
      <w:r>
        <w:rPr>
          <w:rFonts w:hint="eastAsia"/>
        </w:rPr>
        <w:t>项目联系人</w:t>
      </w:r>
      <w:r>
        <w:rPr>
          <w:rFonts w:hint="eastAsia"/>
          <w:lang w:eastAsia="zh-CN"/>
        </w:rPr>
        <w:t>：龙娅芝</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2020年12月16日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2020年12月22日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：曹杨，赵中华，黄少松</w:t>
      </w:r>
    </w:p>
    <w:p>
      <w:pPr>
        <w:numPr>
          <w:ilvl w:val="0"/>
          <w:numId w:val="1"/>
        </w:numPr>
        <w:rPr>
          <w:rFonts w:hint="eastAsia"/>
          <w:lang w:val="en-US" w:eastAsia="zh-CN"/>
        </w:rPr>
      </w:pPr>
      <w:r>
        <w:rPr>
          <w:rFonts w:hint="eastAsia"/>
        </w:rPr>
        <w:t>定标日期: </w:t>
      </w:r>
      <w:r>
        <w:rPr>
          <w:rFonts w:hint="eastAsia"/>
          <w:lang w:val="en-US" w:eastAsia="zh-CN"/>
        </w:rPr>
        <w:t>2020年12月22日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贵州众合聚鑫建设工程有限公司</w:t>
            </w:r>
          </w:p>
        </w:tc>
        <w:tc>
          <w:tcPr>
            <w:tcW w:w="2389" w:type="dxa"/>
            <w:vAlign w:val="center"/>
          </w:tcPr>
          <w:p>
            <w:pPr>
              <w:numPr>
                <w:ilvl w:val="0"/>
                <w:numId w:val="0"/>
              </w:numPr>
              <w:jc w:val="both"/>
              <w:rPr>
                <w:rFonts w:hint="default" w:eastAsia="宋体"/>
                <w:lang w:val="en-US" w:eastAsia="zh-CN"/>
              </w:rPr>
            </w:pPr>
            <w:r>
              <w:rPr>
                <w:rFonts w:hint="eastAsia"/>
                <w:lang w:val="en-US" w:eastAsia="zh-CN"/>
              </w:rPr>
              <w:t>贵州省贵安新区大学城双创园A栋</w:t>
            </w:r>
          </w:p>
        </w:tc>
        <w:tc>
          <w:tcPr>
            <w:tcW w:w="1827" w:type="dxa"/>
            <w:vAlign w:val="center"/>
          </w:tcPr>
          <w:p>
            <w:pPr>
              <w:numPr>
                <w:ilvl w:val="0"/>
                <w:numId w:val="0"/>
              </w:numPr>
              <w:jc w:val="both"/>
              <w:rPr>
                <w:rFonts w:hint="default" w:eastAsia="宋体"/>
                <w:lang w:val="en-US" w:eastAsia="zh-CN"/>
              </w:rPr>
            </w:pPr>
            <w:r>
              <w:rPr>
                <w:rFonts w:hint="eastAsia"/>
                <w:lang w:eastAsia="zh-CN"/>
              </w:rPr>
              <w:t>铜仁市碧江区中等职业学校咨询室装修项目工程</w:t>
            </w:r>
          </w:p>
        </w:tc>
        <w:tc>
          <w:tcPr>
            <w:tcW w:w="1686" w:type="dxa"/>
            <w:vAlign w:val="center"/>
          </w:tcPr>
          <w:p>
            <w:pPr>
              <w:numPr>
                <w:ilvl w:val="0"/>
                <w:numId w:val="0"/>
              </w:numPr>
              <w:jc w:val="both"/>
              <w:rPr>
                <w:rFonts w:hint="default"/>
                <w:lang w:val="en-US" w:eastAsia="zh-CN"/>
              </w:rPr>
            </w:pPr>
            <w:r>
              <w:rPr>
                <w:rFonts w:hint="eastAsia"/>
                <w:lang w:val="en-US" w:eastAsia="zh-CN"/>
              </w:rPr>
              <w:t>360000.00</w:t>
            </w:r>
          </w:p>
        </w:tc>
      </w:tr>
    </w:tbl>
    <w:p>
      <w:pPr>
        <w:numPr>
          <w:ilvl w:val="0"/>
          <w:numId w:val="1"/>
        </w:numPr>
        <w:rPr>
          <w:rFonts w:hint="eastAsia"/>
        </w:rPr>
      </w:pPr>
      <w:r>
        <w:rPr>
          <w:rFonts w:hint="eastAsia"/>
        </w:rPr>
        <w:t>采购人名称:</w:t>
      </w:r>
      <w:r>
        <w:rPr>
          <w:rFonts w:hint="eastAsia"/>
          <w:lang w:eastAsia="zh-CN"/>
        </w:rPr>
        <w:t>铜仁市碧江区中等职业学校</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lang w:eastAsia="zh-CN"/>
        </w:rPr>
        <w:t>铜仁市碧江区中等职业学校</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瞿老师</w:t>
      </w:r>
    </w:p>
    <w:p>
      <w:pPr>
        <w:numPr>
          <w:ilvl w:val="0"/>
          <w:numId w:val="0"/>
        </w:numPr>
        <w:ind w:firstLine="420" w:firstLineChars="200"/>
        <w:rPr>
          <w:rFonts w:hint="default" w:eastAsia="宋体"/>
          <w:sz w:val="21"/>
          <w:szCs w:val="21"/>
          <w:lang w:val="en-US" w:eastAsia="zh-CN"/>
        </w:rPr>
      </w:pPr>
      <w:r>
        <w:rPr>
          <w:rFonts w:hint="eastAsia"/>
          <w:sz w:val="21"/>
          <w:szCs w:val="21"/>
        </w:rPr>
        <w:t>联系电话:</w:t>
      </w:r>
      <w:r>
        <w:rPr>
          <w:rFonts w:hint="eastAsia"/>
          <w:sz w:val="21"/>
          <w:szCs w:val="21"/>
          <w:lang w:val="en-US" w:eastAsia="zh-CN"/>
        </w:rPr>
        <w:t>15185852335</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龙娅芝</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贵州众合聚鑫建设工程有限公司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7D7BA4"/>
    <w:rsid w:val="029D1BFA"/>
    <w:rsid w:val="02A87992"/>
    <w:rsid w:val="04614D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2D772383"/>
    <w:rsid w:val="316A63BD"/>
    <w:rsid w:val="32B847D5"/>
    <w:rsid w:val="330B27ED"/>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533BD9"/>
    <w:rsid w:val="73A705A5"/>
    <w:rsid w:val="75041211"/>
    <w:rsid w:val="76192F7E"/>
    <w:rsid w:val="76680709"/>
    <w:rsid w:val="76CE7859"/>
    <w:rsid w:val="76D22001"/>
    <w:rsid w:val="770779D4"/>
    <w:rsid w:val="772F7A48"/>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25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MyGirl</cp:lastModifiedBy>
  <cp:lastPrinted>2020-12-22T04:00:37Z</cp:lastPrinted>
  <dcterms:modified xsi:type="dcterms:W3CDTF">2020-12-22T04:26:30Z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