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：铜仁市万山区2020年第一批公务用车政府采购项目</w:t>
      </w:r>
    </w:p>
    <w:p>
      <w:pPr>
        <w:numPr>
          <w:ilvl w:val="0"/>
          <w:numId w:val="1"/>
        </w:numPr>
        <w:rPr>
          <w:rFonts w:hint="eastAsia"/>
          <w:lang w:val="en-US" w:eastAsia="zh-CN"/>
        </w:rPr>
      </w:pPr>
      <w:r>
        <w:rPr>
          <w:rFonts w:hint="eastAsia"/>
        </w:rPr>
        <w:t>项目编号</w:t>
      </w:r>
      <w:r>
        <w:rPr>
          <w:rFonts w:hint="eastAsia"/>
          <w:lang w:eastAsia="zh-CN"/>
        </w:rPr>
        <w:t>： TRZFCG-2020-15</w:t>
      </w:r>
      <w:r>
        <w:rPr>
          <w:rFonts w:hint="eastAsia"/>
          <w:lang w:val="en-US" w:eastAsia="zh-CN"/>
        </w:rPr>
        <w:t>6</w:t>
      </w:r>
    </w:p>
    <w:p>
      <w:pPr>
        <w:numPr>
          <w:ilvl w:val="0"/>
          <w:numId w:val="1"/>
        </w:numPr>
        <w:rPr>
          <w:rFonts w:hint="eastAsia"/>
        </w:rPr>
      </w:pPr>
      <w:r>
        <w:rPr>
          <w:rFonts w:hint="eastAsia"/>
        </w:rPr>
        <w:t>项目序列号</w:t>
      </w:r>
      <w:r>
        <w:rPr>
          <w:rFonts w:hint="eastAsia"/>
          <w:lang w:eastAsia="zh-CN"/>
        </w:rPr>
        <w:t>：TRZFCG-2020-1</w:t>
      </w:r>
      <w:r>
        <w:rPr>
          <w:rFonts w:hint="eastAsia"/>
          <w:lang w:val="en-US" w:eastAsia="zh-CN"/>
        </w:rPr>
        <w:t>56</w:t>
      </w:r>
    </w:p>
    <w:p>
      <w:pPr>
        <w:numPr>
          <w:ilvl w:val="0"/>
          <w:numId w:val="1"/>
        </w:numPr>
        <w:rPr>
          <w:rFonts w:hint="eastAsia"/>
        </w:rPr>
      </w:pPr>
      <w:r>
        <w:rPr>
          <w:rFonts w:hint="eastAsia"/>
        </w:rPr>
        <w:t>项目联系人</w:t>
      </w:r>
      <w:r>
        <w:rPr>
          <w:rFonts w:hint="eastAsia"/>
          <w:lang w:eastAsia="zh-CN"/>
        </w:rPr>
        <w:t>：杨惠茹</w:t>
      </w:r>
    </w:p>
    <w:p>
      <w:pPr>
        <w:numPr>
          <w:ilvl w:val="0"/>
          <w:numId w:val="1"/>
        </w:numPr>
        <w:rPr>
          <w:rFonts w:hint="eastAsia"/>
        </w:rPr>
      </w:pPr>
      <w:r>
        <w:rPr>
          <w:rFonts w:hint="eastAsia"/>
        </w:rPr>
        <w:t>项目联系电话: 0856-</w:t>
      </w:r>
      <w:r>
        <w:rPr>
          <w:rFonts w:hint="eastAsia"/>
          <w:lang w:val="en-US" w:eastAsia="zh-CN"/>
        </w:rPr>
        <w:t>3912921</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公开招标</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2020年10月21日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2020年11月10日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：任明君，黄丽，秦文喜，邹孔桃，张东虞</w:t>
      </w:r>
    </w:p>
    <w:p>
      <w:pPr>
        <w:numPr>
          <w:ilvl w:val="0"/>
          <w:numId w:val="1"/>
        </w:numPr>
        <w:rPr>
          <w:rFonts w:hint="eastAsia"/>
          <w:lang w:val="en-US" w:eastAsia="zh-CN"/>
        </w:rPr>
      </w:pPr>
      <w:r>
        <w:rPr>
          <w:rFonts w:hint="eastAsia"/>
        </w:rPr>
        <w:t>定标日期: </w:t>
      </w:r>
      <w:r>
        <w:rPr>
          <w:rFonts w:hint="eastAsia"/>
          <w:lang w:val="en-US" w:eastAsia="zh-CN"/>
        </w:rPr>
        <w:t>2020年11月10日</w:t>
      </w:r>
    </w:p>
    <w:p>
      <w:pPr>
        <w:numPr>
          <w:ilvl w:val="0"/>
          <w:numId w:val="1"/>
        </w:numPr>
        <w:rPr>
          <w:rFonts w:hint="eastAsia"/>
        </w:rPr>
      </w:pPr>
      <w:r>
        <w:rPr>
          <w:rFonts w:hint="eastAsia"/>
        </w:rPr>
        <w:t>中标（成交）信息:</w:t>
      </w:r>
    </w:p>
    <w:tbl>
      <w:tblPr>
        <w:tblStyle w:val="11"/>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jc w:val="center"/>
              <w:rPr>
                <w:rFonts w:hint="eastAsia"/>
              </w:rPr>
            </w:pPr>
            <w:r>
              <w:rPr>
                <w:rFonts w:hint="eastAsia"/>
              </w:rPr>
              <w:t>序号</w:t>
            </w:r>
          </w:p>
        </w:tc>
        <w:tc>
          <w:tcPr>
            <w:tcW w:w="2380" w:type="dxa"/>
            <w:vAlign w:val="top"/>
          </w:tcPr>
          <w:p>
            <w:pPr>
              <w:numPr>
                <w:ilvl w:val="0"/>
                <w:numId w:val="0"/>
              </w:numPr>
              <w:jc w:val="center"/>
              <w:rPr>
                <w:rFonts w:hint="eastAsia"/>
              </w:rPr>
            </w:pPr>
            <w:r>
              <w:rPr>
                <w:rFonts w:hint="eastAsia"/>
              </w:rPr>
              <w:t>中标供应商</w:t>
            </w:r>
          </w:p>
        </w:tc>
        <w:tc>
          <w:tcPr>
            <w:tcW w:w="2389" w:type="dxa"/>
            <w:vAlign w:val="top"/>
          </w:tcPr>
          <w:p>
            <w:pPr>
              <w:numPr>
                <w:ilvl w:val="0"/>
                <w:numId w:val="0"/>
              </w:numPr>
              <w:jc w:val="center"/>
              <w:rPr>
                <w:rFonts w:hint="eastAsia"/>
              </w:rPr>
            </w:pPr>
            <w:r>
              <w:rPr>
                <w:rFonts w:hint="eastAsia"/>
              </w:rPr>
              <w:t>中标供应商地址</w:t>
            </w:r>
          </w:p>
        </w:tc>
        <w:tc>
          <w:tcPr>
            <w:tcW w:w="1827" w:type="dxa"/>
            <w:vAlign w:val="top"/>
          </w:tcPr>
          <w:p>
            <w:pPr>
              <w:numPr>
                <w:ilvl w:val="0"/>
                <w:numId w:val="0"/>
              </w:numPr>
              <w:jc w:val="center"/>
              <w:rPr>
                <w:rFonts w:hint="eastAsia"/>
              </w:rPr>
            </w:pPr>
            <w:r>
              <w:rPr>
                <w:rFonts w:hint="eastAsia"/>
              </w:rPr>
              <w:t>主要中标（成交）的详细内容</w:t>
            </w:r>
          </w:p>
        </w:tc>
        <w:tc>
          <w:tcPr>
            <w:tcW w:w="1686" w:type="dxa"/>
            <w:vAlign w:val="top"/>
          </w:tcPr>
          <w:p>
            <w:pPr>
              <w:numPr>
                <w:ilvl w:val="0"/>
                <w:numId w:val="0"/>
              </w:numPr>
              <w:jc w:val="cente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jc w:val="center"/>
              <w:rPr>
                <w:rFonts w:hint="eastAsia" w:eastAsia="宋体"/>
                <w:lang w:val="en-US" w:eastAsia="zh-CN"/>
              </w:rPr>
            </w:pPr>
            <w:r>
              <w:rPr>
                <w:rFonts w:hint="eastAsia"/>
                <w:lang w:val="en-US" w:eastAsia="zh-CN"/>
              </w:rPr>
              <w:t>1</w:t>
            </w:r>
          </w:p>
        </w:tc>
        <w:tc>
          <w:tcPr>
            <w:tcW w:w="2380" w:type="dxa"/>
            <w:vAlign w:val="center"/>
          </w:tcPr>
          <w:p>
            <w:pPr>
              <w:numPr>
                <w:ilvl w:val="0"/>
                <w:numId w:val="0"/>
              </w:numPr>
              <w:jc w:val="center"/>
              <w:rPr>
                <w:rFonts w:hint="eastAsia" w:eastAsia="宋体"/>
                <w:lang w:val="en-US" w:eastAsia="zh-CN"/>
              </w:rPr>
            </w:pPr>
            <w:r>
              <w:rPr>
                <w:rFonts w:hint="eastAsia" w:eastAsia="宋体"/>
                <w:lang w:val="en-US" w:eastAsia="zh-CN"/>
              </w:rPr>
              <w:t xml:space="preserve">湖北华鑫专用汽车销售有限公司 </w:t>
            </w:r>
          </w:p>
        </w:tc>
        <w:tc>
          <w:tcPr>
            <w:tcW w:w="2389" w:type="dxa"/>
            <w:vAlign w:val="center"/>
          </w:tcPr>
          <w:p>
            <w:pPr>
              <w:numPr>
                <w:ilvl w:val="0"/>
                <w:numId w:val="0"/>
              </w:numPr>
              <w:jc w:val="center"/>
              <w:rPr>
                <w:rFonts w:hint="default" w:eastAsia="宋体"/>
                <w:lang w:val="en-US" w:eastAsia="zh-CN"/>
              </w:rPr>
            </w:pPr>
            <w:r>
              <w:rPr>
                <w:rFonts w:hint="eastAsia"/>
                <w:lang w:val="en-US" w:eastAsia="zh-CN"/>
              </w:rPr>
              <w:t>随州市高新区金泰国际1-1-113号</w:t>
            </w:r>
          </w:p>
        </w:tc>
        <w:tc>
          <w:tcPr>
            <w:tcW w:w="1827" w:type="dxa"/>
            <w:vAlign w:val="center"/>
          </w:tcPr>
          <w:p>
            <w:pPr>
              <w:pStyle w:val="9"/>
              <w:ind w:left="0" w:leftChars="0" w:firstLine="0" w:firstLineChars="0"/>
              <w:jc w:val="center"/>
              <w:rPr>
                <w:rFonts w:hint="default"/>
                <w:lang w:val="en-US" w:eastAsia="zh-CN"/>
              </w:rPr>
            </w:pPr>
            <w:r>
              <w:rPr>
                <w:rFonts w:hint="eastAsia" w:ascii="Calibri" w:hAnsi="Calibri" w:eastAsia="宋体" w:cs="Times New Roman"/>
                <w:kern w:val="2"/>
                <w:sz w:val="21"/>
                <w:szCs w:val="22"/>
                <w:lang w:val="en-US" w:eastAsia="zh-CN" w:bidi="ar-SA"/>
              </w:rPr>
              <w:t>1包（数量：3辆，型号：HYS5031TYHS6,虹宇牌，产地随州）</w:t>
            </w:r>
          </w:p>
        </w:tc>
        <w:tc>
          <w:tcPr>
            <w:tcW w:w="1686" w:type="dxa"/>
            <w:vAlign w:val="center"/>
          </w:tcPr>
          <w:p>
            <w:pPr>
              <w:numPr>
                <w:ilvl w:val="0"/>
                <w:numId w:val="0"/>
              </w:numPr>
              <w:jc w:val="center"/>
              <w:rPr>
                <w:rFonts w:hint="default"/>
                <w:lang w:val="en-US" w:eastAsia="zh-CN"/>
              </w:rPr>
            </w:pPr>
            <w:r>
              <w:rPr>
                <w:rFonts w:hint="eastAsia"/>
                <w:lang w:val="en-US" w:eastAsia="zh-CN"/>
              </w:rPr>
              <w:t>300000.0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jc w:val="center"/>
              <w:rPr>
                <w:rFonts w:hint="default"/>
                <w:lang w:val="en-US" w:eastAsia="zh-CN"/>
              </w:rPr>
            </w:pPr>
            <w:r>
              <w:rPr>
                <w:rFonts w:hint="eastAsia"/>
                <w:lang w:val="en-US" w:eastAsia="zh-CN"/>
              </w:rPr>
              <w:t>2</w:t>
            </w:r>
          </w:p>
        </w:tc>
        <w:tc>
          <w:tcPr>
            <w:tcW w:w="2380" w:type="dxa"/>
            <w:vAlign w:val="center"/>
          </w:tcPr>
          <w:p>
            <w:pPr>
              <w:numPr>
                <w:ilvl w:val="0"/>
                <w:numId w:val="0"/>
              </w:numPr>
              <w:jc w:val="center"/>
              <w:rPr>
                <w:rFonts w:hint="eastAsia" w:eastAsia="宋体"/>
                <w:lang w:val="en-US" w:eastAsia="zh-CN"/>
              </w:rPr>
            </w:pPr>
            <w:r>
              <w:rPr>
                <w:rFonts w:hint="eastAsia" w:eastAsia="宋体"/>
                <w:lang w:val="en-US" w:eastAsia="zh-CN"/>
              </w:rPr>
              <w:t>湖北华鑫专用汽车销售有限公司</w:t>
            </w:r>
          </w:p>
        </w:tc>
        <w:tc>
          <w:tcPr>
            <w:tcW w:w="2389" w:type="dxa"/>
            <w:vAlign w:val="center"/>
          </w:tcPr>
          <w:p>
            <w:pPr>
              <w:numPr>
                <w:ilvl w:val="0"/>
                <w:numId w:val="0"/>
              </w:numPr>
              <w:jc w:val="center"/>
              <w:rPr>
                <w:rFonts w:hint="eastAsia"/>
                <w:lang w:val="en-US" w:eastAsia="zh-CN"/>
              </w:rPr>
            </w:pPr>
            <w:r>
              <w:rPr>
                <w:rFonts w:hint="eastAsia"/>
                <w:lang w:val="en-US" w:eastAsia="zh-CN"/>
              </w:rPr>
              <w:t>随州市高新区金泰国际1-1-113号</w:t>
            </w:r>
          </w:p>
        </w:tc>
        <w:tc>
          <w:tcPr>
            <w:tcW w:w="1827" w:type="dxa"/>
            <w:vAlign w:val="center"/>
          </w:tcPr>
          <w:p>
            <w:pPr>
              <w:pStyle w:val="9"/>
              <w:ind w:left="0" w:leftChars="0" w:firstLine="0" w:firstLineChars="0"/>
              <w:jc w:val="center"/>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2包（数量：2辆，型号：HYS5070TSLE6，虹宇牌，产地随州）</w:t>
            </w:r>
          </w:p>
        </w:tc>
        <w:tc>
          <w:tcPr>
            <w:tcW w:w="1686" w:type="dxa"/>
            <w:vAlign w:val="center"/>
          </w:tcPr>
          <w:p>
            <w:pPr>
              <w:numPr>
                <w:ilvl w:val="0"/>
                <w:numId w:val="0"/>
              </w:numPr>
              <w:jc w:val="center"/>
              <w:rPr>
                <w:rFonts w:hint="default"/>
                <w:lang w:val="en-US" w:eastAsia="zh-CN"/>
              </w:rPr>
            </w:pPr>
            <w:r>
              <w:rPr>
                <w:rFonts w:hint="eastAsia"/>
                <w:lang w:val="en-US" w:eastAsia="zh-CN"/>
              </w:rPr>
              <w:t>366000.0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jc w:val="center"/>
              <w:rPr>
                <w:rFonts w:hint="default"/>
                <w:lang w:val="en-US" w:eastAsia="zh-CN"/>
              </w:rPr>
            </w:pPr>
            <w:r>
              <w:rPr>
                <w:rFonts w:hint="eastAsia"/>
                <w:lang w:val="en-US" w:eastAsia="zh-CN"/>
              </w:rPr>
              <w:t>3</w:t>
            </w:r>
          </w:p>
        </w:tc>
        <w:tc>
          <w:tcPr>
            <w:tcW w:w="2380" w:type="dxa"/>
            <w:vAlign w:val="center"/>
          </w:tcPr>
          <w:p>
            <w:pPr>
              <w:numPr>
                <w:ilvl w:val="0"/>
                <w:numId w:val="0"/>
              </w:numPr>
              <w:jc w:val="center"/>
              <w:rPr>
                <w:rFonts w:hint="eastAsia" w:eastAsia="宋体"/>
                <w:lang w:val="en-US" w:eastAsia="zh-CN"/>
              </w:rPr>
            </w:pPr>
            <w:r>
              <w:rPr>
                <w:rFonts w:hint="eastAsia" w:eastAsia="宋体"/>
                <w:lang w:val="en-US" w:eastAsia="zh-CN"/>
              </w:rPr>
              <w:t>湖北华鑫专用汽车销售有限公司</w:t>
            </w:r>
          </w:p>
        </w:tc>
        <w:tc>
          <w:tcPr>
            <w:tcW w:w="2389" w:type="dxa"/>
            <w:vAlign w:val="center"/>
          </w:tcPr>
          <w:p>
            <w:pPr>
              <w:numPr>
                <w:ilvl w:val="0"/>
                <w:numId w:val="0"/>
              </w:numPr>
              <w:jc w:val="center"/>
              <w:rPr>
                <w:rFonts w:hint="eastAsia"/>
                <w:lang w:val="en-US" w:eastAsia="zh-CN"/>
              </w:rPr>
            </w:pPr>
            <w:r>
              <w:rPr>
                <w:rFonts w:hint="eastAsia"/>
                <w:lang w:val="en-US" w:eastAsia="zh-CN"/>
              </w:rPr>
              <w:t>随州市高新区金泰国际1-1-113号</w:t>
            </w:r>
          </w:p>
        </w:tc>
        <w:tc>
          <w:tcPr>
            <w:tcW w:w="1827" w:type="dxa"/>
            <w:vAlign w:val="center"/>
          </w:tcPr>
          <w:p>
            <w:pPr>
              <w:pStyle w:val="9"/>
              <w:ind w:left="0" w:leftChars="0" w:firstLine="0" w:firstLineChars="0"/>
              <w:jc w:val="center"/>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3包（数量：2辆，型号：HYS5180GPSE6,虹宇牌，产地随州）</w:t>
            </w:r>
          </w:p>
        </w:tc>
        <w:tc>
          <w:tcPr>
            <w:tcW w:w="1686" w:type="dxa"/>
            <w:vAlign w:val="center"/>
          </w:tcPr>
          <w:p>
            <w:pPr>
              <w:numPr>
                <w:ilvl w:val="0"/>
                <w:numId w:val="0"/>
              </w:numPr>
              <w:jc w:val="center"/>
              <w:rPr>
                <w:rFonts w:hint="default"/>
                <w:lang w:val="en-US" w:eastAsia="zh-CN"/>
              </w:rPr>
            </w:pPr>
            <w:r>
              <w:rPr>
                <w:rFonts w:hint="eastAsia"/>
                <w:lang w:val="en-US" w:eastAsia="zh-CN"/>
              </w:rPr>
              <w:t>400000.0</w:t>
            </w:r>
          </w:p>
        </w:tc>
      </w:tr>
    </w:tbl>
    <w:p>
      <w:pPr>
        <w:numPr>
          <w:ilvl w:val="0"/>
          <w:numId w:val="0"/>
        </w:numPr>
        <w:ind w:firstLine="210" w:firstLineChars="100"/>
        <w:rPr>
          <w:rFonts w:hint="eastAsia"/>
          <w:sz w:val="21"/>
          <w:szCs w:val="21"/>
        </w:rPr>
      </w:pPr>
      <w:r>
        <w:rPr>
          <w:rFonts w:hint="eastAsia"/>
          <w:sz w:val="21"/>
          <w:szCs w:val="21"/>
        </w:rPr>
        <w:t>采购人名称:铜仁市万山区机关事务中心</w:t>
      </w:r>
    </w:p>
    <w:p>
      <w:pPr>
        <w:numPr>
          <w:ilvl w:val="0"/>
          <w:numId w:val="0"/>
        </w:numPr>
        <w:ind w:firstLine="420"/>
        <w:rPr>
          <w:rFonts w:hint="eastAsia"/>
          <w:sz w:val="21"/>
          <w:szCs w:val="21"/>
        </w:rPr>
      </w:pPr>
      <w:r>
        <w:rPr>
          <w:rFonts w:hint="eastAsia"/>
          <w:sz w:val="21"/>
          <w:szCs w:val="21"/>
        </w:rPr>
        <w:t>联系地址:铜仁市万山区机关事务中心</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冷先生</w:t>
      </w:r>
    </w:p>
    <w:p>
      <w:pPr>
        <w:numPr>
          <w:ilvl w:val="0"/>
          <w:numId w:val="0"/>
        </w:numPr>
        <w:ind w:firstLine="420"/>
        <w:rPr>
          <w:rFonts w:hint="eastAsia"/>
          <w:sz w:val="21"/>
          <w:szCs w:val="21"/>
          <w:lang w:val="en-US" w:eastAsia="zh-CN"/>
        </w:rPr>
      </w:pPr>
      <w:r>
        <w:rPr>
          <w:rFonts w:hint="eastAsia"/>
          <w:sz w:val="21"/>
          <w:szCs w:val="21"/>
        </w:rPr>
        <w:t>联系电话:13017006671</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杨惠茹</w:t>
      </w:r>
    </w:p>
    <w:p>
      <w:pPr>
        <w:numPr>
          <w:ilvl w:val="0"/>
          <w:numId w:val="0"/>
        </w:numPr>
        <w:ind w:firstLine="420"/>
        <w:rPr>
          <w:rFonts w:hint="default"/>
          <w:sz w:val="21"/>
          <w:szCs w:val="21"/>
          <w:lang w:val="en-US"/>
        </w:rPr>
      </w:pPr>
      <w:r>
        <w:rPr>
          <w:rFonts w:hint="eastAsia"/>
          <w:sz w:val="21"/>
          <w:szCs w:val="21"/>
        </w:rPr>
        <w:t>联系电话:</w:t>
      </w:r>
      <w:r>
        <w:rPr>
          <w:rFonts w:hint="eastAsia"/>
          <w:sz w:val="21"/>
          <w:szCs w:val="21"/>
          <w:lang w:val="en-US" w:eastAsia="zh-CN"/>
        </w:rPr>
        <w:t>0856-3912921</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11"/>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lang w:val="en-US" w:eastAsia="zh-CN"/>
              </w:rPr>
              <w:t>1包路面养护车</w:t>
            </w:r>
            <w:r>
              <w:rPr>
                <w:rFonts w:hint="eastAsia"/>
                <w:u w:val="single"/>
                <w:lang w:val="en-US" w:eastAsia="zh-CN"/>
              </w:rPr>
              <w:t xml:space="preserve"> 湖北华鑫专用汽车销售有限公司  </w:t>
            </w:r>
            <w:r>
              <w:rPr>
                <w:rFonts w:hint="eastAsia"/>
                <w:lang w:eastAsia="zh-CN"/>
              </w:rPr>
              <w:t>为拟成交供应商，</w:t>
            </w:r>
            <w:r>
              <w:rPr>
                <w:rFonts w:hint="eastAsia"/>
                <w:lang w:val="en-US" w:eastAsia="zh-CN"/>
              </w:rPr>
              <w:t>2包扫路车</w:t>
            </w:r>
            <w:r>
              <w:rPr>
                <w:rFonts w:hint="eastAsia"/>
                <w:u w:val="single"/>
                <w:lang w:val="en-US" w:eastAsia="zh-CN"/>
              </w:rPr>
              <w:t xml:space="preserve"> 湖北华鑫专用汽车销售有限公司  </w:t>
            </w:r>
            <w:r>
              <w:rPr>
                <w:rFonts w:hint="eastAsia"/>
                <w:lang w:eastAsia="zh-CN"/>
              </w:rPr>
              <w:t>为拟成交供应商，</w:t>
            </w:r>
            <w:r>
              <w:rPr>
                <w:rFonts w:hint="eastAsia"/>
                <w:lang w:val="en-US" w:eastAsia="zh-CN"/>
              </w:rPr>
              <w:t>3包洒水车</w:t>
            </w:r>
            <w:r>
              <w:rPr>
                <w:rFonts w:hint="eastAsia"/>
                <w:u w:val="single"/>
                <w:lang w:val="en-US" w:eastAsia="zh-CN"/>
              </w:rPr>
              <w:t xml:space="preserve"> 湖北华鑫专用汽车销售有限公司  </w:t>
            </w:r>
            <w:r>
              <w:rPr>
                <w:rFonts w:hint="eastAsia"/>
                <w:lang w:eastAsia="zh-CN"/>
              </w:rPr>
              <w:t>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jc w:val="center"/>
        <w:rPr>
          <w:rFonts w:hint="eastAsia"/>
          <w:lang w:val="en-US" w:eastAsia="zh-CN"/>
        </w:rPr>
      </w:pPr>
      <w:r>
        <w:rPr>
          <w:rFonts w:hint="eastAsia"/>
          <w:lang w:val="en-US" w:eastAsia="zh-CN"/>
        </w:rPr>
        <w:t xml:space="preserve">                                 </w:t>
      </w:r>
      <w:bookmarkStart w:id="0" w:name="_GoBack"/>
      <w:bookmarkEnd w:id="0"/>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7733C3D"/>
    <w:rsid w:val="0851720B"/>
    <w:rsid w:val="092A4BD8"/>
    <w:rsid w:val="0A5F5467"/>
    <w:rsid w:val="0A75044F"/>
    <w:rsid w:val="0A9F063D"/>
    <w:rsid w:val="0AC14DAA"/>
    <w:rsid w:val="0CE312FE"/>
    <w:rsid w:val="0E046D3B"/>
    <w:rsid w:val="0E8D6543"/>
    <w:rsid w:val="0F660E64"/>
    <w:rsid w:val="11D702E6"/>
    <w:rsid w:val="11EC76CE"/>
    <w:rsid w:val="12933485"/>
    <w:rsid w:val="13C5294A"/>
    <w:rsid w:val="14691EA0"/>
    <w:rsid w:val="1473234A"/>
    <w:rsid w:val="153A4497"/>
    <w:rsid w:val="15A83C9B"/>
    <w:rsid w:val="15FF7EAD"/>
    <w:rsid w:val="16032C35"/>
    <w:rsid w:val="16245444"/>
    <w:rsid w:val="166E62D4"/>
    <w:rsid w:val="169B4091"/>
    <w:rsid w:val="17977B0B"/>
    <w:rsid w:val="18206AAD"/>
    <w:rsid w:val="196E10D6"/>
    <w:rsid w:val="19754DFF"/>
    <w:rsid w:val="197A170C"/>
    <w:rsid w:val="19B126EA"/>
    <w:rsid w:val="1AE516E0"/>
    <w:rsid w:val="1B71575D"/>
    <w:rsid w:val="1B806692"/>
    <w:rsid w:val="1CB84FA4"/>
    <w:rsid w:val="1CE32679"/>
    <w:rsid w:val="1D08187C"/>
    <w:rsid w:val="1D4B04E3"/>
    <w:rsid w:val="1DE56B98"/>
    <w:rsid w:val="1DF34E13"/>
    <w:rsid w:val="1F7114FB"/>
    <w:rsid w:val="208C3241"/>
    <w:rsid w:val="21672CD8"/>
    <w:rsid w:val="220D5599"/>
    <w:rsid w:val="229226AC"/>
    <w:rsid w:val="22AC3869"/>
    <w:rsid w:val="23C116FA"/>
    <w:rsid w:val="245705AB"/>
    <w:rsid w:val="24AE6659"/>
    <w:rsid w:val="25452EC9"/>
    <w:rsid w:val="263372A2"/>
    <w:rsid w:val="269E4077"/>
    <w:rsid w:val="26D83B7C"/>
    <w:rsid w:val="27543A2E"/>
    <w:rsid w:val="275E03B9"/>
    <w:rsid w:val="279B1720"/>
    <w:rsid w:val="2835199E"/>
    <w:rsid w:val="28576F1B"/>
    <w:rsid w:val="2902408D"/>
    <w:rsid w:val="29FB1316"/>
    <w:rsid w:val="2B5C6367"/>
    <w:rsid w:val="2B846A45"/>
    <w:rsid w:val="2CF57B8A"/>
    <w:rsid w:val="2D3018B7"/>
    <w:rsid w:val="2D360085"/>
    <w:rsid w:val="316A63BD"/>
    <w:rsid w:val="32B847D5"/>
    <w:rsid w:val="333F2D21"/>
    <w:rsid w:val="34592268"/>
    <w:rsid w:val="36CA2F0D"/>
    <w:rsid w:val="374C4969"/>
    <w:rsid w:val="392F1A96"/>
    <w:rsid w:val="39A61DDE"/>
    <w:rsid w:val="39BE7447"/>
    <w:rsid w:val="3B4045C6"/>
    <w:rsid w:val="3B4833D4"/>
    <w:rsid w:val="3C0954C5"/>
    <w:rsid w:val="3CBA2CBF"/>
    <w:rsid w:val="3D6C3A0E"/>
    <w:rsid w:val="3DA967CE"/>
    <w:rsid w:val="3DBA6A19"/>
    <w:rsid w:val="3E5F280E"/>
    <w:rsid w:val="3F212C57"/>
    <w:rsid w:val="402A7F4B"/>
    <w:rsid w:val="40633216"/>
    <w:rsid w:val="417332B9"/>
    <w:rsid w:val="42EC5D39"/>
    <w:rsid w:val="43A86AD7"/>
    <w:rsid w:val="441B56A8"/>
    <w:rsid w:val="44A32A7C"/>
    <w:rsid w:val="45626558"/>
    <w:rsid w:val="462F4DE1"/>
    <w:rsid w:val="469A0D00"/>
    <w:rsid w:val="46E73CA1"/>
    <w:rsid w:val="488D1CCB"/>
    <w:rsid w:val="49F93F8B"/>
    <w:rsid w:val="4A170773"/>
    <w:rsid w:val="4B0B45FD"/>
    <w:rsid w:val="4B361BAC"/>
    <w:rsid w:val="4BEA0D82"/>
    <w:rsid w:val="4CCC50B7"/>
    <w:rsid w:val="4D1240C0"/>
    <w:rsid w:val="4D174CC1"/>
    <w:rsid w:val="4D1E2E9F"/>
    <w:rsid w:val="4E28279D"/>
    <w:rsid w:val="4EBA68CD"/>
    <w:rsid w:val="4EDF088E"/>
    <w:rsid w:val="4F430181"/>
    <w:rsid w:val="4FDD3EFE"/>
    <w:rsid w:val="50217A30"/>
    <w:rsid w:val="5083623F"/>
    <w:rsid w:val="512220F5"/>
    <w:rsid w:val="51776C00"/>
    <w:rsid w:val="51DC38D2"/>
    <w:rsid w:val="52796A43"/>
    <w:rsid w:val="52C15E15"/>
    <w:rsid w:val="53FC4271"/>
    <w:rsid w:val="54BE66F7"/>
    <w:rsid w:val="550C2ADB"/>
    <w:rsid w:val="55D458BF"/>
    <w:rsid w:val="566038F8"/>
    <w:rsid w:val="56C43AA2"/>
    <w:rsid w:val="572F06A0"/>
    <w:rsid w:val="597A0962"/>
    <w:rsid w:val="59EF77AB"/>
    <w:rsid w:val="5A4C4D62"/>
    <w:rsid w:val="5A82516F"/>
    <w:rsid w:val="5B23666E"/>
    <w:rsid w:val="5B380549"/>
    <w:rsid w:val="5C770418"/>
    <w:rsid w:val="5DBF5016"/>
    <w:rsid w:val="5E201D8E"/>
    <w:rsid w:val="5EB0330B"/>
    <w:rsid w:val="5F3D2286"/>
    <w:rsid w:val="5FB038B9"/>
    <w:rsid w:val="5FD9450E"/>
    <w:rsid w:val="60E1450F"/>
    <w:rsid w:val="61157615"/>
    <w:rsid w:val="61FF4104"/>
    <w:rsid w:val="62627818"/>
    <w:rsid w:val="63236B4E"/>
    <w:rsid w:val="63D6127C"/>
    <w:rsid w:val="64AA3FFD"/>
    <w:rsid w:val="65364694"/>
    <w:rsid w:val="67CE4B37"/>
    <w:rsid w:val="67F014ED"/>
    <w:rsid w:val="68BD54E2"/>
    <w:rsid w:val="69645C10"/>
    <w:rsid w:val="6A436FDB"/>
    <w:rsid w:val="6A980C3A"/>
    <w:rsid w:val="6D126A8C"/>
    <w:rsid w:val="6D6012C4"/>
    <w:rsid w:val="6D925039"/>
    <w:rsid w:val="6E567335"/>
    <w:rsid w:val="6F2515FC"/>
    <w:rsid w:val="6F8E6B44"/>
    <w:rsid w:val="70394A29"/>
    <w:rsid w:val="70795370"/>
    <w:rsid w:val="710A120D"/>
    <w:rsid w:val="7231629D"/>
    <w:rsid w:val="72CF5F18"/>
    <w:rsid w:val="73A705A5"/>
    <w:rsid w:val="740C6ECF"/>
    <w:rsid w:val="76192F7E"/>
    <w:rsid w:val="76675397"/>
    <w:rsid w:val="76CE7859"/>
    <w:rsid w:val="76D22001"/>
    <w:rsid w:val="770779D4"/>
    <w:rsid w:val="783B09F0"/>
    <w:rsid w:val="788B7599"/>
    <w:rsid w:val="789323B5"/>
    <w:rsid w:val="78E81348"/>
    <w:rsid w:val="7923348D"/>
    <w:rsid w:val="7AA75AA1"/>
    <w:rsid w:val="7B430D3A"/>
    <w:rsid w:val="7BAD1451"/>
    <w:rsid w:val="7BC66DB5"/>
    <w:rsid w:val="7C1D3972"/>
    <w:rsid w:val="7C861F1D"/>
    <w:rsid w:val="7D577EB7"/>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nhideWhenUsed="0"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uiPriority w:val="0"/>
    <w:pPr>
      <w:spacing w:after="120" w:afterLines="0"/>
    </w:pPr>
    <w:rPr>
      <w:rFonts w:ascii="Tahoma" w:hAnsi="Tahoma"/>
      <w:szCs w:val="20"/>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4">
    <w:name w:val="Body Text Indent"/>
    <w:basedOn w:val="1"/>
    <w:semiHidden/>
    <w:unhideWhenUsed/>
    <w:qFormat/>
    <w:uiPriority w:val="99"/>
    <w:pPr>
      <w:spacing w:after="120"/>
      <w:ind w:left="420" w:leftChars="200"/>
    </w:pPr>
  </w:style>
  <w:style w:type="paragraph" w:styleId="5">
    <w:name w:val="Plain Text"/>
    <w:basedOn w:val="1"/>
    <w:qFormat/>
    <w:uiPriority w:val="0"/>
    <w:rPr>
      <w:rFonts w:ascii="宋体" w:hAnsi="Courier New"/>
      <w:szCs w:val="21"/>
    </w:rPr>
  </w:style>
  <w:style w:type="paragraph" w:styleId="6">
    <w:name w:val="footer"/>
    <w:basedOn w:val="1"/>
    <w:link w:val="27"/>
    <w:unhideWhenUsed/>
    <w:qFormat/>
    <w:uiPriority w:val="99"/>
    <w:pPr>
      <w:tabs>
        <w:tab w:val="center" w:pos="4153"/>
        <w:tab w:val="right" w:pos="8306"/>
      </w:tabs>
      <w:snapToGrid w:val="0"/>
      <w:jc w:val="left"/>
    </w:pPr>
    <w:rPr>
      <w:sz w:val="18"/>
      <w:szCs w:val="18"/>
    </w:rPr>
  </w:style>
  <w:style w:type="paragraph" w:styleId="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spacing w:after="0"/>
      <w:ind w:left="0" w:leftChars="0" w:firstLine="420" w:firstLineChars="200"/>
    </w:pPr>
    <w:rPr>
      <w:rFonts w:ascii="Arial" w:hAnsi="Arial" w:eastAsia="仿宋_GB2312"/>
      <w:sz w:val="28"/>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22"/>
  </w:style>
  <w:style w:type="character" w:styleId="14">
    <w:name w:val="FollowedHyperlink"/>
    <w:basedOn w:val="12"/>
    <w:semiHidden/>
    <w:unhideWhenUsed/>
    <w:qFormat/>
    <w:uiPriority w:val="0"/>
    <w:rPr>
      <w:color w:val="333333"/>
      <w:u w:val="none"/>
    </w:rPr>
  </w:style>
  <w:style w:type="character" w:styleId="15">
    <w:name w:val="Emphasis"/>
    <w:basedOn w:val="12"/>
    <w:qFormat/>
    <w:uiPriority w:val="20"/>
  </w:style>
  <w:style w:type="character" w:styleId="16">
    <w:name w:val="HTML Definition"/>
    <w:basedOn w:val="12"/>
    <w:semiHidden/>
    <w:unhideWhenUsed/>
    <w:qFormat/>
    <w:uiPriority w:val="0"/>
  </w:style>
  <w:style w:type="character" w:styleId="17">
    <w:name w:val="HTML Acronym"/>
    <w:basedOn w:val="12"/>
    <w:semiHidden/>
    <w:unhideWhenUsed/>
    <w:qFormat/>
    <w:uiPriority w:val="0"/>
  </w:style>
  <w:style w:type="character" w:styleId="18">
    <w:name w:val="HTML Variable"/>
    <w:basedOn w:val="12"/>
    <w:semiHidden/>
    <w:unhideWhenUsed/>
    <w:qFormat/>
    <w:uiPriority w:val="0"/>
  </w:style>
  <w:style w:type="character" w:styleId="19">
    <w:name w:val="Hyperlink"/>
    <w:basedOn w:val="12"/>
    <w:unhideWhenUsed/>
    <w:qFormat/>
    <w:uiPriority w:val="99"/>
    <w:rPr>
      <w:color w:val="0000FF"/>
      <w:u w:val="single"/>
    </w:rPr>
  </w:style>
  <w:style w:type="character" w:styleId="20">
    <w:name w:val="HTML Code"/>
    <w:basedOn w:val="12"/>
    <w:semiHidden/>
    <w:unhideWhenUsed/>
    <w:qFormat/>
    <w:uiPriority w:val="0"/>
    <w:rPr>
      <w:rFonts w:hint="default" w:ascii="Consolas" w:hAnsi="Consolas" w:eastAsia="Consolas" w:cs="Consolas"/>
      <w:color w:val="C7254E"/>
      <w:sz w:val="21"/>
      <w:szCs w:val="21"/>
      <w:shd w:val="clear" w:fill="F9F2F4"/>
    </w:rPr>
  </w:style>
  <w:style w:type="character" w:styleId="21">
    <w:name w:val="HTML Cite"/>
    <w:basedOn w:val="12"/>
    <w:semiHidden/>
    <w:unhideWhenUsed/>
    <w:qFormat/>
    <w:uiPriority w:val="0"/>
  </w:style>
  <w:style w:type="character" w:styleId="22">
    <w:name w:val="HTML Keyboard"/>
    <w:basedOn w:val="12"/>
    <w:semiHidden/>
    <w:unhideWhenUsed/>
    <w:qFormat/>
    <w:uiPriority w:val="0"/>
    <w:rPr>
      <w:rFonts w:ascii="Consolas" w:hAnsi="Consolas" w:eastAsia="Consolas" w:cs="Consolas"/>
      <w:color w:val="FFFFFF"/>
      <w:sz w:val="21"/>
      <w:szCs w:val="21"/>
      <w:shd w:val="clear" w:fill="333333"/>
    </w:rPr>
  </w:style>
  <w:style w:type="character" w:styleId="23">
    <w:name w:val="HTML Sample"/>
    <w:basedOn w:val="12"/>
    <w:semiHidden/>
    <w:unhideWhenUsed/>
    <w:qFormat/>
    <w:uiPriority w:val="0"/>
    <w:rPr>
      <w:rFonts w:hint="default" w:ascii="Consolas" w:hAnsi="Consolas" w:eastAsia="Consolas" w:cs="Consolas"/>
      <w:sz w:val="21"/>
      <w:szCs w:val="21"/>
    </w:rPr>
  </w:style>
  <w:style w:type="character" w:customStyle="1" w:styleId="24">
    <w:name w:val="apple-converted-space"/>
    <w:basedOn w:val="12"/>
    <w:qFormat/>
    <w:uiPriority w:val="0"/>
  </w:style>
  <w:style w:type="character" w:customStyle="1" w:styleId="25">
    <w:name w:val="help-inline"/>
    <w:basedOn w:val="12"/>
    <w:qFormat/>
    <w:uiPriority w:val="0"/>
  </w:style>
  <w:style w:type="character" w:customStyle="1" w:styleId="26">
    <w:name w:val="页眉 Char"/>
    <w:basedOn w:val="12"/>
    <w:link w:val="7"/>
    <w:semiHidden/>
    <w:qFormat/>
    <w:uiPriority w:val="99"/>
    <w:rPr>
      <w:sz w:val="18"/>
      <w:szCs w:val="18"/>
    </w:rPr>
  </w:style>
  <w:style w:type="character" w:customStyle="1" w:styleId="27">
    <w:name w:val="页脚 Char"/>
    <w:basedOn w:val="12"/>
    <w:link w:val="6"/>
    <w:semiHidden/>
    <w:qFormat/>
    <w:uiPriority w:val="99"/>
    <w:rPr>
      <w:sz w:val="18"/>
      <w:szCs w:val="18"/>
    </w:rPr>
  </w:style>
  <w:style w:type="paragraph" w:customStyle="1" w:styleId="28">
    <w:name w:val="_Style 14"/>
    <w:basedOn w:val="1"/>
    <w:next w:val="1"/>
    <w:qFormat/>
    <w:uiPriority w:val="0"/>
    <w:pPr>
      <w:pBdr>
        <w:bottom w:val="single" w:color="auto" w:sz="6" w:space="1"/>
      </w:pBdr>
      <w:jc w:val="center"/>
    </w:pPr>
    <w:rPr>
      <w:rFonts w:ascii="Arial" w:eastAsia="宋体"/>
      <w:vanish/>
      <w:sz w:val="16"/>
    </w:rPr>
  </w:style>
  <w:style w:type="paragraph" w:customStyle="1" w:styleId="29">
    <w:name w:val="_Style 15"/>
    <w:basedOn w:val="1"/>
    <w:next w:val="1"/>
    <w:qFormat/>
    <w:uiPriority w:val="0"/>
    <w:pPr>
      <w:pBdr>
        <w:top w:val="single" w:color="auto" w:sz="6" w:space="1"/>
      </w:pBdr>
      <w:jc w:val="center"/>
    </w:pPr>
    <w:rPr>
      <w:rFonts w:ascii="Arial" w:eastAsia="宋体"/>
      <w:vanish/>
      <w:sz w:val="16"/>
    </w:rPr>
  </w:style>
  <w:style w:type="character" w:customStyle="1" w:styleId="30">
    <w:name w:val="hover5"/>
    <w:basedOn w:val="12"/>
    <w:qFormat/>
    <w:uiPriority w:val="0"/>
    <w:rPr>
      <w:color w:val="0063BA"/>
    </w:rPr>
  </w:style>
  <w:style w:type="character" w:customStyle="1" w:styleId="31">
    <w:name w:val="before"/>
    <w:basedOn w:val="12"/>
    <w:qFormat/>
    <w:uiPriority w:val="0"/>
    <w:rPr>
      <w:shd w:val="clear" w:fill="E22323"/>
    </w:rPr>
  </w:style>
  <w:style w:type="character" w:customStyle="1" w:styleId="32">
    <w:name w:val="hover4"/>
    <w:basedOn w:val="12"/>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14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NTKO</cp:lastModifiedBy>
  <cp:lastPrinted>2020-11-10T08:17:29Z</cp:lastPrinted>
  <dcterms:modified xsi:type="dcterms:W3CDTF">2020-11-10T08:28:10Z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