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cs="宋体"/>
          <w:b/>
          <w:bCs/>
          <w:color w:val="000000" w:themeColor="text1"/>
          <w:sz w:val="28"/>
          <w:szCs w:val="28"/>
          <w:highlight w:val="none"/>
        </w:rPr>
      </w:pPr>
      <w:bookmarkStart w:id="0" w:name="OLE_LINK2"/>
      <w:bookmarkStart w:id="1" w:name="OLE_LINK4"/>
      <w:bookmarkStart w:id="2" w:name="OLE_LINK1"/>
      <w:bookmarkStart w:id="3" w:name="OLE_LINK3"/>
      <w:r>
        <w:rPr>
          <w:rFonts w:hint="eastAsia" w:ascii="宋体" w:hAnsi="宋体" w:cs="宋体"/>
          <w:b/>
          <w:bCs/>
          <w:color w:val="000000" w:themeColor="text1"/>
          <w:sz w:val="28"/>
          <w:szCs w:val="28"/>
          <w:highlight w:val="none"/>
        </w:rPr>
        <w:t>采购需求公示</w:t>
      </w:r>
    </w:p>
    <w:p>
      <w:pPr>
        <w:widowControl/>
        <w:spacing w:line="500" w:lineRule="exact"/>
        <w:jc w:val="left"/>
        <w:rPr>
          <w:rFonts w:ascii="宋体" w:hAnsi="宋体" w:cs="宋体"/>
          <w:color w:val="000000" w:themeColor="text1"/>
          <w:kern w:val="0"/>
          <w:sz w:val="18"/>
          <w:szCs w:val="18"/>
          <w:highlight w:val="none"/>
        </w:rPr>
      </w:pPr>
      <w:bookmarkStart w:id="4" w:name="OLE_LINK5"/>
      <w:r>
        <w:rPr>
          <w:rFonts w:hint="eastAsia" w:ascii="宋体" w:hAnsi="宋体" w:cs="宋体"/>
          <w:b/>
          <w:bCs/>
          <w:color w:val="000000" w:themeColor="text1"/>
          <w:sz w:val="28"/>
          <w:szCs w:val="28"/>
          <w:highlight w:val="none"/>
        </w:rPr>
        <w:t>1.项目名称：梵净山世界自然遗产地缓冲区生物多样性调查服务采购</w:t>
      </w:r>
    </w:p>
    <w:p>
      <w:pPr>
        <w:widowControl/>
        <w:spacing w:line="500" w:lineRule="exact"/>
        <w:jc w:val="left"/>
        <w:rPr>
          <w:rFonts w:hint="eastAsia" w:ascii="宋体" w:hAnsi="宋体" w:cs="宋体" w:eastAsiaTheme="minorEastAsia"/>
          <w:color w:val="000000" w:themeColor="text1"/>
          <w:kern w:val="0"/>
          <w:sz w:val="18"/>
          <w:szCs w:val="18"/>
          <w:highlight w:val="none"/>
          <w:lang w:val="en-US" w:eastAsia="zh-CN"/>
        </w:rPr>
      </w:pPr>
      <w:r>
        <w:rPr>
          <w:rFonts w:hint="eastAsia" w:ascii="宋体" w:hAnsi="宋体" w:cs="宋体"/>
          <w:b/>
          <w:bCs/>
          <w:color w:val="000000" w:themeColor="text1"/>
          <w:sz w:val="28"/>
          <w:szCs w:val="28"/>
          <w:highlight w:val="none"/>
        </w:rPr>
        <w:t>2.项目编号：TRZFCG-2020-</w:t>
      </w:r>
      <w:r>
        <w:rPr>
          <w:rFonts w:hint="eastAsia" w:ascii="宋体" w:hAnsi="宋体" w:cs="宋体"/>
          <w:b/>
          <w:bCs/>
          <w:color w:val="000000" w:themeColor="text1"/>
          <w:sz w:val="28"/>
          <w:szCs w:val="28"/>
          <w:highlight w:val="none"/>
          <w:lang w:val="en-US" w:eastAsia="zh-CN"/>
        </w:rPr>
        <w:t xml:space="preserve">120 </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rPr>
      </w:pPr>
      <w:r>
        <w:rPr>
          <w:rFonts w:hint="eastAsia" w:ascii="宋体" w:hAnsi="宋体" w:cs="宋体"/>
          <w:b/>
          <w:bCs/>
          <w:color w:val="000000" w:themeColor="text1"/>
          <w:sz w:val="28"/>
          <w:szCs w:val="28"/>
          <w:highlight w:val="none"/>
        </w:rPr>
        <w:t>3.采购方式：</w:t>
      </w:r>
      <w:r>
        <w:rPr>
          <w:rFonts w:hint="eastAsia" w:ascii="宋体" w:hAnsi="宋体" w:cs="宋体"/>
          <w:b/>
          <w:bCs/>
          <w:color w:val="000000" w:themeColor="text1"/>
          <w:sz w:val="28"/>
          <w:szCs w:val="28"/>
          <w:highlight w:val="none"/>
          <w:lang w:eastAsia="zh-CN"/>
        </w:rPr>
        <w:t>公开招标</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4.公示期限（不少于2个工作日）:</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20</w:t>
      </w:r>
      <w:r>
        <w:rPr>
          <w:rFonts w:hint="eastAsia" w:ascii="宋体" w:hAnsi="宋体" w:cs="宋体"/>
          <w:b/>
          <w:bCs/>
          <w:color w:val="000000" w:themeColor="text1"/>
          <w:sz w:val="28"/>
          <w:szCs w:val="28"/>
          <w:highlight w:val="none"/>
          <w:lang w:val="en-US" w:eastAsia="zh-CN"/>
        </w:rPr>
        <w:t>20</w:t>
      </w:r>
      <w:r>
        <w:rPr>
          <w:rFonts w:hint="eastAsia" w:ascii="宋体" w:hAnsi="宋体" w:cs="宋体"/>
          <w:b/>
          <w:bCs/>
          <w:color w:val="000000" w:themeColor="text1"/>
          <w:sz w:val="28"/>
          <w:szCs w:val="28"/>
          <w:highlight w:val="none"/>
        </w:rPr>
        <w:t>年</w:t>
      </w:r>
      <w:r>
        <w:rPr>
          <w:rFonts w:hint="eastAsia" w:ascii="宋体" w:hAnsi="宋体" w:cs="宋体"/>
          <w:b/>
          <w:bCs/>
          <w:color w:val="000000" w:themeColor="text1"/>
          <w:sz w:val="28"/>
          <w:szCs w:val="28"/>
          <w:highlight w:val="none"/>
          <w:lang w:val="en-US" w:eastAsia="zh-CN"/>
        </w:rPr>
        <w:t>11</w:t>
      </w:r>
      <w:r>
        <w:rPr>
          <w:rFonts w:hint="eastAsia" w:ascii="宋体" w:hAnsi="宋体" w:cs="宋体"/>
          <w:b/>
          <w:bCs/>
          <w:color w:val="000000" w:themeColor="text1"/>
          <w:sz w:val="28"/>
          <w:szCs w:val="28"/>
          <w:highlight w:val="none"/>
        </w:rPr>
        <w:t>月</w:t>
      </w:r>
      <w:r>
        <w:rPr>
          <w:rFonts w:hint="eastAsia" w:ascii="宋体" w:hAnsi="宋体" w:cs="宋体"/>
          <w:b/>
          <w:bCs/>
          <w:color w:val="000000" w:themeColor="text1"/>
          <w:sz w:val="28"/>
          <w:szCs w:val="28"/>
          <w:highlight w:val="none"/>
          <w:lang w:val="en-US" w:eastAsia="zh-CN"/>
        </w:rPr>
        <w:t>4</w:t>
      </w:r>
      <w:r>
        <w:rPr>
          <w:rFonts w:hint="eastAsia" w:ascii="宋体" w:hAnsi="宋体" w:cs="宋体"/>
          <w:b/>
          <w:bCs/>
          <w:color w:val="000000" w:themeColor="text1"/>
          <w:sz w:val="28"/>
          <w:szCs w:val="28"/>
          <w:highlight w:val="none"/>
        </w:rPr>
        <w:t>日-20</w:t>
      </w:r>
      <w:r>
        <w:rPr>
          <w:rFonts w:hint="eastAsia" w:ascii="宋体" w:hAnsi="宋体" w:cs="宋体"/>
          <w:b/>
          <w:bCs/>
          <w:color w:val="000000" w:themeColor="text1"/>
          <w:sz w:val="28"/>
          <w:szCs w:val="28"/>
          <w:highlight w:val="none"/>
          <w:lang w:val="en-US" w:eastAsia="zh-CN"/>
        </w:rPr>
        <w:t>20</w:t>
      </w:r>
      <w:r>
        <w:rPr>
          <w:rFonts w:hint="eastAsia" w:ascii="宋体" w:hAnsi="宋体" w:cs="宋体"/>
          <w:b/>
          <w:bCs/>
          <w:color w:val="000000" w:themeColor="text1"/>
          <w:sz w:val="28"/>
          <w:szCs w:val="28"/>
          <w:highlight w:val="none"/>
        </w:rPr>
        <w:t>年</w:t>
      </w:r>
      <w:r>
        <w:rPr>
          <w:rFonts w:hint="eastAsia" w:ascii="宋体" w:hAnsi="宋体" w:cs="宋体"/>
          <w:b/>
          <w:bCs/>
          <w:color w:val="000000" w:themeColor="text1"/>
          <w:sz w:val="28"/>
          <w:szCs w:val="28"/>
          <w:highlight w:val="none"/>
          <w:lang w:val="en-US" w:eastAsia="zh-CN"/>
        </w:rPr>
        <w:t>11</w:t>
      </w:r>
      <w:r>
        <w:rPr>
          <w:rFonts w:hint="eastAsia" w:ascii="宋体" w:hAnsi="宋体" w:cs="宋体"/>
          <w:b/>
          <w:bCs/>
          <w:color w:val="000000" w:themeColor="text1"/>
          <w:sz w:val="28"/>
          <w:szCs w:val="28"/>
          <w:highlight w:val="none"/>
        </w:rPr>
        <w:t>月</w:t>
      </w:r>
      <w:r>
        <w:rPr>
          <w:rFonts w:hint="eastAsia" w:ascii="宋体" w:hAnsi="宋体" w:cs="宋体"/>
          <w:b/>
          <w:bCs/>
          <w:color w:val="000000" w:themeColor="text1"/>
          <w:sz w:val="28"/>
          <w:szCs w:val="28"/>
          <w:highlight w:val="none"/>
          <w:lang w:val="en-US" w:eastAsia="zh-CN"/>
        </w:rPr>
        <w:t>6</w:t>
      </w:r>
      <w:r>
        <w:rPr>
          <w:rFonts w:hint="eastAsia" w:ascii="宋体" w:hAnsi="宋体" w:cs="宋体"/>
          <w:b/>
          <w:bCs/>
          <w:color w:val="000000" w:themeColor="text1"/>
          <w:sz w:val="28"/>
          <w:szCs w:val="28"/>
          <w:highlight w:val="none"/>
        </w:rPr>
        <w:t>日</w:t>
      </w:r>
    </w:p>
    <w:p>
      <w:pPr>
        <w:widowControl/>
        <w:spacing w:line="500" w:lineRule="exact"/>
        <w:jc w:val="left"/>
        <w:rPr>
          <w:rFonts w:hint="eastAsia" w:ascii="宋体" w:hAnsi="宋体" w:cs="宋体" w:eastAsiaTheme="minorEastAsia"/>
          <w:color w:val="000000" w:themeColor="text1"/>
          <w:kern w:val="0"/>
          <w:sz w:val="18"/>
          <w:szCs w:val="18"/>
          <w:highlight w:val="none"/>
          <w:lang w:val="en-US" w:eastAsia="zh-CN"/>
        </w:rPr>
      </w:pPr>
      <w:r>
        <w:rPr>
          <w:rFonts w:hint="eastAsia" w:ascii="宋体" w:hAnsi="宋体" w:cs="宋体"/>
          <w:b/>
          <w:bCs/>
          <w:color w:val="000000" w:themeColor="text1"/>
          <w:sz w:val="28"/>
          <w:szCs w:val="28"/>
          <w:highlight w:val="none"/>
        </w:rPr>
        <w:t>5.采购预算</w:t>
      </w:r>
      <w:r>
        <w:rPr>
          <w:rFonts w:hint="eastAsia" w:ascii="宋体" w:hAnsi="宋体" w:cs="宋体"/>
          <w:b/>
          <w:bCs/>
          <w:color w:val="000000" w:themeColor="text1"/>
          <w:sz w:val="28"/>
          <w:szCs w:val="28"/>
          <w:highlight w:val="none"/>
          <w:lang w:val="en-US" w:eastAsia="zh-CN"/>
        </w:rPr>
        <w:t>(人民币)</w:t>
      </w:r>
      <w:r>
        <w:rPr>
          <w:rFonts w:hint="eastAsia" w:ascii="宋体" w:hAnsi="宋体" w:cs="宋体"/>
          <w:b/>
          <w:bCs/>
          <w:color w:val="000000" w:themeColor="text1"/>
          <w:sz w:val="28"/>
          <w:szCs w:val="28"/>
          <w:highlight w:val="none"/>
        </w:rPr>
        <w:t>：1300000</w:t>
      </w:r>
      <w:r>
        <w:rPr>
          <w:rFonts w:hint="eastAsia" w:ascii="宋体" w:hAnsi="宋体" w:cs="宋体"/>
          <w:b/>
          <w:bCs/>
          <w:color w:val="000000" w:themeColor="text1"/>
          <w:sz w:val="28"/>
          <w:szCs w:val="28"/>
          <w:highlight w:val="none"/>
          <w:lang w:eastAsia="zh-CN"/>
        </w:rPr>
        <w:t>元</w:t>
      </w:r>
      <w:r>
        <w:rPr>
          <w:rFonts w:hint="eastAsia" w:ascii="宋体" w:hAnsi="宋体" w:cs="宋体"/>
          <w:b/>
          <w:bCs/>
          <w:color w:val="000000" w:themeColor="text1"/>
          <w:sz w:val="28"/>
          <w:szCs w:val="28"/>
          <w:highlight w:val="none"/>
        </w:rPr>
        <w:t>（最高限价：1300000元）</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6.采购预算确定依据:</w:t>
      </w:r>
    </w:p>
    <w:p>
      <w:pPr>
        <w:widowControl/>
        <w:spacing w:line="500" w:lineRule="exact"/>
        <w:jc w:val="left"/>
        <w:rPr>
          <w:rFonts w:hint="eastAsia" w:ascii="宋体" w:hAnsi="宋体" w:cs="宋体"/>
          <w:b/>
          <w:bCs/>
          <w:color w:val="000000" w:themeColor="text1"/>
          <w:sz w:val="28"/>
          <w:szCs w:val="28"/>
          <w:highlight w:val="none"/>
        </w:rPr>
      </w:pPr>
      <w:r>
        <w:rPr>
          <w:rFonts w:hint="eastAsia" w:ascii="宋体" w:hAnsi="宋体" w:cs="宋体"/>
          <w:b/>
          <w:bCs/>
          <w:color w:val="000000" w:themeColor="text1"/>
          <w:sz w:val="28"/>
          <w:szCs w:val="28"/>
          <w:highlight w:val="none"/>
        </w:rPr>
        <w:t>铜仁市直单位政府采购（集中采购）申报表</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rPr>
      </w:pPr>
      <w:r>
        <w:rPr>
          <w:rFonts w:hint="eastAsia" w:ascii="宋体" w:hAnsi="宋体" w:cs="宋体"/>
          <w:b/>
          <w:bCs/>
          <w:color w:val="000000" w:themeColor="text1"/>
          <w:sz w:val="28"/>
          <w:szCs w:val="28"/>
          <w:highlight w:val="none"/>
        </w:rPr>
        <w:t>7.采购人名称:贵州梵净山国家级自然保护区管理局</w:t>
      </w:r>
      <w:r>
        <w:rPr>
          <w:rFonts w:hint="eastAsia" w:ascii="宋体" w:hAnsi="宋体" w:cs="宋体"/>
          <w:b/>
          <w:bCs/>
          <w:color w:val="000000" w:themeColor="text1"/>
          <w:sz w:val="28"/>
          <w:szCs w:val="28"/>
          <w:highlight w:val="none"/>
          <w:lang w:val="en-US" w:eastAsia="zh-CN"/>
        </w:rPr>
        <w:t xml:space="preserve">  </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rPr>
      </w:pPr>
      <w:r>
        <w:rPr>
          <w:rFonts w:hint="eastAsia" w:ascii="宋体" w:hAnsi="宋体" w:cs="宋体"/>
          <w:b/>
          <w:bCs/>
          <w:color w:val="000000" w:themeColor="text1"/>
          <w:sz w:val="28"/>
          <w:szCs w:val="28"/>
          <w:highlight w:val="none"/>
        </w:rPr>
        <w:t>联系地址: 贵州梵净山国家级自然保护区管理局</w:t>
      </w:r>
      <w:r>
        <w:rPr>
          <w:rFonts w:hint="eastAsia" w:ascii="宋体" w:hAnsi="宋体" w:cs="宋体"/>
          <w:b/>
          <w:bCs/>
          <w:color w:val="000000" w:themeColor="text1"/>
          <w:sz w:val="28"/>
          <w:szCs w:val="28"/>
          <w:highlight w:val="none"/>
          <w:lang w:val="en-US" w:eastAsia="zh-CN"/>
        </w:rPr>
        <w:t xml:space="preserve">  </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项目联系人:李科长</w:t>
      </w:r>
    </w:p>
    <w:p>
      <w:pPr>
        <w:widowControl/>
        <w:spacing w:line="500" w:lineRule="exact"/>
        <w:jc w:val="left"/>
        <w:rPr>
          <w:rFonts w:hint="eastAsia" w:ascii="宋体" w:hAnsi="宋体" w:cs="宋体"/>
          <w:b/>
          <w:bCs/>
          <w:color w:val="000000" w:themeColor="text1"/>
          <w:sz w:val="28"/>
          <w:szCs w:val="28"/>
          <w:highlight w:val="none"/>
          <w:lang w:val="en-US" w:eastAsia="zh-CN"/>
        </w:rPr>
      </w:pPr>
      <w:r>
        <w:rPr>
          <w:rFonts w:hint="eastAsia" w:ascii="宋体" w:hAnsi="宋体" w:cs="宋体"/>
          <w:b/>
          <w:bCs/>
          <w:color w:val="000000" w:themeColor="text1"/>
          <w:sz w:val="28"/>
          <w:szCs w:val="28"/>
          <w:highlight w:val="none"/>
        </w:rPr>
        <w:t>联系电话:</w:t>
      </w:r>
      <w:r>
        <w:rPr>
          <w:rFonts w:ascii="宋体" w:hAnsi="宋体" w:cs="宋体"/>
          <w:b/>
          <w:bCs/>
          <w:color w:val="000000" w:themeColor="text1"/>
          <w:sz w:val="28"/>
          <w:szCs w:val="28"/>
          <w:highlight w:val="none"/>
        </w:rPr>
        <w:t xml:space="preserve"> </w:t>
      </w:r>
      <w:r>
        <w:rPr>
          <w:rFonts w:hint="eastAsia" w:ascii="宋体" w:hAnsi="宋体" w:cs="宋体"/>
          <w:b/>
          <w:bCs/>
          <w:color w:val="000000" w:themeColor="text1"/>
          <w:sz w:val="28"/>
          <w:szCs w:val="28"/>
          <w:highlight w:val="none"/>
        </w:rPr>
        <w:t>15185929557</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8.采购代理机构全称:铜仁市公共资源交易中心</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联系地址:铜仁市公共服务中心四楼（川硐麒龙国际会展城）</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项目联系人:冉思平</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联系电话:0856-3912933</w:t>
      </w:r>
    </w:p>
    <w:p>
      <w:pPr>
        <w:pStyle w:val="17"/>
        <w:spacing w:line="500" w:lineRule="exact"/>
        <w:rPr>
          <w:rFonts w:ascii="汉鼎简魏碑" w:eastAsia="汉鼎简魏碑"/>
          <w:b/>
          <w:color w:val="000000" w:themeColor="text1"/>
          <w:sz w:val="48"/>
          <w:szCs w:val="48"/>
          <w:highlight w:val="none"/>
        </w:rPr>
      </w:pPr>
      <w:r>
        <w:rPr>
          <w:rFonts w:hint="eastAsia" w:hAnsi="宋体" w:cs="宋体"/>
          <w:b/>
          <w:bCs/>
          <w:color w:val="000000" w:themeColor="text1"/>
          <w:sz w:val="28"/>
          <w:szCs w:val="28"/>
          <w:highlight w:val="none"/>
        </w:rPr>
        <w:t>9.任何单位和个人对本项目采购文件需求公示有异议的，可在公示期限内，反馈意见给代理机构。</w:t>
      </w:r>
      <w:bookmarkEnd w:id="0"/>
      <w:bookmarkEnd w:id="1"/>
      <w:bookmarkEnd w:id="2"/>
      <w:bookmarkEnd w:id="3"/>
      <w:bookmarkEnd w:id="4"/>
      <w:r>
        <w:rPr>
          <w:rFonts w:hint="eastAsia"/>
          <w:color w:val="000000" w:themeColor="text1"/>
          <w:spacing w:val="-140"/>
          <w:sz w:val="28"/>
          <w:szCs w:val="28"/>
          <w:highlight w:val="none"/>
        </w:rPr>
        <w:t xml:space="preserve">       </w:t>
      </w:r>
    </w:p>
    <w:p>
      <w:pPr>
        <w:rPr>
          <w:rFonts w:hint="eastAsia" w:ascii="宋体" w:hAnsi="宋体" w:eastAsia="宋体" w:cs="宋体"/>
          <w:b/>
          <w:bCs/>
          <w:color w:val="000000" w:themeColor="text1"/>
          <w:kern w:val="0"/>
          <w:sz w:val="24"/>
          <w:szCs w:val="24"/>
          <w:highlight w:val="none"/>
          <w:lang w:eastAsia="zh-CN"/>
        </w:rPr>
      </w:pPr>
    </w:p>
    <w:p>
      <w:pPr>
        <w:rPr>
          <w:rFonts w:hint="eastAsia" w:ascii="宋体" w:hAnsi="宋体" w:eastAsia="宋体" w:cs="宋体"/>
          <w:b/>
          <w:bCs/>
          <w:color w:val="000000" w:themeColor="text1"/>
          <w:kern w:val="0"/>
          <w:sz w:val="24"/>
          <w:szCs w:val="24"/>
          <w:highlight w:val="none"/>
          <w:lang w:eastAsia="zh-CN"/>
        </w:rPr>
      </w:pPr>
      <w:r>
        <w:rPr>
          <w:rFonts w:hint="eastAsia" w:ascii="宋体" w:hAnsi="宋体" w:eastAsia="宋体" w:cs="宋体"/>
          <w:b/>
          <w:bCs/>
          <w:color w:val="000000" w:themeColor="text1"/>
          <w:kern w:val="0"/>
          <w:sz w:val="24"/>
          <w:szCs w:val="24"/>
          <w:highlight w:val="none"/>
          <w:lang w:eastAsia="zh-CN"/>
        </w:rPr>
        <w:t>具体需求见附件</w:t>
      </w:r>
    </w:p>
    <w:p>
      <w:pPr>
        <w:rPr>
          <w:rFonts w:ascii="宋体" w:hAnsi="宋体" w:eastAsia="宋体" w:cs="宋体"/>
          <w:b/>
          <w:bCs/>
          <w:color w:val="000000" w:themeColor="text1"/>
          <w:kern w:val="0"/>
          <w:sz w:val="24"/>
          <w:szCs w:val="24"/>
          <w:highlight w:val="none"/>
        </w:rPr>
      </w:pPr>
    </w:p>
    <w:p>
      <w:pPr>
        <w:jc w:val="center"/>
        <w:rPr>
          <w:rFonts w:hint="eastAsia" w:ascii="宋体" w:hAnsi="宋体"/>
          <w:b/>
          <w:bCs/>
          <w:color w:val="000000" w:themeColor="text1"/>
          <w:sz w:val="36"/>
          <w:highlight w:val="none"/>
        </w:rPr>
      </w:pPr>
    </w:p>
    <w:p>
      <w:pPr>
        <w:jc w:val="center"/>
        <w:rPr>
          <w:rFonts w:hint="eastAsia" w:ascii="宋体" w:hAnsi="宋体"/>
          <w:b/>
          <w:bCs/>
          <w:color w:val="000000" w:themeColor="text1"/>
          <w:sz w:val="36"/>
          <w:highlight w:val="none"/>
        </w:rPr>
      </w:pPr>
    </w:p>
    <w:p>
      <w:pPr>
        <w:jc w:val="center"/>
        <w:rPr>
          <w:rFonts w:hint="eastAsia" w:ascii="宋体" w:hAnsi="宋体"/>
          <w:b/>
          <w:bCs/>
          <w:color w:val="000000" w:themeColor="text1"/>
          <w:sz w:val="36"/>
          <w:highlight w:val="none"/>
        </w:rPr>
      </w:pPr>
    </w:p>
    <w:p>
      <w:pPr>
        <w:jc w:val="center"/>
        <w:rPr>
          <w:rFonts w:hint="eastAsia" w:ascii="宋体" w:hAnsi="宋体"/>
          <w:b/>
          <w:bCs/>
          <w:color w:val="000000" w:themeColor="text1"/>
          <w:sz w:val="36"/>
          <w:highlight w:val="none"/>
        </w:rPr>
      </w:pPr>
    </w:p>
    <w:p>
      <w:pPr>
        <w:jc w:val="center"/>
        <w:rPr>
          <w:rFonts w:hint="eastAsia" w:ascii="宋体" w:hAnsi="宋体"/>
          <w:b/>
          <w:bCs/>
          <w:color w:val="000000" w:themeColor="text1"/>
          <w:sz w:val="36"/>
          <w:highlight w:val="none"/>
          <w:lang w:eastAsia="zh-CN"/>
        </w:rPr>
      </w:pPr>
    </w:p>
    <w:p>
      <w:pPr>
        <w:jc w:val="center"/>
        <w:rPr>
          <w:rFonts w:hint="eastAsia" w:ascii="宋体" w:hAnsi="宋体"/>
          <w:b/>
          <w:bCs/>
          <w:color w:val="000000" w:themeColor="text1"/>
          <w:sz w:val="36"/>
          <w:highlight w:val="none"/>
        </w:rPr>
      </w:pPr>
      <w:r>
        <w:rPr>
          <w:rFonts w:hint="eastAsia" w:ascii="宋体" w:hAnsi="宋体"/>
          <w:b/>
          <w:bCs/>
          <w:color w:val="000000" w:themeColor="text1"/>
          <w:sz w:val="36"/>
          <w:highlight w:val="none"/>
          <w:lang w:eastAsia="zh-CN"/>
        </w:rPr>
        <w:t>评分标准及</w:t>
      </w:r>
      <w:r>
        <w:rPr>
          <w:rFonts w:hint="eastAsia" w:ascii="宋体" w:hAnsi="宋体"/>
          <w:b/>
          <w:bCs/>
          <w:color w:val="000000" w:themeColor="text1"/>
          <w:sz w:val="36"/>
          <w:highlight w:val="none"/>
        </w:rPr>
        <w:t>采购人需求</w:t>
      </w:r>
    </w:p>
    <w:tbl>
      <w:tblPr>
        <w:tblStyle w:val="33"/>
        <w:tblW w:w="85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6650"/>
        <w:gridCol w:w="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530" w:type="dxa"/>
            <w:gridSpan w:val="3"/>
            <w:noWrap w:val="0"/>
            <w:vAlign w:val="top"/>
          </w:tcPr>
          <w:p>
            <w:pPr>
              <w:pStyle w:val="32"/>
              <w:spacing w:line="252" w:lineRule="exact"/>
              <w:ind w:firstLine="480"/>
              <w:jc w:val="left"/>
              <w:rPr>
                <w:rFonts w:ascii="宋体" w:hAnsi="宋体" w:eastAsia="宋体" w:cs="Times New Roman"/>
                <w:kern w:val="0"/>
                <w:sz w:val="24"/>
                <w:szCs w:val="24"/>
              </w:rPr>
            </w:pPr>
          </w:p>
          <w:p>
            <w:pPr>
              <w:pStyle w:val="32"/>
              <w:spacing w:line="252" w:lineRule="exact"/>
              <w:ind w:left="105"/>
              <w:jc w:val="left"/>
              <w:rPr>
                <w:rFonts w:ascii="宋体" w:hAnsi="宋体" w:eastAsia="宋体" w:cs="Times New Roman"/>
                <w:kern w:val="0"/>
                <w:sz w:val="24"/>
                <w:szCs w:val="24"/>
              </w:rPr>
            </w:pPr>
            <w:r>
              <w:rPr>
                <w:rFonts w:hint="eastAsia" w:ascii="宋体" w:hAnsi="宋体" w:eastAsia="宋体" w:cs="Times New Roman"/>
                <w:kern w:val="0"/>
                <w:sz w:val="24"/>
                <w:szCs w:val="24"/>
              </w:rPr>
              <w:t>评分项及评分标准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79" w:type="dxa"/>
            <w:noWrap w:val="0"/>
            <w:vAlign w:val="center"/>
          </w:tcPr>
          <w:p>
            <w:pPr>
              <w:pStyle w:val="32"/>
              <w:jc w:val="left"/>
              <w:rPr>
                <w:rFonts w:ascii="宋体" w:hAnsi="宋体" w:eastAsia="宋体" w:cs="Times New Roman"/>
                <w:kern w:val="0"/>
                <w:sz w:val="24"/>
                <w:szCs w:val="24"/>
              </w:rPr>
            </w:pPr>
          </w:p>
          <w:p>
            <w:pPr>
              <w:pStyle w:val="32"/>
              <w:ind w:left="105"/>
              <w:jc w:val="left"/>
              <w:rPr>
                <w:rFonts w:ascii="宋体" w:hAnsi="宋体" w:eastAsia="宋体" w:cs="Times New Roman"/>
                <w:kern w:val="0"/>
                <w:sz w:val="24"/>
                <w:szCs w:val="24"/>
              </w:rPr>
            </w:pPr>
            <w:r>
              <w:rPr>
                <w:rFonts w:hint="eastAsia" w:ascii="宋体" w:hAnsi="宋体" w:eastAsia="宋体" w:cs="Times New Roman"/>
                <w:kern w:val="0"/>
                <w:sz w:val="24"/>
                <w:szCs w:val="24"/>
              </w:rPr>
              <w:t>价格分</w:t>
            </w:r>
          </w:p>
          <w:p>
            <w:pPr>
              <w:pStyle w:val="32"/>
              <w:spacing w:before="5"/>
              <w:jc w:val="left"/>
              <w:rPr>
                <w:rFonts w:ascii="宋体" w:hAnsi="宋体" w:eastAsia="宋体" w:cs="Times New Roman"/>
                <w:kern w:val="0"/>
                <w:sz w:val="24"/>
                <w:szCs w:val="24"/>
              </w:rPr>
            </w:pPr>
            <w:r>
              <w:rPr>
                <w:rFonts w:hint="eastAsia" w:ascii="宋体" w:hAnsi="宋体" w:eastAsia="宋体" w:cs="Times New Roman"/>
                <w:kern w:val="0"/>
                <w:sz w:val="24"/>
                <w:szCs w:val="24"/>
              </w:rPr>
              <w:t>（20分）</w:t>
            </w:r>
          </w:p>
        </w:tc>
        <w:tc>
          <w:tcPr>
            <w:tcW w:w="7451" w:type="dxa"/>
            <w:gridSpan w:val="2"/>
            <w:noWrap w:val="0"/>
            <w:vAlign w:val="top"/>
          </w:tcPr>
          <w:p>
            <w:pPr>
              <w:pStyle w:val="32"/>
              <w:spacing w:line="244" w:lineRule="auto"/>
              <w:ind w:left="105" w:right="81"/>
              <w:jc w:val="left"/>
              <w:rPr>
                <w:rFonts w:ascii="宋体" w:hAnsi="宋体" w:eastAsia="宋体" w:cs="Times New Roman"/>
                <w:kern w:val="0"/>
                <w:sz w:val="24"/>
                <w:szCs w:val="24"/>
              </w:rPr>
            </w:pPr>
          </w:p>
          <w:p>
            <w:pPr>
              <w:numPr>
                <w:ilvl w:val="0"/>
                <w:numId w:val="1"/>
              </w:numPr>
              <w:tabs>
                <w:tab w:val="left" w:pos="720"/>
              </w:tabs>
              <w:spacing w:line="440" w:lineRule="exact"/>
              <w:ind w:left="720" w:firstLineChars="0"/>
              <w:jc w:val="left"/>
              <w:rPr>
                <w:rFonts w:ascii="宋体" w:hAnsi="宋体" w:eastAsia="宋体" w:cs="Times New Roman"/>
                <w:color w:val="000000"/>
                <w:kern w:val="0"/>
                <w:szCs w:val="20"/>
              </w:rPr>
            </w:pPr>
            <w:r>
              <w:rPr>
                <w:rFonts w:ascii="宋体" w:hAnsi="宋体" w:eastAsia="宋体" w:cs="Times New Roman"/>
                <w:color w:val="000000"/>
                <w:kern w:val="0"/>
                <w:szCs w:val="20"/>
              </w:rPr>
              <w:t>投标报价得分按公式计算：</w:t>
            </w:r>
          </w:p>
          <w:p>
            <w:pPr>
              <w:spacing w:line="440" w:lineRule="exact"/>
              <w:ind w:firstLine="480" w:firstLineChars="0"/>
              <w:jc w:val="left"/>
              <w:rPr>
                <w:rFonts w:ascii="宋体" w:hAnsi="宋体" w:eastAsia="宋体" w:cs="Times New Roman"/>
                <w:color w:val="000000"/>
                <w:kern w:val="0"/>
                <w:szCs w:val="20"/>
              </w:rPr>
            </w:pPr>
            <w:r>
              <w:rPr>
                <w:rFonts w:ascii="宋体" w:hAnsi="宋体" w:eastAsia="宋体" w:cs="Times New Roman"/>
                <w:color w:val="000000"/>
                <w:kern w:val="0"/>
                <w:szCs w:val="20"/>
              </w:rPr>
              <w:t>投标报价得分=基准价÷投标报价（评标价）×</w:t>
            </w:r>
            <w:r>
              <w:rPr>
                <w:rFonts w:hint="eastAsia" w:ascii="宋体" w:hAnsi="宋体" w:eastAsia="宋体" w:cs="Times New Roman"/>
                <w:color w:val="000000"/>
                <w:kern w:val="0"/>
                <w:szCs w:val="20"/>
              </w:rPr>
              <w:t>20</w:t>
            </w:r>
          </w:p>
          <w:p>
            <w:pPr>
              <w:numPr>
                <w:ilvl w:val="0"/>
                <w:numId w:val="1"/>
              </w:numPr>
              <w:tabs>
                <w:tab w:val="left" w:pos="720"/>
              </w:tabs>
              <w:spacing w:line="440" w:lineRule="exact"/>
              <w:ind w:left="720" w:firstLineChars="0"/>
              <w:jc w:val="left"/>
              <w:rPr>
                <w:rFonts w:ascii="宋体" w:hAnsi="宋体" w:eastAsia="宋体" w:cs="Times New Roman"/>
                <w:color w:val="000000"/>
                <w:kern w:val="0"/>
                <w:szCs w:val="20"/>
              </w:rPr>
            </w:pPr>
            <w:r>
              <w:rPr>
                <w:rFonts w:ascii="宋体" w:hAnsi="宋体" w:eastAsia="宋体" w:cs="Times New Roman"/>
                <w:color w:val="000000"/>
                <w:kern w:val="0"/>
                <w:szCs w:val="20"/>
              </w:rPr>
              <w:t>评标基准价：即满足招标文件要求且投标价格最低的投标报</w:t>
            </w:r>
          </w:p>
          <w:p>
            <w:pPr>
              <w:spacing w:line="440" w:lineRule="exact"/>
              <w:ind w:firstLine="480" w:firstLineChars="0"/>
              <w:jc w:val="left"/>
              <w:rPr>
                <w:rFonts w:ascii="宋体" w:hAnsi="宋体" w:eastAsia="宋体" w:cs="Times New Roman"/>
                <w:color w:val="000000"/>
                <w:kern w:val="0"/>
                <w:szCs w:val="20"/>
              </w:rPr>
            </w:pPr>
            <w:r>
              <w:rPr>
                <w:rFonts w:ascii="宋体" w:hAnsi="宋体" w:eastAsia="宋体" w:cs="Times New Roman"/>
                <w:color w:val="000000"/>
                <w:kern w:val="0"/>
                <w:szCs w:val="20"/>
              </w:rPr>
              <w:t>价为评标基准价。</w:t>
            </w:r>
          </w:p>
          <w:p>
            <w:pPr>
              <w:numPr>
                <w:ilvl w:val="0"/>
                <w:numId w:val="1"/>
              </w:numPr>
              <w:tabs>
                <w:tab w:val="left" w:pos="720"/>
              </w:tabs>
              <w:spacing w:line="440" w:lineRule="exact"/>
              <w:ind w:left="720" w:firstLineChars="0"/>
              <w:jc w:val="left"/>
              <w:rPr>
                <w:rFonts w:ascii="宋体" w:hAnsi="宋体" w:eastAsia="宋体" w:cs="Times New Roman"/>
                <w:color w:val="000000"/>
                <w:kern w:val="0"/>
                <w:szCs w:val="20"/>
              </w:rPr>
            </w:pPr>
            <w:r>
              <w:rPr>
                <w:rFonts w:ascii="宋体" w:hAnsi="宋体" w:eastAsia="宋体" w:cs="Times New Roman"/>
                <w:color w:val="000000"/>
                <w:kern w:val="0"/>
                <w:szCs w:val="20"/>
              </w:rPr>
              <w:t>根据黔财采【2014】15号文，投标人如为中小企业、微型</w:t>
            </w:r>
          </w:p>
          <w:p>
            <w:pPr>
              <w:spacing w:line="440" w:lineRule="exact"/>
              <w:ind w:firstLine="480" w:firstLineChars="0"/>
              <w:jc w:val="left"/>
              <w:rPr>
                <w:rFonts w:ascii="宋体" w:hAnsi="宋体" w:eastAsia="宋体" w:cs="Times New Roman"/>
                <w:color w:val="000000"/>
                <w:kern w:val="0"/>
                <w:szCs w:val="20"/>
              </w:rPr>
            </w:pPr>
            <w:r>
              <w:rPr>
                <w:rFonts w:ascii="宋体" w:hAnsi="宋体" w:eastAsia="宋体" w:cs="Times New Roman"/>
                <w:color w:val="000000"/>
                <w:kern w:val="0"/>
                <w:szCs w:val="20"/>
              </w:rPr>
              <w:t>企业，须提供财库【2011】181号文件所规定的《中小企业声明函》，为小型或微型企业产品的价格给予6%的扣除，用扣除后的价格参与评审（提供有效的相关证明材料）。</w:t>
            </w:r>
          </w:p>
          <w:p>
            <w:pPr>
              <w:pStyle w:val="32"/>
              <w:spacing w:line="244" w:lineRule="auto"/>
              <w:ind w:left="105" w:right="81"/>
              <w:jc w:val="left"/>
              <w:rPr>
                <w:rFonts w:ascii="宋体" w:hAnsi="宋体" w:eastAsia="宋体" w:cs="Times New Roman"/>
                <w:kern w:val="0"/>
                <w:sz w:val="24"/>
                <w:szCs w:val="24"/>
              </w:rPr>
            </w:pPr>
            <w:r>
              <w:rPr>
                <w:rFonts w:ascii="宋体" w:hAnsi="宋体" w:eastAsia="宋体" w:cs="Times New Roman"/>
                <w:color w:val="000000"/>
                <w:kern w:val="0"/>
                <w:sz w:val="21"/>
                <w:szCs w:val="20"/>
                <w:lang w:val="en-US" w:eastAsia="zh-CN" w:bidi="ar-SA"/>
              </w:rPr>
              <w:t>（4）为了避免恶性竞争，当投标报价</w:t>
            </w:r>
            <w:r>
              <w:rPr>
                <w:rFonts w:hint="eastAsia" w:ascii="宋体" w:hAnsi="宋体" w:eastAsia="宋体" w:cs="Times New Roman"/>
                <w:color w:val="000000"/>
                <w:kern w:val="0"/>
                <w:sz w:val="21"/>
                <w:szCs w:val="20"/>
                <w:lang w:val="en-US" w:eastAsia="zh-CN" w:bidi="ar-SA"/>
              </w:rPr>
              <w:t>明显</w:t>
            </w:r>
            <w:r>
              <w:rPr>
                <w:rFonts w:ascii="宋体" w:hAnsi="宋体" w:eastAsia="宋体" w:cs="Times New Roman"/>
                <w:color w:val="000000"/>
                <w:kern w:val="0"/>
                <w:sz w:val="21"/>
                <w:szCs w:val="20"/>
                <w:lang w:val="en-US" w:eastAsia="zh-CN" w:bidi="ar-SA"/>
              </w:rPr>
              <w:t>低于</w:t>
            </w:r>
            <w:r>
              <w:rPr>
                <w:rFonts w:hint="eastAsia" w:ascii="宋体" w:hAnsi="宋体" w:eastAsia="宋体" w:cs="Times New Roman"/>
                <w:color w:val="000000"/>
                <w:kern w:val="0"/>
                <w:sz w:val="21"/>
                <w:szCs w:val="20"/>
                <w:lang w:val="en-US" w:eastAsia="zh-CN" w:bidi="ar-SA"/>
              </w:rPr>
              <w:t>成本</w:t>
            </w:r>
            <w:r>
              <w:rPr>
                <w:rFonts w:ascii="宋体" w:hAnsi="宋体" w:eastAsia="宋体" w:cs="Times New Roman"/>
                <w:color w:val="000000"/>
                <w:kern w:val="0"/>
                <w:sz w:val="21"/>
                <w:szCs w:val="20"/>
                <w:lang w:val="en-US" w:eastAsia="zh-CN" w:bidi="ar-SA"/>
              </w:rPr>
              <w:t>价时，评标委员可以要求投标人在评标现场合理的时间内根据投标文件提交的相关证明材料，投标人进行现场阐述或答疑，评标委员会成员三分之二以上认为投标人不能证明其报价合理性、可行性的，评标委员会不予认可，应当将其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1079" w:type="dxa"/>
            <w:vMerge w:val="restart"/>
            <w:noWrap w:val="0"/>
            <w:vAlign w:val="center"/>
          </w:tcPr>
          <w:p>
            <w:pPr>
              <w:pStyle w:val="32"/>
              <w:spacing w:before="163"/>
              <w:jc w:val="left"/>
              <w:rPr>
                <w:rFonts w:ascii="宋体" w:hAnsi="宋体" w:eastAsia="宋体" w:cs="Times New Roman"/>
                <w:color w:val="000000"/>
                <w:kern w:val="0"/>
                <w:sz w:val="24"/>
                <w:szCs w:val="20"/>
              </w:rPr>
            </w:pPr>
            <w:r>
              <w:rPr>
                <w:rFonts w:hint="eastAsia" w:ascii="宋体" w:hAnsi="宋体" w:eastAsia="宋体" w:cs="Times New Roman"/>
                <w:color w:val="000000"/>
                <w:kern w:val="0"/>
                <w:sz w:val="24"/>
                <w:szCs w:val="20"/>
              </w:rPr>
              <w:t>技术分</w:t>
            </w:r>
          </w:p>
          <w:p>
            <w:pPr>
              <w:pStyle w:val="32"/>
              <w:spacing w:before="4"/>
              <w:ind w:left="105"/>
              <w:jc w:val="left"/>
              <w:rPr>
                <w:rFonts w:ascii="宋体" w:hAnsi="宋体" w:eastAsia="宋体" w:cs="Times New Roman"/>
                <w:color w:val="000000"/>
                <w:kern w:val="0"/>
                <w:sz w:val="24"/>
                <w:szCs w:val="20"/>
              </w:rPr>
            </w:pPr>
            <w:r>
              <w:rPr>
                <w:rFonts w:hint="eastAsia" w:ascii="宋体" w:hAnsi="宋体" w:eastAsia="宋体" w:cs="Times New Roman"/>
                <w:color w:val="000000"/>
                <w:kern w:val="0"/>
                <w:sz w:val="24"/>
                <w:szCs w:val="20"/>
              </w:rPr>
              <w:t>（45分）</w:t>
            </w:r>
          </w:p>
        </w:tc>
        <w:tc>
          <w:tcPr>
            <w:tcW w:w="6650" w:type="dxa"/>
            <w:noWrap w:val="0"/>
            <w:vAlign w:val="top"/>
          </w:tcPr>
          <w:p>
            <w:pPr>
              <w:widowControl/>
              <w:ind w:firstLine="210" w:firstLineChars="100"/>
              <w:jc w:val="left"/>
              <w:rPr>
                <w:rFonts w:ascii="宋体" w:hAnsi="宋体" w:eastAsia="宋体" w:cs="Times New Roman"/>
                <w:color w:val="000000"/>
                <w:kern w:val="0"/>
                <w:szCs w:val="20"/>
              </w:rPr>
            </w:pPr>
            <w:r>
              <w:rPr>
                <w:rFonts w:hint="eastAsia" w:ascii="宋体" w:hAnsi="宋体" w:eastAsia="宋体" w:cs="Times New Roman"/>
                <w:color w:val="000000"/>
                <w:kern w:val="0"/>
                <w:szCs w:val="20"/>
              </w:rPr>
              <w:t xml:space="preserve">完全满足招标文件所列技术参数要求得 </w:t>
            </w:r>
            <w:r>
              <w:rPr>
                <w:rFonts w:ascii="宋体" w:hAnsi="宋体" w:eastAsia="宋体" w:cs="Times New Roman"/>
                <w:color w:val="000000"/>
                <w:kern w:val="0"/>
                <w:szCs w:val="20"/>
              </w:rPr>
              <w:t xml:space="preserve">20 </w:t>
            </w:r>
            <w:r>
              <w:rPr>
                <w:rFonts w:hint="eastAsia" w:ascii="宋体" w:hAnsi="宋体" w:eastAsia="宋体" w:cs="Times New Roman"/>
                <w:color w:val="000000"/>
                <w:kern w:val="0"/>
                <w:szCs w:val="20"/>
              </w:rPr>
              <w:t>分。不满足按无效投标处理且不得分</w:t>
            </w:r>
          </w:p>
          <w:p>
            <w:pPr>
              <w:ind w:firstLine="480" w:firstLineChars="0"/>
              <w:jc w:val="left"/>
              <w:rPr>
                <w:rFonts w:ascii="宋体" w:hAnsi="宋体" w:eastAsia="宋体" w:cs="Times New Roman"/>
                <w:color w:val="000000"/>
                <w:kern w:val="0"/>
                <w:szCs w:val="20"/>
              </w:rPr>
            </w:pPr>
          </w:p>
        </w:tc>
        <w:tc>
          <w:tcPr>
            <w:tcW w:w="801" w:type="dxa"/>
            <w:noWrap w:val="0"/>
            <w:vAlign w:val="center"/>
          </w:tcPr>
          <w:p>
            <w:pPr>
              <w:pStyle w:val="32"/>
              <w:spacing w:line="244" w:lineRule="exact"/>
              <w:ind w:left="104"/>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079" w:type="dxa"/>
            <w:vMerge w:val="continue"/>
            <w:noWrap w:val="0"/>
            <w:vAlign w:val="top"/>
          </w:tcPr>
          <w:p>
            <w:pPr>
              <w:widowControl/>
              <w:ind w:firstLine="210" w:firstLineChars="100"/>
              <w:jc w:val="left"/>
              <w:rPr>
                <w:rFonts w:ascii="宋体" w:hAnsi="宋体" w:eastAsia="宋体" w:cs="Times New Roman"/>
                <w:color w:val="000000"/>
                <w:kern w:val="0"/>
                <w:szCs w:val="20"/>
              </w:rPr>
            </w:pPr>
          </w:p>
        </w:tc>
        <w:tc>
          <w:tcPr>
            <w:tcW w:w="6650" w:type="dxa"/>
            <w:noWrap w:val="0"/>
            <w:vAlign w:val="top"/>
          </w:tcPr>
          <w:p>
            <w:pPr>
              <w:widowControl/>
              <w:ind w:firstLine="210" w:firstLineChars="100"/>
              <w:jc w:val="left"/>
              <w:rPr>
                <w:rFonts w:ascii="宋体" w:hAnsi="宋体" w:eastAsia="宋体" w:cs="Times New Roman"/>
                <w:color w:val="000000"/>
                <w:kern w:val="0"/>
                <w:szCs w:val="20"/>
              </w:rPr>
            </w:pPr>
            <w:r>
              <w:rPr>
                <w:rFonts w:ascii="宋体" w:hAnsi="宋体" w:eastAsia="宋体" w:cs="Times New Roman"/>
                <w:color w:val="000000"/>
                <w:kern w:val="0"/>
                <w:szCs w:val="20"/>
              </w:rPr>
              <w:t>1.</w:t>
            </w:r>
            <w:r>
              <w:rPr>
                <w:rFonts w:hint="eastAsia" w:ascii="宋体" w:hAnsi="宋体" w:eastAsia="宋体" w:cs="Times New Roman"/>
                <w:color w:val="000000"/>
                <w:kern w:val="0"/>
                <w:szCs w:val="20"/>
              </w:rPr>
              <w:t xml:space="preserve">售后服务承诺：承诺完全满足采购文件第 </w:t>
            </w:r>
            <w:r>
              <w:rPr>
                <w:rFonts w:ascii="宋体" w:hAnsi="宋体" w:eastAsia="宋体" w:cs="Times New Roman"/>
                <w:color w:val="000000"/>
                <w:kern w:val="0"/>
                <w:szCs w:val="20"/>
              </w:rPr>
              <w:t xml:space="preserve">4 </w:t>
            </w:r>
            <w:r>
              <w:rPr>
                <w:rFonts w:hint="eastAsia" w:ascii="宋体" w:hAnsi="宋体" w:eastAsia="宋体" w:cs="Times New Roman"/>
                <w:color w:val="000000"/>
                <w:kern w:val="0"/>
                <w:szCs w:val="20"/>
              </w:rPr>
              <w:t xml:space="preserve">章采购人需求第二节商务要求第 </w:t>
            </w:r>
            <w:r>
              <w:rPr>
                <w:rFonts w:ascii="宋体" w:hAnsi="宋体" w:eastAsia="宋体" w:cs="Times New Roman"/>
                <w:color w:val="000000"/>
                <w:kern w:val="0"/>
                <w:szCs w:val="20"/>
              </w:rPr>
              <w:t xml:space="preserve">5 </w:t>
            </w:r>
            <w:r>
              <w:rPr>
                <w:rFonts w:hint="eastAsia" w:ascii="宋体" w:hAnsi="宋体" w:eastAsia="宋体" w:cs="Times New Roman"/>
                <w:color w:val="000000"/>
                <w:kern w:val="0"/>
                <w:szCs w:val="20"/>
              </w:rPr>
              <w:t xml:space="preserve">点售后服务要求得 </w:t>
            </w:r>
            <w:r>
              <w:rPr>
                <w:rFonts w:ascii="宋体" w:hAnsi="宋体" w:eastAsia="宋体" w:cs="Times New Roman"/>
                <w:color w:val="000000"/>
                <w:kern w:val="0"/>
                <w:szCs w:val="20"/>
              </w:rPr>
              <w:t xml:space="preserve">5 </w:t>
            </w:r>
            <w:r>
              <w:rPr>
                <w:rFonts w:hint="eastAsia" w:ascii="宋体" w:hAnsi="宋体" w:eastAsia="宋体" w:cs="Times New Roman"/>
                <w:color w:val="000000"/>
                <w:kern w:val="0"/>
                <w:szCs w:val="20"/>
              </w:rPr>
              <w:t xml:space="preserve">分。无承诺不得分。 </w:t>
            </w:r>
          </w:p>
          <w:p>
            <w:pPr>
              <w:widowControl/>
              <w:ind w:firstLine="210" w:firstLineChars="100"/>
              <w:jc w:val="left"/>
              <w:rPr>
                <w:rFonts w:ascii="宋体" w:hAnsi="宋体" w:eastAsia="宋体" w:cs="Times New Roman"/>
                <w:color w:val="000000"/>
                <w:kern w:val="0"/>
                <w:szCs w:val="20"/>
              </w:rPr>
            </w:pPr>
            <w:r>
              <w:rPr>
                <w:rFonts w:hint="eastAsia" w:ascii="宋体" w:hAnsi="宋体" w:eastAsia="宋体" w:cs="Times New Roman"/>
                <w:color w:val="000000"/>
                <w:kern w:val="0"/>
                <w:szCs w:val="20"/>
              </w:rPr>
              <w:t xml:space="preserve">2．售后服务方案：售后服务方案内容需包含 </w:t>
            </w:r>
            <w:r>
              <w:rPr>
                <w:rFonts w:ascii="宋体" w:hAnsi="宋体" w:eastAsia="宋体" w:cs="Times New Roman"/>
                <w:color w:val="000000"/>
                <w:kern w:val="0"/>
                <w:szCs w:val="20"/>
              </w:rPr>
              <w:t>1</w:t>
            </w:r>
            <w:r>
              <w:rPr>
                <w:rFonts w:hint="eastAsia" w:ascii="宋体" w:hAnsi="宋体" w:eastAsia="宋体" w:cs="Times New Roman"/>
                <w:color w:val="000000"/>
                <w:kern w:val="0"/>
                <w:szCs w:val="20"/>
              </w:rPr>
              <w:t>、档案保存制度；</w:t>
            </w:r>
            <w:r>
              <w:rPr>
                <w:rFonts w:ascii="宋体" w:hAnsi="宋体" w:eastAsia="宋体" w:cs="Times New Roman"/>
                <w:color w:val="000000"/>
                <w:kern w:val="0"/>
                <w:szCs w:val="20"/>
              </w:rPr>
              <w:t>2</w:t>
            </w:r>
            <w:r>
              <w:rPr>
                <w:rFonts w:hint="eastAsia" w:ascii="宋体" w:hAnsi="宋体" w:eastAsia="宋体" w:cs="Times New Roman"/>
                <w:color w:val="000000"/>
                <w:kern w:val="0"/>
                <w:szCs w:val="20"/>
              </w:rPr>
              <w:t>、人 员服务管理制度；</w:t>
            </w:r>
            <w:r>
              <w:rPr>
                <w:rFonts w:ascii="宋体" w:hAnsi="宋体" w:eastAsia="宋体" w:cs="Times New Roman"/>
                <w:color w:val="000000"/>
                <w:kern w:val="0"/>
                <w:szCs w:val="20"/>
              </w:rPr>
              <w:t>3</w:t>
            </w:r>
            <w:r>
              <w:rPr>
                <w:rFonts w:hint="eastAsia" w:ascii="宋体" w:hAnsi="宋体" w:eastAsia="宋体" w:cs="Times New Roman"/>
                <w:color w:val="000000"/>
                <w:kern w:val="0"/>
                <w:szCs w:val="20"/>
              </w:rPr>
              <w:t xml:space="preserve">、保密制度。由评审专家进行横向比较打分优得 7-10 分；良得 4-6.9 分；一般及较差得 0-3.9 分。 </w:t>
            </w:r>
          </w:p>
        </w:tc>
        <w:tc>
          <w:tcPr>
            <w:tcW w:w="801" w:type="dxa"/>
            <w:noWrap w:val="0"/>
            <w:vAlign w:val="center"/>
          </w:tcPr>
          <w:p>
            <w:pPr>
              <w:spacing w:line="400" w:lineRule="exact"/>
              <w:ind w:right="-120" w:rightChars="-57" w:firstLine="480" w:firstLineChars="0"/>
              <w:jc w:val="left"/>
              <w:rPr>
                <w:rFonts w:ascii="宋体" w:hAnsi="宋体" w:eastAsia="宋体" w:cs="Times New Roman"/>
                <w:color w:val="000000"/>
                <w:kern w:val="0"/>
                <w:szCs w:val="24"/>
              </w:rPr>
            </w:pPr>
            <w:r>
              <w:rPr>
                <w:rFonts w:hint="eastAsia" w:ascii="宋体" w:hAnsi="宋体" w:eastAsia="宋体" w:cs="Times New Roman"/>
                <w:color w:val="000000"/>
                <w:kern w:val="0"/>
                <w:szCs w:val="24"/>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1079" w:type="dxa"/>
            <w:noWrap w:val="0"/>
            <w:vAlign w:val="top"/>
          </w:tcPr>
          <w:p>
            <w:pPr>
              <w:ind w:firstLine="480" w:firstLineChars="0"/>
              <w:jc w:val="left"/>
              <w:rPr>
                <w:rFonts w:ascii="宋体" w:hAnsi="宋体" w:eastAsia="宋体" w:cs="Times New Roman"/>
                <w:color w:val="000000"/>
                <w:kern w:val="0"/>
                <w:szCs w:val="20"/>
              </w:rPr>
            </w:pPr>
          </w:p>
        </w:tc>
        <w:tc>
          <w:tcPr>
            <w:tcW w:w="6650" w:type="dxa"/>
            <w:noWrap w:val="0"/>
            <w:vAlign w:val="top"/>
          </w:tcPr>
          <w:p>
            <w:pPr>
              <w:widowControl/>
              <w:ind w:firstLine="210" w:firstLineChars="100"/>
              <w:jc w:val="left"/>
              <w:rPr>
                <w:rFonts w:ascii="宋体" w:hAnsi="宋体" w:eastAsia="宋体" w:cs="Times New Roman"/>
                <w:color w:val="000000"/>
                <w:kern w:val="0"/>
                <w:szCs w:val="20"/>
              </w:rPr>
            </w:pPr>
            <w:r>
              <w:rPr>
                <w:rFonts w:hint="eastAsia" w:ascii="宋体" w:hAnsi="宋体" w:eastAsia="宋体" w:cs="Times New Roman"/>
                <w:color w:val="000000"/>
                <w:kern w:val="0"/>
                <w:szCs w:val="20"/>
              </w:rPr>
              <w:t xml:space="preserve">根据投标人对总体方案的设计思路、应用部署、可行性、是否符合用 户需求进行综合评定：由评审专家进行横向比较打分优得 4-5 分；良得 3.9-2 分；一般及较差得 0-1.9 分。 </w:t>
            </w:r>
          </w:p>
        </w:tc>
        <w:tc>
          <w:tcPr>
            <w:tcW w:w="801" w:type="dxa"/>
            <w:noWrap w:val="0"/>
            <w:vAlign w:val="center"/>
          </w:tcPr>
          <w:p>
            <w:pPr>
              <w:spacing w:line="400" w:lineRule="exact"/>
              <w:ind w:right="-120" w:rightChars="-57" w:firstLine="480" w:firstLineChars="0"/>
              <w:jc w:val="left"/>
              <w:rPr>
                <w:rFonts w:ascii="宋体" w:hAnsi="宋体" w:eastAsia="宋体" w:cs="Times New Roman"/>
                <w:color w:val="000000"/>
                <w:kern w:val="0"/>
                <w:szCs w:val="24"/>
              </w:rPr>
            </w:pPr>
            <w:r>
              <w:rPr>
                <w:rFonts w:hint="eastAsia" w:ascii="宋体" w:hAnsi="宋体" w:eastAsia="宋体" w:cs="Times New Roman"/>
                <w:color w:val="000000"/>
                <w:kern w:val="0"/>
                <w:szCs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1079" w:type="dxa"/>
            <w:noWrap w:val="0"/>
            <w:vAlign w:val="top"/>
          </w:tcPr>
          <w:p>
            <w:pPr>
              <w:ind w:firstLine="480" w:firstLineChars="0"/>
              <w:jc w:val="left"/>
              <w:rPr>
                <w:rFonts w:ascii="宋体" w:hAnsi="宋体" w:eastAsia="宋体" w:cs="Times New Roman"/>
                <w:color w:val="000000"/>
                <w:kern w:val="0"/>
                <w:szCs w:val="20"/>
              </w:rPr>
            </w:pPr>
          </w:p>
        </w:tc>
        <w:tc>
          <w:tcPr>
            <w:tcW w:w="6650" w:type="dxa"/>
            <w:noWrap w:val="0"/>
            <w:vAlign w:val="top"/>
          </w:tcPr>
          <w:p>
            <w:pPr>
              <w:widowControl/>
              <w:ind w:firstLine="210" w:firstLineChars="100"/>
              <w:jc w:val="left"/>
              <w:rPr>
                <w:rFonts w:ascii="宋体" w:hAnsi="宋体" w:eastAsia="宋体" w:cs="Times New Roman"/>
                <w:color w:val="000000"/>
                <w:kern w:val="0"/>
                <w:szCs w:val="20"/>
              </w:rPr>
            </w:pPr>
            <w:r>
              <w:rPr>
                <w:rFonts w:hint="eastAsia" w:ascii="宋体" w:hAnsi="宋体" w:eastAsia="宋体" w:cs="Times New Roman"/>
                <w:color w:val="000000"/>
                <w:kern w:val="0"/>
                <w:szCs w:val="20"/>
              </w:rPr>
              <w:t>根据投标人对本项目工作的进度安排进行综合评分；由评审专家进行横向比较打分优得 4-5 分；良得 3.9-2 分；一般及较差得 0-1.9 分</w:t>
            </w:r>
          </w:p>
        </w:tc>
        <w:tc>
          <w:tcPr>
            <w:tcW w:w="801" w:type="dxa"/>
            <w:noWrap w:val="0"/>
            <w:vAlign w:val="center"/>
          </w:tcPr>
          <w:p>
            <w:pPr>
              <w:spacing w:line="400" w:lineRule="exact"/>
              <w:ind w:right="-120" w:rightChars="-57" w:firstLine="480" w:firstLineChars="0"/>
              <w:jc w:val="left"/>
              <w:rPr>
                <w:rFonts w:ascii="宋体" w:hAnsi="宋体" w:eastAsia="宋体" w:cs="Times New Roman"/>
                <w:color w:val="000000"/>
                <w:kern w:val="0"/>
                <w:szCs w:val="24"/>
              </w:rPr>
            </w:pPr>
            <w:r>
              <w:rPr>
                <w:rFonts w:hint="eastAsia" w:ascii="宋体" w:hAnsi="宋体" w:eastAsia="宋体" w:cs="Times New Roman"/>
                <w:color w:val="000000"/>
                <w:kern w:val="0"/>
                <w:szCs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079" w:type="dxa"/>
            <w:vMerge w:val="restart"/>
            <w:noWrap w:val="0"/>
            <w:vAlign w:val="center"/>
          </w:tcPr>
          <w:p>
            <w:pPr>
              <w:ind w:firstLine="0" w:firstLineChars="0"/>
              <w:jc w:val="left"/>
              <w:rPr>
                <w:rFonts w:ascii="宋体" w:hAnsi="宋体" w:eastAsia="宋体" w:cs="Times New Roman"/>
                <w:color w:val="000000"/>
                <w:kern w:val="0"/>
                <w:szCs w:val="20"/>
              </w:rPr>
            </w:pPr>
            <w:r>
              <w:rPr>
                <w:rFonts w:hint="eastAsia" w:ascii="宋体" w:hAnsi="宋体" w:eastAsia="宋体" w:cs="Times New Roman"/>
                <w:color w:val="000000"/>
                <w:kern w:val="0"/>
                <w:szCs w:val="20"/>
              </w:rPr>
              <w:t>商务分</w:t>
            </w:r>
          </w:p>
          <w:p>
            <w:pPr>
              <w:ind w:firstLine="0" w:firstLineChars="0"/>
              <w:jc w:val="left"/>
              <w:rPr>
                <w:rFonts w:ascii="宋体" w:hAnsi="宋体" w:eastAsia="宋体" w:cs="Times New Roman"/>
                <w:color w:val="000000"/>
                <w:kern w:val="0"/>
                <w:szCs w:val="20"/>
              </w:rPr>
            </w:pPr>
            <w:r>
              <w:rPr>
                <w:rFonts w:hint="eastAsia" w:ascii="宋体" w:hAnsi="宋体" w:eastAsia="宋体" w:cs="Times New Roman"/>
                <w:color w:val="000000"/>
                <w:kern w:val="0"/>
                <w:szCs w:val="20"/>
              </w:rPr>
              <w:t>（35分）</w:t>
            </w:r>
          </w:p>
        </w:tc>
        <w:tc>
          <w:tcPr>
            <w:tcW w:w="6650" w:type="dxa"/>
            <w:noWrap w:val="0"/>
            <w:vAlign w:val="center"/>
          </w:tcPr>
          <w:p>
            <w:pPr>
              <w:widowControl/>
              <w:ind w:firstLine="210" w:firstLineChars="100"/>
              <w:jc w:val="left"/>
              <w:rPr>
                <w:rFonts w:ascii="宋体" w:hAnsi="宋体" w:eastAsia="宋体" w:cs="Times New Roman"/>
                <w:color w:val="000000"/>
                <w:kern w:val="0"/>
                <w:szCs w:val="20"/>
              </w:rPr>
            </w:pPr>
            <w:r>
              <w:rPr>
                <w:rFonts w:hint="eastAsia" w:ascii="宋体" w:hAnsi="宋体" w:eastAsia="宋体" w:cs="Times New Roman"/>
                <w:color w:val="000000"/>
                <w:kern w:val="0"/>
                <w:szCs w:val="20"/>
              </w:rPr>
              <w:t xml:space="preserve">项目负责人：项目负责人具备林业相关专业高级职称以上的得5 分，中级以上职称得3分；技术负责人具备林业相关专业高级及以上职称的得5分，中级以上职称得3分。本项满分 </w:t>
            </w:r>
            <w:r>
              <w:rPr>
                <w:rFonts w:ascii="宋体" w:hAnsi="宋体" w:eastAsia="宋体" w:cs="Times New Roman"/>
                <w:color w:val="000000"/>
                <w:kern w:val="0"/>
                <w:szCs w:val="20"/>
              </w:rPr>
              <w:t xml:space="preserve">10 </w:t>
            </w:r>
            <w:r>
              <w:rPr>
                <w:rFonts w:hint="eastAsia" w:ascii="宋体" w:hAnsi="宋体" w:eastAsia="宋体" w:cs="Times New Roman"/>
                <w:color w:val="000000"/>
                <w:kern w:val="0"/>
                <w:szCs w:val="20"/>
              </w:rPr>
              <w:t xml:space="preserve">分，不提供不得分。 </w:t>
            </w:r>
          </w:p>
        </w:tc>
        <w:tc>
          <w:tcPr>
            <w:tcW w:w="801" w:type="dxa"/>
            <w:noWrap w:val="0"/>
            <w:vAlign w:val="center"/>
          </w:tcPr>
          <w:p>
            <w:pPr>
              <w:pStyle w:val="32"/>
              <w:jc w:val="left"/>
              <w:rPr>
                <w:rFonts w:ascii="宋体" w:hAnsi="宋体" w:eastAsia="宋体" w:cs="Times New Roman"/>
                <w:color w:val="000000"/>
                <w:kern w:val="0"/>
                <w:sz w:val="24"/>
                <w:szCs w:val="24"/>
              </w:rPr>
            </w:pPr>
          </w:p>
          <w:p>
            <w:pPr>
              <w:pStyle w:val="32"/>
              <w:spacing w:line="252" w:lineRule="exact"/>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079" w:type="dxa"/>
            <w:vMerge w:val="continue"/>
            <w:noWrap w:val="0"/>
            <w:vAlign w:val="center"/>
          </w:tcPr>
          <w:p>
            <w:pPr>
              <w:ind w:firstLine="480" w:firstLineChars="0"/>
              <w:jc w:val="left"/>
              <w:rPr>
                <w:rFonts w:ascii="宋体" w:hAnsi="宋体" w:eastAsia="宋体" w:cs="Times New Roman"/>
                <w:color w:val="000000"/>
                <w:kern w:val="0"/>
                <w:szCs w:val="20"/>
              </w:rPr>
            </w:pPr>
          </w:p>
        </w:tc>
        <w:tc>
          <w:tcPr>
            <w:tcW w:w="6650" w:type="dxa"/>
            <w:noWrap w:val="0"/>
            <w:vAlign w:val="center"/>
          </w:tcPr>
          <w:p>
            <w:pPr>
              <w:widowControl/>
              <w:ind w:firstLine="210" w:firstLineChars="100"/>
              <w:jc w:val="left"/>
              <w:rPr>
                <w:rFonts w:ascii="宋体" w:hAnsi="宋体" w:eastAsia="宋体" w:cs="Times New Roman"/>
                <w:color w:val="000000"/>
                <w:kern w:val="0"/>
                <w:szCs w:val="20"/>
              </w:rPr>
            </w:pPr>
            <w:r>
              <w:rPr>
                <w:rFonts w:hint="eastAsia" w:ascii="宋体" w:hAnsi="宋体" w:eastAsia="宋体" w:cs="Times New Roman"/>
                <w:color w:val="000000"/>
                <w:kern w:val="0"/>
                <w:szCs w:val="20"/>
              </w:rPr>
              <w:t xml:space="preserve">项目实施团队：投标人拟派的项目成员，具备林业相关专业高级职称的， 每人得 3 分；林业相关专业中级职称的，每人得 </w:t>
            </w:r>
            <w:r>
              <w:rPr>
                <w:rFonts w:ascii="宋体" w:hAnsi="宋体" w:eastAsia="宋体" w:cs="Times New Roman"/>
                <w:color w:val="000000"/>
                <w:kern w:val="0"/>
                <w:szCs w:val="20"/>
              </w:rPr>
              <w:t xml:space="preserve">2 </w:t>
            </w:r>
            <w:r>
              <w:rPr>
                <w:rFonts w:hint="eastAsia" w:ascii="宋体" w:hAnsi="宋体" w:eastAsia="宋体" w:cs="Times New Roman"/>
                <w:color w:val="000000"/>
                <w:kern w:val="0"/>
                <w:szCs w:val="20"/>
              </w:rPr>
              <w:t xml:space="preserve">分；其余情况不得分， 本项最高不超过 </w:t>
            </w:r>
            <w:r>
              <w:rPr>
                <w:rFonts w:ascii="宋体" w:hAnsi="宋体" w:eastAsia="宋体" w:cs="Times New Roman"/>
                <w:color w:val="000000"/>
                <w:kern w:val="0"/>
                <w:szCs w:val="20"/>
              </w:rPr>
              <w:t>1</w:t>
            </w:r>
            <w:r>
              <w:rPr>
                <w:rFonts w:hint="eastAsia" w:ascii="宋体" w:hAnsi="宋体" w:eastAsia="宋体" w:cs="Times New Roman"/>
                <w:color w:val="000000"/>
                <w:kern w:val="0"/>
                <w:szCs w:val="20"/>
              </w:rPr>
              <w:t xml:space="preserve">0分。本项满分 </w:t>
            </w:r>
            <w:r>
              <w:rPr>
                <w:rFonts w:ascii="宋体" w:hAnsi="宋体" w:eastAsia="宋体" w:cs="Times New Roman"/>
                <w:color w:val="000000"/>
                <w:kern w:val="0"/>
                <w:szCs w:val="20"/>
              </w:rPr>
              <w:t>1</w:t>
            </w:r>
            <w:r>
              <w:rPr>
                <w:rFonts w:hint="eastAsia" w:ascii="宋体" w:hAnsi="宋体" w:eastAsia="宋体" w:cs="Times New Roman"/>
                <w:color w:val="000000"/>
                <w:kern w:val="0"/>
                <w:szCs w:val="20"/>
              </w:rPr>
              <w:t xml:space="preserve">0分，不提供不得分。（项目实施团队的职称证书聘用单位需是投标人本单位，若聘用单位与投标人名称不符，则需提供人员社保作为佐证材料。） </w:t>
            </w:r>
          </w:p>
          <w:p>
            <w:pPr>
              <w:ind w:firstLine="480" w:firstLineChars="0"/>
              <w:jc w:val="left"/>
              <w:rPr>
                <w:rFonts w:ascii="宋体" w:hAnsi="宋体" w:eastAsia="宋体" w:cs="Times New Roman"/>
                <w:color w:val="000000"/>
                <w:kern w:val="0"/>
                <w:szCs w:val="20"/>
              </w:rPr>
            </w:pPr>
          </w:p>
        </w:tc>
        <w:tc>
          <w:tcPr>
            <w:tcW w:w="801" w:type="dxa"/>
            <w:noWrap w:val="0"/>
            <w:vAlign w:val="center"/>
          </w:tcPr>
          <w:p>
            <w:pPr>
              <w:pStyle w:val="32"/>
              <w:spacing w:line="252" w:lineRule="exact"/>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079" w:type="dxa"/>
            <w:vMerge w:val="continue"/>
            <w:noWrap w:val="0"/>
            <w:vAlign w:val="center"/>
          </w:tcPr>
          <w:p>
            <w:pPr>
              <w:ind w:firstLine="480" w:firstLineChars="0"/>
              <w:jc w:val="left"/>
              <w:rPr>
                <w:rFonts w:ascii="宋体" w:hAnsi="宋体" w:eastAsia="宋体" w:cs="Times New Roman"/>
                <w:color w:val="000000"/>
                <w:kern w:val="0"/>
                <w:szCs w:val="20"/>
              </w:rPr>
            </w:pPr>
          </w:p>
        </w:tc>
        <w:tc>
          <w:tcPr>
            <w:tcW w:w="6650" w:type="dxa"/>
            <w:noWrap w:val="0"/>
            <w:vAlign w:val="center"/>
          </w:tcPr>
          <w:p>
            <w:pPr>
              <w:widowControl/>
              <w:ind w:firstLine="210" w:firstLineChars="100"/>
              <w:jc w:val="left"/>
              <w:rPr>
                <w:rFonts w:ascii="宋体" w:hAnsi="宋体" w:eastAsia="宋体" w:cs="Times New Roman"/>
                <w:color w:val="000000"/>
                <w:kern w:val="0"/>
                <w:szCs w:val="20"/>
              </w:rPr>
            </w:pPr>
            <w:r>
              <w:rPr>
                <w:rFonts w:hint="eastAsia" w:ascii="宋体" w:hAnsi="宋体" w:eastAsia="宋体" w:cs="Times New Roman"/>
                <w:color w:val="000000"/>
                <w:kern w:val="0"/>
                <w:szCs w:val="20"/>
              </w:rPr>
              <w:t>企业业绩：</w:t>
            </w:r>
          </w:p>
          <w:p>
            <w:pPr>
              <w:widowControl/>
              <w:ind w:firstLine="210" w:firstLineChars="100"/>
              <w:jc w:val="left"/>
              <w:rPr>
                <w:rFonts w:ascii="宋体" w:hAnsi="宋体" w:eastAsia="宋体" w:cs="Times New Roman"/>
                <w:color w:val="000000"/>
                <w:kern w:val="0"/>
                <w:szCs w:val="20"/>
              </w:rPr>
            </w:pPr>
            <w:r>
              <w:rPr>
                <w:rFonts w:ascii="宋体" w:hAnsi="宋体" w:eastAsia="宋体" w:cs="Times New Roman"/>
                <w:color w:val="000000"/>
                <w:kern w:val="0"/>
                <w:szCs w:val="20"/>
              </w:rPr>
              <w:t>1.</w:t>
            </w:r>
            <w:r>
              <w:rPr>
                <w:rFonts w:hint="eastAsia" w:ascii="宋体" w:hAnsi="宋体" w:eastAsia="宋体" w:cs="Times New Roman"/>
                <w:color w:val="000000"/>
                <w:kern w:val="0"/>
                <w:szCs w:val="20"/>
              </w:rPr>
              <w:t xml:space="preserve">提供 </w:t>
            </w:r>
            <w:r>
              <w:rPr>
                <w:rFonts w:ascii="宋体" w:hAnsi="宋体" w:eastAsia="宋体" w:cs="Times New Roman"/>
                <w:color w:val="000000"/>
                <w:kern w:val="0"/>
                <w:szCs w:val="20"/>
              </w:rPr>
              <w:t xml:space="preserve">2018 </w:t>
            </w:r>
            <w:r>
              <w:rPr>
                <w:rFonts w:hint="eastAsia" w:ascii="宋体" w:hAnsi="宋体" w:eastAsia="宋体" w:cs="Times New Roman"/>
                <w:color w:val="000000"/>
                <w:kern w:val="0"/>
                <w:szCs w:val="20"/>
              </w:rPr>
              <w:t xml:space="preserve">年至今涉及自然保护地科学考察、环境影响评价、总体规划等的业绩， 每提供一个业绩中标通知书或合同复印件得 </w:t>
            </w:r>
            <w:r>
              <w:rPr>
                <w:rFonts w:ascii="宋体" w:hAnsi="宋体" w:eastAsia="宋体" w:cs="Times New Roman"/>
                <w:color w:val="000000"/>
                <w:kern w:val="0"/>
                <w:szCs w:val="20"/>
              </w:rPr>
              <w:t xml:space="preserve">2 </w:t>
            </w:r>
            <w:r>
              <w:rPr>
                <w:rFonts w:hint="eastAsia" w:ascii="宋体" w:hAnsi="宋体" w:eastAsia="宋体" w:cs="Times New Roman"/>
                <w:color w:val="000000"/>
                <w:kern w:val="0"/>
                <w:szCs w:val="20"/>
              </w:rPr>
              <w:t xml:space="preserve">分，最多得 </w:t>
            </w:r>
            <w:r>
              <w:rPr>
                <w:rFonts w:ascii="宋体" w:hAnsi="宋体" w:eastAsia="宋体" w:cs="Times New Roman"/>
                <w:color w:val="000000"/>
                <w:kern w:val="0"/>
                <w:szCs w:val="20"/>
              </w:rPr>
              <w:t xml:space="preserve">10 </w:t>
            </w:r>
            <w:r>
              <w:rPr>
                <w:rFonts w:hint="eastAsia" w:ascii="宋体" w:hAnsi="宋体" w:eastAsia="宋体" w:cs="Times New Roman"/>
                <w:color w:val="000000"/>
                <w:kern w:val="0"/>
                <w:szCs w:val="20"/>
              </w:rPr>
              <w:t>分。</w:t>
            </w:r>
            <w:r>
              <w:rPr>
                <w:rFonts w:ascii="宋体" w:hAnsi="宋体" w:eastAsia="宋体" w:cs="Times New Roman"/>
                <w:color w:val="000000"/>
                <w:kern w:val="0"/>
                <w:szCs w:val="20"/>
              </w:rPr>
              <w:t>2.</w:t>
            </w:r>
            <w:r>
              <w:rPr>
                <w:rFonts w:hint="eastAsia" w:ascii="宋体" w:hAnsi="宋体" w:eastAsia="宋体" w:cs="Times New Roman"/>
                <w:color w:val="000000"/>
                <w:kern w:val="0"/>
                <w:szCs w:val="20"/>
              </w:rPr>
              <w:t xml:space="preserve">提供的业绩中有通过省林业局出具的通过评审意见书或省林业局批复的准予行政许可决定书一个加 </w:t>
            </w:r>
            <w:r>
              <w:rPr>
                <w:rFonts w:ascii="宋体" w:hAnsi="宋体" w:eastAsia="宋体" w:cs="Times New Roman"/>
                <w:color w:val="000000"/>
                <w:kern w:val="0"/>
                <w:szCs w:val="20"/>
              </w:rPr>
              <w:t xml:space="preserve">1.5 </w:t>
            </w:r>
            <w:r>
              <w:rPr>
                <w:rFonts w:hint="eastAsia" w:ascii="宋体" w:hAnsi="宋体" w:eastAsia="宋体" w:cs="Times New Roman"/>
                <w:color w:val="000000"/>
                <w:kern w:val="0"/>
                <w:szCs w:val="20"/>
              </w:rPr>
              <w:t xml:space="preserve">分，最多得 </w:t>
            </w:r>
            <w:r>
              <w:rPr>
                <w:rFonts w:ascii="宋体" w:hAnsi="宋体" w:eastAsia="宋体" w:cs="Times New Roman"/>
                <w:color w:val="000000"/>
                <w:kern w:val="0"/>
                <w:szCs w:val="20"/>
              </w:rPr>
              <w:t xml:space="preserve">3 </w:t>
            </w:r>
            <w:r>
              <w:rPr>
                <w:rFonts w:hint="eastAsia" w:ascii="宋体" w:hAnsi="宋体" w:eastAsia="宋体" w:cs="Times New Roman"/>
                <w:color w:val="000000"/>
                <w:kern w:val="0"/>
                <w:szCs w:val="20"/>
              </w:rPr>
              <w:t>分。本条满分15</w:t>
            </w:r>
            <w:r>
              <w:rPr>
                <w:rFonts w:ascii="宋体" w:hAnsi="宋体" w:eastAsia="宋体" w:cs="Times New Roman"/>
                <w:color w:val="000000"/>
                <w:kern w:val="0"/>
                <w:szCs w:val="20"/>
              </w:rPr>
              <w:t xml:space="preserve"> </w:t>
            </w:r>
            <w:r>
              <w:rPr>
                <w:rFonts w:hint="eastAsia" w:ascii="宋体" w:hAnsi="宋体" w:eastAsia="宋体" w:cs="Times New Roman"/>
                <w:color w:val="000000"/>
                <w:kern w:val="0"/>
                <w:szCs w:val="20"/>
              </w:rPr>
              <w:t>分，不提供不得分</w:t>
            </w:r>
          </w:p>
        </w:tc>
        <w:tc>
          <w:tcPr>
            <w:tcW w:w="801" w:type="dxa"/>
            <w:noWrap w:val="0"/>
            <w:vAlign w:val="center"/>
          </w:tcPr>
          <w:p>
            <w:pPr>
              <w:pStyle w:val="32"/>
              <w:spacing w:line="252" w:lineRule="exact"/>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729" w:type="dxa"/>
            <w:gridSpan w:val="2"/>
            <w:vMerge w:val="restart"/>
            <w:shd w:val="clear" w:color="auto" w:fill="FFFFFF"/>
            <w:noWrap w:val="0"/>
            <w:vAlign w:val="top"/>
          </w:tcPr>
          <w:p>
            <w:pPr>
              <w:ind w:firstLine="480" w:firstLineChars="0"/>
              <w:jc w:val="left"/>
              <w:rPr>
                <w:rFonts w:ascii="宋体" w:hAnsi="宋体" w:eastAsia="宋体" w:cs="Times New Roman"/>
                <w:color w:val="000000"/>
                <w:kern w:val="0"/>
                <w:szCs w:val="20"/>
              </w:rPr>
            </w:pPr>
          </w:p>
        </w:tc>
        <w:tc>
          <w:tcPr>
            <w:tcW w:w="801" w:type="dxa"/>
            <w:vMerge w:val="restart"/>
            <w:shd w:val="clear" w:color="auto" w:fill="FFFFFF"/>
            <w:noWrap w:val="0"/>
            <w:vAlign w:val="center"/>
          </w:tcPr>
          <w:p>
            <w:pPr>
              <w:pStyle w:val="32"/>
              <w:spacing w:before="92"/>
              <w:ind w:left="102"/>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729" w:type="dxa"/>
            <w:gridSpan w:val="2"/>
            <w:vMerge w:val="continue"/>
            <w:tcBorders>
              <w:top w:val="nil"/>
            </w:tcBorders>
            <w:shd w:val="clear" w:color="auto" w:fill="FFFFFF"/>
            <w:noWrap w:val="0"/>
            <w:vAlign w:val="top"/>
          </w:tcPr>
          <w:p>
            <w:pPr>
              <w:ind w:firstLine="40" w:firstLineChars="0"/>
              <w:jc w:val="left"/>
              <w:rPr>
                <w:rFonts w:ascii="Times New Roman" w:hAnsi="Times New Roman" w:eastAsia="宋体" w:cs="Times New Roman"/>
                <w:color w:val="FF0000"/>
                <w:kern w:val="0"/>
                <w:sz w:val="2"/>
                <w:szCs w:val="2"/>
              </w:rPr>
            </w:pPr>
          </w:p>
        </w:tc>
        <w:tc>
          <w:tcPr>
            <w:tcW w:w="801" w:type="dxa"/>
            <w:vMerge w:val="continue"/>
            <w:tcBorders>
              <w:top w:val="nil"/>
            </w:tcBorders>
            <w:shd w:val="clear" w:color="auto" w:fill="FFFFFF"/>
            <w:noWrap w:val="0"/>
            <w:vAlign w:val="top"/>
          </w:tcPr>
          <w:p>
            <w:pPr>
              <w:ind w:firstLine="40" w:firstLineChars="0"/>
              <w:jc w:val="left"/>
              <w:rPr>
                <w:rFonts w:ascii="Times New Roman" w:hAnsi="Times New Roman" w:eastAsia="宋体" w:cs="Times New Roman"/>
                <w:color w:val="FF0000"/>
                <w:kern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729" w:type="dxa"/>
            <w:gridSpan w:val="2"/>
            <w:vMerge w:val="continue"/>
            <w:tcBorders>
              <w:top w:val="nil"/>
            </w:tcBorders>
            <w:shd w:val="clear" w:color="auto" w:fill="FFFFFF"/>
            <w:noWrap w:val="0"/>
            <w:vAlign w:val="top"/>
          </w:tcPr>
          <w:p>
            <w:pPr>
              <w:ind w:firstLine="40" w:firstLineChars="0"/>
              <w:jc w:val="left"/>
              <w:rPr>
                <w:rFonts w:ascii="Times New Roman" w:hAnsi="Times New Roman" w:eastAsia="宋体" w:cs="Times New Roman"/>
                <w:color w:val="FF0000"/>
                <w:kern w:val="0"/>
                <w:sz w:val="2"/>
                <w:szCs w:val="2"/>
              </w:rPr>
            </w:pPr>
          </w:p>
        </w:tc>
        <w:tc>
          <w:tcPr>
            <w:tcW w:w="801" w:type="dxa"/>
            <w:vMerge w:val="continue"/>
            <w:tcBorders>
              <w:top w:val="nil"/>
            </w:tcBorders>
            <w:shd w:val="clear" w:color="auto" w:fill="FFFFFF"/>
            <w:noWrap w:val="0"/>
            <w:vAlign w:val="top"/>
          </w:tcPr>
          <w:p>
            <w:pPr>
              <w:ind w:firstLine="40" w:firstLineChars="0"/>
              <w:jc w:val="left"/>
              <w:rPr>
                <w:rFonts w:ascii="Times New Roman" w:hAnsi="Times New Roman" w:eastAsia="宋体" w:cs="Times New Roman"/>
                <w:color w:val="FF0000"/>
                <w:kern w:val="0"/>
                <w:sz w:val="2"/>
                <w:szCs w:val="2"/>
              </w:rPr>
            </w:pPr>
          </w:p>
        </w:tc>
      </w:tr>
    </w:tbl>
    <w:p>
      <w:pPr>
        <w:pStyle w:val="2"/>
        <w:rPr>
          <w:rFonts w:hint="eastAsia" w:ascii="宋体" w:hAnsi="宋体"/>
          <w:b/>
          <w:bCs/>
          <w:color w:val="000000" w:themeColor="text1"/>
          <w:sz w:val="24"/>
          <w:highlight w:val="white"/>
          <w:lang w:val="en-US" w:eastAsia="zh-CN"/>
        </w:rPr>
      </w:pPr>
    </w:p>
    <w:p>
      <w:pPr>
        <w:pStyle w:val="2"/>
        <w:rPr>
          <w:rFonts w:hint="eastAsia" w:ascii="宋体" w:hAnsi="宋体"/>
          <w:b/>
          <w:bCs/>
          <w:color w:val="000000" w:themeColor="text1"/>
          <w:sz w:val="36"/>
          <w:szCs w:val="36"/>
          <w:highlight w:val="white"/>
          <w:lang w:val="en-US" w:eastAsia="zh-CN"/>
        </w:rPr>
      </w:pPr>
    </w:p>
    <w:p>
      <w:pPr>
        <w:jc w:val="center"/>
        <w:rPr>
          <w:rFonts w:hint="eastAsia" w:ascii="方正小标宋简体" w:hAnsi="方正小标宋简体" w:eastAsia="方正小标宋简体" w:cs="方正小标宋简体"/>
          <w:color w:val="auto"/>
          <w:sz w:val="44"/>
          <w:szCs w:val="52"/>
          <w:highlight w:val="none"/>
          <w:lang w:val="en-US" w:eastAsia="zh-CN"/>
        </w:rPr>
      </w:pPr>
      <w:r>
        <w:rPr>
          <w:rFonts w:hint="eastAsia" w:ascii="方正小标宋简体" w:hAnsi="方正小标宋简体" w:eastAsia="方正小标宋简体" w:cs="方正小标宋简体"/>
          <w:color w:val="auto"/>
          <w:sz w:val="44"/>
          <w:szCs w:val="52"/>
          <w:highlight w:val="none"/>
          <w:lang w:val="en-US" w:eastAsia="zh-CN"/>
        </w:rPr>
        <w:t>采购人需求</w:t>
      </w:r>
    </w:p>
    <w:p>
      <w:pPr>
        <w:keepNext w:val="0"/>
        <w:keepLines w:val="0"/>
        <w:pageBreakBefore w:val="0"/>
        <w:kinsoku/>
        <w:wordWrap/>
        <w:overflowPunct/>
        <w:topLinePunct w:val="0"/>
        <w:autoSpaceDE/>
        <w:autoSpaceDN/>
        <w:bidi w:val="0"/>
        <w:adjustRightInd/>
        <w:snapToGrid/>
        <w:spacing w:line="566" w:lineRule="exact"/>
        <w:jc w:val="center"/>
        <w:textAlignment w:val="auto"/>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梵净山世界自然遗产地缓冲区生物多样性调查技术方案</w:t>
      </w:r>
    </w:p>
    <w:p>
      <w:pPr>
        <w:keepNext w:val="0"/>
        <w:keepLines w:val="0"/>
        <w:pageBreakBefore w:val="0"/>
        <w:kinsoku/>
        <w:wordWrap/>
        <w:overflowPunct/>
        <w:topLinePunct w:val="0"/>
        <w:autoSpaceDE/>
        <w:autoSpaceDN/>
        <w:bidi w:val="0"/>
        <w:adjustRightInd/>
        <w:snapToGrid/>
        <w:spacing w:line="566" w:lineRule="exact"/>
        <w:jc w:val="center"/>
        <w:textAlignment w:val="auto"/>
        <w:rPr>
          <w:rFonts w:hint="eastAsia" w:ascii="方正小标宋简体" w:hAnsi="方正小标宋简体" w:eastAsia="方正小标宋简体" w:cs="方正小标宋简体"/>
          <w:color w:val="auto"/>
          <w:sz w:val="44"/>
          <w:szCs w:val="52"/>
          <w:highlight w:val="none"/>
          <w:lang w:val="en-US" w:eastAsia="zh-CN"/>
        </w:rPr>
      </w:pPr>
    </w:p>
    <w:p>
      <w:pPr>
        <w:keepNext w:val="0"/>
        <w:keepLines w:val="0"/>
        <w:pageBreakBefore w:val="0"/>
        <w:widowControl/>
        <w:numPr>
          <w:ilvl w:val="0"/>
          <w:numId w:val="2"/>
        </w:numPr>
        <w:kinsoku/>
        <w:wordWrap/>
        <w:overflowPunct/>
        <w:topLinePunct w:val="0"/>
        <w:autoSpaceDE/>
        <w:autoSpaceDN/>
        <w:bidi w:val="0"/>
        <w:adjustRightInd/>
        <w:snapToGrid/>
        <w:spacing w:line="566" w:lineRule="exact"/>
        <w:ind w:firstLine="640" w:firstLineChars="200"/>
        <w:jc w:val="both"/>
        <w:textAlignment w:val="auto"/>
        <w:rPr>
          <w:rFonts w:hint="eastAsia" w:ascii="黑体" w:hAnsi="黑体" w:eastAsia="黑体" w:cs="黑体"/>
          <w:color w:val="auto"/>
          <w:kern w:val="0"/>
          <w:sz w:val="32"/>
          <w:szCs w:val="32"/>
          <w:highlight w:val="none"/>
          <w:lang w:bidi="ar"/>
        </w:rPr>
      </w:pPr>
      <w:r>
        <w:rPr>
          <w:rFonts w:hint="eastAsia" w:ascii="黑体" w:hAnsi="黑体" w:eastAsia="黑体" w:cs="黑体"/>
          <w:color w:val="auto"/>
          <w:kern w:val="0"/>
          <w:sz w:val="32"/>
          <w:szCs w:val="32"/>
          <w:highlight w:val="none"/>
          <w:lang w:bidi="ar"/>
        </w:rPr>
        <w:t>项目</w:t>
      </w:r>
      <w:r>
        <w:rPr>
          <w:rFonts w:hint="eastAsia" w:ascii="黑体" w:hAnsi="黑体" w:eastAsia="黑体" w:cs="黑体"/>
          <w:color w:val="auto"/>
          <w:kern w:val="0"/>
          <w:sz w:val="32"/>
          <w:szCs w:val="32"/>
          <w:highlight w:val="none"/>
          <w:lang w:eastAsia="zh-CN" w:bidi="ar"/>
        </w:rPr>
        <w:t>概况</w:t>
      </w:r>
      <w:r>
        <w:rPr>
          <w:rFonts w:hint="eastAsia" w:ascii="黑体" w:hAnsi="黑体" w:eastAsia="黑体" w:cs="黑体"/>
          <w:color w:val="auto"/>
          <w:kern w:val="0"/>
          <w:sz w:val="32"/>
          <w:szCs w:val="32"/>
          <w:highlight w:val="none"/>
          <w:lang w:bidi="ar"/>
        </w:rPr>
        <w:t>：</w:t>
      </w:r>
      <w:r>
        <w:rPr>
          <w:rFonts w:hint="eastAsia" w:ascii="仿宋" w:hAnsi="仿宋" w:eastAsia="仿宋" w:cs="仿宋"/>
          <w:sz w:val="32"/>
          <w:szCs w:val="32"/>
          <w:lang w:eastAsia="zh-CN"/>
        </w:rPr>
        <w:t>为加强梵净山生物多样性调查研究工作，按照市委市政府安排部署，梵净山管理局</w:t>
      </w:r>
      <w:r>
        <w:rPr>
          <w:rFonts w:hint="eastAsia" w:ascii="仿宋" w:hAnsi="仿宋" w:eastAsia="仿宋" w:cs="仿宋"/>
          <w:sz w:val="32"/>
          <w:szCs w:val="32"/>
          <w:lang w:val="en-US" w:eastAsia="zh-CN"/>
        </w:rPr>
        <w:t>将“梵净山世界自然遗产地缓冲区生物多样性调查”</w:t>
      </w:r>
      <w:r>
        <w:rPr>
          <w:rFonts w:hint="eastAsia" w:ascii="仿宋" w:hAnsi="仿宋" w:eastAsia="仿宋" w:cs="仿宋"/>
          <w:sz w:val="32"/>
          <w:szCs w:val="32"/>
          <w:lang w:eastAsia="zh-CN"/>
        </w:rPr>
        <w:t>作为</w:t>
      </w:r>
      <w:r>
        <w:rPr>
          <w:rFonts w:hint="eastAsia" w:ascii="仿宋" w:hAnsi="仿宋" w:eastAsia="仿宋" w:cs="仿宋"/>
          <w:sz w:val="32"/>
          <w:szCs w:val="32"/>
          <w:lang w:val="en-US" w:eastAsia="zh-CN"/>
        </w:rPr>
        <w:t>2020年梵净山保护管理重点工作之一。为推进“梵净山世界自然遗产地缓冲区生物多样性调查”我局</w:t>
      </w:r>
      <w:r>
        <w:rPr>
          <w:rFonts w:hint="eastAsia" w:ascii="仿宋" w:hAnsi="仿宋" w:eastAsia="仿宋" w:cs="仿宋"/>
          <w:b w:val="0"/>
          <w:bCs/>
          <w:sz w:val="30"/>
          <w:lang w:val="en-US" w:eastAsia="zh-CN"/>
        </w:rPr>
        <w:t>2020年梵净山世界自然遗产保护资金中生物多样性监测调查项目中预算专项经费130万用于开展调查工作，</w:t>
      </w:r>
      <w:r>
        <w:rPr>
          <w:rFonts w:hint="eastAsia" w:ascii="仿宋" w:hAnsi="仿宋" w:eastAsia="仿宋" w:cs="仿宋"/>
          <w:sz w:val="32"/>
          <w:szCs w:val="32"/>
          <w:lang w:eastAsia="zh-CN"/>
        </w:rPr>
        <w:t>拟通过开展梵净山遗产地生物多样性调查工作，摸清遗产地缓冲区生物多样性资源的种类、分布、数量等规律，进一步丰富梵净山物种名录清单，为</w:t>
      </w:r>
      <w:r>
        <w:rPr>
          <w:rFonts w:hint="eastAsia" w:ascii="仿宋" w:hAnsi="仿宋" w:eastAsia="仿宋" w:cs="仿宋"/>
          <w:sz w:val="32"/>
          <w:szCs w:val="32"/>
        </w:rPr>
        <w:t>梵净山世界自然遗产地管理、建设、发展的决策</w:t>
      </w:r>
      <w:r>
        <w:rPr>
          <w:rFonts w:hint="eastAsia" w:ascii="仿宋" w:hAnsi="仿宋" w:eastAsia="仿宋" w:cs="仿宋"/>
          <w:sz w:val="32"/>
          <w:szCs w:val="32"/>
          <w:lang w:eastAsia="zh-CN"/>
        </w:rPr>
        <w:t>提供科学</w:t>
      </w:r>
      <w:r>
        <w:rPr>
          <w:rFonts w:hint="eastAsia" w:ascii="仿宋" w:hAnsi="仿宋" w:eastAsia="仿宋" w:cs="仿宋"/>
          <w:sz w:val="32"/>
          <w:szCs w:val="32"/>
        </w:rPr>
        <w:t>依据</w:t>
      </w:r>
      <w:r>
        <w:rPr>
          <w:rFonts w:hint="eastAsia" w:ascii="仿宋" w:hAnsi="仿宋" w:eastAsia="仿宋" w:cs="仿宋"/>
          <w:sz w:val="32"/>
          <w:szCs w:val="32"/>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66" w:lineRule="exact"/>
        <w:ind w:firstLine="640" w:firstLineChars="200"/>
        <w:jc w:val="left"/>
        <w:textAlignment w:val="auto"/>
        <w:rPr>
          <w:rFonts w:hint="eastAsia" w:ascii="黑体" w:hAnsi="黑体" w:eastAsia="黑体" w:cs="黑体"/>
          <w:color w:val="auto"/>
          <w:kern w:val="0"/>
          <w:sz w:val="32"/>
          <w:szCs w:val="32"/>
          <w:highlight w:val="none"/>
          <w:lang w:bidi="ar"/>
        </w:rPr>
      </w:pPr>
      <w:r>
        <w:rPr>
          <w:rFonts w:hint="eastAsia" w:ascii="黑体" w:hAnsi="黑体" w:eastAsia="黑体" w:cs="黑体"/>
          <w:color w:val="auto"/>
          <w:kern w:val="0"/>
          <w:sz w:val="32"/>
          <w:szCs w:val="32"/>
          <w:highlight w:val="none"/>
          <w:lang w:eastAsia="zh-CN" w:bidi="ar"/>
        </w:rPr>
        <w:t>技术参数：</w:t>
      </w:r>
    </w:p>
    <w:p>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0" w:firstLineChars="200"/>
        <w:textAlignment w:val="auto"/>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组织专家完成梵净山遗产地缓冲区内哺乳动物、鸟类、爬行动物、两栖动物、鱼类、昆虫、大型真菌、苔藓植物、蕨类植物、草本植物、木本植物、森林群落、植被类型等生物多样性调查，</w:t>
      </w:r>
      <w:r>
        <w:rPr>
          <w:rFonts w:hint="eastAsia" w:ascii="仿宋_GB2312" w:hAnsi="仿宋_GB2312" w:eastAsia="仿宋_GB2312" w:cs="仿宋_GB2312"/>
          <w:color w:val="FF0000"/>
          <w:sz w:val="32"/>
          <w:szCs w:val="32"/>
          <w:highlight w:val="none"/>
          <w:lang w:eastAsia="zh-CN"/>
        </w:rPr>
        <w:t>每学科团队技术负责人具有高级以上专业技术职称。</w:t>
      </w:r>
    </w:p>
    <w:p>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 xml:space="preserve">按照 《自然保护区生物多样性调查规范》（LY/T 1814-2009）编制完成调查报告，并组织省内知名专家对调查报告进行评审。                                                           </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提供梵净山遗产地缓冲区动植物名录、照片。</w:t>
      </w:r>
    </w:p>
    <w:p>
      <w:pPr>
        <w:keepNext w:val="0"/>
        <w:keepLines w:val="0"/>
        <w:pageBreakBefore w:val="0"/>
        <w:widowControl/>
        <w:numPr>
          <w:ilvl w:val="0"/>
          <w:numId w:val="0"/>
        </w:numPr>
        <w:kinsoku/>
        <w:wordWrap/>
        <w:overflowPunct/>
        <w:topLinePunct w:val="0"/>
        <w:autoSpaceDE/>
        <w:autoSpaceDN/>
        <w:bidi w:val="0"/>
        <w:adjustRightInd/>
        <w:snapToGrid/>
        <w:spacing w:line="566" w:lineRule="exact"/>
        <w:ind w:firstLine="640" w:firstLineChars="200"/>
        <w:jc w:val="left"/>
        <w:textAlignment w:val="auto"/>
        <w:rPr>
          <w:rFonts w:hint="default" w:ascii="仿宋_GB2312" w:hAnsi="仿宋_GB2312" w:eastAsia="仿宋_GB2312" w:cs="仿宋_GB2312"/>
          <w:color w:val="auto"/>
          <w:kern w:val="0"/>
          <w:sz w:val="32"/>
          <w:szCs w:val="32"/>
          <w:highlight w:val="none"/>
          <w:lang w:val="en-US" w:eastAsia="zh-CN" w:bidi="ar"/>
        </w:rPr>
      </w:pPr>
    </w:p>
    <w:p>
      <w:pPr>
        <w:keepNext w:val="0"/>
        <w:keepLines w:val="0"/>
        <w:pageBreakBefore w:val="0"/>
        <w:widowControl/>
        <w:numPr>
          <w:ilvl w:val="0"/>
          <w:numId w:val="2"/>
        </w:numPr>
        <w:kinsoku/>
        <w:wordWrap/>
        <w:overflowPunct/>
        <w:topLinePunct w:val="0"/>
        <w:autoSpaceDE/>
        <w:autoSpaceDN/>
        <w:bidi w:val="0"/>
        <w:adjustRightInd/>
        <w:snapToGrid/>
        <w:spacing w:line="566" w:lineRule="exact"/>
        <w:ind w:firstLine="640" w:firstLineChars="200"/>
        <w:jc w:val="left"/>
        <w:textAlignment w:val="auto"/>
        <w:rPr>
          <w:rFonts w:hint="eastAsia" w:ascii="黑体" w:hAnsi="黑体" w:eastAsia="黑体" w:cs="黑体"/>
          <w:color w:val="auto"/>
          <w:kern w:val="0"/>
          <w:sz w:val="32"/>
          <w:szCs w:val="32"/>
          <w:highlight w:val="none"/>
          <w:lang w:bidi="ar"/>
        </w:rPr>
      </w:pPr>
      <w:r>
        <w:rPr>
          <w:rFonts w:hint="eastAsia" w:ascii="黑体" w:hAnsi="黑体" w:eastAsia="黑体" w:cs="黑体"/>
          <w:color w:val="auto"/>
          <w:kern w:val="0"/>
          <w:sz w:val="32"/>
          <w:szCs w:val="32"/>
          <w:highlight w:val="none"/>
          <w:lang w:bidi="ar"/>
        </w:rPr>
        <w:t>评分方式：</w:t>
      </w:r>
      <w:r>
        <w:rPr>
          <w:rFonts w:hint="eastAsia" w:ascii="仿宋_GB2312" w:hAnsi="仿宋_GB2312" w:eastAsia="仿宋_GB2312" w:cs="仿宋_GB2312"/>
          <w:color w:val="auto"/>
          <w:kern w:val="0"/>
          <w:sz w:val="32"/>
          <w:szCs w:val="32"/>
          <w:highlight w:val="none"/>
          <w:lang w:bidi="ar"/>
        </w:rPr>
        <w:t>综合评分法。</w:t>
      </w:r>
    </w:p>
    <w:p>
      <w:pPr>
        <w:keepNext w:val="0"/>
        <w:keepLines w:val="0"/>
        <w:pageBreakBefore w:val="0"/>
        <w:widowControl/>
        <w:numPr>
          <w:ilvl w:val="0"/>
          <w:numId w:val="2"/>
        </w:numPr>
        <w:kinsoku/>
        <w:wordWrap/>
        <w:overflowPunct/>
        <w:topLinePunct w:val="0"/>
        <w:autoSpaceDE/>
        <w:autoSpaceDN/>
        <w:bidi w:val="0"/>
        <w:adjustRightInd/>
        <w:snapToGrid/>
        <w:spacing w:line="566" w:lineRule="exact"/>
        <w:ind w:firstLine="640" w:firstLineChars="200"/>
        <w:jc w:val="left"/>
        <w:textAlignment w:val="auto"/>
        <w:rPr>
          <w:rFonts w:hint="eastAsia" w:ascii="黑体" w:hAnsi="黑体" w:eastAsia="黑体" w:cs="黑体"/>
          <w:color w:val="auto"/>
          <w:kern w:val="0"/>
          <w:sz w:val="32"/>
          <w:szCs w:val="32"/>
          <w:highlight w:val="none"/>
          <w:lang w:bidi="ar"/>
        </w:rPr>
      </w:pPr>
      <w:r>
        <w:rPr>
          <w:rFonts w:hint="eastAsia" w:ascii="黑体" w:hAnsi="黑体" w:eastAsia="黑体" w:cs="黑体"/>
          <w:color w:val="auto"/>
          <w:kern w:val="0"/>
          <w:sz w:val="32"/>
          <w:szCs w:val="32"/>
          <w:highlight w:val="none"/>
          <w:lang w:bidi="ar"/>
        </w:rPr>
        <w:t>服务期限：</w:t>
      </w:r>
      <w:r>
        <w:rPr>
          <w:rFonts w:hint="eastAsia" w:ascii="仿宋_GB2312" w:hAnsi="仿宋_GB2312" w:eastAsia="仿宋_GB2312" w:cs="仿宋_GB2312"/>
          <w:color w:val="auto"/>
          <w:kern w:val="0"/>
          <w:sz w:val="32"/>
          <w:szCs w:val="32"/>
          <w:highlight w:val="none"/>
          <w:lang w:bidi="ar"/>
        </w:rPr>
        <w:t>合同签订日起</w:t>
      </w:r>
      <w:r>
        <w:rPr>
          <w:rFonts w:hint="eastAsia" w:ascii="仿宋_GB2312" w:hAnsi="仿宋_GB2312" w:eastAsia="仿宋_GB2312" w:cs="仿宋_GB2312"/>
          <w:color w:val="auto"/>
          <w:kern w:val="0"/>
          <w:sz w:val="32"/>
          <w:szCs w:val="32"/>
          <w:highlight w:val="none"/>
          <w:lang w:val="en-US" w:eastAsia="zh-CN" w:bidi="ar"/>
        </w:rPr>
        <w:t>12个月内</w:t>
      </w:r>
      <w:r>
        <w:rPr>
          <w:rFonts w:hint="eastAsia" w:ascii="仿宋_GB2312" w:hAnsi="仿宋_GB2312" w:eastAsia="仿宋_GB2312" w:cs="仿宋_GB2312"/>
          <w:color w:val="auto"/>
          <w:kern w:val="0"/>
          <w:sz w:val="32"/>
          <w:szCs w:val="32"/>
          <w:highlight w:val="none"/>
          <w:lang w:bidi="ar"/>
        </w:rPr>
        <w:t>完成</w:t>
      </w:r>
      <w:r>
        <w:rPr>
          <w:rFonts w:hint="eastAsia" w:ascii="仿宋_GB2312" w:hAnsi="仿宋_GB2312" w:eastAsia="仿宋_GB2312" w:cs="仿宋_GB2312"/>
          <w:color w:val="auto"/>
          <w:kern w:val="0"/>
          <w:sz w:val="32"/>
          <w:szCs w:val="32"/>
          <w:highlight w:val="none"/>
          <w:lang w:eastAsia="zh-CN" w:bidi="ar"/>
        </w:rPr>
        <w:t>野外调查及调查报告撰写提交工作</w:t>
      </w:r>
      <w:r>
        <w:rPr>
          <w:rFonts w:hint="eastAsia" w:ascii="仿宋_GB2312" w:hAnsi="仿宋_GB2312" w:eastAsia="仿宋_GB2312" w:cs="仿宋_GB2312"/>
          <w:color w:val="auto"/>
          <w:kern w:val="0"/>
          <w:sz w:val="32"/>
          <w:szCs w:val="32"/>
          <w:highlight w:val="none"/>
          <w:lang w:bidi="ar"/>
        </w:rPr>
        <w:t>。</w:t>
      </w:r>
    </w:p>
    <w:p>
      <w:pPr>
        <w:keepNext w:val="0"/>
        <w:keepLines w:val="0"/>
        <w:pageBreakBefore w:val="0"/>
        <w:widowControl/>
        <w:numPr>
          <w:ilvl w:val="0"/>
          <w:numId w:val="2"/>
        </w:numPr>
        <w:kinsoku/>
        <w:wordWrap/>
        <w:overflowPunct/>
        <w:topLinePunct w:val="0"/>
        <w:autoSpaceDE/>
        <w:autoSpaceDN/>
        <w:bidi w:val="0"/>
        <w:adjustRightInd/>
        <w:snapToGrid/>
        <w:spacing w:line="566" w:lineRule="exact"/>
        <w:ind w:firstLine="640" w:firstLineChars="200"/>
        <w:jc w:val="left"/>
        <w:textAlignment w:val="auto"/>
        <w:rPr>
          <w:rFonts w:hint="eastAsia" w:ascii="黑体" w:hAnsi="黑体" w:eastAsia="黑体" w:cs="黑体"/>
          <w:color w:val="auto"/>
          <w:kern w:val="0"/>
          <w:sz w:val="32"/>
          <w:szCs w:val="32"/>
          <w:highlight w:val="none"/>
          <w:lang w:bidi="ar"/>
        </w:rPr>
      </w:pPr>
      <w:r>
        <w:rPr>
          <w:rFonts w:hint="eastAsia" w:ascii="黑体" w:hAnsi="黑体" w:eastAsia="黑体" w:cs="黑体"/>
          <w:color w:val="auto"/>
          <w:kern w:val="0"/>
          <w:sz w:val="32"/>
          <w:szCs w:val="32"/>
          <w:highlight w:val="none"/>
          <w:lang w:bidi="ar"/>
        </w:rPr>
        <w:t xml:space="preserve">付款方式: </w:t>
      </w:r>
    </w:p>
    <w:p>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签订合同后</w:t>
      </w:r>
      <w:r>
        <w:rPr>
          <w:rFonts w:hint="eastAsia" w:ascii="仿宋_GB2312" w:hAnsi="仿宋_GB2312" w:eastAsia="仿宋_GB2312" w:cs="仿宋_GB2312"/>
          <w:color w:val="auto"/>
          <w:sz w:val="32"/>
          <w:szCs w:val="32"/>
          <w:highlight w:val="none"/>
          <w:lang w:val="en-US" w:eastAsia="zh-CN"/>
        </w:rPr>
        <w:t>15个工作日内预付合同总金额10%款项；</w:t>
      </w:r>
    </w:p>
    <w:p>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2.完成外业调查</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color w:val="auto"/>
          <w:sz w:val="32"/>
          <w:szCs w:val="32"/>
          <w:highlight w:val="none"/>
          <w:lang w:val="en-US" w:eastAsia="zh-CN"/>
        </w:rPr>
        <w:t>15个工作日内付</w:t>
      </w:r>
      <w:r>
        <w:rPr>
          <w:rFonts w:hint="eastAsia" w:ascii="仿宋_GB2312" w:hAnsi="仿宋_GB2312" w:eastAsia="仿宋_GB2312" w:cs="仿宋_GB2312"/>
          <w:color w:val="auto"/>
          <w:sz w:val="32"/>
          <w:szCs w:val="32"/>
          <w:highlight w:val="none"/>
          <w:lang w:eastAsia="zh-CN"/>
        </w:rPr>
        <w:t>合同</w:t>
      </w:r>
      <w:r>
        <w:rPr>
          <w:rFonts w:hint="eastAsia" w:ascii="仿宋_GB2312" w:hAnsi="仿宋_GB2312" w:eastAsia="仿宋_GB2312" w:cs="仿宋_GB2312"/>
          <w:color w:val="auto"/>
          <w:sz w:val="32"/>
          <w:szCs w:val="32"/>
          <w:highlight w:val="none"/>
          <w:lang w:val="en-US" w:eastAsia="zh-CN"/>
        </w:rPr>
        <w:t>总金额40%款项；</w:t>
      </w:r>
    </w:p>
    <w:p>
      <w:pPr>
        <w:pStyle w:val="2"/>
        <w:rPr>
          <w:rFonts w:hint="default"/>
          <w:lang w:val="en-US" w:eastAsia="zh-CN"/>
        </w:rPr>
      </w:pPr>
      <w:r>
        <w:rPr>
          <w:rFonts w:hint="eastAsia" w:ascii="仿宋_GB2312" w:hAnsi="仿宋_GB2312" w:eastAsia="仿宋_GB2312" w:cs="仿宋_GB2312"/>
          <w:color w:val="auto"/>
          <w:sz w:val="32"/>
          <w:szCs w:val="32"/>
          <w:highlight w:val="none"/>
          <w:lang w:val="en-US" w:eastAsia="zh-CN"/>
        </w:rPr>
        <w:t xml:space="preserve">    3.提交调查成果报告并经项目验收合格后15个工作日付</w:t>
      </w:r>
      <w:r>
        <w:rPr>
          <w:rFonts w:hint="eastAsia" w:ascii="仿宋_GB2312" w:hAnsi="仿宋_GB2312" w:eastAsia="仿宋_GB2312" w:cs="仿宋_GB2312"/>
          <w:color w:val="auto"/>
          <w:sz w:val="32"/>
          <w:szCs w:val="32"/>
          <w:highlight w:val="none"/>
          <w:lang w:eastAsia="zh-CN"/>
        </w:rPr>
        <w:t>合同</w:t>
      </w:r>
      <w:r>
        <w:rPr>
          <w:rFonts w:hint="eastAsia" w:ascii="仿宋_GB2312" w:hAnsi="仿宋_GB2312" w:eastAsia="仿宋_GB2312" w:cs="仿宋_GB2312"/>
          <w:color w:val="auto"/>
          <w:sz w:val="32"/>
          <w:szCs w:val="32"/>
          <w:highlight w:val="none"/>
          <w:lang w:val="en-US" w:eastAsia="zh-CN"/>
        </w:rPr>
        <w:t>总金额50%款项；</w:t>
      </w:r>
    </w:p>
    <w:p>
      <w:pPr>
        <w:widowControl/>
        <w:ind w:right="-710" w:rightChars="-338"/>
        <w:rPr>
          <w:rFonts w:hint="eastAsia" w:ascii="宋体" w:hAnsi="宋体"/>
          <w:color w:val="000000"/>
          <w:sz w:val="30"/>
          <w:szCs w:val="30"/>
        </w:rPr>
      </w:pPr>
      <w:bookmarkStart w:id="5" w:name="_GoBack"/>
      <w:bookmarkEnd w:id="5"/>
    </w:p>
    <w:p>
      <w:pPr>
        <w:widowControl/>
        <w:ind w:right="-710" w:rightChars="-338"/>
        <w:rPr>
          <w:rFonts w:hint="eastAsia" w:ascii="宋体" w:hAnsi="宋体"/>
          <w:color w:val="000000"/>
          <w:szCs w:val="21"/>
        </w:rPr>
      </w:pPr>
      <w:r>
        <w:rPr>
          <w:rFonts w:hint="eastAsia" w:ascii="宋体" w:hAnsi="宋体"/>
          <w:color w:val="000000"/>
          <w:sz w:val="30"/>
          <w:szCs w:val="30"/>
        </w:rPr>
        <w:t>备注：1、招标文件论证费和专家评审费用由中标人承担。</w:t>
      </w:r>
    </w:p>
    <w:p>
      <w:pPr>
        <w:pStyle w:val="2"/>
        <w:rPr>
          <w:rFonts w:hint="eastAsia"/>
          <w:color w:val="000000" w:themeColor="text1"/>
          <w:lang w:val="en-US" w:eastAsia="zh-CN"/>
        </w:rPr>
      </w:pPr>
    </w:p>
    <w:p>
      <w:pPr>
        <w:pStyle w:val="3"/>
        <w:rPr>
          <w:color w:val="000000" w:themeColor="text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汉鼎简魏碑">
    <w:altName w:val="宋体"/>
    <w:panose1 w:val="00000000000000000000"/>
    <w:charset w:val="86"/>
    <w:family w:val="modern"/>
    <w:pitch w:val="default"/>
    <w:sig w:usb0="00000000" w:usb1="00000000" w:usb2="00000010" w:usb3="00000000" w:csb0="00040000" w:csb1="00000000"/>
  </w:font>
  <w:font w:name="BISTVA+F3,Bold">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6B665"/>
    <w:multiLevelType w:val="singleLevel"/>
    <w:tmpl w:val="1626B665"/>
    <w:lvl w:ilvl="0" w:tentative="0">
      <w:start w:val="1"/>
      <w:numFmt w:val="chineseCounting"/>
      <w:suff w:val="nothing"/>
      <w:lvlText w:val="%1、"/>
      <w:lvlJc w:val="left"/>
      <w:rPr>
        <w:rFonts w:hint="eastAsia"/>
      </w:rPr>
    </w:lvl>
  </w:abstractNum>
  <w:abstractNum w:abstractNumId="1">
    <w:nsid w:val="5C946298"/>
    <w:multiLevelType w:val="multilevel"/>
    <w:tmpl w:val="5C946298"/>
    <w:lvl w:ilvl="0" w:tentative="0">
      <w:start w:val="1"/>
      <w:numFmt w:val="decimal"/>
      <w:lvlText w:val="（%1）"/>
      <w:lvlJc w:val="left"/>
      <w:pPr>
        <w:ind w:left="0" w:hanging="720"/>
      </w:pPr>
      <w:rPr>
        <w:rFonts w:hint="default" w:ascii="Times New Roman" w:hAnsi="Times New Roman"/>
        <w:w w:val="100"/>
      </w:rPr>
    </w:lvl>
    <w:lvl w:ilvl="1" w:tentative="0">
      <w:start w:val="1"/>
      <w:numFmt w:val="lowerLetter"/>
      <w:lvlText w:val="%2)"/>
      <w:lvlJc w:val="left"/>
      <w:pPr>
        <w:ind w:left="840" w:hanging="420"/>
      </w:pPr>
      <w:rPr>
        <w:rFonts w:hint="default" w:ascii="Times New Roman" w:hAnsi="Times New Roman"/>
        <w:w w:val="100"/>
      </w:rPr>
    </w:lvl>
    <w:lvl w:ilvl="2" w:tentative="0">
      <w:start w:val="1"/>
      <w:numFmt w:val="lowerRoman"/>
      <w:lvlText w:val="%3."/>
      <w:lvlJc w:val="right"/>
      <w:pPr>
        <w:ind w:left="1260" w:hanging="420"/>
      </w:pPr>
      <w:rPr>
        <w:rFonts w:hint="default" w:ascii="Times New Roman" w:hAnsi="Times New Roman"/>
        <w:w w:val="100"/>
      </w:rPr>
    </w:lvl>
    <w:lvl w:ilvl="3" w:tentative="0">
      <w:start w:val="1"/>
      <w:numFmt w:val="decimal"/>
      <w:lvlText w:val="%4."/>
      <w:lvlJc w:val="left"/>
      <w:pPr>
        <w:ind w:left="1680" w:hanging="420"/>
      </w:pPr>
      <w:rPr>
        <w:rFonts w:hint="default" w:ascii="Times New Roman" w:hAnsi="Times New Roman"/>
        <w:w w:val="100"/>
      </w:rPr>
    </w:lvl>
    <w:lvl w:ilvl="4" w:tentative="0">
      <w:start w:val="1"/>
      <w:numFmt w:val="lowerLetter"/>
      <w:lvlText w:val="%5)"/>
      <w:lvlJc w:val="left"/>
      <w:pPr>
        <w:ind w:left="2100" w:hanging="420"/>
      </w:pPr>
      <w:rPr>
        <w:rFonts w:hint="default" w:ascii="Times New Roman" w:hAnsi="Times New Roman"/>
        <w:w w:val="100"/>
      </w:rPr>
    </w:lvl>
    <w:lvl w:ilvl="5" w:tentative="0">
      <w:start w:val="1"/>
      <w:numFmt w:val="lowerRoman"/>
      <w:lvlText w:val="%6."/>
      <w:lvlJc w:val="right"/>
      <w:pPr>
        <w:ind w:left="2520" w:hanging="420"/>
      </w:pPr>
      <w:rPr>
        <w:rFonts w:hint="default" w:ascii="Times New Roman" w:hAnsi="Times New Roman"/>
        <w:w w:val="100"/>
      </w:rPr>
    </w:lvl>
    <w:lvl w:ilvl="6" w:tentative="0">
      <w:start w:val="1"/>
      <w:numFmt w:val="decimal"/>
      <w:lvlText w:val="%7."/>
      <w:lvlJc w:val="left"/>
      <w:pPr>
        <w:ind w:left="2940" w:hanging="420"/>
      </w:pPr>
      <w:rPr>
        <w:rFonts w:hint="default" w:ascii="Times New Roman" w:hAnsi="Times New Roman"/>
        <w:w w:val="100"/>
      </w:rPr>
    </w:lvl>
    <w:lvl w:ilvl="7" w:tentative="0">
      <w:start w:val="1"/>
      <w:numFmt w:val="lowerLetter"/>
      <w:lvlText w:val="%8)"/>
      <w:lvlJc w:val="left"/>
      <w:pPr>
        <w:ind w:left="3360" w:hanging="420"/>
      </w:pPr>
      <w:rPr>
        <w:rFonts w:hint="default" w:ascii="Times New Roman" w:hAnsi="Times New Roman"/>
        <w:w w:val="100"/>
      </w:rPr>
    </w:lvl>
    <w:lvl w:ilvl="8" w:tentative="0">
      <w:start w:val="1"/>
      <w:numFmt w:val="lowerRoman"/>
      <w:lvlText w:val="%9."/>
      <w:lvlJc w:val="right"/>
      <w:pPr>
        <w:ind w:left="3780" w:hanging="420"/>
      </w:pPr>
      <w:rPr>
        <w:rFonts w:hint="default" w:ascii="Times New Roman" w:hAnsi="Times New Roman"/>
        <w:w w:val="1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33921"/>
    <w:rsid w:val="0002647E"/>
    <w:rsid w:val="000571B1"/>
    <w:rsid w:val="000F3A3E"/>
    <w:rsid w:val="0018344B"/>
    <w:rsid w:val="00202C80"/>
    <w:rsid w:val="00221A03"/>
    <w:rsid w:val="0026773E"/>
    <w:rsid w:val="00282FCB"/>
    <w:rsid w:val="00286E46"/>
    <w:rsid w:val="00287671"/>
    <w:rsid w:val="002F4085"/>
    <w:rsid w:val="00313BC1"/>
    <w:rsid w:val="003D44B7"/>
    <w:rsid w:val="004E575C"/>
    <w:rsid w:val="00642414"/>
    <w:rsid w:val="006A38E9"/>
    <w:rsid w:val="006A5CE9"/>
    <w:rsid w:val="007666A4"/>
    <w:rsid w:val="00766892"/>
    <w:rsid w:val="00822630"/>
    <w:rsid w:val="00842ABC"/>
    <w:rsid w:val="008F0B92"/>
    <w:rsid w:val="0099528F"/>
    <w:rsid w:val="009E1B7C"/>
    <w:rsid w:val="00A42316"/>
    <w:rsid w:val="00A6171F"/>
    <w:rsid w:val="00B1515D"/>
    <w:rsid w:val="00C4153C"/>
    <w:rsid w:val="00C61213"/>
    <w:rsid w:val="00C903DB"/>
    <w:rsid w:val="00CF2B12"/>
    <w:rsid w:val="00E30DA6"/>
    <w:rsid w:val="00ED1D8C"/>
    <w:rsid w:val="00F33921"/>
    <w:rsid w:val="00F953A4"/>
    <w:rsid w:val="00FE5982"/>
    <w:rsid w:val="01C808FC"/>
    <w:rsid w:val="030D5B3B"/>
    <w:rsid w:val="0369324B"/>
    <w:rsid w:val="03DC0834"/>
    <w:rsid w:val="05105A7C"/>
    <w:rsid w:val="05BC1A59"/>
    <w:rsid w:val="05C87B93"/>
    <w:rsid w:val="06955BE8"/>
    <w:rsid w:val="06D65E39"/>
    <w:rsid w:val="09B64715"/>
    <w:rsid w:val="0B181218"/>
    <w:rsid w:val="0CFA204C"/>
    <w:rsid w:val="0D116F37"/>
    <w:rsid w:val="0E5B536C"/>
    <w:rsid w:val="0F2C7650"/>
    <w:rsid w:val="113C5E60"/>
    <w:rsid w:val="16C356BE"/>
    <w:rsid w:val="19EC7C2D"/>
    <w:rsid w:val="1A881FB3"/>
    <w:rsid w:val="1C1100D0"/>
    <w:rsid w:val="1ECD64D5"/>
    <w:rsid w:val="1F4F4246"/>
    <w:rsid w:val="21711495"/>
    <w:rsid w:val="22D469FA"/>
    <w:rsid w:val="25675A62"/>
    <w:rsid w:val="266E7130"/>
    <w:rsid w:val="28A0147D"/>
    <w:rsid w:val="29534640"/>
    <w:rsid w:val="2AEB3441"/>
    <w:rsid w:val="2B297F76"/>
    <w:rsid w:val="2C623666"/>
    <w:rsid w:val="2EE36C84"/>
    <w:rsid w:val="2FD3267D"/>
    <w:rsid w:val="366E3102"/>
    <w:rsid w:val="367F27DF"/>
    <w:rsid w:val="370D5870"/>
    <w:rsid w:val="37FD4F06"/>
    <w:rsid w:val="396B2CA8"/>
    <w:rsid w:val="3E4F10F2"/>
    <w:rsid w:val="3FA574D9"/>
    <w:rsid w:val="404470EB"/>
    <w:rsid w:val="428B2D33"/>
    <w:rsid w:val="438A0930"/>
    <w:rsid w:val="440E00CC"/>
    <w:rsid w:val="45FE0E1B"/>
    <w:rsid w:val="473E386D"/>
    <w:rsid w:val="48CC4538"/>
    <w:rsid w:val="49624D6E"/>
    <w:rsid w:val="4B35713B"/>
    <w:rsid w:val="4CBA7F44"/>
    <w:rsid w:val="4CF92429"/>
    <w:rsid w:val="4D2D5964"/>
    <w:rsid w:val="512221AD"/>
    <w:rsid w:val="5135286B"/>
    <w:rsid w:val="51C7550F"/>
    <w:rsid w:val="53F7498E"/>
    <w:rsid w:val="545E0EFC"/>
    <w:rsid w:val="54991818"/>
    <w:rsid w:val="579125CA"/>
    <w:rsid w:val="58FB7761"/>
    <w:rsid w:val="5B0F4BE4"/>
    <w:rsid w:val="5C2C05CF"/>
    <w:rsid w:val="5DAE13DC"/>
    <w:rsid w:val="5DE45ACC"/>
    <w:rsid w:val="5DFD6311"/>
    <w:rsid w:val="5F0352AA"/>
    <w:rsid w:val="5F3F590D"/>
    <w:rsid w:val="601E0E8F"/>
    <w:rsid w:val="61C31090"/>
    <w:rsid w:val="67584F14"/>
    <w:rsid w:val="6B0221B6"/>
    <w:rsid w:val="6ECE7304"/>
    <w:rsid w:val="70C858EF"/>
    <w:rsid w:val="72675F5E"/>
    <w:rsid w:val="72A20D98"/>
    <w:rsid w:val="765C2722"/>
    <w:rsid w:val="779A7088"/>
    <w:rsid w:val="77FE0210"/>
    <w:rsid w:val="788C67AC"/>
    <w:rsid w:val="79E163BA"/>
    <w:rsid w:val="79ED099A"/>
    <w:rsid w:val="7B5E087F"/>
    <w:rsid w:val="7BF81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pPr>
      <w:spacing w:after="120"/>
    </w:pPr>
    <w:rPr>
      <w:szCs w:val="24"/>
    </w:rPr>
  </w:style>
  <w:style w:type="paragraph" w:styleId="5">
    <w:name w:val="Normal Indent"/>
    <w:basedOn w:val="1"/>
    <w:qFormat/>
    <w:uiPriority w:val="0"/>
    <w:pPr>
      <w:ind w:firstLine="420"/>
    </w:pPr>
    <w:rPr>
      <w:szCs w:val="20"/>
    </w:rPr>
  </w:style>
  <w:style w:type="paragraph" w:styleId="6">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7">
    <w:name w:val="Plain Text"/>
    <w:basedOn w:val="1"/>
    <w:qFormat/>
    <w:uiPriority w:val="0"/>
    <w:rPr>
      <w:rFonts w:ascii="宋体" w:hAnsi="Courier New"/>
      <w:kern w:val="0"/>
      <w:szCs w:val="21"/>
    </w:rPr>
  </w:style>
  <w:style w:type="paragraph" w:styleId="8">
    <w:name w:val="Balloon Text"/>
    <w:basedOn w:val="1"/>
    <w:link w:val="19"/>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等线 Light" w:hAnsi="等线 Light" w:cs="宋体"/>
      <w:b/>
      <w:bCs/>
      <w:kern w:val="28"/>
      <w:sz w:val="32"/>
      <w:szCs w:val="32"/>
    </w:rPr>
  </w:style>
  <w:style w:type="paragraph" w:styleId="12">
    <w:name w:val="Title"/>
    <w:basedOn w:val="1"/>
    <w:next w:val="1"/>
    <w:qFormat/>
    <w:uiPriority w:val="99"/>
    <w:pPr>
      <w:spacing w:before="240" w:after="60"/>
      <w:jc w:val="center"/>
      <w:outlineLvl w:val="0"/>
    </w:pPr>
    <w:rPr>
      <w:rFonts w:ascii="Cambria" w:hAnsi="Cambria"/>
      <w:b/>
      <w:bCs/>
      <w:sz w:val="32"/>
      <w:szCs w:val="32"/>
    </w:rPr>
  </w:style>
  <w:style w:type="character" w:customStyle="1" w:styleId="15">
    <w:name w:val="页眉 Char"/>
    <w:basedOn w:val="14"/>
    <w:link w:val="10"/>
    <w:semiHidden/>
    <w:qFormat/>
    <w:uiPriority w:val="99"/>
    <w:rPr>
      <w:sz w:val="18"/>
      <w:szCs w:val="18"/>
    </w:rPr>
  </w:style>
  <w:style w:type="character" w:customStyle="1" w:styleId="16">
    <w:name w:val="页脚 Char"/>
    <w:basedOn w:val="14"/>
    <w:link w:val="9"/>
    <w:semiHidden/>
    <w:qFormat/>
    <w:uiPriority w:val="99"/>
    <w:rPr>
      <w:sz w:val="18"/>
      <w:szCs w:val="18"/>
    </w:rPr>
  </w:style>
  <w:style w:type="paragraph" w:customStyle="1" w:styleId="17">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character" w:customStyle="1" w:styleId="18">
    <w:name w:val="标题 1 Char"/>
    <w:basedOn w:val="14"/>
    <w:link w:val="3"/>
    <w:qFormat/>
    <w:uiPriority w:val="0"/>
    <w:rPr>
      <w:rFonts w:ascii="Times New Roman" w:hAnsi="Times New Roman" w:eastAsia="宋体" w:cs="Times New Roman"/>
      <w:b/>
      <w:bCs/>
      <w:kern w:val="44"/>
      <w:sz w:val="44"/>
      <w:szCs w:val="44"/>
    </w:rPr>
  </w:style>
  <w:style w:type="character" w:customStyle="1" w:styleId="19">
    <w:name w:val="批注框文本 Char"/>
    <w:basedOn w:val="14"/>
    <w:link w:val="8"/>
    <w:semiHidden/>
    <w:qFormat/>
    <w:uiPriority w:val="99"/>
    <w:rPr>
      <w:sz w:val="18"/>
      <w:szCs w:val="18"/>
    </w:rPr>
  </w:style>
  <w:style w:type="character" w:customStyle="1" w:styleId="20">
    <w:name w:val="正文文本 Char"/>
    <w:basedOn w:val="14"/>
    <w:link w:val="2"/>
    <w:qFormat/>
    <w:uiPriority w:val="0"/>
    <w:rPr>
      <w:kern w:val="2"/>
      <w:sz w:val="21"/>
      <w:szCs w:val="24"/>
    </w:rPr>
  </w:style>
  <w:style w:type="character" w:customStyle="1" w:styleId="21">
    <w:name w:val="font21"/>
    <w:basedOn w:val="14"/>
    <w:qFormat/>
    <w:uiPriority w:val="0"/>
    <w:rPr>
      <w:rFonts w:hint="eastAsia" w:ascii="宋体" w:hAnsi="宋体" w:eastAsia="宋体" w:cs="宋体"/>
      <w:color w:val="000000"/>
      <w:sz w:val="18"/>
      <w:szCs w:val="18"/>
      <w:u w:val="none"/>
    </w:rPr>
  </w:style>
  <w:style w:type="character" w:customStyle="1" w:styleId="22">
    <w:name w:val="font01"/>
    <w:basedOn w:val="14"/>
    <w:qFormat/>
    <w:uiPriority w:val="0"/>
    <w:rPr>
      <w:rFonts w:hint="eastAsia" w:ascii="微软雅黑" w:hAnsi="微软雅黑" w:eastAsia="微软雅黑" w:cs="微软雅黑"/>
      <w:color w:val="000000"/>
      <w:sz w:val="18"/>
      <w:szCs w:val="18"/>
      <w:u w:val="none"/>
      <w:vertAlign w:val="superscript"/>
    </w:rPr>
  </w:style>
  <w:style w:type="character" w:customStyle="1" w:styleId="23">
    <w:name w:val="font51"/>
    <w:basedOn w:val="14"/>
    <w:qFormat/>
    <w:uiPriority w:val="0"/>
    <w:rPr>
      <w:rFonts w:hint="eastAsia" w:ascii="宋体" w:hAnsi="宋体" w:eastAsia="宋体" w:cs="宋体"/>
      <w:color w:val="000000"/>
      <w:sz w:val="18"/>
      <w:szCs w:val="18"/>
      <w:u w:val="none"/>
    </w:rPr>
  </w:style>
  <w:style w:type="character" w:customStyle="1" w:styleId="24">
    <w:name w:val="font41"/>
    <w:basedOn w:val="14"/>
    <w:qFormat/>
    <w:uiPriority w:val="0"/>
    <w:rPr>
      <w:rFonts w:hint="eastAsia" w:ascii="微软雅黑" w:hAnsi="微软雅黑" w:eastAsia="微软雅黑" w:cs="微软雅黑"/>
      <w:color w:val="000000"/>
      <w:sz w:val="18"/>
      <w:szCs w:val="18"/>
      <w:u w:val="none"/>
    </w:rPr>
  </w:style>
  <w:style w:type="paragraph" w:customStyle="1" w:styleId="25">
    <w:name w:val="_Style 2"/>
    <w:basedOn w:val="1"/>
    <w:qFormat/>
    <w:uiPriority w:val="0"/>
    <w:pPr>
      <w:ind w:firstLine="420" w:firstLineChars="200"/>
    </w:pPr>
    <w:rPr>
      <w:rFonts w:ascii="Calibri" w:hAnsi="Calibri" w:cs="Calibri"/>
      <w:kern w:val="0"/>
      <w:sz w:val="20"/>
    </w:rPr>
  </w:style>
  <w:style w:type="character" w:customStyle="1" w:styleId="26">
    <w:name w:val="标题3 Char"/>
    <w:link w:val="27"/>
    <w:qFormat/>
    <w:locked/>
    <w:uiPriority w:val="0"/>
    <w:rPr>
      <w:rFonts w:ascii="仿宋_GB2312" w:hAnsi="宋体" w:eastAsia="仿宋_GB2312"/>
      <w:kern w:val="0"/>
      <w:szCs w:val="20"/>
    </w:rPr>
  </w:style>
  <w:style w:type="paragraph" w:customStyle="1" w:styleId="27">
    <w:name w:val="标题3"/>
    <w:basedOn w:val="4"/>
    <w:link w:val="26"/>
    <w:qFormat/>
    <w:uiPriority w:val="0"/>
    <w:pPr>
      <w:spacing w:beforeLines="100" w:afterLines="100" w:line="360" w:lineRule="auto"/>
      <w:ind w:firstLine="168" w:firstLineChars="168"/>
    </w:pPr>
    <w:rPr>
      <w:rFonts w:ascii="仿宋_GB2312" w:hAnsi="宋体" w:eastAsia="仿宋_GB2312"/>
      <w:bCs w:val="0"/>
      <w:kern w:val="0"/>
      <w:szCs w:val="20"/>
    </w:rPr>
  </w:style>
  <w:style w:type="paragraph" w:styleId="2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
    <w:name w:val="图例"/>
    <w:basedOn w:val="1"/>
    <w:qFormat/>
    <w:uiPriority w:val="0"/>
    <w:pPr>
      <w:spacing w:before="120" w:after="120" w:line="360" w:lineRule="auto"/>
      <w:jc w:val="center"/>
    </w:pPr>
    <w:rPr>
      <w:rFonts w:eastAsia="仿宋_GB2312"/>
      <w:b/>
      <w:sz w:val="24"/>
    </w:rPr>
  </w:style>
  <w:style w:type="character" w:customStyle="1" w:styleId="30">
    <w:name w:val="font61"/>
    <w:basedOn w:val="14"/>
    <w:qFormat/>
    <w:uiPriority w:val="0"/>
    <w:rPr>
      <w:rFonts w:hint="eastAsia" w:ascii="宋体" w:hAnsi="宋体" w:eastAsia="宋体" w:cs="宋体"/>
      <w:color w:val="000000"/>
      <w:sz w:val="20"/>
      <w:szCs w:val="20"/>
      <w:u w:val="none"/>
    </w:rPr>
  </w:style>
  <w:style w:type="paragraph" w:styleId="31">
    <w:name w:val="List Paragraph"/>
    <w:basedOn w:val="1"/>
    <w:qFormat/>
    <w:uiPriority w:val="34"/>
    <w:pPr>
      <w:ind w:firstLine="420" w:firstLineChars="200"/>
    </w:pPr>
    <w:rPr>
      <w:rFonts w:ascii="Calibri" w:hAnsi="Calibri" w:eastAsia="宋体"/>
    </w:rPr>
  </w:style>
  <w:style w:type="paragraph" w:customStyle="1" w:styleId="32">
    <w:name w:val="Table Paragraph"/>
    <w:basedOn w:val="1"/>
    <w:qFormat/>
    <w:uiPriority w:val="1"/>
    <w:pPr>
      <w:spacing w:line="240" w:lineRule="auto"/>
      <w:ind w:firstLine="0" w:firstLineChars="0"/>
    </w:pPr>
    <w:rPr>
      <w:sz w:val="21"/>
    </w:rPr>
  </w:style>
  <w:style w:type="table" w:customStyle="1" w:styleId="33">
    <w:name w:val="Table Normal"/>
    <w:unhideWhenUsed/>
    <w:qFormat/>
    <w:uiPriority w:val="2"/>
    <w:pPr>
      <w:ind w:firstLine="0" w:firstLineChars="0"/>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684</Words>
  <Characters>836</Characters>
  <Lines>46</Lines>
  <Paragraphs>75</Paragraphs>
  <TotalTime>1</TotalTime>
  <ScaleCrop>false</ScaleCrop>
  <LinksUpToDate>false</LinksUpToDate>
  <CharactersWithSpaces>1445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2017-12-05T07:31:00Z</dcterms:created>
  <dc:creator>456</dc:creator>
  <cp:lastModifiedBy>NTKO</cp:lastModifiedBy>
  <dcterms:modified xsi:type="dcterms:W3CDTF">2020-11-04T06:10:44Z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