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2"/>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（政府采购）</w:t>
      </w:r>
    </w:p>
    <w:p>
      <w:pPr>
        <w:pStyle w:val="2"/>
        <w:spacing w:line="700" w:lineRule="exact"/>
        <w:jc w:val="center"/>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360" w:lineRule="auto"/>
        <w:jc w:val="center"/>
        <w:rPr>
          <w:rFonts w:hint="eastAsia" w:hAnsi="宋体"/>
          <w:b/>
          <w:bCs/>
          <w:sz w:val="40"/>
          <w:szCs w:val="40"/>
          <w:lang w:eastAsia="zh-CN"/>
        </w:rPr>
      </w:pPr>
      <w:r>
        <w:rPr>
          <w:rFonts w:hint="eastAsia" w:hAnsi="宋体"/>
          <w:b/>
          <w:bCs/>
          <w:sz w:val="40"/>
          <w:szCs w:val="40"/>
          <w:lang w:eastAsia="zh-CN"/>
        </w:rPr>
        <w:t>谈</w:t>
      </w:r>
    </w:p>
    <w:p>
      <w:pPr>
        <w:pStyle w:val="2"/>
        <w:spacing w:line="360" w:lineRule="auto"/>
        <w:jc w:val="center"/>
        <w:rPr>
          <w:rFonts w:hint="eastAsia" w:hAnsi="宋体"/>
          <w:b/>
          <w:bCs/>
          <w:sz w:val="40"/>
          <w:szCs w:val="40"/>
          <w:lang w:eastAsia="zh-CN"/>
        </w:rPr>
      </w:pPr>
      <w:r>
        <w:rPr>
          <w:rFonts w:hint="eastAsia" w:hAnsi="宋体"/>
          <w:b/>
          <w:bCs/>
          <w:sz w:val="40"/>
          <w:szCs w:val="40"/>
          <w:lang w:eastAsia="zh-CN"/>
        </w:rPr>
        <w:t>判</w:t>
      </w:r>
    </w:p>
    <w:p>
      <w:pPr>
        <w:pStyle w:val="2"/>
        <w:spacing w:line="360" w:lineRule="auto"/>
        <w:jc w:val="center"/>
        <w:rPr>
          <w:rFonts w:hint="eastAsia" w:hAnsi="宋体"/>
          <w:b/>
          <w:bCs/>
          <w:sz w:val="40"/>
          <w:szCs w:val="40"/>
          <w:lang w:eastAsia="zh-CN"/>
        </w:rPr>
      </w:pPr>
      <w:r>
        <w:rPr>
          <w:rFonts w:hint="eastAsia" w:hAnsi="宋体"/>
          <w:b/>
          <w:bCs/>
          <w:sz w:val="40"/>
          <w:szCs w:val="40"/>
          <w:lang w:eastAsia="zh-CN"/>
        </w:rPr>
        <w:t>文</w:t>
      </w:r>
    </w:p>
    <w:p>
      <w:pPr>
        <w:pStyle w:val="2"/>
        <w:spacing w:line="360" w:lineRule="auto"/>
        <w:jc w:val="center"/>
        <w:rPr>
          <w:rFonts w:hint="eastAsia" w:ascii="宋体" w:hAnsi="宋体" w:eastAsia="宋体"/>
          <w:b/>
          <w:bCs/>
          <w:sz w:val="40"/>
          <w:szCs w:val="40"/>
          <w:lang w:eastAsia="zh-CN"/>
        </w:rPr>
      </w:pPr>
      <w:r>
        <w:rPr>
          <w:rFonts w:hint="eastAsia" w:hAnsi="宋体"/>
          <w:b/>
          <w:bCs/>
          <w:sz w:val="40"/>
          <w:szCs w:val="40"/>
          <w:lang w:eastAsia="zh-CN"/>
        </w:rPr>
        <w:t>件</w:t>
      </w:r>
    </w:p>
    <w:p>
      <w:pPr>
        <w:pStyle w:val="2"/>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2"/>
        <w:spacing w:line="360" w:lineRule="auto"/>
        <w:ind w:firstLine="1265" w:firstLineChars="450"/>
        <w:rPr>
          <w:rFonts w:hint="eastAsia" w:ascii="黑体" w:hAnsi="黑体" w:eastAsia="黑体"/>
          <w:b/>
          <w:color w:val="000000"/>
          <w:sz w:val="28"/>
          <w:szCs w:val="28"/>
        </w:rPr>
      </w:pPr>
    </w:p>
    <w:p>
      <w:pPr>
        <w:pStyle w:val="2"/>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2"/>
        <w:spacing w:line="560" w:lineRule="exact"/>
        <w:jc w:val="left"/>
        <w:rPr>
          <w:rFonts w:hint="default" w:hAnsi="宋体"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招标项目：</w:t>
      </w:r>
      <w:r>
        <w:rPr>
          <w:rFonts w:hint="eastAsia" w:hAnsi="宋体" w:cstheme="minorBidi"/>
          <w:b/>
          <w:bCs w:val="0"/>
          <w:kern w:val="2"/>
          <w:sz w:val="28"/>
          <w:szCs w:val="28"/>
          <w:lang w:val="en-US" w:eastAsia="zh-CN" w:bidi="ar-SA"/>
        </w:rPr>
        <w:t>铜仁职业技术学院食用菌产业链专业人才建设项目实训设备采购及实训场地建设项目(二次)2包</w:t>
      </w:r>
    </w:p>
    <w:p>
      <w:pPr>
        <w:pStyle w:val="2"/>
        <w:spacing w:line="560" w:lineRule="exact"/>
        <w:jc w:val="left"/>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招标编号：</w:t>
      </w:r>
      <w:r>
        <w:rPr>
          <w:rFonts w:hint="eastAsia" w:hAnsi="宋体" w:cstheme="minorBidi"/>
          <w:b/>
          <w:bCs w:val="0"/>
          <w:kern w:val="2"/>
          <w:sz w:val="28"/>
          <w:szCs w:val="28"/>
          <w:lang w:val="en-US" w:eastAsia="zh-CN" w:bidi="ar-SA"/>
        </w:rPr>
        <w:t>TRZFCG-2020-191-2</w:t>
      </w:r>
    </w:p>
    <w:p>
      <w:pPr>
        <w:pStyle w:val="2"/>
        <w:spacing w:line="560" w:lineRule="exact"/>
        <w:jc w:val="left"/>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招标方式：竞争性谈判</w:t>
      </w:r>
    </w:p>
    <w:p>
      <w:pPr>
        <w:pStyle w:val="2"/>
        <w:spacing w:line="560" w:lineRule="exact"/>
        <w:jc w:val="left"/>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项目类别：工程类</w:t>
      </w:r>
    </w:p>
    <w:p>
      <w:pPr>
        <w:pStyle w:val="2"/>
        <w:spacing w:line="560" w:lineRule="exact"/>
        <w:jc w:val="center"/>
        <w:rPr>
          <w:rFonts w:hint="eastAsia" w:ascii="黑体" w:hAnsi="黑体" w:eastAsia="黑体"/>
          <w:b/>
          <w:color w:val="000000"/>
          <w:sz w:val="24"/>
          <w:szCs w:val="24"/>
        </w:rPr>
      </w:pPr>
    </w:p>
    <w:p>
      <w:pPr>
        <w:pStyle w:val="2"/>
        <w:spacing w:line="360" w:lineRule="auto"/>
        <w:rPr>
          <w:rFonts w:hint="eastAsia" w:ascii="黑体" w:hAnsi="黑体" w:eastAsia="黑体"/>
          <w:b/>
          <w:color w:val="000000"/>
          <w:sz w:val="24"/>
          <w:szCs w:val="24"/>
        </w:rPr>
      </w:pPr>
      <w:r>
        <w:rPr>
          <w:rFonts w:hint="eastAsia" w:ascii="黑体" w:hAnsi="黑体" w:eastAsia="黑体"/>
          <w:b/>
          <w:color w:val="000000"/>
          <w:sz w:val="24"/>
          <w:szCs w:val="24"/>
        </w:rPr>
        <w:t xml:space="preserve">                      </w:t>
      </w:r>
    </w:p>
    <w:p>
      <w:pPr>
        <w:pStyle w:val="2"/>
        <w:spacing w:line="360" w:lineRule="auto"/>
        <w:rPr>
          <w:rFonts w:hint="eastAsia" w:ascii="黑体" w:hAnsi="黑体" w:eastAsia="黑体"/>
          <w:b/>
          <w:color w:val="000000"/>
          <w:sz w:val="24"/>
          <w:szCs w:val="24"/>
        </w:rPr>
      </w:pPr>
    </w:p>
    <w:p>
      <w:pPr>
        <w:pStyle w:val="2"/>
        <w:spacing w:line="360" w:lineRule="auto"/>
        <w:rPr>
          <w:rFonts w:hint="eastAsia" w:ascii="黑体" w:hAnsi="黑体" w:eastAsia="黑体"/>
          <w:b/>
          <w:color w:val="000000"/>
          <w:sz w:val="24"/>
          <w:szCs w:val="24"/>
        </w:rPr>
      </w:pPr>
      <w:r>
        <w:rPr>
          <w:rFonts w:hint="eastAsia" w:ascii="黑体" w:hAnsi="黑体" w:eastAsia="黑体"/>
          <w:b/>
          <w:color w:val="000000"/>
          <w:sz w:val="24"/>
          <w:szCs w:val="24"/>
        </w:rPr>
        <w:t xml:space="preserve">   </w:t>
      </w:r>
    </w:p>
    <w:p>
      <w:pPr>
        <w:pStyle w:val="6"/>
        <w:ind w:firstLine="0"/>
        <w:jc w:val="center"/>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铜仁市公共资源交易中心编制</w:t>
      </w:r>
    </w:p>
    <w:p>
      <w:pPr>
        <w:pStyle w:val="2"/>
        <w:spacing w:line="360" w:lineRule="auto"/>
        <w:jc w:val="left"/>
        <w:rPr>
          <w:rFonts w:hint="eastAsia" w:hAnsi="宋体"/>
          <w:b/>
          <w:bCs/>
          <w:sz w:val="30"/>
          <w:szCs w:val="30"/>
          <w:lang w:eastAsia="zh-CN"/>
        </w:rPr>
      </w:pPr>
    </w:p>
    <w:p>
      <w:pPr>
        <w:pStyle w:val="6"/>
        <w:spacing w:line="360" w:lineRule="auto"/>
        <w:ind w:firstLine="0"/>
        <w:jc w:val="center"/>
        <w:rPr>
          <w:rFonts w:hint="eastAsia" w:cs="Arial"/>
          <w:b/>
          <w:bCs/>
          <w:sz w:val="32"/>
        </w:rPr>
      </w:pP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1"/>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 xml:space="preserve"> 谈判公告</w:t>
      </w:r>
    </w:p>
    <w:p>
      <w:pPr>
        <w:numPr>
          <w:ilvl w:val="0"/>
          <w:numId w:val="1"/>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 xml:space="preserve"> 谈判供应商须知</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第三章  供应商谈判须知正文部分</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第四章  谈判工程量清单及要求</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第五章  铜仁市政府采购合同（参考文本）</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第六章  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both"/>
        <w:outlineLvl w:val="0"/>
        <w:rPr>
          <w:rFonts w:hint="eastAsia" w:ascii="宋体" w:hAnsi="宋体"/>
          <w:b/>
          <w:bCs/>
          <w:sz w:val="30"/>
          <w:szCs w:val="30"/>
        </w:rPr>
      </w:pPr>
      <w:bookmarkStart w:id="0" w:name="_Toc268599006"/>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2"/>
        <w:keepNext w:val="0"/>
        <w:keepLines w:val="0"/>
        <w:pageBreakBefore w:val="0"/>
        <w:kinsoku/>
        <w:wordWrap/>
        <w:overflowPunct/>
        <w:topLinePunct w:val="0"/>
        <w:bidi w:val="0"/>
        <w:spacing w:line="40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铜仁职业技术学院</w:t>
      </w:r>
      <w:r>
        <w:rPr>
          <w:rFonts w:hint="eastAsia" w:hAnsi="宋体"/>
          <w:color w:val="000000"/>
          <w:sz w:val="24"/>
          <w:szCs w:val="24"/>
        </w:rPr>
        <w:t>委托，对</w:t>
      </w:r>
      <w:r>
        <w:rPr>
          <w:rFonts w:hint="eastAsia" w:hAnsi="宋体"/>
          <w:b/>
          <w:bCs/>
          <w:color w:val="000000"/>
          <w:sz w:val="24"/>
          <w:szCs w:val="24"/>
          <w:lang w:eastAsia="zh-CN"/>
        </w:rPr>
        <w:t>铜仁职业技术学院食用菌产业链专业人才建设项目实训设备采购及实训场地建设项目(二次)</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keepNext w:val="0"/>
        <w:keepLines w:val="0"/>
        <w:pageBreakBefore w:val="0"/>
        <w:numPr>
          <w:ilvl w:val="0"/>
          <w:numId w:val="0"/>
        </w:numPr>
        <w:kinsoku/>
        <w:wordWrap/>
        <w:overflowPunct/>
        <w:topLinePunct w:val="0"/>
        <w:bidi w:val="0"/>
        <w:spacing w:line="40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color w:val="000000"/>
          <w:sz w:val="24"/>
          <w:szCs w:val="24"/>
          <w:lang w:eastAsia="zh-CN"/>
        </w:rPr>
        <w:t>：</w:t>
      </w:r>
      <w:r>
        <w:rPr>
          <w:rFonts w:hint="eastAsia" w:hAnsi="宋体"/>
          <w:b/>
          <w:bCs/>
          <w:color w:val="000000"/>
          <w:sz w:val="24"/>
          <w:szCs w:val="24"/>
          <w:lang w:eastAsia="zh-CN"/>
        </w:rPr>
        <w:t>铜仁职业技术学院食用菌产业链专业人才建设项目实训设备采购及实训场地建设项目(二次)</w:t>
      </w:r>
    </w:p>
    <w:p>
      <w:pPr>
        <w:pStyle w:val="2"/>
        <w:keepNext w:val="0"/>
        <w:keepLines w:val="0"/>
        <w:pageBreakBefore w:val="0"/>
        <w:kinsoku/>
        <w:wordWrap/>
        <w:overflowPunct/>
        <w:topLinePunct w:val="0"/>
        <w:bidi w:val="0"/>
        <w:spacing w:line="400" w:lineRule="exact"/>
        <w:textAlignment w:val="auto"/>
        <w:rPr>
          <w:rFonts w:hint="eastAsia"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ascii="黑体" w:hAnsi="黑体" w:eastAsia="黑体"/>
          <w:color w:val="000000"/>
          <w:sz w:val="24"/>
          <w:szCs w:val="24"/>
          <w:lang w:eastAsia="zh-CN"/>
        </w:rPr>
        <w:t>TRZFCG-2020-191-2</w:t>
      </w:r>
    </w:p>
    <w:p>
      <w:pPr>
        <w:keepNext w:val="0"/>
        <w:keepLines w:val="0"/>
        <w:pageBreakBefore w:val="0"/>
        <w:kinsoku/>
        <w:wordWrap/>
        <w:overflowPunct/>
        <w:topLinePunct w:val="0"/>
        <w:bidi w:val="0"/>
        <w:spacing w:line="400" w:lineRule="exact"/>
        <w:ind w:firstLine="482" w:firstLineChars="200"/>
        <w:textAlignment w:val="auto"/>
        <w:outlineLvl w:val="0"/>
        <w:rPr>
          <w:rFonts w:hint="eastAsia" w:ascii="宋体" w:hAnsi="宋体"/>
          <w:color w:val="000000"/>
          <w:sz w:val="24"/>
        </w:rPr>
      </w:pPr>
      <w:r>
        <w:rPr>
          <w:rFonts w:hint="eastAsia" w:ascii="宋体" w:hAnsi="宋体"/>
          <w:b/>
          <w:color w:val="000000"/>
          <w:sz w:val="24"/>
        </w:rPr>
        <w:t>3</w:t>
      </w:r>
      <w:r>
        <w:rPr>
          <w:rFonts w:hint="eastAsia" w:ascii="宋体" w:hAnsi="宋体"/>
          <w:b/>
          <w:color w:val="000000"/>
          <w:sz w:val="24"/>
          <w:lang w:eastAsia="zh-CN"/>
        </w:rPr>
        <w:t>、</w:t>
      </w:r>
      <w:r>
        <w:rPr>
          <w:rFonts w:hint="eastAsia" w:ascii="宋体" w:hAnsi="宋体"/>
          <w:b/>
          <w:color w:val="000000"/>
          <w:sz w:val="24"/>
        </w:rPr>
        <w:t>报名时间:</w:t>
      </w:r>
      <w:r>
        <w:rPr>
          <w:rFonts w:hint="eastAsia" w:ascii="宋体" w:hAnsi="宋体"/>
          <w:color w:val="000000"/>
          <w:sz w:val="24"/>
        </w:rPr>
        <w:t xml:space="preserve"> </w:t>
      </w:r>
      <w:r>
        <w:rPr>
          <w:rFonts w:hint="eastAsia" w:ascii="宋体" w:hAnsi="宋体"/>
          <w:color w:val="FF0000"/>
          <w:sz w:val="24"/>
        </w:rPr>
        <w:t>20</w:t>
      </w:r>
      <w:r>
        <w:rPr>
          <w:rFonts w:hint="eastAsia" w:ascii="宋体" w:hAnsi="宋体"/>
          <w:color w:val="FF0000"/>
          <w:sz w:val="24"/>
          <w:lang w:val="en-US" w:eastAsia="zh-CN"/>
        </w:rPr>
        <w:t>20</w:t>
      </w:r>
      <w:r>
        <w:rPr>
          <w:rFonts w:hint="eastAsia" w:ascii="宋体" w:hAnsi="宋体"/>
          <w:color w:val="FF0000"/>
          <w:sz w:val="24"/>
        </w:rPr>
        <w:t>年</w:t>
      </w:r>
      <w:r>
        <w:rPr>
          <w:rFonts w:hint="eastAsia" w:ascii="宋体" w:hAnsi="宋体"/>
          <w:color w:val="FF0000"/>
          <w:sz w:val="24"/>
          <w:lang w:val="en-US" w:eastAsia="zh-CN"/>
        </w:rPr>
        <w:t>11</w:t>
      </w:r>
      <w:r>
        <w:rPr>
          <w:rFonts w:hint="eastAsia" w:ascii="宋体" w:hAnsi="宋体"/>
          <w:color w:val="FF0000"/>
          <w:sz w:val="24"/>
        </w:rPr>
        <w:t>月</w:t>
      </w:r>
      <w:r>
        <w:rPr>
          <w:rFonts w:hint="eastAsia" w:ascii="宋体" w:hAnsi="宋体"/>
          <w:color w:val="FF0000"/>
          <w:sz w:val="24"/>
          <w:lang w:val="en-US" w:eastAsia="zh-CN"/>
        </w:rPr>
        <w:t>30</w:t>
      </w:r>
      <w:r>
        <w:rPr>
          <w:rFonts w:hint="eastAsia" w:ascii="宋体" w:hAnsi="宋体"/>
          <w:color w:val="FF0000"/>
          <w:sz w:val="24"/>
        </w:rPr>
        <w:t>日至20</w:t>
      </w:r>
      <w:r>
        <w:rPr>
          <w:rFonts w:hint="eastAsia" w:ascii="宋体" w:hAnsi="宋体"/>
          <w:color w:val="FF0000"/>
          <w:sz w:val="24"/>
          <w:lang w:val="en-US" w:eastAsia="zh-CN"/>
        </w:rPr>
        <w:t>20</w:t>
      </w:r>
      <w:r>
        <w:rPr>
          <w:rFonts w:hint="eastAsia" w:ascii="宋体" w:hAnsi="宋体"/>
          <w:color w:val="FF0000"/>
          <w:sz w:val="24"/>
        </w:rPr>
        <w:t>年</w:t>
      </w:r>
      <w:r>
        <w:rPr>
          <w:rFonts w:hint="eastAsia" w:ascii="宋体" w:hAnsi="宋体"/>
          <w:color w:val="FF0000"/>
          <w:sz w:val="24"/>
          <w:lang w:val="en-US" w:eastAsia="zh-CN"/>
        </w:rPr>
        <w:t>12</w:t>
      </w:r>
      <w:r>
        <w:rPr>
          <w:rFonts w:hint="eastAsia" w:ascii="宋体" w:hAnsi="宋体"/>
          <w:color w:val="FF0000"/>
          <w:sz w:val="24"/>
        </w:rPr>
        <w:t>月</w:t>
      </w:r>
      <w:r>
        <w:rPr>
          <w:rFonts w:hint="eastAsia" w:ascii="宋体" w:hAnsi="宋体"/>
          <w:color w:val="FF0000"/>
          <w:sz w:val="24"/>
          <w:lang w:val="en-US" w:eastAsia="zh-CN"/>
        </w:rPr>
        <w:t>2日</w:t>
      </w:r>
    </w:p>
    <w:p>
      <w:pPr>
        <w:keepNext w:val="0"/>
        <w:keepLines w:val="0"/>
        <w:pageBreakBefore w:val="0"/>
        <w:kinsoku/>
        <w:wordWrap/>
        <w:overflowPunct/>
        <w:topLinePunct w:val="0"/>
        <w:bidi w:val="0"/>
        <w:spacing w:line="400" w:lineRule="exact"/>
        <w:ind w:firstLine="472" w:firstLineChars="196"/>
        <w:textAlignment w:val="auto"/>
        <w:rPr>
          <w:rFonts w:hint="eastAsia" w:ascii="宋体" w:hAnsi="宋体"/>
          <w:color w:val="000000"/>
          <w:sz w:val="24"/>
        </w:rPr>
      </w:pPr>
      <w:r>
        <w:rPr>
          <w:rFonts w:hint="eastAsia" w:ascii="宋体" w:hAnsi="宋体"/>
          <w:b/>
          <w:color w:val="000000"/>
          <w:sz w:val="24"/>
          <w:lang w:val="en-US" w:eastAsia="zh-CN"/>
        </w:rPr>
        <w:t>4、</w:t>
      </w:r>
      <w:r>
        <w:rPr>
          <w:rFonts w:hint="eastAsia" w:ascii="宋体" w:hAnsi="宋体"/>
          <w:b/>
          <w:color w:val="000000"/>
          <w:sz w:val="24"/>
        </w:rPr>
        <w:t>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kinsoku/>
        <w:wordWrap/>
        <w:overflowPunct/>
        <w:topLinePunct w:val="0"/>
        <w:bidi w:val="0"/>
        <w:spacing w:line="40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w:t>
      </w:r>
      <w:r>
        <w:rPr>
          <w:rFonts w:hint="eastAsia" w:ascii="宋体" w:hAnsi="宋体"/>
          <w:b/>
          <w:color w:val="000000"/>
          <w:sz w:val="24"/>
          <w:lang w:eastAsia="zh-CN"/>
        </w:rPr>
        <w:t>日历天</w:t>
      </w:r>
      <w:r>
        <w:rPr>
          <w:rFonts w:hint="eastAsia" w:ascii="宋体" w:hAnsi="宋体"/>
          <w:b/>
          <w:color w:val="000000"/>
          <w:sz w:val="24"/>
        </w:rPr>
        <w:t>。</w:t>
      </w:r>
    </w:p>
    <w:p>
      <w:pPr>
        <w:pStyle w:val="2"/>
        <w:keepNext w:val="0"/>
        <w:keepLines w:val="0"/>
        <w:pageBreakBefore w:val="0"/>
        <w:kinsoku/>
        <w:wordWrap/>
        <w:overflowPunct/>
        <w:topLinePunct w:val="0"/>
        <w:bidi w:val="0"/>
        <w:spacing w:line="400" w:lineRule="exact"/>
        <w:ind w:firstLine="472" w:firstLineChars="196"/>
        <w:textAlignment w:val="auto"/>
        <w:rPr>
          <w:rFonts w:hint="eastAsia" w:hAnsi="宋体" w:eastAsiaTheme="minorEastAsia"/>
          <w:b/>
          <w:color w:val="000000"/>
          <w:sz w:val="24"/>
          <w:szCs w:val="24"/>
          <w:lang w:val="en-US" w:eastAsia="zh-CN"/>
        </w:rPr>
      </w:pPr>
      <w:r>
        <w:rPr>
          <w:rFonts w:hint="eastAsia" w:hAnsi="宋体"/>
          <w:b/>
          <w:color w:val="000000"/>
          <w:sz w:val="24"/>
          <w:szCs w:val="24"/>
          <w:lang w:val="en-US" w:eastAsia="zh-CN"/>
        </w:rPr>
        <w:t>6</w:t>
      </w:r>
      <w:r>
        <w:rPr>
          <w:rFonts w:hint="eastAsia" w:hAnsi="宋体"/>
          <w:b/>
          <w:color w:val="000000"/>
          <w:sz w:val="24"/>
          <w:szCs w:val="24"/>
        </w:rPr>
        <w:t>、本项目不接受联合体。</w:t>
      </w:r>
      <w:r>
        <w:rPr>
          <w:rFonts w:hint="eastAsia" w:hAnsi="宋体"/>
          <w:b/>
          <w:color w:val="000000"/>
          <w:sz w:val="24"/>
          <w:szCs w:val="24"/>
          <w:lang w:val="en-US" w:eastAsia="zh-CN"/>
        </w:rPr>
        <w:t xml:space="preserve"> </w:t>
      </w:r>
    </w:p>
    <w:p>
      <w:pPr>
        <w:pStyle w:val="2"/>
        <w:keepNext w:val="0"/>
        <w:keepLines w:val="0"/>
        <w:pageBreakBefore w:val="0"/>
        <w:kinsoku/>
        <w:wordWrap/>
        <w:overflowPunct/>
        <w:topLinePunct w:val="0"/>
        <w:bidi w:val="0"/>
        <w:spacing w:line="400" w:lineRule="exact"/>
        <w:ind w:firstLine="472" w:firstLineChars="196"/>
        <w:textAlignment w:val="auto"/>
        <w:rPr>
          <w:rFonts w:hint="eastAsia" w:hAnsi="宋体"/>
          <w:b/>
          <w:color w:val="000000"/>
          <w:sz w:val="24"/>
          <w:szCs w:val="24"/>
        </w:rPr>
      </w:pPr>
      <w:r>
        <w:rPr>
          <w:rFonts w:hint="eastAsia" w:hAnsi="宋体"/>
          <w:b/>
          <w:color w:val="000000"/>
          <w:sz w:val="24"/>
          <w:szCs w:val="24"/>
          <w:lang w:val="en-US" w:eastAsia="zh-CN"/>
        </w:rPr>
        <w:t>7</w:t>
      </w:r>
      <w:r>
        <w:rPr>
          <w:rFonts w:hint="eastAsia" w:hAnsi="宋体"/>
          <w:b/>
          <w:color w:val="000000"/>
          <w:sz w:val="24"/>
          <w:szCs w:val="24"/>
        </w:rPr>
        <w:t>、</w:t>
      </w:r>
      <w:r>
        <w:rPr>
          <w:rFonts w:hint="eastAsia"/>
          <w:b/>
          <w:color w:val="000000"/>
          <w:sz w:val="24"/>
          <w:szCs w:val="24"/>
        </w:rPr>
        <w:t>购买招标文件地点及联系方式</w:t>
      </w:r>
    </w:p>
    <w:p>
      <w:pPr>
        <w:pStyle w:val="2"/>
        <w:keepNext w:val="0"/>
        <w:keepLines w:val="0"/>
        <w:pageBreakBefore w:val="0"/>
        <w:kinsoku/>
        <w:wordWrap/>
        <w:overflowPunct/>
        <w:topLinePunct w:val="0"/>
        <w:bidi w:val="0"/>
        <w:spacing w:line="40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2"/>
          <w:color w:val="000000"/>
          <w:sz w:val="24"/>
          <w:szCs w:val="24"/>
        </w:rPr>
        <w:t>http://</w:t>
      </w:r>
      <w:r>
        <w:rPr>
          <w:rStyle w:val="22"/>
          <w:rFonts w:hint="eastAsia"/>
          <w:color w:val="000000"/>
          <w:sz w:val="24"/>
          <w:szCs w:val="24"/>
          <w:lang w:eastAsia="zh-CN"/>
        </w:rPr>
        <w:t>jyzx.trs.gov.cn</w:t>
      </w:r>
      <w:r>
        <w:rPr>
          <w:color w:val="000000"/>
          <w:sz w:val="24"/>
          <w:szCs w:val="24"/>
        </w:rPr>
        <w:fldChar w:fldCharType="end"/>
      </w:r>
      <w:r>
        <w:rPr>
          <w:color w:val="000000"/>
          <w:sz w:val="24"/>
          <w:szCs w:val="24"/>
        </w:rPr>
        <w:t>）</w:t>
      </w:r>
    </w:p>
    <w:p>
      <w:pPr>
        <w:pStyle w:val="2"/>
        <w:keepNext w:val="0"/>
        <w:keepLines w:val="0"/>
        <w:pageBreakBefore w:val="0"/>
        <w:kinsoku/>
        <w:wordWrap/>
        <w:overflowPunct/>
        <w:topLinePunct w:val="0"/>
        <w:bidi w:val="0"/>
        <w:spacing w:line="400" w:lineRule="exact"/>
        <w:ind w:firstLine="840" w:firstLineChars="350"/>
        <w:textAlignment w:val="auto"/>
        <w:rPr>
          <w:rFonts w:hint="eastAsia" w:eastAsiaTheme="minorEastAsia"/>
          <w:color w:val="000000"/>
          <w:sz w:val="24"/>
          <w:szCs w:val="24"/>
          <w:lang w:val="en-US" w:eastAsia="zh-CN"/>
        </w:rPr>
      </w:pPr>
      <w:r>
        <w:rPr>
          <w:rFonts w:hint="eastAsia" w:hAnsi="宋体"/>
          <w:color w:val="000000"/>
          <w:sz w:val="24"/>
        </w:rPr>
        <w:t>联系电话：</w:t>
      </w:r>
      <w:r>
        <w:rPr>
          <w:rFonts w:hint="eastAsia" w:hAnsi="宋体"/>
          <w:color w:val="000000"/>
          <w:sz w:val="24"/>
          <w:lang w:val="en-US" w:eastAsia="zh-CN"/>
        </w:rPr>
        <w:t>0856-3919165</w:t>
      </w:r>
    </w:p>
    <w:p>
      <w:pPr>
        <w:pStyle w:val="2"/>
        <w:keepNext w:val="0"/>
        <w:keepLines w:val="0"/>
        <w:pageBreakBefore w:val="0"/>
        <w:kinsoku/>
        <w:wordWrap/>
        <w:overflowPunct/>
        <w:topLinePunct w:val="0"/>
        <w:bidi w:val="0"/>
        <w:spacing w:line="400" w:lineRule="exact"/>
        <w:ind w:firstLine="472" w:firstLineChars="196"/>
        <w:textAlignment w:val="auto"/>
        <w:rPr>
          <w:rFonts w:hint="eastAsia" w:hAnsi="宋体"/>
          <w:color w:val="000000"/>
          <w:sz w:val="24"/>
          <w:szCs w:val="24"/>
        </w:rPr>
      </w:pPr>
      <w:r>
        <w:rPr>
          <w:rFonts w:hint="eastAsia" w:hAnsi="宋体"/>
          <w:b/>
          <w:color w:val="000000"/>
          <w:sz w:val="24"/>
          <w:szCs w:val="24"/>
          <w:lang w:val="en-US" w:eastAsia="zh-CN"/>
        </w:rPr>
        <w:t>8</w:t>
      </w:r>
      <w:r>
        <w:rPr>
          <w:rFonts w:hint="eastAsia" w:hAnsi="宋体"/>
          <w:b/>
          <w:color w:val="000000"/>
          <w:sz w:val="24"/>
          <w:szCs w:val="24"/>
        </w:rPr>
        <w:t>、招标文件售价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2"/>
        <w:keepNext w:val="0"/>
        <w:keepLines w:val="0"/>
        <w:pageBreakBefore w:val="0"/>
        <w:kinsoku/>
        <w:wordWrap/>
        <w:overflowPunct/>
        <w:topLinePunct w:val="0"/>
        <w:bidi w:val="0"/>
        <w:spacing w:line="40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w:t>
      </w:r>
      <w:r>
        <w:rPr>
          <w:rFonts w:hint="eastAsia" w:hAnsi="宋体"/>
          <w:b/>
          <w:color w:val="000000"/>
          <w:sz w:val="24"/>
          <w:szCs w:val="24"/>
          <w:lang w:val="en-US" w:eastAsia="zh-CN"/>
        </w:rPr>
        <w:t>9</w:t>
      </w:r>
      <w:r>
        <w:rPr>
          <w:rFonts w:hint="eastAsia" w:hAnsi="宋体"/>
          <w:b/>
          <w:color w:val="000000"/>
          <w:sz w:val="24"/>
          <w:szCs w:val="24"/>
        </w:rPr>
        <w:t>、开评标时须提供</w:t>
      </w:r>
      <w:r>
        <w:rPr>
          <w:rFonts w:hint="eastAsia" w:hAnsi="宋体"/>
          <w:b/>
          <w:color w:val="000000"/>
          <w:sz w:val="24"/>
          <w:szCs w:val="24"/>
          <w:lang w:eastAsia="zh-CN"/>
        </w:rPr>
        <w:t>以下材料</w:t>
      </w:r>
      <w:r>
        <w:rPr>
          <w:rFonts w:hint="eastAsia" w:hAnsi="宋体"/>
          <w:b/>
          <w:color w:val="000000"/>
          <w:sz w:val="24"/>
          <w:szCs w:val="24"/>
        </w:rPr>
        <w:t>：</w:t>
      </w:r>
    </w:p>
    <w:p>
      <w:pPr>
        <w:pStyle w:val="2"/>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2"/>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2"/>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2"/>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2"/>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2"/>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（5）“信用中国”网站（www.creditchina.gov.cn）</w:t>
      </w:r>
      <w:r>
        <w:rPr>
          <w:rFonts w:hint="eastAsia" w:hAnsi="宋体" w:cs="宋体"/>
          <w:bCs/>
          <w:color w:val="000000"/>
          <w:sz w:val="24"/>
          <w:szCs w:val="24"/>
          <w:lang w:eastAsia="zh-CN"/>
        </w:rPr>
        <w:t>和</w:t>
      </w:r>
      <w:r>
        <w:rPr>
          <w:rFonts w:hint="eastAsia" w:hAnsi="宋体" w:cs="宋体"/>
          <w:bCs/>
          <w:color w:val="000000"/>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2"/>
        <w:keepNext w:val="0"/>
        <w:keepLines w:val="0"/>
        <w:pageBreakBefore w:val="0"/>
        <w:kinsoku/>
        <w:wordWrap/>
        <w:overflowPunct/>
        <w:topLinePunct w:val="0"/>
        <w:bidi w:val="0"/>
        <w:spacing w:line="400" w:lineRule="exact"/>
        <w:ind w:firstLine="481"/>
        <w:jc w:val="left"/>
        <w:textAlignment w:val="auto"/>
        <w:rPr>
          <w:rFonts w:hint="eastAsia" w:hAnsi="宋体"/>
          <w:color w:val="000000"/>
          <w:sz w:val="24"/>
          <w:szCs w:val="24"/>
        </w:rPr>
      </w:pPr>
      <w:r>
        <w:rPr>
          <w:rFonts w:hint="eastAsia" w:hAnsi="宋体"/>
          <w:b/>
          <w:color w:val="000000"/>
          <w:sz w:val="24"/>
          <w:szCs w:val="24"/>
          <w:lang w:val="en-US" w:eastAsia="zh-CN"/>
        </w:rPr>
        <w:t>10</w:t>
      </w:r>
      <w:r>
        <w:rPr>
          <w:rFonts w:hint="eastAsia" w:hAnsi="宋体"/>
          <w:b/>
          <w:color w:val="000000"/>
          <w:sz w:val="24"/>
          <w:szCs w:val="24"/>
        </w:rPr>
        <w:t>、投标保证金：</w:t>
      </w:r>
      <w:r>
        <w:rPr>
          <w:rFonts w:hint="eastAsia" w:hAnsi="宋体"/>
          <w:b/>
          <w:color w:val="000000"/>
          <w:sz w:val="24"/>
          <w:szCs w:val="24"/>
          <w:lang w:val="en-US" w:eastAsia="zh-CN"/>
        </w:rPr>
        <w:t>4000</w:t>
      </w:r>
      <w:r>
        <w:rPr>
          <w:rFonts w:hint="eastAsia" w:hAnsi="宋体"/>
          <w:color w:val="000000"/>
          <w:sz w:val="24"/>
          <w:szCs w:val="24"/>
        </w:rPr>
        <w:t>元人民币</w:t>
      </w:r>
    </w:p>
    <w:p>
      <w:pPr>
        <w:pStyle w:val="2"/>
        <w:keepNext w:val="0"/>
        <w:keepLines w:val="0"/>
        <w:pageBreakBefore w:val="0"/>
        <w:kinsoku/>
        <w:wordWrap/>
        <w:overflowPunct/>
        <w:topLinePunct w:val="0"/>
        <w:bidi w:val="0"/>
        <w:spacing w:line="400" w:lineRule="exact"/>
        <w:ind w:firstLine="481"/>
        <w:jc w:val="left"/>
        <w:textAlignment w:val="auto"/>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sz w:val="24"/>
          <w:szCs w:val="24"/>
        </w:rPr>
        <w:t>jyzx.trs.gov.cn），点击首页-办事指南-保证金缴退，自行缴纳保证金；或者</w:t>
      </w:r>
      <w:r>
        <w:rPr>
          <w:rFonts w:hint="eastAsia" w:ascii="宋体" w:hAnsi="宋体" w:cs="宋体"/>
          <w:b/>
          <w:bCs/>
          <w:color w:val="FF0000"/>
          <w:sz w:val="24"/>
          <w:shd w:val="clear" w:color="auto" w:fill="FFFFFF"/>
          <w:lang w:val="en-US" w:eastAsia="zh-CN"/>
        </w:rPr>
        <w:t>采用《投标保证金保函》（电子保函）提交</w:t>
      </w:r>
      <w:r>
        <w:rPr>
          <w:rFonts w:ascii="宋体" w:hAnsi="宋体" w:eastAsia="宋体" w:cs="宋体"/>
          <w:sz w:val="24"/>
          <w:szCs w:val="24"/>
        </w:rPr>
        <w:t>（具体操作方式见铜仁市公共资源交易中心首页——办事指南——政府采购——常见问题解答——《投标电子保函申请操作步骤》）</w:t>
      </w:r>
      <w:r>
        <w:rPr>
          <w:rFonts w:hint="eastAsia" w:ascii="宋体" w:hAnsi="宋体" w:eastAsia="宋体" w:cs="宋体"/>
          <w:sz w:val="24"/>
          <w:szCs w:val="24"/>
          <w:lang w:val="en-US" w:eastAsia="zh-CN"/>
        </w:rPr>
        <w:t xml:space="preserve"> </w:t>
      </w:r>
    </w:p>
    <w:p>
      <w:pPr>
        <w:pStyle w:val="2"/>
        <w:keepNext w:val="0"/>
        <w:keepLines w:val="0"/>
        <w:pageBreakBefore w:val="0"/>
        <w:kinsoku/>
        <w:wordWrap/>
        <w:overflowPunct/>
        <w:topLinePunct w:val="0"/>
        <w:bidi w:val="0"/>
        <w:spacing w:line="400" w:lineRule="exact"/>
        <w:ind w:firstLine="840" w:firstLineChars="350"/>
        <w:jc w:val="left"/>
        <w:textAlignment w:val="auto"/>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kinsoku/>
        <w:wordWrap/>
        <w:overflowPunct/>
        <w:topLinePunct w:val="0"/>
        <w:bidi w:val="0"/>
        <w:spacing w:line="400" w:lineRule="exact"/>
        <w:ind w:firstLine="840" w:firstLineChars="350"/>
        <w:textAlignment w:val="auto"/>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kinsoku/>
        <w:wordWrap/>
        <w:overflowPunct/>
        <w:topLinePunct w:val="0"/>
        <w:bidi w:val="0"/>
        <w:spacing w:line="400" w:lineRule="exact"/>
        <w:ind w:firstLine="840" w:firstLineChars="350"/>
        <w:textAlignment w:val="auto"/>
        <w:rPr>
          <w:rFonts w:hint="eastAsia" w:ascii="宋体" w:hAnsi="宋体"/>
          <w:color w:val="000000"/>
          <w:sz w:val="24"/>
        </w:rPr>
      </w:pPr>
      <w:r>
        <w:rPr>
          <w:rFonts w:hint="eastAsia" w:ascii="宋体" w:hAnsi="宋体"/>
          <w:color w:val="000000"/>
          <w:sz w:val="24"/>
        </w:rPr>
        <w:t>帐    号：0601001500000296</w:t>
      </w:r>
    </w:p>
    <w:p>
      <w:pPr>
        <w:keepNext w:val="0"/>
        <w:keepLines w:val="0"/>
        <w:pageBreakBefore w:val="0"/>
        <w:numPr>
          <w:ilvl w:val="0"/>
          <w:numId w:val="0"/>
        </w:numPr>
        <w:kinsoku/>
        <w:wordWrap/>
        <w:overflowPunct/>
        <w:topLinePunct w:val="0"/>
        <w:bidi w:val="0"/>
        <w:spacing w:line="400" w:lineRule="exact"/>
        <w:ind w:firstLine="482" w:firstLineChars="200"/>
        <w:textAlignment w:val="auto"/>
        <w:rPr>
          <w:rFonts w:hint="eastAsia" w:ascii="宋体" w:hAnsi="宋体"/>
          <w:color w:val="000000"/>
          <w:sz w:val="24"/>
          <w:lang w:val="en-US" w:eastAsia="zh-CN"/>
        </w:rPr>
      </w:pPr>
      <w:r>
        <w:rPr>
          <w:rFonts w:hint="eastAsia" w:ascii="宋体" w:hAnsi="宋体"/>
          <w:b/>
          <w:bCs/>
          <w:color w:val="000000"/>
          <w:sz w:val="24"/>
          <w:lang w:val="en-US" w:eastAsia="zh-CN"/>
        </w:rPr>
        <w:t>11、</w:t>
      </w:r>
      <w:r>
        <w:rPr>
          <w:rFonts w:hint="eastAsia" w:ascii="宋体" w:hAnsi="宋体"/>
          <w:b/>
          <w:bCs/>
          <w:color w:val="000000"/>
          <w:sz w:val="24"/>
        </w:rPr>
        <w:t>采购预算</w:t>
      </w:r>
      <w:r>
        <w:rPr>
          <w:rFonts w:hint="eastAsia" w:ascii="宋体" w:hAnsi="宋体"/>
          <w:color w:val="000000"/>
          <w:sz w:val="24"/>
        </w:rPr>
        <w:t>：</w:t>
      </w:r>
      <w:r>
        <w:rPr>
          <w:rFonts w:hint="eastAsia" w:ascii="宋体" w:hAnsi="宋体"/>
          <w:color w:val="000000"/>
          <w:sz w:val="24"/>
          <w:lang w:val="en-US" w:eastAsia="zh-CN"/>
        </w:rPr>
        <w:t>205700.00</w:t>
      </w:r>
      <w:r>
        <w:rPr>
          <w:rFonts w:hint="eastAsia" w:ascii="宋体" w:hAnsi="宋体"/>
          <w:color w:val="000000"/>
          <w:sz w:val="24"/>
        </w:rPr>
        <w:t>元</w:t>
      </w:r>
      <w:r>
        <w:rPr>
          <w:rFonts w:hint="eastAsia" w:ascii="宋体" w:hAnsi="宋体"/>
          <w:color w:val="000000"/>
          <w:sz w:val="24"/>
          <w:lang w:eastAsia="zh-CN"/>
        </w:rPr>
        <w:t>（</w:t>
      </w:r>
      <w:r>
        <w:rPr>
          <w:rFonts w:hint="eastAsia" w:ascii="宋体" w:hAnsi="宋体"/>
          <w:b/>
          <w:bCs/>
          <w:color w:val="000000"/>
          <w:sz w:val="24"/>
          <w:lang w:val="en-US" w:eastAsia="zh-CN"/>
        </w:rPr>
        <w:t>最高限价：</w:t>
      </w:r>
      <w:r>
        <w:rPr>
          <w:rFonts w:hint="eastAsia" w:ascii="宋体" w:hAnsi="宋体"/>
          <w:color w:val="000000"/>
          <w:sz w:val="24"/>
          <w:lang w:val="en-US" w:eastAsia="zh-CN"/>
        </w:rPr>
        <w:t>205700.00元）</w:t>
      </w:r>
    </w:p>
    <w:p>
      <w:pPr>
        <w:keepNext w:val="0"/>
        <w:keepLines w:val="0"/>
        <w:pageBreakBefore w:val="0"/>
        <w:kinsoku/>
        <w:wordWrap/>
        <w:overflowPunct/>
        <w:topLinePunct w:val="0"/>
        <w:bidi w:val="0"/>
        <w:spacing w:line="400" w:lineRule="exact"/>
        <w:ind w:firstLine="472" w:firstLineChars="196"/>
        <w:textAlignment w:val="auto"/>
        <w:rPr>
          <w:rFonts w:hint="eastAsia" w:ascii="宋体" w:hAnsi="宋体"/>
          <w:color w:val="000000"/>
          <w:sz w:val="24"/>
        </w:rPr>
      </w:pPr>
      <w:r>
        <w:rPr>
          <w:rFonts w:hint="eastAsia" w:ascii="宋体" w:hAnsi="宋体"/>
          <w:b/>
          <w:color w:val="000000"/>
          <w:sz w:val="24"/>
          <w:lang w:val="en-US" w:eastAsia="zh-CN"/>
        </w:rPr>
        <w:t>12</w:t>
      </w:r>
      <w:r>
        <w:rPr>
          <w:rFonts w:hint="eastAsia" w:ascii="宋体" w:hAnsi="宋体"/>
          <w:b/>
          <w:color w:val="000000"/>
          <w:sz w:val="24"/>
        </w:rPr>
        <w:t>、谈判时间：</w:t>
      </w:r>
      <w:r>
        <w:rPr>
          <w:rFonts w:hint="eastAsia" w:ascii="宋体" w:hAnsi="宋体"/>
          <w:color w:val="FF0000"/>
          <w:sz w:val="24"/>
        </w:rPr>
        <w:t>20</w:t>
      </w:r>
      <w:r>
        <w:rPr>
          <w:rFonts w:hint="eastAsia" w:ascii="宋体" w:hAnsi="宋体"/>
          <w:color w:val="FF0000"/>
          <w:sz w:val="24"/>
          <w:lang w:val="en-US" w:eastAsia="zh-CN"/>
        </w:rPr>
        <w:t>20</w:t>
      </w:r>
      <w:r>
        <w:rPr>
          <w:rFonts w:hint="eastAsia" w:ascii="宋体" w:hAnsi="宋体"/>
          <w:color w:val="FF0000"/>
          <w:sz w:val="24"/>
        </w:rPr>
        <w:t>年</w:t>
      </w:r>
      <w:r>
        <w:rPr>
          <w:rFonts w:hint="eastAsia" w:ascii="宋体" w:hAnsi="宋体"/>
          <w:color w:val="FF0000"/>
          <w:sz w:val="24"/>
          <w:lang w:val="en-US" w:eastAsia="zh-CN"/>
        </w:rPr>
        <w:t>12</w:t>
      </w:r>
      <w:r>
        <w:rPr>
          <w:rFonts w:hint="eastAsia" w:ascii="宋体" w:hAnsi="宋体" w:eastAsia="宋体" w:cs="宋体"/>
          <w:color w:val="FF0000"/>
          <w:kern w:val="2"/>
          <w:sz w:val="24"/>
          <w:szCs w:val="24"/>
          <w:shd w:val="clear" w:fill="FFFFFF"/>
          <w:lang w:val="en-US" w:eastAsia="zh-CN" w:bidi="ar"/>
        </w:rPr>
        <w:t>月3日14:0</w:t>
      </w:r>
      <w:bookmarkStart w:id="347" w:name="_GoBack"/>
      <w:bookmarkEnd w:id="347"/>
      <w:r>
        <w:rPr>
          <w:rFonts w:hint="eastAsia" w:ascii="宋体" w:hAnsi="宋体" w:eastAsia="宋体" w:cs="宋体"/>
          <w:color w:val="FF0000"/>
          <w:kern w:val="2"/>
          <w:sz w:val="24"/>
          <w:szCs w:val="24"/>
          <w:shd w:val="clear" w:fill="FFFFFF"/>
          <w:lang w:val="en-US" w:eastAsia="zh-CN" w:bidi="ar"/>
        </w:rPr>
        <w:t>0时</w:t>
      </w:r>
    </w:p>
    <w:p>
      <w:pPr>
        <w:keepNext w:val="0"/>
        <w:keepLines w:val="0"/>
        <w:pageBreakBefore w:val="0"/>
        <w:kinsoku/>
        <w:wordWrap/>
        <w:overflowPunct/>
        <w:topLinePunct w:val="0"/>
        <w:bidi w:val="0"/>
        <w:spacing w:line="40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、谈判地点：铜仁市公共服务中心四楼开标室（铜仁市碧江区川硐教育园区麒龙国际旁）</w:t>
      </w:r>
    </w:p>
    <w:p>
      <w:pPr>
        <w:keepNext w:val="0"/>
        <w:keepLines w:val="0"/>
        <w:pageBreakBefore w:val="0"/>
        <w:kinsoku/>
        <w:wordWrap/>
        <w:overflowPunct/>
        <w:topLinePunct w:val="0"/>
        <w:bidi w:val="0"/>
        <w:spacing w:line="400" w:lineRule="exact"/>
        <w:ind w:firstLine="960" w:firstLineChars="400"/>
        <w:textAlignment w:val="auto"/>
        <w:rPr>
          <w:rFonts w:hint="eastAsia" w:ascii="宋体" w:hAnsi="宋体"/>
          <w:color w:val="000000"/>
          <w:sz w:val="24"/>
        </w:rPr>
      </w:pPr>
      <w:r>
        <w:rPr>
          <w:rFonts w:hint="eastAsia" w:ascii="宋体" w:hAnsi="宋体"/>
          <w:color w:val="000000"/>
          <w:sz w:val="24"/>
        </w:rPr>
        <w:t>联系电话：</w:t>
      </w:r>
      <w:r>
        <w:rPr>
          <w:rFonts w:hint="eastAsia" w:ascii="宋体" w:hAnsi="宋体"/>
          <w:color w:val="000000"/>
          <w:sz w:val="24"/>
          <w:lang w:eastAsia="zh-CN"/>
        </w:rPr>
        <w:t>0856-3919165</w:t>
      </w:r>
      <w:r>
        <w:rPr>
          <w:rFonts w:hint="eastAsia" w:ascii="宋体" w:hAnsi="宋体"/>
          <w:color w:val="000000"/>
          <w:sz w:val="24"/>
        </w:rPr>
        <w:t xml:space="preserve">     </w:t>
      </w:r>
    </w:p>
    <w:p>
      <w:pPr>
        <w:keepNext w:val="0"/>
        <w:keepLines w:val="0"/>
        <w:pageBreakBefore w:val="0"/>
        <w:kinsoku/>
        <w:wordWrap/>
        <w:overflowPunct/>
        <w:topLinePunct w:val="0"/>
        <w:bidi w:val="0"/>
        <w:adjustRightInd w:val="0"/>
        <w:snapToGrid w:val="0"/>
        <w:spacing w:line="400" w:lineRule="exact"/>
        <w:ind w:firstLine="960" w:firstLineChars="400"/>
        <w:textAlignment w:val="auto"/>
        <w:rPr>
          <w:rFonts w:hint="eastAsia" w:ascii="宋体" w:hAnsi="宋体"/>
          <w:color w:val="000000"/>
          <w:sz w:val="24"/>
        </w:rPr>
      </w:pPr>
      <w:r>
        <w:rPr>
          <w:rFonts w:hint="eastAsia" w:ascii="宋体" w:hAnsi="宋体"/>
          <w:color w:val="000000"/>
          <w:sz w:val="24"/>
        </w:rPr>
        <w:t>联 系 人：</w:t>
      </w:r>
      <w:r>
        <w:rPr>
          <w:rFonts w:hint="eastAsia" w:ascii="宋体" w:hAnsi="宋体"/>
          <w:color w:val="000000"/>
          <w:sz w:val="24"/>
          <w:lang w:eastAsia="zh-CN"/>
        </w:rPr>
        <w:t>杨曼</w:t>
      </w:r>
      <w:r>
        <w:rPr>
          <w:rFonts w:hint="eastAsia" w:ascii="宋体" w:hAnsi="宋体"/>
          <w:color w:val="000000"/>
          <w:sz w:val="24"/>
        </w:rPr>
        <w:t xml:space="preserve">     </w:t>
      </w:r>
    </w:p>
    <w:p>
      <w:pPr>
        <w:keepNext w:val="0"/>
        <w:keepLines w:val="0"/>
        <w:pageBreakBefore w:val="0"/>
        <w:numPr>
          <w:ilvl w:val="0"/>
          <w:numId w:val="2"/>
        </w:numPr>
        <w:kinsoku/>
        <w:wordWrap/>
        <w:overflowPunct/>
        <w:topLinePunct w:val="0"/>
        <w:bidi w:val="0"/>
        <w:adjustRightInd w:val="0"/>
        <w:snapToGrid w:val="0"/>
        <w:spacing w:line="40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采购人地点及联系方式</w:t>
      </w:r>
    </w:p>
    <w:p>
      <w:pPr>
        <w:keepNext w:val="0"/>
        <w:keepLines w:val="0"/>
        <w:pageBreakBefore w:val="0"/>
        <w:numPr>
          <w:ilvl w:val="0"/>
          <w:numId w:val="0"/>
        </w:numPr>
        <w:kinsoku/>
        <w:wordWrap/>
        <w:overflowPunct/>
        <w:topLinePunct w:val="0"/>
        <w:bidi w:val="0"/>
        <w:adjustRightInd w:val="0"/>
        <w:snapToGrid w:val="0"/>
        <w:spacing w:line="400" w:lineRule="exact"/>
        <w:ind w:firstLine="960" w:firstLineChars="400"/>
        <w:textAlignment w:val="auto"/>
        <w:rPr>
          <w:rFonts w:hint="eastAsia" w:ascii="宋体" w:hAnsi="宋体"/>
          <w:b w:val="0"/>
          <w:bCs w:val="0"/>
          <w:sz w:val="24"/>
          <w:lang w:val="en-US" w:eastAsia="zh-CN"/>
        </w:rPr>
      </w:pPr>
      <w:r>
        <w:rPr>
          <w:rFonts w:hint="eastAsia" w:ascii="宋体" w:hAnsi="宋体"/>
          <w:b w:val="0"/>
          <w:bCs w:val="0"/>
          <w:sz w:val="24"/>
          <w:lang w:val="en-US" w:eastAsia="zh-CN"/>
        </w:rPr>
        <w:t>联系地址:铜仁职业技术学院 </w:t>
      </w:r>
    </w:p>
    <w:p>
      <w:pPr>
        <w:keepNext w:val="0"/>
        <w:keepLines w:val="0"/>
        <w:pageBreakBefore w:val="0"/>
        <w:numPr>
          <w:ilvl w:val="0"/>
          <w:numId w:val="0"/>
        </w:numPr>
        <w:kinsoku/>
        <w:wordWrap/>
        <w:overflowPunct/>
        <w:topLinePunct w:val="0"/>
        <w:bidi w:val="0"/>
        <w:adjustRightInd w:val="0"/>
        <w:snapToGrid w:val="0"/>
        <w:spacing w:line="400" w:lineRule="exact"/>
        <w:ind w:firstLine="960" w:firstLineChars="400"/>
        <w:textAlignment w:val="auto"/>
        <w:rPr>
          <w:rFonts w:hint="eastAsia" w:ascii="宋体" w:hAnsi="宋体"/>
          <w:b w:val="0"/>
          <w:bCs w:val="0"/>
          <w:sz w:val="24"/>
          <w:lang w:val="en-US" w:eastAsia="zh-CN"/>
        </w:rPr>
      </w:pPr>
      <w:r>
        <w:rPr>
          <w:rFonts w:hint="eastAsia" w:ascii="宋体" w:hAnsi="宋体"/>
          <w:b w:val="0"/>
          <w:bCs w:val="0"/>
          <w:sz w:val="24"/>
          <w:lang w:val="en-US" w:eastAsia="zh-CN"/>
        </w:rPr>
        <w:t>项目联系人:龙老师</w:t>
      </w:r>
    </w:p>
    <w:p>
      <w:pPr>
        <w:keepNext w:val="0"/>
        <w:keepLines w:val="0"/>
        <w:pageBreakBefore w:val="0"/>
        <w:numPr>
          <w:ilvl w:val="0"/>
          <w:numId w:val="0"/>
        </w:numPr>
        <w:kinsoku/>
        <w:wordWrap/>
        <w:overflowPunct/>
        <w:topLinePunct w:val="0"/>
        <w:bidi w:val="0"/>
        <w:adjustRightInd w:val="0"/>
        <w:snapToGrid w:val="0"/>
        <w:spacing w:line="400" w:lineRule="exact"/>
        <w:ind w:firstLine="960" w:firstLineChars="400"/>
        <w:textAlignment w:val="auto"/>
        <w:rPr>
          <w:rFonts w:hint="default" w:ascii="宋体" w:hAnsi="宋体"/>
          <w:b w:val="0"/>
          <w:bCs w:val="0"/>
          <w:sz w:val="24"/>
          <w:lang w:val="en-US" w:eastAsia="zh-CN"/>
        </w:rPr>
      </w:pPr>
      <w:r>
        <w:rPr>
          <w:rFonts w:hint="eastAsia" w:ascii="宋体" w:hAnsi="宋体"/>
          <w:b w:val="0"/>
          <w:bCs w:val="0"/>
          <w:sz w:val="24"/>
          <w:lang w:val="en-US" w:eastAsia="zh-CN"/>
        </w:rPr>
        <w:t>联系电话:15685689777</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b w:val="0"/>
          <w:bCs w:val="0"/>
          <w:sz w:val="24"/>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w:t>
      </w: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pStyle w:val="24"/>
        <w:keepNext w:val="0"/>
        <w:keepLines w:val="0"/>
        <w:pageBreakBefore w:val="0"/>
        <w:kinsoku/>
        <w:wordWrap/>
        <w:overflowPunct/>
        <w:topLinePunct w:val="0"/>
        <w:bidi w:val="0"/>
        <w:spacing w:line="400" w:lineRule="exact"/>
        <w:jc w:val="both"/>
        <w:textAlignment w:val="auto"/>
        <w:rPr>
          <w:rFonts w:hint="eastAsia" w:hAnsi="宋体"/>
          <w:b/>
          <w:sz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4"/>
        <w:keepNext w:val="0"/>
        <w:keepLines w:val="0"/>
        <w:pageBreakBefore w:val="0"/>
        <w:kinsoku/>
        <w:wordWrap/>
        <w:overflowPunct/>
        <w:topLinePunct w:val="0"/>
        <w:bidi w:val="0"/>
        <w:spacing w:line="400" w:lineRule="exact"/>
        <w:jc w:val="both"/>
        <w:textAlignment w:val="auto"/>
        <w:rPr>
          <w:rFonts w:hint="eastAsia" w:hAnsi="宋体"/>
          <w:b/>
          <w:sz w:val="36"/>
        </w:rPr>
      </w:pPr>
    </w:p>
    <w:p>
      <w:pPr>
        <w:pStyle w:val="24"/>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jc w:val="center"/>
        <w:textAlignment w:val="auto"/>
        <w:outlineLvl w:val="9"/>
        <w:rPr>
          <w:rFonts w:hint="eastAsia" w:ascii="宋体" w:hAnsi="宋体"/>
          <w:b/>
          <w:bCs/>
          <w:sz w:val="30"/>
          <w:szCs w:val="30"/>
        </w:rPr>
      </w:pPr>
      <w:r>
        <w:rPr>
          <w:rFonts w:hint="eastAsia" w:hAnsi="宋体"/>
          <w:b/>
          <w:sz w:val="36"/>
        </w:rPr>
        <w:t>第二章  谈判供应商须知</w:t>
      </w:r>
    </w:p>
    <w:p>
      <w:pPr>
        <w:keepNext w:val="0"/>
        <w:keepLines w:val="0"/>
        <w:pageBreakBefore w:val="0"/>
        <w:kinsoku/>
        <w:wordWrap/>
        <w:overflowPunct/>
        <w:topLinePunct w:val="0"/>
        <w:bidi w:val="0"/>
        <w:spacing w:line="400" w:lineRule="exact"/>
        <w:jc w:val="center"/>
        <w:textAlignment w:val="auto"/>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8"/>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u w:val="single"/>
                <w:lang w:val="en-US" w:eastAsia="zh-CN"/>
              </w:rPr>
            </w:pPr>
            <w:r>
              <w:rPr>
                <w:rFonts w:hint="eastAsia" w:ascii="宋体" w:hAnsi="宋体"/>
                <w:sz w:val="24"/>
              </w:rPr>
              <w:t>项目名称：</w:t>
            </w:r>
            <w:r>
              <w:rPr>
                <w:rFonts w:hint="eastAsia" w:hAnsi="宋体"/>
                <w:b/>
                <w:bCs/>
                <w:color w:val="000000"/>
                <w:sz w:val="24"/>
                <w:szCs w:val="24"/>
                <w:u w:val="single"/>
                <w:lang w:eastAsia="zh-CN"/>
              </w:rPr>
              <w:t>铜仁职业技术学院食用菌产业链专业人才建设项目实训设备采购及实训场地建设项目(二次)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采购人名称：</w:t>
            </w:r>
            <w:r>
              <w:rPr>
                <w:rFonts w:hint="eastAsia" w:hAnsi="宋体"/>
                <w:b/>
                <w:bCs/>
                <w:color w:val="000000"/>
                <w:sz w:val="24"/>
                <w:szCs w:val="24"/>
                <w:u w:val="single"/>
                <w:lang w:eastAsia="zh-CN"/>
              </w:rPr>
              <w:t>铜仁职业技术学院</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采购人地址：</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铜仁职业技术学院</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lang w:val="en-US" w:eastAsia="zh-CN"/>
              </w:rPr>
              <w:t xml:space="preserve">   铜仁职业技术学院食用菌产业链专业人才建设项目实训设备采购及实训场地建设项目(二次) </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TRZFCG-2020-191-2</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rPr>
              <w:t xml:space="preserve"> </w:t>
            </w:r>
            <w:r>
              <w:rPr>
                <w:rFonts w:hint="eastAsia" w:ascii="Arial" w:hAnsi="Arial" w:cs="Arial"/>
                <w:sz w:val="24"/>
                <w:u w:val="single"/>
                <w:lang w:val="en-US" w:eastAsia="zh-CN"/>
              </w:rPr>
              <w:t>205700.00</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sym w:font="Wingdings 2" w:char="0052"/>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 xml:space="preserve">响应文件递交地址：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b/>
                <w:bCs/>
                <w:sz w:val="24"/>
                <w:u w:val="single"/>
              </w:rPr>
              <w:t xml:space="preserve"> </w:t>
            </w:r>
            <w:r>
              <w:rPr>
                <w:rFonts w:hint="eastAsia" w:ascii="宋体" w:hAnsi="宋体" w:cs="宋体"/>
                <w:b/>
                <w:bCs/>
                <w:sz w:val="24"/>
                <w:u w:val="single"/>
                <w:lang w:val="en-US" w:eastAsia="zh-CN"/>
              </w:rPr>
              <w:t xml:space="preserve">4000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保证金必须从供应商账户支付且在响应文件提交截止时间前到账，支票、汇票、本票、网上银行支付或者金融机构、担保机构出具的保函等非现金形式提交。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24"/>
          <w:u w:val="single"/>
        </w:rPr>
      </w:pPr>
    </w:p>
    <w:p>
      <w:pPr>
        <w:keepNext w:val="0"/>
        <w:keepLines w:val="0"/>
        <w:pageBreakBefore w:val="0"/>
        <w:kinsoku/>
        <w:wordWrap/>
        <w:overflowPunct/>
        <w:topLinePunct w:val="0"/>
        <w:autoSpaceDE/>
        <w:autoSpaceDN/>
        <w:bidi w:val="0"/>
        <w:adjustRightInd/>
        <w:snapToGrid/>
        <w:spacing w:line="400" w:lineRule="exact"/>
        <w:ind w:firstLine="1205" w:firstLineChars="500"/>
        <w:jc w:val="both"/>
        <w:textAlignment w:val="auto"/>
        <w:rPr>
          <w:rFonts w:hint="eastAsia" w:ascii="宋体" w:hAnsi="宋体"/>
          <w:b/>
          <w:bCs/>
          <w:sz w:val="32"/>
          <w:u w:val="single"/>
        </w:rPr>
      </w:pP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5"/>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s="宋体"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lang w:val="en-US" w:eastAsia="zh-CN"/>
              </w:rPr>
              <w:t>90</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w:t>
            </w:r>
            <w:r>
              <w:rPr>
                <w:rFonts w:hint="eastAsia" w:ascii="宋体" w:hAnsi="宋体"/>
                <w:sz w:val="24"/>
                <w:lang w:eastAsia="zh-CN"/>
              </w:rPr>
              <w:t>基本</w:t>
            </w:r>
            <w:r>
              <w:rPr>
                <w:rFonts w:hint="eastAsia" w:ascii="宋体" w:hAnsi="宋体"/>
                <w:sz w:val="24"/>
              </w:rPr>
              <w:t>账</w:t>
            </w:r>
            <w:r>
              <w:rPr>
                <w:rFonts w:hint="eastAsia" w:ascii="宋体" w:hAnsi="宋体"/>
                <w:sz w:val="24"/>
                <w:lang w:eastAsia="zh-CN"/>
              </w:rPr>
              <w:t>户</w:t>
            </w:r>
            <w:r>
              <w:rPr>
                <w:rFonts w:hint="eastAsia" w:ascii="宋体" w:hAnsi="宋体"/>
                <w:sz w:val="24"/>
              </w:rPr>
              <w:t>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lang w:val="en-US" w:eastAsia="zh-CN"/>
              </w:rPr>
            </w:pPr>
            <w:r>
              <w:rPr>
                <w:rFonts w:hint="eastAsia" w:ascii="宋体" w:hAnsi="宋体"/>
                <w:sz w:val="24"/>
              </w:rPr>
              <w:t>(9)不符合谈判文件中规定的其它实质性条款</w:t>
            </w:r>
            <w:r>
              <w:rPr>
                <w:rFonts w:hint="eastAsia" w:ascii="宋体" w:hAnsi="宋体"/>
                <w:sz w:val="24"/>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eastAsia="宋体"/>
          <w:sz w:val="24"/>
          <w:szCs w:val="24"/>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rPr>
          <w:rFonts w:hint="eastAsia" w:ascii="宋体" w:hAnsi="宋体" w:eastAsia="宋体"/>
          <w:sz w:val="24"/>
          <w:szCs w:val="24"/>
        </w:rPr>
      </w:pPr>
    </w:p>
    <w:p>
      <w:pPr>
        <w:rPr>
          <w:rFonts w:hint="eastAsia" w:ascii="宋体" w:hAnsi="宋体" w:eastAsia="宋体"/>
          <w:sz w:val="24"/>
          <w:szCs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r>
        <w:rPr>
          <w:rFonts w:hint="eastAsia" w:ascii="宋体" w:hAnsi="宋体"/>
          <w:b/>
          <w:sz w:val="24"/>
        </w:rPr>
        <w:t>成交供应商必须凭成交通知书的原件与采购人签订《政府采购合同》。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sectPr>
          <w:pgSz w:w="11906" w:h="16838"/>
          <w:pgMar w:top="1440" w:right="1797" w:bottom="1440" w:left="1797" w:header="851" w:footer="992" w:gutter="0"/>
          <w:cols w:space="720" w:num="1"/>
          <w:docGrid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r>
        <w:rPr>
          <w:rFonts w:hint="eastAsia" w:hAnsi="宋体"/>
          <w:b/>
          <w:sz w:val="36"/>
          <w:szCs w:val="36"/>
          <w:lang w:eastAsia="zh-CN"/>
        </w:rPr>
        <w:t>第三章  谈判供应商须知正文部分</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1.适用范围</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工程</w:t>
      </w:r>
      <w:r>
        <w:rPr>
          <w:rFonts w:hAnsi="宋体"/>
          <w:sz w:val="24"/>
        </w:rPr>
        <w:t>采购。</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w:t>
      </w:r>
      <w:r>
        <w:rPr>
          <w:rFonts w:hint="eastAsia" w:hAnsi="宋体"/>
          <w:sz w:val="24"/>
        </w:rPr>
        <w:t>“工程”系指谈判文件规定成交供应商须承担的土建施工、修缮、景观建设、改造，绿化工程等</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4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4.谈判费用</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hAnsi="宋体"/>
          <w:sz w:val="24"/>
          <w:lang w:val="en-US" w:eastAsia="zh-CN"/>
        </w:rPr>
        <w:t xml:space="preserve"> </w:t>
      </w:r>
      <w:r>
        <w:rPr>
          <w:rFonts w:hAnsi="宋体"/>
          <w:sz w:val="24"/>
        </w:rPr>
        <w:t>谈判响应供应商应承担其准备与参加谈判所涉及的一切费用。</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5.知识产权</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 xml:space="preserve"> </w:t>
      </w:r>
      <w:r>
        <w:rPr>
          <w:rFonts w:hAnsi="宋体"/>
          <w:sz w:val="24"/>
        </w:rPr>
        <w:t>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8"/>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outlineLvl w:val="9"/>
        <w:rPr>
          <w:rFonts w:hint="eastAsia" w:hAnsi="宋体"/>
          <w:b/>
          <w:sz w:val="32"/>
          <w:szCs w:val="32"/>
          <w:lang w:eastAsia="zh-CN"/>
        </w:rPr>
      </w:pPr>
    </w:p>
    <w:p>
      <w:pPr>
        <w:pStyle w:val="28"/>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6.谈判文件的组成</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3</w:t>
      </w:r>
      <w:r>
        <w:rPr>
          <w:rFonts w:hAnsi="宋体"/>
          <w:sz w:val="24"/>
        </w:rPr>
        <w:t>）</w:t>
      </w:r>
      <w:r>
        <w:rPr>
          <w:rFonts w:hint="eastAsia" w:hAnsi="宋体"/>
          <w:sz w:val="24"/>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Chars="175"/>
        <w:textAlignment w:val="auto"/>
        <w:outlineLvl w:val="0"/>
        <w:rPr>
          <w:rFonts w:hint="eastAsia"/>
          <w:sz w:val="24"/>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422" w:firstLineChars="175"/>
        <w:jc w:val="center"/>
        <w:textAlignment w:val="auto"/>
        <w:outlineLvl w:val="0"/>
        <w:rPr>
          <w:rFonts w:hint="eastAsia"/>
          <w:b/>
          <w:sz w:val="24"/>
          <w:lang w:eastAsia="zh-CN"/>
        </w:rPr>
      </w:pP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562" w:firstLineChars="175"/>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8.要求</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b/>
          <w:sz w:val="24"/>
          <w:lang w:eastAsia="zh-CN"/>
        </w:rPr>
      </w:pPr>
      <w:r>
        <w:rPr>
          <w:rFonts w:hint="eastAsia" w:hAnsi="宋体"/>
          <w:sz w:val="24"/>
          <w:lang w:val="en-US" w:eastAsia="zh-CN"/>
        </w:rPr>
        <w:t xml:space="preserve">  </w:t>
      </w: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szCs w:val="24"/>
          <w:lang w:eastAsia="zh-CN"/>
        </w:rPr>
      </w:pPr>
      <w:r>
        <w:rPr>
          <w:rFonts w:hint="eastAsia" w:hAnsi="宋体"/>
          <w:sz w:val="24"/>
          <w:szCs w:val="24"/>
          <w:lang w:eastAsia="zh-CN"/>
        </w:rPr>
        <w:t>10</w:t>
      </w:r>
      <w:r>
        <w:rPr>
          <w:rFonts w:hAnsi="宋体"/>
          <w:sz w:val="24"/>
          <w:szCs w:val="24"/>
        </w:rPr>
        <w:t>.1</w:t>
      </w:r>
      <w:r>
        <w:rPr>
          <w:rFonts w:hint="eastAsia" w:hAnsi="宋体"/>
          <w:sz w:val="24"/>
          <w:szCs w:val="24"/>
          <w:lang w:eastAsia="zh-CN"/>
        </w:rPr>
        <w:t>谈判响应文件应包括下列部分：</w:t>
      </w:r>
    </w:p>
    <w:p>
      <w:pPr>
        <w:pStyle w:val="30"/>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cs="宋体"/>
          <w:sz w:val="24"/>
          <w:szCs w:val="24"/>
          <w:lang w:eastAsia="zh-CN"/>
        </w:rPr>
        <w:t>谈判</w:t>
      </w:r>
      <w:r>
        <w:rPr>
          <w:rFonts w:hint="eastAsia" w:ascii="宋体" w:hAnsi="宋体" w:eastAsia="宋体" w:cs="宋体"/>
          <w:sz w:val="24"/>
          <w:szCs w:val="24"/>
          <w:lang w:eastAsia="zh-CN"/>
        </w:rPr>
        <w:t>响应声明函</w:t>
      </w:r>
    </w:p>
    <w:p>
      <w:pPr>
        <w:pStyle w:val="30"/>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报价一览表</w:t>
      </w:r>
    </w:p>
    <w:p>
      <w:pPr>
        <w:pStyle w:val="30"/>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sz w:val="24"/>
          <w:szCs w:val="24"/>
          <w:lang w:val="en-US"/>
        </w:rPr>
      </w:pPr>
      <w:r>
        <w:rPr>
          <w:rFonts w:hint="eastAsia" w:ascii="宋体" w:hAnsi="宋体" w:eastAsia="宋体" w:cs="宋体"/>
          <w:sz w:val="24"/>
          <w:szCs w:val="24"/>
          <w:lang w:eastAsia="zh-CN"/>
        </w:rPr>
        <w:t>工程量清单报价表</w:t>
      </w:r>
    </w:p>
    <w:p>
      <w:pPr>
        <w:pStyle w:val="30"/>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color w:val="000000"/>
          <w:sz w:val="24"/>
          <w:szCs w:val="24"/>
          <w:lang w:eastAsia="zh-CN"/>
        </w:rPr>
        <w:t>技术规格偏离表</w:t>
      </w:r>
    </w:p>
    <w:p>
      <w:pPr>
        <w:pStyle w:val="30"/>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color w:val="000000"/>
          <w:sz w:val="24"/>
          <w:szCs w:val="24"/>
          <w:lang w:val="en-US"/>
        </w:rPr>
      </w:pPr>
      <w:r>
        <w:rPr>
          <w:rFonts w:hint="eastAsia" w:ascii="宋体" w:hAnsi="宋体" w:eastAsia="宋体" w:cs="宋体"/>
          <w:sz w:val="24"/>
          <w:szCs w:val="24"/>
          <w:lang w:eastAsia="zh-CN"/>
        </w:rPr>
        <w:t>商务条款偏离表</w:t>
      </w:r>
    </w:p>
    <w:p>
      <w:pPr>
        <w:pStyle w:val="30"/>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资格的声明函</w:t>
      </w:r>
    </w:p>
    <w:p>
      <w:pPr>
        <w:pStyle w:val="30"/>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法定代表人授权书</w:t>
      </w:r>
    </w:p>
    <w:p>
      <w:pPr>
        <w:pStyle w:val="30"/>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资质声明函</w:t>
      </w:r>
    </w:p>
    <w:p>
      <w:pPr>
        <w:pStyle w:val="30"/>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color w:val="000000"/>
          <w:sz w:val="24"/>
          <w:szCs w:val="24"/>
          <w:lang w:val="en-US"/>
        </w:rPr>
      </w:pPr>
      <w:r>
        <w:rPr>
          <w:rFonts w:hint="eastAsia" w:ascii="宋体" w:hAnsi="宋体" w:eastAsia="宋体" w:cs="宋体"/>
          <w:color w:val="000000"/>
          <w:sz w:val="24"/>
          <w:szCs w:val="24"/>
          <w:lang w:eastAsia="zh-CN"/>
        </w:rPr>
        <w:t>售后服务承诺及方案</w:t>
      </w:r>
    </w:p>
    <w:p>
      <w:pPr>
        <w:pStyle w:val="30"/>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中小企业声明函</w:t>
      </w:r>
      <w:r>
        <w:rPr>
          <w:rFonts w:hint="eastAsia" w:ascii="宋体" w:hAnsi="宋体" w:cs="宋体"/>
          <w:sz w:val="24"/>
          <w:szCs w:val="24"/>
          <w:lang w:eastAsia="zh-CN"/>
        </w:rPr>
        <w:t>（如有）</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4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eastAsiaTheme="minorEastAsia"/>
          <w:color w:val="FF0000"/>
          <w:sz w:val="24"/>
          <w:lang w:eastAsia="zh-CN"/>
        </w:rPr>
      </w:pPr>
      <w:r>
        <w:rPr>
          <w:rFonts w:hint="eastAsia" w:hAnsi="宋体"/>
          <w:color w:val="FF0000"/>
          <w:sz w:val="24"/>
          <w:lang w:eastAsia="zh-CN"/>
        </w:rPr>
        <w:t>13.</w:t>
      </w:r>
      <w:r>
        <w:rPr>
          <w:rFonts w:hAnsi="宋体"/>
          <w:color w:val="FF0000"/>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r>
        <w:rPr>
          <w:rFonts w:hint="eastAsia" w:hAnsi="宋体"/>
          <w:color w:val="FF0000"/>
          <w:sz w:val="24"/>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w:t>
      </w:r>
      <w:r>
        <w:rPr>
          <w:rFonts w:hint="eastAsia" w:hAnsi="宋体"/>
          <w:sz w:val="24"/>
          <w:lang w:eastAsia="zh-CN"/>
        </w:rPr>
        <w:t>工程</w:t>
      </w:r>
      <w:r>
        <w:rPr>
          <w:rFonts w:hAnsi="宋体"/>
          <w:sz w:val="24"/>
        </w:rPr>
        <w:t>符合谈判文件要求的技术响应文件，该文件可以是文字资料、图纸和数据，并须提供</w:t>
      </w:r>
      <w:r>
        <w:rPr>
          <w:rFonts w:hint="eastAsia" w:hAnsi="宋体"/>
          <w:sz w:val="24"/>
          <w:lang w:eastAsia="zh-CN"/>
        </w:rPr>
        <w:t>工程</w:t>
      </w:r>
      <w:r>
        <w:rPr>
          <w:rFonts w:hAnsi="宋体"/>
          <w:sz w:val="24"/>
        </w:rPr>
        <w:t>主要技术性能的详细描述。</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8"/>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8"/>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8"/>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13.8 所有资格证明文件复印件须加盖谈判响应供应商公章。</w:t>
      </w:r>
    </w:p>
    <w:p>
      <w:pPr>
        <w:pStyle w:val="28"/>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8"/>
        <w:keepNext w:val="0"/>
        <w:keepLines w:val="0"/>
        <w:pageBreakBefore w:val="0"/>
        <w:widowControl w:val="0"/>
        <w:kinsoku/>
        <w:wordWrap/>
        <w:overflowPunct/>
        <w:topLinePunct w:val="0"/>
        <w:autoSpaceDE/>
        <w:autoSpaceDN/>
        <w:bidi w:val="0"/>
        <w:adjustRightInd/>
        <w:spacing w:line="440" w:lineRule="exact"/>
        <w:ind w:right="0" w:rightChars="0" w:firstLine="643" w:firstLineChars="200"/>
        <w:jc w:val="center"/>
        <w:textAlignment w:val="auto"/>
        <w:outlineLvl w:val="9"/>
        <w:rPr>
          <w:rFonts w:hint="eastAsia" w:hAnsi="宋体"/>
          <w:b/>
          <w:sz w:val="32"/>
          <w:szCs w:val="32"/>
          <w:lang w:eastAsia="zh-CN"/>
        </w:rPr>
      </w:pPr>
    </w:p>
    <w:p>
      <w:pPr>
        <w:pStyle w:val="28"/>
        <w:keepNext w:val="0"/>
        <w:keepLines w:val="0"/>
        <w:pageBreakBefore w:val="0"/>
        <w:widowControl w:val="0"/>
        <w:kinsoku/>
        <w:wordWrap/>
        <w:overflowPunct/>
        <w:topLinePunct w:val="0"/>
        <w:autoSpaceDE/>
        <w:autoSpaceDN/>
        <w:bidi w:val="0"/>
        <w:adjustRightInd/>
        <w:spacing w:line="44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8"/>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8"/>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 xml:space="preserve">.1 </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r>
        <w:rPr>
          <w:rFonts w:hint="eastAsia" w:hAnsi="宋体"/>
          <w:color w:val="FF0000"/>
          <w:sz w:val="24"/>
          <w:lang w:eastAsia="zh-CN"/>
        </w:rPr>
        <w:t>。</w:t>
      </w:r>
      <w:r>
        <w:rPr>
          <w:rFonts w:hint="eastAsia" w:hAnsi="宋体"/>
          <w:color w:val="FF0000"/>
          <w:sz w:val="24"/>
        </w:rPr>
        <w:t>响应文件未密封可导致其谈判被拒绝。</w:t>
      </w:r>
      <w:r>
        <w:rPr>
          <w:rFonts w:hint="eastAsia" w:hAnsi="宋体"/>
          <w:sz w:val="24"/>
          <w:lang w:eastAsia="zh-CN"/>
        </w:rPr>
        <w:t xml:space="preserve">  </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8"/>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8"/>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8"/>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sz w:val="24"/>
        </w:rPr>
      </w:pPr>
      <w:r>
        <w:rPr>
          <w:rFonts w:hint="eastAsia" w:hAnsi="宋体"/>
          <w:sz w:val="24"/>
          <w:lang w:eastAsia="zh-CN"/>
        </w:rPr>
        <w:t>14.</w:t>
      </w:r>
      <w:r>
        <w:rPr>
          <w:rFonts w:hint="eastAsia" w:hAnsi="宋体"/>
          <w:sz w:val="24"/>
          <w:lang w:val="en-US" w:eastAsia="zh-CN"/>
        </w:rPr>
        <w:t>6</w:t>
      </w:r>
      <w:r>
        <w:rPr>
          <w:rFonts w:hint="eastAsia" w:ascii="宋体" w:hAnsi="宋体"/>
          <w:sz w:val="24"/>
        </w:rPr>
        <w:t>投标文件的签署、密封及规定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color w:val="000000"/>
          <w:sz w:val="24"/>
        </w:rPr>
        <w:t>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8"/>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p>
    <w:p>
      <w:pPr>
        <w:pStyle w:val="28"/>
        <w:keepNext w:val="0"/>
        <w:keepLines w:val="0"/>
        <w:pageBreakBefore w:val="0"/>
        <w:widowControl w:val="0"/>
        <w:kinsoku/>
        <w:wordWrap/>
        <w:overflowPunct/>
        <w:topLinePunct w:val="0"/>
        <w:autoSpaceDE/>
        <w:autoSpaceDN/>
        <w:bidi w:val="0"/>
        <w:adjustRightInd/>
        <w:spacing w:line="44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Arial" w:hAnsi="Arial" w:cs="Arial"/>
          <w:strike/>
          <w:dstrike w:val="0"/>
          <w:sz w:val="24"/>
          <w:szCs w:val="24"/>
        </w:rPr>
      </w:pPr>
      <w:r>
        <w:rPr>
          <w:rFonts w:hint="eastAsia"/>
          <w:strike/>
          <w:dstrike w:val="0"/>
          <w:sz w:val="24"/>
          <w:szCs w:val="24"/>
        </w:rPr>
        <w:t>16.2达到公开招标数额标准的货物或者服务采购项目，或者达到招标规模标准的政府采购工程，谈判小组应当由5人以上单数组成。</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w:t>
      </w:r>
      <w:r>
        <w:rPr>
          <w:rFonts w:hint="eastAsia" w:hAnsi="宋体"/>
          <w:sz w:val="24"/>
          <w:lang w:eastAsia="zh-CN"/>
        </w:rPr>
        <w:t>（原件或加盖鲜章的复印件均可）</w:t>
      </w:r>
      <w:r>
        <w:rPr>
          <w:rFonts w:hint="eastAsia" w:hAnsi="宋体"/>
          <w:sz w:val="24"/>
        </w:rPr>
        <w:t>：</w:t>
      </w:r>
    </w:p>
    <w:p>
      <w:pPr>
        <w:pStyle w:val="2"/>
        <w:spacing w:line="400" w:lineRule="exact"/>
        <w:ind w:firstLine="475" w:firstLineChars="198"/>
        <w:rPr>
          <w:rFonts w:hAnsi="宋体"/>
          <w:sz w:val="24"/>
        </w:rPr>
      </w:pPr>
      <w:r>
        <w:rPr>
          <w:rFonts w:hint="eastAsia" w:hAnsi="宋体"/>
          <w:sz w:val="24"/>
        </w:rPr>
        <w:t>（1）工商营业执照副本；</w:t>
      </w:r>
    </w:p>
    <w:p>
      <w:pPr>
        <w:pStyle w:val="2"/>
        <w:spacing w:line="400" w:lineRule="exact"/>
        <w:ind w:firstLine="475" w:firstLineChars="198"/>
        <w:rPr>
          <w:rFonts w:hAnsi="宋体"/>
          <w:sz w:val="24"/>
        </w:rPr>
      </w:pPr>
      <w:r>
        <w:rPr>
          <w:rFonts w:hint="eastAsia" w:hAnsi="宋体"/>
          <w:sz w:val="24"/>
        </w:rPr>
        <w:t>（2）税务登记证；</w:t>
      </w:r>
    </w:p>
    <w:p>
      <w:pPr>
        <w:pStyle w:val="2"/>
        <w:spacing w:line="400" w:lineRule="exact"/>
        <w:ind w:firstLine="475" w:firstLineChars="198"/>
        <w:rPr>
          <w:rFonts w:hAnsi="宋体"/>
          <w:sz w:val="24"/>
        </w:rPr>
      </w:pPr>
      <w:r>
        <w:rPr>
          <w:rFonts w:hint="eastAsia" w:hAnsi="宋体"/>
          <w:sz w:val="24"/>
        </w:rPr>
        <w:t>（3）组织机构代码证；</w:t>
      </w:r>
    </w:p>
    <w:p>
      <w:pPr>
        <w:pStyle w:val="2"/>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2"/>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2"/>
        <w:keepNext w:val="0"/>
        <w:keepLines w:val="0"/>
        <w:pageBreakBefore w:val="0"/>
        <w:kinsoku/>
        <w:wordWrap/>
        <w:overflowPunct/>
        <w:topLinePunct w:val="0"/>
        <w:bidi w:val="0"/>
        <w:spacing w:line="400" w:lineRule="exact"/>
        <w:ind w:firstLine="590" w:firstLineChars="246"/>
        <w:textAlignment w:val="auto"/>
        <w:rPr>
          <w:rFonts w:hint="eastAsia" w:hAnsi="宋体" w:eastAsia="宋体" w:cs="宋体"/>
          <w:color w:val="333333"/>
          <w:kern w:val="2"/>
          <w:sz w:val="24"/>
          <w:szCs w:val="24"/>
          <w:shd w:val="clear" w:color="auto" w:fill="FFFFFF"/>
          <w:lang w:val="en-US" w:eastAsia="zh-CN" w:bidi="ar"/>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sz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r>
        <w:rPr>
          <w:rFonts w:hint="eastAsia"/>
          <w:sz w:val="24"/>
          <w:lang w:eastAsia="zh-CN"/>
        </w:rPr>
        <w:t>。</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4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4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本次谈判采用最低价评标法。</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p>
    <w:p>
      <w:pPr>
        <w:keepNext w:val="0"/>
        <w:keepLines w:val="0"/>
        <w:pageBreakBefore w:val="0"/>
        <w:widowControl w:val="0"/>
        <w:numPr>
          <w:ilvl w:val="0"/>
          <w:numId w:val="4"/>
        </w:numPr>
        <w:kinsoku/>
        <w:wordWrap/>
        <w:overflowPunct/>
        <w:topLinePunct w:val="0"/>
        <w:autoSpaceDE/>
        <w:autoSpaceDN/>
        <w:bidi w:val="0"/>
        <w:adjustRightInd/>
        <w:spacing w:line="440" w:lineRule="exact"/>
        <w:ind w:right="0" w:rightChars="0"/>
        <w:jc w:val="center"/>
        <w:textAlignment w:val="auto"/>
        <w:outlineLvl w:val="0"/>
        <w:rPr>
          <w:rFonts w:hint="eastAsia" w:hAnsi="宋体"/>
          <w:b/>
          <w:sz w:val="32"/>
          <w:szCs w:val="32"/>
        </w:rPr>
      </w:pPr>
      <w:r>
        <w:rPr>
          <w:rFonts w:hint="eastAsia" w:hAnsi="宋体"/>
          <w:b/>
          <w:sz w:val="32"/>
          <w:szCs w:val="32"/>
          <w:lang w:eastAsia="zh-CN"/>
        </w:rPr>
        <w:t>成交与签订</w:t>
      </w:r>
      <w:r>
        <w:rPr>
          <w:rFonts w:hint="eastAsia" w:hAnsi="宋体"/>
          <w:b/>
          <w:sz w:val="32"/>
          <w:szCs w:val="32"/>
        </w:rPr>
        <w:t>合同</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textAlignment w:val="auto"/>
        <w:outlineLvl w:val="0"/>
        <w:rPr>
          <w:rFonts w:hint="eastAsia" w:ascii="宋体" w:hAnsi="宋体" w:cs="宋体"/>
          <w:sz w:val="24"/>
        </w:rPr>
      </w:pPr>
      <w:r>
        <w:rPr>
          <w:rFonts w:hint="eastAsia" w:ascii="宋体" w:hAnsi="宋体" w:cs="宋体"/>
          <w:sz w:val="24"/>
          <w:lang w:val="en-US" w:eastAsia="zh-CN"/>
        </w:rPr>
        <w:t>20.</w:t>
      </w:r>
      <w:r>
        <w:rPr>
          <w:rFonts w:hint="eastAsia" w:ascii="宋体" w:hAnsi="宋体" w:cs="宋体"/>
          <w:sz w:val="24"/>
        </w:rPr>
        <w:t>谈判程序及成交标准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hAnsi="宋体"/>
          <w:b/>
          <w:sz w:val="24"/>
        </w:rPr>
      </w:pPr>
      <w:r>
        <w:rPr>
          <w:rFonts w:hint="eastAsia" w:ascii="宋体" w:hAnsi="宋体" w:cs="宋体"/>
          <w:sz w:val="24"/>
          <w:lang w:val="en-US" w:eastAsia="zh-CN"/>
        </w:rPr>
        <w:t>20.1</w:t>
      </w:r>
      <w:r>
        <w:rPr>
          <w:rFonts w:hint="eastAsia" w:ascii="宋体" w:hAnsi="宋体" w:cs="宋体"/>
          <w:sz w:val="24"/>
        </w:rPr>
        <w:t>本次采购采用竞争性谈判方式进行，谈判小组由采购人代表和有关专家共三人以上单数组成，谈判小组可以视情况，要求投标人在规定时间内，进行</w:t>
      </w:r>
      <w:r>
        <w:rPr>
          <w:rFonts w:hint="eastAsia" w:ascii="宋体" w:hAnsi="宋体" w:cs="宋体"/>
          <w:sz w:val="24"/>
          <w:lang w:eastAsia="zh-CN"/>
        </w:rPr>
        <w:t>二</w:t>
      </w:r>
      <w:r>
        <w:rPr>
          <w:rFonts w:hint="eastAsia" w:ascii="宋体" w:hAnsi="宋体" w:cs="宋体"/>
          <w:sz w:val="24"/>
        </w:rPr>
        <w:t>次报价（含投标报价），以投标人最后的一轮有效报价为准，超出规定时间没有进行最后报价的投标人，视为放弃最后报价，以其前一次报价为准。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20.2</w:t>
      </w:r>
      <w:r>
        <w:rPr>
          <w:rFonts w:hint="eastAsia" w:hAnsi="宋体"/>
          <w:sz w:val="24"/>
          <w:lang w:eastAsia="zh-CN"/>
        </w:rPr>
        <w:t xml:space="preserve">成交准则：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本中心不收取成交服务费。</w:t>
      </w:r>
      <w:r>
        <w:rPr>
          <w:rFonts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0"/>
        <w:rPr>
          <w:rFonts w:hint="eastAsia" w:ascii="宋体" w:hAnsi="宋体" w:eastAsiaTheme="minorEastAsia" w:cstheme="minorBidi"/>
          <w:b/>
          <w:kern w:val="0"/>
          <w:sz w:val="24"/>
          <w:szCs w:val="20"/>
          <w:lang w:val="en-US" w:eastAsia="zh-CN" w:bidi="ar-SA"/>
        </w:rPr>
      </w:pPr>
      <w:r>
        <w:rPr>
          <w:rFonts w:hint="eastAsia" w:ascii="宋体" w:hAnsi="宋体" w:eastAsiaTheme="minorEastAsia" w:cstheme="minorBidi"/>
          <w:b/>
          <w:kern w:val="0"/>
          <w:sz w:val="24"/>
          <w:szCs w:val="20"/>
          <w:lang w:val="en-US" w:eastAsia="zh-CN" w:bidi="ar-SA"/>
        </w:rPr>
        <w:t>24.质疑与投诉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一）供应商认为招标文件、采购过程和中标结果使自己的权益受到损害的，可以在知道或者应知其权益受到损害之日起七个工作日内，以书面原件形式向采购人或交易中心一次性提出针对同一采购程序环节的质疑，逾期质疑无效。供应商应知其权益受到损害之日是指：</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1.对招标文件提出质疑的，为获取招标文件之日或者招标文件公告期限届满之日；</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2.对采购过程提出质疑的，为各采购程序环节结束之日；</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3.对中标结果提出质疑的，为中标结果公告期限届满之日。</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（二）质疑函应当包括下列主要内容：</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1.质疑供应商和相关供应商的名称、地址、邮编、联系人及联系电话等；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2.质疑项目名称及编号、具体、明确的质疑事项和与质疑事项相关的请求；</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3.认为采购文件、采购过程、中标和成交结果使自己的合法权益受到损害的法律依据、事实依据、相关证明材料及证据来源；</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4.提出质疑的日期。</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（三）质疑函应当署名。质疑供应商为自然人的，应当由本人签字；质疑供应商为法人或者其他组织的，应当由法定代表人、主要负责人，或者其授权代表签字或者盖章，并加盖公章。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（四）以联合体形式参加政府采购活动的，其质疑应当由组成联合体的所有供应商共同提出。</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五）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（六）质疑供应商对采购人、交易中心的质疑答复不满意，或者采购人、交易中心未在规定期限内作出答复的，可以在答复期满后15个工作日内向采购人的同级政府采购监督管理部门提起投诉。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 xml:space="preserve">质疑受理部门：铜仁市公共资源交易中心政府采购交易科 </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（八）提交质疑函地点：铜仁市公共服务中心四楼政府采购交易科，质疑函范本请自行在“交易中心主页-办事指南-政府采购-常见问题解答”下载。</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（九）本次采购活动中，交易中心对质疑回复等文件的送达方式为现场取件、电子邮件（交易中心指定邮箱为：</w:t>
      </w:r>
      <w:r>
        <w:rPr>
          <w:rFonts w:hint="eastAsia" w:ascii="宋体"/>
          <w:sz w:val="24"/>
          <w:szCs w:val="24"/>
          <w:lang w:val="en-US" w:eastAsia="zh-CN"/>
        </w:rPr>
        <w:fldChar w:fldCharType="begin"/>
      </w:r>
      <w:r>
        <w:rPr>
          <w:rFonts w:hint="eastAsia" w:ascii="宋体"/>
          <w:sz w:val="24"/>
          <w:szCs w:val="24"/>
          <w:lang w:val="en-US" w:eastAsia="zh-CN"/>
        </w:rPr>
        <w:instrText xml:space="preserve"> HYPERLINK "mailto:trggzyjyzxzfcg@163.com，该邮箱仅用于发送文件）。" </w:instrText>
      </w:r>
      <w:r>
        <w:rPr>
          <w:rFonts w:hint="eastAsia" w:ascii="宋体"/>
          <w:sz w:val="24"/>
          <w:szCs w:val="24"/>
          <w:lang w:val="en-US" w:eastAsia="zh-CN"/>
        </w:rPr>
        <w:fldChar w:fldCharType="separate"/>
      </w:r>
      <w:r>
        <w:rPr>
          <w:rStyle w:val="22"/>
          <w:rFonts w:hint="eastAsia" w:ascii="宋体"/>
          <w:sz w:val="24"/>
          <w:szCs w:val="24"/>
          <w:lang w:val="en-US" w:eastAsia="zh-CN"/>
        </w:rPr>
        <w:t>trggzyjyzxzfcg@163.com，该邮箱仅用于发送文件）。</w:t>
      </w:r>
      <w:r>
        <w:rPr>
          <w:rFonts w:hint="eastAsia" w:ascii="宋体"/>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pacing w:line="400" w:lineRule="exact"/>
        <w:ind w:right="0" w:rightChars="0" w:firstLine="482" w:firstLineChars="200"/>
        <w:textAlignment w:val="auto"/>
        <w:outlineLvl w:val="0"/>
        <w:rPr>
          <w:rFonts w:hint="eastAsia" w:ascii="宋体" w:hAnsi="宋体" w:eastAsiaTheme="minorEastAsia" w:cstheme="minorBidi"/>
          <w:b/>
          <w:kern w:val="0"/>
          <w:sz w:val="24"/>
          <w:szCs w:val="20"/>
          <w:lang w:val="en-US" w:eastAsia="zh-CN" w:bidi="ar-SA"/>
        </w:rPr>
      </w:pPr>
      <w:r>
        <w:rPr>
          <w:rFonts w:hint="eastAsia" w:ascii="宋体" w:hAnsi="宋体" w:eastAsiaTheme="minorEastAsia" w:cstheme="minorBidi"/>
          <w:b/>
          <w:kern w:val="0"/>
          <w:sz w:val="24"/>
          <w:szCs w:val="20"/>
          <w:lang w:val="en-US" w:eastAsia="zh-CN" w:bidi="ar-SA"/>
        </w:rPr>
        <w:t>25.项目采购失败处理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出现下列情况将作采购失败处理：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(一)因情况变化，不再符合规定的竞争性谈判采购方式适用情形的；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(二)出现影响采购公正的违法、违规行为的；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（四）因重大变故，采购任务取消的。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sectPr>
          <w:pgSz w:w="11906" w:h="16838"/>
          <w:pgMar w:top="1440" w:right="1797" w:bottom="1440" w:left="1797" w:header="851" w:footer="992" w:gutter="0"/>
          <w:cols w:space="720" w:num="1"/>
          <w:docGrid w:linePitch="312" w:charSpace="0"/>
        </w:sectPr>
      </w:pPr>
    </w:p>
    <w:p>
      <w:pPr>
        <w:pStyle w:val="2"/>
        <w:rPr>
          <w:rFonts w:hint="eastAsia"/>
        </w:rPr>
      </w:pPr>
    </w:p>
    <w:p>
      <w:pPr>
        <w:spacing w:line="360" w:lineRule="auto"/>
        <w:jc w:val="center"/>
        <w:outlineLvl w:val="0"/>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w:t>
      </w:r>
      <w:r>
        <w:rPr>
          <w:rFonts w:hint="eastAsia" w:ascii="宋体" w:hAnsi="宋体"/>
          <w:b/>
          <w:bCs/>
          <w:sz w:val="36"/>
          <w:szCs w:val="36"/>
          <w:lang w:eastAsia="zh-CN"/>
        </w:rPr>
        <w:t>工程量清单</w:t>
      </w:r>
      <w:r>
        <w:rPr>
          <w:rFonts w:hint="eastAsia" w:ascii="宋体" w:hAnsi="宋体"/>
          <w:b/>
          <w:bCs/>
          <w:sz w:val="36"/>
          <w:szCs w:val="36"/>
        </w:rPr>
        <w:t>及要求</w:t>
      </w:r>
    </w:p>
    <w:p/>
    <w:p>
      <w:pPr>
        <w:pStyle w:val="2"/>
        <w:numPr>
          <w:ilvl w:val="0"/>
          <w:numId w:val="5"/>
        </w:numPr>
        <w:rPr>
          <w:rFonts w:hint="eastAsia" w:hAnsi="宋体" w:eastAsia="宋体" w:cs="宋体"/>
          <w:b w:val="0"/>
          <w:bCs w:val="0"/>
          <w:sz w:val="30"/>
          <w:szCs w:val="30"/>
          <w:lang w:eastAsia="zh-CN"/>
        </w:rPr>
      </w:pPr>
      <w:r>
        <w:rPr>
          <w:rFonts w:hint="eastAsia" w:hAnsi="宋体" w:eastAsia="宋体" w:cs="宋体"/>
          <w:b w:val="0"/>
          <w:bCs w:val="0"/>
          <w:sz w:val="30"/>
          <w:szCs w:val="30"/>
          <w:lang w:eastAsia="zh-CN"/>
        </w:rPr>
        <w:t>具体要求：</w:t>
      </w:r>
    </w:p>
    <w:tbl>
      <w:tblPr>
        <w:tblStyle w:val="18"/>
        <w:tblW w:w="9720" w:type="dxa"/>
        <w:tblInd w:w="0" w:type="dxa"/>
        <w:shd w:val="clear" w:color="auto" w:fill="auto"/>
        <w:tblLayout w:type="fixed"/>
        <w:tblCellMar>
          <w:top w:w="0" w:type="dxa"/>
          <w:left w:w="0" w:type="dxa"/>
          <w:bottom w:w="0" w:type="dxa"/>
          <w:right w:w="0" w:type="dxa"/>
        </w:tblCellMar>
      </w:tblPr>
      <w:tblGrid>
        <w:gridCol w:w="563"/>
        <w:gridCol w:w="1603"/>
        <w:gridCol w:w="609"/>
        <w:gridCol w:w="635"/>
        <w:gridCol w:w="686"/>
        <w:gridCol w:w="615"/>
        <w:gridCol w:w="600"/>
        <w:gridCol w:w="783"/>
        <w:gridCol w:w="761"/>
        <w:gridCol w:w="886"/>
        <w:gridCol w:w="1979"/>
      </w:tblGrid>
      <w:tr>
        <w:tblPrEx>
          <w:shd w:val="clear" w:color="auto" w:fill="auto"/>
          <w:tblCellMar>
            <w:top w:w="0" w:type="dxa"/>
            <w:left w:w="0" w:type="dxa"/>
            <w:bottom w:w="0" w:type="dxa"/>
            <w:right w:w="0" w:type="dxa"/>
          </w:tblCellMar>
        </w:tblPrEx>
        <w:trPr>
          <w:trHeight w:val="562" w:hRule="atLeast"/>
        </w:trPr>
        <w:tc>
          <w:tcPr>
            <w:tcW w:w="972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工程名称：</w:t>
            </w:r>
            <w:r>
              <w:rPr>
                <w:rFonts w:hint="eastAsia" w:ascii="宋体" w:hAnsi="宋体" w:cs="宋体"/>
                <w:b/>
                <w:bCs/>
                <w:i w:val="0"/>
                <w:color w:val="000000"/>
                <w:kern w:val="0"/>
                <w:sz w:val="22"/>
                <w:szCs w:val="22"/>
                <w:u w:val="none"/>
                <w:lang w:val="en-US" w:eastAsia="zh-CN" w:bidi="ar"/>
              </w:rPr>
              <w:t>铜仁职业技术学院食用菌基地工棚</w:t>
            </w:r>
            <w:r>
              <w:rPr>
                <w:rFonts w:hint="eastAsia" w:ascii="宋体" w:hAnsi="宋体" w:eastAsia="宋体" w:cs="宋体"/>
                <w:b/>
                <w:bCs/>
                <w:i w:val="0"/>
                <w:color w:val="000000"/>
                <w:kern w:val="0"/>
                <w:sz w:val="22"/>
                <w:szCs w:val="22"/>
                <w:u w:val="none"/>
                <w:lang w:val="en-US" w:eastAsia="zh-CN" w:bidi="ar"/>
              </w:rPr>
              <w:t>改造</w:t>
            </w:r>
          </w:p>
        </w:tc>
      </w:tr>
      <w:tr>
        <w:tblPrEx>
          <w:tblCellMar>
            <w:top w:w="0" w:type="dxa"/>
            <w:left w:w="0" w:type="dxa"/>
            <w:bottom w:w="0" w:type="dxa"/>
            <w:right w:w="0" w:type="dxa"/>
          </w:tblCellMar>
        </w:tblPrEx>
        <w:trPr>
          <w:trHeight w:val="59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分项工程名称及说明</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工程量</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主材单价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主材损耗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辅料价</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人工费</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分项合计</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复价</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582"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拆除清理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人工工钱</w:t>
            </w:r>
          </w:p>
        </w:tc>
      </w:tr>
      <w:tr>
        <w:tblPrEx>
          <w:tblCellMar>
            <w:top w:w="0" w:type="dxa"/>
            <w:left w:w="0" w:type="dxa"/>
            <w:bottom w:w="0" w:type="dxa"/>
            <w:right w:w="0" w:type="dxa"/>
          </w:tblCellMar>
        </w:tblPrEx>
        <w:trPr>
          <w:trHeight w:val="32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机电房防护网</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材料及人工</w:t>
            </w:r>
          </w:p>
        </w:tc>
      </w:tr>
      <w:tr>
        <w:tblPrEx>
          <w:tblCellMar>
            <w:top w:w="0" w:type="dxa"/>
            <w:left w:w="0" w:type="dxa"/>
            <w:bottom w:w="0" w:type="dxa"/>
            <w:right w:w="0" w:type="dxa"/>
          </w:tblCellMar>
        </w:tblPrEx>
        <w:trPr>
          <w:trHeight w:val="32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厂房砌围墙</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材料及人工</w:t>
            </w:r>
          </w:p>
        </w:tc>
      </w:tr>
      <w:tr>
        <w:tblPrEx>
          <w:tblCellMar>
            <w:top w:w="0" w:type="dxa"/>
            <w:left w:w="0" w:type="dxa"/>
            <w:bottom w:w="0" w:type="dxa"/>
            <w:right w:w="0" w:type="dxa"/>
          </w:tblCellMar>
        </w:tblPrEx>
        <w:trPr>
          <w:trHeight w:val="582"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厂房地面清平</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混凝土找平</w:t>
            </w:r>
          </w:p>
        </w:tc>
      </w:tr>
      <w:tr>
        <w:tblPrEx>
          <w:tblCellMar>
            <w:top w:w="0" w:type="dxa"/>
            <w:left w:w="0" w:type="dxa"/>
            <w:bottom w:w="0" w:type="dxa"/>
            <w:right w:w="0" w:type="dxa"/>
          </w:tblCellMar>
        </w:tblPrEx>
        <w:trPr>
          <w:trHeight w:val="59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厂房钢架棚搭建</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方管焊接顶面彩钢瓦</w:t>
            </w:r>
          </w:p>
        </w:tc>
      </w:tr>
      <w:tr>
        <w:tblPrEx>
          <w:tblCellMar>
            <w:top w:w="0" w:type="dxa"/>
            <w:left w:w="0" w:type="dxa"/>
            <w:bottom w:w="0" w:type="dxa"/>
            <w:right w:w="0" w:type="dxa"/>
          </w:tblCellMar>
        </w:tblPrEx>
        <w:trPr>
          <w:trHeight w:val="582"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卷帘门</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材料及人工</w:t>
            </w:r>
          </w:p>
        </w:tc>
      </w:tr>
      <w:tr>
        <w:tblPrEx>
          <w:tblCellMar>
            <w:top w:w="0" w:type="dxa"/>
            <w:left w:w="0" w:type="dxa"/>
            <w:bottom w:w="0" w:type="dxa"/>
            <w:right w:w="0" w:type="dxa"/>
          </w:tblCellMar>
        </w:tblPrEx>
        <w:trPr>
          <w:trHeight w:val="32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灯具照明</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锅盖灯</w:t>
            </w:r>
          </w:p>
        </w:tc>
      </w:tr>
      <w:tr>
        <w:tblPrEx>
          <w:tblCellMar>
            <w:top w:w="0" w:type="dxa"/>
            <w:left w:w="0" w:type="dxa"/>
            <w:bottom w:w="0" w:type="dxa"/>
            <w:right w:w="0" w:type="dxa"/>
          </w:tblCellMar>
        </w:tblPrEx>
        <w:trPr>
          <w:trHeight w:val="922"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厂房线路布置</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参考品牌：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玉蝶线、公牛面板</w:t>
            </w:r>
          </w:p>
        </w:tc>
      </w:tr>
      <w:tr>
        <w:tblPrEx>
          <w:tblCellMar>
            <w:top w:w="0" w:type="dxa"/>
            <w:left w:w="0" w:type="dxa"/>
            <w:bottom w:w="0" w:type="dxa"/>
            <w:right w:w="0" w:type="dxa"/>
          </w:tblCellMar>
        </w:tblPrEx>
        <w:trPr>
          <w:trHeight w:val="686"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吊风扇</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参考品牌：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奥克斯风扇</w:t>
            </w:r>
          </w:p>
        </w:tc>
      </w:tr>
      <w:tr>
        <w:tblPrEx>
          <w:tblCellMar>
            <w:top w:w="0" w:type="dxa"/>
            <w:left w:w="0" w:type="dxa"/>
            <w:bottom w:w="0" w:type="dxa"/>
            <w:right w:w="0" w:type="dxa"/>
          </w:tblCellMar>
        </w:tblPrEx>
        <w:trPr>
          <w:trHeight w:val="32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沟盖板</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球墨铸铁盖板</w:t>
            </w:r>
          </w:p>
        </w:tc>
      </w:tr>
      <w:tr>
        <w:tblPrEx>
          <w:tblCellMar>
            <w:top w:w="0" w:type="dxa"/>
            <w:left w:w="0" w:type="dxa"/>
            <w:bottom w:w="0" w:type="dxa"/>
            <w:right w:w="0" w:type="dxa"/>
          </w:tblCellMar>
        </w:tblPrEx>
        <w:trPr>
          <w:trHeight w:val="32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排水沟</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人工及材料</w:t>
            </w:r>
          </w:p>
        </w:tc>
      </w:tr>
      <w:tr>
        <w:tblPrEx>
          <w:tblCellMar>
            <w:top w:w="0" w:type="dxa"/>
            <w:left w:w="0" w:type="dxa"/>
            <w:bottom w:w="0" w:type="dxa"/>
            <w:right w:w="0" w:type="dxa"/>
          </w:tblCellMar>
        </w:tblPrEx>
        <w:trPr>
          <w:trHeight w:val="32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机房地面清平</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材料及人工</w:t>
            </w:r>
          </w:p>
        </w:tc>
      </w:tr>
      <w:tr>
        <w:tblPrEx>
          <w:tblCellMar>
            <w:top w:w="0" w:type="dxa"/>
            <w:left w:w="0" w:type="dxa"/>
            <w:bottom w:w="0" w:type="dxa"/>
            <w:right w:w="0" w:type="dxa"/>
          </w:tblCellMar>
        </w:tblPrEx>
        <w:trPr>
          <w:trHeight w:val="59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厂房特殊设备电路</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3相5线2相3线</w:t>
            </w:r>
          </w:p>
        </w:tc>
      </w:tr>
      <w:tr>
        <w:tblPrEx>
          <w:tblCellMar>
            <w:top w:w="0" w:type="dxa"/>
            <w:left w:w="0" w:type="dxa"/>
            <w:bottom w:w="0" w:type="dxa"/>
            <w:right w:w="0" w:type="dxa"/>
          </w:tblCellMar>
        </w:tblPrEx>
        <w:trPr>
          <w:trHeight w:val="32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灯具安装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w:t>
            </w:r>
          </w:p>
        </w:tc>
      </w:tr>
      <w:tr>
        <w:tblPrEx>
          <w:tblCellMar>
            <w:top w:w="0" w:type="dxa"/>
            <w:left w:w="0" w:type="dxa"/>
            <w:bottom w:w="0" w:type="dxa"/>
            <w:right w:w="0" w:type="dxa"/>
          </w:tblCellMar>
        </w:tblPrEx>
        <w:trPr>
          <w:trHeight w:val="32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风扇安装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w:t>
            </w:r>
          </w:p>
        </w:tc>
      </w:tr>
      <w:tr>
        <w:tblPrEx>
          <w:tblCellMar>
            <w:top w:w="0" w:type="dxa"/>
            <w:left w:w="0" w:type="dxa"/>
            <w:bottom w:w="0" w:type="dxa"/>
            <w:right w:w="0" w:type="dxa"/>
          </w:tblCellMar>
        </w:tblPrEx>
        <w:trPr>
          <w:trHeight w:val="59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特殊设备定位安装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设备及人工</w:t>
            </w:r>
          </w:p>
        </w:tc>
      </w:tr>
      <w:tr>
        <w:tblPrEx>
          <w:tblCellMar>
            <w:top w:w="0" w:type="dxa"/>
            <w:left w:w="0" w:type="dxa"/>
            <w:bottom w:w="0" w:type="dxa"/>
            <w:right w:w="0" w:type="dxa"/>
          </w:tblCellMar>
        </w:tblPrEx>
        <w:trPr>
          <w:trHeight w:val="32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搅拌机坑位</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w:t>
            </w:r>
          </w:p>
        </w:tc>
      </w:tr>
      <w:tr>
        <w:tblPrEx>
          <w:tblCellMar>
            <w:top w:w="0" w:type="dxa"/>
            <w:left w:w="0" w:type="dxa"/>
            <w:bottom w:w="0" w:type="dxa"/>
            <w:right w:w="0" w:type="dxa"/>
          </w:tblCellMar>
        </w:tblPrEx>
        <w:trPr>
          <w:trHeight w:val="32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植被移栽</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w:t>
            </w:r>
          </w:p>
        </w:tc>
      </w:tr>
      <w:tr>
        <w:tblPrEx>
          <w:tblCellMar>
            <w:top w:w="0" w:type="dxa"/>
            <w:left w:w="0" w:type="dxa"/>
            <w:bottom w:w="0" w:type="dxa"/>
            <w:right w:w="0" w:type="dxa"/>
          </w:tblCellMar>
        </w:tblPrEx>
        <w:trPr>
          <w:trHeight w:val="32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税</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22"/>
                <w:szCs w:val="22"/>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33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合计</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22"/>
                <w:szCs w:val="22"/>
                <w:u w:val="none"/>
                <w:lang w:val="en-US" w:eastAsia="zh-CN" w:bidi="ar"/>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sz w:val="30"/>
          <w:szCs w:val="30"/>
          <w:lang w:val="en-US" w:eastAsia="zh-CN"/>
        </w:rPr>
      </w:pPr>
    </w:p>
    <w:p>
      <w:pPr>
        <w:pStyle w:val="2"/>
        <w:numPr>
          <w:ilvl w:val="0"/>
          <w:numId w:val="0"/>
        </w:numPr>
        <w:ind w:leftChars="0"/>
        <w:rPr>
          <w:rFonts w:hint="default"/>
          <w:lang w:val="en-US" w:eastAsia="zh-CN"/>
        </w:rPr>
      </w:pPr>
    </w:p>
    <w:p>
      <w:pPr>
        <w:spacing w:line="360" w:lineRule="auto"/>
        <w:rPr>
          <w:rFonts w:hint="eastAsia"/>
          <w:b/>
          <w:bCs/>
          <w:sz w:val="32"/>
          <w:szCs w:val="32"/>
          <w:lang w:val="en-US" w:eastAsia="zh-CN"/>
        </w:rPr>
      </w:pPr>
      <w:r>
        <w:rPr>
          <w:rFonts w:hint="eastAsia"/>
          <w:b/>
          <w:bCs/>
          <w:sz w:val="32"/>
          <w:szCs w:val="32"/>
          <w:lang w:val="en-US" w:eastAsia="zh-CN"/>
        </w:rPr>
        <w:t>备注：专家论证费和专家评审费由中标人承担。</w:t>
      </w:r>
    </w:p>
    <w:p>
      <w:pPr>
        <w:pStyle w:val="2"/>
        <w:widowControl w:val="0"/>
        <w:numPr>
          <w:ilvl w:val="0"/>
          <w:numId w:val="0"/>
        </w:numPr>
        <w:jc w:val="both"/>
        <w:rPr>
          <w:rFonts w:hint="eastAsia" w:eastAsiaTheme="minorEastAsia"/>
          <w:lang w:val="en-US" w:eastAsia="zh-CN"/>
        </w:rPr>
      </w:pPr>
      <w:bookmarkStart w:id="1" w:name="_Toc268599010"/>
    </w:p>
    <w:p>
      <w:pPr>
        <w:pStyle w:val="2"/>
        <w:widowControl w:val="0"/>
        <w:numPr>
          <w:ilvl w:val="0"/>
          <w:numId w:val="0"/>
        </w:numPr>
        <w:jc w:val="both"/>
        <w:rPr>
          <w:rFonts w:hint="default" w:eastAsiaTheme="minorEastAsia"/>
          <w:lang w:val="en-US" w:eastAsia="zh-CN"/>
        </w:rPr>
        <w:sectPr>
          <w:pgSz w:w="11906" w:h="16838"/>
          <w:pgMar w:top="1440" w:right="1797" w:bottom="1440" w:left="1797" w:header="851" w:footer="992" w:gutter="0"/>
          <w:cols w:space="720" w:num="1"/>
          <w:docGrid w:linePitch="312" w:charSpace="0"/>
        </w:sectPr>
      </w:pPr>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1"/>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 w:name="_Toc184635098"/>
      <w:bookmarkStart w:id="3" w:name="_Toc247085769"/>
      <w:bookmarkStart w:id="4" w:name="_Toc246996997"/>
      <w:bookmarkStart w:id="5" w:name="_Toc246996254"/>
      <w:bookmarkStart w:id="6" w:name="_Toc296602499"/>
      <w:bookmarkStart w:id="7" w:name="_Toc268599011"/>
      <w:r>
        <w:rPr>
          <w:rFonts w:hint="eastAsia" w:ascii="宋体" w:hAnsi="宋体" w:eastAsia="宋体" w:cs="宋体"/>
          <w:b/>
          <w:sz w:val="24"/>
          <w:szCs w:val="24"/>
        </w:rPr>
        <w:t>1. 一般约定</w:t>
      </w:r>
      <w:bookmarkEnd w:id="2"/>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 w:name="_Toc246996255"/>
      <w:bookmarkStart w:id="9" w:name="_Toc246996998"/>
      <w:bookmarkStart w:id="10" w:name="_Toc296602500"/>
      <w:bookmarkStart w:id="11" w:name="_Toc247085770"/>
      <w:r>
        <w:rPr>
          <w:rFonts w:hint="eastAsia" w:ascii="宋体" w:hAnsi="宋体" w:eastAsia="宋体" w:cs="宋体"/>
          <w:b/>
          <w:sz w:val="24"/>
          <w:szCs w:val="24"/>
        </w:rPr>
        <w:t>1.1 词语定义</w:t>
      </w:r>
      <w:bookmarkEnd w:id="8"/>
      <w:bookmarkEnd w:id="9"/>
      <w:bookmarkEnd w:id="10"/>
      <w:bookmarkEnd w:id="1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通用合同条款、专用合同条款中的下列词语应具有本款所赋予的含义。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 合同</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1.1.1.1 合同文件（或称合同）：指合同协议书、中标通知书、投标函及投标函附录、专用合同条款、通用合同条款、技术标准和要求、图纸、已标价工程量清单，以及其他合同文件。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1.1.1.2 合同协议书：指第1.5 款所指的合同协议书。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1.1.1.3 中标通知书：指发包人通知承包人中标的函件。中标通知书随附的澄清、说明、补正事项纪要等，是中标通知书的组成部分。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1.1.1.4 投标函：指构成合同文件组成部分的由承包人填写并签署的投标函。</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1.1.1.5 投标函附录：指附在投标函后构成合同文件的投标函附录。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1.1.1.6 技术标准和要求：指构成合同文件组成部分的名为技术标准和要求的文件，以及合同双方当事人约定对其所作的修改或补充。</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1.1.1.7 图纸：指包含在合同中的工程图纸，以及由发包人按合同约定提供的任何补充和修改的图纸，包括配套的说明。</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1.1.1.8 已标价工程量清单：指构成合同文件组成部分的由承包人按照规定的格式和要求填写并标明价格的工程量清单。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1.1.1.9 其他合同文件：指经合同双方当事人确认构成合同文件的其他文件。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1.1.2 合同当事人和人员</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1.1.2.1 合同当事人：指发包人和（或）承包人。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1.1.2.2 发包人：指专用合同条款中指明并与承包人在合同协议书中签字的当事人。 </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1.1.2.3 承包人：指与发包人签订合同协议书的当事人。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1.1.2.4 承包人项目经理：指承包人派驻施工场地的全权负责人。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1.1.2.5 监理人：指在专用合同条款中指明的，受发包人委托对合同履行实施管理的法人或其他组织。属于国家强制监理的，监理人应当具有相应的监理资质。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1.1.2.6 总监理工程师（总监）：指由监理人委派常驻施工场地对合同履行实施管理的全权负责人。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1.1.3 工程和设备</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1.1.3.1 工程：指永久工程和（或）临时工程。</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1.1.3.2 工程设备：指构成或计划构成永久工程一部分的机电设备、仪器装置、运载工具及其他类似的设备和装置。</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1.1.3.3 施工场地（或称工地、现场）：指用于合同工程施工的场所，以及在合同中指定作为施工场地组成部分的其他场所，包括永久占地和临时占地。</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1.1.4 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1.1.4.1 开工通知：指监理人按第6.2款通知承包人开工的函件。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1.1.4.2 开工日期：指监理人按第6.2款发出的开工通知中写明的开工日期。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1.1.4.3 工期：指承包人在投标函中承诺的完成合同工程所需的期限，包括按第6.3款、第6.4款约定所作的变更。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1.1.4.4 竣工日期：指第1.1.4.3目约定工期届满时的日期。实际竣工日期以工程接收证书中写明的日期为准。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1.1.4.5 缺陷责任期：指履行第12.1款约定的缺陷责任的期限，具体期限由专用合同条款约定。</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1.1.4.6 天：除特别指明外，指日历天。合同中按天计算时间的，开始当天不计入，从次日开始计算。期限最后一天的截止时间为当天24:00。</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1.1.5 合同价格和费用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1.1.5.1 签约合同价：指签定合同时合同协议书中写明的，包括了暂列金额的合同总金额。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1.1.5.2 合同价格：指承包人按合同约定完成了包括缺陷责任期内的全部承包工作后，发包人应付给承包人的金额，包括在履行合同过程中按合同约定进行的变更和调整。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1.1.5.3 费用：指为履行合同所发生的或将要发生的所有合理开支，包括管理费和应分摊的其他费用，但不包括利润。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1.1.5.4 暂列金额：指已标价工程量清单中所列的暂列金额，用于在签订协议书时尚未确定或不可预见变更的施工及其所需材料、工程设备、服务等的金额，包括以计日工方式支付的金额。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1.1.5.5 计日工：指对零星工作采取的一种计价方式，按合同中的计日工子目及其单价计价付款。</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1.1.5.6 质量保证金（或称保留金）：指按第10.4款约定用于保证在缺陷责任期内履行缺陷修复义务的金额。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1.1.6 其他</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1.1.6.1 书面形式：指合同文件、信函、电报、传真、电子数据交换和电子邮件等可以有形地表现所载内容的形式。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 w:name="_Toc246996256"/>
      <w:bookmarkStart w:id="13" w:name="_Toc246996999"/>
      <w:bookmarkStart w:id="14" w:name="_Toc247085771"/>
      <w:bookmarkStart w:id="15" w:name="_Toc296602501"/>
      <w:r>
        <w:rPr>
          <w:rFonts w:hint="eastAsia" w:ascii="宋体" w:hAnsi="宋体" w:eastAsia="宋体" w:cs="宋体"/>
          <w:b/>
          <w:sz w:val="24"/>
          <w:szCs w:val="24"/>
        </w:rPr>
        <w:t>1.2 语言文字</w:t>
      </w:r>
      <w:bookmarkEnd w:id="12"/>
      <w:bookmarkEnd w:id="13"/>
      <w:bookmarkEnd w:id="14"/>
      <w:bookmarkEnd w:id="1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16" w:name="_Toc246997000"/>
      <w:bookmarkStart w:id="17" w:name="_Toc246996257"/>
      <w:bookmarkStart w:id="18" w:name="_Toc247085772"/>
      <w:r>
        <w:rPr>
          <w:rFonts w:hint="eastAsia" w:ascii="宋体" w:hAnsi="宋体" w:eastAsia="宋体" w:cs="宋体"/>
          <w:sz w:val="24"/>
          <w:szCs w:val="24"/>
        </w:rPr>
        <w:t>合同使用的语言文字为中文。专用术语使用外文的，应附有中文注释。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 w:name="_Toc296602502"/>
      <w:r>
        <w:rPr>
          <w:rFonts w:hint="eastAsia" w:ascii="宋体" w:hAnsi="宋体" w:eastAsia="宋体" w:cs="宋体"/>
          <w:b/>
          <w:sz w:val="24"/>
          <w:szCs w:val="24"/>
        </w:rPr>
        <w:t>1.3 法律</w:t>
      </w:r>
      <w:bookmarkEnd w:id="16"/>
      <w:bookmarkEnd w:id="17"/>
      <w:bookmarkEnd w:id="18"/>
      <w:bookmarkEnd w:id="1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适用于合同的法律包括中华人民共和国法律、行政法规、部门规章，以及工程所在地的地方法规、自治条例、单行条例和地方政府规章。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 w:name="_Toc247085773"/>
      <w:bookmarkStart w:id="21" w:name="_Toc246996258"/>
      <w:bookmarkStart w:id="22" w:name="_Toc296602503"/>
      <w:bookmarkStart w:id="23" w:name="_Toc246997001"/>
      <w:r>
        <w:rPr>
          <w:rFonts w:hint="eastAsia" w:ascii="宋体" w:hAnsi="宋体" w:eastAsia="宋体" w:cs="宋体"/>
          <w:b/>
          <w:sz w:val="24"/>
          <w:szCs w:val="24"/>
        </w:rPr>
        <w:t>1.4 合同文件的优先顺序</w:t>
      </w:r>
      <w:bookmarkEnd w:id="20"/>
      <w:bookmarkEnd w:id="21"/>
      <w:bookmarkEnd w:id="22"/>
      <w:bookmarkEnd w:id="2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组成合同的各项文件应互相解释，互为说明。除专用合同条款另有约定外，解释合同文件的优先顺序如下：</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（3）投标函及投标函附录；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（8）已标价工程量清单；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（9）其他合同文件。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 w:name="_Toc246996259"/>
      <w:bookmarkStart w:id="25" w:name="_Toc296602504"/>
      <w:bookmarkStart w:id="26" w:name="_Toc247085774"/>
      <w:bookmarkStart w:id="27" w:name="_Toc246997002"/>
      <w:r>
        <w:rPr>
          <w:rFonts w:hint="eastAsia" w:ascii="宋体" w:hAnsi="宋体" w:eastAsia="宋体" w:cs="宋体"/>
          <w:b/>
          <w:sz w:val="24"/>
          <w:szCs w:val="24"/>
        </w:rPr>
        <w:t>1.5 合同协议书</w:t>
      </w:r>
      <w:bookmarkEnd w:id="24"/>
      <w:bookmarkEnd w:id="25"/>
      <w:bookmarkEnd w:id="26"/>
      <w:bookmarkEnd w:id="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8" w:name="_Toc247085775"/>
      <w:bookmarkStart w:id="29" w:name="_Toc296602505"/>
      <w:bookmarkStart w:id="30" w:name="_Toc246996260"/>
      <w:bookmarkStart w:id="31" w:name="_Toc246997003"/>
      <w:r>
        <w:rPr>
          <w:rFonts w:hint="eastAsia" w:ascii="宋体" w:hAnsi="宋体" w:eastAsia="宋体" w:cs="宋体"/>
          <w:b/>
          <w:sz w:val="24"/>
          <w:szCs w:val="24"/>
        </w:rPr>
        <w:t>1.6 图纸和承包人文件</w:t>
      </w:r>
      <w:bookmarkEnd w:id="28"/>
      <w:bookmarkEnd w:id="29"/>
      <w:bookmarkEnd w:id="30"/>
      <w:bookmarkEnd w:id="3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1.6.1 发包人提供的图纸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除专用合同条款另有约定外，图纸应在合理的期限内按照合同约定的数量提供给承包人。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1.6.2 承包人提供的文件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按专用合同条款约定由承包人提供的文件，包括部分工程的大样图、加工图等，承包人应按约定的数量和期限报送监理人。监理人应在专用合同条款约定的期限内批复。</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 w:name="_Toc247085776"/>
      <w:bookmarkStart w:id="33" w:name="_Toc246997004"/>
      <w:bookmarkStart w:id="34" w:name="_Toc246996261"/>
      <w:bookmarkStart w:id="35" w:name="_Toc296602506"/>
      <w:r>
        <w:rPr>
          <w:rFonts w:hint="eastAsia" w:ascii="宋体" w:hAnsi="宋体" w:eastAsia="宋体" w:cs="宋体"/>
          <w:b/>
          <w:sz w:val="24"/>
          <w:szCs w:val="24"/>
        </w:rPr>
        <w:t>1.7 联络</w:t>
      </w:r>
      <w:bookmarkEnd w:id="32"/>
      <w:bookmarkEnd w:id="33"/>
      <w:bookmarkEnd w:id="34"/>
      <w:bookmarkEnd w:id="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与合同有关的通知、批准、证明、证书、指示、要求、请求、同意、意见、确定和决定等重要文件，均应采用书面形式。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6" w:name="_Toc246996263"/>
      <w:bookmarkStart w:id="37" w:name="_Toc184635099"/>
      <w:bookmarkStart w:id="38" w:name="_Toc246997006"/>
      <w:bookmarkStart w:id="39" w:name="_Toc247085778"/>
      <w:bookmarkStart w:id="40" w:name="_Toc296602507"/>
      <w:r>
        <w:rPr>
          <w:rFonts w:hint="eastAsia" w:ascii="宋体" w:hAnsi="宋体" w:eastAsia="宋体" w:cs="宋体"/>
          <w:b/>
          <w:sz w:val="24"/>
          <w:szCs w:val="24"/>
        </w:rPr>
        <w:t>2. 发包人义务</w:t>
      </w:r>
      <w:bookmarkEnd w:id="36"/>
      <w:bookmarkEnd w:id="37"/>
      <w:bookmarkEnd w:id="38"/>
      <w:bookmarkEnd w:id="39"/>
      <w:bookmarkEnd w:id="40"/>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1" w:name="_Toc246996264"/>
      <w:bookmarkStart w:id="42" w:name="_Toc246997007"/>
      <w:bookmarkStart w:id="43" w:name="_Toc247085779"/>
      <w:bookmarkStart w:id="44" w:name="_Toc296602508"/>
      <w:r>
        <w:rPr>
          <w:rFonts w:hint="eastAsia" w:ascii="宋体" w:hAnsi="宋体" w:eastAsia="宋体" w:cs="宋体"/>
          <w:b/>
          <w:sz w:val="24"/>
          <w:szCs w:val="24"/>
        </w:rPr>
        <w:t>2.1 遵守法律</w:t>
      </w:r>
      <w:bookmarkEnd w:id="41"/>
      <w:bookmarkEnd w:id="42"/>
      <w:bookmarkEnd w:id="43"/>
      <w:bookmarkEnd w:id="4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发包人在履行合同过程中应遵守法律，并保证承包人免于承担因发包人违反法律而引起的任何责任。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5" w:name="_Toc246996265"/>
      <w:bookmarkStart w:id="46" w:name="_Toc246997008"/>
      <w:bookmarkStart w:id="47" w:name="_Toc247085780"/>
      <w:bookmarkStart w:id="48" w:name="_Toc296602509"/>
      <w:r>
        <w:rPr>
          <w:rFonts w:hint="eastAsia" w:ascii="宋体" w:hAnsi="宋体" w:eastAsia="宋体" w:cs="宋体"/>
          <w:b/>
          <w:sz w:val="24"/>
          <w:szCs w:val="24"/>
        </w:rPr>
        <w:t>2.2 发出开工通知</w:t>
      </w:r>
      <w:bookmarkEnd w:id="45"/>
      <w:bookmarkEnd w:id="46"/>
      <w:bookmarkEnd w:id="47"/>
      <w:bookmarkEnd w:id="4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发包人应委托监理人按第6.2 款的约定向承包人发出开工通知。</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9" w:name="_Toc296602510"/>
      <w:bookmarkStart w:id="50" w:name="_Toc246997009"/>
      <w:bookmarkStart w:id="51" w:name="_Toc247085781"/>
      <w:bookmarkStart w:id="52" w:name="_Toc246996266"/>
      <w:r>
        <w:rPr>
          <w:rFonts w:hint="eastAsia" w:ascii="宋体" w:hAnsi="宋体" w:eastAsia="宋体" w:cs="宋体"/>
          <w:b/>
          <w:sz w:val="24"/>
          <w:szCs w:val="24"/>
        </w:rPr>
        <w:t>2.3 提供施工场地</w:t>
      </w:r>
      <w:bookmarkEnd w:id="49"/>
      <w:bookmarkEnd w:id="50"/>
      <w:bookmarkEnd w:id="51"/>
      <w:bookmarkEnd w:id="5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发包人应按专用合同条款约定向承包人提供施工场地，以及施工场地内地下管线和地下设施等有关资料，并保证资料的真实、准确、完整。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3" w:name="_Toc296602511"/>
      <w:bookmarkStart w:id="54" w:name="_Toc246997010"/>
      <w:bookmarkStart w:id="55" w:name="_Toc247085782"/>
      <w:bookmarkStart w:id="56" w:name="_Toc246996267"/>
      <w:r>
        <w:rPr>
          <w:rFonts w:hint="eastAsia" w:ascii="宋体" w:hAnsi="宋体" w:eastAsia="宋体" w:cs="宋体"/>
          <w:b/>
          <w:sz w:val="24"/>
          <w:szCs w:val="24"/>
        </w:rPr>
        <w:t>2.4 协助承包人办理证件和批件</w:t>
      </w:r>
      <w:bookmarkEnd w:id="53"/>
      <w:bookmarkEnd w:id="54"/>
      <w:bookmarkEnd w:id="55"/>
      <w:bookmarkEnd w:id="5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发包人应协助承包人办理法律规定的有关施工证件和批件。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7" w:name="_Toc247085783"/>
      <w:bookmarkStart w:id="58" w:name="_Toc296602512"/>
      <w:bookmarkStart w:id="59" w:name="_Toc246997011"/>
      <w:bookmarkStart w:id="60" w:name="_Toc246996268"/>
      <w:r>
        <w:rPr>
          <w:rFonts w:hint="eastAsia" w:ascii="宋体" w:hAnsi="宋体" w:eastAsia="宋体" w:cs="宋体"/>
          <w:b/>
          <w:sz w:val="24"/>
          <w:szCs w:val="24"/>
        </w:rPr>
        <w:t>2.5 组织设计交底</w:t>
      </w:r>
      <w:bookmarkEnd w:id="57"/>
      <w:bookmarkEnd w:id="58"/>
      <w:bookmarkEnd w:id="59"/>
      <w:bookmarkEnd w:id="6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发包人应根据合同进度计划，组织设计单位向承包人进行设计交底。</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1" w:name="_Toc296602513"/>
      <w:bookmarkStart w:id="62" w:name="_Toc246997012"/>
      <w:bookmarkStart w:id="63" w:name="_Toc247085784"/>
      <w:bookmarkStart w:id="64" w:name="_Toc246996269"/>
      <w:r>
        <w:rPr>
          <w:rFonts w:hint="eastAsia" w:ascii="宋体" w:hAnsi="宋体" w:eastAsia="宋体" w:cs="宋体"/>
          <w:b/>
          <w:sz w:val="24"/>
          <w:szCs w:val="24"/>
        </w:rPr>
        <w:t>2.6 支付合同价款</w:t>
      </w:r>
      <w:bookmarkEnd w:id="61"/>
      <w:bookmarkEnd w:id="62"/>
      <w:bookmarkEnd w:id="63"/>
      <w:bookmarkEnd w:id="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发包人应按合同约定向承包人及时支付合同价款。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5" w:name="_Toc246996270"/>
      <w:bookmarkStart w:id="66" w:name="_Toc296602514"/>
      <w:bookmarkStart w:id="67" w:name="_Toc246997013"/>
      <w:bookmarkStart w:id="68" w:name="_Toc247085785"/>
      <w:r>
        <w:rPr>
          <w:rFonts w:hint="eastAsia" w:ascii="宋体" w:hAnsi="宋体" w:eastAsia="宋体" w:cs="宋体"/>
          <w:b/>
          <w:sz w:val="24"/>
          <w:szCs w:val="24"/>
        </w:rPr>
        <w:t>2.7 组织竣工验收</w:t>
      </w:r>
      <w:bookmarkEnd w:id="65"/>
      <w:bookmarkEnd w:id="66"/>
      <w:bookmarkEnd w:id="67"/>
      <w:bookmarkEnd w:id="6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发包人应按合同约定及时组织竣工验收。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9" w:name="_Toc247085786"/>
      <w:bookmarkStart w:id="70" w:name="_Toc246996271"/>
      <w:bookmarkStart w:id="71" w:name="_Toc246997014"/>
      <w:bookmarkStart w:id="72" w:name="_Toc296602515"/>
      <w:r>
        <w:rPr>
          <w:rFonts w:hint="eastAsia" w:ascii="宋体" w:hAnsi="宋体" w:eastAsia="宋体" w:cs="宋体"/>
          <w:b/>
          <w:sz w:val="24"/>
          <w:szCs w:val="24"/>
        </w:rPr>
        <w:t>2.8 其他义务</w:t>
      </w:r>
      <w:bookmarkEnd w:id="69"/>
      <w:bookmarkEnd w:id="70"/>
      <w:bookmarkEnd w:id="71"/>
      <w:bookmarkEnd w:id="7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3" w:name="_Toc296602516"/>
      <w:bookmarkStart w:id="74" w:name="_Toc246997015"/>
      <w:bookmarkStart w:id="75" w:name="_Toc247085787"/>
      <w:bookmarkStart w:id="76" w:name="_Toc184635100"/>
      <w:bookmarkStart w:id="77" w:name="_Toc246996272"/>
      <w:r>
        <w:rPr>
          <w:rFonts w:hint="eastAsia" w:ascii="宋体" w:hAnsi="宋体" w:eastAsia="宋体" w:cs="宋体"/>
          <w:b/>
          <w:sz w:val="24"/>
          <w:szCs w:val="24"/>
        </w:rPr>
        <w:t>3. 监理人</w:t>
      </w:r>
      <w:bookmarkEnd w:id="73"/>
      <w:bookmarkEnd w:id="74"/>
      <w:bookmarkEnd w:id="75"/>
      <w:bookmarkEnd w:id="76"/>
      <w:bookmarkEnd w:id="7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8" w:name="_Toc247085788"/>
      <w:bookmarkStart w:id="79" w:name="_Toc246996273"/>
      <w:bookmarkStart w:id="80" w:name="_Toc246997016"/>
      <w:bookmarkStart w:id="81" w:name="_Toc296602517"/>
      <w:r>
        <w:rPr>
          <w:rFonts w:hint="eastAsia" w:ascii="宋体" w:hAnsi="宋体" w:eastAsia="宋体" w:cs="宋体"/>
          <w:b/>
          <w:sz w:val="24"/>
          <w:szCs w:val="24"/>
        </w:rPr>
        <w:t>3.1 监理人的职责和权力</w:t>
      </w:r>
      <w:bookmarkEnd w:id="78"/>
      <w:bookmarkEnd w:id="79"/>
      <w:bookmarkEnd w:id="80"/>
      <w:bookmarkEnd w:id="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3.1.2 合同约定应由承包人承担的义务和责任，不因监理人对承包人文件的审查或批准，对工程、材料和工程设备的检查和检验，以及为实施监理作出的指示等职务行为而减轻或解除。</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2" w:name="_Toc247085789"/>
      <w:bookmarkStart w:id="83" w:name="_Toc246996274"/>
      <w:bookmarkStart w:id="84" w:name="_Toc296602518"/>
      <w:bookmarkStart w:id="85" w:name="_Toc246997017"/>
      <w:r>
        <w:rPr>
          <w:rFonts w:hint="eastAsia" w:ascii="宋体" w:hAnsi="宋体" w:eastAsia="宋体" w:cs="宋体"/>
          <w:b/>
          <w:sz w:val="24"/>
          <w:szCs w:val="24"/>
        </w:rPr>
        <w:t>3.2 总监理工程师</w:t>
      </w:r>
      <w:bookmarkEnd w:id="82"/>
      <w:bookmarkEnd w:id="83"/>
      <w:bookmarkEnd w:id="84"/>
      <w:bookmarkEnd w:id="8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发包人应在发出开工通知前将总监理工程师的任命通知承包人。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6" w:name="_Toc246996275"/>
      <w:bookmarkStart w:id="87" w:name="_Toc246997018"/>
      <w:bookmarkStart w:id="88" w:name="_Toc296602519"/>
      <w:bookmarkStart w:id="89" w:name="_Toc247085790"/>
      <w:r>
        <w:rPr>
          <w:rFonts w:hint="eastAsia" w:ascii="宋体" w:hAnsi="宋体" w:eastAsia="宋体" w:cs="宋体"/>
          <w:b/>
          <w:sz w:val="24"/>
          <w:szCs w:val="24"/>
        </w:rPr>
        <w:t>3.3 监理人员</w:t>
      </w:r>
      <w:bookmarkEnd w:id="86"/>
      <w:bookmarkEnd w:id="87"/>
      <w:bookmarkEnd w:id="88"/>
      <w:bookmarkEnd w:id="8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3.3.3 承包人对总监理工程师授权的监理人员发出的指示有疑问的，可在该指示发出的48小时内向总监理工程师提出书面异议，总监理工程师应在48小时内对该指示予以确认、更改或撤销。</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3.3.4 除专用合同条款另有约定外，总监理工程师不应将第3.5 款约定应由总监理工程师作出确定的权力授权或委托给其他监理人员。</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0" w:name="_Toc247085791"/>
      <w:bookmarkStart w:id="91" w:name="_Toc246996276"/>
      <w:bookmarkStart w:id="92" w:name="_Toc296602520"/>
      <w:bookmarkStart w:id="93" w:name="_Toc246997019"/>
      <w:r>
        <w:rPr>
          <w:rFonts w:hint="eastAsia" w:ascii="宋体" w:hAnsi="宋体" w:eastAsia="宋体" w:cs="宋体"/>
          <w:b/>
          <w:sz w:val="24"/>
          <w:szCs w:val="24"/>
        </w:rPr>
        <w:t>3.4 监理人的指示</w:t>
      </w:r>
      <w:bookmarkEnd w:id="90"/>
      <w:bookmarkEnd w:id="91"/>
      <w:bookmarkEnd w:id="92"/>
      <w:bookmarkEnd w:id="9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3.4.1 监理人应按第3.1 款的约定向承包人发出指示，监理人的指示应盖有监理人授权的施工场地机构章，并由总监理工程师或总监理工程师按第3.3.1 项约定授权的监理人员签字。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3.4.2 承包人收到监理人按第3.4.1 项作出的指示后应遵照执行。指示构成变更的，应按第9条处理。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3.4.4 除合同另有约定外，承包人只从总监理工程师或按第3.3.1 项被授权的监理人员处取得指示。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3.4.5 由于监理人未能按合同约定发出指示、指示延误或指示错误而导致承包人费用增加和（或）工期延误的，由发包人承担赔偿责任。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4" w:name="_Toc247085792"/>
      <w:bookmarkStart w:id="95" w:name="_Toc246997020"/>
      <w:bookmarkStart w:id="96" w:name="_Toc296602521"/>
      <w:bookmarkStart w:id="97" w:name="_Toc246996277"/>
      <w:r>
        <w:rPr>
          <w:rFonts w:hint="eastAsia" w:ascii="宋体" w:hAnsi="宋体" w:eastAsia="宋体" w:cs="宋体"/>
          <w:b/>
          <w:sz w:val="24"/>
          <w:szCs w:val="24"/>
        </w:rPr>
        <w:t>3.5 商定或确定</w:t>
      </w:r>
      <w:bookmarkEnd w:id="94"/>
      <w:bookmarkEnd w:id="95"/>
      <w:bookmarkEnd w:id="96"/>
      <w:bookmarkEnd w:id="9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3.5.1 合同约定总监理工程师应按照本款对任何事项进行商定或确定时，总监理工程师应与合同当事人协商，尽量达成一致。不能达成一致的，总监理工程师应认真研究后审慎确定。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8" w:name="_Toc247085793"/>
      <w:bookmarkStart w:id="99" w:name="_Toc246997021"/>
      <w:bookmarkStart w:id="100" w:name="_Toc296602522"/>
      <w:bookmarkStart w:id="101" w:name="_Toc246996278"/>
      <w:bookmarkStart w:id="102" w:name="_Toc184635101"/>
      <w:r>
        <w:rPr>
          <w:rFonts w:hint="eastAsia" w:ascii="宋体" w:hAnsi="宋体" w:eastAsia="宋体" w:cs="宋体"/>
          <w:b/>
          <w:sz w:val="24"/>
          <w:szCs w:val="24"/>
        </w:rPr>
        <w:t>4. 承包人</w:t>
      </w:r>
      <w:bookmarkEnd w:id="98"/>
      <w:bookmarkEnd w:id="99"/>
      <w:bookmarkEnd w:id="100"/>
      <w:bookmarkEnd w:id="101"/>
      <w:bookmarkEnd w:id="10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3" w:name="_Toc246997022"/>
      <w:bookmarkStart w:id="104" w:name="_Toc296602523"/>
      <w:bookmarkStart w:id="105" w:name="_Toc246996279"/>
      <w:bookmarkStart w:id="106" w:name="_Toc247085794"/>
      <w:r>
        <w:rPr>
          <w:rFonts w:hint="eastAsia" w:ascii="宋体" w:hAnsi="宋体" w:eastAsia="宋体" w:cs="宋体"/>
          <w:b/>
          <w:sz w:val="24"/>
          <w:szCs w:val="24"/>
        </w:rPr>
        <w:t>4.1 承包人的一般义务</w:t>
      </w:r>
      <w:bookmarkEnd w:id="103"/>
      <w:bookmarkEnd w:id="104"/>
      <w:bookmarkEnd w:id="105"/>
      <w:bookmarkEnd w:id="106"/>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4.1.1 承包人应按合同约定以及监理人根据第3.4 款作出的指示，实施、完成全部工程，并修补工程中的任何缺陷。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4.1.2 除合同另有约定外，承包人应提供为按照合同完成工程所需的劳务、材料、施工设备、工程设备和其他物品，以及按合同约定的临时设施等。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4.1.3 承包人应对所有现场作业、所有施工方法和全部工程的完备性、稳定性和安全性负责。</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4.1.4 承包人应按照法律规定和合同约定，负责施工场地及其周边环境与生态的保护工作。</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4.1.5 工程接收证书颁发前，承包人应负责照管和维护工程。工程接收证书颁发时尚有部分未竣工工程的，承包人还应负责该未竣工工程的照管和维护工作，直至竣工后移交给发包人为止。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4.1.6 承包人应履行合同约定的其他义务。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7" w:name="_Toc246996280"/>
      <w:bookmarkStart w:id="108" w:name="_Toc247085795"/>
      <w:bookmarkStart w:id="109" w:name="_Toc246997023"/>
      <w:bookmarkStart w:id="110" w:name="_Toc296602524"/>
      <w:r>
        <w:rPr>
          <w:rFonts w:hint="eastAsia" w:ascii="宋体" w:hAnsi="宋体" w:eastAsia="宋体" w:cs="宋体"/>
          <w:b/>
          <w:sz w:val="24"/>
          <w:szCs w:val="24"/>
        </w:rPr>
        <w:t>4.2 履约担保</w:t>
      </w:r>
      <w:bookmarkEnd w:id="107"/>
      <w:bookmarkEnd w:id="108"/>
      <w:bookmarkEnd w:id="109"/>
      <w:bookmarkEnd w:id="11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4.2.1承包人应保证其履约担保在发包人颁发工程接收证书前一直有效。发包人应在工程接收证书颁发后28 天内把履约担保退还给承包人。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4.2.2如工程延期，承包人有义务继续提供履约担保。由于发包人原因导致延期的，继续提供履约担保所需的费用由发包人承担；由于承包人原因导致延期的，继续提供履约担保所需费用由承包人承担。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1" w:name="_Toc246997025"/>
      <w:bookmarkStart w:id="112" w:name="_Toc296602525"/>
      <w:bookmarkStart w:id="113" w:name="_Toc247085797"/>
      <w:bookmarkStart w:id="114" w:name="_Toc246996282"/>
      <w:r>
        <w:rPr>
          <w:rFonts w:hint="eastAsia" w:ascii="宋体" w:hAnsi="宋体" w:eastAsia="宋体" w:cs="宋体"/>
          <w:b/>
          <w:sz w:val="24"/>
          <w:szCs w:val="24"/>
        </w:rPr>
        <w:t>4.3 承包人项目经理</w:t>
      </w:r>
      <w:bookmarkEnd w:id="111"/>
      <w:bookmarkEnd w:id="112"/>
      <w:bookmarkEnd w:id="113"/>
      <w:bookmarkEnd w:id="11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5" w:name="_Toc247085798"/>
      <w:bookmarkStart w:id="116" w:name="_Toc296602526"/>
      <w:bookmarkStart w:id="117" w:name="_Toc246996283"/>
      <w:bookmarkStart w:id="118" w:name="_Toc246997026"/>
      <w:r>
        <w:rPr>
          <w:rFonts w:hint="eastAsia" w:ascii="宋体" w:hAnsi="宋体" w:eastAsia="宋体" w:cs="宋体"/>
          <w:b/>
          <w:sz w:val="24"/>
          <w:szCs w:val="24"/>
        </w:rPr>
        <w:t>4.4 工程价款应专款专用</w:t>
      </w:r>
      <w:bookmarkEnd w:id="115"/>
      <w:bookmarkEnd w:id="116"/>
      <w:bookmarkEnd w:id="117"/>
      <w:bookmarkEnd w:id="1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发包人按合同约定支付给承包人的各项价款应专用于合同工程。</w:t>
      </w:r>
      <w:bookmarkStart w:id="119" w:name="_Toc246997027"/>
      <w:bookmarkStart w:id="120" w:name="_Toc246996284"/>
      <w:bookmarkStart w:id="121" w:name="_Toc24708579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2" w:name="_Toc296602527"/>
      <w:r>
        <w:rPr>
          <w:rFonts w:hint="eastAsia" w:ascii="宋体" w:hAnsi="宋体" w:eastAsia="宋体" w:cs="宋体"/>
          <w:b/>
          <w:sz w:val="24"/>
          <w:szCs w:val="24"/>
        </w:rPr>
        <w:t>4.5 不利物质条件</w:t>
      </w:r>
      <w:bookmarkEnd w:id="12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4.5.1 不利物质条件，除专用合同条款另有约定外，是指承包人在施工场地遇到的不可预见的自然物质条件、非自然的物质障碍和污染物，包括地下和水文条件，但不包括气候条件。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3" w:name="_Toc152045668"/>
      <w:bookmarkStart w:id="124" w:name="_Toc179632686"/>
      <w:bookmarkStart w:id="125" w:name="_Toc144974636"/>
      <w:bookmarkStart w:id="126" w:name="_Toc152042446"/>
      <w:bookmarkStart w:id="127" w:name="_Toc296602528"/>
      <w:r>
        <w:rPr>
          <w:rFonts w:hint="eastAsia" w:ascii="宋体" w:hAnsi="宋体" w:eastAsia="宋体" w:cs="宋体"/>
          <w:b/>
          <w:sz w:val="24"/>
          <w:szCs w:val="24"/>
        </w:rPr>
        <w:t xml:space="preserve">5. </w:t>
      </w:r>
      <w:bookmarkEnd w:id="123"/>
      <w:bookmarkEnd w:id="124"/>
      <w:bookmarkEnd w:id="125"/>
      <w:bookmarkEnd w:id="126"/>
      <w:r>
        <w:rPr>
          <w:rFonts w:hint="eastAsia" w:ascii="宋体" w:hAnsi="宋体" w:eastAsia="宋体" w:cs="宋体"/>
          <w:b/>
          <w:sz w:val="24"/>
          <w:szCs w:val="24"/>
        </w:rPr>
        <w:t>施工控制网</w:t>
      </w:r>
      <w:bookmarkEnd w:id="1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5.2 承包人应负责管理施工控制网点。施工控制网点丢失或损坏的，承包人应及时修复。承包人应承担施工控制网点的管理与修复费用，并在工程竣工后将施工控制网点移交发包人。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8" w:name="_Toc296602529"/>
      <w:r>
        <w:rPr>
          <w:rFonts w:hint="eastAsia" w:ascii="宋体" w:hAnsi="宋体" w:eastAsia="宋体" w:cs="宋体"/>
          <w:b/>
          <w:sz w:val="24"/>
          <w:szCs w:val="24"/>
        </w:rPr>
        <w:t>6. 工期</w:t>
      </w:r>
      <w:bookmarkEnd w:id="12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9" w:name="_Toc296602530"/>
      <w:bookmarkStart w:id="130" w:name="_Toc179632700"/>
      <w:bookmarkStart w:id="131" w:name="_Toc152042460"/>
      <w:bookmarkStart w:id="132" w:name="_Toc144974650"/>
      <w:bookmarkStart w:id="133" w:name="_Toc152045682"/>
      <w:r>
        <w:rPr>
          <w:rFonts w:hint="eastAsia" w:ascii="宋体" w:hAnsi="宋体" w:eastAsia="宋体" w:cs="宋体"/>
          <w:b/>
          <w:sz w:val="24"/>
          <w:szCs w:val="24"/>
        </w:rPr>
        <w:t>6.1 进度计划</w:t>
      </w:r>
      <w:bookmarkEnd w:id="12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照专用合同条款约定的时间，向监理人提交进度计划。经监理人审批后的进度计划具有合同约束力，承包人应当严格执行。实际进度与进度计划不符时，监理人应当指示承包人对进度计划进行修订，重新提交给监理人审批。</w:t>
      </w:r>
    </w:p>
    <w:bookmarkEnd w:id="130"/>
    <w:bookmarkEnd w:id="131"/>
    <w:bookmarkEnd w:id="132"/>
    <w:bookmarkEnd w:id="133"/>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4" w:name="_Toc296602531"/>
      <w:r>
        <w:rPr>
          <w:rFonts w:hint="eastAsia" w:ascii="宋体" w:hAnsi="宋体" w:eastAsia="宋体" w:cs="宋体"/>
          <w:b/>
          <w:sz w:val="24"/>
          <w:szCs w:val="24"/>
        </w:rPr>
        <w:t>6.2 工程实施</w:t>
      </w:r>
      <w:bookmarkEnd w:id="13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监理人应在开工日期7天前向承包人发出开工通知。承包人应在第1.1.4.3目约定的期限内完成合同工程。实际竣工日期在接收证书中写明。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5" w:name="_Toc296602532"/>
      <w:r>
        <w:rPr>
          <w:rFonts w:hint="eastAsia" w:ascii="宋体" w:hAnsi="宋体" w:eastAsia="宋体" w:cs="宋体"/>
          <w:b/>
          <w:sz w:val="24"/>
          <w:szCs w:val="24"/>
        </w:rPr>
        <w:t>6.3 发包人引起的工期延误</w:t>
      </w:r>
      <w:bookmarkEnd w:id="1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在履行合同过程中，由于发包人的下列原因造成工期延误的，承包人有权要求发包人延长工期和（或）增加费用，并支付合理利润。需要修订合同进度计划的，按照第6.1款的约定执行。</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（1）增加合同工作内容；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（2）改变合同中任何一项工作的质量要求或其他特性；</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（3）发包人迟延提供材料、工程设备或变更交货地点；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（4）因发包人原因导致的暂停施工；</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（5）提供图纸延误；</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（6）未按合同约定及时支付预付款、进度款；</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（7）发包人造成工期延误的其他原因。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6" w:name="_Toc296602533"/>
      <w:r>
        <w:rPr>
          <w:rFonts w:hint="eastAsia" w:ascii="宋体" w:hAnsi="宋体" w:eastAsia="宋体" w:cs="宋体"/>
          <w:b/>
          <w:sz w:val="24"/>
          <w:szCs w:val="24"/>
        </w:rPr>
        <w:t>6.4 异常恶劣的气候条件</w:t>
      </w:r>
      <w:bookmarkEnd w:id="1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由于出现专用合同条款约定的异常恶劣气候导致工期延误的，承包人有权要求发包人延长工期。</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7" w:name="_Toc296602534"/>
      <w:r>
        <w:rPr>
          <w:rFonts w:hint="eastAsia" w:ascii="宋体" w:hAnsi="宋体" w:eastAsia="宋体" w:cs="宋体"/>
          <w:b/>
          <w:sz w:val="24"/>
          <w:szCs w:val="24"/>
        </w:rPr>
        <w:t>6.5 承包人引起的工期延误</w:t>
      </w:r>
      <w:bookmarkEnd w:id="13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由于承包人原因造成工期延误，承包人应按照专用合同条款中约定的逾期竣工违约金计算方法和最高限额，支付逾期竣工违约金。承包人支付逾期竣工违约金，不免除承包人完成工程及修补缺陷的义务。</w:t>
      </w:r>
    </w:p>
    <w:bookmarkEnd w:id="119"/>
    <w:bookmarkEnd w:id="120"/>
    <w:bookmarkEnd w:id="121"/>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8" w:name="_Toc247085806"/>
      <w:bookmarkStart w:id="139" w:name="_Toc246996291"/>
      <w:bookmarkStart w:id="140" w:name="_Toc296602535"/>
      <w:bookmarkStart w:id="141" w:name="_Toc184635110"/>
      <w:bookmarkStart w:id="142" w:name="_Toc246997034"/>
      <w:r>
        <w:rPr>
          <w:rFonts w:hint="eastAsia" w:ascii="宋体" w:hAnsi="宋体" w:eastAsia="宋体" w:cs="宋体"/>
          <w:b/>
          <w:sz w:val="24"/>
          <w:szCs w:val="24"/>
        </w:rPr>
        <w:t>7. 工程质量</w:t>
      </w:r>
      <w:bookmarkEnd w:id="138"/>
      <w:bookmarkEnd w:id="139"/>
      <w:bookmarkEnd w:id="140"/>
      <w:bookmarkEnd w:id="141"/>
      <w:bookmarkEnd w:id="14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3" w:name="_Toc296602536"/>
      <w:bookmarkStart w:id="144" w:name="_Toc246996292"/>
      <w:bookmarkStart w:id="145" w:name="_Toc246997035"/>
      <w:bookmarkStart w:id="146" w:name="_Toc247085807"/>
      <w:r>
        <w:rPr>
          <w:rFonts w:hint="eastAsia" w:ascii="宋体" w:hAnsi="宋体" w:eastAsia="宋体" w:cs="宋体"/>
          <w:b/>
          <w:sz w:val="24"/>
          <w:szCs w:val="24"/>
        </w:rPr>
        <w:t>7.1 工程质量要求</w:t>
      </w:r>
      <w:bookmarkEnd w:id="143"/>
      <w:bookmarkEnd w:id="144"/>
      <w:bookmarkEnd w:id="145"/>
      <w:bookmarkEnd w:id="14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工程质量验收按照合同约定的验收标准执行。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7" w:name="_Toc247085808"/>
      <w:bookmarkStart w:id="148" w:name="_Toc296602537"/>
      <w:bookmarkStart w:id="149" w:name="_Toc246996293"/>
      <w:bookmarkStart w:id="150" w:name="_Toc246997036"/>
      <w:r>
        <w:rPr>
          <w:rFonts w:hint="eastAsia" w:ascii="宋体" w:hAnsi="宋体" w:eastAsia="宋体" w:cs="宋体"/>
          <w:b/>
          <w:sz w:val="24"/>
          <w:szCs w:val="24"/>
        </w:rPr>
        <w:t>7.2 监理人的质量检查</w:t>
      </w:r>
      <w:bookmarkEnd w:id="147"/>
      <w:bookmarkEnd w:id="148"/>
      <w:bookmarkEnd w:id="149"/>
      <w:bookmarkEnd w:id="15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监理人有权对工程的所有部位及其施工工艺、材料和工程设备进行检查和检验。监理人的检查和检验，不免除承包人按合同约定应负的责任。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1" w:name="_Toc246997037"/>
      <w:bookmarkStart w:id="152" w:name="_Toc247085809"/>
      <w:bookmarkStart w:id="153" w:name="_Toc246996294"/>
      <w:bookmarkStart w:id="154" w:name="_Toc296602538"/>
      <w:r>
        <w:rPr>
          <w:rFonts w:hint="eastAsia" w:ascii="宋体" w:hAnsi="宋体" w:eastAsia="宋体" w:cs="宋体"/>
          <w:b/>
          <w:sz w:val="24"/>
          <w:szCs w:val="24"/>
        </w:rPr>
        <w:t>7.3 工程隐蔽部位覆盖前的检查</w:t>
      </w:r>
      <w:bookmarkEnd w:id="151"/>
      <w:bookmarkEnd w:id="152"/>
      <w:bookmarkEnd w:id="153"/>
      <w:bookmarkEnd w:id="15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可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承包人未通知监理人到场检查，私自将工程隐蔽部位覆盖的，监理人有权指示承包人钻孔探测或揭开检查，无论工程隐蔽部位质量是否合格，由此增加的费用和（或）工期延误由承包人承担。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5" w:name="_Toc296602539"/>
      <w:bookmarkStart w:id="156" w:name="_Toc247085810"/>
      <w:bookmarkStart w:id="157" w:name="_Toc246996295"/>
      <w:bookmarkStart w:id="158" w:name="_Toc246997038"/>
      <w:r>
        <w:rPr>
          <w:rFonts w:hint="eastAsia" w:ascii="宋体" w:hAnsi="宋体" w:eastAsia="宋体" w:cs="宋体"/>
          <w:b/>
          <w:sz w:val="24"/>
          <w:szCs w:val="24"/>
        </w:rPr>
        <w:t>7.4 清除不合格工程</w:t>
      </w:r>
      <w:bookmarkEnd w:id="155"/>
      <w:bookmarkEnd w:id="156"/>
      <w:bookmarkEnd w:id="157"/>
      <w:bookmarkEnd w:id="15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的材料、工程设备，或采用施工工艺不符合合同要求造成的任何缺陷，监理人可以随时发出指示，要求承包人立即采取措施进行补救，直至达到合同要求的质量标准，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9" w:name="_Toc246997039"/>
      <w:bookmarkStart w:id="160" w:name="_Toc246996296"/>
      <w:bookmarkStart w:id="161" w:name="_Toc296602540"/>
      <w:bookmarkStart w:id="162" w:name="_Toc247085811"/>
      <w:r>
        <w:rPr>
          <w:rFonts w:hint="eastAsia" w:ascii="宋体" w:hAnsi="宋体" w:eastAsia="宋体" w:cs="宋体"/>
          <w:b/>
          <w:sz w:val="24"/>
          <w:szCs w:val="24"/>
        </w:rPr>
        <w:t>8. 试验和检验</w:t>
      </w:r>
      <w:bookmarkEnd w:id="159"/>
      <w:bookmarkEnd w:id="160"/>
      <w:bookmarkEnd w:id="161"/>
      <w:bookmarkEnd w:id="16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3" w:name="_Toc296602541"/>
      <w:r>
        <w:rPr>
          <w:rFonts w:hint="eastAsia" w:ascii="宋体" w:hAnsi="宋体" w:eastAsia="宋体" w:cs="宋体"/>
          <w:b/>
          <w:sz w:val="24"/>
          <w:szCs w:val="24"/>
        </w:rPr>
        <w:t>8.1 材料、工程设备和工程的试验和检验</w:t>
      </w:r>
      <w:bookmarkEnd w:id="16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8.1.2 监理人未按合同约定派员参加试验和检验的，除监理人另有指示外，承包人可自行试验和检验，并应立即将试验和检验结果报送监理人，监理人应签字确认。</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4" w:name="_Toc296602542"/>
      <w:r>
        <w:rPr>
          <w:rFonts w:hint="eastAsia" w:ascii="宋体" w:hAnsi="宋体" w:eastAsia="宋体" w:cs="宋体"/>
          <w:b/>
          <w:sz w:val="24"/>
          <w:szCs w:val="24"/>
        </w:rPr>
        <w:t>8.2 现场材料试验</w:t>
      </w:r>
      <w:bookmarkEnd w:id="1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8.2.1 承包人根据合同约定或监理人指示进行的现场材料试验，应由承包人提供试验场所、试验人员、试验设备器材以及其他必要的试验条件。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8.2.2 监理人在必要时可以使用承包人的试验场所、试验设备器材以及其他试验条件，进行以工程质量检查为目的的复核性材料试验，承包人应予以协助。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5" w:name="_Toc184635112"/>
      <w:bookmarkStart w:id="166" w:name="_Toc246996297"/>
      <w:bookmarkStart w:id="167" w:name="_Toc247085812"/>
      <w:bookmarkStart w:id="168" w:name="_Toc246997040"/>
      <w:bookmarkStart w:id="169" w:name="_Toc296602543"/>
      <w:r>
        <w:rPr>
          <w:rFonts w:hint="eastAsia" w:ascii="宋体" w:hAnsi="宋体" w:eastAsia="宋体" w:cs="宋体"/>
          <w:b/>
          <w:sz w:val="24"/>
          <w:szCs w:val="24"/>
        </w:rPr>
        <w:t>9. 变更</w:t>
      </w:r>
      <w:bookmarkEnd w:id="165"/>
      <w:bookmarkEnd w:id="166"/>
      <w:bookmarkEnd w:id="167"/>
      <w:bookmarkEnd w:id="168"/>
      <w:bookmarkEnd w:id="16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0" w:name="_Toc246997041"/>
      <w:bookmarkStart w:id="171" w:name="_Toc247085813"/>
      <w:bookmarkStart w:id="172" w:name="_Toc246996298"/>
      <w:bookmarkStart w:id="173" w:name="_Toc296602544"/>
      <w:r>
        <w:rPr>
          <w:rFonts w:hint="eastAsia" w:ascii="宋体" w:hAnsi="宋体" w:eastAsia="宋体" w:cs="宋体"/>
          <w:b/>
          <w:sz w:val="24"/>
          <w:szCs w:val="24"/>
        </w:rPr>
        <w:t>9.1 变更权</w:t>
      </w:r>
      <w:bookmarkEnd w:id="170"/>
      <w:bookmarkEnd w:id="171"/>
      <w:bookmarkEnd w:id="172"/>
      <w:bookmarkEnd w:id="17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在履行合同过程中，经发包人同意，监理人可按第9.2款约定的变更程序向承包人作出变更指示，承包人应遵照执行。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4" w:name="_Toc296602545"/>
      <w:bookmarkStart w:id="175" w:name="_Toc246997042"/>
      <w:bookmarkStart w:id="176" w:name="_Toc247085814"/>
      <w:bookmarkStart w:id="177" w:name="_Toc246996299"/>
      <w:r>
        <w:rPr>
          <w:rFonts w:hint="eastAsia" w:ascii="宋体" w:hAnsi="宋体" w:eastAsia="宋体" w:cs="宋体"/>
          <w:b/>
          <w:sz w:val="24"/>
          <w:szCs w:val="24"/>
        </w:rPr>
        <w:t>9.2 变更程序</w:t>
      </w:r>
      <w:bookmarkEnd w:id="174"/>
      <w:bookmarkEnd w:id="175"/>
      <w:bookmarkEnd w:id="176"/>
      <w:bookmarkEnd w:id="17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承包人应在收到变更指示14天内，向监理人提交变更报价书。监理人应审查，并在收到承包人变更报价书后14天内，与发包人和承包人共同商定此估价。在未达成协议的情况下，监理人应确定该估价。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8" w:name="_Toc247085815"/>
      <w:bookmarkStart w:id="179" w:name="_Toc246997043"/>
      <w:bookmarkStart w:id="180" w:name="_Toc296602546"/>
      <w:bookmarkStart w:id="181" w:name="_Toc246996300"/>
      <w:r>
        <w:rPr>
          <w:rFonts w:hint="eastAsia" w:ascii="宋体" w:hAnsi="宋体" w:eastAsia="宋体" w:cs="宋体"/>
          <w:b/>
          <w:sz w:val="24"/>
          <w:szCs w:val="24"/>
        </w:rPr>
        <w:t>9.3 变更的估价原则</w:t>
      </w:r>
      <w:bookmarkEnd w:id="178"/>
      <w:bookmarkEnd w:id="179"/>
      <w:bookmarkEnd w:id="180"/>
      <w:bookmarkEnd w:id="1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除专用合同条款另有约定外，因变更引起的价格调整按照本款约定处理：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（1）已标价工程量清单中有适用于变更工作的子目的，采用该子目的单价；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（2）已标价工程量清单中无适用于变更工作的子目，但有类似子目的，可在合理范围内参照类似项目，由监理人按第3.5款商定或确定变更工作的单价；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（3）已标价工程量清单中无适用或类似子目的单价，可按照成本加利润的原则，由监理人按第3.5款商定或确定变更工作的单价。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2" w:name="_Toc296602547"/>
      <w:bookmarkStart w:id="183" w:name="_Toc246997044"/>
      <w:bookmarkStart w:id="184" w:name="_Toc247085816"/>
      <w:bookmarkStart w:id="185" w:name="_Toc246996301"/>
      <w:r>
        <w:rPr>
          <w:rFonts w:hint="eastAsia" w:ascii="宋体" w:hAnsi="宋体" w:eastAsia="宋体" w:cs="宋体"/>
          <w:b/>
          <w:sz w:val="24"/>
          <w:szCs w:val="24"/>
        </w:rPr>
        <w:t>9.4 暂列金额</w:t>
      </w:r>
      <w:bookmarkEnd w:id="182"/>
      <w:bookmarkEnd w:id="183"/>
      <w:bookmarkEnd w:id="184"/>
      <w:bookmarkEnd w:id="18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暂列金额只能按照监理人的指示使用，并对合同价格进行相应调整。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6" w:name="_Toc296602548"/>
      <w:bookmarkStart w:id="187" w:name="_Toc246997045"/>
      <w:bookmarkStart w:id="188" w:name="_Toc247085817"/>
      <w:bookmarkStart w:id="189" w:name="_Toc246996302"/>
      <w:r>
        <w:rPr>
          <w:rFonts w:hint="eastAsia" w:ascii="宋体" w:hAnsi="宋体" w:eastAsia="宋体" w:cs="宋体"/>
          <w:b/>
          <w:sz w:val="24"/>
          <w:szCs w:val="24"/>
        </w:rPr>
        <w:t>9.5 计日工</w:t>
      </w:r>
      <w:bookmarkEnd w:id="186"/>
      <w:bookmarkEnd w:id="187"/>
      <w:bookmarkEnd w:id="188"/>
      <w:bookmarkEnd w:id="18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9.5.1 发包人认为有必要时，由监理人通知承包人以计日工方式实施变更的零星工作。其价款按列入已标价工程量清单中的计日工计价子目及其单价进行计算。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9.5.2 采用计日工计价的任何一项变更工作，应从暂列金额中支付，承包人应在该项变更的实施过程中，每天提交以下报表和有关凭证报送监理人审批：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（l）工作名称、内容和数量；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（2）投入该工作所有人员的姓名、工种、级别和耗用工时；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（3）投入该工作的材料类别和数量；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（4）投入该工作的施工设备型号、台数和耗用台时；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（5）监理人要求提交的其他资料和凭证。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9.5.3 计日工由承包人汇总后，按第10.3款的约定列入进度付款申请单，由监理人复核并经发包人同意后列入进度付款。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0" w:name="_Toc246996304"/>
      <w:bookmarkStart w:id="191" w:name="_Toc246997047"/>
      <w:bookmarkStart w:id="192" w:name="_Toc247085819"/>
      <w:bookmarkStart w:id="193" w:name="_Toc296602549"/>
      <w:bookmarkStart w:id="194" w:name="_Toc184635114"/>
      <w:r>
        <w:rPr>
          <w:rFonts w:hint="eastAsia" w:ascii="宋体" w:hAnsi="宋体" w:eastAsia="宋体" w:cs="宋体"/>
          <w:b/>
          <w:sz w:val="24"/>
          <w:szCs w:val="24"/>
        </w:rPr>
        <w:t>10. 计量与支付</w:t>
      </w:r>
      <w:bookmarkEnd w:id="190"/>
      <w:bookmarkEnd w:id="191"/>
      <w:bookmarkEnd w:id="192"/>
      <w:bookmarkEnd w:id="193"/>
      <w:bookmarkEnd w:id="194"/>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5" w:name="_Toc246996305"/>
      <w:bookmarkStart w:id="196" w:name="_Toc247085820"/>
      <w:bookmarkStart w:id="197" w:name="_Toc296602550"/>
      <w:bookmarkStart w:id="198" w:name="_Toc246997048"/>
      <w:r>
        <w:rPr>
          <w:rFonts w:hint="eastAsia" w:ascii="宋体" w:hAnsi="宋体" w:eastAsia="宋体" w:cs="宋体"/>
          <w:b/>
          <w:sz w:val="24"/>
          <w:szCs w:val="24"/>
        </w:rPr>
        <w:t>10.1 计量</w:t>
      </w:r>
      <w:bookmarkEnd w:id="195"/>
      <w:bookmarkEnd w:id="196"/>
      <w:bookmarkEnd w:id="197"/>
      <w:bookmarkEnd w:id="19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9" w:name="_Toc246997049"/>
      <w:bookmarkStart w:id="200" w:name="_Toc246996306"/>
      <w:bookmarkStart w:id="201" w:name="_Toc247085821"/>
      <w:bookmarkStart w:id="202" w:name="_Toc296602551"/>
      <w:r>
        <w:rPr>
          <w:rFonts w:hint="eastAsia" w:ascii="宋体" w:hAnsi="宋体" w:eastAsia="宋体" w:cs="宋体"/>
          <w:b/>
          <w:sz w:val="24"/>
          <w:szCs w:val="24"/>
        </w:rPr>
        <w:t>10.2 预付款</w:t>
      </w:r>
      <w:bookmarkEnd w:id="199"/>
      <w:bookmarkEnd w:id="200"/>
      <w:bookmarkEnd w:id="201"/>
      <w:bookmarkEnd w:id="20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预付款用于承包人为合同工程施工购置材料、工程设备、施工设备、修建临时设施以及组织施工队伍进场等。预付款的额度、预付办法，以及扣回与还清办法在专用合同条款中约定。预付款必须专用于合同工程。</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3" w:name="_Toc246996307"/>
      <w:bookmarkStart w:id="204" w:name="_Toc247085822"/>
      <w:bookmarkStart w:id="205" w:name="_Toc296602552"/>
      <w:bookmarkStart w:id="206" w:name="_Toc246997050"/>
      <w:r>
        <w:rPr>
          <w:rFonts w:hint="eastAsia" w:ascii="宋体" w:hAnsi="宋体" w:eastAsia="宋体" w:cs="宋体"/>
          <w:b/>
          <w:sz w:val="24"/>
          <w:szCs w:val="24"/>
        </w:rPr>
        <w:t>10.3 工程进度付款</w:t>
      </w:r>
      <w:bookmarkEnd w:id="203"/>
      <w:bookmarkEnd w:id="204"/>
      <w:bookmarkEnd w:id="205"/>
      <w:bookmarkEnd w:id="20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（1）截至本次付款周期末已实施工程的合同价款；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（2）根据第9条应增加和扣减的变更金额；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（3）根据第16条应增加和扣减的索赔金额；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（4）根据第10.2款应支付的预付款和扣减的返还预付款；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（5）根据第10.4款应扣减的质量保证金；</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（6）根据合同应增加和扣减的其他金额。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收到承包人进度付款申请单以及相应的支持性证明文件后的7天内完成核查，并向承包人出具经发包人签认的付款证书。发包人应在监理人收到进度付款申请单的14天内将进度应付款支付给承包人。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7" w:name="_Toc246997051"/>
      <w:bookmarkStart w:id="208" w:name="_Toc296602553"/>
      <w:bookmarkStart w:id="209" w:name="_Toc246996308"/>
      <w:bookmarkStart w:id="210" w:name="_Toc247085823"/>
      <w:r>
        <w:rPr>
          <w:rFonts w:hint="eastAsia" w:ascii="宋体" w:hAnsi="宋体" w:eastAsia="宋体" w:cs="宋体"/>
          <w:b/>
          <w:sz w:val="24"/>
          <w:szCs w:val="24"/>
        </w:rPr>
        <w:t>10.4 质量保证金</w:t>
      </w:r>
      <w:bookmarkEnd w:id="207"/>
      <w:bookmarkEnd w:id="208"/>
      <w:bookmarkEnd w:id="209"/>
      <w:bookmarkEnd w:id="210"/>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监理人应从第一个付款周期开始，在发包人的进度付款中，按专用合同条款的约定扣留质量保证金，直至扣留的质量保证金总额达到专用合同条款约定的金额或比例为止。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1" w:name="_Toc246996309"/>
      <w:bookmarkStart w:id="212" w:name="_Toc246997052"/>
      <w:bookmarkStart w:id="213" w:name="_Toc296602554"/>
      <w:bookmarkStart w:id="214" w:name="_Toc247085824"/>
      <w:r>
        <w:rPr>
          <w:rFonts w:hint="eastAsia" w:ascii="宋体" w:hAnsi="宋体" w:eastAsia="宋体" w:cs="宋体"/>
          <w:b/>
          <w:sz w:val="24"/>
          <w:szCs w:val="24"/>
        </w:rPr>
        <w:t>10.5 竣工结算</w:t>
      </w:r>
      <w:bookmarkEnd w:id="211"/>
      <w:bookmarkEnd w:id="212"/>
      <w:bookmarkEnd w:id="213"/>
      <w:bookmarkEnd w:id="21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10.5.1 除专用合同条款另有约定外，竣工结算价格不因物价波动和法律变化而调整。</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10.5.2工程接收证书颁发后，承包人应按专用合同条款约定的份数和期限向监理人提交竣工付款申请单，并提供相关证明材料。监理人应当在收到竣工结算申请单的7天内完成核查、准备竣工付款证书并送发包人审核，发包人应在收到后14天内提出具体意见或签认竣工付款证书，并在监理人收到竣工结算申请单的28天内将应付款支付给承包人。发包人未在约定时间内审核并提出具体意见或者签认竣工付款证书的，视为同意承包人提出的竣工付款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10.5.3竣工付款涉及政府投资资金的，按照国库集中支付等国家相关规定和专用合同条款的约定执行。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5" w:name="_Toc296602555"/>
      <w:bookmarkStart w:id="216" w:name="_Toc246996310"/>
      <w:bookmarkStart w:id="217" w:name="_Toc246997053"/>
      <w:bookmarkStart w:id="218" w:name="_Toc247085825"/>
      <w:r>
        <w:rPr>
          <w:rFonts w:hint="eastAsia" w:ascii="宋体" w:hAnsi="宋体" w:eastAsia="宋体" w:cs="宋体"/>
          <w:b/>
          <w:sz w:val="24"/>
          <w:szCs w:val="24"/>
        </w:rPr>
        <w:t>10.6 付款延误</w:t>
      </w:r>
      <w:bookmarkEnd w:id="215"/>
      <w:bookmarkEnd w:id="216"/>
      <w:bookmarkEnd w:id="217"/>
      <w:bookmarkEnd w:id="2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发包人不按期支付的，按专用合同条款的约定支付逾期付款违约金。</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9" w:name="_Toc246997054"/>
      <w:bookmarkStart w:id="220" w:name="_Toc296602556"/>
      <w:bookmarkStart w:id="221" w:name="_Toc247085826"/>
      <w:bookmarkStart w:id="222" w:name="_Toc246996311"/>
      <w:bookmarkStart w:id="223" w:name="_Toc184635115"/>
      <w:r>
        <w:rPr>
          <w:rFonts w:hint="eastAsia" w:ascii="宋体" w:hAnsi="宋体" w:eastAsia="宋体" w:cs="宋体"/>
          <w:b/>
          <w:sz w:val="24"/>
          <w:szCs w:val="24"/>
        </w:rPr>
        <w:t>11. 竣工验收</w:t>
      </w:r>
      <w:bookmarkEnd w:id="219"/>
      <w:bookmarkEnd w:id="220"/>
      <w:bookmarkEnd w:id="221"/>
      <w:bookmarkEnd w:id="222"/>
      <w:bookmarkEnd w:id="223"/>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4" w:name="_Toc296602557"/>
      <w:bookmarkStart w:id="225" w:name="_Toc246996312"/>
      <w:bookmarkStart w:id="226" w:name="_Toc247085827"/>
      <w:bookmarkStart w:id="227" w:name="_Toc246997055"/>
      <w:r>
        <w:rPr>
          <w:rFonts w:hint="eastAsia" w:ascii="宋体" w:hAnsi="宋体" w:eastAsia="宋体" w:cs="宋体"/>
          <w:b/>
          <w:sz w:val="24"/>
          <w:szCs w:val="24"/>
        </w:rPr>
        <w:t>11.1 竣工验收的含义</w:t>
      </w:r>
      <w:bookmarkEnd w:id="2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11.1.1 竣工验收是指承包人完成了全部合同工作后，发包人按合同要求进行的验收。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11.1.2 需要进行国家验收的，竣工验收是国家验收的一部分。竣工验收所采用的各项验收和评定标准应符合国家验收标准。发包人和承包人为竣工验收提供的各项竣工验收资料应符合国家验收的要求。</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8" w:name="_Toc296602558"/>
      <w:r>
        <w:rPr>
          <w:rFonts w:hint="eastAsia" w:ascii="宋体" w:hAnsi="宋体" w:eastAsia="宋体" w:cs="宋体"/>
          <w:b/>
          <w:sz w:val="24"/>
          <w:szCs w:val="24"/>
        </w:rPr>
        <w:t>11.2 竣工验收申请报告</w:t>
      </w:r>
      <w:bookmarkEnd w:id="225"/>
      <w:bookmarkEnd w:id="226"/>
      <w:bookmarkEnd w:id="227"/>
      <w:bookmarkEnd w:id="22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当工程具备竣工条件时，承包人即可向监理人报送竣工验收申请报告。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9" w:name="_Toc296602559"/>
      <w:bookmarkStart w:id="230" w:name="_Toc246997056"/>
      <w:bookmarkStart w:id="231" w:name="_Toc247085828"/>
      <w:bookmarkStart w:id="232" w:name="_Toc246996313"/>
      <w:r>
        <w:rPr>
          <w:rFonts w:hint="eastAsia" w:ascii="宋体" w:hAnsi="宋体" w:eastAsia="宋体" w:cs="宋体"/>
          <w:b/>
          <w:sz w:val="24"/>
          <w:szCs w:val="24"/>
        </w:rPr>
        <w:t>11.3 竣工和验收</w:t>
      </w:r>
      <w:bookmarkEnd w:id="229"/>
      <w:bookmarkEnd w:id="230"/>
      <w:bookmarkEnd w:id="231"/>
      <w:bookmarkEnd w:id="23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监理人审查后认为具备竣工验收条件的，提请发包人进行工程验收。发包人经过验收后同意接收工程的，由监理人向承包人出具经发包人签认的工程接收证书。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除专用合同条款另有约定外，经验收合格工程的实际竣工日期，以提交竣工验收申请报告的日期为准，并在工程接收证书中写明。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3" w:name="_Toc246997057"/>
      <w:bookmarkStart w:id="234" w:name="_Toc296602560"/>
      <w:bookmarkStart w:id="235" w:name="_Toc247085829"/>
      <w:bookmarkStart w:id="236" w:name="_Toc246996314"/>
      <w:r>
        <w:rPr>
          <w:rFonts w:hint="eastAsia" w:ascii="宋体" w:hAnsi="宋体" w:eastAsia="宋体" w:cs="宋体"/>
          <w:b/>
          <w:sz w:val="24"/>
          <w:szCs w:val="24"/>
        </w:rPr>
        <w:t>11.4 试运行</w:t>
      </w:r>
      <w:bookmarkEnd w:id="233"/>
      <w:bookmarkEnd w:id="234"/>
      <w:bookmarkEnd w:id="235"/>
      <w:bookmarkEnd w:id="2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除专用合同条款另有约定外，承包人应按专用合同条款约定进行工程及工程设备试运行，负责提供试运行所需的人员、器材和必要的条件，并承担全部试运行费用。</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7" w:name="_Toc246997058"/>
      <w:bookmarkStart w:id="238" w:name="_Toc246996315"/>
      <w:bookmarkStart w:id="239" w:name="_Toc247085830"/>
      <w:bookmarkStart w:id="240" w:name="_Toc296602561"/>
      <w:r>
        <w:rPr>
          <w:rFonts w:hint="eastAsia" w:ascii="宋体" w:hAnsi="宋体" w:eastAsia="宋体" w:cs="宋体"/>
          <w:b/>
          <w:sz w:val="24"/>
          <w:szCs w:val="24"/>
        </w:rPr>
        <w:t>11.5 竣工清场</w:t>
      </w:r>
      <w:bookmarkEnd w:id="237"/>
      <w:bookmarkEnd w:id="238"/>
      <w:bookmarkEnd w:id="239"/>
      <w:bookmarkEnd w:id="24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除合同另有约定外，工程接收证书颁发后，承包人应对施工场地进行清理，直至监理人检验合格为止。竣工清场费用由承包人承担。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1" w:name="_Toc184635116"/>
      <w:bookmarkStart w:id="242" w:name="_Toc246997059"/>
      <w:bookmarkStart w:id="243" w:name="_Toc246996316"/>
      <w:bookmarkStart w:id="244" w:name="_Toc296602562"/>
      <w:bookmarkStart w:id="245" w:name="_Toc247085831"/>
      <w:r>
        <w:rPr>
          <w:rFonts w:hint="eastAsia" w:ascii="宋体" w:hAnsi="宋体" w:eastAsia="宋体" w:cs="宋体"/>
          <w:b/>
          <w:sz w:val="24"/>
          <w:szCs w:val="24"/>
        </w:rPr>
        <w:t>12. 缺陷责任与保修责任</w:t>
      </w:r>
      <w:bookmarkEnd w:id="241"/>
      <w:bookmarkEnd w:id="242"/>
      <w:bookmarkEnd w:id="243"/>
      <w:bookmarkEnd w:id="244"/>
      <w:bookmarkEnd w:id="245"/>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6" w:name="_Toc246996317"/>
      <w:bookmarkStart w:id="247" w:name="_Toc247085832"/>
      <w:bookmarkStart w:id="248" w:name="_Toc246997060"/>
      <w:bookmarkStart w:id="249" w:name="_Toc296602563"/>
      <w:r>
        <w:rPr>
          <w:rFonts w:hint="eastAsia" w:ascii="宋体" w:hAnsi="宋体" w:eastAsia="宋体" w:cs="宋体"/>
          <w:b/>
          <w:sz w:val="24"/>
          <w:szCs w:val="24"/>
        </w:rPr>
        <w:t>12.1 缺陷责任</w:t>
      </w:r>
      <w:bookmarkEnd w:id="246"/>
      <w:bookmarkEnd w:id="247"/>
      <w:bookmarkEnd w:id="248"/>
      <w:bookmarkEnd w:id="24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缺陷责任自实际竣工日期起计算。在缺陷责任期内，已交付的工程由于承包人的材料、设备或工艺不符合合同要求所产生的缺陷，修补费用由承包人承担。由于承包人原因造成某项缺陷或损坏使某项工程或工程设备不能按原定目标使用而需要再次检查、检验和修复的，发包人有权要求承包人相应延长缺陷责任期，但缺陷责任期最长不超过2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0" w:name="_Toc246996318"/>
      <w:bookmarkStart w:id="251" w:name="_Toc246997061"/>
      <w:bookmarkStart w:id="252" w:name="_Toc296602564"/>
      <w:bookmarkStart w:id="253" w:name="_Toc247085833"/>
      <w:r>
        <w:rPr>
          <w:rFonts w:hint="eastAsia" w:ascii="宋体" w:hAnsi="宋体" w:eastAsia="宋体" w:cs="宋体"/>
          <w:b/>
          <w:sz w:val="24"/>
          <w:szCs w:val="24"/>
        </w:rPr>
        <w:t>12.2 保修责任</w:t>
      </w:r>
      <w:bookmarkEnd w:id="250"/>
      <w:bookmarkEnd w:id="251"/>
      <w:bookmarkEnd w:id="252"/>
      <w:bookmarkEnd w:id="25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合同当事人根据有关法律规定，在专用合同条款中约定工程质量保修范围、期限和责任。保修期自实际竣工日期起计算。</w:t>
      </w:r>
      <w:bookmarkStart w:id="254" w:name="_Toc184635117"/>
      <w:bookmarkStart w:id="255" w:name="_Toc247085834"/>
      <w:bookmarkStart w:id="256" w:name="_Toc246996319"/>
      <w:bookmarkStart w:id="257" w:name="_Toc24699706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8" w:name="_Toc296602565"/>
      <w:r>
        <w:rPr>
          <w:rFonts w:hint="eastAsia" w:ascii="宋体" w:hAnsi="宋体" w:eastAsia="宋体" w:cs="宋体"/>
          <w:b/>
          <w:sz w:val="24"/>
          <w:szCs w:val="24"/>
        </w:rPr>
        <w:t>13. 保险</w:t>
      </w:r>
      <w:bookmarkEnd w:id="254"/>
      <w:bookmarkEnd w:id="255"/>
      <w:bookmarkEnd w:id="256"/>
      <w:bookmarkEnd w:id="257"/>
      <w:bookmarkEnd w:id="25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9" w:name="_Toc246996320"/>
      <w:bookmarkStart w:id="260" w:name="_Toc246997063"/>
      <w:bookmarkStart w:id="261" w:name="_Toc247085835"/>
      <w:bookmarkStart w:id="262" w:name="_Toc296602566"/>
      <w:r>
        <w:rPr>
          <w:rFonts w:hint="eastAsia" w:ascii="宋体" w:hAnsi="宋体" w:eastAsia="宋体" w:cs="宋体"/>
          <w:b/>
          <w:sz w:val="24"/>
          <w:szCs w:val="24"/>
        </w:rPr>
        <w:t>13.1 保险范围</w:t>
      </w:r>
      <w:bookmarkEnd w:id="259"/>
      <w:bookmarkEnd w:id="260"/>
      <w:bookmarkEnd w:id="261"/>
      <w:bookmarkEnd w:id="26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13.1.2承包人应依照有关法律规定参加工伤保险和人身意外伤害险，为其履行合同所雇佣的全部人员，缴纳工伤保险费和人身意外伤害险费。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13.1.3发包人应依照有关法律规定参加工伤保险和人身意外伤害险，为其现场机构雇佣的全部人员，缴纳工伤保险费和人身意外伤害险费，并要求其监理人也进行此类保险。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63" w:name="_Toc247085836"/>
      <w:bookmarkStart w:id="264" w:name="_Toc246996321"/>
      <w:bookmarkStart w:id="265" w:name="_Toc246997064"/>
      <w:r>
        <w:rPr>
          <w:rFonts w:hint="eastAsia" w:ascii="宋体" w:hAnsi="宋体" w:eastAsia="宋体" w:cs="宋体"/>
          <w:b/>
          <w:sz w:val="24"/>
          <w:szCs w:val="24"/>
        </w:rPr>
        <w:t xml:space="preserve"> </w:t>
      </w:r>
      <w:bookmarkStart w:id="266" w:name="_Toc296602567"/>
      <w:bookmarkStart w:id="267" w:name="_Toc450569923"/>
      <w:r>
        <w:rPr>
          <w:rFonts w:hint="eastAsia" w:ascii="宋体" w:hAnsi="宋体" w:eastAsia="宋体" w:cs="宋体"/>
          <w:b/>
          <w:sz w:val="24"/>
          <w:szCs w:val="24"/>
        </w:rPr>
        <w:t>13.2 未办理保险</w:t>
      </w:r>
      <w:bookmarkEnd w:id="263"/>
      <w:bookmarkEnd w:id="264"/>
      <w:bookmarkEnd w:id="265"/>
      <w:bookmarkEnd w:id="266"/>
      <w:bookmarkEnd w:id="26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268" w:name="_Toc184635118"/>
      <w:r>
        <w:rPr>
          <w:rFonts w:hint="eastAsia" w:ascii="宋体" w:hAnsi="宋体" w:eastAsia="宋体" w:cs="宋体"/>
          <w:sz w:val="24"/>
          <w:szCs w:val="24"/>
        </w:rPr>
        <w:t>13.2.1由于负有投保义务的一方当事人未按合同约定办理保险，或未能使保险持续有效的，另一方当事人可代为办理，所需费用由对方当事人承担。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13.2.2由于负有投保义务的一方当事人未按合同约定办理某项保险，导致受益人未能得到保险人的赔偿，原应从该项保险得到的保险金应由负有投保义务的一方当事人支付。</w:t>
      </w:r>
    </w:p>
    <w:bookmarkEnd w:id="268"/>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69" w:name="_Toc247527781"/>
      <w:bookmarkStart w:id="270" w:name="_Toc247514180"/>
      <w:bookmarkStart w:id="271" w:name="_Toc271821895"/>
      <w:bookmarkStart w:id="272" w:name="_Toc296602568"/>
      <w:bookmarkStart w:id="273" w:name="_Toc184635119"/>
      <w:bookmarkStart w:id="274" w:name="_Toc246996322"/>
      <w:bookmarkStart w:id="275" w:name="_Toc247085837"/>
      <w:bookmarkStart w:id="276" w:name="_Toc246997065"/>
      <w:r>
        <w:rPr>
          <w:rFonts w:hint="eastAsia" w:ascii="宋体" w:hAnsi="宋体" w:eastAsia="宋体" w:cs="宋体"/>
          <w:b/>
          <w:sz w:val="24"/>
          <w:szCs w:val="24"/>
        </w:rPr>
        <w:t>14. 不可抗力</w:t>
      </w:r>
      <w:bookmarkEnd w:id="269"/>
      <w:bookmarkEnd w:id="270"/>
      <w:bookmarkEnd w:id="271"/>
      <w:bookmarkEnd w:id="27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77" w:name="_Toc247514181"/>
      <w:bookmarkStart w:id="278" w:name="_Toc271821896"/>
      <w:bookmarkStart w:id="279" w:name="_Toc296602569"/>
      <w:bookmarkStart w:id="280" w:name="_Toc247527782"/>
      <w:bookmarkStart w:id="281" w:name="_Toc450569924"/>
      <w:r>
        <w:rPr>
          <w:rFonts w:hint="eastAsia" w:ascii="宋体" w:hAnsi="宋体" w:eastAsia="宋体" w:cs="宋体"/>
          <w:b/>
          <w:sz w:val="24"/>
          <w:szCs w:val="24"/>
        </w:rPr>
        <w:t>14.1 不可抗力的确认</w:t>
      </w:r>
      <w:bookmarkEnd w:id="277"/>
      <w:bookmarkEnd w:id="278"/>
      <w:bookmarkEnd w:id="279"/>
      <w:bookmarkEnd w:id="280"/>
      <w:bookmarkEnd w:id="2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14.1.1 不可抗力是指承包人和发包人在订立合同时不可预见，在履行合同过程中不可避免发生并不能克服的自然灾害和社会性突发事件，如地震、海啸、瘟疫、水灾、骚乱、暴动、战争和专用合同条款约定的其他情形。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82" w:name="_Toc296602570"/>
      <w:bookmarkStart w:id="283" w:name="_Toc450569925"/>
      <w:bookmarkStart w:id="284" w:name="_Toc247514182"/>
      <w:bookmarkStart w:id="285" w:name="_Toc271821897"/>
      <w:bookmarkStart w:id="286" w:name="_Toc247527783"/>
      <w:r>
        <w:rPr>
          <w:rFonts w:hint="eastAsia" w:ascii="宋体" w:hAnsi="宋体" w:eastAsia="宋体" w:cs="宋体"/>
          <w:b/>
          <w:sz w:val="24"/>
          <w:szCs w:val="24"/>
        </w:rPr>
        <w:t>14.2 不可抗力的通知</w:t>
      </w:r>
      <w:bookmarkEnd w:id="282"/>
      <w:bookmarkEnd w:id="283"/>
      <w:bookmarkEnd w:id="284"/>
      <w:bookmarkEnd w:id="285"/>
      <w:bookmarkEnd w:id="28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87" w:name="_Toc247514183"/>
      <w:bookmarkStart w:id="288" w:name="_Toc296602571"/>
      <w:bookmarkStart w:id="289" w:name="_Toc450569926"/>
      <w:bookmarkStart w:id="290" w:name="_Toc271821898"/>
      <w:bookmarkStart w:id="291" w:name="_Toc247527784"/>
      <w:r>
        <w:rPr>
          <w:rFonts w:hint="eastAsia" w:ascii="宋体" w:hAnsi="宋体" w:eastAsia="宋体" w:cs="宋体"/>
          <w:b/>
          <w:sz w:val="24"/>
          <w:szCs w:val="24"/>
        </w:rPr>
        <w:t>14.3 不可抗力后果及其处理</w:t>
      </w:r>
      <w:bookmarkEnd w:id="287"/>
      <w:bookmarkEnd w:id="288"/>
      <w:bookmarkEnd w:id="289"/>
      <w:bookmarkEnd w:id="290"/>
      <w:bookmarkEnd w:id="29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除专用合同条款另有约定外，不可抗力导致的人员伤亡、财产损失、费用增加和（或）工期延误等后果，由合同双方按以下原则承担：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（1）永久工程，包括已运至施工场地的材料和工程设备的损害，以及因工程损害造成的第三者人员伤亡和财产损失由发包人承担；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（2）承包人设备的损坏由承包人承担；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（3）发包人和承包人各自承担其人员伤亡和其他财产损失及其相关费用；</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（4）承包人的停工损失由承包人承担，但停工期间应监理人要求照管工程和清理、修复工程的金额由发包人承担；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（5）不能按期竣工的，应合理延长工期，承包人不需支付逾期竣工违约金。发包人要求赶工的，承包人应采取赶工措施，赶工费用由发包人承担。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2" w:name="_Toc296602572"/>
      <w:r>
        <w:rPr>
          <w:rFonts w:hint="eastAsia" w:ascii="宋体" w:hAnsi="宋体" w:eastAsia="宋体" w:cs="宋体"/>
          <w:b/>
          <w:sz w:val="24"/>
          <w:szCs w:val="24"/>
        </w:rPr>
        <w:t>15. 违约</w:t>
      </w:r>
      <w:bookmarkEnd w:id="273"/>
      <w:bookmarkEnd w:id="274"/>
      <w:bookmarkEnd w:id="275"/>
      <w:bookmarkEnd w:id="276"/>
      <w:bookmarkEnd w:id="29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3" w:name="_Toc246996323"/>
      <w:bookmarkStart w:id="294" w:name="_Toc246997066"/>
      <w:bookmarkStart w:id="295" w:name="_Toc247085838"/>
      <w:bookmarkStart w:id="296" w:name="_Toc450569927"/>
      <w:bookmarkStart w:id="297" w:name="_Toc296602573"/>
      <w:r>
        <w:rPr>
          <w:rFonts w:hint="eastAsia" w:ascii="宋体" w:hAnsi="宋体" w:eastAsia="宋体" w:cs="宋体"/>
          <w:b/>
          <w:sz w:val="24"/>
          <w:szCs w:val="24"/>
        </w:rPr>
        <w:t>15.1 承包人违约</w:t>
      </w:r>
      <w:bookmarkEnd w:id="293"/>
      <w:bookmarkEnd w:id="294"/>
      <w:bookmarkEnd w:id="295"/>
      <w:bookmarkEnd w:id="296"/>
      <w:bookmarkEnd w:id="29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15.1.1 如果承包人拒绝或未能遵守监理人的指示，或未能按合同进度计划及时完成合同约定的工作，已造成或预期造成工期延误，或违反合同不顾书面警告，监理人可发出通知，告知承包人违约。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15.1.2 如果承包人在收到监理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8" w:name="_Toc246996324"/>
      <w:bookmarkStart w:id="299" w:name="_Toc246997067"/>
      <w:bookmarkStart w:id="300" w:name="_Toc296602574"/>
      <w:bookmarkStart w:id="301" w:name="_Toc247085839"/>
      <w:bookmarkStart w:id="302" w:name="_Toc450569928"/>
      <w:r>
        <w:rPr>
          <w:rFonts w:hint="eastAsia" w:ascii="宋体" w:hAnsi="宋体" w:eastAsia="宋体" w:cs="宋体"/>
          <w:b/>
          <w:sz w:val="24"/>
          <w:szCs w:val="24"/>
        </w:rPr>
        <w:t>15.2 发包人违约</w:t>
      </w:r>
      <w:bookmarkEnd w:id="298"/>
      <w:bookmarkEnd w:id="299"/>
      <w:bookmarkEnd w:id="300"/>
      <w:bookmarkEnd w:id="301"/>
      <w:bookmarkEnd w:id="30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15.2.1 如果发包人未能按合同付款，或违反合同不顾书面警告，承包人可发出通知，告知发包人违约。如果发包人在收到该通知后14天内未纠正违约，承包人可暂停工作或放慢工作进度。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03" w:name="_Toc296602575"/>
      <w:bookmarkStart w:id="304" w:name="_Toc247085841"/>
      <w:bookmarkStart w:id="305" w:name="_Toc184635120"/>
      <w:bookmarkStart w:id="306" w:name="_Toc246996326"/>
      <w:bookmarkStart w:id="307" w:name="_Toc246997069"/>
      <w:r>
        <w:rPr>
          <w:rFonts w:hint="eastAsia" w:ascii="宋体" w:hAnsi="宋体" w:eastAsia="宋体" w:cs="宋体"/>
          <w:b/>
          <w:sz w:val="24"/>
          <w:szCs w:val="24"/>
        </w:rPr>
        <w:t>16. 索赔</w:t>
      </w:r>
      <w:bookmarkEnd w:id="303"/>
      <w:bookmarkEnd w:id="304"/>
      <w:bookmarkEnd w:id="305"/>
      <w:bookmarkEnd w:id="306"/>
      <w:bookmarkEnd w:id="30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08" w:name="_Toc247085842"/>
      <w:bookmarkStart w:id="309" w:name="_Toc246997070"/>
      <w:bookmarkStart w:id="310" w:name="_Toc246996327"/>
      <w:bookmarkStart w:id="311" w:name="_Toc296602576"/>
      <w:bookmarkStart w:id="312" w:name="_Toc450569929"/>
      <w:r>
        <w:rPr>
          <w:rFonts w:hint="eastAsia" w:ascii="宋体" w:hAnsi="宋体" w:eastAsia="宋体" w:cs="宋体"/>
          <w:b/>
          <w:sz w:val="24"/>
          <w:szCs w:val="24"/>
        </w:rPr>
        <w:t>16.1 承包人索赔的提出</w:t>
      </w:r>
      <w:bookmarkEnd w:id="308"/>
      <w:bookmarkEnd w:id="309"/>
      <w:bookmarkEnd w:id="310"/>
      <w:bookmarkEnd w:id="311"/>
      <w:bookmarkEnd w:id="31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根据合同约定，承包人认为有权得到追加付款和（或）延长工期的，应按以下程序向发包人提出索赔：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（l）承包人应在知道或应当知道索赔事件发生后14天内，向监理人递交索赔通知书。索赔通知书应详细说明索赔理由以及要求追加的付款金额和（或）延长的工期，并附必要的记录和证明材料；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（2）索赔事件具有连续影响的，承包人应在索赔事件影响结束后的14天内，向监理人递交最终索赔通知书，说明最终要求索赔的追加付款金额和延长的工期，并附必要的记录和证明材料；</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（3）承包人未在前述14天内递交索赔通知书的，丧失要求追加付款和（或）延长工期的权利。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13" w:name="_Toc246996328"/>
      <w:bookmarkStart w:id="314" w:name="_Toc296602577"/>
      <w:bookmarkStart w:id="315" w:name="_Toc450569930"/>
      <w:bookmarkStart w:id="316" w:name="_Toc247085843"/>
      <w:bookmarkStart w:id="317" w:name="_Toc246997071"/>
      <w:r>
        <w:rPr>
          <w:rFonts w:hint="eastAsia" w:ascii="宋体" w:hAnsi="宋体" w:eastAsia="宋体" w:cs="宋体"/>
          <w:b/>
          <w:sz w:val="24"/>
          <w:szCs w:val="24"/>
        </w:rPr>
        <w:t>16.2 承包人索赔处理程序</w:t>
      </w:r>
      <w:bookmarkEnd w:id="313"/>
      <w:bookmarkEnd w:id="314"/>
      <w:bookmarkEnd w:id="315"/>
      <w:bookmarkEnd w:id="316"/>
      <w:bookmarkEnd w:id="31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（1）监理人收到承包人提交的索赔通知书后，应按第3.5 款商定或确定追加的付款和（或）延长的工期，并在收到上述索赔通知书或有关索赔的进一步证明材料后的14天内，将索赔处理结果答复承包人。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（2）承包人接受索赔处理结果的，发包人应在作出索赔处理结果答复后14天内完成赔付。承包人不接受索赔处理结果的，按第17条的约定执行。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18" w:name="_Toc247085844"/>
      <w:bookmarkStart w:id="319" w:name="_Toc450569931"/>
      <w:bookmarkStart w:id="320" w:name="_Toc246997072"/>
      <w:bookmarkStart w:id="321" w:name="_Toc246996329"/>
      <w:bookmarkStart w:id="322" w:name="_Toc296602578"/>
      <w:r>
        <w:rPr>
          <w:rFonts w:hint="eastAsia" w:ascii="宋体" w:hAnsi="宋体" w:eastAsia="宋体" w:cs="宋体"/>
          <w:b/>
          <w:sz w:val="24"/>
          <w:szCs w:val="24"/>
        </w:rPr>
        <w:t>16.3 承包人提出索赔的期限</w:t>
      </w:r>
      <w:bookmarkEnd w:id="318"/>
      <w:bookmarkEnd w:id="319"/>
      <w:bookmarkEnd w:id="320"/>
      <w:bookmarkEnd w:id="321"/>
      <w:bookmarkEnd w:id="32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承包人按第10.5 款的约定接受了竣工付款证书后，应被认为已无权再提出在合同工程接收证书颁发前所发生的任何索赔。</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3" w:name="_Toc450569932"/>
      <w:bookmarkStart w:id="324" w:name="_Toc296602579"/>
      <w:r>
        <w:rPr>
          <w:rFonts w:hint="eastAsia" w:ascii="宋体" w:hAnsi="宋体" w:eastAsia="宋体" w:cs="宋体"/>
          <w:b/>
          <w:sz w:val="24"/>
          <w:szCs w:val="24"/>
        </w:rPr>
        <w:t>16.4 发包人索赔的提出</w:t>
      </w:r>
      <w:bookmarkEnd w:id="323"/>
      <w:bookmarkEnd w:id="3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根据合同约定，发包人认为有权得到追加付款和（或）延长工期的，应按以下程序向承包人提出索赔：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（l）监理人应在知道或应当知道索赔事件发生后14天内，向承包人递交索赔通知书。索赔通知书应详细说明索赔理由以及要求追加的付款金额和（或）延长的工期，并附必要的记录和证明材料；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（2）索赔事件具有连续影响的，监理人应在索赔事件影响结束后的14天内，向承包人递交最终索赔通知书，说明最终要求索赔的追加付款金额和延长的工期，并附必要的记录和证明材料。</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5" w:name="_Toc450569933"/>
      <w:bookmarkStart w:id="326" w:name="_Toc296602580"/>
      <w:r>
        <w:rPr>
          <w:rFonts w:hint="eastAsia" w:ascii="宋体" w:hAnsi="宋体" w:eastAsia="宋体" w:cs="宋体"/>
          <w:b/>
          <w:sz w:val="24"/>
          <w:szCs w:val="24"/>
        </w:rPr>
        <w:t>16.5 发包人索赔处理程序</w:t>
      </w:r>
      <w:bookmarkEnd w:id="325"/>
      <w:bookmarkEnd w:id="32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（1）承包人收到监理人提交的索赔通知书后，应按第3.5 款商定或确定追加的付款和（或）延长的工期，并在收到上述索赔通知书或有关索赔的进一步证明材料后的14天内，将索赔处理结果答复监理人。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（2）监理人接受索赔处理结果的，承包人应在作出索赔处理结果答复后14天内完成赔付。监理人不接受索赔处理结果的，按第17条的约定执行。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7" w:name="_Toc247085846"/>
      <w:bookmarkStart w:id="328" w:name="_Toc184635121"/>
      <w:bookmarkStart w:id="329" w:name="_Toc246997074"/>
      <w:bookmarkStart w:id="330" w:name="_Toc296602581"/>
      <w:bookmarkStart w:id="331" w:name="_Toc246996331"/>
      <w:r>
        <w:rPr>
          <w:rFonts w:hint="eastAsia" w:ascii="宋体" w:hAnsi="宋体" w:eastAsia="宋体" w:cs="宋体"/>
          <w:b/>
          <w:sz w:val="24"/>
          <w:szCs w:val="24"/>
        </w:rPr>
        <w:t>17. 争议的解决</w:t>
      </w:r>
      <w:bookmarkEnd w:id="327"/>
      <w:bookmarkEnd w:id="328"/>
      <w:bookmarkEnd w:id="329"/>
      <w:bookmarkEnd w:id="330"/>
      <w:bookmarkEnd w:id="331"/>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32" w:name="_Toc450569934"/>
      <w:bookmarkStart w:id="333" w:name="_Toc247085847"/>
      <w:bookmarkStart w:id="334" w:name="_Toc246996332"/>
      <w:bookmarkStart w:id="335" w:name="_Toc246997075"/>
      <w:bookmarkStart w:id="336" w:name="_Toc296602582"/>
      <w:r>
        <w:rPr>
          <w:rFonts w:hint="eastAsia" w:ascii="宋体" w:hAnsi="宋体" w:eastAsia="宋体" w:cs="宋体"/>
          <w:b/>
          <w:sz w:val="24"/>
          <w:szCs w:val="24"/>
        </w:rPr>
        <w:t>17.1 争议的解决方式</w:t>
      </w:r>
      <w:bookmarkEnd w:id="332"/>
      <w:bookmarkEnd w:id="333"/>
      <w:bookmarkEnd w:id="334"/>
      <w:bookmarkEnd w:id="335"/>
      <w:bookmarkEnd w:id="3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（l）向约定的仲裁委员会申请仲裁；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（2）向有管辖权的人民法院提起诉讼。</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37" w:name="_Toc450569935"/>
      <w:bookmarkStart w:id="338" w:name="_Toc247085848"/>
      <w:bookmarkStart w:id="339" w:name="_Toc246996333"/>
      <w:bookmarkStart w:id="340" w:name="_Toc296602583"/>
      <w:bookmarkStart w:id="341" w:name="_Toc246997076"/>
      <w:r>
        <w:rPr>
          <w:rFonts w:hint="eastAsia" w:ascii="宋体" w:hAnsi="宋体" w:eastAsia="宋体" w:cs="宋体"/>
          <w:b/>
          <w:sz w:val="24"/>
          <w:szCs w:val="24"/>
        </w:rPr>
        <w:t>17.2 友好解决</w:t>
      </w:r>
      <w:bookmarkEnd w:id="337"/>
      <w:bookmarkEnd w:id="338"/>
      <w:bookmarkEnd w:id="339"/>
      <w:bookmarkEnd w:id="340"/>
      <w:bookmarkEnd w:id="34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在提请争议评审、仲裁或者诉讼前，以及在争议评审、仲裁或诉讼过程中，发包人和承包人均可共同努力友好协商解决争议。</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42" w:name="_Toc247085849"/>
      <w:bookmarkStart w:id="343" w:name="_Toc246997077"/>
      <w:bookmarkStart w:id="344" w:name="_Toc450569936"/>
      <w:bookmarkStart w:id="345" w:name="_Toc246996334"/>
      <w:bookmarkStart w:id="346" w:name="_Toc296602584"/>
      <w:r>
        <w:rPr>
          <w:rFonts w:hint="eastAsia" w:ascii="宋体" w:hAnsi="宋体" w:eastAsia="宋体" w:cs="宋体"/>
          <w:b/>
          <w:sz w:val="24"/>
          <w:szCs w:val="24"/>
        </w:rPr>
        <w:t>17.3 争议评审</w:t>
      </w:r>
      <w:bookmarkEnd w:id="342"/>
      <w:bookmarkEnd w:id="343"/>
      <w:bookmarkEnd w:id="344"/>
      <w:bookmarkEnd w:id="345"/>
      <w:bookmarkEnd w:id="34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17.3.1 采用争议评审的，发包人和承包人应当在专用合同条款中约定争议评审的程序和规则，并在开工日后的28天内或在争议发生后，协商成立争议评审组。</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17.3.2 发包人和承包人接受评审意见的，由监理人根据评审意见拟定执行协议，经争议双方签字后作为合同的补充文件，并遵照执行。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b/>
          <w:bCs/>
          <w:sz w:val="44"/>
          <w:szCs w:val="44"/>
        </w:rPr>
      </w:pPr>
      <w:r>
        <w:rPr>
          <w:rFonts w:hint="eastAsia" w:ascii="宋体" w:hAnsi="宋体"/>
          <w:b/>
          <w:bCs/>
          <w:sz w:val="44"/>
          <w:szCs w:val="44"/>
        </w:rPr>
        <w:t>第</w:t>
      </w:r>
      <w:r>
        <w:rPr>
          <w:rFonts w:hint="eastAsia" w:ascii="宋体" w:hAnsi="宋体"/>
          <w:b/>
          <w:bCs/>
          <w:sz w:val="44"/>
          <w:szCs w:val="44"/>
          <w:lang w:eastAsia="zh-CN"/>
        </w:rPr>
        <w:t>六</w:t>
      </w:r>
      <w:r>
        <w:rPr>
          <w:rFonts w:hint="eastAsia" w:ascii="宋体" w:hAnsi="宋体"/>
          <w:b/>
          <w:bCs/>
          <w:sz w:val="44"/>
          <w:szCs w:val="44"/>
        </w:rPr>
        <w:t>章　响应文件格式</w:t>
      </w:r>
      <w:bookmarkEnd w:id="7"/>
    </w:p>
    <w:p>
      <w:pPr>
        <w:spacing w:line="360" w:lineRule="auto"/>
        <w:jc w:val="center"/>
        <w:rPr>
          <w:rFonts w:hint="eastAsia"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hint="eastAsia"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hint="eastAsia"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hint="eastAsia" w:ascii="宋体" w:hAnsi="宋体" w:cs="宋体"/>
          <w:bCs/>
          <w:color w:val="000000"/>
          <w:sz w:val="28"/>
          <w:szCs w:val="28"/>
        </w:rPr>
      </w:pPr>
      <w:r>
        <w:rPr>
          <w:rFonts w:hint="eastAsia" w:ascii="宋体" w:hAnsi="宋体" w:cs="宋体"/>
          <w:bCs/>
          <w:color w:val="000000"/>
          <w:sz w:val="28"/>
          <w:szCs w:val="28"/>
          <w:lang w:bidi="ar"/>
        </w:rPr>
        <w:t>铜仁市公共资源交易中心（政府采购）项目</w:t>
      </w:r>
    </w:p>
    <w:p>
      <w:pPr>
        <w:spacing w:line="480" w:lineRule="auto"/>
        <w:jc w:val="center"/>
        <w:rPr>
          <w:rFonts w:hint="eastAsia" w:ascii="宋体" w:hAnsi="宋体" w:cs="宋体"/>
          <w:b/>
          <w:bCs w:val="0"/>
          <w:color w:val="000000"/>
          <w:sz w:val="36"/>
          <w:szCs w:val="36"/>
          <w:lang w:eastAsia="zh-CN"/>
        </w:rPr>
      </w:pPr>
      <w:r>
        <w:rPr>
          <w:rFonts w:hint="eastAsia" w:ascii="宋体" w:hAnsi="宋体" w:cs="宋体"/>
          <w:b/>
          <w:bCs w:val="0"/>
          <w:color w:val="000000"/>
          <w:sz w:val="36"/>
          <w:szCs w:val="36"/>
          <w:lang w:eastAsia="zh-CN"/>
        </w:rPr>
        <w:t>响</w:t>
      </w:r>
    </w:p>
    <w:p>
      <w:pPr>
        <w:spacing w:line="480" w:lineRule="auto"/>
        <w:jc w:val="center"/>
        <w:rPr>
          <w:rFonts w:hint="eastAsia" w:ascii="宋体" w:hAnsi="宋体" w:cs="宋体"/>
          <w:b/>
          <w:bCs w:val="0"/>
          <w:color w:val="000000"/>
          <w:sz w:val="36"/>
          <w:szCs w:val="36"/>
          <w:lang w:eastAsia="zh-CN"/>
        </w:rPr>
      </w:pPr>
      <w:r>
        <w:rPr>
          <w:rFonts w:hint="eastAsia" w:ascii="宋体" w:hAnsi="宋体" w:cs="宋体"/>
          <w:b/>
          <w:bCs w:val="0"/>
          <w:color w:val="000000"/>
          <w:sz w:val="36"/>
          <w:szCs w:val="36"/>
          <w:lang w:eastAsia="zh-CN"/>
        </w:rPr>
        <w:t>应</w:t>
      </w:r>
    </w:p>
    <w:p>
      <w:pPr>
        <w:spacing w:line="480" w:lineRule="auto"/>
        <w:jc w:val="center"/>
        <w:rPr>
          <w:rFonts w:hint="eastAsia" w:ascii="宋体" w:hAnsi="宋体" w:cs="宋体"/>
          <w:b/>
          <w:bCs w:val="0"/>
          <w:color w:val="000000"/>
          <w:sz w:val="36"/>
          <w:szCs w:val="36"/>
          <w:lang w:eastAsia="zh-CN"/>
        </w:rPr>
      </w:pPr>
      <w:r>
        <w:rPr>
          <w:rFonts w:hint="eastAsia" w:ascii="宋体" w:hAnsi="宋体" w:cs="宋体"/>
          <w:b/>
          <w:bCs w:val="0"/>
          <w:color w:val="000000"/>
          <w:sz w:val="36"/>
          <w:szCs w:val="36"/>
          <w:lang w:eastAsia="zh-CN"/>
        </w:rPr>
        <w:t>文</w:t>
      </w:r>
    </w:p>
    <w:p>
      <w:pPr>
        <w:spacing w:line="480" w:lineRule="auto"/>
        <w:jc w:val="center"/>
        <w:rPr>
          <w:rFonts w:hint="eastAsia" w:ascii="宋体" w:hAnsi="宋体" w:cs="宋体" w:eastAsiaTheme="minorEastAsia"/>
          <w:b/>
          <w:bCs w:val="0"/>
          <w:color w:val="000000"/>
          <w:sz w:val="36"/>
          <w:szCs w:val="36"/>
          <w:lang w:eastAsia="zh-CN"/>
        </w:rPr>
      </w:pPr>
      <w:r>
        <w:rPr>
          <w:rFonts w:hint="eastAsia" w:ascii="宋体" w:hAnsi="宋体" w:cs="宋体"/>
          <w:b/>
          <w:bCs w:val="0"/>
          <w:color w:val="000000"/>
          <w:sz w:val="36"/>
          <w:szCs w:val="36"/>
          <w:lang w:eastAsia="zh-CN"/>
        </w:rPr>
        <w:t>件</w:t>
      </w: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rPr>
          <w:rFonts w:hint="eastAsia" w:ascii="宋体" w:hAnsi="宋体" w:cs="宋体"/>
          <w:bCs/>
          <w:color w:val="000000"/>
          <w:sz w:val="28"/>
          <w:szCs w:val="28"/>
        </w:rPr>
      </w:pP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val="en-US" w:eastAsia="zh-CN" w:bidi="ar"/>
        </w:rPr>
        <w:t xml:space="preserve">                      </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pStyle w:val="6"/>
        <w:snapToGrid w:val="0"/>
        <w:spacing w:line="360" w:lineRule="auto"/>
        <w:ind w:firstLine="883" w:firstLineChars="275"/>
        <w:jc w:val="center"/>
        <w:rPr>
          <w:rFonts w:hint="eastAsia"/>
          <w:b/>
          <w:bCs/>
          <w:sz w:val="32"/>
          <w:lang w:eastAsia="zh-CN"/>
        </w:rPr>
      </w:pPr>
    </w:p>
    <w:p>
      <w:pPr>
        <w:pStyle w:val="6"/>
        <w:snapToGrid w:val="0"/>
        <w:spacing w:line="360" w:lineRule="auto"/>
        <w:ind w:firstLine="883" w:firstLineChars="275"/>
        <w:jc w:val="center"/>
        <w:rPr>
          <w:rFonts w:hint="eastAsia"/>
          <w:b/>
          <w:bCs/>
          <w:sz w:val="32"/>
          <w:lang w:eastAsia="zh-CN"/>
        </w:rPr>
      </w:pPr>
    </w:p>
    <w:p>
      <w:pPr>
        <w:spacing w:line="360" w:lineRule="auto"/>
        <w:rPr>
          <w:rFonts w:hint="eastAsia" w:ascii="宋体" w:hAnsi="宋体"/>
          <w:b/>
          <w:sz w:val="36"/>
          <w:lang w:eastAsia="zh-CN"/>
        </w:rPr>
      </w:pPr>
    </w:p>
    <w:p>
      <w:pPr>
        <w:spacing w:line="360" w:lineRule="auto"/>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lang w:eastAsia="zh-CN"/>
        </w:rPr>
        <w:t>谈判</w:t>
      </w:r>
      <w:r>
        <w:rPr>
          <w:rFonts w:hint="eastAsia" w:ascii="宋体" w:hAnsi="宋体"/>
          <w:b/>
          <w:sz w:val="36"/>
        </w:rPr>
        <w:t>响应声明函</w:t>
      </w:r>
    </w:p>
    <w:p>
      <w:pPr>
        <w:pStyle w:val="2"/>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kinsoku w:val="0"/>
        <w:wordWrap w:val="0"/>
        <w:spacing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cstheme="minorEastAsia"/>
          <w:color w:val="000000"/>
          <w:sz w:val="24"/>
          <w:szCs w:val="24"/>
          <w:u w:val="single"/>
          <w:lang w:eastAsia="zh-CN"/>
        </w:rPr>
        <w:t>年</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rPr>
          <w:rFonts w:hint="eastAsia" w:ascii="宋体" w:hAnsi="宋体"/>
          <w:b/>
          <w:sz w:val="32"/>
        </w:rPr>
      </w:pPr>
    </w:p>
    <w:p>
      <w:pPr>
        <w:spacing w:line="720" w:lineRule="auto"/>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jc w:val="cente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招标编号：__________</w:t>
      </w:r>
      <w:r>
        <w:rPr>
          <w:rFonts w:hint="eastAsia" w:asciiTheme="minorEastAsia" w:hAnsiTheme="minorEastAsia" w:eastAsiaTheme="minorEastAsia" w:cstheme="minorEastAsia"/>
          <w:color w:val="000000"/>
          <w:sz w:val="24"/>
          <w:szCs w:val="24"/>
          <w:u w:val="single"/>
        </w:rPr>
        <w:t xml:space="preserve">            </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w:t>
      </w:r>
      <w:r>
        <w:rPr>
          <w:rFonts w:hint="eastAsia" w:asciiTheme="minorEastAsia" w:hAnsi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u w:val="single"/>
        </w:rPr>
        <w:t xml:space="preserve">            </w:t>
      </w:r>
    </w:p>
    <w:p>
      <w:pPr>
        <w:rPr>
          <w:rFonts w:hint="eastAsia" w:asciiTheme="minorEastAsia" w:hAnsiTheme="minorEastAsia" w:eastAsiaTheme="minorEastAsia" w:cstheme="minorEastAsia"/>
          <w:color w:val="000000"/>
          <w:sz w:val="24"/>
          <w:szCs w:val="24"/>
        </w:rPr>
      </w:pPr>
    </w:p>
    <w:p>
      <w:pPr>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8"/>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r>
    </w:tbl>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Style w:val="3"/>
        <w:jc w:val="both"/>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pStyle w:val="3"/>
        <w:jc w:val="center"/>
        <w:rPr>
          <w:rFonts w:ascii="黑体"/>
          <w:sz w:val="36"/>
          <w:szCs w:val="36"/>
        </w:rPr>
      </w:pPr>
      <w:r>
        <w:rPr>
          <w:rFonts w:hint="eastAsia" w:ascii="黑体"/>
          <w:sz w:val="36"/>
          <w:szCs w:val="36"/>
          <w:lang w:eastAsia="zh-CN"/>
        </w:rPr>
        <w:t>三</w:t>
      </w:r>
      <w:r>
        <w:rPr>
          <w:rFonts w:hint="eastAsia" w:ascii="黑体"/>
          <w:sz w:val="36"/>
          <w:szCs w:val="36"/>
          <w:lang w:val="en-US" w:eastAsia="zh-CN"/>
        </w:rPr>
        <w:t xml:space="preserve">  </w:t>
      </w:r>
      <w:r>
        <w:rPr>
          <w:rFonts w:hint="eastAsia" w:ascii="黑体"/>
          <w:sz w:val="36"/>
          <w:szCs w:val="36"/>
        </w:rPr>
        <w:t>工程量清单报价表</w:t>
      </w:r>
    </w:p>
    <w:p>
      <w:pPr>
        <w:spacing w:line="400" w:lineRule="exact"/>
        <w:ind w:firstLine="424" w:firstLineChars="177"/>
        <w:rPr>
          <w:rFonts w:hint="eastAsia" w:ascii="宋体" w:hAnsi="Arial" w:cs="宋体"/>
          <w:color w:val="000000"/>
          <w:sz w:val="24"/>
          <w:lang w:val="zh-CN"/>
        </w:rPr>
      </w:pPr>
      <w:r>
        <w:rPr>
          <w:rFonts w:hint="eastAsia" w:ascii="宋体" w:hAnsi="Arial" w:cs="宋体"/>
          <w:color w:val="000000"/>
          <w:sz w:val="24"/>
        </w:rPr>
        <w:t>具体格式与内容由谈判供应商根据工程量清单自行编制。</w:t>
      </w:r>
    </w:p>
    <w:p>
      <w:pPr>
        <w:spacing w:line="360" w:lineRule="auto"/>
        <w:jc w:val="center"/>
        <w:rPr>
          <w:rFonts w:hint="eastAsia" w:ascii="宋体" w:hAnsi="宋体"/>
          <w:b/>
          <w:sz w:val="32"/>
        </w:rPr>
      </w:pPr>
    </w:p>
    <w:p>
      <w:pPr>
        <w:spacing w:line="360" w:lineRule="auto"/>
        <w:ind w:left="69"/>
        <w:jc w:val="center"/>
        <w:rPr>
          <w:rFonts w:ascii="宋体" w:hAnsi="宋体"/>
          <w:sz w:val="27"/>
          <w:szCs w:val="27"/>
        </w:rPr>
      </w:pPr>
    </w:p>
    <w:p>
      <w:pPr>
        <w:spacing w:line="360" w:lineRule="auto"/>
        <w:rPr>
          <w:rFonts w:hint="eastAsia" w:ascii="宋体" w:hAnsi="宋体"/>
          <w:b/>
          <w:sz w:val="32"/>
        </w:rPr>
      </w:pPr>
      <w:r>
        <w:rPr>
          <w:rFonts w:hint="eastAsia" w:ascii="宋体" w:hAnsi="宋体"/>
          <w:b/>
          <w:sz w:val="24"/>
        </w:rPr>
        <w:t>（包括</w:t>
      </w:r>
      <w:r>
        <w:rPr>
          <w:rFonts w:hint="eastAsia" w:ascii="宋体" w:hAnsi="宋体"/>
          <w:b/>
          <w:color w:val="000000"/>
          <w:sz w:val="24"/>
        </w:rPr>
        <w:t>报价说明、总报价、造价汇总表、分部分项工程量清单计价表、措施项目清单计价表、其他项目清单计价表、零星工作项目计价表、分部分项工程量清单综合单价分析表、措施项目费分析表、材料价格表等及报价需要的其他材料</w:t>
      </w:r>
      <w:r>
        <w:rPr>
          <w:rFonts w:hint="eastAsia" w:ascii="宋体" w:hAnsi="宋体"/>
          <w:b/>
          <w:color w:val="000000"/>
          <w:sz w:val="24"/>
          <w:lang w:val="en-US" w:eastAsia="zh-CN"/>
        </w:rPr>
        <w:t>。</w:t>
      </w:r>
      <w:r>
        <w:rPr>
          <w:rFonts w:hint="eastAsia" w:ascii="宋体" w:hAnsi="宋体"/>
          <w:b/>
          <w:sz w:val="24"/>
        </w:rPr>
        <w:t>）</w:t>
      </w:r>
    </w:p>
    <w:p>
      <w:pPr>
        <w:spacing w:line="360" w:lineRule="auto"/>
        <w:rPr>
          <w:rFonts w:hint="eastAsia" w:ascii="宋体" w:hAnsi="宋体"/>
          <w:b/>
          <w:sz w:val="32"/>
        </w:rPr>
      </w:pPr>
    </w:p>
    <w:p>
      <w:pPr>
        <w:spacing w:line="360" w:lineRule="auto"/>
        <w:jc w:val="center"/>
        <w:rPr>
          <w:rFonts w:ascii="宋体" w:hAnsi="宋体"/>
          <w:b/>
          <w:sz w:val="32"/>
        </w:rPr>
        <w:sectPr>
          <w:pgSz w:w="11906" w:h="16838"/>
          <w:pgMar w:top="1440" w:right="1797" w:bottom="1440" w:left="1797" w:header="851" w:footer="992" w:gutter="0"/>
          <w:cols w:space="720" w:num="1"/>
          <w:docGrid w:linePitch="312" w:charSpace="0"/>
        </w:sect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8"/>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bl>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3"/>
        <w:numPr>
          <w:ilvl w:val="1"/>
          <w:numId w:val="0"/>
        </w:numPr>
        <w:ind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3"/>
        <w:numPr>
          <w:ilvl w:val="1"/>
          <w:numId w:val="0"/>
        </w:numPr>
        <w:ind w:leftChars="0"/>
        <w:jc w:val="cente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pStyle w:val="2"/>
        <w:spacing w:line="360" w:lineRule="auto"/>
        <w:jc w:val="center"/>
        <w:rPr>
          <w:rFonts w:hint="eastAsia" w:hAnsi="宋体"/>
          <w:b/>
          <w:color w:val="000000"/>
          <w:sz w:val="36"/>
          <w:szCs w:val="36"/>
        </w:rPr>
      </w:pPr>
      <w:r>
        <w:rPr>
          <w:rFonts w:hint="eastAsia" w:hAnsi="宋体"/>
          <w:b/>
          <w:color w:val="000000"/>
          <w:sz w:val="36"/>
          <w:szCs w:val="36"/>
          <w:lang w:eastAsia="zh-CN"/>
        </w:rPr>
        <w:t>五</w:t>
      </w:r>
      <w:r>
        <w:rPr>
          <w:rFonts w:hint="eastAsia" w:hAnsi="宋体"/>
          <w:b/>
          <w:color w:val="000000"/>
          <w:sz w:val="36"/>
          <w:szCs w:val="36"/>
          <w:lang w:val="en-US" w:eastAsia="zh-CN"/>
        </w:rPr>
        <w:t xml:space="preserve">  </w:t>
      </w:r>
      <w:r>
        <w:rPr>
          <w:rFonts w:hint="eastAsia" w:hAnsi="宋体"/>
          <w:b/>
          <w:color w:val="000000"/>
          <w:sz w:val="36"/>
          <w:szCs w:val="36"/>
        </w:rPr>
        <w:t>商务条款偏离表</w:t>
      </w:r>
    </w:p>
    <w:p>
      <w:pPr>
        <w:pStyle w:val="2"/>
        <w:spacing w:line="360" w:lineRule="auto"/>
        <w:rPr>
          <w:rFonts w:hint="eastAsia" w:hAnsi="宋体"/>
          <w:color w:val="000000"/>
          <w:sz w:val="24"/>
          <w:szCs w:val="24"/>
        </w:rPr>
      </w:pPr>
      <w:r>
        <w:rPr>
          <w:rFonts w:hint="eastAsia" w:hAnsi="宋体"/>
          <w:color w:val="000000"/>
          <w:sz w:val="24"/>
          <w:szCs w:val="24"/>
        </w:rPr>
        <w:t xml:space="preserve">投标人名称：           </w:t>
      </w:r>
    </w:p>
    <w:p>
      <w:pPr>
        <w:pStyle w:val="2"/>
        <w:spacing w:line="360" w:lineRule="auto"/>
        <w:rPr>
          <w:rFonts w:hint="eastAsia" w:hAnsi="宋体"/>
          <w:color w:val="000000"/>
          <w:sz w:val="24"/>
          <w:szCs w:val="24"/>
        </w:rPr>
      </w:pPr>
      <w:r>
        <w:rPr>
          <w:rFonts w:hint="eastAsia" w:hAnsi="宋体"/>
          <w:color w:val="000000"/>
          <w:sz w:val="24"/>
          <w:szCs w:val="24"/>
        </w:rPr>
        <w:t>招标编号：</w:t>
      </w:r>
    </w:p>
    <w:tbl>
      <w:tblPr>
        <w:tblStyle w:val="18"/>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rPr>
              <w:t>序号</w:t>
            </w:r>
          </w:p>
        </w:tc>
        <w:tc>
          <w:tcPr>
            <w:tcW w:w="2118"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lang w:eastAsia="zh-CN"/>
              </w:rPr>
              <w:t>谈判</w:t>
            </w:r>
            <w:r>
              <w:rPr>
                <w:rFonts w:hint="eastAsia" w:hAnsi="宋体"/>
                <w:color w:val="000000"/>
                <w:sz w:val="24"/>
                <w:szCs w:val="24"/>
              </w:rPr>
              <w:t>文件条目号</w:t>
            </w:r>
          </w:p>
        </w:tc>
        <w:tc>
          <w:tcPr>
            <w:tcW w:w="2118"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lang w:eastAsia="zh-CN"/>
              </w:rPr>
              <w:t>谈判</w:t>
            </w:r>
            <w:r>
              <w:rPr>
                <w:rFonts w:hint="eastAsia" w:hAnsi="宋体"/>
                <w:color w:val="000000"/>
                <w:sz w:val="24"/>
                <w:szCs w:val="24"/>
              </w:rPr>
              <w:t>文件商务要求</w:t>
            </w:r>
          </w:p>
        </w:tc>
        <w:tc>
          <w:tcPr>
            <w:tcW w:w="2118"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lang w:eastAsia="zh-CN"/>
              </w:rPr>
              <w:t>谈判</w:t>
            </w:r>
            <w:r>
              <w:rPr>
                <w:rFonts w:hint="eastAsia" w:hAnsi="宋体"/>
                <w:color w:val="000000"/>
                <w:sz w:val="24"/>
                <w:szCs w:val="24"/>
              </w:rPr>
              <w:t>文件商务响应</w:t>
            </w:r>
          </w:p>
        </w:tc>
        <w:tc>
          <w:tcPr>
            <w:tcW w:w="1245"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bl>
    <w:p>
      <w:pPr>
        <w:pStyle w:val="2"/>
        <w:spacing w:line="360" w:lineRule="auto"/>
        <w:jc w:val="center"/>
        <w:rPr>
          <w:rFonts w:hint="eastAsia" w:hAnsi="宋体"/>
          <w:b/>
          <w:color w:val="000000"/>
          <w:sz w:val="24"/>
          <w:szCs w:val="24"/>
        </w:rPr>
      </w:pPr>
    </w:p>
    <w:p>
      <w:pPr>
        <w:pStyle w:val="2"/>
        <w:spacing w:line="360" w:lineRule="auto"/>
        <w:jc w:val="center"/>
        <w:rPr>
          <w:rFonts w:hint="eastAsia" w:hAnsi="宋体"/>
          <w:b/>
          <w:color w:val="000000"/>
          <w:sz w:val="24"/>
          <w:szCs w:val="24"/>
        </w:rPr>
      </w:pPr>
    </w:p>
    <w:p>
      <w:pPr>
        <w:pStyle w:val="2"/>
        <w:spacing w:line="360" w:lineRule="auto"/>
        <w:jc w:val="center"/>
        <w:rPr>
          <w:rFonts w:hint="eastAsia" w:hAnsi="宋体"/>
          <w:b/>
          <w:color w:val="000000"/>
          <w:sz w:val="24"/>
          <w:szCs w:val="24"/>
        </w:rPr>
      </w:pPr>
    </w:p>
    <w:p>
      <w:pPr>
        <w:pStyle w:val="2"/>
        <w:spacing w:line="360" w:lineRule="auto"/>
        <w:jc w:val="both"/>
        <w:rPr>
          <w:rFonts w:hint="eastAsia" w:hAnsi="宋体"/>
          <w:b/>
          <w:color w:val="000000"/>
          <w:sz w:val="24"/>
          <w:szCs w:val="24"/>
        </w:rPr>
      </w:pPr>
    </w:p>
    <w:p>
      <w:pPr>
        <w:pStyle w:val="2"/>
        <w:spacing w:line="360" w:lineRule="auto"/>
        <w:rPr>
          <w:rFonts w:hint="eastAsia" w:hAnsi="宋体"/>
          <w:b/>
          <w:color w:val="000000"/>
          <w:sz w:val="24"/>
          <w:szCs w:val="24"/>
        </w:rPr>
      </w:pPr>
    </w:p>
    <w:p>
      <w:pPr>
        <w:pStyle w:val="2"/>
        <w:spacing w:line="360" w:lineRule="auto"/>
        <w:rPr>
          <w:rFonts w:hint="eastAsia" w:hAnsi="宋体"/>
          <w:color w:val="000000"/>
          <w:sz w:val="24"/>
          <w:szCs w:val="24"/>
        </w:rPr>
      </w:pPr>
      <w:r>
        <w:rPr>
          <w:rFonts w:hint="eastAsia" w:hAnsi="宋体"/>
          <w:color w:val="000000"/>
          <w:sz w:val="24"/>
          <w:szCs w:val="24"/>
        </w:rPr>
        <w:t>授权代表签字：</w:t>
      </w:r>
      <w:r>
        <w:rPr>
          <w:rFonts w:hint="eastAsia" w:hAnsi="宋体"/>
          <w:color w:val="000000"/>
          <w:spacing w:val="15"/>
          <w:kern w:val="0"/>
          <w:sz w:val="24"/>
          <w:szCs w:val="24"/>
        </w:rPr>
        <w:t xml:space="preserve">               投标单位（盖章）</w:t>
      </w: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numPr>
          <w:ilvl w:val="0"/>
          <w:numId w:val="0"/>
        </w:numPr>
        <w:spacing w:line="360" w:lineRule="auto"/>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u w:val="single"/>
          <w:lang w:eastAsia="zh-CN"/>
        </w:rPr>
        <w:t>铜仁市公共资源交易中心</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4"/>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4"/>
        <w:spacing w:line="336" w:lineRule="auto"/>
        <w:ind w:right="84" w:rightChars="40"/>
        <w:rPr>
          <w:rFonts w:ascii="宋体" w:hAnsi="宋体"/>
          <w:sz w:val="24"/>
          <w:szCs w:val="24"/>
        </w:rPr>
      </w:pPr>
    </w:p>
    <w:p>
      <w:pPr>
        <w:pStyle w:val="34"/>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4"/>
        <w:spacing w:line="336" w:lineRule="auto"/>
        <w:ind w:right="84" w:rightChars="40"/>
        <w:rPr>
          <w:rFonts w:ascii="宋体" w:hAnsi="宋体"/>
          <w:sz w:val="24"/>
          <w:szCs w:val="24"/>
        </w:rPr>
      </w:pPr>
    </w:p>
    <w:p>
      <w:pPr>
        <w:pStyle w:val="34"/>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spacing w:line="360" w:lineRule="auto"/>
        <w:jc w:val="center"/>
        <w:rPr>
          <w:rFonts w:hint="eastAsia" w:asciiTheme="minorEastAsia" w:hAnsiTheme="minorEastAsia" w:eastAsiaTheme="minorEastAsia" w:cstheme="minorEastAsia"/>
          <w:bCs/>
          <w:sz w:val="28"/>
          <w:szCs w:val="28"/>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2"/>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2"/>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bCs/>
          <w:sz w:val="28"/>
          <w:szCs w:val="28"/>
        </w:rPr>
      </w:pPr>
    </w:p>
    <w:p>
      <w:pPr>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2"/>
        <w:spacing w:line="360" w:lineRule="auto"/>
        <w:ind w:firstLine="720" w:firstLineChars="300"/>
        <w:rPr>
          <w:rFonts w:hint="eastAsia" w:asciiTheme="minorEastAsia" w:hAnsiTheme="minorEastAsia" w:eastAsiaTheme="minorEastAsia" w:cstheme="minorEastAsia"/>
          <w:color w:val="000000"/>
          <w:sz w:val="24"/>
          <w:szCs w:val="24"/>
        </w:rPr>
      </w:pPr>
    </w:p>
    <w:p>
      <w:pPr>
        <w:pStyle w:val="2"/>
        <w:keepNext w:val="0"/>
        <w:keepLines w:val="0"/>
        <w:pageBreakBefore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w:t>
      </w:r>
      <w:r>
        <w:rPr>
          <w:rFonts w:hint="eastAsia" w:asciiTheme="minorEastAsia" w:hAnsiTheme="minorEastAsia" w:eastAsiaTheme="minorEastAsia" w:cstheme="minorEastAsia"/>
          <w:color w:val="000000" w:themeColor="text1"/>
          <w:sz w:val="24"/>
          <w:szCs w:val="24"/>
          <w14:textFill>
            <w14:solidFill>
              <w14:schemeClr w14:val="tx1"/>
            </w14:solidFill>
          </w14:textFill>
        </w:rPr>
        <w:t>谈判</w:t>
      </w:r>
      <w:r>
        <w:rPr>
          <w:rFonts w:hint="eastAsia" w:asciiTheme="minorEastAsia" w:hAnsiTheme="minorEastAsia" w:eastAsiaTheme="minorEastAsia" w:cstheme="minorEastAsia"/>
          <w:color w:val="000000"/>
          <w:sz w:val="24"/>
          <w:szCs w:val="24"/>
        </w:rPr>
        <w:t>文件要求提交下列资质文件，同时声明，保证所提交文件是准确的、真实的。</w:t>
      </w:r>
      <w:r>
        <w:rPr>
          <w:rFonts w:hint="eastAsia" w:asciiTheme="minorEastAsia" w:hAnsiTheme="minorEastAsia" w:eastAsiaTheme="minorEastAsia" w:cstheme="minorEastAsia"/>
          <w:b/>
          <w:color w:val="FF0000"/>
          <w:sz w:val="30"/>
          <w:szCs w:val="30"/>
        </w:rPr>
        <w:t>以下资质文件的复印件</w:t>
      </w:r>
      <w:r>
        <w:rPr>
          <w:rFonts w:hint="eastAsia" w:asciiTheme="minorEastAsia" w:hAnsiTheme="minorEastAsia" w:cstheme="minorEastAsia"/>
          <w:b/>
          <w:color w:val="FF0000"/>
          <w:sz w:val="30"/>
          <w:szCs w:val="30"/>
          <w:lang w:eastAsia="zh-CN"/>
        </w:rPr>
        <w:t>均</w:t>
      </w:r>
      <w:r>
        <w:rPr>
          <w:rFonts w:hint="eastAsia" w:asciiTheme="minorEastAsia" w:hAnsiTheme="minorEastAsia" w:eastAsiaTheme="minorEastAsia" w:cstheme="minorEastAsia"/>
          <w:b/>
          <w:color w:val="FF0000"/>
          <w:sz w:val="30"/>
          <w:szCs w:val="30"/>
        </w:rPr>
        <w:t>需加盖鲜章装订在投标文件中。</w:t>
      </w:r>
    </w:p>
    <w:p>
      <w:pPr>
        <w:pStyle w:val="2"/>
        <w:spacing w:line="400" w:lineRule="exact"/>
        <w:ind w:firstLine="475" w:firstLineChars="198"/>
        <w:rPr>
          <w:rFonts w:hAnsi="宋体"/>
          <w:sz w:val="24"/>
        </w:rPr>
      </w:pPr>
      <w:r>
        <w:rPr>
          <w:rFonts w:hint="eastAsia" w:hAnsi="宋体"/>
          <w:sz w:val="24"/>
        </w:rPr>
        <w:t>（1）工商营业执照副本；</w:t>
      </w:r>
    </w:p>
    <w:p>
      <w:pPr>
        <w:pStyle w:val="2"/>
        <w:spacing w:line="400" w:lineRule="exact"/>
        <w:ind w:firstLine="475" w:firstLineChars="198"/>
        <w:rPr>
          <w:rFonts w:hAnsi="宋体"/>
          <w:sz w:val="24"/>
        </w:rPr>
      </w:pPr>
      <w:r>
        <w:rPr>
          <w:rFonts w:hint="eastAsia" w:hAnsi="宋体"/>
          <w:sz w:val="24"/>
        </w:rPr>
        <w:t>（2）税务登记证；</w:t>
      </w:r>
    </w:p>
    <w:p>
      <w:pPr>
        <w:pStyle w:val="2"/>
        <w:spacing w:line="400" w:lineRule="exact"/>
        <w:ind w:firstLine="475" w:firstLineChars="198"/>
        <w:rPr>
          <w:rFonts w:hAnsi="宋体"/>
          <w:sz w:val="24"/>
        </w:rPr>
      </w:pPr>
      <w:r>
        <w:rPr>
          <w:rFonts w:hint="eastAsia" w:hAnsi="宋体"/>
          <w:sz w:val="24"/>
        </w:rPr>
        <w:t>（3）组织机构代码证；</w:t>
      </w:r>
    </w:p>
    <w:p>
      <w:pPr>
        <w:pStyle w:val="2"/>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2"/>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eastAsia" w:hAnsi="宋体" w:cs="宋体"/>
          <w:bCs/>
          <w:color w:val="auto"/>
          <w:kern w:val="0"/>
          <w:sz w:val="24"/>
          <w:szCs w:val="24"/>
          <w:lang w:eastAsia="zh-CN"/>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sz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r>
        <w:rPr>
          <w:rFonts w:hint="eastAsia"/>
          <w:sz w:val="24"/>
          <w:lang w:eastAsia="zh-CN"/>
        </w:rPr>
        <w:t>。</w:t>
      </w:r>
    </w:p>
    <w:p>
      <w:pPr>
        <w:pStyle w:val="2"/>
        <w:keepNext w:val="0"/>
        <w:keepLines w:val="0"/>
        <w:pageBreakBefore w:val="0"/>
        <w:shd w:val="clear" w:fill="CCE8CF" w:themeFill="background1"/>
        <w:kinsoku/>
        <w:wordWrap/>
        <w:overflowPunct/>
        <w:topLinePunct w:val="0"/>
        <w:autoSpaceDE/>
        <w:autoSpaceDN/>
        <w:bidi w:val="0"/>
        <w:adjustRightInd/>
        <w:snapToGrid/>
        <w:spacing w:line="400" w:lineRule="exact"/>
        <w:ind w:firstLine="590" w:firstLineChars="246"/>
        <w:textAlignment w:val="auto"/>
        <w:rPr>
          <w:rFonts w:hint="eastAsia" w:hAnsi="宋体" w:cs="宋体"/>
          <w:bCs/>
          <w:color w:val="auto"/>
          <w:kern w:val="0"/>
          <w:sz w:val="24"/>
          <w:szCs w:val="24"/>
          <w:shd w:val="clear" w:color="auto" w:fill="auto"/>
        </w:rPr>
      </w:pPr>
      <w:r>
        <w:rPr>
          <w:rFonts w:hint="eastAsia" w:hAnsi="宋体" w:cs="宋体"/>
          <w:bCs/>
          <w:color w:val="auto"/>
          <w:kern w:val="0"/>
          <w:sz w:val="24"/>
          <w:szCs w:val="24"/>
          <w:shd w:val="clear" w:color="auto" w:fill="auto"/>
        </w:rPr>
        <w:t>（</w:t>
      </w:r>
      <w:r>
        <w:rPr>
          <w:rFonts w:hint="eastAsia" w:hAnsi="宋体" w:cs="宋体"/>
          <w:bCs/>
          <w:color w:val="auto"/>
          <w:kern w:val="0"/>
          <w:sz w:val="24"/>
          <w:szCs w:val="24"/>
          <w:shd w:val="clear" w:color="auto" w:fill="auto"/>
          <w:lang w:val="en-US" w:eastAsia="zh-CN"/>
        </w:rPr>
        <w:t>6</w:t>
      </w:r>
      <w:r>
        <w:rPr>
          <w:rFonts w:hint="eastAsia" w:hAnsi="宋体" w:cs="宋体"/>
          <w:bCs/>
          <w:color w:val="auto"/>
          <w:kern w:val="0"/>
          <w:sz w:val="24"/>
          <w:szCs w:val="24"/>
          <w:shd w:val="clear" w:color="auto" w:fill="auto"/>
        </w:rPr>
        <w:t>）财务状况报告，依法缴纳税收和社会保障资金的相关材料</w:t>
      </w:r>
      <w:r>
        <w:rPr>
          <w:rFonts w:hint="eastAsia" w:hAnsi="宋体" w:cs="宋体"/>
          <w:bCs/>
          <w:color w:val="auto"/>
          <w:kern w:val="0"/>
          <w:sz w:val="24"/>
          <w:szCs w:val="24"/>
          <w:shd w:val="clear" w:color="auto" w:fill="auto"/>
          <w:lang w:eastAsia="zh-CN"/>
        </w:rPr>
        <w:t>（提供</w:t>
      </w:r>
      <w:r>
        <w:rPr>
          <w:rFonts w:hint="eastAsia" w:hAnsi="宋体" w:cs="宋体"/>
          <w:bCs/>
          <w:color w:val="auto"/>
          <w:kern w:val="0"/>
          <w:sz w:val="24"/>
          <w:szCs w:val="24"/>
          <w:shd w:val="clear" w:color="auto" w:fill="auto"/>
          <w:lang w:val="en-US" w:eastAsia="zh-CN"/>
        </w:rPr>
        <w:t>近一年任意三个月的财务报表，含资产负债表和利润表；近一年任意三个月的完税凭证；近一年任意三个月缴纳社保的凭证</w:t>
      </w:r>
      <w:r>
        <w:rPr>
          <w:rFonts w:hint="eastAsia" w:hAnsi="宋体" w:cs="宋体"/>
          <w:bCs/>
          <w:color w:val="auto"/>
          <w:kern w:val="0"/>
          <w:sz w:val="24"/>
          <w:szCs w:val="24"/>
          <w:shd w:val="clear" w:color="auto" w:fill="auto"/>
          <w:lang w:eastAsia="zh-CN"/>
        </w:rPr>
        <w:t>）</w:t>
      </w:r>
      <w:r>
        <w:rPr>
          <w:rFonts w:hint="eastAsia" w:hAnsi="宋体" w:cs="宋体"/>
          <w:bCs/>
          <w:color w:val="auto"/>
          <w:kern w:val="0"/>
          <w:sz w:val="24"/>
          <w:szCs w:val="24"/>
          <w:shd w:val="clear" w:color="auto" w:fill="auto"/>
        </w:rPr>
        <w:t>；</w:t>
      </w:r>
    </w:p>
    <w:p>
      <w:pPr>
        <w:pStyle w:val="2"/>
        <w:keepNext w:val="0"/>
        <w:keepLines w:val="0"/>
        <w:pageBreakBefore w:val="0"/>
        <w:shd w:val="clear" w:fill="CCE8CF" w:themeFill="background1"/>
        <w:kinsoku/>
        <w:wordWrap/>
        <w:overflowPunct/>
        <w:topLinePunct w:val="0"/>
        <w:autoSpaceDE/>
        <w:autoSpaceDN/>
        <w:bidi w:val="0"/>
        <w:adjustRightInd/>
        <w:snapToGrid/>
        <w:spacing w:line="400" w:lineRule="exact"/>
        <w:ind w:firstLine="590" w:firstLineChars="246"/>
        <w:textAlignment w:val="auto"/>
        <w:rPr>
          <w:rFonts w:hint="eastAsia" w:hAnsi="宋体" w:cs="宋体"/>
          <w:bCs/>
          <w:color w:val="auto"/>
          <w:kern w:val="0"/>
          <w:sz w:val="24"/>
          <w:szCs w:val="24"/>
          <w:shd w:val="clear" w:color="auto" w:fill="auto"/>
        </w:rPr>
      </w:pPr>
      <w:r>
        <w:rPr>
          <w:rFonts w:hint="eastAsia" w:hAnsi="宋体" w:cs="宋体"/>
          <w:bCs/>
          <w:color w:val="auto"/>
          <w:kern w:val="0"/>
          <w:sz w:val="24"/>
          <w:szCs w:val="24"/>
          <w:shd w:val="clear" w:color="auto" w:fill="auto"/>
        </w:rPr>
        <w:t>（</w:t>
      </w:r>
      <w:r>
        <w:rPr>
          <w:rFonts w:hint="eastAsia" w:hAnsi="宋体" w:cs="宋体"/>
          <w:bCs/>
          <w:color w:val="auto"/>
          <w:kern w:val="0"/>
          <w:sz w:val="24"/>
          <w:szCs w:val="24"/>
          <w:shd w:val="clear" w:color="auto" w:fill="auto"/>
          <w:lang w:val="en-US" w:eastAsia="zh-CN"/>
        </w:rPr>
        <w:t>7</w:t>
      </w:r>
      <w:r>
        <w:rPr>
          <w:rFonts w:hint="eastAsia" w:hAnsi="宋体" w:cs="宋体"/>
          <w:bCs/>
          <w:color w:val="auto"/>
          <w:kern w:val="0"/>
          <w:sz w:val="24"/>
          <w:szCs w:val="24"/>
          <w:shd w:val="clear" w:color="auto" w:fill="auto"/>
        </w:rPr>
        <w:t>）具备履行合同所必需的设备和专业技术能力的证明材料；</w:t>
      </w:r>
    </w:p>
    <w:p>
      <w:pPr>
        <w:pStyle w:val="2"/>
        <w:keepNext w:val="0"/>
        <w:keepLines w:val="0"/>
        <w:pageBreakBefore w:val="0"/>
        <w:kinsoku/>
        <w:wordWrap/>
        <w:overflowPunct/>
        <w:topLinePunct w:val="0"/>
        <w:autoSpaceDE/>
        <w:autoSpaceDN/>
        <w:bidi w:val="0"/>
        <w:adjustRightInd/>
        <w:snapToGrid/>
        <w:spacing w:line="400" w:lineRule="exact"/>
        <w:ind w:firstLine="590" w:firstLineChars="246"/>
        <w:textAlignment w:val="auto"/>
        <w:rPr>
          <w:rFonts w:hint="eastAsia" w:hAnsi="宋体" w:cs="宋体" w:eastAsiaTheme="minorEastAsia"/>
          <w:bCs/>
          <w:color w:val="auto"/>
          <w:kern w:val="0"/>
          <w:sz w:val="24"/>
          <w:szCs w:val="24"/>
          <w:shd w:val="clear" w:color="auto" w:fill="auto"/>
          <w:lang w:val="en-US" w:eastAsia="zh-CN"/>
        </w:rPr>
      </w:pPr>
      <w:r>
        <w:rPr>
          <w:rFonts w:hint="eastAsia" w:hAnsi="宋体" w:cs="宋体"/>
          <w:bCs/>
          <w:color w:val="auto"/>
          <w:kern w:val="0"/>
          <w:sz w:val="24"/>
          <w:szCs w:val="24"/>
          <w:shd w:val="clear" w:color="auto" w:fill="auto"/>
        </w:rPr>
        <w:t>（</w:t>
      </w:r>
      <w:r>
        <w:rPr>
          <w:rFonts w:hint="eastAsia" w:hAnsi="宋体" w:cs="宋体"/>
          <w:bCs/>
          <w:color w:val="auto"/>
          <w:kern w:val="0"/>
          <w:sz w:val="24"/>
          <w:szCs w:val="24"/>
          <w:shd w:val="clear" w:color="auto" w:fill="auto"/>
          <w:lang w:val="en-US" w:eastAsia="zh-CN"/>
        </w:rPr>
        <w:t>8</w:t>
      </w:r>
      <w:r>
        <w:rPr>
          <w:rFonts w:hint="eastAsia" w:hAnsi="宋体" w:cs="宋体"/>
          <w:bCs/>
          <w:color w:val="auto"/>
          <w:kern w:val="0"/>
          <w:sz w:val="24"/>
          <w:szCs w:val="24"/>
          <w:shd w:val="clear" w:color="auto" w:fill="auto"/>
        </w:rPr>
        <w:t>）参加政府采购活动前3年内在经营活动中没有重大违法记录的书面声明</w:t>
      </w:r>
      <w:r>
        <w:rPr>
          <w:rFonts w:hint="eastAsia" w:hAnsi="宋体" w:cs="宋体"/>
          <w:bCs/>
          <w:color w:val="auto"/>
          <w:kern w:val="0"/>
          <w:sz w:val="24"/>
          <w:szCs w:val="24"/>
          <w:shd w:val="clear" w:color="auto" w:fill="auto"/>
          <w:lang w:eastAsia="zh-CN"/>
        </w:rPr>
        <w:t>（附后）；</w:t>
      </w:r>
    </w:p>
    <w:p>
      <w:pPr>
        <w:pStyle w:val="2"/>
        <w:keepNext w:val="0"/>
        <w:keepLines w:val="0"/>
        <w:pageBreakBefore w:val="0"/>
        <w:kinsoku/>
        <w:wordWrap/>
        <w:overflowPunct/>
        <w:topLinePunct w:val="0"/>
        <w:autoSpaceDE/>
        <w:autoSpaceDN/>
        <w:bidi w:val="0"/>
        <w:adjustRightInd/>
        <w:snapToGrid/>
        <w:spacing w:line="400" w:lineRule="exact"/>
        <w:ind w:firstLine="590" w:firstLineChars="246"/>
        <w:textAlignment w:val="auto"/>
        <w:rPr>
          <w:rFonts w:hint="eastAsia" w:hAnsi="宋体" w:cs="宋体" w:eastAsiaTheme="minorEastAsia"/>
          <w:bCs/>
          <w:color w:val="auto"/>
          <w:kern w:val="0"/>
          <w:sz w:val="24"/>
          <w:szCs w:val="24"/>
          <w:shd w:val="clear" w:color="auto" w:fill="auto"/>
          <w:lang w:val="en-US" w:eastAsia="zh-CN"/>
        </w:rPr>
      </w:pPr>
      <w:r>
        <w:rPr>
          <w:rFonts w:hint="eastAsia" w:hAnsi="宋体" w:cs="宋体"/>
          <w:bCs/>
          <w:color w:val="auto"/>
          <w:kern w:val="0"/>
          <w:sz w:val="24"/>
          <w:szCs w:val="24"/>
          <w:shd w:val="clear" w:color="auto" w:fill="auto"/>
        </w:rPr>
        <w:t>（</w:t>
      </w:r>
      <w:r>
        <w:rPr>
          <w:rFonts w:hint="eastAsia" w:hAnsi="宋体" w:cs="宋体"/>
          <w:bCs/>
          <w:color w:val="auto"/>
          <w:kern w:val="0"/>
          <w:sz w:val="24"/>
          <w:szCs w:val="24"/>
          <w:shd w:val="clear" w:color="auto" w:fill="auto"/>
          <w:lang w:val="en-US" w:eastAsia="zh-CN"/>
        </w:rPr>
        <w:t>9</w:t>
      </w:r>
      <w:r>
        <w:rPr>
          <w:rFonts w:hint="eastAsia" w:hAnsi="宋体" w:cs="宋体"/>
          <w:bCs/>
          <w:color w:val="auto"/>
          <w:kern w:val="0"/>
          <w:sz w:val="24"/>
          <w:szCs w:val="24"/>
          <w:shd w:val="clear" w:color="auto" w:fill="auto"/>
        </w:rPr>
        <w:t>）</w:t>
      </w:r>
      <w:r>
        <w:rPr>
          <w:rFonts w:hint="eastAsia" w:hAnsi="宋体" w:cs="宋体"/>
          <w:bCs/>
          <w:color w:val="auto"/>
          <w:kern w:val="0"/>
          <w:sz w:val="24"/>
          <w:szCs w:val="24"/>
          <w:shd w:val="clear" w:color="auto" w:fill="auto"/>
          <w:lang w:val="en-US" w:eastAsia="zh-CN"/>
        </w:rPr>
        <w:t>具备法律、行政法规规定的其他条件的证明材料。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pPr>
        <w:spacing w:line="360" w:lineRule="auto"/>
        <w:rPr>
          <w:rFonts w:asciiTheme="minorEastAsia" w:hAnsi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日      期：</w:t>
      </w:r>
    </w:p>
    <w:p>
      <w:pPr>
        <w:spacing w:line="360" w:lineRule="auto"/>
        <w:rPr>
          <w:rFonts w:hint="eastAsia" w:asciiTheme="minorEastAsia" w:hAnsiTheme="minorEastAsia" w:cstheme="minorEastAsia"/>
          <w:sz w:val="24"/>
          <w:szCs w:val="24"/>
        </w:rPr>
      </w:pPr>
    </w:p>
    <w:p>
      <w:pPr>
        <w:pStyle w:val="2"/>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adjustRightInd w:val="0"/>
        <w:spacing w:before="312" w:beforeLines="100" w:after="156" w:afterLines="50"/>
        <w:ind w:right="480"/>
        <w:jc w:val="center"/>
        <w:rPr>
          <w:rFonts w:hint="eastAsia" w:ascii="宋体" w:hAnsi="宋体"/>
          <w:sz w:val="24"/>
          <w:szCs w:val="24"/>
        </w:rPr>
      </w:pPr>
      <w:r>
        <w:rPr>
          <w:rFonts w:hint="eastAsia" w:ascii="宋体" w:hAnsi="宋体"/>
          <w:sz w:val="24"/>
          <w:szCs w:val="24"/>
        </w:rPr>
        <w:t>无重大违法记录的声明函</w:t>
      </w:r>
    </w:p>
    <w:p>
      <w:pPr>
        <w:adjustRightInd w:val="0"/>
        <w:spacing w:before="312" w:beforeLines="100" w:after="156" w:afterLines="50"/>
        <w:ind w:right="480"/>
        <w:rPr>
          <w:rFonts w:hint="eastAsia" w:ascii="宋体" w:hAnsi="宋体"/>
          <w:sz w:val="24"/>
          <w:szCs w:val="24"/>
        </w:rPr>
      </w:pPr>
      <w:r>
        <w:rPr>
          <w:rFonts w:hint="eastAsia" w:ascii="宋体" w:hAnsi="宋体"/>
          <w:sz w:val="24"/>
          <w:szCs w:val="24"/>
        </w:rPr>
        <w:t xml:space="preserve">致：铜仁市公共资源交易中心     </w:t>
      </w:r>
    </w:p>
    <w:p>
      <w:pPr>
        <w:adjustRightInd w:val="0"/>
        <w:spacing w:before="312" w:beforeLines="100" w:after="156" w:afterLines="50"/>
        <w:ind w:right="482"/>
        <w:jc w:val="lef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u w:val="single"/>
        </w:rPr>
        <w:t>（供应商全称）</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参加贵单位组织的项目名称为：</w:t>
      </w:r>
      <w:r>
        <w:rPr>
          <w:rFonts w:hint="eastAsia" w:ascii="宋体" w:hAnsi="宋体"/>
          <w:sz w:val="24"/>
          <w:szCs w:val="24"/>
          <w:u w:val="single"/>
          <w:lang w:val="en-US" w:eastAsia="zh-CN"/>
        </w:rPr>
        <w:t xml:space="preserve">          </w:t>
      </w:r>
      <w:r>
        <w:rPr>
          <w:rFonts w:hint="eastAsia" w:ascii="宋体" w:hAnsi="宋体"/>
          <w:sz w:val="24"/>
          <w:szCs w:val="24"/>
        </w:rPr>
        <w:t xml:space="preserve"> ，项目编号：</w:t>
      </w:r>
      <w:r>
        <w:rPr>
          <w:rFonts w:hint="eastAsia" w:ascii="宋体" w:hAnsi="宋体"/>
          <w:sz w:val="24"/>
          <w:szCs w:val="24"/>
          <w:u w:val="single"/>
          <w:lang w:val="en-US" w:eastAsia="zh-CN"/>
        </w:rPr>
        <w:t xml:space="preserve">          </w:t>
      </w:r>
      <w:r>
        <w:rPr>
          <w:rFonts w:hint="eastAsia" w:ascii="宋体" w:hAnsi="宋体"/>
          <w:sz w:val="24"/>
          <w:szCs w:val="24"/>
        </w:rPr>
        <w:t>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312" w:beforeLines="100" w:after="156" w:afterLines="50"/>
        <w:ind w:right="480"/>
        <w:jc w:val="right"/>
        <w:rPr>
          <w:rFonts w:hint="eastAsia" w:ascii="宋体" w:hAnsi="宋体"/>
          <w:sz w:val="24"/>
          <w:szCs w:val="24"/>
        </w:rPr>
      </w:pPr>
    </w:p>
    <w:p>
      <w:pPr>
        <w:adjustRightInd w:val="0"/>
        <w:spacing w:before="312" w:beforeLines="100" w:after="156" w:afterLines="50"/>
        <w:ind w:right="480"/>
        <w:jc w:val="center"/>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谈判响应供应商（全称并加盖公章）</w:t>
      </w:r>
      <w:r>
        <w:rPr>
          <w:rFonts w:hint="eastAsia" w:ascii="宋体" w:hAnsi="宋体"/>
          <w:sz w:val="24"/>
          <w:szCs w:val="24"/>
        </w:rPr>
        <w:t>：</w:t>
      </w:r>
    </w:p>
    <w:p>
      <w:pPr>
        <w:adjustRightInd w:val="0"/>
        <w:spacing w:before="312" w:beforeLines="100" w:after="156" w:afterLines="50"/>
        <w:ind w:right="480"/>
        <w:jc w:val="center"/>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 xml:space="preserve">法定代表人或授权代表（签字）：                </w:t>
      </w:r>
    </w:p>
    <w:p>
      <w:pPr>
        <w:adjustRightInd w:val="0"/>
        <w:spacing w:before="312" w:beforeLines="100" w:after="156" w:afterLines="50"/>
        <w:ind w:right="480"/>
        <w:jc w:val="center"/>
        <w:rPr>
          <w:rFonts w:hint="eastAsia" w:ascii="宋体" w:hAnsi="宋体" w:cs="宋体"/>
          <w:sz w:val="24"/>
        </w:rPr>
      </w:pPr>
      <w:r>
        <w:rPr>
          <w:rFonts w:hint="eastAsia" w:ascii="宋体" w:hAnsi="宋体"/>
          <w:sz w:val="24"/>
          <w:szCs w:val="24"/>
          <w:lang w:val="en-US" w:eastAsia="zh-CN"/>
        </w:rPr>
        <w:t xml:space="preserve">       </w:t>
      </w:r>
      <w:r>
        <w:rPr>
          <w:rFonts w:hint="eastAsia" w:ascii="宋体" w:hAnsi="宋体"/>
          <w:sz w:val="24"/>
          <w:szCs w:val="24"/>
        </w:rPr>
        <w:t>日</w:t>
      </w:r>
      <w:r>
        <w:rPr>
          <w:rFonts w:hint="eastAsia" w:ascii="宋体" w:hAnsi="宋体"/>
          <w:sz w:val="24"/>
          <w:szCs w:val="24"/>
          <w:lang w:val="en-US" w:eastAsia="zh-CN"/>
        </w:rPr>
        <w:t xml:space="preserve">    </w:t>
      </w:r>
      <w:r>
        <w:rPr>
          <w:rFonts w:hint="eastAsia" w:ascii="宋体" w:hAnsi="宋体"/>
          <w:sz w:val="24"/>
          <w:szCs w:val="24"/>
        </w:rPr>
        <w:t>期：</w:t>
      </w:r>
    </w:p>
    <w:p>
      <w:pPr>
        <w:spacing w:line="360" w:lineRule="auto"/>
        <w:rPr>
          <w:rFonts w:hint="eastAsia" w:asciiTheme="minorEastAsia" w:hAnsiTheme="minorEastAsia" w:eastAsiaTheme="minorEastAsia" w:cstheme="minorEastAsia"/>
          <w:b/>
          <w:bCs/>
          <w:sz w:val="28"/>
          <w:szCs w:val="28"/>
        </w:rPr>
      </w:pPr>
    </w:p>
    <w:p>
      <w:pPr>
        <w:jc w:val="center"/>
        <w:rPr>
          <w:rFonts w:hint="eastAsia" w:ascii="宋体" w:hAnsi="宋体"/>
          <w:b/>
          <w:color w:val="000000"/>
          <w:sz w:val="32"/>
          <w:szCs w:val="32"/>
          <w:lang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jc w:val="center"/>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（1）售后服务承诺</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（2）质量保证承诺书</w:t>
      </w:r>
    </w:p>
    <w:p>
      <w:pPr>
        <w:autoSpaceDE w:val="0"/>
        <w:autoSpaceDN w:val="0"/>
        <w:adjustRightIn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（3）按照国家验收标准执行</w:t>
      </w:r>
    </w:p>
    <w:p>
      <w:pPr>
        <w:autoSpaceDE w:val="0"/>
        <w:autoSpaceDN w:val="0"/>
        <w:adjustRightInd w:val="0"/>
        <w:ind w:left="482" w:hanging="482" w:hangingChars="200"/>
        <w:rPr>
          <w:rFonts w:hint="eastAsia" w:asciiTheme="minorEastAsia" w:hAnsiTheme="minorEastAsia" w:eastAsiaTheme="minorEastAsia" w:cstheme="minorEastAsia"/>
          <w:b/>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p>
    <w:p>
      <w:pPr>
        <w:ind w:firstLine="3000" w:firstLineChars="1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spacing w:line="360" w:lineRule="auto"/>
        <w:ind w:firstLine="435"/>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spacing w:line="360" w:lineRule="auto"/>
        <w:ind w:firstLine="435"/>
        <w:rPr>
          <w:rFonts w:ascii="宋体" w:hAnsi="宋体"/>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宋体" w:hAnsi="宋体"/>
      </w:rPr>
    </w:pP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60</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60</w:t>
    </w:r>
    <w:r>
      <w:rPr>
        <w:rFonts w:ascii="宋体" w:hAnsi="宋体"/>
      </w:rPr>
      <w:fldChar w:fldCharType="end"/>
    </w:r>
    <w:r>
      <w:rPr>
        <w:rStyle w:val="21"/>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97</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97</w:t>
    </w:r>
    <w:r>
      <w:rPr>
        <w:rFonts w:ascii="宋体" w:hAnsi="宋体"/>
      </w:rPr>
      <w:fldChar w:fldCharType="end"/>
    </w:r>
    <w:r>
      <w:rPr>
        <w:rStyle w:val="21"/>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41976"/>
    <w:multiLevelType w:val="singleLevel"/>
    <w:tmpl w:val="B5C41976"/>
    <w:lvl w:ilvl="0" w:tentative="0">
      <w:start w:val="14"/>
      <w:numFmt w:val="decimal"/>
      <w:suff w:val="nothing"/>
      <w:lvlText w:val="%1、"/>
      <w:lvlJc w:val="left"/>
    </w:lvl>
  </w:abstractNum>
  <w:abstractNum w:abstractNumId="1">
    <w:nsid w:val="0056206A"/>
    <w:multiLevelType w:val="singleLevel"/>
    <w:tmpl w:val="0056206A"/>
    <w:lvl w:ilvl="0" w:tentative="0">
      <w:start w:val="1"/>
      <w:numFmt w:val="chineseCounting"/>
      <w:suff w:val="nothing"/>
      <w:lvlText w:val="%1、"/>
      <w:lvlJc w:val="left"/>
      <w:rPr>
        <w:rFonts w:hint="eastAsia"/>
      </w:rPr>
    </w:lvl>
  </w:abstractNum>
  <w:abstractNum w:abstractNumId="2">
    <w:nsid w:val="59A303B5"/>
    <w:multiLevelType w:val="singleLevel"/>
    <w:tmpl w:val="59A303B5"/>
    <w:lvl w:ilvl="0" w:tentative="0">
      <w:start w:val="1"/>
      <w:numFmt w:val="chineseCounting"/>
      <w:suff w:val="space"/>
      <w:lvlText w:val="第%1章"/>
      <w:lvlJc w:val="left"/>
    </w:lvl>
  </w:abstractNum>
  <w:abstractNum w:abstractNumId="3">
    <w:nsid w:val="59E837DD"/>
    <w:multiLevelType w:val="singleLevel"/>
    <w:tmpl w:val="59E837DD"/>
    <w:lvl w:ilvl="0" w:tentative="0">
      <w:start w:val="6"/>
      <w:numFmt w:val="chineseCounting"/>
      <w:suff w:val="nothing"/>
      <w:lvlText w:val="%1、"/>
      <w:lvlJc w:val="left"/>
    </w:lvl>
  </w:abstractNum>
  <w:abstractNum w:abstractNumId="4">
    <w:nsid w:val="5A485375"/>
    <w:multiLevelType w:val="multilevel"/>
    <w:tmpl w:val="5A485375"/>
    <w:lvl w:ilvl="0" w:tentative="0">
      <w:start w:val="1"/>
      <w:numFmt w:val="decimal"/>
      <w:suff w:val="space"/>
      <w:lvlText w:val="（%1）"/>
      <w:lvlJc w:val="left"/>
      <w:pPr>
        <w:ind w:left="142"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45228"/>
    <w:rsid w:val="00443B62"/>
    <w:rsid w:val="006D5571"/>
    <w:rsid w:val="01B17FB3"/>
    <w:rsid w:val="01EC1D87"/>
    <w:rsid w:val="021A7FB5"/>
    <w:rsid w:val="0276233E"/>
    <w:rsid w:val="027A50E9"/>
    <w:rsid w:val="02FB27D7"/>
    <w:rsid w:val="034667CA"/>
    <w:rsid w:val="049217A3"/>
    <w:rsid w:val="085F3A07"/>
    <w:rsid w:val="08EA3594"/>
    <w:rsid w:val="09560B4F"/>
    <w:rsid w:val="0AFE0440"/>
    <w:rsid w:val="0B5003DE"/>
    <w:rsid w:val="0BA14AC5"/>
    <w:rsid w:val="0BCB3920"/>
    <w:rsid w:val="0C542960"/>
    <w:rsid w:val="0D6E126D"/>
    <w:rsid w:val="0DC81468"/>
    <w:rsid w:val="0E620997"/>
    <w:rsid w:val="101370A5"/>
    <w:rsid w:val="105844D3"/>
    <w:rsid w:val="118E4C77"/>
    <w:rsid w:val="11AC325D"/>
    <w:rsid w:val="11E15EC0"/>
    <w:rsid w:val="13623309"/>
    <w:rsid w:val="158244D2"/>
    <w:rsid w:val="15FC58CB"/>
    <w:rsid w:val="16381BC1"/>
    <w:rsid w:val="166439E6"/>
    <w:rsid w:val="16A20808"/>
    <w:rsid w:val="17D103EE"/>
    <w:rsid w:val="19EB2E0C"/>
    <w:rsid w:val="1A38047F"/>
    <w:rsid w:val="1C5F4772"/>
    <w:rsid w:val="1C8D5F9A"/>
    <w:rsid w:val="1C9D20D0"/>
    <w:rsid w:val="1CB7748B"/>
    <w:rsid w:val="1CE16C05"/>
    <w:rsid w:val="1E3F2E53"/>
    <w:rsid w:val="1F045C70"/>
    <w:rsid w:val="1FE07D87"/>
    <w:rsid w:val="1FEB7BD1"/>
    <w:rsid w:val="21914EE1"/>
    <w:rsid w:val="23B74867"/>
    <w:rsid w:val="243D5026"/>
    <w:rsid w:val="24F14944"/>
    <w:rsid w:val="25347D4E"/>
    <w:rsid w:val="258B2FB0"/>
    <w:rsid w:val="25B026C6"/>
    <w:rsid w:val="262F7344"/>
    <w:rsid w:val="262F7EF5"/>
    <w:rsid w:val="263540F1"/>
    <w:rsid w:val="264F7FB6"/>
    <w:rsid w:val="27E7758A"/>
    <w:rsid w:val="27FB5A8F"/>
    <w:rsid w:val="281828B6"/>
    <w:rsid w:val="285D3BBB"/>
    <w:rsid w:val="28D531A9"/>
    <w:rsid w:val="29667D6C"/>
    <w:rsid w:val="29811B3B"/>
    <w:rsid w:val="2986389C"/>
    <w:rsid w:val="2AB55679"/>
    <w:rsid w:val="2B9F21E2"/>
    <w:rsid w:val="2C1118BB"/>
    <w:rsid w:val="2C6811BB"/>
    <w:rsid w:val="2C9A2EF8"/>
    <w:rsid w:val="2CED7745"/>
    <w:rsid w:val="2D0C03FF"/>
    <w:rsid w:val="2DB1461C"/>
    <w:rsid w:val="2E1C648C"/>
    <w:rsid w:val="2ECB6107"/>
    <w:rsid w:val="2EF22C0E"/>
    <w:rsid w:val="2FAA6BB0"/>
    <w:rsid w:val="3102464D"/>
    <w:rsid w:val="3350193B"/>
    <w:rsid w:val="335A6B38"/>
    <w:rsid w:val="33E05460"/>
    <w:rsid w:val="351274BC"/>
    <w:rsid w:val="352A215E"/>
    <w:rsid w:val="35732FB9"/>
    <w:rsid w:val="360D5F6E"/>
    <w:rsid w:val="364F2F4D"/>
    <w:rsid w:val="36D33702"/>
    <w:rsid w:val="36F07C87"/>
    <w:rsid w:val="372E0CF4"/>
    <w:rsid w:val="37F96322"/>
    <w:rsid w:val="386E5B20"/>
    <w:rsid w:val="390E1755"/>
    <w:rsid w:val="39314386"/>
    <w:rsid w:val="39DD7A73"/>
    <w:rsid w:val="39EF4EC9"/>
    <w:rsid w:val="39F5376A"/>
    <w:rsid w:val="3A3417B7"/>
    <w:rsid w:val="3A422C59"/>
    <w:rsid w:val="3AF84CD2"/>
    <w:rsid w:val="3B2011DA"/>
    <w:rsid w:val="3B566CB5"/>
    <w:rsid w:val="3B740AEF"/>
    <w:rsid w:val="3B903CF2"/>
    <w:rsid w:val="3C240379"/>
    <w:rsid w:val="3E257700"/>
    <w:rsid w:val="3FD60A28"/>
    <w:rsid w:val="40531600"/>
    <w:rsid w:val="408506BF"/>
    <w:rsid w:val="413E13C0"/>
    <w:rsid w:val="415B16E5"/>
    <w:rsid w:val="42CE5F42"/>
    <w:rsid w:val="43A868AE"/>
    <w:rsid w:val="44742781"/>
    <w:rsid w:val="46812D59"/>
    <w:rsid w:val="468839B0"/>
    <w:rsid w:val="470976BD"/>
    <w:rsid w:val="473E0C24"/>
    <w:rsid w:val="4AF27F17"/>
    <w:rsid w:val="4C2A2FA7"/>
    <w:rsid w:val="4C397865"/>
    <w:rsid w:val="4D094CA9"/>
    <w:rsid w:val="4D0B6AC1"/>
    <w:rsid w:val="4D2A4D0B"/>
    <w:rsid w:val="4D8A08D6"/>
    <w:rsid w:val="4D907F10"/>
    <w:rsid w:val="4E7A0B2E"/>
    <w:rsid w:val="4E9724B3"/>
    <w:rsid w:val="514B4D54"/>
    <w:rsid w:val="51913D06"/>
    <w:rsid w:val="524324EE"/>
    <w:rsid w:val="52C00906"/>
    <w:rsid w:val="52CD0594"/>
    <w:rsid w:val="535B78A7"/>
    <w:rsid w:val="53F90C3F"/>
    <w:rsid w:val="54180659"/>
    <w:rsid w:val="54644498"/>
    <w:rsid w:val="548D0DBA"/>
    <w:rsid w:val="56C953CE"/>
    <w:rsid w:val="574D0320"/>
    <w:rsid w:val="57A0163E"/>
    <w:rsid w:val="58477195"/>
    <w:rsid w:val="58AF1697"/>
    <w:rsid w:val="58EC53F0"/>
    <w:rsid w:val="591A12B4"/>
    <w:rsid w:val="591E2159"/>
    <w:rsid w:val="5A430A45"/>
    <w:rsid w:val="5B3E176E"/>
    <w:rsid w:val="5CDE01A7"/>
    <w:rsid w:val="5E885598"/>
    <w:rsid w:val="5EA36488"/>
    <w:rsid w:val="5ECD1C15"/>
    <w:rsid w:val="5EEC4C7A"/>
    <w:rsid w:val="5FCA394C"/>
    <w:rsid w:val="6057418E"/>
    <w:rsid w:val="60A81185"/>
    <w:rsid w:val="60AC456F"/>
    <w:rsid w:val="60C55918"/>
    <w:rsid w:val="610E1868"/>
    <w:rsid w:val="61F50BF7"/>
    <w:rsid w:val="624C43BE"/>
    <w:rsid w:val="63274F4F"/>
    <w:rsid w:val="64434A2A"/>
    <w:rsid w:val="64C32497"/>
    <w:rsid w:val="65074522"/>
    <w:rsid w:val="6543778D"/>
    <w:rsid w:val="6640383C"/>
    <w:rsid w:val="66C1579F"/>
    <w:rsid w:val="67337798"/>
    <w:rsid w:val="677312CF"/>
    <w:rsid w:val="680430DB"/>
    <w:rsid w:val="68E75EE5"/>
    <w:rsid w:val="6A8016AA"/>
    <w:rsid w:val="6BE5697A"/>
    <w:rsid w:val="6C8067CE"/>
    <w:rsid w:val="6D2A6BA4"/>
    <w:rsid w:val="6D9E759C"/>
    <w:rsid w:val="6DD64203"/>
    <w:rsid w:val="6E0A0B59"/>
    <w:rsid w:val="6E132C27"/>
    <w:rsid w:val="6E9A5852"/>
    <w:rsid w:val="6ECF436B"/>
    <w:rsid w:val="6F452287"/>
    <w:rsid w:val="6F4D2F77"/>
    <w:rsid w:val="71464190"/>
    <w:rsid w:val="72B24E95"/>
    <w:rsid w:val="734B4D17"/>
    <w:rsid w:val="736C69C0"/>
    <w:rsid w:val="73DE445E"/>
    <w:rsid w:val="74B17E69"/>
    <w:rsid w:val="74DC1AF4"/>
    <w:rsid w:val="769A1C23"/>
    <w:rsid w:val="76B8682A"/>
    <w:rsid w:val="77DE7018"/>
    <w:rsid w:val="782A65E0"/>
    <w:rsid w:val="78DD09D3"/>
    <w:rsid w:val="79311D1F"/>
    <w:rsid w:val="7A0E23AB"/>
    <w:rsid w:val="7A4539AE"/>
    <w:rsid w:val="7A8A5AD3"/>
    <w:rsid w:val="7C313CC5"/>
    <w:rsid w:val="7CFD7B14"/>
    <w:rsid w:val="7D4C27BF"/>
    <w:rsid w:val="7E560A51"/>
    <w:rsid w:val="7FB64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9">
    <w:name w:val="Default Paragraph Font"/>
    <w:link w:val="20"/>
    <w:semiHidden/>
    <w:qFormat/>
    <w:uiPriority w:val="0"/>
    <w:rPr>
      <w:rFonts w:ascii="Times New Roman" w:hAnsi="Times New Roman"/>
      <w:szCs w:val="24"/>
    </w:rPr>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8">
    <w:name w:val="annotation text"/>
    <w:basedOn w:val="1"/>
    <w:qFormat/>
    <w:uiPriority w:val="0"/>
    <w:pPr>
      <w:jc w:val="left"/>
    </w:pPr>
  </w:style>
  <w:style w:type="paragraph" w:styleId="9">
    <w:name w:val="Body Text 3"/>
    <w:basedOn w:val="1"/>
    <w:qFormat/>
    <w:uiPriority w:val="0"/>
    <w:rPr>
      <w:rFonts w:ascii="宋体"/>
      <w:kern w:val="2"/>
      <w:sz w:val="24"/>
    </w:rPr>
  </w:style>
  <w:style w:type="paragraph" w:styleId="10">
    <w:name w:val="Body Text"/>
    <w:basedOn w:val="1"/>
    <w:qFormat/>
    <w:uiPriority w:val="0"/>
    <w:pPr>
      <w:spacing w:after="120"/>
    </w:pPr>
    <w:rPr>
      <w:szCs w:val="24"/>
    </w:rPr>
  </w:style>
  <w:style w:type="paragraph" w:styleId="11">
    <w:name w:val="Body Text Indent"/>
    <w:basedOn w:val="1"/>
    <w:semiHidden/>
    <w:unhideWhenUsed/>
    <w:qFormat/>
    <w:uiPriority w:val="99"/>
    <w:pPr>
      <w:spacing w:after="120"/>
      <w:ind w:left="420" w:leftChars="200"/>
    </w:p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11"/>
    <w:qFormat/>
    <w:uiPriority w:val="0"/>
    <w:pPr>
      <w:spacing w:after="0"/>
      <w:ind w:left="0" w:leftChars="0" w:firstLine="420" w:firstLineChars="200"/>
    </w:pPr>
    <w:rPr>
      <w:rFonts w:ascii="Arial" w:hAnsi="Arial" w:eastAsia="仿宋_GB2312"/>
      <w:sz w:val="28"/>
    </w:rPr>
  </w:style>
  <w:style w:type="paragraph" w:customStyle="1" w:styleId="20">
    <w:name w:val="Char Char Char Char Char Char"/>
    <w:basedOn w:val="1"/>
    <w:link w:val="19"/>
    <w:qFormat/>
    <w:uiPriority w:val="0"/>
    <w:rPr>
      <w:rFonts w:ascii="Times New Roman" w:hAnsi="Times New Roman"/>
      <w:szCs w:val="24"/>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basedOn w:val="19"/>
    <w:qFormat/>
    <w:uiPriority w:val="0"/>
    <w:rPr>
      <w:sz w:val="21"/>
      <w:szCs w:val="21"/>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5">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26">
    <w:name w:val=" Char Char Char Char Char Char Char"/>
    <w:basedOn w:val="1"/>
    <w:qFormat/>
    <w:uiPriority w:val="0"/>
    <w:rPr>
      <w:rFonts w:ascii="Times New Roman" w:hAnsi="Times New Roman"/>
      <w:szCs w:val="24"/>
    </w:rPr>
  </w:style>
  <w:style w:type="paragraph" w:customStyle="1" w:styleId="27">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8">
    <w:name w:val="样式3"/>
    <w:basedOn w:val="2"/>
    <w:qFormat/>
    <w:uiPriority w:val="0"/>
    <w:pPr>
      <w:spacing w:line="0" w:lineRule="atLeast"/>
      <w:outlineLvl w:val="0"/>
    </w:pPr>
    <w:rPr>
      <w:sz w:val="28"/>
    </w:rPr>
  </w:style>
  <w:style w:type="paragraph" w:customStyle="1" w:styleId="29">
    <w:name w:val="p0"/>
    <w:basedOn w:val="1"/>
    <w:qFormat/>
    <w:uiPriority w:val="0"/>
    <w:pPr>
      <w:widowControl/>
    </w:pPr>
    <w:rPr>
      <w:kern w:val="0"/>
      <w:szCs w:val="21"/>
    </w:rPr>
  </w:style>
  <w:style w:type="paragraph" w:customStyle="1" w:styleId="30">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31">
    <w:name w:val="font21"/>
    <w:basedOn w:val="19"/>
    <w:qFormat/>
    <w:uiPriority w:val="0"/>
    <w:rPr>
      <w:rFonts w:hint="eastAsia" w:ascii="宋体" w:hAnsi="宋体" w:eastAsia="宋体" w:cs="宋体"/>
      <w:color w:val="000000"/>
      <w:sz w:val="24"/>
      <w:szCs w:val="24"/>
      <w:u w:val="none"/>
    </w:rPr>
  </w:style>
  <w:style w:type="character" w:customStyle="1" w:styleId="32">
    <w:name w:val="font11"/>
    <w:basedOn w:val="19"/>
    <w:qFormat/>
    <w:uiPriority w:val="0"/>
    <w:rPr>
      <w:rFonts w:hint="eastAsia" w:ascii="宋体" w:hAnsi="宋体" w:eastAsia="宋体" w:cs="宋体"/>
      <w:color w:val="000000"/>
      <w:sz w:val="28"/>
      <w:szCs w:val="28"/>
      <w:u w:val="none"/>
    </w:rPr>
  </w:style>
  <w:style w:type="character" w:customStyle="1" w:styleId="33">
    <w:name w:val="font71"/>
    <w:basedOn w:val="19"/>
    <w:qFormat/>
    <w:uiPriority w:val="0"/>
    <w:rPr>
      <w:rFonts w:hint="eastAsia" w:ascii="宋体" w:hAnsi="宋体" w:eastAsia="宋体" w:cs="宋体"/>
      <w:color w:val="000000"/>
      <w:sz w:val="22"/>
      <w:szCs w:val="22"/>
      <w:u w:val="none"/>
    </w:rPr>
  </w:style>
  <w:style w:type="paragraph" w:customStyle="1" w:styleId="3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32072</Words>
  <Characters>34428</Characters>
  <Lines>0</Lines>
  <Paragraphs>0</Paragraphs>
  <TotalTime>19</TotalTime>
  <ScaleCrop>false</ScaleCrop>
  <LinksUpToDate>false</LinksUpToDate>
  <CharactersWithSpaces>36417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2019-08-12T08:44:00Z</cp:lastPrinted>
  <dcterms:modified xsi:type="dcterms:W3CDTF">2020-11-27T01:36:36Z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