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40" w:lineRule="auto"/>
        <w:jc w:val="both"/>
        <w:rPr>
          <w:rFonts w:hint="eastAsia" w:ascii="黑体" w:hAnsi="黑体" w:eastAsia="黑体"/>
          <w:b/>
          <w:bCs/>
          <w:color w:val="000000"/>
          <w:sz w:val="52"/>
          <w:szCs w:val="52"/>
          <w:lang w:eastAsia="zh-CN"/>
        </w:rPr>
        <w:sectPr>
          <w:headerReference r:id="rId3" w:type="default"/>
          <w:footerReference r:id="rId4" w:type="default"/>
          <w:pgSz w:w="11906" w:h="16838"/>
          <w:pgMar w:top="1440" w:right="1797" w:bottom="1440" w:left="1797" w:header="851" w:footer="992" w:gutter="0"/>
          <w:cols w:space="720" w:num="1"/>
          <w:docGrid w:linePitch="312" w:charSpace="0"/>
        </w:sectPr>
      </w:pPr>
      <w:r>
        <w:rPr>
          <w:rFonts w:hint="eastAsia" w:ascii="黑体" w:hAnsi="黑体" w:eastAsia="黑体"/>
          <w:b/>
          <w:bCs/>
          <w:color w:val="000000"/>
          <w:sz w:val="52"/>
          <w:szCs w:val="52"/>
          <w:lang w:eastAsia="zh-CN"/>
        </w:rPr>
        <w:drawing>
          <wp:inline distT="0" distB="0" distL="114300" distR="114300">
            <wp:extent cx="5271770" cy="8027035"/>
            <wp:effectExtent l="0" t="0" r="5080" b="2540"/>
            <wp:docPr id="1" name="图片 1" descr="审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审核‘"/>
                    <pic:cNvPicPr>
                      <a:picLocks noChangeAspect="1"/>
                    </pic:cNvPicPr>
                  </pic:nvPicPr>
                  <pic:blipFill>
                    <a:blip r:embed="rId8"/>
                    <a:stretch>
                      <a:fillRect/>
                    </a:stretch>
                  </pic:blipFill>
                  <pic:spPr>
                    <a:xfrm>
                      <a:off x="0" y="0"/>
                      <a:ext cx="5271770" cy="8027035"/>
                    </a:xfrm>
                    <a:prstGeom prst="rect">
                      <a:avLst/>
                    </a:prstGeom>
                  </pic:spPr>
                </pic:pic>
              </a:graphicData>
            </a:graphic>
          </wp:inline>
        </w:drawing>
      </w:r>
    </w:p>
    <w:p>
      <w:pPr>
        <w:pStyle w:val="10"/>
        <w:spacing w:line="700" w:lineRule="exact"/>
        <w:jc w:val="center"/>
        <w:rPr>
          <w:rFonts w:hint="eastAsia" w:ascii="黑体" w:hAnsi="黑体" w:eastAsia="黑体"/>
          <w:b/>
          <w:bCs/>
          <w:color w:val="000000"/>
          <w:sz w:val="52"/>
          <w:szCs w:val="52"/>
          <w:lang w:eastAsia="zh-CN"/>
        </w:rPr>
      </w:pPr>
      <w:r>
        <w:rPr>
          <w:rFonts w:hint="eastAsia" w:ascii="黑体" w:hAnsi="黑体" w:eastAsia="黑体"/>
          <w:b/>
          <w:bCs/>
          <w:color w:val="000000"/>
          <w:sz w:val="52"/>
          <w:szCs w:val="52"/>
          <w:lang w:eastAsia="zh-CN"/>
        </w:rPr>
        <w:t>石阡县农业农村局</w:t>
      </w:r>
    </w:p>
    <w:p>
      <w:pPr>
        <w:pStyle w:val="10"/>
        <w:spacing w:line="700" w:lineRule="exact"/>
        <w:jc w:val="center"/>
        <w:rPr>
          <w:rFonts w:ascii="黑体" w:hAnsi="宋体" w:eastAsia="黑体"/>
          <w:b/>
          <w:color w:val="000000"/>
          <w:spacing w:val="-4"/>
          <w:sz w:val="44"/>
          <w:szCs w:val="44"/>
        </w:rPr>
      </w:pPr>
    </w:p>
    <w:p>
      <w:pPr>
        <w:pStyle w:val="10"/>
        <w:spacing w:line="700" w:lineRule="exact"/>
        <w:jc w:val="center"/>
        <w:rPr>
          <w:rFonts w:hint="eastAsia" w:ascii="黑体" w:hAnsi="宋体" w:eastAsia="黑体"/>
          <w:b/>
          <w:color w:val="000000"/>
          <w:spacing w:val="-4"/>
          <w:sz w:val="48"/>
          <w:szCs w:val="48"/>
          <w:lang w:eastAsia="zh-CN"/>
        </w:rPr>
      </w:pPr>
      <w:r>
        <w:rPr>
          <w:rFonts w:hint="eastAsia" w:ascii="黑体" w:hAnsi="宋体" w:eastAsia="黑体"/>
          <w:b/>
          <w:color w:val="000000"/>
          <w:spacing w:val="-4"/>
          <w:sz w:val="48"/>
          <w:szCs w:val="48"/>
          <w:lang w:eastAsia="zh-CN"/>
        </w:rPr>
        <w:t>石阡县农业农村局设备采购项目</w:t>
      </w:r>
    </w:p>
    <w:p>
      <w:pPr>
        <w:pStyle w:val="10"/>
        <w:spacing w:line="700" w:lineRule="exact"/>
        <w:jc w:val="center"/>
        <w:rPr>
          <w:rFonts w:hint="eastAsia" w:ascii="黑体" w:hAnsi="宋体" w:eastAsia="黑体"/>
          <w:b/>
          <w:color w:val="000000"/>
          <w:spacing w:val="-4"/>
          <w:sz w:val="48"/>
          <w:szCs w:val="48"/>
          <w:lang w:eastAsia="zh-CN"/>
        </w:rPr>
      </w:pPr>
      <w:r>
        <w:rPr>
          <w:rFonts w:hint="eastAsia" w:ascii="黑体" w:hAnsi="宋体" w:eastAsia="黑体"/>
          <w:b/>
          <w:color w:val="000000"/>
          <w:spacing w:val="-4"/>
          <w:sz w:val="48"/>
          <w:szCs w:val="48"/>
          <w:lang w:eastAsia="zh-CN"/>
        </w:rPr>
        <w:t>（二次采购）</w:t>
      </w:r>
    </w:p>
    <w:p>
      <w:pPr>
        <w:pStyle w:val="10"/>
        <w:spacing w:line="700" w:lineRule="exact"/>
        <w:jc w:val="center"/>
        <w:rPr>
          <w:rFonts w:ascii="黑体" w:hAnsi="宋体" w:eastAsia="黑体"/>
          <w:b/>
          <w:color w:val="000000"/>
          <w:spacing w:val="-4"/>
          <w:sz w:val="44"/>
          <w:szCs w:val="44"/>
        </w:rPr>
      </w:pPr>
    </w:p>
    <w:p>
      <w:pPr>
        <w:pStyle w:val="10"/>
        <w:spacing w:line="700" w:lineRule="exact"/>
        <w:rPr>
          <w:rFonts w:ascii="黑体" w:hAnsi="宋体" w:eastAsia="黑体"/>
          <w:b/>
          <w:color w:val="000000"/>
          <w:spacing w:val="-4"/>
          <w:sz w:val="44"/>
          <w:szCs w:val="44"/>
        </w:rPr>
      </w:pPr>
    </w:p>
    <w:p>
      <w:pPr>
        <w:pStyle w:val="10"/>
        <w:spacing w:line="700" w:lineRule="exact"/>
        <w:rPr>
          <w:rFonts w:ascii="黑体" w:hAnsi="宋体" w:eastAsia="黑体"/>
          <w:b/>
          <w:color w:val="000000"/>
          <w:spacing w:val="-4"/>
          <w:sz w:val="44"/>
          <w:szCs w:val="44"/>
        </w:rPr>
      </w:pPr>
    </w:p>
    <w:p>
      <w:pPr>
        <w:pStyle w:val="10"/>
        <w:spacing w:line="360" w:lineRule="auto"/>
        <w:jc w:val="center"/>
        <w:rPr>
          <w:rFonts w:asciiTheme="minorEastAsia" w:hAnsiTheme="minorEastAsia" w:cstheme="minorEastAsia"/>
          <w:b/>
          <w:bCs/>
          <w:sz w:val="52"/>
          <w:szCs w:val="52"/>
        </w:rPr>
      </w:pPr>
      <w:r>
        <w:rPr>
          <w:rFonts w:hint="eastAsia" w:asciiTheme="minorEastAsia" w:hAnsiTheme="minorEastAsia" w:cstheme="minorEastAsia"/>
          <w:b/>
          <w:bCs/>
          <w:sz w:val="52"/>
          <w:szCs w:val="52"/>
        </w:rPr>
        <w:t>谈</w:t>
      </w:r>
    </w:p>
    <w:p>
      <w:pPr>
        <w:pStyle w:val="10"/>
        <w:spacing w:line="360" w:lineRule="auto"/>
        <w:jc w:val="center"/>
        <w:rPr>
          <w:rFonts w:asciiTheme="minorEastAsia" w:hAnsiTheme="minorEastAsia" w:cstheme="minorEastAsia"/>
          <w:b/>
          <w:bCs/>
          <w:sz w:val="52"/>
          <w:szCs w:val="52"/>
        </w:rPr>
      </w:pPr>
      <w:r>
        <w:rPr>
          <w:rFonts w:hint="eastAsia" w:asciiTheme="minorEastAsia" w:hAnsiTheme="minorEastAsia" w:cstheme="minorEastAsia"/>
          <w:b/>
          <w:bCs/>
          <w:sz w:val="52"/>
          <w:szCs w:val="52"/>
        </w:rPr>
        <w:t>判</w:t>
      </w:r>
    </w:p>
    <w:p>
      <w:pPr>
        <w:pStyle w:val="10"/>
        <w:spacing w:line="360" w:lineRule="auto"/>
        <w:jc w:val="center"/>
        <w:rPr>
          <w:rFonts w:asciiTheme="minorEastAsia" w:hAnsiTheme="minorEastAsia" w:cstheme="minorEastAsia"/>
          <w:b/>
          <w:bCs/>
          <w:sz w:val="52"/>
          <w:szCs w:val="52"/>
        </w:rPr>
      </w:pPr>
      <w:r>
        <w:rPr>
          <w:rFonts w:hint="eastAsia" w:asciiTheme="minorEastAsia" w:hAnsiTheme="minorEastAsia" w:cstheme="minorEastAsia"/>
          <w:b/>
          <w:bCs/>
          <w:sz w:val="52"/>
          <w:szCs w:val="52"/>
        </w:rPr>
        <w:t>文</w:t>
      </w:r>
    </w:p>
    <w:p>
      <w:pPr>
        <w:pStyle w:val="10"/>
        <w:spacing w:line="360" w:lineRule="auto"/>
        <w:jc w:val="center"/>
        <w:rPr>
          <w:rFonts w:asciiTheme="minorEastAsia" w:hAnsiTheme="minorEastAsia" w:cstheme="minorEastAsia"/>
          <w:b/>
          <w:bCs/>
          <w:sz w:val="52"/>
          <w:szCs w:val="52"/>
        </w:rPr>
      </w:pPr>
      <w:r>
        <w:rPr>
          <w:rFonts w:hint="eastAsia" w:asciiTheme="minorEastAsia" w:hAnsiTheme="minorEastAsia" w:cstheme="minorEastAsia"/>
          <w:b/>
          <w:bCs/>
          <w:sz w:val="52"/>
          <w:szCs w:val="52"/>
        </w:rPr>
        <w:t>件</w:t>
      </w:r>
    </w:p>
    <w:p>
      <w:pPr>
        <w:pStyle w:val="10"/>
        <w:spacing w:line="360" w:lineRule="auto"/>
        <w:ind w:firstLine="1265" w:firstLineChars="450"/>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pStyle w:val="10"/>
        <w:spacing w:line="360" w:lineRule="auto"/>
        <w:ind w:firstLine="1265" w:firstLineChars="450"/>
        <w:rPr>
          <w:rFonts w:asciiTheme="minorEastAsia" w:hAnsiTheme="minorEastAsia" w:cstheme="minorEastAsia"/>
          <w:b/>
          <w:color w:val="000000"/>
          <w:sz w:val="28"/>
          <w:szCs w:val="28"/>
        </w:rPr>
      </w:pPr>
    </w:p>
    <w:p>
      <w:pPr>
        <w:pStyle w:val="10"/>
        <w:spacing w:line="560" w:lineRule="exact"/>
        <w:ind w:firstLine="694" w:firstLineChars="247"/>
        <w:rPr>
          <w:rFonts w:hint="eastAsia" w:asciiTheme="minorEastAsia" w:hAnsiTheme="minorEastAsia" w:eastAsiaTheme="minorEastAsia" w:cstheme="minorEastAsia"/>
          <w:b/>
          <w:bCs/>
          <w:color w:val="000000"/>
          <w:sz w:val="28"/>
          <w:szCs w:val="28"/>
          <w:lang w:eastAsia="zh-CN"/>
        </w:rPr>
      </w:pPr>
      <w:r>
        <w:rPr>
          <w:rFonts w:hint="eastAsia" w:asciiTheme="minorEastAsia" w:hAnsiTheme="minorEastAsia" w:cstheme="minorEastAsia"/>
          <w:b/>
          <w:color w:val="000000"/>
          <w:sz w:val="28"/>
          <w:szCs w:val="28"/>
        </w:rPr>
        <w:t>招标项目：</w:t>
      </w:r>
      <w:r>
        <w:rPr>
          <w:rFonts w:hint="eastAsia" w:asciiTheme="minorEastAsia" w:hAnsiTheme="minorEastAsia" w:cstheme="minorEastAsia"/>
          <w:b/>
          <w:color w:val="000000"/>
          <w:sz w:val="28"/>
          <w:szCs w:val="28"/>
          <w:lang w:eastAsia="zh-CN"/>
        </w:rPr>
        <w:t>石阡县农业农村局设备采购项目（二次采购）</w:t>
      </w:r>
    </w:p>
    <w:p>
      <w:pPr>
        <w:pStyle w:val="10"/>
        <w:spacing w:line="560" w:lineRule="exact"/>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cstheme="minorEastAsia"/>
          <w:b/>
          <w:color w:val="000000"/>
          <w:sz w:val="28"/>
          <w:szCs w:val="28"/>
        </w:rPr>
        <w:t xml:space="preserve">     招标编号：QCZB2020-</w:t>
      </w:r>
      <w:r>
        <w:rPr>
          <w:rFonts w:hint="eastAsia" w:asciiTheme="minorEastAsia" w:hAnsiTheme="minorEastAsia" w:cstheme="minorEastAsia"/>
          <w:b/>
          <w:color w:val="000000"/>
          <w:sz w:val="28"/>
          <w:szCs w:val="28"/>
          <w:lang w:eastAsia="zh-CN"/>
        </w:rPr>
        <w:t>006C</w:t>
      </w:r>
    </w:p>
    <w:p>
      <w:pPr>
        <w:pStyle w:val="10"/>
        <w:spacing w:line="560" w:lineRule="exact"/>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招标方式：竞争性谈判  </w:t>
      </w:r>
    </w:p>
    <w:p>
      <w:pPr>
        <w:pStyle w:val="10"/>
        <w:spacing w:line="560" w:lineRule="exact"/>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项目类别：货物类</w:t>
      </w:r>
    </w:p>
    <w:p>
      <w:pPr>
        <w:pStyle w:val="10"/>
        <w:spacing w:line="560" w:lineRule="exact"/>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pStyle w:val="7"/>
        <w:ind w:firstLine="0"/>
        <w:jc w:val="center"/>
        <w:rPr>
          <w:rFonts w:asciiTheme="minorEastAsia" w:hAnsiTheme="minorEastAsia" w:cstheme="minorEastAsia"/>
          <w:b/>
          <w:bCs/>
          <w:sz w:val="28"/>
          <w:szCs w:val="28"/>
        </w:rPr>
      </w:pPr>
    </w:p>
    <w:p>
      <w:pPr>
        <w:spacing w:line="360" w:lineRule="auto"/>
        <w:jc w:val="center"/>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贵州黔诚商务有限公司编制</w:t>
      </w:r>
    </w:p>
    <w:p>
      <w:pPr>
        <w:spacing w:line="360" w:lineRule="auto"/>
        <w:jc w:val="both"/>
        <w:rPr>
          <w:rFonts w:hint="eastAsia" w:ascii="宋体" w:hAnsi="宋体"/>
          <w:b/>
          <w:sz w:val="36"/>
          <w:szCs w:val="36"/>
        </w:rPr>
        <w:sectPr>
          <w:pgSz w:w="11906" w:h="16838"/>
          <w:pgMar w:top="1440" w:right="1797" w:bottom="1440" w:left="1797" w:header="851" w:footer="992" w:gutter="0"/>
          <w:cols w:space="720" w:num="1"/>
          <w:docGrid w:linePitch="312" w:charSpace="0"/>
        </w:sectPr>
      </w:pPr>
    </w:p>
    <w:p>
      <w:pPr>
        <w:spacing w:line="360" w:lineRule="auto"/>
        <w:jc w:val="center"/>
        <w:rPr>
          <w:rFonts w:ascii="宋体" w:hAnsi="宋体"/>
          <w:b/>
          <w:sz w:val="36"/>
          <w:szCs w:val="36"/>
        </w:rPr>
      </w:pPr>
      <w:r>
        <w:rPr>
          <w:rFonts w:hint="eastAsia" w:ascii="宋体" w:hAnsi="宋体"/>
          <w:b/>
          <w:sz w:val="36"/>
          <w:szCs w:val="36"/>
        </w:rPr>
        <w:t>目   录</w:t>
      </w:r>
    </w:p>
    <w:p>
      <w:pPr>
        <w:spacing w:line="360" w:lineRule="auto"/>
        <w:jc w:val="center"/>
        <w:rPr>
          <w:rFonts w:ascii="宋体" w:hAnsi="宋体"/>
          <w:b/>
          <w:sz w:val="36"/>
          <w:szCs w:val="36"/>
        </w:rPr>
      </w:pPr>
    </w:p>
    <w:p>
      <w:pPr>
        <w:numPr>
          <w:ilvl w:val="0"/>
          <w:numId w:val="1"/>
        </w:numPr>
        <w:spacing w:line="360" w:lineRule="auto"/>
        <w:rPr>
          <w:rFonts w:ascii="宋体" w:hAnsi="宋体"/>
          <w:b/>
          <w:sz w:val="28"/>
          <w:szCs w:val="28"/>
        </w:rPr>
      </w:pPr>
      <w:r>
        <w:rPr>
          <w:rFonts w:hint="eastAsia" w:ascii="宋体" w:hAnsi="宋体"/>
          <w:b/>
          <w:sz w:val="28"/>
          <w:szCs w:val="28"/>
        </w:rPr>
        <w:t>谈判公告</w:t>
      </w:r>
    </w:p>
    <w:p>
      <w:pPr>
        <w:numPr>
          <w:ilvl w:val="0"/>
          <w:numId w:val="1"/>
        </w:numPr>
        <w:spacing w:line="360" w:lineRule="auto"/>
        <w:rPr>
          <w:rFonts w:ascii="宋体" w:hAnsi="宋体"/>
          <w:b/>
          <w:sz w:val="28"/>
          <w:szCs w:val="28"/>
        </w:rPr>
      </w:pPr>
      <w:r>
        <w:rPr>
          <w:rFonts w:hint="eastAsia" w:ascii="宋体" w:hAnsi="宋体"/>
          <w:b/>
          <w:sz w:val="28"/>
          <w:szCs w:val="28"/>
        </w:rPr>
        <w:t>谈判供应商须知</w:t>
      </w:r>
    </w:p>
    <w:p>
      <w:pPr>
        <w:spacing w:line="360" w:lineRule="auto"/>
        <w:rPr>
          <w:rFonts w:ascii="宋体" w:hAnsi="宋体"/>
          <w:b/>
          <w:sz w:val="28"/>
          <w:szCs w:val="28"/>
        </w:rPr>
      </w:pPr>
      <w:r>
        <w:rPr>
          <w:rFonts w:hint="eastAsia" w:ascii="宋体" w:hAnsi="宋体"/>
          <w:b/>
          <w:sz w:val="28"/>
          <w:szCs w:val="28"/>
        </w:rPr>
        <w:t>第三章  谈判供应商须知正文部分</w:t>
      </w:r>
    </w:p>
    <w:p>
      <w:pPr>
        <w:numPr>
          <w:ilvl w:val="0"/>
          <w:numId w:val="1"/>
        </w:numPr>
        <w:spacing w:line="360" w:lineRule="auto"/>
        <w:rPr>
          <w:rFonts w:ascii="宋体" w:hAnsi="宋体"/>
          <w:b/>
          <w:sz w:val="28"/>
          <w:szCs w:val="28"/>
        </w:rPr>
      </w:pPr>
      <w:r>
        <w:rPr>
          <w:rFonts w:hint="eastAsia" w:ascii="宋体" w:hAnsi="宋体"/>
          <w:b/>
          <w:bCs/>
          <w:sz w:val="28"/>
          <w:szCs w:val="28"/>
        </w:rPr>
        <w:t>谈判内容及要求</w:t>
      </w:r>
    </w:p>
    <w:p>
      <w:pPr>
        <w:numPr>
          <w:ilvl w:val="0"/>
          <w:numId w:val="1"/>
        </w:numPr>
        <w:spacing w:line="360" w:lineRule="auto"/>
        <w:rPr>
          <w:rFonts w:ascii="宋体" w:hAnsi="宋体"/>
          <w:b/>
          <w:sz w:val="28"/>
          <w:szCs w:val="28"/>
        </w:rPr>
      </w:pPr>
      <w:r>
        <w:rPr>
          <w:rFonts w:hint="eastAsia" w:ascii="宋体" w:hAnsi="宋体"/>
          <w:b/>
          <w:sz w:val="28"/>
          <w:szCs w:val="28"/>
        </w:rPr>
        <w:t>政府采购合同（参考文本）</w:t>
      </w:r>
    </w:p>
    <w:p>
      <w:pPr>
        <w:numPr>
          <w:ilvl w:val="0"/>
          <w:numId w:val="1"/>
        </w:numPr>
        <w:spacing w:line="360" w:lineRule="auto"/>
        <w:rPr>
          <w:rFonts w:ascii="宋体" w:hAnsi="宋体"/>
          <w:b/>
          <w:sz w:val="28"/>
          <w:szCs w:val="28"/>
        </w:rPr>
      </w:pPr>
      <w:r>
        <w:rPr>
          <w:rFonts w:hint="eastAsia" w:ascii="宋体" w:hAnsi="宋体"/>
          <w:b/>
          <w:sz w:val="28"/>
          <w:szCs w:val="28"/>
        </w:rPr>
        <w:t>响应文件格式</w:t>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pStyle w:val="2"/>
      </w:pPr>
      <w:r>
        <w:br w:type="page"/>
      </w:r>
    </w:p>
    <w:p>
      <w:pPr>
        <w:jc w:val="center"/>
        <w:rPr>
          <w:color w:val="000000"/>
          <w:sz w:val="36"/>
          <w:szCs w:val="36"/>
        </w:rPr>
      </w:pPr>
      <w:r>
        <w:rPr>
          <w:rFonts w:hint="eastAsia" w:ascii="宋体" w:hAnsi="宋体"/>
          <w:b/>
          <w:color w:val="000000"/>
          <w:sz w:val="36"/>
          <w:szCs w:val="36"/>
        </w:rPr>
        <w:t>第一章  谈判公告</w:t>
      </w:r>
    </w:p>
    <w:p>
      <w:pPr>
        <w:pStyle w:val="30"/>
        <w:spacing w:line="360" w:lineRule="auto"/>
        <w:ind w:firstLine="480" w:firstLineChars="200"/>
        <w:jc w:val="both"/>
        <w:rPr>
          <w:rFonts w:hint="eastAsia" w:hAnsi="宋体"/>
        </w:rPr>
      </w:pPr>
      <w:r>
        <w:rPr>
          <w:rFonts w:hint="eastAsia" w:hAnsi="宋体"/>
        </w:rPr>
        <w:t xml:space="preserve">项目概况 </w:t>
      </w:r>
    </w:p>
    <w:p>
      <w:pPr>
        <w:pStyle w:val="30"/>
        <w:spacing w:line="360" w:lineRule="auto"/>
        <w:ind w:firstLine="480" w:firstLineChars="200"/>
        <w:jc w:val="both"/>
        <w:rPr>
          <w:rFonts w:hint="eastAsia" w:hAnsi="宋体"/>
        </w:rPr>
      </w:pPr>
      <w:r>
        <w:rPr>
          <w:rFonts w:hint="eastAsia" w:hAnsi="宋体"/>
          <w:lang w:val="en-US" w:eastAsia="zh-CN"/>
        </w:rPr>
        <w:t xml:space="preserve">  石阡县农业农村局设备采购项目（二次采购) 招标项目的潜在投标人应在 登录全国公共资源交易平台（贵州省·铜仁市）网下载购买获取招标文件，并于 2020-11-27 09:30:00(北京时间)前递交投标文件。 </w:t>
      </w:r>
    </w:p>
    <w:p>
      <w:pPr>
        <w:pStyle w:val="30"/>
        <w:spacing w:line="360" w:lineRule="auto"/>
        <w:ind w:firstLine="480" w:firstLineChars="200"/>
        <w:jc w:val="both"/>
        <w:rPr>
          <w:rFonts w:hint="eastAsia" w:hAnsi="宋体"/>
        </w:rPr>
      </w:pPr>
      <w:r>
        <w:rPr>
          <w:rFonts w:hint="eastAsia" w:hAnsi="宋体"/>
          <w:lang w:val="en-US" w:eastAsia="zh-CN"/>
        </w:rPr>
        <w:t>一、项目基本信息</w:t>
      </w:r>
    </w:p>
    <w:p>
      <w:pPr>
        <w:pStyle w:val="30"/>
        <w:spacing w:line="360" w:lineRule="auto"/>
        <w:ind w:firstLine="480" w:firstLineChars="200"/>
        <w:jc w:val="both"/>
        <w:rPr>
          <w:rFonts w:hint="eastAsia" w:hAnsi="宋体"/>
        </w:rPr>
      </w:pPr>
      <w:r>
        <w:rPr>
          <w:rFonts w:hint="eastAsia" w:hAnsi="宋体"/>
        </w:rPr>
        <w:t xml:space="preserve">项目名称: 石阡县农业农村局设备采购项目（二次采购) </w:t>
      </w:r>
    </w:p>
    <w:p>
      <w:pPr>
        <w:pStyle w:val="30"/>
        <w:spacing w:line="360" w:lineRule="auto"/>
        <w:ind w:firstLine="480" w:firstLineChars="200"/>
        <w:jc w:val="both"/>
        <w:rPr>
          <w:rFonts w:hint="eastAsia" w:hAnsi="宋体"/>
        </w:rPr>
      </w:pPr>
      <w:r>
        <w:rPr>
          <w:rFonts w:hint="eastAsia" w:hAnsi="宋体"/>
        </w:rPr>
        <w:t xml:space="preserve">项目编号: QCZB2020-006C </w:t>
      </w:r>
    </w:p>
    <w:p>
      <w:pPr>
        <w:pStyle w:val="30"/>
        <w:spacing w:line="360" w:lineRule="auto"/>
        <w:ind w:firstLine="480" w:firstLineChars="200"/>
        <w:jc w:val="both"/>
        <w:rPr>
          <w:rFonts w:hint="eastAsia" w:hAnsi="宋体"/>
        </w:rPr>
      </w:pPr>
      <w:r>
        <w:rPr>
          <w:rFonts w:hint="eastAsia" w:hAnsi="宋体"/>
        </w:rPr>
        <w:t xml:space="preserve">采购方式: 竞争性谈判 </w:t>
      </w:r>
    </w:p>
    <w:p>
      <w:pPr>
        <w:pStyle w:val="30"/>
        <w:spacing w:line="360" w:lineRule="auto"/>
        <w:ind w:firstLine="480" w:firstLineChars="200"/>
        <w:jc w:val="both"/>
        <w:rPr>
          <w:rFonts w:hint="eastAsia" w:hAnsi="宋体"/>
        </w:rPr>
      </w:pPr>
      <w:r>
        <w:rPr>
          <w:rFonts w:hint="eastAsia" w:hAnsi="宋体"/>
        </w:rPr>
        <w:t xml:space="preserve">项目序列号: QCZB2020-006C </w:t>
      </w:r>
    </w:p>
    <w:p>
      <w:pPr>
        <w:pStyle w:val="30"/>
        <w:spacing w:line="360" w:lineRule="auto"/>
        <w:ind w:firstLine="480" w:firstLineChars="200"/>
        <w:jc w:val="both"/>
        <w:rPr>
          <w:rFonts w:hint="eastAsia" w:hAnsi="宋体"/>
        </w:rPr>
      </w:pPr>
      <w:r>
        <w:rPr>
          <w:rFonts w:hint="eastAsia" w:hAnsi="宋体"/>
        </w:rPr>
        <w:t xml:space="preserve">采购主要内容: 石阡县农业农村局设备采购一批。 </w:t>
      </w:r>
    </w:p>
    <w:p>
      <w:pPr>
        <w:pStyle w:val="30"/>
        <w:spacing w:line="360" w:lineRule="auto"/>
        <w:ind w:firstLine="480" w:firstLineChars="200"/>
        <w:jc w:val="both"/>
        <w:rPr>
          <w:rFonts w:hint="eastAsia" w:hAnsi="宋体"/>
        </w:rPr>
      </w:pPr>
      <w:r>
        <w:rPr>
          <w:rFonts w:hint="eastAsia" w:hAnsi="宋体"/>
        </w:rPr>
        <w:t xml:space="preserve">采购数量: 1  批 </w:t>
      </w:r>
    </w:p>
    <w:p>
      <w:pPr>
        <w:pStyle w:val="30"/>
        <w:spacing w:line="360" w:lineRule="auto"/>
        <w:ind w:firstLine="480" w:firstLineChars="200"/>
        <w:jc w:val="both"/>
        <w:rPr>
          <w:rFonts w:hint="eastAsia" w:hAnsi="宋体"/>
        </w:rPr>
      </w:pPr>
      <w:r>
        <w:rPr>
          <w:rFonts w:hint="eastAsia" w:hAnsi="宋体"/>
        </w:rPr>
        <w:t xml:space="preserve">预算金额:691,560（元） </w:t>
      </w:r>
    </w:p>
    <w:p>
      <w:pPr>
        <w:pStyle w:val="30"/>
        <w:spacing w:line="360" w:lineRule="auto"/>
        <w:ind w:firstLine="480" w:firstLineChars="200"/>
        <w:jc w:val="both"/>
        <w:rPr>
          <w:rFonts w:hint="eastAsia" w:hAnsi="宋体"/>
        </w:rPr>
      </w:pPr>
      <w:r>
        <w:rPr>
          <w:rFonts w:hint="eastAsia" w:hAnsi="宋体"/>
        </w:rPr>
        <w:t xml:space="preserve">最高限价:691,560（元） </w:t>
      </w:r>
    </w:p>
    <w:p>
      <w:pPr>
        <w:pStyle w:val="30"/>
        <w:spacing w:line="360" w:lineRule="auto"/>
        <w:ind w:firstLine="480" w:firstLineChars="200"/>
        <w:jc w:val="both"/>
        <w:rPr>
          <w:rFonts w:hint="eastAsia" w:hAnsi="宋体"/>
        </w:rPr>
      </w:pPr>
      <w:r>
        <w:rPr>
          <w:rFonts w:hint="eastAsia" w:hAnsi="宋体"/>
        </w:rPr>
        <w:t xml:space="preserve">本项目（是/否）接受联合体投标:否 </w:t>
      </w:r>
    </w:p>
    <w:p>
      <w:pPr>
        <w:pStyle w:val="30"/>
        <w:spacing w:line="360" w:lineRule="auto"/>
        <w:ind w:firstLine="480" w:firstLineChars="200"/>
        <w:jc w:val="both"/>
        <w:rPr>
          <w:rFonts w:hint="eastAsia" w:hAnsi="宋体"/>
        </w:rPr>
      </w:pPr>
      <w:r>
        <w:rPr>
          <w:rFonts w:hint="eastAsia" w:hAnsi="宋体"/>
          <w:lang w:val="en-US" w:eastAsia="zh-CN"/>
        </w:rPr>
        <w:t>二、申请人的资格要求</w:t>
      </w:r>
    </w:p>
    <w:p>
      <w:pPr>
        <w:pStyle w:val="30"/>
        <w:spacing w:line="360" w:lineRule="auto"/>
        <w:ind w:firstLine="480" w:firstLineChars="200"/>
        <w:jc w:val="both"/>
        <w:rPr>
          <w:rFonts w:hint="eastAsia" w:hAnsi="宋体"/>
        </w:rPr>
      </w:pPr>
      <w:r>
        <w:rPr>
          <w:rFonts w:hint="eastAsia" w:hAnsi="宋体"/>
        </w:rPr>
        <w:t xml:space="preserve">一般资格要求： 符合《中华人民共和国政府采购法》第 22 条和《中华人民共和国政府采购法 实施条例》第 17 条的条件； ①具有独立承担民事责任的能力：提供法人或其他组织的营业执照等证明文件， 或自然人身份证明； ②具有良好的商业信誉和健全的财务会计制度：提供 2019 年度经第三方审计的财务审计报告或 2020 年最近三个月公司自主出具的财务报表（新成立的公司只需提供开标前三个月的银行流水）或银行出具的资信证明。 ③具有履行合同所必需的设备和专业技术能力：提供具备履行合同所必需的设备和专业技术能力的承诺函（格式自拟）； ④具有依法缴纳税收和社会保障资金的良好记录：提供 2020 年任意三个月依法缴纳税收（依法免税的供应商须提供相应证明文件）和社会保障资金的有效证明材料； ⑤参加本次政府采购活动前三年内，在经营活动中没有违法违规记录：提供参加政府采购活动前 3 年内在经营活动中没有重大违法记录的书面声明； ⑥法律、行政法规规定的其他条件：供应商承诺在“信用中国”网站、“中国政府采购网”等渠道查询中未被列入失信被执行人名单、重大税收违法案件当事人名单、政府采购严重违法失信行为记录名单中（格式文件详见&lt;供应商信用记录承诺书&gt;）。如在上述名单中的供应商取消其投标资格，并承担由此造成的一切法律责任及后果。 ⑦本项目不接受联合体。 </w:t>
      </w:r>
    </w:p>
    <w:p>
      <w:pPr>
        <w:pStyle w:val="30"/>
        <w:spacing w:line="360" w:lineRule="auto"/>
        <w:ind w:firstLine="480" w:firstLineChars="200"/>
        <w:jc w:val="both"/>
        <w:rPr>
          <w:rFonts w:hint="eastAsia" w:hAnsi="宋体"/>
        </w:rPr>
      </w:pPr>
      <w:r>
        <w:rPr>
          <w:rFonts w:hint="eastAsia" w:hAnsi="宋体"/>
        </w:rPr>
        <w:t xml:space="preserve">特殊资格要求： 无 </w:t>
      </w:r>
    </w:p>
    <w:p>
      <w:pPr>
        <w:pStyle w:val="30"/>
        <w:spacing w:line="360" w:lineRule="auto"/>
        <w:ind w:firstLine="480" w:firstLineChars="200"/>
        <w:jc w:val="both"/>
        <w:rPr>
          <w:rFonts w:hint="eastAsia" w:hAnsi="宋体"/>
        </w:rPr>
      </w:pPr>
      <w:r>
        <w:rPr>
          <w:rFonts w:hint="eastAsia" w:hAnsi="宋体"/>
          <w:lang w:val="en-US" w:eastAsia="zh-CN"/>
        </w:rPr>
        <w:t>三、获取招标文件</w:t>
      </w:r>
    </w:p>
    <w:p>
      <w:pPr>
        <w:pStyle w:val="30"/>
        <w:spacing w:line="360" w:lineRule="auto"/>
        <w:ind w:firstLine="480" w:firstLineChars="200"/>
        <w:jc w:val="both"/>
        <w:rPr>
          <w:rFonts w:hint="eastAsia" w:hAnsi="宋体"/>
        </w:rPr>
      </w:pPr>
      <w:r>
        <w:rPr>
          <w:rFonts w:hint="eastAsia" w:hAnsi="宋体"/>
        </w:rPr>
        <w:t>时间：2020-11-23 09:00:00至 2020-11-25 17:00:00（提供期限自本公告发布之日起不得少于5个工作日）每天上午09:00:00至12:00:00 ，下午14:30:00至17:00:00（北京时间，法定节假日除外）</w:t>
      </w:r>
    </w:p>
    <w:p>
      <w:pPr>
        <w:pStyle w:val="30"/>
        <w:spacing w:line="360" w:lineRule="auto"/>
        <w:ind w:firstLine="480" w:firstLineChars="200"/>
        <w:jc w:val="both"/>
        <w:rPr>
          <w:rFonts w:hint="eastAsia" w:hAnsi="宋体"/>
        </w:rPr>
      </w:pPr>
      <w:r>
        <w:rPr>
          <w:rFonts w:hint="eastAsia" w:hAnsi="宋体"/>
        </w:rPr>
        <w:t xml:space="preserve">地点： 登录全国公共资源交易平台（贵州省·铜仁市）网下载购买 </w:t>
      </w:r>
    </w:p>
    <w:p>
      <w:pPr>
        <w:pStyle w:val="30"/>
        <w:spacing w:line="360" w:lineRule="auto"/>
        <w:ind w:firstLine="480" w:firstLineChars="200"/>
        <w:jc w:val="both"/>
        <w:rPr>
          <w:rFonts w:hint="eastAsia" w:hAnsi="宋体"/>
        </w:rPr>
      </w:pPr>
      <w:r>
        <w:rPr>
          <w:rFonts w:hint="eastAsia" w:hAnsi="宋体"/>
        </w:rPr>
        <w:t xml:space="preserve">方式： 登录全国公共资源交易平台（贵州省·铜仁市）网下载购买 </w:t>
      </w:r>
    </w:p>
    <w:p>
      <w:pPr>
        <w:pStyle w:val="30"/>
        <w:spacing w:line="360" w:lineRule="auto"/>
        <w:ind w:firstLine="480" w:firstLineChars="200"/>
        <w:jc w:val="both"/>
        <w:rPr>
          <w:rFonts w:hint="eastAsia" w:hAnsi="宋体"/>
        </w:rPr>
      </w:pPr>
      <w:r>
        <w:rPr>
          <w:rFonts w:hint="eastAsia" w:hAnsi="宋体"/>
        </w:rPr>
        <w:t xml:space="preserve">售价： 300 元人民币（含电子文档） </w:t>
      </w:r>
    </w:p>
    <w:p>
      <w:pPr>
        <w:pStyle w:val="30"/>
        <w:spacing w:line="360" w:lineRule="auto"/>
        <w:ind w:firstLine="480" w:firstLineChars="200"/>
        <w:jc w:val="both"/>
        <w:rPr>
          <w:rFonts w:hint="eastAsia" w:hAnsi="宋体"/>
        </w:rPr>
      </w:pPr>
      <w:r>
        <w:rPr>
          <w:rFonts w:hint="eastAsia" w:hAnsi="宋体"/>
        </w:rPr>
        <w:t xml:space="preserve">投标保证金额（元）： 10,000 </w:t>
      </w:r>
    </w:p>
    <w:p>
      <w:pPr>
        <w:pStyle w:val="30"/>
        <w:spacing w:line="360" w:lineRule="auto"/>
        <w:ind w:firstLine="480" w:firstLineChars="200"/>
        <w:jc w:val="both"/>
        <w:rPr>
          <w:rFonts w:hint="eastAsia" w:hAnsi="宋体"/>
        </w:rPr>
      </w:pPr>
      <w:r>
        <w:rPr>
          <w:rFonts w:hint="eastAsia" w:hAnsi="宋体"/>
        </w:rPr>
        <w:t xml:space="preserve">投标保证金交纳时间： 2020-11-23 09:00:00至2020-11-27 </w:t>
      </w:r>
      <w:r>
        <w:rPr>
          <w:rFonts w:hint="eastAsia" w:hAnsi="宋体"/>
          <w:lang w:eastAsia="zh-CN"/>
        </w:rPr>
        <w:t>09:30:00</w:t>
      </w:r>
      <w:r>
        <w:rPr>
          <w:rFonts w:hint="eastAsia" w:hAnsi="宋体"/>
        </w:rPr>
        <w:t xml:space="preserve"> </w:t>
      </w:r>
    </w:p>
    <w:p>
      <w:pPr>
        <w:pStyle w:val="30"/>
        <w:spacing w:line="360" w:lineRule="auto"/>
        <w:ind w:firstLine="480" w:firstLineChars="200"/>
        <w:jc w:val="both"/>
        <w:rPr>
          <w:rFonts w:hint="eastAsia" w:hAnsi="宋体"/>
        </w:rPr>
      </w:pPr>
      <w:r>
        <w:rPr>
          <w:rFonts w:hint="eastAsia" w:hAnsi="宋体"/>
        </w:rPr>
        <w:t xml:space="preserve">投标保证金交纳方式： 具体缴退流程见全国公共资源交易平台（贵州省·铜仁）官方网址http://jyzx.trs.gov.cn/index.shtml），点击首页--办事指南--保证金缴退，按步骤自行缴纳保证金。 </w:t>
      </w:r>
    </w:p>
    <w:p>
      <w:pPr>
        <w:pStyle w:val="30"/>
        <w:spacing w:line="360" w:lineRule="auto"/>
        <w:ind w:firstLine="480" w:firstLineChars="200"/>
        <w:jc w:val="both"/>
        <w:rPr>
          <w:rFonts w:hint="eastAsia" w:hAnsi="宋体"/>
        </w:rPr>
      </w:pPr>
      <w:r>
        <w:rPr>
          <w:rFonts w:hint="eastAsia" w:hAnsi="宋体"/>
        </w:rPr>
        <w:t xml:space="preserve">开户单位名称： 石阡县产权交易中心线上保证金专户 </w:t>
      </w:r>
    </w:p>
    <w:p>
      <w:pPr>
        <w:pStyle w:val="30"/>
        <w:spacing w:line="360" w:lineRule="auto"/>
        <w:ind w:firstLine="480" w:firstLineChars="200"/>
        <w:jc w:val="both"/>
        <w:rPr>
          <w:rFonts w:hint="eastAsia" w:hAnsi="宋体"/>
        </w:rPr>
      </w:pPr>
      <w:r>
        <w:rPr>
          <w:rFonts w:hint="eastAsia" w:hAnsi="宋体"/>
        </w:rPr>
        <w:t xml:space="preserve">开户银行： 贵州银行股份有限公司石阡支行 </w:t>
      </w:r>
    </w:p>
    <w:p>
      <w:pPr>
        <w:pStyle w:val="30"/>
        <w:spacing w:line="360" w:lineRule="auto"/>
        <w:ind w:firstLine="480" w:firstLineChars="200"/>
        <w:jc w:val="both"/>
        <w:rPr>
          <w:rFonts w:hint="eastAsia" w:hAnsi="宋体"/>
        </w:rPr>
      </w:pPr>
      <w:r>
        <w:rPr>
          <w:rFonts w:hint="eastAsia" w:hAnsi="宋体"/>
        </w:rPr>
        <w:t xml:space="preserve">开户账号：0615001700000457 </w:t>
      </w:r>
    </w:p>
    <w:p>
      <w:pPr>
        <w:pStyle w:val="30"/>
        <w:spacing w:line="360" w:lineRule="auto"/>
        <w:ind w:firstLine="480" w:firstLineChars="200"/>
        <w:jc w:val="both"/>
        <w:rPr>
          <w:rFonts w:hint="eastAsia" w:hAnsi="宋体"/>
        </w:rPr>
      </w:pPr>
      <w:r>
        <w:rPr>
          <w:rFonts w:hint="eastAsia" w:hAnsi="宋体"/>
          <w:lang w:val="en-US" w:eastAsia="zh-CN"/>
        </w:rPr>
        <w:t>四、响应文件提交</w:t>
      </w:r>
    </w:p>
    <w:p>
      <w:pPr>
        <w:pStyle w:val="30"/>
        <w:spacing w:line="360" w:lineRule="auto"/>
        <w:ind w:firstLine="480" w:firstLineChars="200"/>
        <w:jc w:val="both"/>
        <w:rPr>
          <w:rFonts w:hint="eastAsia" w:hAnsi="宋体"/>
        </w:rPr>
      </w:pPr>
      <w:r>
        <w:rPr>
          <w:rFonts w:hint="eastAsia" w:hAnsi="宋体"/>
        </w:rPr>
        <w:t xml:space="preserve">截止时间： 2020-11-27 </w:t>
      </w:r>
      <w:r>
        <w:rPr>
          <w:rFonts w:hint="eastAsia" w:hAnsi="宋体"/>
          <w:lang w:eastAsia="zh-CN"/>
        </w:rPr>
        <w:t>09:30:00</w:t>
      </w:r>
      <w:r>
        <w:rPr>
          <w:rFonts w:hint="eastAsia" w:hAnsi="宋体"/>
        </w:rPr>
        <w:t xml:space="preserve">（北京时间）（ 从磋商文件开始发出之日起至供应商提交首次响应文件截止之日止不得少于10日；从谈判文件开始发出之日起至供应商提交首次响应文件截止之日止不得少于3个工作日； 从询价通知书开始发出之日起至供应商提交响应文件截止之日不得少于3个工作日） </w:t>
      </w:r>
    </w:p>
    <w:p>
      <w:pPr>
        <w:pStyle w:val="30"/>
        <w:spacing w:line="360" w:lineRule="auto"/>
        <w:ind w:firstLine="480" w:firstLineChars="200"/>
        <w:jc w:val="both"/>
        <w:rPr>
          <w:rFonts w:hint="eastAsia" w:hAnsi="宋体"/>
        </w:rPr>
      </w:pPr>
      <w:r>
        <w:rPr>
          <w:rFonts w:hint="eastAsia" w:hAnsi="宋体"/>
        </w:rPr>
        <w:t xml:space="preserve">地点： 石阡县公共资源交易中心 </w:t>
      </w:r>
    </w:p>
    <w:p>
      <w:pPr>
        <w:pStyle w:val="30"/>
        <w:spacing w:line="360" w:lineRule="auto"/>
        <w:ind w:firstLine="480" w:firstLineChars="200"/>
        <w:jc w:val="both"/>
        <w:rPr>
          <w:rFonts w:hint="eastAsia" w:hAnsi="宋体"/>
        </w:rPr>
      </w:pPr>
      <w:r>
        <w:rPr>
          <w:rFonts w:hint="eastAsia" w:hAnsi="宋体"/>
          <w:lang w:val="en-US" w:eastAsia="zh-CN"/>
        </w:rPr>
        <w:t>五、开启</w:t>
      </w:r>
    </w:p>
    <w:p>
      <w:pPr>
        <w:pStyle w:val="30"/>
        <w:spacing w:line="360" w:lineRule="auto"/>
        <w:ind w:firstLine="480" w:firstLineChars="200"/>
        <w:jc w:val="both"/>
        <w:rPr>
          <w:rFonts w:hint="eastAsia" w:hAnsi="宋体"/>
        </w:rPr>
      </w:pPr>
      <w:r>
        <w:rPr>
          <w:rFonts w:hint="eastAsia" w:hAnsi="宋体"/>
        </w:rPr>
        <w:t xml:space="preserve">时间： 2020-11-27 </w:t>
      </w:r>
      <w:r>
        <w:rPr>
          <w:rFonts w:hint="eastAsia" w:hAnsi="宋体"/>
          <w:lang w:eastAsia="zh-CN"/>
        </w:rPr>
        <w:t>09:30:00</w:t>
      </w:r>
      <w:r>
        <w:rPr>
          <w:rFonts w:hint="eastAsia" w:hAnsi="宋体"/>
        </w:rPr>
        <w:t xml:space="preserve"> </w:t>
      </w:r>
    </w:p>
    <w:p>
      <w:pPr>
        <w:pStyle w:val="30"/>
        <w:spacing w:line="360" w:lineRule="auto"/>
        <w:ind w:firstLine="480" w:firstLineChars="200"/>
        <w:jc w:val="both"/>
        <w:rPr>
          <w:rFonts w:hint="eastAsia" w:hAnsi="宋体"/>
        </w:rPr>
      </w:pPr>
      <w:r>
        <w:rPr>
          <w:rFonts w:hint="eastAsia" w:hAnsi="宋体"/>
        </w:rPr>
        <w:t xml:space="preserve">地点： 石阡县公共资源交易中心 </w:t>
      </w:r>
    </w:p>
    <w:p>
      <w:pPr>
        <w:pStyle w:val="30"/>
        <w:spacing w:line="360" w:lineRule="auto"/>
        <w:ind w:firstLine="480" w:firstLineChars="200"/>
        <w:jc w:val="both"/>
        <w:rPr>
          <w:rFonts w:hint="eastAsia" w:hAnsi="宋体"/>
        </w:rPr>
      </w:pPr>
      <w:r>
        <w:rPr>
          <w:rFonts w:hint="eastAsia" w:hAnsi="宋体"/>
          <w:lang w:val="en-US" w:eastAsia="zh-CN"/>
        </w:rPr>
        <w:t>六、公告期限</w:t>
      </w:r>
    </w:p>
    <w:p>
      <w:pPr>
        <w:pStyle w:val="30"/>
        <w:spacing w:line="360" w:lineRule="auto"/>
        <w:ind w:firstLine="480" w:firstLineChars="200"/>
        <w:jc w:val="both"/>
        <w:rPr>
          <w:rFonts w:hint="eastAsia" w:hAnsi="宋体"/>
        </w:rPr>
      </w:pPr>
      <w:r>
        <w:rPr>
          <w:rFonts w:hint="eastAsia" w:hAnsi="宋体"/>
        </w:rPr>
        <w:t xml:space="preserve">自本公告发布之日起3个工作日 </w:t>
      </w:r>
    </w:p>
    <w:p>
      <w:pPr>
        <w:pStyle w:val="30"/>
        <w:spacing w:line="360" w:lineRule="auto"/>
        <w:ind w:firstLine="480" w:firstLineChars="200"/>
        <w:jc w:val="both"/>
        <w:rPr>
          <w:rFonts w:hint="eastAsia" w:hAnsi="宋体"/>
        </w:rPr>
      </w:pPr>
      <w:r>
        <w:rPr>
          <w:rFonts w:hint="eastAsia" w:hAnsi="宋体"/>
          <w:lang w:val="en-US" w:eastAsia="zh-CN"/>
        </w:rPr>
        <w:t>七、其他补充事宜</w:t>
      </w:r>
    </w:p>
    <w:p>
      <w:pPr>
        <w:pStyle w:val="30"/>
        <w:spacing w:line="360" w:lineRule="auto"/>
        <w:ind w:firstLine="480" w:firstLineChars="200"/>
        <w:jc w:val="both"/>
        <w:rPr>
          <w:rFonts w:hint="eastAsia" w:hAnsi="宋体"/>
        </w:rPr>
      </w:pPr>
      <w:r>
        <w:rPr>
          <w:rFonts w:hint="eastAsia" w:hAnsi="宋体"/>
        </w:rPr>
        <w:t xml:space="preserve">采购项目需要落实的政府采购政策: 已落实 </w:t>
      </w:r>
    </w:p>
    <w:p>
      <w:pPr>
        <w:pStyle w:val="30"/>
        <w:spacing w:line="360" w:lineRule="auto"/>
        <w:ind w:firstLine="480" w:firstLineChars="200"/>
        <w:jc w:val="both"/>
        <w:rPr>
          <w:rFonts w:hint="eastAsia" w:hAnsi="宋体"/>
        </w:rPr>
      </w:pPr>
      <w:r>
        <w:rPr>
          <w:rFonts w:hint="eastAsia" w:hAnsi="宋体"/>
        </w:rPr>
        <w:t xml:space="preserve">PPP项目: 否 </w:t>
      </w:r>
    </w:p>
    <w:p>
      <w:pPr>
        <w:pStyle w:val="30"/>
        <w:spacing w:line="360" w:lineRule="auto"/>
        <w:ind w:firstLine="480" w:firstLineChars="200"/>
        <w:jc w:val="both"/>
        <w:rPr>
          <w:rFonts w:hint="eastAsia" w:hAnsi="宋体"/>
        </w:rPr>
      </w:pPr>
      <w:r>
        <w:rPr>
          <w:rFonts w:hint="eastAsia" w:hAnsi="宋体"/>
        </w:rPr>
        <w:t xml:space="preserve">简要技术要求、服务和安全要求: 具体技术要求详见采购文件。 </w:t>
      </w:r>
    </w:p>
    <w:p>
      <w:pPr>
        <w:pStyle w:val="30"/>
        <w:spacing w:line="360" w:lineRule="auto"/>
        <w:ind w:firstLine="480" w:firstLineChars="200"/>
        <w:jc w:val="both"/>
        <w:rPr>
          <w:rFonts w:hint="eastAsia" w:hAnsi="宋体"/>
        </w:rPr>
      </w:pPr>
      <w:r>
        <w:rPr>
          <w:rFonts w:hint="eastAsia" w:hAnsi="宋体"/>
        </w:rPr>
        <w:t xml:space="preserve">交货地点或服务地点: 采购人指定地点，按采购方的书面或电话通知进行交货。 </w:t>
      </w:r>
    </w:p>
    <w:p>
      <w:pPr>
        <w:pStyle w:val="30"/>
        <w:spacing w:line="360" w:lineRule="auto"/>
        <w:ind w:firstLine="480" w:firstLineChars="200"/>
        <w:jc w:val="both"/>
        <w:rPr>
          <w:rFonts w:hint="eastAsia" w:hAnsi="宋体"/>
        </w:rPr>
      </w:pPr>
      <w:r>
        <w:rPr>
          <w:rFonts w:hint="eastAsia" w:hAnsi="宋体"/>
        </w:rPr>
        <w:t xml:space="preserve">其他事项（如样品提交、现场踏勘等）: 无 </w:t>
      </w:r>
    </w:p>
    <w:p>
      <w:pPr>
        <w:pStyle w:val="30"/>
        <w:spacing w:line="360" w:lineRule="auto"/>
        <w:ind w:firstLine="480" w:firstLineChars="200"/>
        <w:jc w:val="both"/>
        <w:rPr>
          <w:rFonts w:hint="eastAsia" w:hAnsi="宋体"/>
        </w:rPr>
      </w:pPr>
      <w:r>
        <w:rPr>
          <w:rFonts w:hint="eastAsia" w:hAnsi="宋体"/>
        </w:rPr>
        <w:t xml:space="preserve">交货时间或服务时间: </w:t>
      </w:r>
      <w:bookmarkStart w:id="2" w:name="_GoBack"/>
      <w:bookmarkEnd w:id="2"/>
      <w:r>
        <w:rPr>
          <w:rFonts w:hint="eastAsia" w:hAnsi="宋体"/>
          <w:lang w:eastAsia="zh-CN"/>
        </w:rPr>
        <w:t>合同签订后15个日历天内完成最终验收并交付使用</w:t>
      </w:r>
      <w:r>
        <w:rPr>
          <w:rFonts w:hint="eastAsia" w:hAnsi="宋体"/>
        </w:rPr>
        <w:t xml:space="preserve"> </w:t>
      </w:r>
    </w:p>
    <w:p>
      <w:pPr>
        <w:pStyle w:val="30"/>
        <w:spacing w:line="360" w:lineRule="auto"/>
        <w:ind w:firstLine="480" w:firstLineChars="200"/>
        <w:jc w:val="both"/>
        <w:rPr>
          <w:rFonts w:hint="eastAsia" w:hAnsi="宋体"/>
        </w:rPr>
      </w:pPr>
      <w:r>
        <w:rPr>
          <w:rFonts w:hint="eastAsia" w:hAnsi="宋体"/>
          <w:lang w:val="en-US" w:eastAsia="zh-CN"/>
        </w:rPr>
        <w:t>八、对本次招标提出询问，请按以下方式联系</w:t>
      </w:r>
    </w:p>
    <w:p>
      <w:pPr>
        <w:pStyle w:val="30"/>
        <w:spacing w:line="360" w:lineRule="auto"/>
        <w:ind w:firstLine="480" w:firstLineChars="200"/>
        <w:jc w:val="both"/>
        <w:rPr>
          <w:rFonts w:hint="eastAsia" w:hAnsi="宋体"/>
        </w:rPr>
      </w:pPr>
      <w:r>
        <w:rPr>
          <w:rFonts w:hint="eastAsia" w:hAnsi="宋体"/>
        </w:rPr>
        <w:t>1、采购人信息</w:t>
      </w:r>
    </w:p>
    <w:p>
      <w:pPr>
        <w:pStyle w:val="30"/>
        <w:spacing w:line="360" w:lineRule="auto"/>
        <w:ind w:firstLine="480" w:firstLineChars="200"/>
        <w:jc w:val="both"/>
        <w:rPr>
          <w:rFonts w:hint="eastAsia" w:hAnsi="宋体"/>
        </w:rPr>
      </w:pPr>
      <w:r>
        <w:rPr>
          <w:rFonts w:hint="eastAsia" w:hAnsi="宋体"/>
        </w:rPr>
        <w:t>名         称：石阡县农业农村局</w:t>
      </w:r>
    </w:p>
    <w:p>
      <w:pPr>
        <w:pStyle w:val="30"/>
        <w:spacing w:line="360" w:lineRule="auto"/>
        <w:ind w:firstLine="480" w:firstLineChars="200"/>
        <w:jc w:val="both"/>
        <w:rPr>
          <w:rFonts w:hint="eastAsia" w:hAnsi="宋体"/>
        </w:rPr>
      </w:pPr>
      <w:r>
        <w:rPr>
          <w:rFonts w:hint="eastAsia" w:hAnsi="宋体"/>
        </w:rPr>
        <w:t>项目联系人：赵超</w:t>
      </w:r>
    </w:p>
    <w:p>
      <w:pPr>
        <w:pStyle w:val="30"/>
        <w:spacing w:line="360" w:lineRule="auto"/>
        <w:ind w:firstLine="480" w:firstLineChars="200"/>
        <w:jc w:val="both"/>
        <w:rPr>
          <w:rFonts w:hint="eastAsia" w:hAnsi="宋体"/>
        </w:rPr>
      </w:pPr>
      <w:r>
        <w:rPr>
          <w:rFonts w:hint="eastAsia" w:hAnsi="宋体"/>
        </w:rPr>
        <w:t>地         址：石阡县佛顶山南路</w:t>
      </w:r>
    </w:p>
    <w:p>
      <w:pPr>
        <w:pStyle w:val="30"/>
        <w:spacing w:line="360" w:lineRule="auto"/>
        <w:ind w:firstLine="480" w:firstLineChars="200"/>
        <w:jc w:val="both"/>
        <w:rPr>
          <w:rFonts w:hint="eastAsia" w:hAnsi="宋体"/>
        </w:rPr>
      </w:pPr>
      <w:r>
        <w:rPr>
          <w:rFonts w:hint="eastAsia" w:hAnsi="宋体"/>
        </w:rPr>
        <w:t>联系方式：0856-7652108</w:t>
      </w:r>
    </w:p>
    <w:p>
      <w:pPr>
        <w:pStyle w:val="30"/>
        <w:spacing w:line="360" w:lineRule="auto"/>
        <w:ind w:firstLine="480" w:firstLineChars="200"/>
        <w:jc w:val="both"/>
        <w:rPr>
          <w:rFonts w:hint="eastAsia" w:hAnsi="宋体"/>
        </w:rPr>
      </w:pPr>
      <w:r>
        <w:rPr>
          <w:rFonts w:hint="eastAsia" w:hAnsi="宋体"/>
        </w:rPr>
        <w:t>2、代理机构信息（如有）</w:t>
      </w:r>
    </w:p>
    <w:p>
      <w:pPr>
        <w:pStyle w:val="30"/>
        <w:spacing w:line="360" w:lineRule="auto"/>
        <w:ind w:firstLine="480" w:firstLineChars="200"/>
        <w:jc w:val="both"/>
        <w:rPr>
          <w:rFonts w:hint="eastAsia" w:hAnsi="宋体"/>
        </w:rPr>
      </w:pPr>
      <w:r>
        <w:rPr>
          <w:rFonts w:hint="eastAsia" w:hAnsi="宋体"/>
        </w:rPr>
        <w:t>代理全称：贵州黔诚商务有限公司</w:t>
      </w:r>
    </w:p>
    <w:p>
      <w:pPr>
        <w:pStyle w:val="30"/>
        <w:spacing w:line="360" w:lineRule="auto"/>
        <w:ind w:firstLine="480" w:firstLineChars="200"/>
        <w:jc w:val="both"/>
        <w:rPr>
          <w:rFonts w:hint="eastAsia" w:hAnsi="宋体"/>
        </w:rPr>
      </w:pPr>
      <w:r>
        <w:rPr>
          <w:rFonts w:hint="eastAsia" w:hAnsi="宋体"/>
        </w:rPr>
        <w:t>联  系  人：杨岑</w:t>
      </w:r>
    </w:p>
    <w:p>
      <w:pPr>
        <w:pStyle w:val="30"/>
        <w:spacing w:line="360" w:lineRule="auto"/>
        <w:ind w:firstLine="480" w:firstLineChars="200"/>
        <w:jc w:val="both"/>
        <w:rPr>
          <w:rFonts w:hint="eastAsia" w:hAnsi="宋体"/>
        </w:rPr>
      </w:pPr>
      <w:r>
        <w:rPr>
          <w:rFonts w:hint="eastAsia" w:hAnsi="宋体"/>
        </w:rPr>
        <w:t>地     址：贵阳市观山湖区soho公寓</w:t>
      </w:r>
    </w:p>
    <w:p>
      <w:pPr>
        <w:pStyle w:val="30"/>
        <w:spacing w:line="360" w:lineRule="auto"/>
        <w:ind w:firstLine="480" w:firstLineChars="200"/>
        <w:jc w:val="both"/>
        <w:rPr>
          <w:rFonts w:hint="eastAsia" w:hAnsi="宋体"/>
        </w:rPr>
      </w:pPr>
      <w:r>
        <w:rPr>
          <w:rFonts w:hint="eastAsia" w:hAnsi="宋体"/>
        </w:rPr>
        <w:t>联系方式：18785065502</w:t>
      </w:r>
    </w:p>
    <w:p>
      <w:pPr>
        <w:pStyle w:val="30"/>
        <w:spacing w:line="360" w:lineRule="auto"/>
        <w:ind w:firstLine="480" w:firstLineChars="200"/>
        <w:jc w:val="both"/>
        <w:rPr>
          <w:rFonts w:hint="eastAsia" w:hAnsi="宋体"/>
        </w:rPr>
      </w:pPr>
      <w:r>
        <w:rPr>
          <w:rFonts w:hint="eastAsia" w:hAnsi="宋体"/>
        </w:rPr>
        <w:t>3、项目联系方式</w:t>
      </w:r>
    </w:p>
    <w:p>
      <w:pPr>
        <w:pStyle w:val="30"/>
        <w:spacing w:line="360" w:lineRule="auto"/>
        <w:ind w:firstLine="480" w:firstLineChars="200"/>
        <w:jc w:val="both"/>
        <w:rPr>
          <w:rFonts w:hint="eastAsia" w:hAnsi="宋体"/>
        </w:rPr>
      </w:pPr>
      <w:r>
        <w:rPr>
          <w:rFonts w:hint="eastAsia" w:hAnsi="宋体"/>
        </w:rPr>
        <w:t>联  系  人：杨岑</w:t>
      </w:r>
    </w:p>
    <w:p>
      <w:pPr>
        <w:pStyle w:val="30"/>
        <w:spacing w:line="360" w:lineRule="auto"/>
        <w:ind w:firstLine="480" w:firstLineChars="200"/>
        <w:jc w:val="both"/>
        <w:rPr>
          <w:rFonts w:hint="eastAsia" w:hAnsi="宋体"/>
        </w:rPr>
      </w:pPr>
      <w:r>
        <w:rPr>
          <w:rFonts w:hint="eastAsia" w:hAnsi="宋体"/>
        </w:rPr>
        <w:t>电     话：18785065502</w:t>
      </w:r>
    </w:p>
    <w:p>
      <w:pPr>
        <w:pStyle w:val="30"/>
        <w:spacing w:line="360" w:lineRule="auto"/>
        <w:ind w:firstLine="480" w:firstLineChars="200"/>
        <w:jc w:val="right"/>
        <w:rPr>
          <w:rFonts w:hint="eastAsia" w:hAnsi="宋体"/>
        </w:rPr>
      </w:pPr>
      <w:r>
        <w:rPr>
          <w:rFonts w:hint="eastAsia" w:hAnsi="宋体"/>
          <w:lang w:val="en-US" w:eastAsia="zh-CN"/>
        </w:rPr>
        <w:t>贵州黔诚商务有限公司</w:t>
      </w:r>
    </w:p>
    <w:p>
      <w:pPr>
        <w:pStyle w:val="30"/>
        <w:spacing w:line="360" w:lineRule="auto"/>
        <w:ind w:firstLine="480" w:firstLineChars="200"/>
        <w:jc w:val="both"/>
        <w:rPr>
          <w:rFonts w:hAnsi="宋体"/>
        </w:rPr>
      </w:pPr>
      <w:r>
        <w:rPr>
          <w:rFonts w:hint="eastAsia" w:hAnsi="宋体"/>
        </w:rPr>
        <w:br w:type="textWrapping"/>
      </w:r>
      <w:r>
        <w:rPr>
          <w:rFonts w:hint="eastAsia" w:hAnsi="宋体"/>
        </w:rPr>
        <w:t xml:space="preserve">                 </w:t>
      </w:r>
    </w:p>
    <w:p>
      <w:pPr>
        <w:pStyle w:val="30"/>
        <w:spacing w:line="360" w:lineRule="auto"/>
        <w:ind w:firstLine="480" w:firstLineChars="200"/>
        <w:jc w:val="both"/>
        <w:rPr>
          <w:rFonts w:hAnsi="宋体"/>
        </w:rPr>
      </w:pPr>
    </w:p>
    <w:p>
      <w:pPr>
        <w:pStyle w:val="30"/>
        <w:spacing w:line="360" w:lineRule="auto"/>
        <w:ind w:firstLine="480" w:firstLineChars="200"/>
        <w:jc w:val="both"/>
        <w:rPr>
          <w:rFonts w:hAnsi="宋体"/>
        </w:rPr>
      </w:pPr>
    </w:p>
    <w:p>
      <w:pPr>
        <w:pStyle w:val="30"/>
        <w:spacing w:line="360" w:lineRule="auto"/>
        <w:jc w:val="center"/>
        <w:rPr>
          <w:rFonts w:hint="eastAsia" w:hAnsi="宋体"/>
          <w:b/>
          <w:sz w:val="36"/>
        </w:rPr>
        <w:sectPr>
          <w:pgSz w:w="11906" w:h="16838"/>
          <w:pgMar w:top="1440" w:right="1797" w:bottom="1440" w:left="1797" w:header="851" w:footer="992" w:gutter="0"/>
          <w:cols w:space="720" w:num="1"/>
          <w:docGrid w:linePitch="312" w:charSpace="0"/>
        </w:sectPr>
      </w:pPr>
    </w:p>
    <w:p>
      <w:pPr>
        <w:pStyle w:val="30"/>
        <w:spacing w:line="360" w:lineRule="auto"/>
        <w:jc w:val="center"/>
        <w:rPr>
          <w:rFonts w:hAnsi="宋体"/>
          <w:b/>
          <w:bCs/>
          <w:sz w:val="30"/>
          <w:szCs w:val="30"/>
        </w:rPr>
      </w:pPr>
      <w:r>
        <w:rPr>
          <w:rFonts w:hint="eastAsia" w:hAnsi="宋体"/>
          <w:b/>
          <w:sz w:val="36"/>
        </w:rPr>
        <w:t>第二章  谈判供应商须知</w:t>
      </w:r>
    </w:p>
    <w:p>
      <w:pPr>
        <w:spacing w:line="400" w:lineRule="exact"/>
        <w:jc w:val="center"/>
        <w:rPr>
          <w:rFonts w:ascii="宋体" w:hAnsi="宋体"/>
          <w:b/>
          <w:bCs/>
          <w:sz w:val="32"/>
        </w:rPr>
      </w:pPr>
      <w:r>
        <w:rPr>
          <w:rFonts w:hint="eastAsia" w:ascii="宋体" w:hAnsi="宋体"/>
          <w:b/>
          <w:bCs/>
          <w:sz w:val="24"/>
        </w:rPr>
        <w:t>谈判供应商须知前附表1</w:t>
      </w:r>
    </w:p>
    <w:p>
      <w:pPr>
        <w:spacing w:line="400" w:lineRule="exact"/>
        <w:ind w:firstLine="525"/>
        <w:rPr>
          <w:rFonts w:ascii="宋体" w:hAnsi="宋体"/>
          <w:sz w:val="24"/>
        </w:rPr>
      </w:pPr>
      <w:r>
        <w:rPr>
          <w:rFonts w:hint="eastAsia" w:ascii="宋体" w:hAnsi="宋体"/>
          <w:sz w:val="24"/>
        </w:rPr>
        <w:t xml:space="preserve">本须知前附表的条款号是与《谈判供应商须知》中条款的项号相对应的。如果有矛盾的话，应以本附表为准。 </w:t>
      </w:r>
    </w:p>
    <w:p>
      <w:pPr>
        <w:spacing w:line="400" w:lineRule="exact"/>
        <w:ind w:firstLine="525"/>
        <w:rPr>
          <w:rFonts w:ascii="宋体" w:hAnsi="宋体"/>
          <w:sz w:val="24"/>
        </w:rPr>
      </w:pPr>
    </w:p>
    <w:tbl>
      <w:tblPr>
        <w:tblStyle w:val="18"/>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u w:val="single"/>
              </w:rPr>
            </w:pPr>
            <w:r>
              <w:rPr>
                <w:rFonts w:hint="eastAsia" w:ascii="宋体" w:hAnsi="宋体"/>
                <w:sz w:val="24"/>
              </w:rPr>
              <w:t>项目名称：</w:t>
            </w:r>
            <w:r>
              <w:rPr>
                <w:rFonts w:hint="eastAsia" w:ascii="宋体" w:hAnsi="宋体"/>
                <w:sz w:val="24"/>
                <w:u w:val="single"/>
                <w:lang w:eastAsia="zh-CN"/>
              </w:rPr>
              <w:t>石阡县农业农村局设备采购项目（二次采购）</w:t>
            </w:r>
            <w:r>
              <w:rPr>
                <w:rFonts w:hint="eastAsia" w:ascii="宋体" w:hAnsi="宋体"/>
                <w:sz w:val="24"/>
                <w:u w:val="single"/>
              </w:rPr>
              <w:t xml:space="preserve"> </w:t>
            </w:r>
          </w:p>
          <w:p>
            <w:pPr>
              <w:spacing w:line="400" w:lineRule="exact"/>
              <w:rPr>
                <w:rFonts w:ascii="宋体" w:hAnsi="宋体"/>
                <w:sz w:val="24"/>
              </w:rPr>
            </w:pPr>
            <w:r>
              <w:rPr>
                <w:rFonts w:hint="eastAsia" w:ascii="宋体" w:hAnsi="宋体"/>
                <w:sz w:val="24"/>
              </w:rPr>
              <w:t>采购人：</w:t>
            </w:r>
            <w:r>
              <w:rPr>
                <w:rFonts w:hint="eastAsia" w:ascii="宋体" w:hAnsi="宋体"/>
                <w:sz w:val="24"/>
                <w:u w:val="single"/>
                <w:lang w:eastAsia="zh-CN"/>
              </w:rPr>
              <w:t>石阡县农业农村局</w:t>
            </w:r>
            <w:r>
              <w:rPr>
                <w:rFonts w:hint="eastAsia" w:ascii="宋体" w:hAnsi="宋体"/>
                <w:sz w:val="24"/>
              </w:rPr>
              <w:t xml:space="preserve">  </w:t>
            </w:r>
          </w:p>
          <w:p>
            <w:pPr>
              <w:spacing w:line="400" w:lineRule="exact"/>
              <w:rPr>
                <w:rFonts w:ascii="宋体" w:hAnsi="宋体"/>
                <w:sz w:val="24"/>
              </w:rPr>
            </w:pPr>
            <w:r>
              <w:rPr>
                <w:rFonts w:hint="eastAsia" w:ascii="宋体" w:hAnsi="宋体"/>
                <w:sz w:val="24"/>
              </w:rPr>
              <w:t xml:space="preserve">采购人地址： </w:t>
            </w:r>
            <w:r>
              <w:rPr>
                <w:rFonts w:hint="eastAsia" w:ascii="宋体" w:hAnsi="宋体"/>
                <w:sz w:val="24"/>
                <w:u w:val="single"/>
              </w:rPr>
              <w:t xml:space="preserve"> 石阡县   </w:t>
            </w:r>
            <w:r>
              <w:rPr>
                <w:rFonts w:hint="eastAsia" w:ascii="宋体" w:hAnsi="宋体"/>
                <w:sz w:val="24"/>
              </w:rPr>
              <w:t xml:space="preserve"> </w:t>
            </w:r>
          </w:p>
          <w:p>
            <w:pPr>
              <w:spacing w:line="400" w:lineRule="exact"/>
              <w:rPr>
                <w:rFonts w:ascii="宋体" w:hAnsi="宋体"/>
                <w:sz w:val="24"/>
              </w:rPr>
            </w:pPr>
            <w:r>
              <w:rPr>
                <w:rFonts w:hint="eastAsia" w:ascii="宋体" w:hAnsi="宋体"/>
                <w:sz w:val="24"/>
              </w:rPr>
              <w:t>项目内容：</w:t>
            </w:r>
            <w:r>
              <w:rPr>
                <w:rFonts w:hint="eastAsia" w:ascii="宋体" w:hAnsi="宋体"/>
                <w:sz w:val="24"/>
                <w:u w:val="single"/>
              </w:rPr>
              <w:t xml:space="preserve">   </w:t>
            </w:r>
            <w:r>
              <w:rPr>
                <w:rFonts w:hint="eastAsia" w:ascii="宋体" w:hAnsi="宋体"/>
                <w:sz w:val="24"/>
                <w:u w:val="single"/>
                <w:lang w:eastAsia="zh-CN"/>
              </w:rPr>
              <w:t>石阡县农业农村局设备采购</w:t>
            </w:r>
            <w:r>
              <w:rPr>
                <w:rFonts w:hint="eastAsia" w:ascii="宋体" w:hAnsi="宋体"/>
                <w:sz w:val="24"/>
                <w:u w:val="single"/>
              </w:rPr>
              <w:t xml:space="preserve">    </w:t>
            </w:r>
            <w:r>
              <w:rPr>
                <w:rFonts w:hint="eastAsia" w:ascii="宋体" w:hAnsi="宋体"/>
                <w:sz w:val="24"/>
              </w:rPr>
              <w:t xml:space="preserve"> </w:t>
            </w:r>
          </w:p>
          <w:p>
            <w:pPr>
              <w:spacing w:line="400" w:lineRule="exact"/>
              <w:rPr>
                <w:rFonts w:ascii="宋体" w:hAnsi="宋体"/>
                <w:sz w:val="24"/>
                <w:u w:val="single"/>
              </w:rPr>
            </w:pPr>
            <w:r>
              <w:rPr>
                <w:rFonts w:hint="eastAsia" w:ascii="宋体" w:hAnsi="宋体"/>
                <w:sz w:val="24"/>
              </w:rPr>
              <w:t xml:space="preserve">项目编号： </w:t>
            </w:r>
            <w:r>
              <w:rPr>
                <w:rFonts w:hint="eastAsia" w:ascii="宋体" w:hAnsi="宋体"/>
                <w:sz w:val="24"/>
                <w:u w:val="single"/>
              </w:rPr>
              <w:t xml:space="preserve"> QCZB2020-</w:t>
            </w:r>
            <w:r>
              <w:rPr>
                <w:rFonts w:hint="eastAsia" w:ascii="宋体" w:hAnsi="宋体"/>
                <w:sz w:val="24"/>
                <w:u w:val="single"/>
                <w:lang w:eastAsia="zh-CN"/>
              </w:rPr>
              <w:t>006C</w:t>
            </w:r>
            <w:r>
              <w:rPr>
                <w:rFonts w:hint="eastAsia" w:ascii="宋体" w:hAnsi="宋体"/>
                <w:sz w:val="24"/>
                <w:u w:val="single"/>
              </w:rPr>
              <w:t xml:space="preserve">  </w:t>
            </w:r>
          </w:p>
          <w:p>
            <w:pPr>
              <w:spacing w:line="400" w:lineRule="exact"/>
              <w:rPr>
                <w:rFonts w:ascii="宋体" w:hAnsi="宋体"/>
                <w:sz w:val="24"/>
                <w:u w:val="single"/>
              </w:rPr>
            </w:pPr>
            <w:r>
              <w:rPr>
                <w:rFonts w:hint="eastAsia" w:ascii="Arial" w:hAnsi="Arial" w:cs="Arial"/>
                <w:sz w:val="24"/>
              </w:rPr>
              <w:t>财政审核控制价（预算价）：</w:t>
            </w:r>
            <w:r>
              <w:rPr>
                <w:rFonts w:hint="eastAsia" w:ascii="Arial" w:hAnsi="Arial" w:cs="Arial"/>
                <w:sz w:val="24"/>
                <w:u w:val="single"/>
              </w:rPr>
              <w:t xml:space="preserve">  </w:t>
            </w:r>
            <w:r>
              <w:rPr>
                <w:rFonts w:hint="eastAsia" w:ascii="Arial" w:hAnsi="Arial" w:cs="Arial"/>
                <w:sz w:val="24"/>
                <w:u w:val="single"/>
                <w:lang w:val="en-US" w:eastAsia="zh-CN"/>
              </w:rPr>
              <w:t>691560.00</w:t>
            </w:r>
            <w:r>
              <w:rPr>
                <w:rFonts w:hint="eastAsia" w:ascii="Arial" w:hAnsi="Arial" w:cs="Arial"/>
                <w:sz w:val="24"/>
                <w:u w:val="single"/>
              </w:rPr>
              <w:t>元</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eastAsia" w:ascii="宋体" w:hAnsi="宋体"/>
                <w:b/>
                <w:sz w:val="24"/>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资格标准：</w:t>
            </w:r>
          </w:p>
          <w:p>
            <w:pPr>
              <w:spacing w:line="400" w:lineRule="exact"/>
              <w:rPr>
                <w:rFonts w:ascii="宋体" w:hAnsi="宋体"/>
                <w:sz w:val="24"/>
              </w:rPr>
            </w:pPr>
            <w:r>
              <w:rPr>
                <w:rFonts w:hint="eastAsia" w:ascii="宋体" w:hAnsi="宋体"/>
                <w:sz w:val="24"/>
              </w:rPr>
              <w:t>详见第三章《谈判响应供应商须知》第3条，以及第四章《采购内容及要求》有关内容。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 xml:space="preserve">响应文件递交地址： </w:t>
            </w:r>
            <w:r>
              <w:rPr>
                <w:rFonts w:hint="eastAsia" w:ascii="宋体" w:hAnsi="宋体"/>
                <w:sz w:val="24"/>
                <w:lang w:val="en-US" w:eastAsia="zh-CN"/>
              </w:rPr>
              <w:t>石阡县公共资源交易中心</w:t>
            </w:r>
            <w:r>
              <w:rPr>
                <w:rFonts w:hint="eastAsia" w:ascii="宋体" w:hAnsi="宋体"/>
                <w:sz w:val="24"/>
              </w:rPr>
              <w:t xml:space="preserve">开标三室 </w:t>
            </w:r>
          </w:p>
          <w:p>
            <w:pPr>
              <w:spacing w:line="400" w:lineRule="exact"/>
              <w:rPr>
                <w:rFonts w:ascii="宋体" w:hAnsi="宋体"/>
                <w:sz w:val="24"/>
              </w:rPr>
            </w:pPr>
            <w:r>
              <w:rPr>
                <w:rFonts w:hint="eastAsia" w:ascii="宋体" w:hAnsi="宋体"/>
                <w:sz w:val="24"/>
              </w:rPr>
              <w:t>响应文件提交截止时间：详见谈判公告。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cs="Arial"/>
                <w:sz w:val="24"/>
              </w:rPr>
            </w:pPr>
            <w:r>
              <w:rPr>
                <w:rFonts w:hint="eastAsia" w:ascii="Arial" w:cs="Arial"/>
                <w:sz w:val="24"/>
              </w:rPr>
              <w:t>报价保证金</w:t>
            </w:r>
            <w:r>
              <w:rPr>
                <w:rFonts w:ascii="Arial" w:cs="Arial"/>
                <w:sz w:val="24"/>
              </w:rPr>
              <w:t>：响应文件应附有人民币</w:t>
            </w:r>
            <w:r>
              <w:rPr>
                <w:rFonts w:hint="eastAsia" w:ascii="宋体" w:hAnsi="宋体" w:cs="宋体"/>
                <w:b/>
                <w:bCs/>
                <w:color w:val="FF0000"/>
                <w:sz w:val="24"/>
                <w:u w:val="single"/>
              </w:rPr>
              <w:t xml:space="preserve"> 10000  </w:t>
            </w:r>
            <w:r>
              <w:rPr>
                <w:rFonts w:hint="eastAsia" w:ascii="宋体" w:hAnsi="宋体" w:cs="宋体"/>
                <w:sz w:val="24"/>
              </w:rPr>
              <w:t>元</w:t>
            </w:r>
            <w:r>
              <w:rPr>
                <w:rFonts w:ascii="Arial" w:cs="Arial"/>
                <w:sz w:val="24"/>
              </w:rPr>
              <w:t>整的</w:t>
            </w:r>
            <w:r>
              <w:rPr>
                <w:rFonts w:hint="eastAsia" w:ascii="Arial" w:cs="Arial"/>
                <w:sz w:val="24"/>
              </w:rPr>
              <w:t>报价保证金</w:t>
            </w:r>
            <w:r>
              <w:rPr>
                <w:rFonts w:ascii="Arial" w:cs="Arial"/>
                <w:sz w:val="24"/>
              </w:rPr>
              <w:t>，</w:t>
            </w:r>
            <w:r>
              <w:rPr>
                <w:rFonts w:hint="eastAsia" w:ascii="Arial" w:hAnsi="Arial" w:cs="Arial"/>
                <w:sz w:val="24"/>
              </w:rPr>
              <w:t>保证金必须从供应商账户支付且在响应文件提交截止时间前到账，保证金应当采用</w:t>
            </w:r>
            <w:r>
              <w:rPr>
                <w:rFonts w:hint="eastAsia" w:ascii="Arial" w:hAnsi="Arial" w:cs="Arial"/>
                <w:color w:val="FF0000"/>
                <w:sz w:val="24"/>
              </w:rPr>
              <w:t>转账、网上银行支付</w:t>
            </w:r>
            <w:r>
              <w:rPr>
                <w:rFonts w:hint="eastAsia" w:ascii="Arial" w:hAnsi="Arial" w:cs="Arial"/>
                <w:sz w:val="24"/>
              </w:rPr>
              <w:t>等非现金形式交纳。</w:t>
            </w:r>
          </w:p>
          <w:p>
            <w:pPr>
              <w:spacing w:line="400" w:lineRule="exact"/>
              <w:rPr>
                <w:rFonts w:ascii="Arial" w:hAnsi="Arial" w:cs="Arial"/>
                <w:sz w:val="24"/>
              </w:rPr>
            </w:pPr>
            <w:r>
              <w:rPr>
                <w:rFonts w:ascii="Arial" w:cs="Arial"/>
                <w:sz w:val="24"/>
              </w:rPr>
              <w:t>为方便</w:t>
            </w:r>
            <w:r>
              <w:rPr>
                <w:rFonts w:hint="eastAsia" w:ascii="Arial" w:cs="Arial"/>
                <w:sz w:val="24"/>
              </w:rPr>
              <w:t>报价保证金</w:t>
            </w:r>
            <w:r>
              <w:rPr>
                <w:rFonts w:ascii="Arial" w:cs="Arial"/>
                <w:sz w:val="24"/>
              </w:rPr>
              <w:t>的收、退结算，请在银行汇款凭证上标注项目</w:t>
            </w:r>
            <w:r>
              <w:rPr>
                <w:rFonts w:hint="eastAsia" w:ascii="Arial" w:cs="Arial"/>
                <w:sz w:val="24"/>
              </w:rPr>
              <w:t>随机码</w:t>
            </w:r>
            <w:r>
              <w:rPr>
                <w:rFonts w:ascii="Arial" w:cs="Arial"/>
                <w:sz w:val="24"/>
              </w:rPr>
              <w:t>，</w:t>
            </w:r>
            <w:r>
              <w:rPr>
                <w:rFonts w:hint="eastAsia" w:ascii="Arial" w:cs="Arial"/>
                <w:sz w:val="24"/>
              </w:rPr>
              <w:t>报价保证金</w:t>
            </w:r>
            <w:r>
              <w:rPr>
                <w:rFonts w:ascii="Arial" w:cs="Arial"/>
                <w:sz w:val="24"/>
              </w:rPr>
              <w:t>缴交凭证请随同响应文件同时送达。</w:t>
            </w:r>
            <w:r>
              <w:rPr>
                <w:rFonts w:ascii="Arial" w:hAnsi="Arial" w:cs="Arial"/>
                <w:sz w:val="24"/>
              </w:rPr>
              <w:t xml:space="preserve"> </w:t>
            </w:r>
            <w:r>
              <w:rPr>
                <w:rFonts w:hint="eastAsia" w:ascii="Arial" w:hAnsi="Arial" w:cs="Arial"/>
                <w:sz w:val="24"/>
              </w:rPr>
              <w:t>（保证金不得超过采购项目预算金额的2%）</w:t>
            </w:r>
            <w:r>
              <w:rPr>
                <w:rFonts w:ascii="Arial" w:hAnsi="Arial" w:cs="Arial"/>
                <w:sz w:val="24"/>
              </w:rPr>
              <w:t xml:space="preserve">        </w:t>
            </w:r>
          </w:p>
          <w:p>
            <w:pPr>
              <w:spacing w:line="400" w:lineRule="exact"/>
              <w:rPr>
                <w:rFonts w:ascii="宋体" w:hAnsi="宋体"/>
                <w:sz w:val="24"/>
                <w:szCs w:val="28"/>
              </w:rPr>
            </w:pPr>
            <w:r>
              <w:rPr>
                <w:rFonts w:ascii="Arial" w:cs="Arial"/>
                <w:sz w:val="24"/>
              </w:rPr>
              <w:t>注：</w:t>
            </w:r>
            <w:r>
              <w:rPr>
                <w:rFonts w:hint="eastAsia" w:ascii="Arial" w:cs="Arial"/>
                <w:sz w:val="24"/>
              </w:rPr>
              <w:t>报价保证金</w:t>
            </w:r>
            <w:r>
              <w:rPr>
                <w:rFonts w:ascii="Arial" w:cs="Arial"/>
                <w:sz w:val="24"/>
              </w:rPr>
              <w:t>必须在</w:t>
            </w:r>
            <w:r>
              <w:rPr>
                <w:rFonts w:hint="eastAsia" w:ascii="Arial" w:cs="Arial"/>
                <w:color w:val="FF0000"/>
                <w:sz w:val="24"/>
              </w:rPr>
              <w:t>规定</w:t>
            </w:r>
            <w:r>
              <w:rPr>
                <w:rFonts w:ascii="Arial" w:cs="Arial"/>
                <w:color w:val="FF0000"/>
                <w:sz w:val="24"/>
              </w:rPr>
              <w:t>时间</w:t>
            </w:r>
            <w:r>
              <w:rPr>
                <w:rFonts w:ascii="Arial" w:cs="Arial"/>
                <w:sz w:val="24"/>
              </w:rPr>
              <w:t>前到帐，否则视为无效</w:t>
            </w:r>
            <w:r>
              <w:rPr>
                <w:rFonts w:hint="eastAsia" w:ascii="Arial" w:cs="Arial"/>
                <w:sz w:val="24"/>
              </w:rPr>
              <w:t>响应</w:t>
            </w:r>
            <w:r>
              <w:rPr>
                <w:rFonts w:ascii="Arial" w:cs="Arial"/>
                <w:sz w:val="24"/>
              </w:rPr>
              <w:t>。</w:t>
            </w:r>
            <w:r>
              <w:rPr>
                <w:rFonts w:hint="eastAsia" w:ascii="宋体" w:hAnsi="宋体"/>
                <w:sz w:val="24"/>
                <w:szCs w:val="28"/>
              </w:rPr>
              <w:t xml:space="preserve"> </w:t>
            </w:r>
          </w:p>
          <w:p>
            <w:pPr>
              <w:spacing w:line="400" w:lineRule="exact"/>
              <w:rPr>
                <w:rFonts w:ascii="宋体" w:hAnsi="宋体"/>
                <w:sz w:val="24"/>
              </w:rPr>
            </w:pPr>
            <w:r>
              <w:rPr>
                <w:rFonts w:hint="eastAsia" w:ascii="Arial" w:hAnsi="Arial" w:cs="Arial"/>
                <w:b/>
                <w:bCs/>
                <w:color w:val="FF0000"/>
                <w:sz w:val="24"/>
              </w:rPr>
              <w:t>履约保证金：</w:t>
            </w:r>
            <w:r>
              <w:rPr>
                <w:rFonts w:hint="eastAsia" w:hAnsi="宋体"/>
                <w:color w:val="FF0000"/>
                <w:sz w:val="24"/>
              </w:rPr>
              <w:t>缴纳和退取（缴纳数额不得超过政府采购合同总价的10℅，</w:t>
            </w:r>
            <w:r>
              <w:rPr>
                <w:rFonts w:hint="eastAsia"/>
                <w:color w:val="FF0000"/>
              </w:rPr>
              <w:t>具体由采购人和成交供应商商定</w:t>
            </w:r>
            <w:r>
              <w:rPr>
                <w:rFonts w:hint="eastAsia" w:hAnsi="宋体"/>
                <w:color w:val="FF0000"/>
                <w:sz w:val="24"/>
              </w:rPr>
              <w:t>。）</w:t>
            </w:r>
            <w:r>
              <w:rPr>
                <w:rFonts w:hint="eastAsia" w:ascii="宋体" w:hAnsi="宋体"/>
                <w:color w:val="FF0000"/>
                <w:sz w:val="24"/>
                <w:szCs w:val="28"/>
              </w:rPr>
              <w:t xml:space="preserve">  </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u w:val="single"/>
              </w:rPr>
            </w:pPr>
            <w:r>
              <w:rPr>
                <w:rFonts w:hint="eastAsia" w:ascii="宋体" w:hAnsi="宋体"/>
                <w:sz w:val="24"/>
                <w:u w:val="single"/>
              </w:rPr>
              <w:t>谈判规则、评审标准：最低评标价法</w:t>
            </w:r>
          </w:p>
          <w:p>
            <w:pPr>
              <w:spacing w:line="400" w:lineRule="exact"/>
              <w:rPr>
                <w:rFonts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u w:val="single"/>
              </w:rPr>
            </w:pPr>
            <w:r>
              <w:rPr>
                <w:rFonts w:hint="eastAsia" w:ascii="宋体" w:hAnsi="宋体"/>
                <w:sz w:val="24"/>
              </w:rPr>
              <w:t>代理服务费收取标准及方式：本项目代理服务费由中标（成交）供应商，按国家计委计价格（2002）1980号文件规定的标准缴纳，并在领取中标（成交）通知书前结清。</w:t>
            </w:r>
          </w:p>
        </w:tc>
      </w:tr>
    </w:tbl>
    <w:p>
      <w:pPr>
        <w:spacing w:line="400" w:lineRule="exact"/>
        <w:rPr>
          <w:rFonts w:ascii="宋体" w:hAnsi="宋体"/>
          <w:b/>
          <w:bCs/>
          <w:sz w:val="24"/>
          <w:u w:val="single"/>
        </w:rPr>
      </w:pPr>
    </w:p>
    <w:p>
      <w:pPr>
        <w:spacing w:line="400" w:lineRule="exact"/>
        <w:jc w:val="center"/>
        <w:rPr>
          <w:rFonts w:ascii="宋体" w:hAnsi="宋体"/>
          <w:b/>
          <w:bCs/>
          <w:sz w:val="24"/>
          <w:u w:val="single"/>
        </w:rPr>
      </w:pPr>
    </w:p>
    <w:p>
      <w:pPr>
        <w:spacing w:line="400" w:lineRule="exact"/>
        <w:jc w:val="center"/>
        <w:rPr>
          <w:rFonts w:ascii="宋体" w:hAnsi="宋体"/>
          <w:b/>
          <w:bCs/>
          <w:sz w:val="32"/>
          <w:u w:val="single"/>
        </w:rPr>
      </w:pPr>
      <w:r>
        <w:rPr>
          <w:rFonts w:hint="eastAsia" w:ascii="宋体" w:hAnsi="宋体"/>
          <w:b/>
          <w:bCs/>
          <w:sz w:val="24"/>
          <w:u w:val="single"/>
        </w:rPr>
        <w:t>谈判供应商须知前附表2:资格性、符合性检查表</w:t>
      </w:r>
    </w:p>
    <w:p>
      <w:pPr>
        <w:spacing w:line="400" w:lineRule="exact"/>
        <w:ind w:firstLine="495"/>
        <w:rPr>
          <w:rFonts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tbl>
      <w:tblPr>
        <w:tblStyle w:val="1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合格的谈判供应商</w:t>
            </w:r>
          </w:p>
          <w:p>
            <w:pPr>
              <w:spacing w:line="400" w:lineRule="exact"/>
              <w:rPr>
                <w:rFonts w:ascii="宋体" w:hAnsi="宋体"/>
                <w:sz w:val="24"/>
              </w:rPr>
            </w:pPr>
            <w:r>
              <w:rPr>
                <w:rFonts w:hint="eastAsia" w:ascii="宋体" w:hAnsi="宋体"/>
                <w:sz w:val="24"/>
              </w:rPr>
              <w:t>具体内容详见第三章第3条“合格的谈判供应商”。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谈判代表若不是法定代表人，则必须提供法定代表人对谈判代表的授权书</w:t>
            </w:r>
            <w:r>
              <w:rPr>
                <w:rFonts w:hint="eastAsia" w:ascii="宋体" w:hAnsi="宋体"/>
                <w:sz w:val="24"/>
                <w:lang w:eastAsia="zh-CN"/>
              </w:rPr>
              <w:t>原件</w:t>
            </w:r>
            <w:r>
              <w:rPr>
                <w:rFonts w:hint="eastAsia" w:ascii="宋体" w:hAnsi="宋体"/>
                <w:sz w:val="24"/>
              </w:rPr>
              <w:t>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tcPr>
          <w:p>
            <w:pPr>
              <w:pStyle w:val="31"/>
              <w:spacing w:line="400" w:lineRule="exact"/>
            </w:pPr>
            <w:r>
              <w:t>参加政府采购活动的</w:t>
            </w:r>
            <w:r>
              <w:rPr>
                <w:rFonts w:hint="eastAsia"/>
              </w:rPr>
              <w:t>谈判供应商</w:t>
            </w:r>
            <w:r>
              <w:t>应当具备符合《中华人民共和国政府采购法》第22条和《中华人民共和国政府采购法实施条例》第17条的条件，提供下列材料：</w:t>
            </w:r>
          </w:p>
          <w:p>
            <w:pPr>
              <w:spacing w:line="360" w:lineRule="auto"/>
              <w:ind w:firstLine="480" w:firstLineChars="200"/>
              <w:rPr>
                <w:rFonts w:ascii="宋体" w:hAnsi="宋体" w:cs="宋体"/>
                <w:sz w:val="24"/>
              </w:rPr>
            </w:pPr>
            <w:r>
              <w:rPr>
                <w:rFonts w:ascii="宋体" w:hAnsi="宋体" w:cs="宋体"/>
                <w:sz w:val="24"/>
              </w:rPr>
              <w:t>①具有独立承担民事责任的能力：提供法人或其他组织的营业执照等证明文件， 或自然人身份证明；</w:t>
            </w:r>
          </w:p>
          <w:p>
            <w:pPr>
              <w:spacing w:line="360" w:lineRule="auto"/>
              <w:ind w:firstLine="480" w:firstLineChars="200"/>
              <w:rPr>
                <w:rFonts w:ascii="宋体" w:hAnsi="宋体" w:cs="宋体"/>
                <w:sz w:val="24"/>
              </w:rPr>
            </w:pPr>
            <w:r>
              <w:rPr>
                <w:rFonts w:ascii="宋体" w:hAnsi="宋体" w:cs="宋体"/>
                <w:sz w:val="24"/>
              </w:rPr>
              <w:t>②具有良好的商业信誉和健全的财务会计制度：提供 2019 年度经第三方审计的财务审计报告或 2020 年最近三个月公司自主出具的财务报表（新成立的公司只需提供开标前三个月的银行流水）或银行出具的资信证明。</w:t>
            </w:r>
          </w:p>
          <w:p>
            <w:pPr>
              <w:spacing w:line="360" w:lineRule="auto"/>
              <w:ind w:firstLine="480" w:firstLineChars="200"/>
              <w:rPr>
                <w:rFonts w:ascii="宋体" w:hAnsi="宋体" w:cs="宋体"/>
                <w:sz w:val="24"/>
              </w:rPr>
            </w:pPr>
            <w:r>
              <w:rPr>
                <w:rFonts w:ascii="宋体" w:hAnsi="宋体" w:cs="宋体"/>
                <w:sz w:val="24"/>
              </w:rPr>
              <w:t>③具有履行合同所必需的设备和专业技术能力：提供具备履行合同所必需的设备和专业技术能力的承诺函（格式自拟）；</w:t>
            </w:r>
          </w:p>
          <w:p>
            <w:pPr>
              <w:spacing w:line="360" w:lineRule="auto"/>
              <w:ind w:firstLine="480" w:firstLineChars="200"/>
              <w:rPr>
                <w:rFonts w:ascii="宋体" w:hAnsi="宋体" w:cs="宋体"/>
                <w:sz w:val="24"/>
              </w:rPr>
            </w:pPr>
            <w:r>
              <w:rPr>
                <w:rFonts w:ascii="宋体" w:hAnsi="宋体" w:cs="宋体"/>
                <w:sz w:val="24"/>
              </w:rPr>
              <w:t>④具有依法缴纳税收和社会保障资金的良好记录：提供 2020 年任意三个月依法缴纳税收（依法免税的供应商须提供相应证明文件）和社会保障资金的有效证明材料；</w:t>
            </w:r>
          </w:p>
          <w:p>
            <w:pPr>
              <w:spacing w:line="360" w:lineRule="auto"/>
              <w:ind w:firstLine="480" w:firstLineChars="200"/>
              <w:rPr>
                <w:rFonts w:ascii="宋体" w:hAnsi="宋体" w:cs="宋体"/>
                <w:sz w:val="24"/>
              </w:rPr>
            </w:pPr>
            <w:r>
              <w:rPr>
                <w:rFonts w:ascii="宋体" w:hAnsi="宋体" w:cs="宋体"/>
                <w:sz w:val="24"/>
              </w:rPr>
              <w:t>⑤参加本次政府采购活动前三年内，在经营活动中没有违法违规记录：提供参加政府采购活动前 3 年内在经营活动中没有重大违法记录的书面声明；</w:t>
            </w:r>
          </w:p>
          <w:p>
            <w:pPr>
              <w:spacing w:line="360" w:lineRule="auto"/>
              <w:ind w:firstLine="480" w:firstLineChars="200"/>
              <w:rPr>
                <w:rFonts w:ascii="宋体" w:hAnsi="宋体" w:cs="宋体"/>
                <w:sz w:val="24"/>
              </w:rPr>
            </w:pPr>
            <w:r>
              <w:rPr>
                <w:rFonts w:ascii="宋体" w:hAnsi="宋体" w:cs="宋体"/>
                <w:sz w:val="24"/>
              </w:rPr>
              <w:t>⑥法律、行政法规规定的其他条件：供应商承诺在“信用中国”网站、“中国政府采购网”等渠道查询中未被列入失信被执行人名单、重大税收违法案件当事人名单、政府采购严重违法失信行为记录名单中（格式文件详见&lt;供应商信用记录承诺书&gt;）。如在上述名单中的供应商取消其投标资格，并承担由此造成的一切法律责任及后果。</w:t>
            </w:r>
          </w:p>
          <w:p>
            <w:pPr>
              <w:spacing w:line="360" w:lineRule="auto"/>
              <w:ind w:firstLine="480" w:firstLineChars="200"/>
              <w:rPr>
                <w:rFonts w:ascii="宋体" w:hAnsi="宋体" w:cs="宋体"/>
                <w:sz w:val="24"/>
              </w:rPr>
            </w:pPr>
            <w:r>
              <w:rPr>
                <w:rFonts w:ascii="宋体" w:hAnsi="宋体" w:cs="宋体"/>
                <w:sz w:val="24"/>
              </w:rPr>
              <w:t>⑦本项目不接受联合体。特殊资格要求：无。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2"/>
                <w:szCs w:val="21"/>
              </w:rPr>
            </w:pPr>
            <w:r>
              <w:rPr>
                <w:rFonts w:hint="eastAsia" w:ascii="宋体" w:hAnsi="宋体"/>
                <w:sz w:val="22"/>
                <w:szCs w:val="21"/>
              </w:rPr>
              <w:t>3.8</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szCs w:val="24"/>
              </w:rPr>
            </w:pPr>
            <w:r>
              <w:rPr>
                <w:rFonts w:hint="eastAsia" w:ascii="宋体" w:hAnsi="宋体"/>
                <w:sz w:val="24"/>
                <w:szCs w:val="24"/>
              </w:rPr>
              <w:t>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（11）不同谈判响应供应商的报价保证金从同一单位或者个人的账户转出。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报价保证金、参加谈判的；</w:t>
            </w:r>
          </w:p>
          <w:p>
            <w:pPr>
              <w:spacing w:line="400" w:lineRule="exact"/>
              <w:ind w:firstLine="480" w:firstLineChars="200"/>
              <w:rPr>
                <w:rFonts w:hAnsi="宋体"/>
                <w:sz w:val="24"/>
                <w:szCs w:val="24"/>
              </w:rPr>
            </w:pPr>
            <w:r>
              <w:rPr>
                <w:rFonts w:hint="eastAsia" w:hAnsi="宋体"/>
                <w:sz w:val="24"/>
                <w:szCs w:val="24"/>
              </w:rPr>
              <w:t>（15）有关法律、法规或规章规定的其他串通行为。</w:t>
            </w:r>
          </w:p>
          <w:p>
            <w:pPr>
              <w:spacing w:line="400" w:lineRule="exact"/>
              <w:ind w:firstLine="480" w:firstLineChars="2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6"/>
                <w:szCs w:val="15"/>
              </w:rPr>
            </w:pPr>
            <w:r>
              <w:rPr>
                <w:rFonts w:hint="eastAsia" w:ascii="宋体" w:hAnsi="宋体"/>
                <w:sz w:val="16"/>
                <w:szCs w:val="15"/>
              </w:rPr>
              <w:t>11.1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响应文件有效期：</w:t>
            </w:r>
          </w:p>
          <w:p>
            <w:pPr>
              <w:spacing w:line="400" w:lineRule="exact"/>
              <w:ind w:firstLine="480" w:firstLineChars="200"/>
              <w:rPr>
                <w:rFonts w:ascii="宋体" w:hAnsi="宋体"/>
                <w:sz w:val="24"/>
              </w:rPr>
            </w:pPr>
            <w:r>
              <w:rPr>
                <w:rFonts w:hint="eastAsia" w:ascii="宋体" w:hAnsi="宋体"/>
                <w:sz w:val="24"/>
              </w:rPr>
              <w:t>响应文件提交截止之日起</w:t>
            </w:r>
            <w:r>
              <w:rPr>
                <w:rFonts w:hint="eastAsia" w:ascii="宋体" w:hAnsi="宋体"/>
                <w:sz w:val="24"/>
                <w:u w:val="single"/>
              </w:rPr>
              <w:t xml:space="preserve">  60 </w:t>
            </w:r>
            <w:r>
              <w:rPr>
                <w:rFonts w:hint="eastAsia" w:ascii="宋体" w:hAnsi="宋体"/>
                <w:sz w:val="24"/>
              </w:rPr>
              <w:t>个日历日。</w:t>
            </w:r>
          </w:p>
          <w:p>
            <w:pPr>
              <w:spacing w:line="400" w:lineRule="exact"/>
              <w:ind w:firstLine="480" w:firstLineChars="200"/>
              <w:rPr>
                <w:rFonts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6"/>
                <w:szCs w:val="15"/>
              </w:rPr>
            </w:pPr>
            <w:r>
              <w:rPr>
                <w:rFonts w:hint="eastAsia" w:ascii="宋体" w:hAnsi="宋体"/>
                <w:sz w:val="16"/>
                <w:szCs w:val="15"/>
              </w:rPr>
              <w:t>12.5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Ansi="宋体"/>
                <w:sz w:val="24"/>
              </w:rPr>
              <w:t>未按规定提交</w:t>
            </w:r>
            <w:r>
              <w:rPr>
                <w:rFonts w:hint="eastAsia" w:hAnsi="宋体"/>
                <w:sz w:val="24"/>
              </w:rPr>
              <w:t>报价保证金</w:t>
            </w:r>
            <w:r>
              <w:rPr>
                <w:rFonts w:hAnsi="宋体"/>
                <w:sz w:val="24"/>
              </w:rPr>
              <w:t>，</w:t>
            </w:r>
            <w:r>
              <w:rPr>
                <w:rFonts w:ascii="Arial" w:hAnsi="Arial" w:cs="Arial"/>
                <w:sz w:val="24"/>
              </w:rPr>
              <w:t>将被</w:t>
            </w:r>
            <w:r>
              <w:rPr>
                <w:rFonts w:hint="eastAsia" w:ascii="Arial" w:hAnsi="Arial" w:cs="Arial"/>
                <w:sz w:val="24"/>
              </w:rPr>
              <w:t>视为未响应谈判文件要求，取消其谈判资格</w:t>
            </w:r>
            <w:r>
              <w:rPr>
                <w:rFonts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6"/>
                <w:szCs w:val="15"/>
              </w:rPr>
            </w:pPr>
            <w:r>
              <w:rPr>
                <w:rFonts w:hint="eastAsia" w:ascii="宋体" w:hAnsi="宋体"/>
                <w:sz w:val="16"/>
                <w:szCs w:val="15"/>
              </w:rPr>
              <w:t>17.5.2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17.5.2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left="31" w:leftChars="15" w:firstLine="420" w:firstLineChars="200"/>
            </w:pPr>
            <w:r>
              <w:rPr>
                <w:rFonts w:hint="eastAsia"/>
              </w:rPr>
              <w:t>凡有下列情况之一者，响应文件也将被视为未实质性响应谈判文件要求：</w:t>
            </w:r>
          </w:p>
          <w:p>
            <w:pPr>
              <w:spacing w:line="360" w:lineRule="auto"/>
              <w:ind w:left="69" w:leftChars="33" w:firstLine="420" w:firstLineChars="200"/>
              <w:rPr>
                <w:rFonts w:asciiTheme="minorEastAsia" w:hAnsiTheme="minorEastAsia" w:cstheme="minorEastAsia"/>
                <w:color w:val="FF0000"/>
                <w:szCs w:val="21"/>
              </w:rPr>
            </w:pPr>
            <w:r>
              <w:rPr>
                <w:rFonts w:hint="eastAsia" w:asciiTheme="minorEastAsia" w:hAnsiTheme="minorEastAsia" w:cstheme="minorEastAsia"/>
                <w:color w:val="FF0000"/>
                <w:szCs w:val="21"/>
              </w:rPr>
              <w:t>（1）开标时，谈判响应供应商的法定代表人或授权代表未参加或未按时参加开标会议的；</w:t>
            </w:r>
          </w:p>
          <w:p>
            <w:pPr>
              <w:spacing w:line="360" w:lineRule="auto"/>
              <w:ind w:left="69" w:leftChars="33" w:firstLine="420" w:firstLineChars="200"/>
              <w:rPr>
                <w:rFonts w:asciiTheme="minorEastAsia" w:hAnsiTheme="minorEastAsia" w:cstheme="minorEastAsia"/>
                <w:color w:val="FF0000"/>
                <w:szCs w:val="21"/>
              </w:rPr>
            </w:pPr>
            <w:r>
              <w:rPr>
                <w:rFonts w:hint="eastAsia" w:asciiTheme="minorEastAsia" w:hAnsiTheme="minorEastAsia" w:cstheme="minorEastAsia"/>
                <w:color w:val="FF0000"/>
                <w:szCs w:val="21"/>
              </w:rPr>
              <w:t>（2）响应文件数量不足或未按照本须知规定进行装订、密封、标识、签署、盖章的；</w:t>
            </w:r>
          </w:p>
          <w:p>
            <w:pPr>
              <w:spacing w:line="360" w:lineRule="auto"/>
              <w:ind w:left="69" w:leftChars="33" w:firstLine="420" w:firstLineChars="200"/>
              <w:rPr>
                <w:rFonts w:asciiTheme="minorEastAsia" w:hAnsiTheme="minorEastAsia" w:cstheme="minorEastAsia"/>
                <w:color w:val="FF0000"/>
                <w:szCs w:val="21"/>
              </w:rPr>
            </w:pPr>
            <w:r>
              <w:rPr>
                <w:rFonts w:hint="eastAsia" w:asciiTheme="minorEastAsia" w:hAnsiTheme="minorEastAsia" w:cstheme="minorEastAsia"/>
                <w:color w:val="FF0000"/>
                <w:szCs w:val="21"/>
              </w:rPr>
              <w:t>（3）未按规定由谈判响应供应商的法定代表人或授权代表签字；或未加盖供应商公章的；或签字人未提供法定代表人有效授权委托书的；</w:t>
            </w:r>
          </w:p>
          <w:p>
            <w:pPr>
              <w:spacing w:line="360" w:lineRule="auto"/>
              <w:ind w:left="69" w:leftChars="33" w:firstLine="420" w:firstLineChars="200"/>
              <w:rPr>
                <w:rFonts w:asciiTheme="minorEastAsia" w:hAnsiTheme="minorEastAsia" w:cstheme="minorEastAsia"/>
                <w:color w:val="FF0000"/>
                <w:szCs w:val="21"/>
              </w:rPr>
            </w:pPr>
            <w:r>
              <w:rPr>
                <w:rFonts w:hint="eastAsia" w:asciiTheme="minorEastAsia" w:hAnsiTheme="minorEastAsia" w:cstheme="minorEastAsia"/>
                <w:color w:val="FF0000"/>
                <w:szCs w:val="21"/>
              </w:rPr>
              <w:t>（4）未按规定提交报价保证金的；</w:t>
            </w:r>
          </w:p>
          <w:p>
            <w:pPr>
              <w:spacing w:line="360" w:lineRule="auto"/>
              <w:ind w:left="69" w:leftChars="33" w:firstLine="420" w:firstLineChars="200"/>
              <w:rPr>
                <w:rFonts w:asciiTheme="minorEastAsia" w:hAnsiTheme="minorEastAsia" w:cstheme="minorEastAsia"/>
                <w:color w:val="FF0000"/>
                <w:szCs w:val="21"/>
              </w:rPr>
            </w:pPr>
            <w:r>
              <w:rPr>
                <w:rFonts w:hint="eastAsia" w:asciiTheme="minorEastAsia" w:hAnsiTheme="minorEastAsia" w:cstheme="minorEastAsia"/>
                <w:color w:val="FF0000"/>
                <w:szCs w:val="21"/>
              </w:rPr>
              <w:t>（5）响应文件有效期不满足谈判文件要求的；</w:t>
            </w:r>
          </w:p>
          <w:p>
            <w:pPr>
              <w:spacing w:line="360" w:lineRule="auto"/>
              <w:ind w:left="69" w:leftChars="33" w:firstLine="420" w:firstLineChars="200"/>
              <w:rPr>
                <w:rFonts w:asciiTheme="minorEastAsia" w:hAnsiTheme="minorEastAsia" w:cstheme="minorEastAsia"/>
                <w:color w:val="FF0000"/>
                <w:szCs w:val="21"/>
              </w:rPr>
            </w:pPr>
            <w:r>
              <w:rPr>
                <w:rFonts w:hint="eastAsia" w:asciiTheme="minorEastAsia" w:hAnsiTheme="minorEastAsia" w:cstheme="minorEastAsia"/>
                <w:color w:val="FF0000"/>
                <w:szCs w:val="21"/>
              </w:rPr>
              <w:t>（6）资质验证不合格的；</w:t>
            </w:r>
          </w:p>
          <w:p>
            <w:pPr>
              <w:spacing w:line="360" w:lineRule="auto"/>
              <w:ind w:left="69" w:leftChars="33" w:firstLine="420" w:firstLineChars="200"/>
              <w:rPr>
                <w:rFonts w:asciiTheme="minorEastAsia" w:hAnsiTheme="minorEastAsia" w:cstheme="minorEastAsia"/>
                <w:color w:val="FF0000"/>
                <w:szCs w:val="21"/>
              </w:rPr>
            </w:pPr>
            <w:r>
              <w:rPr>
                <w:rFonts w:hint="eastAsia" w:asciiTheme="minorEastAsia" w:hAnsiTheme="minorEastAsia" w:cstheme="minorEastAsia"/>
                <w:color w:val="FF0000"/>
                <w:szCs w:val="21"/>
              </w:rPr>
              <w:t>（7）响应文件内容与采购内容及要求有重大偏离、保留或未实质性响应的；</w:t>
            </w:r>
          </w:p>
          <w:p>
            <w:pPr>
              <w:spacing w:line="360" w:lineRule="auto"/>
              <w:ind w:left="69" w:leftChars="33" w:firstLine="420" w:firstLineChars="200"/>
              <w:rPr>
                <w:rFonts w:asciiTheme="minorEastAsia" w:hAnsiTheme="minorEastAsia" w:cstheme="minorEastAsia"/>
                <w:color w:val="FF0000"/>
                <w:szCs w:val="21"/>
              </w:rPr>
            </w:pPr>
            <w:r>
              <w:rPr>
                <w:rFonts w:hint="eastAsia" w:asciiTheme="minorEastAsia" w:hAnsiTheme="minorEastAsia" w:cstheme="minorEastAsia"/>
                <w:color w:val="FF0000"/>
                <w:szCs w:val="21"/>
              </w:rPr>
              <w:t>（8）供应商提交的出现两种报价或投标不是固定价，投标方案是可选择的；</w:t>
            </w:r>
          </w:p>
          <w:p>
            <w:pPr>
              <w:spacing w:line="360" w:lineRule="auto"/>
              <w:ind w:left="69" w:leftChars="33" w:firstLine="420" w:firstLineChars="200"/>
              <w:rPr>
                <w:rFonts w:asciiTheme="minorEastAsia" w:hAnsiTheme="minorEastAsia" w:cstheme="minorEastAsia"/>
                <w:color w:val="FF0000"/>
                <w:szCs w:val="21"/>
              </w:rPr>
            </w:pPr>
            <w:r>
              <w:rPr>
                <w:rFonts w:hint="eastAsia" w:asciiTheme="minorEastAsia" w:hAnsiTheme="minorEastAsia" w:cstheme="minorEastAsia"/>
                <w:color w:val="FF0000"/>
                <w:szCs w:val="21"/>
              </w:rPr>
              <w:t>（9）响应供应商未按谈判文件要求进行分项报价；</w:t>
            </w:r>
          </w:p>
          <w:p>
            <w:pPr>
              <w:spacing w:line="360" w:lineRule="auto"/>
              <w:ind w:left="69" w:leftChars="33" w:firstLine="420" w:firstLineChars="200"/>
              <w:rPr>
                <w:rFonts w:asciiTheme="minorEastAsia" w:hAnsiTheme="minorEastAsia" w:cstheme="minorEastAsia"/>
                <w:color w:val="FF0000"/>
                <w:szCs w:val="21"/>
              </w:rPr>
            </w:pPr>
            <w:r>
              <w:rPr>
                <w:rFonts w:hint="eastAsia" w:asciiTheme="minorEastAsia" w:hAnsiTheme="minorEastAsia" w:cstheme="minorEastAsia"/>
                <w:color w:val="FF0000"/>
                <w:szCs w:val="21"/>
              </w:rPr>
              <w:t>（10）响应供应商不按评标委员会要求进行澄清、说明或补正；</w:t>
            </w:r>
          </w:p>
          <w:p>
            <w:pPr>
              <w:spacing w:line="360" w:lineRule="auto"/>
              <w:ind w:left="69" w:leftChars="33" w:firstLine="420" w:firstLineChars="200"/>
              <w:rPr>
                <w:rFonts w:asciiTheme="minorEastAsia" w:hAnsiTheme="minorEastAsia" w:cstheme="minorEastAsia"/>
                <w:color w:val="FF0000"/>
                <w:szCs w:val="21"/>
              </w:rPr>
            </w:pPr>
            <w:r>
              <w:rPr>
                <w:rFonts w:hint="eastAsia" w:asciiTheme="minorEastAsia" w:hAnsiTheme="minorEastAsia" w:cstheme="minorEastAsia"/>
                <w:color w:val="FF0000"/>
                <w:szCs w:val="21"/>
              </w:rPr>
              <w:t>（11）响应文件中提供虚假或失实资料的；</w:t>
            </w:r>
          </w:p>
          <w:p>
            <w:pPr>
              <w:spacing w:line="360" w:lineRule="auto"/>
              <w:ind w:left="69" w:leftChars="33" w:firstLine="420" w:firstLineChars="200"/>
              <w:rPr>
                <w:rFonts w:asciiTheme="minorEastAsia" w:hAnsiTheme="minorEastAsia" w:cstheme="minorEastAsia"/>
                <w:color w:val="FF0000"/>
                <w:szCs w:val="21"/>
              </w:rPr>
            </w:pPr>
            <w:r>
              <w:rPr>
                <w:rFonts w:hint="eastAsia" w:asciiTheme="minorEastAsia" w:hAnsiTheme="minorEastAsia" w:cstheme="minorEastAsia"/>
                <w:color w:val="FF0000"/>
                <w:szCs w:val="21"/>
              </w:rPr>
              <w:t>（12）评标委员会认定谈判响应文件雷同或存在投标供应商串通投标、弄虚作假或其他违法行为的；</w:t>
            </w:r>
          </w:p>
          <w:p>
            <w:pPr>
              <w:spacing w:line="360" w:lineRule="auto"/>
              <w:ind w:left="69" w:leftChars="33" w:firstLine="420" w:firstLineChars="200"/>
              <w:rPr>
                <w:rFonts w:asciiTheme="minorEastAsia" w:hAnsiTheme="minorEastAsia" w:cstheme="minorEastAsia"/>
                <w:color w:val="FF0000"/>
                <w:szCs w:val="21"/>
              </w:rPr>
            </w:pPr>
            <w:r>
              <w:rPr>
                <w:rFonts w:hint="eastAsia" w:asciiTheme="minorEastAsia" w:hAnsiTheme="minorEastAsia" w:cstheme="minorEastAsia"/>
                <w:color w:val="FF0000"/>
                <w:szCs w:val="21"/>
              </w:rPr>
              <w:t>（13）不符合谈判文件中规定的其它实质性条款。</w:t>
            </w:r>
          </w:p>
          <w:p>
            <w:pPr>
              <w:spacing w:line="400" w:lineRule="exact"/>
              <w:ind w:left="69" w:leftChars="33" w:firstLine="480" w:firstLineChars="200"/>
              <w:rPr>
                <w:rFonts w:ascii="宋体" w:hAnsi="宋体"/>
                <w:sz w:val="24"/>
              </w:rPr>
            </w:pPr>
            <w:r>
              <w:rPr>
                <w:rFonts w:hint="eastAsia"/>
                <w:bCs/>
                <w:sz w:val="24"/>
                <w:szCs w:val="21"/>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16"/>
                <w:szCs w:val="15"/>
              </w:rPr>
              <w:t>19.3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b/>
                <w:bCs/>
                <w:color w:val="FF0000"/>
                <w:sz w:val="24"/>
              </w:rPr>
              <w:t>20.</w:t>
            </w:r>
          </w:p>
        </w:tc>
        <w:tc>
          <w:tcPr>
            <w:tcW w:w="7035" w:type="dxa"/>
            <w:tcBorders>
              <w:top w:val="single" w:color="auto" w:sz="4" w:space="0"/>
              <w:left w:val="single" w:color="auto" w:sz="4" w:space="0"/>
              <w:bottom w:val="single" w:color="auto" w:sz="4" w:space="0"/>
              <w:right w:val="single" w:color="auto" w:sz="4" w:space="0"/>
            </w:tcBorders>
          </w:tcPr>
          <w:p>
            <w:pPr>
              <w:pStyle w:val="7"/>
              <w:spacing w:line="360" w:lineRule="auto"/>
              <w:ind w:firstLine="426" w:firstLineChars="177"/>
              <w:rPr>
                <w:b/>
                <w:bCs/>
                <w:color w:val="FF0000"/>
                <w:sz w:val="24"/>
              </w:rPr>
            </w:pPr>
            <w:r>
              <w:rPr>
                <w:rFonts w:hint="eastAsia"/>
                <w:b/>
                <w:bCs/>
                <w:color w:val="FF0000"/>
                <w:sz w:val="24"/>
              </w:rPr>
              <w:t>废标原则</w:t>
            </w:r>
          </w:p>
          <w:p>
            <w:pPr>
              <w:pStyle w:val="7"/>
              <w:spacing w:line="360" w:lineRule="auto"/>
              <w:ind w:firstLine="424" w:firstLineChars="177"/>
              <w:rPr>
                <w:color w:val="FF0000"/>
                <w:sz w:val="24"/>
              </w:rPr>
            </w:pPr>
            <w:r>
              <w:rPr>
                <w:rFonts w:hint="eastAsia"/>
                <w:color w:val="FF0000"/>
                <w:sz w:val="24"/>
              </w:rPr>
              <w:t xml:space="preserve">    出现下列情况之一的，应予废标。</w:t>
            </w:r>
          </w:p>
          <w:p>
            <w:pPr>
              <w:pStyle w:val="7"/>
              <w:spacing w:line="360" w:lineRule="auto"/>
              <w:ind w:firstLine="424" w:firstLineChars="177"/>
              <w:rPr>
                <w:color w:val="FF0000"/>
                <w:sz w:val="24"/>
              </w:rPr>
            </w:pPr>
            <w:r>
              <w:rPr>
                <w:rFonts w:hint="eastAsia"/>
                <w:color w:val="FF0000"/>
                <w:sz w:val="24"/>
              </w:rPr>
              <w:t>20.1截止报名时间，报名供应商不足三家的；</w:t>
            </w:r>
          </w:p>
          <w:p>
            <w:pPr>
              <w:pStyle w:val="7"/>
              <w:spacing w:line="360" w:lineRule="auto"/>
              <w:ind w:firstLine="424" w:firstLineChars="177"/>
              <w:rPr>
                <w:color w:val="FF0000"/>
                <w:sz w:val="24"/>
              </w:rPr>
            </w:pPr>
            <w:r>
              <w:rPr>
                <w:rFonts w:hint="eastAsia"/>
                <w:color w:val="FF0000"/>
                <w:sz w:val="24"/>
              </w:rPr>
              <w:t>20.2符合专业条件的供应商或者对招标文件作实质响应的供应商不足三家的；</w:t>
            </w:r>
          </w:p>
          <w:p>
            <w:pPr>
              <w:pStyle w:val="7"/>
              <w:spacing w:line="360" w:lineRule="auto"/>
              <w:ind w:firstLine="424" w:firstLineChars="177"/>
              <w:rPr>
                <w:color w:val="FF0000"/>
                <w:sz w:val="24"/>
              </w:rPr>
            </w:pPr>
            <w:r>
              <w:rPr>
                <w:rFonts w:hint="eastAsia"/>
                <w:color w:val="FF0000"/>
                <w:sz w:val="24"/>
              </w:rPr>
              <w:t>20.3出现影响采购公正的违法、违规行为的；</w:t>
            </w:r>
          </w:p>
          <w:p>
            <w:pPr>
              <w:pStyle w:val="7"/>
              <w:spacing w:line="360" w:lineRule="auto"/>
              <w:ind w:firstLine="424" w:firstLineChars="177"/>
              <w:rPr>
                <w:color w:val="FF0000"/>
                <w:sz w:val="24"/>
              </w:rPr>
            </w:pPr>
            <w:r>
              <w:rPr>
                <w:rFonts w:hint="eastAsia"/>
                <w:color w:val="FF0000"/>
                <w:sz w:val="24"/>
              </w:rPr>
              <w:t>20.4谈判响应供应商的投标总价均超过了采购预算价，采购人不能支付的；</w:t>
            </w:r>
          </w:p>
          <w:p>
            <w:pPr>
              <w:pStyle w:val="7"/>
              <w:spacing w:line="360" w:lineRule="auto"/>
              <w:ind w:firstLine="424" w:firstLineChars="177"/>
              <w:rPr>
                <w:color w:val="FF0000"/>
                <w:sz w:val="24"/>
              </w:rPr>
            </w:pPr>
            <w:r>
              <w:rPr>
                <w:rFonts w:hint="eastAsia"/>
                <w:color w:val="FF0000"/>
                <w:sz w:val="24"/>
              </w:rPr>
              <w:t>20.5因不可抗力导致重大变故，采购任务取消的。</w:t>
            </w:r>
          </w:p>
          <w:p>
            <w:pPr>
              <w:pStyle w:val="7"/>
              <w:spacing w:line="360" w:lineRule="auto"/>
              <w:ind w:firstLine="424" w:firstLineChars="177"/>
              <w:rPr>
                <w:sz w:val="24"/>
              </w:rPr>
            </w:pPr>
            <w:r>
              <w:rPr>
                <w:rFonts w:hint="eastAsia"/>
                <w:color w:val="FF0000"/>
                <w:sz w:val="24"/>
              </w:rPr>
              <w:t>20.6符合采购文件其他规定情形的。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9</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tabs>
                <w:tab w:val="left" w:pos="2145"/>
              </w:tabs>
              <w:spacing w:line="400" w:lineRule="exact"/>
              <w:rPr>
                <w:b/>
                <w:sz w:val="24"/>
                <w:szCs w:val="24"/>
              </w:rPr>
            </w:pPr>
            <w:r>
              <w:rPr>
                <w:rFonts w:ascii="Arial" w:hAnsi="Arial" w:cs="Arial"/>
                <w:sz w:val="24"/>
              </w:rPr>
              <w:t>谈判小组将对</w:t>
            </w:r>
            <w:r>
              <w:rPr>
                <w:rFonts w:hint="eastAsia" w:ascii="Arial" w:hAnsi="Arial" w:cs="Arial"/>
                <w:sz w:val="24"/>
              </w:rPr>
              <w:t>谈判文件</w:t>
            </w:r>
            <w:r>
              <w:rPr>
                <w:rFonts w:ascii="Arial" w:hAnsi="Arial" w:cs="Arial"/>
                <w:sz w:val="24"/>
              </w:rPr>
              <w:t>中</w:t>
            </w:r>
            <w:r>
              <w:rPr>
                <w:rFonts w:hint="eastAsia" w:ascii="Arial" w:hAnsi="Arial" w:cs="Arial"/>
                <w:sz w:val="24"/>
              </w:rPr>
              <w:t>列明的</w:t>
            </w:r>
            <w:r>
              <w:rPr>
                <w:rFonts w:ascii="Arial" w:hAnsi="Arial" w:cs="Arial"/>
                <w:sz w:val="24"/>
              </w:rPr>
              <w:t>合格谈判方</w:t>
            </w:r>
            <w:r>
              <w:rPr>
                <w:rFonts w:hint="eastAsia" w:ascii="Arial" w:hAnsi="Arial" w:cs="Arial"/>
                <w:sz w:val="24"/>
              </w:rPr>
              <w:t>应符合“资格性要求”</w:t>
            </w:r>
            <w:r>
              <w:rPr>
                <w:rFonts w:ascii="Arial" w:hAnsi="Arial" w:cs="Arial"/>
                <w:sz w:val="24"/>
              </w:rPr>
              <w:t>部分做资格</w:t>
            </w:r>
            <w:r>
              <w:rPr>
                <w:rFonts w:hint="eastAsia" w:ascii="Arial" w:hAnsi="Arial" w:cs="Arial"/>
                <w:sz w:val="24"/>
              </w:rPr>
              <w:t>审查</w:t>
            </w:r>
            <w:r>
              <w:rPr>
                <w:rFonts w:ascii="Arial" w:hAnsi="Arial" w:cs="Arial"/>
                <w:sz w:val="24"/>
              </w:rPr>
              <w:t>，没有提供</w:t>
            </w:r>
            <w:r>
              <w:rPr>
                <w:rFonts w:hint="eastAsia" w:ascii="Arial" w:hAnsi="Arial" w:cs="Arial"/>
                <w:sz w:val="24"/>
              </w:rPr>
              <w:t>相关</w:t>
            </w:r>
            <w:r>
              <w:rPr>
                <w:rFonts w:ascii="Arial" w:hAnsi="Arial" w:cs="Arial"/>
                <w:sz w:val="24"/>
              </w:rPr>
              <w:t>证明文件或文件未按规定签署盖章者以无效谈判论</w:t>
            </w:r>
            <w:r>
              <w:rPr>
                <w:rFonts w:hint="eastAsia" w:ascii="Arial" w:hAnsi="Arial" w:cs="Arial"/>
                <w:sz w:val="24"/>
              </w:rPr>
              <w:t>。</w:t>
            </w:r>
          </w:p>
        </w:tc>
      </w:tr>
    </w:tbl>
    <w:p>
      <w:pPr>
        <w:spacing w:line="400" w:lineRule="exact"/>
        <w:rPr>
          <w:rFonts w:ascii="宋体" w:hAnsi="宋体"/>
          <w:b/>
          <w:sz w:val="24"/>
          <w:u w:val="single"/>
        </w:rPr>
      </w:pPr>
    </w:p>
    <w:p>
      <w:pPr>
        <w:pStyle w:val="2"/>
        <w:jc w:val="center"/>
        <w:rPr>
          <w:rFonts w:ascii="宋体" w:hAnsi="宋体"/>
          <w:b w:val="0"/>
          <w:sz w:val="24"/>
          <w:u w:val="single"/>
        </w:rPr>
      </w:pPr>
      <w:r>
        <w:rPr>
          <w:rFonts w:hint="eastAsia" w:ascii="宋体" w:hAnsi="宋体"/>
          <w:b w:val="0"/>
          <w:sz w:val="24"/>
          <w:u w:val="single"/>
        </w:rPr>
        <w:t>谈判供应商须知前附表3：谈判规则、方法及步骤</w:t>
      </w:r>
    </w:p>
    <w:tbl>
      <w:tblPr>
        <w:tblStyle w:val="1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spacing w:line="400" w:lineRule="exact"/>
              <w:ind w:right="-120" w:rightChars="-57"/>
              <w:rPr>
                <w:rFonts w:ascii="宋体" w:hAnsi="宋体"/>
                <w:sz w:val="24"/>
              </w:rPr>
            </w:pPr>
            <w:r>
              <w:rPr>
                <w:rFonts w:hint="eastAsia" w:ascii="宋体" w:hAnsi="宋体"/>
                <w:sz w:val="24"/>
              </w:rPr>
              <w:t>一．评审原则、方法</w:t>
            </w:r>
          </w:p>
          <w:p>
            <w:pPr>
              <w:spacing w:line="400" w:lineRule="exact"/>
              <w:ind w:right="-120" w:rightChars="-57" w:firstLine="480" w:firstLineChars="200"/>
              <w:rPr>
                <w:rFonts w:ascii="宋体" w:hAnsi="宋体"/>
                <w:sz w:val="24"/>
              </w:rPr>
            </w:pPr>
            <w:r>
              <w:rPr>
                <w:rFonts w:hint="eastAsia" w:ascii="宋体" w:hAnsi="宋体"/>
                <w:sz w:val="24"/>
              </w:rPr>
              <w:t>1.谈判小组依据《中华人民共和国政府采购法》及其实施条例和相关的法规、规章，遵循“公开、公平、公正、择优、信用”的原则进行谈判及评审；</w:t>
            </w:r>
          </w:p>
          <w:p>
            <w:pPr>
              <w:spacing w:line="400" w:lineRule="exact"/>
              <w:ind w:right="-120" w:rightChars="-57" w:firstLine="480" w:firstLineChars="200"/>
              <w:rPr>
                <w:rFonts w:ascii="宋体" w:hAnsi="宋体"/>
                <w:sz w:val="24"/>
              </w:rPr>
            </w:pPr>
            <w:r>
              <w:rPr>
                <w:rFonts w:hint="eastAsia" w:ascii="宋体" w:hAnsi="宋体"/>
                <w:sz w:val="24"/>
              </w:rPr>
              <w:t>2.谈判小组按照规定只对资格、符合性评审合格的响应文件进行最终评审和比较。如各评委结论不一致，以少数服从多数原则确定；</w:t>
            </w:r>
          </w:p>
          <w:p>
            <w:pPr>
              <w:spacing w:line="400" w:lineRule="exact"/>
              <w:ind w:right="-120" w:rightChars="-57" w:firstLine="480" w:firstLineChars="200"/>
              <w:rPr>
                <w:rFonts w:ascii="宋体" w:hAnsi="宋体"/>
                <w:sz w:val="24"/>
              </w:rPr>
            </w:pPr>
            <w:r>
              <w:rPr>
                <w:rFonts w:hint="eastAsia" w:ascii="宋体" w:hAnsi="宋体"/>
                <w:sz w:val="24"/>
              </w:rPr>
              <w:t>3.谈判中，谈判的任何一方不得透露与谈判有关的其他供应商的技术资料、价格和其他信息；</w:t>
            </w:r>
          </w:p>
          <w:p>
            <w:pPr>
              <w:spacing w:line="400" w:lineRule="exact"/>
              <w:ind w:right="-120" w:rightChars="-57" w:firstLine="480" w:firstLineChars="200"/>
              <w:rPr>
                <w:rFonts w:ascii="宋体" w:hAnsi="宋体"/>
                <w:sz w:val="24"/>
              </w:rPr>
            </w:pPr>
            <w:r>
              <w:rPr>
                <w:rFonts w:hint="eastAsia" w:ascii="宋体" w:hAnsi="宋体"/>
                <w:color w:val="FF0000"/>
                <w:sz w:val="24"/>
              </w:rPr>
              <w:t>4.本次谈判，谈判小组可根据谈判时掌握的基本情况，结合项目实际可对谈判文件、服务的要求进行修正和补充，修正和补充完后再进行谈判。</w:t>
            </w:r>
          </w:p>
          <w:p>
            <w:pPr>
              <w:spacing w:line="400" w:lineRule="exact"/>
              <w:ind w:right="-120" w:rightChars="-57" w:firstLine="480" w:firstLineChars="200"/>
              <w:rPr>
                <w:rFonts w:ascii="宋体" w:hAnsi="宋体"/>
                <w:sz w:val="24"/>
              </w:rPr>
            </w:pPr>
            <w:r>
              <w:rPr>
                <w:rFonts w:hint="eastAsia" w:ascii="宋体" w:hAnsi="宋体"/>
                <w:sz w:val="24"/>
              </w:rPr>
              <w:t>5.除非在谈判中谈判小组对用户需求内容作调整增加，或对采购内容作实质性变更，否则采购人不接受高于前面轮次谈判报价的最终报价</w:t>
            </w:r>
          </w:p>
          <w:p>
            <w:pPr>
              <w:spacing w:line="400" w:lineRule="exact"/>
              <w:ind w:right="-120" w:rightChars="-57" w:firstLine="480" w:firstLineChars="200"/>
              <w:rPr>
                <w:rFonts w:ascii="宋体" w:hAnsi="宋体"/>
                <w:color w:val="FF0000"/>
                <w:sz w:val="24"/>
              </w:rPr>
            </w:pPr>
            <w:r>
              <w:rPr>
                <w:rFonts w:hint="eastAsia" w:ascii="宋体" w:hAnsi="宋体"/>
                <w:sz w:val="24"/>
              </w:rPr>
              <w:t>6.评审办法：采用最低评标价法，即供应商提供的产品质量和服务均能满足谈判文件规定的实质性要求以</w:t>
            </w:r>
            <w:r>
              <w:rPr>
                <w:rFonts w:hint="eastAsia" w:ascii="宋体" w:hAnsi="宋体"/>
                <w:color w:val="FF0000"/>
                <w:sz w:val="24"/>
              </w:rPr>
              <w:t>及采购人实际需求的，以最终报价最低的供应商作为第一成交候选人。</w:t>
            </w:r>
            <w:r>
              <w:rPr>
                <w:rFonts w:hint="eastAsia" w:ascii="宋体" w:hAnsi="宋体"/>
                <w:sz w:val="24"/>
              </w:rPr>
              <w:br w:type="textWrapping"/>
            </w:r>
            <w:r>
              <w:rPr>
                <w:rFonts w:hint="eastAsia" w:ascii="宋体" w:hAnsi="宋体"/>
                <w:sz w:val="24"/>
              </w:rPr>
              <w:t>二、评审步骤</w:t>
            </w:r>
            <w:r>
              <w:rPr>
                <w:rFonts w:hint="eastAsia" w:ascii="宋体" w:hAnsi="宋体"/>
                <w:sz w:val="24"/>
              </w:rPr>
              <w:br w:type="textWrapping"/>
            </w:r>
            <w:r>
              <w:rPr>
                <w:rFonts w:hint="eastAsia" w:ascii="宋体" w:hAnsi="宋体"/>
                <w:sz w:val="24"/>
              </w:rPr>
              <w:t xml:space="preserve">   1.第一阶段：谈判小组对每位供应商的响应文件进行资格、符合性评审；</w:t>
            </w:r>
            <w:r>
              <w:rPr>
                <w:rFonts w:hint="eastAsia" w:ascii="宋体" w:hAnsi="宋体"/>
                <w:sz w:val="24"/>
              </w:rPr>
              <w:br w:type="textWrapping"/>
            </w:r>
            <w:r>
              <w:rPr>
                <w:rFonts w:hint="eastAsia" w:ascii="宋体" w:hAnsi="宋体"/>
                <w:sz w:val="24"/>
              </w:rPr>
              <w:t xml:space="preserve">  </w:t>
            </w:r>
            <w:r>
              <w:rPr>
                <w:rFonts w:hint="eastAsia" w:ascii="宋体" w:hAnsi="宋体"/>
                <w:color w:val="FF0000"/>
                <w:sz w:val="24"/>
              </w:rPr>
              <w:t xml:space="preserve"> 2.第二阶段：谈判小组与供应商进行谈判（谈判的内容主要是对报价方案的澄清、修正、补充、确认以及价格调整等。谈判文件有实质性变动的，谈判小组应当以书面形式通知所有供应商）；</w:t>
            </w:r>
            <w:r>
              <w:rPr>
                <w:rFonts w:hint="eastAsia" w:ascii="宋体" w:hAnsi="宋体"/>
                <w:color w:val="FF0000"/>
                <w:sz w:val="24"/>
              </w:rPr>
              <w:br w:type="textWrapping"/>
            </w:r>
            <w:r>
              <w:rPr>
                <w:rFonts w:hint="eastAsia" w:ascii="宋体" w:hAnsi="宋体"/>
                <w:sz w:val="24"/>
              </w:rPr>
              <w:t>  3.第三阶段：谈判结束后，谈判小组要求所有供应商在规定时间内提出最终报价，包括最终澄清方案、报价及有关承诺等；</w:t>
            </w:r>
            <w:r>
              <w:rPr>
                <w:rFonts w:hint="eastAsia" w:ascii="宋体" w:hAnsi="宋体"/>
                <w:sz w:val="24"/>
              </w:rPr>
              <w:br w:type="textWrapping"/>
            </w:r>
            <w:r>
              <w:rPr>
                <w:rFonts w:hint="eastAsia" w:ascii="宋体" w:hAnsi="宋体"/>
                <w:sz w:val="24"/>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rPr>
              <w:br w:type="textWrapping"/>
            </w:r>
            <w:r>
              <w:rPr>
                <w:rFonts w:hint="eastAsia" w:ascii="宋体" w:hAnsi="宋体"/>
                <w:sz w:val="24"/>
              </w:rPr>
              <w:t xml:space="preserve">  </w:t>
            </w:r>
            <w:r>
              <w:rPr>
                <w:rFonts w:hint="eastAsia" w:ascii="宋体" w:hAnsi="宋体"/>
                <w:color w:val="FF0000"/>
                <w:sz w:val="24"/>
              </w:rPr>
              <w:t>5.本次采购的谈判轮次和最终报价，由谈判小组视谈判情况而定。</w:t>
            </w:r>
            <w:r>
              <w:rPr>
                <w:rFonts w:hint="eastAsia" w:ascii="宋体" w:hAnsi="宋体"/>
                <w:sz w:val="24"/>
              </w:rPr>
              <w:br w:type="textWrapping"/>
            </w:r>
            <w:r>
              <w:rPr>
                <w:rFonts w:hint="eastAsia" w:ascii="宋体" w:hAnsi="宋体"/>
                <w:sz w:val="24"/>
              </w:rPr>
              <w:t> </w:t>
            </w:r>
            <w:r>
              <w:rPr>
                <w:rFonts w:hint="eastAsia" w:ascii="宋体" w:hAnsi="宋体"/>
                <w:color w:val="FF0000"/>
                <w:sz w:val="24"/>
              </w:rPr>
              <w:t xml:space="preserve"> 6.谈判过程中，供应商提交的澄清文件和最终报价，由供应商法定代表人或其授权代表签署后生效，供应商受其约束。</w:t>
            </w:r>
          </w:p>
          <w:p>
            <w:pPr>
              <w:spacing w:line="400" w:lineRule="exact"/>
              <w:ind w:right="-120" w:rightChars="-57" w:firstLine="240" w:firstLineChars="100"/>
              <w:rPr>
                <w:rFonts w:ascii="宋体" w:hAnsi="宋体"/>
                <w:sz w:val="24"/>
              </w:rPr>
            </w:pPr>
            <w:r>
              <w:rPr>
                <w:rFonts w:hint="eastAsia" w:ascii="宋体" w:hAnsi="宋体"/>
                <w:color w:val="FF0000"/>
                <w:sz w:val="24"/>
              </w:rPr>
              <w:t>7.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spacing w:line="400" w:lineRule="exact"/>
              <w:ind w:right="-120" w:rightChars="-57"/>
              <w:jc w:val="left"/>
              <w:rPr>
                <w:rFonts w:ascii="宋体" w:hAnsi="宋体"/>
                <w:sz w:val="24"/>
              </w:rPr>
            </w:pPr>
            <w:r>
              <w:rPr>
                <w:rFonts w:hint="eastAsia" w:ascii="宋体" w:hAnsi="宋体"/>
                <w:sz w:val="24"/>
              </w:rPr>
              <w:t>三．确定成交候选供应商原则：</w:t>
            </w:r>
          </w:p>
          <w:p>
            <w:pPr>
              <w:spacing w:line="400" w:lineRule="exact"/>
              <w:ind w:right="-120" w:rightChars="-57" w:firstLine="480" w:firstLineChars="200"/>
              <w:jc w:val="left"/>
              <w:rPr>
                <w:rFonts w:ascii="宋体" w:hAnsi="宋体"/>
                <w:sz w:val="24"/>
              </w:rPr>
            </w:pPr>
            <w:r>
              <w:rPr>
                <w:rFonts w:hint="eastAsia" w:ascii="宋体" w:hAnsi="宋体"/>
                <w:sz w:val="24"/>
              </w:rPr>
              <w:t>1.采购人从谈判小组推荐的成交候选人中依法确定供应商；</w:t>
            </w:r>
            <w:r>
              <w:rPr>
                <w:rFonts w:hint="eastAsia" w:ascii="宋体" w:hAnsi="宋体"/>
                <w:sz w:val="24"/>
              </w:rPr>
              <w:br w:type="textWrapping"/>
            </w:r>
            <w:r>
              <w:rPr>
                <w:rFonts w:hint="eastAsia" w:ascii="宋体" w:hAnsi="宋体"/>
                <w:sz w:val="24"/>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spacing w:line="400" w:lineRule="exact"/>
              <w:ind w:right="-120" w:rightChars="-57" w:firstLine="480" w:firstLineChars="200"/>
              <w:jc w:val="left"/>
              <w:rPr>
                <w:rFonts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谈判小组，</w:t>
            </w:r>
            <w:r>
              <w:rPr>
                <w:rFonts w:ascii="宋体" w:hAnsi="宋体"/>
                <w:sz w:val="24"/>
              </w:rPr>
              <w:t>谈判小组将拒绝邀请该供应商进行谈判和报价</w:t>
            </w:r>
            <w:r>
              <w:rPr>
                <w:rFonts w:hint="eastAsia" w:ascii="宋体" w:hAnsi="宋体"/>
                <w:sz w:val="24"/>
              </w:rPr>
              <w:t>。</w:t>
            </w:r>
          </w:p>
        </w:tc>
      </w:tr>
    </w:tbl>
    <w:p>
      <w:pPr>
        <w:spacing w:line="400" w:lineRule="exact"/>
        <w:outlineLvl w:val="0"/>
        <w:rPr>
          <w:rFonts w:ascii="宋体" w:hAnsi="宋体"/>
          <w:b/>
          <w:bCs/>
          <w:sz w:val="24"/>
          <w:szCs w:val="24"/>
          <w:u w:val="single"/>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pStyle w:val="2"/>
        <w:keepNext w:val="0"/>
        <w:keepLines w:val="0"/>
        <w:tabs>
          <w:tab w:val="center" w:pos="4365"/>
        </w:tabs>
        <w:spacing w:before="220" w:after="220" w:line="400" w:lineRule="exact"/>
        <w:jc w:val="center"/>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8"/>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spacing w:line="400" w:lineRule="exact"/>
              <w:jc w:val="center"/>
              <w:rPr>
                <w:rFonts w:ascii="宋体" w:hAnsi="宋体"/>
                <w:sz w:val="24"/>
              </w:rPr>
            </w:pPr>
            <w:r>
              <w:rPr>
                <w:rFonts w:hint="eastAsia" w:ascii="宋体" w:hAnsi="宋体"/>
                <w:sz w:val="24"/>
              </w:rPr>
              <w:t>序号</w:t>
            </w:r>
          </w:p>
        </w:tc>
        <w:tc>
          <w:tcPr>
            <w:tcW w:w="1484" w:type="dxa"/>
            <w:vAlign w:val="center"/>
          </w:tcPr>
          <w:p>
            <w:pPr>
              <w:spacing w:line="400" w:lineRule="exact"/>
              <w:jc w:val="center"/>
              <w:rPr>
                <w:rFonts w:ascii="宋体" w:hAnsi="宋体"/>
                <w:sz w:val="24"/>
              </w:rPr>
            </w:pPr>
            <w:r>
              <w:rPr>
                <w:rFonts w:hint="eastAsia" w:ascii="宋体" w:hAnsi="宋体"/>
                <w:sz w:val="24"/>
              </w:rPr>
              <w:t>项目</w:t>
            </w:r>
          </w:p>
        </w:tc>
        <w:tc>
          <w:tcPr>
            <w:tcW w:w="6256" w:type="dxa"/>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1</w:t>
            </w:r>
          </w:p>
        </w:tc>
        <w:tc>
          <w:tcPr>
            <w:tcW w:w="1484" w:type="dxa"/>
            <w:vAlign w:val="center"/>
          </w:tcPr>
          <w:p>
            <w:pPr>
              <w:spacing w:line="400" w:lineRule="exact"/>
              <w:jc w:val="center"/>
              <w:rPr>
                <w:rFonts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spacing w:line="400" w:lineRule="exact"/>
              <w:rPr>
                <w:rFonts w:ascii="宋体" w:hAnsi="宋体"/>
                <w:sz w:val="24"/>
              </w:rPr>
            </w:pPr>
            <w:r>
              <w:rPr>
                <w:rFonts w:hint="eastAsia" w:ascii="宋体" w:hAnsi="宋体"/>
                <w:b/>
                <w:sz w:val="24"/>
              </w:rPr>
              <w:t>□</w:t>
            </w:r>
            <w:r>
              <w:rPr>
                <w:rFonts w:hint="eastAsia" w:ascii="宋体" w:hAnsi="宋体"/>
                <w:sz w:val="24"/>
              </w:rPr>
              <w:t xml:space="preserve">是/ </w:t>
            </w:r>
            <w:r>
              <w:rPr>
                <w:rFonts w:hint="eastAsia" w:ascii="宋体" w:hAnsi="宋体" w:cs="Times New Roman"/>
                <w:color w:val="000000" w:themeColor="text1"/>
                <w:sz w:val="24"/>
                <w14:textFill>
                  <w14:solidFill>
                    <w14:schemeClr w14:val="tx1"/>
                  </w14:solidFill>
                </w14:textFill>
              </w:rPr>
              <w:sym w:font="Wingdings 2" w:char="0052"/>
            </w:r>
            <w:r>
              <w:rPr>
                <w:rFonts w:hint="eastAsia" w:ascii="宋体" w:hAnsi="宋体"/>
                <w:sz w:val="24"/>
              </w:rPr>
              <w:t>否</w:t>
            </w:r>
          </w:p>
          <w:p>
            <w:pPr>
              <w:spacing w:line="400" w:lineRule="exact"/>
              <w:rPr>
                <w:rFonts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2</w:t>
            </w:r>
          </w:p>
        </w:tc>
        <w:tc>
          <w:tcPr>
            <w:tcW w:w="1484" w:type="dxa"/>
            <w:vAlign w:val="center"/>
          </w:tcPr>
          <w:p>
            <w:pPr>
              <w:spacing w:line="400" w:lineRule="exact"/>
              <w:jc w:val="center"/>
              <w:rPr>
                <w:rFonts w:ascii="宋体" w:hAnsi="宋体"/>
                <w:sz w:val="24"/>
              </w:rPr>
            </w:pPr>
            <w:r>
              <w:rPr>
                <w:rFonts w:hint="eastAsia" w:ascii="宋体" w:hAnsi="宋体"/>
                <w:b/>
                <w:sz w:val="24"/>
              </w:rPr>
              <w:t>中小企业的认定标准</w:t>
            </w:r>
          </w:p>
        </w:tc>
        <w:tc>
          <w:tcPr>
            <w:tcW w:w="6256" w:type="dxa"/>
          </w:tcPr>
          <w:p>
            <w:pPr>
              <w:spacing w:line="400" w:lineRule="exact"/>
              <w:ind w:firstLine="480" w:firstLineChars="200"/>
              <w:rPr>
                <w:rFonts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spacing w:line="400" w:lineRule="exact"/>
              <w:ind w:firstLine="480" w:firstLineChars="200"/>
              <w:rPr>
                <w:rFonts w:ascii="宋体" w:hAnsi="宋体"/>
                <w:sz w:val="24"/>
              </w:rPr>
            </w:pPr>
            <w:r>
              <w:rPr>
                <w:rFonts w:hint="eastAsia" w:ascii="宋体" w:hAnsi="宋体"/>
                <w:sz w:val="24"/>
              </w:rPr>
              <w:t>注： 联合体参与谈判响应的的，以联合体中划型标准较高的一方，作为该联合体的企业划型标准。</w:t>
            </w:r>
          </w:p>
          <w:p>
            <w:pPr>
              <w:spacing w:line="400" w:lineRule="exact"/>
              <w:ind w:firstLine="480" w:firstLineChars="200"/>
              <w:rPr>
                <w:rFonts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spacing w:line="400" w:lineRule="exact"/>
              <w:ind w:firstLine="480" w:firstLineChars="200"/>
              <w:rPr>
                <w:rFonts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3</w:t>
            </w:r>
          </w:p>
        </w:tc>
        <w:tc>
          <w:tcPr>
            <w:tcW w:w="1484" w:type="dxa"/>
            <w:vAlign w:val="center"/>
          </w:tcPr>
          <w:p>
            <w:pPr>
              <w:spacing w:line="400" w:lineRule="exact"/>
              <w:jc w:val="center"/>
              <w:rPr>
                <w:rFonts w:ascii="宋体" w:hAnsi="宋体"/>
                <w:b/>
                <w:sz w:val="24"/>
              </w:rPr>
            </w:pPr>
            <w:r>
              <w:rPr>
                <w:rFonts w:hint="eastAsia" w:ascii="宋体" w:hAnsi="宋体"/>
                <w:b/>
                <w:sz w:val="24"/>
              </w:rPr>
              <w:t>监狱企业的认定标准</w:t>
            </w:r>
          </w:p>
        </w:tc>
        <w:tc>
          <w:tcPr>
            <w:tcW w:w="6256" w:type="dxa"/>
          </w:tcPr>
          <w:p>
            <w:pPr>
              <w:spacing w:line="400" w:lineRule="exact"/>
              <w:ind w:firstLine="480" w:firstLineChars="200"/>
              <w:rPr>
                <w:rFonts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1"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4</w:t>
            </w:r>
          </w:p>
        </w:tc>
        <w:tc>
          <w:tcPr>
            <w:tcW w:w="1484" w:type="dxa"/>
            <w:vAlign w:val="center"/>
          </w:tcPr>
          <w:p>
            <w:pPr>
              <w:widowControl/>
              <w:spacing w:line="400" w:lineRule="exact"/>
              <w:jc w:val="center"/>
              <w:rPr>
                <w:rFonts w:ascii="宋体" w:hAnsi="宋体"/>
                <w:b/>
                <w:sz w:val="24"/>
              </w:rPr>
            </w:pPr>
            <w:r>
              <w:rPr>
                <w:rFonts w:hint="eastAsia" w:ascii="宋体" w:hAnsi="宋体"/>
                <w:b/>
                <w:sz w:val="24"/>
              </w:rPr>
              <w:t>优惠办法：</w:t>
            </w:r>
          </w:p>
        </w:tc>
        <w:tc>
          <w:tcPr>
            <w:tcW w:w="6256" w:type="dxa"/>
            <w:tcBorders>
              <w:bottom w:val="single" w:color="auto" w:sz="4" w:space="0"/>
            </w:tcBorders>
          </w:tcPr>
          <w:p>
            <w:pPr>
              <w:spacing w:beforeLines="25" w:afterLines="25" w:line="400" w:lineRule="exact"/>
              <w:ind w:left="-65" w:leftChars="-31" w:firstLine="12" w:firstLineChars="5"/>
              <w:rPr>
                <w:rFonts w:ascii="宋体" w:hAnsi="宋体"/>
                <w:b/>
                <w:sz w:val="24"/>
              </w:rPr>
            </w:pPr>
            <w:r>
              <w:rPr>
                <w:rFonts w:hint="eastAsia" w:ascii="宋体" w:hAnsi="宋体"/>
                <w:b/>
                <w:sz w:val="24"/>
              </w:rPr>
              <w:t>小型企业或微型企业：</w:t>
            </w:r>
          </w:p>
          <w:p>
            <w:pPr>
              <w:spacing w:beforeLines="25" w:afterLines="25" w:line="400" w:lineRule="exact"/>
              <w:ind w:left="-65" w:leftChars="-31" w:firstLine="475" w:firstLineChars="205"/>
              <w:rPr>
                <w:rFonts w:ascii="宋体" w:hAnsi="宋体"/>
                <w:color w:val="000000"/>
                <w:spacing w:val="-4"/>
                <w:sz w:val="24"/>
              </w:rPr>
            </w:pP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spacing w:beforeLines="25" w:afterLines="25" w:line="400" w:lineRule="exact"/>
              <w:ind w:left="-65" w:leftChars="-31" w:firstLine="12" w:firstLineChars="5"/>
              <w:rPr>
                <w:rFonts w:ascii="宋体" w:hAnsi="宋体"/>
                <w:b/>
                <w:color w:val="000000"/>
                <w:spacing w:val="-4"/>
                <w:sz w:val="24"/>
              </w:rPr>
            </w:pPr>
            <w:r>
              <w:rPr>
                <w:rFonts w:hint="eastAsia" w:ascii="宋体" w:hAnsi="宋体"/>
                <w:b/>
                <w:color w:val="000000"/>
                <w:spacing w:val="-4"/>
                <w:sz w:val="24"/>
              </w:rPr>
              <w:t>中型企业：</w:t>
            </w:r>
          </w:p>
          <w:p>
            <w:pPr>
              <w:spacing w:beforeLines="25" w:afterLines="25" w:line="400" w:lineRule="exact"/>
              <w:ind w:firstLine="480" w:firstLineChars="200"/>
              <w:rPr>
                <w:rFonts w:ascii="宋体" w:hAnsi="宋体"/>
                <w:color w:val="000000"/>
                <w:spacing w:val="-4"/>
                <w:sz w:val="24"/>
              </w:rPr>
            </w:pP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5</w:t>
            </w:r>
          </w:p>
        </w:tc>
        <w:tc>
          <w:tcPr>
            <w:tcW w:w="1484" w:type="dxa"/>
            <w:vAlign w:val="center"/>
          </w:tcPr>
          <w:p>
            <w:pPr>
              <w:widowControl/>
              <w:spacing w:line="400" w:lineRule="exact"/>
              <w:jc w:val="center"/>
              <w:rPr>
                <w:rFonts w:ascii="宋体" w:hAnsi="宋体"/>
                <w:b/>
                <w:sz w:val="24"/>
              </w:rPr>
            </w:pPr>
            <w:r>
              <w:rPr>
                <w:rFonts w:hint="eastAsia" w:ascii="宋体" w:hAnsi="宋体"/>
                <w:b/>
                <w:sz w:val="24"/>
              </w:rPr>
              <w:t>小型或微型企业产品价格清单</w:t>
            </w:r>
          </w:p>
        </w:tc>
        <w:tc>
          <w:tcPr>
            <w:tcW w:w="6256" w:type="dxa"/>
            <w:tcBorders>
              <w:bottom w:val="single" w:color="auto" w:sz="4" w:space="0"/>
            </w:tcBorders>
          </w:tcPr>
          <w:p>
            <w:pPr>
              <w:spacing w:line="400" w:lineRule="exact"/>
              <w:rPr>
                <w:rFonts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18"/>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tcPr>
                <w:p>
                  <w:pPr>
                    <w:spacing w:line="400" w:lineRule="exact"/>
                    <w:jc w:val="center"/>
                    <w:rPr>
                      <w:rFonts w:ascii="宋体" w:hAnsi="宋体"/>
                      <w:sz w:val="24"/>
                    </w:rPr>
                  </w:pPr>
                  <w:r>
                    <w:rPr>
                      <w:rFonts w:hint="eastAsia" w:ascii="宋体" w:hAnsi="宋体"/>
                      <w:b/>
                      <w:sz w:val="24"/>
                    </w:rPr>
                    <w:t>小型或微型企业产品价格清单</w:t>
                  </w:r>
                </w:p>
                <w:p>
                  <w:pPr>
                    <w:spacing w:line="400" w:lineRule="exact"/>
                    <w:rPr>
                      <w:rFonts w:ascii="宋体" w:hAnsi="宋体"/>
                      <w:sz w:val="24"/>
                    </w:rPr>
                  </w:pPr>
                  <w:r>
                    <w:rPr>
                      <w:rFonts w:hint="eastAsia" w:ascii="宋体" w:hAnsi="宋体"/>
                      <w:sz w:val="24"/>
                    </w:rPr>
                    <w:t>供应商中小企业性质（中型、小型、微型）：</w:t>
                  </w:r>
                  <w:r>
                    <w:rPr>
                      <w:rFonts w:hint="eastAsia" w:ascii="宋体" w:hAnsi="宋体"/>
                      <w:sz w:val="24"/>
                      <w:u w:val="single"/>
                    </w:rPr>
                    <w:t xml:space="preserve">                        </w:t>
                  </w:r>
                </w:p>
                <w:p>
                  <w:pPr>
                    <w:spacing w:line="400" w:lineRule="exact"/>
                    <w:rPr>
                      <w:rFonts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spacing w:line="400" w:lineRule="exact"/>
                    <w:jc w:val="center"/>
                    <w:rPr>
                      <w:rFonts w:ascii="宋体" w:hAnsi="宋体"/>
                      <w:sz w:val="24"/>
                    </w:rPr>
                  </w:pPr>
                  <w:r>
                    <w:rPr>
                      <w:rFonts w:hint="eastAsia" w:ascii="宋体" w:hAnsi="宋体"/>
                      <w:sz w:val="24"/>
                    </w:rPr>
                    <w:t>序号</w:t>
                  </w:r>
                </w:p>
              </w:tc>
              <w:tc>
                <w:tcPr>
                  <w:tcW w:w="962" w:type="dxa"/>
                  <w:vAlign w:val="center"/>
                </w:tcPr>
                <w:p>
                  <w:pPr>
                    <w:spacing w:line="400" w:lineRule="exact"/>
                    <w:jc w:val="center"/>
                    <w:rPr>
                      <w:rFonts w:ascii="宋体" w:hAnsi="宋体"/>
                      <w:sz w:val="24"/>
                    </w:rPr>
                  </w:pPr>
                  <w:r>
                    <w:rPr>
                      <w:rFonts w:hint="eastAsia" w:ascii="宋体" w:hAnsi="宋体"/>
                      <w:sz w:val="24"/>
                    </w:rPr>
                    <w:t>货物名称</w:t>
                  </w:r>
                </w:p>
              </w:tc>
              <w:tc>
                <w:tcPr>
                  <w:tcW w:w="834" w:type="dxa"/>
                  <w:vAlign w:val="center"/>
                </w:tcPr>
                <w:p>
                  <w:pPr>
                    <w:spacing w:line="400" w:lineRule="exact"/>
                    <w:jc w:val="center"/>
                    <w:rPr>
                      <w:rFonts w:ascii="宋体" w:hAnsi="宋体"/>
                      <w:sz w:val="24"/>
                    </w:rPr>
                  </w:pPr>
                  <w:r>
                    <w:rPr>
                      <w:rFonts w:hint="eastAsia" w:ascii="宋体" w:hAnsi="宋体"/>
                      <w:sz w:val="24"/>
                    </w:rPr>
                    <w:t>制造商</w:t>
                  </w:r>
                </w:p>
              </w:tc>
              <w:tc>
                <w:tcPr>
                  <w:tcW w:w="1899" w:type="dxa"/>
                  <w:vAlign w:val="center"/>
                </w:tcPr>
                <w:p>
                  <w:pPr>
                    <w:spacing w:line="400" w:lineRule="exact"/>
                    <w:jc w:val="center"/>
                    <w:rPr>
                      <w:rFonts w:ascii="宋体" w:hAnsi="宋体"/>
                      <w:sz w:val="24"/>
                    </w:rPr>
                  </w:pPr>
                  <w:r>
                    <w:rPr>
                      <w:rFonts w:hint="eastAsia" w:ascii="宋体" w:hAnsi="宋体"/>
                      <w:sz w:val="24"/>
                    </w:rPr>
                    <w:t>制造商性质（小型、微型）</w:t>
                  </w:r>
                </w:p>
              </w:tc>
              <w:tc>
                <w:tcPr>
                  <w:tcW w:w="1316" w:type="dxa"/>
                  <w:vAlign w:val="center"/>
                </w:tcPr>
                <w:p>
                  <w:pPr>
                    <w:spacing w:line="400" w:lineRule="exact"/>
                    <w:jc w:val="center"/>
                    <w:rPr>
                      <w:rFonts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1</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2</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3</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小型或微型企业货物金额合计A</w:t>
                  </w: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报价一览表中所有货物报价B</w:t>
                  </w: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评审价格C=</w:t>
                  </w:r>
                  <w:r>
                    <w:rPr>
                      <w:rFonts w:hint="eastAsia" w:ascii="宋体" w:hAnsi="宋体"/>
                      <w:color w:val="FF0000"/>
                      <w:sz w:val="24"/>
                      <w:u w:val="single"/>
                    </w:rPr>
                    <w:t>（0.94）</w:t>
                  </w:r>
                  <w:r>
                    <w:rPr>
                      <w:rFonts w:hint="eastAsia" w:ascii="宋体" w:hAnsi="宋体"/>
                      <w:sz w:val="24"/>
                    </w:rPr>
                    <w:t>*A+B-A</w:t>
                  </w:r>
                </w:p>
              </w:tc>
              <w:tc>
                <w:tcPr>
                  <w:tcW w:w="1316" w:type="dxa"/>
                </w:tcPr>
                <w:p>
                  <w:pPr>
                    <w:spacing w:line="400" w:lineRule="exact"/>
                    <w:rPr>
                      <w:rFonts w:ascii="宋体" w:hAnsi="宋体"/>
                      <w:sz w:val="24"/>
                    </w:rPr>
                  </w:pPr>
                </w:p>
              </w:tc>
            </w:tr>
          </w:tbl>
          <w:p>
            <w:pPr>
              <w:spacing w:beforeLines="25" w:afterLines="25" w:line="400" w:lineRule="exac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6</w:t>
            </w:r>
          </w:p>
        </w:tc>
        <w:tc>
          <w:tcPr>
            <w:tcW w:w="1484" w:type="dxa"/>
            <w:vAlign w:val="center"/>
          </w:tcPr>
          <w:p>
            <w:pPr>
              <w:widowControl/>
              <w:spacing w:line="400" w:lineRule="exact"/>
              <w:jc w:val="center"/>
              <w:rPr>
                <w:rFonts w:ascii="宋体" w:hAnsi="宋体"/>
                <w:b/>
                <w:sz w:val="24"/>
              </w:rPr>
            </w:pPr>
            <w:r>
              <w:rPr>
                <w:rFonts w:hint="eastAsia" w:ascii="宋体" w:hAnsi="宋体"/>
                <w:b/>
                <w:sz w:val="24"/>
              </w:rPr>
              <w:t>证明材料</w:t>
            </w:r>
          </w:p>
        </w:tc>
        <w:tc>
          <w:tcPr>
            <w:tcW w:w="6256" w:type="dxa"/>
            <w:tcBorders>
              <w:bottom w:val="single" w:color="auto" w:sz="4" w:space="0"/>
            </w:tcBorders>
          </w:tcPr>
          <w:p>
            <w:pPr>
              <w:spacing w:line="400" w:lineRule="exact"/>
              <w:ind w:firstLine="480" w:firstLineChars="200"/>
              <w:rPr>
                <w:rFonts w:ascii="宋体" w:hAnsi="宋体"/>
                <w:sz w:val="24"/>
              </w:rPr>
            </w:pPr>
            <w:r>
              <w:rPr>
                <w:rFonts w:hint="eastAsia" w:ascii="宋体" w:hAnsi="宋体"/>
                <w:sz w:val="24"/>
              </w:rPr>
              <w:t>供应商参与谈判响应时须对照《中小企业划型标准规定》（工信部联企业[2011]300号）文件规定，提供《中小企业声明函》。</w:t>
            </w:r>
            <w:r>
              <w:rPr>
                <w:rFonts w:ascii="宋体" w:hAnsi="宋体"/>
                <w:sz w:val="24"/>
              </w:rPr>
              <w:t xml:space="preserve"> </w:t>
            </w:r>
          </w:p>
          <w:p>
            <w:pPr>
              <w:spacing w:line="400" w:lineRule="exact"/>
              <w:ind w:firstLine="480" w:firstLineChars="200"/>
              <w:rPr>
                <w:rFonts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7</w:t>
            </w:r>
          </w:p>
        </w:tc>
        <w:tc>
          <w:tcPr>
            <w:tcW w:w="1484" w:type="dxa"/>
            <w:vAlign w:val="center"/>
          </w:tcPr>
          <w:p>
            <w:pPr>
              <w:widowControl/>
              <w:spacing w:line="400" w:lineRule="exact"/>
              <w:jc w:val="center"/>
              <w:rPr>
                <w:rFonts w:ascii="宋体" w:hAnsi="宋体"/>
                <w:b/>
                <w:sz w:val="24"/>
              </w:rPr>
            </w:pPr>
            <w:r>
              <w:rPr>
                <w:rFonts w:hint="eastAsia" w:ascii="宋体" w:hAnsi="宋体"/>
                <w:b/>
                <w:sz w:val="24"/>
              </w:rPr>
              <w:t>相关风险</w:t>
            </w:r>
          </w:p>
        </w:tc>
        <w:tc>
          <w:tcPr>
            <w:tcW w:w="6256" w:type="dxa"/>
            <w:tcBorders>
              <w:bottom w:val="single" w:color="auto" w:sz="4" w:space="0"/>
            </w:tcBorders>
          </w:tcPr>
          <w:p>
            <w:pPr>
              <w:spacing w:line="400" w:lineRule="exact"/>
              <w:ind w:firstLine="482" w:firstLineChars="200"/>
              <w:rPr>
                <w:rFonts w:ascii="宋体" w:hAnsi="宋体"/>
                <w:b/>
                <w:sz w:val="24"/>
              </w:rPr>
            </w:pPr>
            <w:r>
              <w:rPr>
                <w:rFonts w:hint="eastAsia" w:ascii="宋体" w:hAnsi="宋体"/>
                <w:b/>
                <w:sz w:val="24"/>
              </w:rPr>
              <w:t>一、经评审委员会评审，存在下列任一情况的，谈判供应商将不被视为中小企业：</w:t>
            </w:r>
          </w:p>
          <w:p>
            <w:pPr>
              <w:spacing w:line="400" w:lineRule="exact"/>
              <w:ind w:firstLine="480" w:firstLineChars="200"/>
              <w:rPr>
                <w:rFonts w:ascii="宋体" w:hAnsi="宋体"/>
                <w:sz w:val="24"/>
              </w:rPr>
            </w:pPr>
            <w:r>
              <w:rPr>
                <w:rFonts w:hint="eastAsia" w:ascii="宋体" w:hAnsi="宋体"/>
                <w:sz w:val="24"/>
              </w:rPr>
              <w:t>1. 谈判供应商不符合“工信部联企业[2011]300号”规定的中小企业标准的；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2.投标货物全部或部分为使用大型企业注册商标的货物的；</w:t>
            </w:r>
          </w:p>
          <w:p>
            <w:pPr>
              <w:spacing w:line="400" w:lineRule="exact"/>
              <w:ind w:firstLine="480" w:firstLineChars="200"/>
              <w:rPr>
                <w:rFonts w:ascii="宋体" w:hAnsi="宋体"/>
                <w:sz w:val="24"/>
              </w:rPr>
            </w:pPr>
            <w:r>
              <w:rPr>
                <w:rFonts w:hint="eastAsia" w:ascii="宋体" w:hAnsi="宋体"/>
                <w:sz w:val="24"/>
              </w:rPr>
              <w:t>3. 响应文件中标明的中小企业产品的制造商不符合“工信部联企业[2011]300号”规定的中小企业标准的；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4.、未按本附表第5项要求提供合法、有效、完整资料的。</w:t>
            </w:r>
          </w:p>
          <w:p>
            <w:pPr>
              <w:spacing w:line="400" w:lineRule="exact"/>
              <w:ind w:firstLine="482" w:firstLineChars="200"/>
              <w:rPr>
                <w:rFonts w:ascii="宋体" w:hAnsi="宋体" w:cs="SimSun-Identity-H"/>
                <w:b/>
                <w:kern w:val="0"/>
                <w:sz w:val="24"/>
              </w:rPr>
            </w:pPr>
            <w:r>
              <w:rPr>
                <w:rFonts w:hint="eastAsia" w:ascii="宋体" w:hAnsi="宋体" w:cs="SimSun-Identity-H"/>
                <w:b/>
                <w:kern w:val="0"/>
                <w:sz w:val="24"/>
              </w:rPr>
              <w:t>二、提供虚假证明材料后果：</w:t>
            </w:r>
          </w:p>
          <w:p>
            <w:pPr>
              <w:spacing w:line="400" w:lineRule="exact"/>
              <w:ind w:firstLine="480" w:firstLineChars="200"/>
              <w:rPr>
                <w:rFonts w:ascii="宋体" w:hAnsi="宋体"/>
                <w:sz w:val="24"/>
              </w:rPr>
            </w:pPr>
            <w:r>
              <w:rPr>
                <w:rFonts w:hint="eastAsia" w:ascii="宋体" w:hAnsi="宋体" w:cs="SimSun-Identity-H"/>
                <w:kern w:val="0"/>
                <w:sz w:val="24"/>
              </w:rPr>
              <w:t>供应商为取得中小企业身份而提供虚假证明材料，在评审过程中发现的，按无效响应处理，报价保证金不予退还；已取得成交资格的，无论该行为是否影响成交，均取消其成交资格，报价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spacing w:line="400" w:lineRule="exact"/>
        <w:outlineLvl w:val="0"/>
        <w:rPr>
          <w:rFonts w:ascii="宋体" w:hAnsi="宋体"/>
          <w:bCs/>
          <w:sz w:val="24"/>
        </w:rPr>
      </w:pPr>
    </w:p>
    <w:p>
      <w:pPr>
        <w:spacing w:line="400" w:lineRule="exact"/>
        <w:jc w:val="center"/>
        <w:outlineLvl w:val="0"/>
        <w:rPr>
          <w:rFonts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600"/>
              <w:jc w:val="center"/>
              <w:rPr>
                <w:rFonts w:ascii="宋体" w:hAnsi="宋体"/>
                <w:b/>
                <w:sz w:val="24"/>
              </w:rPr>
            </w:pPr>
            <w:r>
              <w:rPr>
                <w:rFonts w:hint="eastAsia" w:ascii="宋体" w:hAnsi="宋体"/>
                <w:b/>
                <w:sz w:val="24"/>
              </w:rPr>
              <w:t>二、节能、环境标志、信息安全产品优先采购政策</w:t>
            </w:r>
          </w:p>
          <w:p>
            <w:pPr>
              <w:spacing w:line="400" w:lineRule="exact"/>
              <w:ind w:firstLine="600"/>
              <w:rPr>
                <w:rFonts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spacing w:line="400" w:lineRule="exact"/>
              <w:ind w:firstLine="600"/>
              <w:rPr>
                <w:rFonts w:ascii="宋体" w:hAnsi="宋体"/>
                <w:sz w:val="24"/>
              </w:rPr>
            </w:pPr>
            <w:r>
              <w:rPr>
                <w:rFonts w:hint="eastAsia" w:ascii="宋体" w:hAnsi="宋体"/>
                <w:sz w:val="24"/>
              </w:rPr>
              <w:t>（二）对属于《节能产品政府采购清单》内强制采购的品目，应在招标文件中载明强制采购要求。</w:t>
            </w:r>
          </w:p>
          <w:p>
            <w:pPr>
              <w:spacing w:line="400" w:lineRule="exact"/>
              <w:ind w:firstLine="600"/>
              <w:rPr>
                <w:rFonts w:ascii="宋体" w:hAnsi="宋体"/>
                <w:sz w:val="24"/>
              </w:rPr>
            </w:pPr>
            <w:r>
              <w:rPr>
                <w:rFonts w:hint="eastAsia" w:ascii="宋体" w:hAnsi="宋体"/>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给予每个品目单项报标报价10％的价格扣除</w:t>
                  </w:r>
                </w:p>
              </w:tc>
            </w:tr>
          </w:tbl>
          <w:p>
            <w:pPr>
              <w:spacing w:line="400" w:lineRule="exact"/>
              <w:ind w:firstLine="480" w:firstLineChars="200"/>
              <w:rPr>
                <w:rFonts w:ascii="宋体" w:hAnsi="宋体"/>
                <w:sz w:val="24"/>
              </w:rPr>
            </w:pPr>
            <w:r>
              <w:rPr>
                <w:rFonts w:hint="eastAsia" w:ascii="宋体" w:hAnsi="宋体"/>
                <w:sz w:val="24"/>
              </w:rPr>
              <w:t>如节能、环境标志清单内的产品仅是构成投标产品的部件、组件或零件的，则该投标产品不享受以上优惠政策。</w:t>
            </w:r>
          </w:p>
          <w:p>
            <w:pPr>
              <w:spacing w:line="400" w:lineRule="exact"/>
              <w:ind w:firstLine="600"/>
              <w:rPr>
                <w:rFonts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spacing w:line="400" w:lineRule="exact"/>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540" w:firstLineChars="224"/>
              <w:rPr>
                <w:rFonts w:ascii="宋体" w:hAnsi="宋体"/>
                <w:b/>
                <w:sz w:val="24"/>
              </w:rPr>
            </w:pPr>
            <w:r>
              <w:rPr>
                <w:rFonts w:hint="eastAsia" w:ascii="宋体" w:hAnsi="宋体"/>
                <w:b/>
                <w:sz w:val="24"/>
              </w:rPr>
              <w:t>三、提醒事项：</w:t>
            </w:r>
          </w:p>
          <w:p>
            <w:pPr>
              <w:spacing w:line="400" w:lineRule="exact"/>
              <w:ind w:firstLine="540" w:firstLineChars="224"/>
              <w:rPr>
                <w:rFonts w:ascii="宋体" w:hAnsi="宋体"/>
                <w:sz w:val="24"/>
              </w:rPr>
            </w:pPr>
            <w:r>
              <w:rPr>
                <w:rFonts w:hint="eastAsia" w:ascii="宋体" w:hAnsi="宋体"/>
                <w:b/>
                <w:sz w:val="24"/>
              </w:rPr>
              <w:t>成交供应商必须凭成交通知书的</w:t>
            </w:r>
            <w:r>
              <w:rPr>
                <w:rFonts w:hint="eastAsia" w:ascii="宋体" w:hAnsi="宋体"/>
                <w:b/>
                <w:sz w:val="24"/>
                <w:lang w:eastAsia="zh-CN"/>
              </w:rPr>
              <w:t>原件</w:t>
            </w:r>
            <w:r>
              <w:rPr>
                <w:rFonts w:hint="eastAsia" w:ascii="宋体" w:hAnsi="宋体"/>
                <w:b/>
                <w:sz w:val="24"/>
              </w:rPr>
              <w:t>与采购人签订《政府采购合同》。</w:t>
            </w:r>
          </w:p>
        </w:tc>
      </w:tr>
    </w:tbl>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widowControl/>
        <w:jc w:val="left"/>
        <w:rPr>
          <w:rFonts w:ascii="宋体" w:hAnsi="宋体"/>
          <w:b/>
          <w:kern w:val="0"/>
          <w:sz w:val="32"/>
          <w:szCs w:val="32"/>
        </w:rPr>
      </w:pPr>
      <w:r>
        <w:rPr>
          <w:rFonts w:hAnsi="宋体"/>
          <w:b/>
          <w:sz w:val="32"/>
          <w:szCs w:val="32"/>
        </w:rPr>
        <w:br w:type="page"/>
      </w:r>
    </w:p>
    <w:p>
      <w:pPr>
        <w:pStyle w:val="10"/>
        <w:spacing w:line="360" w:lineRule="auto"/>
        <w:jc w:val="center"/>
        <w:rPr>
          <w:rFonts w:hAnsi="宋体"/>
          <w:b/>
          <w:sz w:val="24"/>
        </w:rPr>
      </w:pPr>
      <w:r>
        <w:rPr>
          <w:rFonts w:hint="eastAsia" w:hAnsi="宋体"/>
          <w:b/>
          <w:sz w:val="32"/>
          <w:szCs w:val="32"/>
        </w:rPr>
        <w:t xml:space="preserve">第三章  </w:t>
      </w:r>
      <w:r>
        <w:rPr>
          <w:rFonts w:hint="eastAsia" w:hAnsi="宋体"/>
          <w:b/>
          <w:sz w:val="36"/>
          <w:szCs w:val="36"/>
        </w:rPr>
        <w:t>谈判供应商须知正文部分</w:t>
      </w:r>
    </w:p>
    <w:p>
      <w:pPr>
        <w:pStyle w:val="10"/>
        <w:spacing w:line="400" w:lineRule="exact"/>
        <w:jc w:val="center"/>
        <w:rPr>
          <w:rFonts w:hAnsi="宋体"/>
          <w:b/>
          <w:sz w:val="24"/>
        </w:rPr>
      </w:pPr>
      <w:r>
        <w:rPr>
          <w:rFonts w:hint="eastAsia" w:hAnsi="宋体"/>
          <w:b/>
          <w:sz w:val="24"/>
        </w:rPr>
        <w:t>一、</w:t>
      </w:r>
      <w:r>
        <w:rPr>
          <w:rFonts w:hAnsi="宋体"/>
          <w:b/>
          <w:sz w:val="24"/>
        </w:rPr>
        <w:t>说明</w:t>
      </w:r>
    </w:p>
    <w:p>
      <w:pPr>
        <w:pStyle w:val="10"/>
        <w:spacing w:line="400" w:lineRule="exact"/>
        <w:jc w:val="left"/>
        <w:rPr>
          <w:rFonts w:hAnsi="宋体"/>
          <w:b/>
          <w:sz w:val="24"/>
        </w:rPr>
      </w:pPr>
      <w:r>
        <w:rPr>
          <w:rFonts w:hAnsi="宋体"/>
          <w:b/>
          <w:sz w:val="24"/>
        </w:rPr>
        <w:t>1.适用范围</w:t>
      </w:r>
    </w:p>
    <w:p>
      <w:pPr>
        <w:pStyle w:val="10"/>
        <w:spacing w:line="400" w:lineRule="exact"/>
        <w:ind w:firstLine="480" w:firstLineChars="200"/>
        <w:jc w:val="left"/>
        <w:rPr>
          <w:rFonts w:hAnsi="宋体"/>
          <w:sz w:val="24"/>
        </w:rPr>
      </w:pPr>
      <w:r>
        <w:rPr>
          <w:rFonts w:hAnsi="宋体"/>
          <w:sz w:val="24"/>
        </w:rPr>
        <w:t>1.1本谈判文件仅适用于邀请中所叙述项目的货物采购。</w:t>
      </w:r>
    </w:p>
    <w:p>
      <w:pPr>
        <w:pStyle w:val="10"/>
        <w:spacing w:line="400" w:lineRule="exact"/>
        <w:jc w:val="left"/>
        <w:rPr>
          <w:rFonts w:hAnsi="宋体"/>
          <w:b/>
          <w:sz w:val="24"/>
        </w:rPr>
      </w:pPr>
      <w:r>
        <w:rPr>
          <w:rFonts w:hAnsi="宋体"/>
          <w:b/>
          <w:sz w:val="24"/>
        </w:rPr>
        <w:t>2.定义</w:t>
      </w:r>
    </w:p>
    <w:p>
      <w:pPr>
        <w:spacing w:line="400" w:lineRule="exact"/>
        <w:ind w:firstLine="480" w:firstLineChars="200"/>
        <w:rPr>
          <w:rFonts w:ascii="宋体" w:hAnsi="宋体"/>
          <w:sz w:val="24"/>
        </w:rPr>
      </w:pPr>
      <w:r>
        <w:rPr>
          <w:rFonts w:hint="eastAsia" w:ascii="宋体" w:hAnsi="宋体"/>
          <w:sz w:val="24"/>
        </w:rPr>
        <w:t>2.1 “采购人”系指采购单位。是采购活动当事人之一，负责项目的整体规划、技术方案可行性设计论证与实施，作为合同采购方(用户)的主体承担质疑回复、履行合同、验收等义务。</w:t>
      </w:r>
    </w:p>
    <w:p>
      <w:pPr>
        <w:spacing w:line="400" w:lineRule="exact"/>
        <w:ind w:firstLine="480" w:firstLineChars="200"/>
        <w:rPr>
          <w:rFonts w:ascii="宋体" w:hAnsi="宋体"/>
          <w:sz w:val="24"/>
        </w:rPr>
      </w:pPr>
      <w:r>
        <w:rPr>
          <w:rFonts w:hint="eastAsia" w:ascii="宋体" w:hAnsi="宋体"/>
          <w:sz w:val="24"/>
        </w:rPr>
        <w:t>2.2 “采购单位”系指组织本次采购活动的采购人或采购代理机构。</w:t>
      </w:r>
    </w:p>
    <w:p>
      <w:pPr>
        <w:spacing w:line="400" w:lineRule="exact"/>
        <w:ind w:firstLine="480" w:firstLineChars="200"/>
        <w:rPr>
          <w:rFonts w:ascii="宋体" w:hAnsi="宋体"/>
          <w:sz w:val="24"/>
        </w:rPr>
      </w:pPr>
      <w:r>
        <w:rPr>
          <w:rFonts w:hint="eastAsia" w:ascii="宋体" w:hAnsi="宋体"/>
          <w:sz w:val="24"/>
        </w:rPr>
        <w:t>2.3 “采购代理机构”系指</w:t>
      </w:r>
      <w:r>
        <w:rPr>
          <w:rFonts w:hint="eastAsia" w:ascii="宋体" w:hAnsi="宋体"/>
          <w:color w:val="FF0000"/>
          <w:sz w:val="24"/>
        </w:rPr>
        <w:t>贵州黔诚商务有限公司。贵州黔诚商务有限公司是整个采购活动的组织者，依法负责编制和发布招标</w:t>
      </w:r>
      <w:r>
        <w:rPr>
          <w:rFonts w:hint="eastAsia" w:ascii="宋体" w:hAnsi="宋体"/>
          <w:sz w:val="24"/>
        </w:rPr>
        <w:t>文件，对招标文件拥有最终的解释权。交易中心不以任何身份出任评委会成员。</w:t>
      </w:r>
    </w:p>
    <w:p>
      <w:pPr>
        <w:pStyle w:val="10"/>
        <w:spacing w:line="400" w:lineRule="exact"/>
        <w:ind w:firstLine="480" w:firstLineChars="200"/>
        <w:jc w:val="left"/>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rPr>
        <w:t>购买了本谈判文件，且已经</w:t>
      </w:r>
      <w:r>
        <w:rPr>
          <w:rFonts w:hAnsi="宋体"/>
          <w:sz w:val="24"/>
        </w:rPr>
        <w:t>提交</w:t>
      </w:r>
      <w:r>
        <w:rPr>
          <w:rFonts w:hint="eastAsia" w:hAnsi="宋体"/>
          <w:sz w:val="24"/>
        </w:rPr>
        <w:t>或准备提交</w:t>
      </w:r>
      <w:r>
        <w:rPr>
          <w:rFonts w:hAnsi="宋体"/>
          <w:sz w:val="24"/>
        </w:rPr>
        <w:t>响应文件的制造商或供货商。</w:t>
      </w:r>
    </w:p>
    <w:p>
      <w:pPr>
        <w:pStyle w:val="10"/>
        <w:spacing w:line="400" w:lineRule="exact"/>
        <w:ind w:firstLine="480" w:firstLineChars="200"/>
        <w:jc w:val="left"/>
        <w:rPr>
          <w:rFonts w:hAnsi="宋体"/>
          <w:sz w:val="24"/>
        </w:rPr>
      </w:pPr>
      <w:r>
        <w:rPr>
          <w:rFonts w:hAnsi="宋体"/>
          <w:sz w:val="24"/>
        </w:rPr>
        <w:t>2.</w:t>
      </w:r>
      <w:r>
        <w:rPr>
          <w:rFonts w:hint="eastAsia" w:hAnsi="宋体"/>
          <w:sz w:val="24"/>
        </w:rPr>
        <w:t>5</w:t>
      </w:r>
      <w:r>
        <w:rPr>
          <w:rFonts w:hAnsi="宋体"/>
          <w:sz w:val="24"/>
        </w:rPr>
        <w:t xml:space="preserve"> “货物”系指</w:t>
      </w:r>
      <w:r>
        <w:rPr>
          <w:rFonts w:hint="eastAsia" w:hAnsi="宋体"/>
          <w:sz w:val="24"/>
        </w:rPr>
        <w:t>指各种形态和和种类的物品，包括原材料、燃料、设备、产品等。</w:t>
      </w:r>
    </w:p>
    <w:p>
      <w:pPr>
        <w:pStyle w:val="10"/>
        <w:spacing w:line="400" w:lineRule="exact"/>
        <w:jc w:val="left"/>
        <w:rPr>
          <w:rFonts w:hAnsi="宋体"/>
          <w:b/>
          <w:sz w:val="24"/>
        </w:rPr>
      </w:pPr>
      <w:r>
        <w:rPr>
          <w:rFonts w:hAnsi="宋体"/>
          <w:b/>
          <w:sz w:val="24"/>
        </w:rPr>
        <w:t>3.合格的谈判响应供应商</w:t>
      </w:r>
    </w:p>
    <w:p>
      <w:pPr>
        <w:spacing w:line="440" w:lineRule="exact"/>
        <w:ind w:firstLine="480" w:firstLineChars="200"/>
        <w:rPr>
          <w:rFonts w:hAnsi="宋体"/>
          <w:sz w:val="24"/>
        </w:rPr>
      </w:pPr>
      <w:r>
        <w:rPr>
          <w:rFonts w:hAnsi="宋体"/>
          <w:sz w:val="24"/>
        </w:rPr>
        <w:t>3.1 凡</w:t>
      </w:r>
      <w:r>
        <w:rPr>
          <w:rFonts w:hint="eastAsia" w:hAnsi="宋体"/>
          <w:sz w:val="24"/>
        </w:rPr>
        <w:t>有能力提供本谈判文件所述服务的，符合本谈判文件规定资格要求的供应商均可能成为合格的谈判响应供应商。</w:t>
      </w:r>
    </w:p>
    <w:p>
      <w:pPr>
        <w:spacing w:line="440" w:lineRule="exact"/>
        <w:ind w:firstLine="480" w:firstLineChars="200"/>
        <w:rPr>
          <w:rFonts w:ascii="宋体" w:hAnsi="宋体"/>
          <w:sz w:val="24"/>
        </w:rPr>
      </w:pPr>
      <w:r>
        <w:rPr>
          <w:rFonts w:hint="eastAsia" w:ascii="宋体" w:hAnsi="宋体"/>
          <w:sz w:val="24"/>
        </w:rPr>
        <w:t>谈判响应供应商应具备符合《中华人民共和国政府采购法》第22条和《中华人民共和国政府采购法实施条例》第17条的条件，应提供以下材料：</w:t>
      </w:r>
    </w:p>
    <w:p>
      <w:pPr>
        <w:spacing w:line="440" w:lineRule="exact"/>
        <w:ind w:firstLine="480" w:firstLineChars="200"/>
        <w:rPr>
          <w:rFonts w:ascii="宋体" w:hAnsi="宋体" w:cs="宋体"/>
          <w:sz w:val="24"/>
        </w:rPr>
      </w:pPr>
      <w:r>
        <w:rPr>
          <w:rFonts w:ascii="宋体" w:hAnsi="宋体" w:cs="宋体"/>
          <w:sz w:val="24"/>
        </w:rPr>
        <w:t>①具有独立承担民事责任的能力：提供法人或其他组织的营业执照等证明文件， 或自然人身份证明；</w:t>
      </w:r>
    </w:p>
    <w:p>
      <w:pPr>
        <w:spacing w:line="440" w:lineRule="exact"/>
        <w:ind w:firstLine="480" w:firstLineChars="200"/>
        <w:rPr>
          <w:rFonts w:ascii="宋体" w:hAnsi="宋体" w:cs="宋体"/>
          <w:sz w:val="24"/>
        </w:rPr>
      </w:pPr>
      <w:r>
        <w:rPr>
          <w:rFonts w:ascii="宋体" w:hAnsi="宋体" w:cs="宋体"/>
          <w:sz w:val="24"/>
        </w:rPr>
        <w:t>②具有良好的商业信誉和健全的财务会计制度：提供 2019 年度经第三方审计的财务审计报告或 2020 年最近三个月公司自主出具的财务报表（新成立的公司只需提供开标前三个月的银行流水）或银行出具的资信证明。</w:t>
      </w:r>
    </w:p>
    <w:p>
      <w:pPr>
        <w:spacing w:line="440" w:lineRule="exact"/>
        <w:ind w:firstLine="480" w:firstLineChars="200"/>
        <w:rPr>
          <w:rFonts w:ascii="宋体" w:hAnsi="宋体" w:cs="宋体"/>
          <w:sz w:val="24"/>
        </w:rPr>
      </w:pPr>
      <w:r>
        <w:rPr>
          <w:rFonts w:ascii="宋体" w:hAnsi="宋体" w:cs="宋体"/>
          <w:sz w:val="24"/>
        </w:rPr>
        <w:t>③具有履行合同所必需的设备和专业技术能力：提供具备履行合同所必需的设备和专业技术能力的承诺函（格式自拟）；</w:t>
      </w:r>
    </w:p>
    <w:p>
      <w:pPr>
        <w:spacing w:line="440" w:lineRule="exact"/>
        <w:ind w:firstLine="480" w:firstLineChars="200"/>
        <w:rPr>
          <w:rFonts w:ascii="宋体" w:hAnsi="宋体" w:cs="宋体"/>
          <w:sz w:val="24"/>
        </w:rPr>
      </w:pPr>
      <w:r>
        <w:rPr>
          <w:rFonts w:ascii="宋体" w:hAnsi="宋体" w:cs="宋体"/>
          <w:sz w:val="24"/>
        </w:rPr>
        <w:t>④具有依法缴纳税收和社会保障资金的良好记录：提供 2020 年任意三个月依法缴纳税收（依法免税的供应商须提供相应证明文件）和社会保障资金的有效证明材料；</w:t>
      </w:r>
    </w:p>
    <w:p>
      <w:pPr>
        <w:spacing w:line="440" w:lineRule="exact"/>
        <w:ind w:firstLine="480" w:firstLineChars="200"/>
        <w:rPr>
          <w:rFonts w:ascii="宋体" w:hAnsi="宋体" w:cs="宋体"/>
          <w:sz w:val="24"/>
        </w:rPr>
      </w:pPr>
      <w:r>
        <w:rPr>
          <w:rFonts w:ascii="宋体" w:hAnsi="宋体" w:cs="宋体"/>
          <w:sz w:val="24"/>
        </w:rPr>
        <w:t>⑤参加本次政府采购活动前三年内，在经营活动中没有违法违规记录：提供参加政府采购活动前 3 年内在经营活动中没有重大违法记录的书面声明；</w:t>
      </w:r>
    </w:p>
    <w:p>
      <w:pPr>
        <w:spacing w:line="440" w:lineRule="exact"/>
        <w:ind w:firstLine="480" w:firstLineChars="200"/>
        <w:rPr>
          <w:rFonts w:ascii="宋体" w:hAnsi="宋体" w:cs="宋体"/>
          <w:sz w:val="24"/>
        </w:rPr>
      </w:pPr>
      <w:r>
        <w:rPr>
          <w:rFonts w:ascii="宋体" w:hAnsi="宋体" w:cs="宋体"/>
          <w:sz w:val="24"/>
        </w:rPr>
        <w:t>⑥法律、行政法规规定的其他条件：供应商承诺在“信用中国”网站、“中国政府采购网”等渠道查询中未被列入失信被执行人名单、重大税收违法案件当事人名单、政府采购严重违法失信行为记录名单中（格式文件详见&lt;供应商信用记录承诺书&gt;）。如在上述名单中的供应商取消其投标资格，并承担由此造成的一切法律责任及后果。</w:t>
      </w:r>
    </w:p>
    <w:p>
      <w:pPr>
        <w:spacing w:line="440" w:lineRule="exact"/>
        <w:ind w:firstLine="480" w:firstLineChars="200"/>
        <w:rPr>
          <w:rFonts w:ascii="宋体" w:hAnsi="宋体" w:cs="宋体"/>
          <w:sz w:val="24"/>
        </w:rPr>
      </w:pPr>
      <w:r>
        <w:rPr>
          <w:rFonts w:ascii="宋体" w:hAnsi="宋体" w:cs="宋体"/>
          <w:sz w:val="24"/>
        </w:rPr>
        <w:t>⑦本项目不接受联合体。</w:t>
      </w:r>
    </w:p>
    <w:p>
      <w:pPr>
        <w:spacing w:line="440" w:lineRule="exact"/>
        <w:ind w:firstLine="480" w:firstLineChars="200"/>
        <w:rPr>
          <w:rFonts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spacing w:line="440" w:lineRule="exact"/>
        <w:ind w:firstLine="480" w:firstLineChars="200"/>
        <w:rPr>
          <w:rFonts w:ascii="宋体" w:hAnsi="宋体"/>
          <w:color w:val="FF0000"/>
          <w:sz w:val="24"/>
          <w:szCs w:val="24"/>
        </w:rPr>
      </w:pPr>
      <w:r>
        <w:rPr>
          <w:rFonts w:hint="eastAsia" w:ascii="宋体" w:hAnsi="宋体"/>
          <w:color w:val="FF0000"/>
          <w:sz w:val="24"/>
          <w:szCs w:val="24"/>
        </w:rPr>
        <w:t>3.3经中国政府采购网失信信息查询，有失信信息记录且在禁止参加政府采购活动处罚期间内的供应商不能成为合格响应供应商。</w:t>
      </w:r>
    </w:p>
    <w:p>
      <w:pPr>
        <w:spacing w:line="400" w:lineRule="exact"/>
        <w:ind w:firstLine="480" w:firstLineChars="200"/>
        <w:rPr>
          <w:rFonts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spacing w:line="400" w:lineRule="exact"/>
        <w:ind w:firstLine="480" w:firstLineChars="200"/>
        <w:rPr>
          <w:rFonts w:ascii="宋体" w:hAnsi="宋体"/>
          <w:sz w:val="24"/>
          <w:szCs w:val="24"/>
        </w:rPr>
      </w:pPr>
      <w:r>
        <w:rPr>
          <w:rFonts w:hint="eastAsia" w:ascii="宋体" w:hAnsi="宋体"/>
          <w:sz w:val="24"/>
          <w:szCs w:val="24"/>
        </w:rPr>
        <w:t>3.5若接受联合体谈判，则两个或者两个以上谈判响应供应商可以组成一个响应联合体，以一个谈判响应供应商的身份响应。</w:t>
      </w:r>
    </w:p>
    <w:p>
      <w:pPr>
        <w:spacing w:line="400" w:lineRule="exact"/>
        <w:ind w:firstLine="480" w:firstLineChars="200"/>
        <w:rPr>
          <w:rFonts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spacing w:line="400" w:lineRule="exact"/>
        <w:ind w:firstLine="480" w:firstLineChars="200"/>
        <w:rPr>
          <w:rFonts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spacing w:line="400" w:lineRule="exact"/>
        <w:ind w:firstLine="480" w:firstLineChars="200"/>
        <w:rPr>
          <w:rFonts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spacing w:line="400" w:lineRule="exact"/>
        <w:ind w:firstLine="600" w:firstLineChars="250"/>
        <w:rPr>
          <w:rFonts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spacing w:line="400" w:lineRule="exact"/>
        <w:ind w:firstLine="480" w:firstLineChars="200"/>
        <w:rPr>
          <w:rFonts w:ascii="宋体" w:hAnsi="宋体"/>
          <w:sz w:val="24"/>
          <w:szCs w:val="24"/>
        </w:rPr>
      </w:pPr>
      <w:r>
        <w:rPr>
          <w:rFonts w:hint="eastAsia" w:ascii="宋体" w:hAnsi="宋体"/>
          <w:sz w:val="24"/>
          <w:szCs w:val="24"/>
        </w:rPr>
        <w:t>3.6谈判代理人在同一个项目中只能接受一个谈判响应供应商的委托参加谈判响应。</w:t>
      </w:r>
    </w:p>
    <w:p>
      <w:pPr>
        <w:spacing w:line="400" w:lineRule="exact"/>
        <w:ind w:firstLine="480" w:firstLineChars="200"/>
        <w:rPr>
          <w:rFonts w:ascii="宋体" w:hAnsi="宋体"/>
          <w:sz w:val="24"/>
          <w:szCs w:val="24"/>
        </w:rPr>
      </w:pPr>
      <w:r>
        <w:rPr>
          <w:rFonts w:hint="eastAsia" w:ascii="宋体" w:hAnsi="宋体"/>
          <w:sz w:val="24"/>
          <w:szCs w:val="24"/>
        </w:rPr>
        <w:t>3.7谈判响应供应商存在下列情形之一的，将被认定为串通响应行为并作无效响应处理：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（11）不同谈判响应供应商的报价保证金从同一单位或者个人的账户转出。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报价保证金、参加谈判的；</w:t>
      </w:r>
    </w:p>
    <w:p>
      <w:pPr>
        <w:spacing w:line="400" w:lineRule="exact"/>
        <w:ind w:firstLine="480" w:firstLineChars="200"/>
        <w:rPr>
          <w:rFonts w:ascii="宋体" w:hAnsi="宋体"/>
          <w:sz w:val="24"/>
          <w:szCs w:val="24"/>
        </w:rPr>
      </w:pPr>
      <w:r>
        <w:rPr>
          <w:rFonts w:hint="eastAsia" w:ascii="宋体" w:hAnsi="宋体"/>
          <w:sz w:val="24"/>
          <w:szCs w:val="24"/>
        </w:rPr>
        <w:t>(15) 法定代表人、单位负责人为同一人或夫妻关系的不同供应商；</w:t>
      </w:r>
    </w:p>
    <w:p>
      <w:pPr>
        <w:spacing w:line="400" w:lineRule="exact"/>
        <w:ind w:firstLine="480" w:firstLineChars="200"/>
        <w:rPr>
          <w:rFonts w:ascii="宋体" w:hAnsi="宋体"/>
          <w:sz w:val="24"/>
          <w:szCs w:val="24"/>
        </w:rPr>
      </w:pPr>
      <w:r>
        <w:rPr>
          <w:rFonts w:hint="eastAsia" w:ascii="宋体" w:hAnsi="宋体"/>
          <w:sz w:val="24"/>
          <w:szCs w:val="24"/>
        </w:rPr>
        <w:t>(16) 存在直接控股、管理关系的不同供应商；</w:t>
      </w:r>
    </w:p>
    <w:p>
      <w:pPr>
        <w:spacing w:line="400" w:lineRule="exact"/>
        <w:ind w:firstLine="480" w:firstLineChars="200"/>
        <w:rPr>
          <w:rFonts w:ascii="宋体" w:hAnsi="宋体"/>
          <w:sz w:val="24"/>
          <w:szCs w:val="24"/>
        </w:rPr>
      </w:pPr>
      <w:r>
        <w:rPr>
          <w:rFonts w:hint="eastAsia" w:ascii="宋体" w:hAnsi="宋体"/>
          <w:sz w:val="24"/>
          <w:szCs w:val="24"/>
        </w:rPr>
        <w:t>(17) 均为同一家母公司直接或间接持股50％及以上的被投资公司。</w:t>
      </w:r>
    </w:p>
    <w:p>
      <w:pPr>
        <w:spacing w:line="400" w:lineRule="exact"/>
        <w:ind w:firstLine="480" w:firstLineChars="200"/>
        <w:rPr>
          <w:rFonts w:ascii="宋体" w:hAnsi="宋体"/>
          <w:color w:val="000000"/>
          <w:sz w:val="24"/>
          <w:szCs w:val="24"/>
        </w:rPr>
      </w:pPr>
      <w:r>
        <w:rPr>
          <w:rFonts w:hint="eastAsia" w:ascii="宋体" w:hAnsi="宋体"/>
          <w:sz w:val="24"/>
          <w:szCs w:val="24"/>
        </w:rPr>
        <w:t>（18）有关法律、法规或规章规定的其他串通行为。</w:t>
      </w:r>
    </w:p>
    <w:p>
      <w:pPr>
        <w:pStyle w:val="10"/>
        <w:spacing w:line="400" w:lineRule="exact"/>
        <w:jc w:val="left"/>
        <w:rPr>
          <w:rFonts w:hAnsi="宋体"/>
          <w:b/>
          <w:sz w:val="24"/>
        </w:rPr>
      </w:pPr>
      <w:r>
        <w:rPr>
          <w:rFonts w:hAnsi="宋体"/>
          <w:b/>
          <w:sz w:val="24"/>
        </w:rPr>
        <w:t>4.谈判费用</w:t>
      </w:r>
    </w:p>
    <w:p>
      <w:pPr>
        <w:pStyle w:val="10"/>
        <w:spacing w:line="400" w:lineRule="exact"/>
        <w:ind w:firstLine="480" w:firstLineChars="200"/>
        <w:jc w:val="left"/>
        <w:rPr>
          <w:rFonts w:hAnsi="宋体"/>
          <w:sz w:val="24"/>
        </w:rPr>
      </w:pPr>
      <w:r>
        <w:rPr>
          <w:rFonts w:hAnsi="宋体"/>
          <w:sz w:val="24"/>
        </w:rPr>
        <w:t>谈判响应供应商应承担其准备与参加谈判所涉及的一切费用。</w:t>
      </w:r>
    </w:p>
    <w:p>
      <w:pPr>
        <w:pStyle w:val="10"/>
        <w:spacing w:line="400" w:lineRule="exact"/>
        <w:jc w:val="left"/>
        <w:rPr>
          <w:rFonts w:hAnsi="宋体"/>
          <w:b/>
          <w:sz w:val="24"/>
        </w:rPr>
      </w:pPr>
      <w:r>
        <w:rPr>
          <w:rFonts w:hAnsi="宋体"/>
          <w:b/>
          <w:sz w:val="24"/>
        </w:rPr>
        <w:t>5.知识产权</w:t>
      </w:r>
    </w:p>
    <w:p>
      <w:pPr>
        <w:pStyle w:val="10"/>
        <w:spacing w:line="400" w:lineRule="exact"/>
        <w:ind w:firstLine="480" w:firstLineChars="200"/>
        <w:jc w:val="left"/>
        <w:rPr>
          <w:rFonts w:hAnsi="宋体"/>
          <w:sz w:val="24"/>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34"/>
        <w:spacing w:line="400" w:lineRule="exact"/>
        <w:jc w:val="center"/>
        <w:outlineLvl w:val="9"/>
        <w:rPr>
          <w:rFonts w:hAnsi="宋体"/>
          <w:b/>
          <w:sz w:val="24"/>
        </w:rPr>
      </w:pPr>
      <w:r>
        <w:rPr>
          <w:rFonts w:hint="eastAsia" w:hAnsi="宋体"/>
          <w:b/>
          <w:sz w:val="24"/>
        </w:rPr>
        <w:t>二、</w:t>
      </w:r>
      <w:r>
        <w:rPr>
          <w:rFonts w:hAnsi="宋体"/>
          <w:b/>
          <w:sz w:val="24"/>
        </w:rPr>
        <w:t xml:space="preserve"> </w:t>
      </w:r>
      <w:r>
        <w:rPr>
          <w:rFonts w:hint="eastAsia" w:hAnsi="宋体"/>
          <w:b/>
          <w:sz w:val="24"/>
        </w:rPr>
        <w:t>谈判文件</w:t>
      </w:r>
    </w:p>
    <w:p>
      <w:pPr>
        <w:pStyle w:val="10"/>
        <w:spacing w:line="400" w:lineRule="exact"/>
        <w:jc w:val="left"/>
        <w:rPr>
          <w:rFonts w:hAnsi="宋体"/>
          <w:b/>
          <w:sz w:val="24"/>
        </w:rPr>
      </w:pPr>
      <w:r>
        <w:rPr>
          <w:rFonts w:hAnsi="宋体"/>
          <w:b/>
          <w:sz w:val="24"/>
        </w:rPr>
        <w:t>6.谈判文件的组成</w:t>
      </w:r>
    </w:p>
    <w:p>
      <w:pPr>
        <w:pStyle w:val="10"/>
        <w:spacing w:line="400" w:lineRule="exact"/>
        <w:ind w:firstLine="480" w:firstLineChars="200"/>
        <w:jc w:val="left"/>
        <w:rPr>
          <w:rFonts w:hAnsi="宋体"/>
          <w:sz w:val="24"/>
        </w:rPr>
      </w:pPr>
      <w:r>
        <w:rPr>
          <w:rFonts w:hAnsi="宋体"/>
          <w:sz w:val="24"/>
        </w:rPr>
        <w:t>6.1谈判文件用以阐明所需货物及服务、谈判程序和合同格式及条款。谈判文件由下述部分组成：</w:t>
      </w:r>
    </w:p>
    <w:p>
      <w:pPr>
        <w:pStyle w:val="10"/>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（1）</w:t>
      </w:r>
      <w:r>
        <w:rPr>
          <w:rFonts w:hint="eastAsia" w:hAnsi="宋体"/>
          <w:sz w:val="24"/>
        </w:rPr>
        <w:t>谈判公告</w:t>
      </w:r>
    </w:p>
    <w:p>
      <w:pPr>
        <w:pStyle w:val="10"/>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w:t>
      </w:r>
      <w:r>
        <w:rPr>
          <w:rFonts w:hint="eastAsia" w:hAnsi="宋体"/>
          <w:sz w:val="24"/>
        </w:rPr>
        <w:t xml:space="preserve"> </w:t>
      </w:r>
      <w:r>
        <w:rPr>
          <w:rFonts w:hAnsi="宋体"/>
          <w:sz w:val="24"/>
        </w:rPr>
        <w:t>（2）</w:t>
      </w:r>
      <w:r>
        <w:rPr>
          <w:rFonts w:hint="eastAsia" w:hAnsi="宋体"/>
          <w:sz w:val="24"/>
        </w:rPr>
        <w:t>谈判响应供应商须知</w:t>
      </w:r>
    </w:p>
    <w:p>
      <w:pPr>
        <w:pStyle w:val="10"/>
        <w:spacing w:line="400" w:lineRule="exact"/>
        <w:ind w:firstLine="480" w:firstLineChars="200"/>
        <w:jc w:val="left"/>
        <w:rPr>
          <w:rFonts w:hAnsi="宋体"/>
          <w:sz w:val="24"/>
        </w:rPr>
      </w:pPr>
      <w:r>
        <w:rPr>
          <w:rFonts w:hint="eastAsia" w:hAnsi="宋体"/>
          <w:sz w:val="24"/>
        </w:rPr>
        <w:t>（3）谈判供应商须知正文部分</w:t>
      </w:r>
    </w:p>
    <w:p>
      <w:pPr>
        <w:pStyle w:val="10"/>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w:t>
      </w:r>
      <w:r>
        <w:rPr>
          <w:rFonts w:hint="eastAsia" w:hAnsi="宋体"/>
          <w:sz w:val="24"/>
        </w:rPr>
        <w:t>4</w:t>
      </w:r>
      <w:r>
        <w:rPr>
          <w:rFonts w:hAnsi="宋体"/>
          <w:sz w:val="24"/>
        </w:rPr>
        <w:t>）</w:t>
      </w:r>
      <w:r>
        <w:rPr>
          <w:rFonts w:hint="eastAsia" w:hAnsi="宋体"/>
          <w:sz w:val="24"/>
        </w:rPr>
        <w:t>采购内容及要求</w:t>
      </w:r>
    </w:p>
    <w:p>
      <w:pPr>
        <w:pStyle w:val="10"/>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w:t>
      </w:r>
      <w:r>
        <w:rPr>
          <w:rFonts w:hint="eastAsia" w:hAnsi="宋体"/>
          <w:sz w:val="24"/>
        </w:rPr>
        <w:t>5</w:t>
      </w:r>
      <w:r>
        <w:rPr>
          <w:rFonts w:hAnsi="宋体"/>
          <w:sz w:val="24"/>
        </w:rPr>
        <w:t>）</w:t>
      </w:r>
      <w:r>
        <w:rPr>
          <w:rFonts w:hint="eastAsia" w:hAnsi="宋体"/>
          <w:sz w:val="24"/>
        </w:rPr>
        <w:t>政府</w:t>
      </w:r>
      <w:r>
        <w:rPr>
          <w:rFonts w:hAnsi="宋体"/>
          <w:sz w:val="24"/>
        </w:rPr>
        <w:t>采购合同</w:t>
      </w:r>
    </w:p>
    <w:p>
      <w:pPr>
        <w:pStyle w:val="10"/>
        <w:spacing w:line="400" w:lineRule="exact"/>
        <w:ind w:firstLine="360" w:firstLineChars="150"/>
        <w:jc w:val="left"/>
        <w:rPr>
          <w:rFonts w:hAnsi="宋体"/>
          <w:sz w:val="24"/>
        </w:rPr>
      </w:pPr>
      <w:r>
        <w:rPr>
          <w:rFonts w:hAnsi="宋体"/>
          <w:sz w:val="24"/>
        </w:rPr>
        <w:t>（</w:t>
      </w:r>
      <w:r>
        <w:rPr>
          <w:rFonts w:hint="eastAsia" w:hAnsi="宋体"/>
          <w:sz w:val="24"/>
        </w:rPr>
        <w:t>6</w:t>
      </w:r>
      <w:r>
        <w:rPr>
          <w:rFonts w:hAnsi="宋体"/>
          <w:sz w:val="24"/>
        </w:rPr>
        <w:t>）响应文件格式</w:t>
      </w:r>
    </w:p>
    <w:p>
      <w:pPr>
        <w:pStyle w:val="10"/>
        <w:spacing w:line="400" w:lineRule="exact"/>
        <w:jc w:val="left"/>
        <w:rPr>
          <w:rFonts w:hAnsi="宋体"/>
          <w:b/>
          <w:sz w:val="24"/>
        </w:rPr>
      </w:pPr>
      <w:r>
        <w:rPr>
          <w:rFonts w:hAnsi="宋体"/>
          <w:b/>
          <w:sz w:val="24"/>
        </w:rPr>
        <w:t>7.</w:t>
      </w:r>
      <w:r>
        <w:rPr>
          <w:rFonts w:hint="eastAsia" w:hAnsi="宋体"/>
          <w:b/>
          <w:sz w:val="24"/>
        </w:rPr>
        <w:t>谈判文件的澄清与修改</w:t>
      </w:r>
    </w:p>
    <w:p>
      <w:pPr>
        <w:pStyle w:val="7"/>
        <w:snapToGrid w:val="0"/>
        <w:spacing w:line="400" w:lineRule="exact"/>
        <w:ind w:firstLineChars="175"/>
        <w:outlineLvl w:val="0"/>
        <w:rPr>
          <w:bCs/>
          <w:color w:val="FF0000"/>
          <w:sz w:val="24"/>
        </w:rPr>
      </w:pPr>
      <w:r>
        <w:rPr>
          <w:rFonts w:hint="eastAsia"/>
          <w:color w:val="FF0000"/>
          <w:sz w:val="24"/>
        </w:rPr>
        <w:t>7.1</w:t>
      </w:r>
      <w:r>
        <w:rPr>
          <w:rFonts w:hint="eastAsia"/>
          <w:bCs/>
          <w:color w:val="FF0000"/>
          <w:sz w:val="24"/>
        </w:rPr>
        <w:t>提交首次响应文件截止之日前，采购人、</w:t>
      </w:r>
      <w:r>
        <w:rPr>
          <w:rFonts w:hint="eastAsia"/>
          <w:color w:val="FF0000"/>
          <w:sz w:val="24"/>
        </w:rPr>
        <w:t>采购代理机构或谈判小组</w:t>
      </w:r>
      <w:r>
        <w:rPr>
          <w:rFonts w:hint="eastAsia"/>
          <w:bCs/>
          <w:color w:val="FF0000"/>
          <w:sz w:val="24"/>
        </w:rPr>
        <w:t>可对已发出的谈判文件进行必要的澄清或者修改，并</w:t>
      </w:r>
      <w:r>
        <w:rPr>
          <w:rFonts w:hint="eastAsia"/>
          <w:color w:val="FF0000"/>
          <w:sz w:val="24"/>
        </w:rPr>
        <w:t>在原信息发布媒体上发布更正公告，该</w:t>
      </w:r>
      <w:r>
        <w:rPr>
          <w:rFonts w:hint="eastAsia"/>
          <w:bCs/>
          <w:color w:val="FF0000"/>
          <w:sz w:val="24"/>
        </w:rPr>
        <w:t>澄清或者修改</w:t>
      </w:r>
      <w:r>
        <w:rPr>
          <w:rFonts w:hint="eastAsia"/>
          <w:color w:val="FF0000"/>
          <w:sz w:val="24"/>
        </w:rPr>
        <w:t>内容作为谈判文件的组成部分，对供应商具有约束力。但</w:t>
      </w:r>
      <w:r>
        <w:rPr>
          <w:rFonts w:hint="eastAsia"/>
          <w:bCs/>
          <w:color w:val="FF0000"/>
          <w:sz w:val="24"/>
        </w:rPr>
        <w:t>本谈判文件第7.2条规定的推迟响应截止时间情形不受本条约束。</w:t>
      </w:r>
    </w:p>
    <w:p>
      <w:pPr>
        <w:pStyle w:val="7"/>
        <w:snapToGrid w:val="0"/>
        <w:spacing w:line="400" w:lineRule="exact"/>
        <w:ind w:firstLineChars="175"/>
        <w:outlineLvl w:val="0"/>
        <w:rPr>
          <w:color w:val="FF0000"/>
          <w:sz w:val="24"/>
        </w:rPr>
      </w:pPr>
      <w:r>
        <w:rPr>
          <w:rFonts w:hint="eastAsia"/>
          <w:color w:val="FF0000"/>
          <w:sz w:val="24"/>
        </w:rPr>
        <w:t>7.2</w:t>
      </w:r>
      <w:r>
        <w:rPr>
          <w:rFonts w:hint="eastAsia"/>
          <w:bCs/>
          <w:color w:val="FF0000"/>
          <w:sz w:val="24"/>
        </w:rPr>
        <w:t>澄清或者修改</w:t>
      </w:r>
      <w:r>
        <w:rPr>
          <w:rFonts w:hint="eastAsia"/>
          <w:color w:val="FF0000"/>
          <w:sz w:val="24"/>
        </w:rPr>
        <w:t>内容可能影响响应文件编制的，采购人、采购代理机构或者谈判小组应当在提交首次响应文件截止之日3个工作日前，在原信息发布媒体上发布更正公告，不足3个工作日的，应当顺延提交首次响应文件截止之日。谈判响应供应商应随时关注“交易平台”并查看、处理采购人发出的文件澄清、补充、更正等通知内容，如因谈判响应供应商未及时上网查询导致的后果，由谈判响应供应商自己承担。</w:t>
      </w:r>
    </w:p>
    <w:p>
      <w:pPr>
        <w:pStyle w:val="7"/>
        <w:snapToGrid w:val="0"/>
        <w:spacing w:line="400" w:lineRule="exact"/>
        <w:ind w:firstLine="2891" w:firstLineChars="1200"/>
        <w:outlineLvl w:val="0"/>
        <w:rPr>
          <w:bCs/>
          <w:sz w:val="24"/>
        </w:rPr>
      </w:pPr>
      <w:r>
        <w:rPr>
          <w:rFonts w:hint="eastAsia"/>
          <w:b/>
          <w:sz w:val="24"/>
        </w:rPr>
        <w:t>三、响应文件的编写</w:t>
      </w:r>
    </w:p>
    <w:p>
      <w:pPr>
        <w:pStyle w:val="10"/>
        <w:spacing w:line="400" w:lineRule="exact"/>
        <w:jc w:val="left"/>
        <w:rPr>
          <w:rFonts w:hAnsi="宋体"/>
          <w:b/>
          <w:sz w:val="24"/>
        </w:rPr>
      </w:pPr>
      <w:r>
        <w:rPr>
          <w:rFonts w:hAnsi="宋体"/>
          <w:b/>
          <w:sz w:val="24"/>
        </w:rPr>
        <w:t>8.要求</w:t>
      </w:r>
    </w:p>
    <w:p>
      <w:pPr>
        <w:pStyle w:val="10"/>
        <w:spacing w:line="400" w:lineRule="exact"/>
        <w:ind w:firstLine="480"/>
        <w:jc w:val="left"/>
        <w:rPr>
          <w:rFonts w:hAnsi="宋体"/>
          <w:sz w:val="24"/>
        </w:rPr>
      </w:pPr>
      <w:r>
        <w:rPr>
          <w:rFonts w:hint="eastAsia" w:hAnsi="宋体"/>
          <w:sz w:val="24"/>
        </w:rPr>
        <w:t>8</w:t>
      </w:r>
      <w:r>
        <w:rPr>
          <w:rFonts w:hAnsi="宋体"/>
          <w:sz w:val="24"/>
        </w:rPr>
        <w:t>.1谈判响应供应商应仔细阅读谈判文件的所有内容，按谈判文件的要求提供响应文件，</w:t>
      </w:r>
      <w:r>
        <w:rPr>
          <w:rFonts w:hint="eastAsia" w:hAnsi="宋体"/>
          <w:sz w:val="24"/>
        </w:rPr>
        <w:t>响应文件应对谈判文件的要求作出实质性响应，</w:t>
      </w:r>
      <w:r>
        <w:rPr>
          <w:rFonts w:hAnsi="宋体"/>
          <w:sz w:val="24"/>
        </w:rPr>
        <w:t>并保证所提供的全部资料的真实性，否则其响应文件可被作</w:t>
      </w:r>
      <w:r>
        <w:rPr>
          <w:rFonts w:hint="eastAsia" w:hAnsi="宋体"/>
          <w:sz w:val="24"/>
        </w:rPr>
        <w:t>响应</w:t>
      </w:r>
      <w:r>
        <w:rPr>
          <w:rFonts w:hAnsi="宋体"/>
          <w:sz w:val="24"/>
        </w:rPr>
        <w:t>无效处理。</w:t>
      </w:r>
    </w:p>
    <w:p>
      <w:pPr>
        <w:pStyle w:val="10"/>
        <w:spacing w:line="400" w:lineRule="exact"/>
        <w:ind w:firstLine="480" w:firstLineChars="200"/>
        <w:jc w:val="left"/>
        <w:rPr>
          <w:rFonts w:hAnsi="宋体"/>
          <w:sz w:val="24"/>
        </w:rPr>
      </w:pPr>
      <w:r>
        <w:rPr>
          <w:rFonts w:hAnsi="宋体"/>
          <w:sz w:val="24"/>
        </w:rPr>
        <w:t>8.2除非有另外的规定，谈判响应供应商应按被邀请参加</w:t>
      </w:r>
      <w:r>
        <w:rPr>
          <w:rFonts w:hint="eastAsia" w:hAnsi="宋体"/>
          <w:sz w:val="24"/>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rPr>
        <w:t>、服务、工程</w:t>
      </w:r>
      <w:r>
        <w:rPr>
          <w:rFonts w:hAnsi="宋体"/>
          <w:sz w:val="24"/>
        </w:rPr>
        <w:t>只能有一个报价。</w:t>
      </w:r>
    </w:p>
    <w:p>
      <w:pPr>
        <w:pStyle w:val="10"/>
        <w:spacing w:line="400" w:lineRule="exact"/>
        <w:jc w:val="left"/>
        <w:rPr>
          <w:rFonts w:hAnsi="宋体"/>
          <w:b/>
          <w:sz w:val="24"/>
        </w:rPr>
      </w:pPr>
      <w:r>
        <w:rPr>
          <w:rFonts w:hint="eastAsia" w:hAnsi="宋体"/>
          <w:b/>
          <w:sz w:val="24"/>
        </w:rPr>
        <w:t>9.谈判响应文件语言及报价要求</w:t>
      </w:r>
    </w:p>
    <w:p>
      <w:pPr>
        <w:pStyle w:val="10"/>
        <w:spacing w:line="400" w:lineRule="exact"/>
        <w:ind w:firstLine="720" w:firstLineChars="300"/>
        <w:jc w:val="left"/>
        <w:rPr>
          <w:rFonts w:hAnsi="宋体"/>
          <w:b/>
          <w:sz w:val="24"/>
        </w:rPr>
      </w:pPr>
      <w:r>
        <w:rPr>
          <w:rFonts w:hint="eastAsia" w:hAnsi="宋体"/>
          <w:sz w:val="24"/>
        </w:rPr>
        <w:t>谈判</w:t>
      </w:r>
      <w:r>
        <w:rPr>
          <w:rFonts w:hAnsi="宋体"/>
          <w:sz w:val="24"/>
        </w:rPr>
        <w:t>响应文件应用中文书写。</w:t>
      </w:r>
      <w:r>
        <w:rPr>
          <w:rFonts w:hint="eastAsia" w:hAnsi="宋体"/>
          <w:sz w:val="24"/>
        </w:rPr>
        <w:t>响应文件中所附或所引用的的</w:t>
      </w:r>
      <w:r>
        <w:rPr>
          <w:rFonts w:hint="eastAsia" w:hAnsi="宋体"/>
          <w:sz w:val="24"/>
          <w:lang w:eastAsia="zh-CN"/>
        </w:rPr>
        <w:t>原件</w:t>
      </w:r>
      <w:r>
        <w:rPr>
          <w:rFonts w:hint="eastAsia" w:hAnsi="宋体"/>
          <w:sz w:val="24"/>
        </w:rPr>
        <w:t>不是中文时，应附中文译文。各种计量单位及符号应采用国际上统一使用的公制计量单位和符号。</w:t>
      </w:r>
    </w:p>
    <w:p>
      <w:pPr>
        <w:pStyle w:val="10"/>
        <w:spacing w:line="400" w:lineRule="exact"/>
        <w:jc w:val="left"/>
        <w:rPr>
          <w:rFonts w:hAnsi="宋体"/>
          <w:b/>
          <w:sz w:val="24"/>
        </w:rPr>
      </w:pPr>
      <w:r>
        <w:rPr>
          <w:rFonts w:hint="eastAsia" w:hAnsi="宋体"/>
          <w:b/>
          <w:sz w:val="24"/>
        </w:rPr>
        <w:t>10</w:t>
      </w:r>
      <w:r>
        <w:rPr>
          <w:rFonts w:hAnsi="宋体"/>
          <w:b/>
          <w:sz w:val="24"/>
        </w:rPr>
        <w:t>.</w:t>
      </w:r>
      <w:r>
        <w:rPr>
          <w:rFonts w:hint="eastAsia" w:hAnsi="宋体"/>
          <w:b/>
          <w:sz w:val="24"/>
        </w:rPr>
        <w:t>谈判</w:t>
      </w:r>
      <w:r>
        <w:rPr>
          <w:rFonts w:hAnsi="宋体"/>
          <w:b/>
          <w:sz w:val="24"/>
        </w:rPr>
        <w:t>响应文件的组成</w:t>
      </w:r>
      <w:r>
        <w:rPr>
          <w:rFonts w:hint="eastAsia" w:hAnsi="宋体"/>
          <w:b/>
          <w:bCs/>
          <w:sz w:val="24"/>
        </w:rPr>
        <w:t>包括下列部分</w:t>
      </w:r>
    </w:p>
    <w:p>
      <w:pPr>
        <w:spacing w:line="400" w:lineRule="exact"/>
        <w:ind w:firstLine="480" w:firstLineChars="200"/>
        <w:rPr>
          <w:rFonts w:asciiTheme="minorEastAsia" w:hAnsiTheme="minorEastAsia" w:cstheme="minorEastAsia"/>
          <w:color w:val="FF0000"/>
          <w:sz w:val="24"/>
          <w:szCs w:val="24"/>
        </w:rPr>
      </w:pPr>
      <w:r>
        <w:rPr>
          <w:rFonts w:hint="eastAsia" w:asciiTheme="minorEastAsia" w:hAnsiTheme="minorEastAsia" w:cstheme="minorEastAsia"/>
          <w:color w:val="FF0000"/>
          <w:sz w:val="24"/>
          <w:szCs w:val="24"/>
        </w:rPr>
        <w:t>10.1谈判响应声明函</w:t>
      </w:r>
    </w:p>
    <w:p>
      <w:pPr>
        <w:spacing w:line="400" w:lineRule="exact"/>
        <w:ind w:firstLine="480" w:firstLineChars="200"/>
        <w:rPr>
          <w:rFonts w:asciiTheme="minorEastAsia" w:hAnsiTheme="minorEastAsia" w:cstheme="minorEastAsia"/>
          <w:color w:val="FF0000"/>
          <w:sz w:val="24"/>
          <w:szCs w:val="24"/>
        </w:rPr>
      </w:pPr>
      <w:r>
        <w:rPr>
          <w:rFonts w:hint="eastAsia" w:asciiTheme="minorEastAsia" w:hAnsiTheme="minorEastAsia" w:cstheme="minorEastAsia"/>
          <w:color w:val="FF0000"/>
          <w:sz w:val="24"/>
          <w:szCs w:val="24"/>
        </w:rPr>
        <w:t>10.2 报价一览表</w:t>
      </w:r>
    </w:p>
    <w:p>
      <w:pPr>
        <w:spacing w:line="400" w:lineRule="exact"/>
        <w:ind w:firstLine="480" w:firstLineChars="200"/>
        <w:rPr>
          <w:rFonts w:asciiTheme="minorEastAsia" w:hAnsiTheme="minorEastAsia" w:cstheme="minorEastAsia"/>
          <w:color w:val="FF0000"/>
          <w:sz w:val="24"/>
          <w:szCs w:val="24"/>
        </w:rPr>
      </w:pPr>
      <w:r>
        <w:rPr>
          <w:rFonts w:hint="eastAsia" w:asciiTheme="minorEastAsia" w:hAnsiTheme="minorEastAsia" w:cstheme="minorEastAsia"/>
          <w:color w:val="FF0000"/>
          <w:sz w:val="24"/>
          <w:szCs w:val="24"/>
        </w:rPr>
        <w:t>10.3 谈判分项报价表（格式）</w:t>
      </w:r>
    </w:p>
    <w:p>
      <w:pPr>
        <w:spacing w:line="400" w:lineRule="exact"/>
        <w:ind w:firstLine="480" w:firstLineChars="200"/>
        <w:rPr>
          <w:rFonts w:asciiTheme="minorEastAsia" w:hAnsiTheme="minorEastAsia" w:cstheme="minorEastAsia"/>
          <w:color w:val="FF0000"/>
          <w:sz w:val="24"/>
          <w:szCs w:val="24"/>
        </w:rPr>
      </w:pPr>
      <w:r>
        <w:rPr>
          <w:rFonts w:hint="eastAsia" w:asciiTheme="minorEastAsia" w:hAnsiTheme="minorEastAsia" w:cstheme="minorEastAsia"/>
          <w:color w:val="FF0000"/>
          <w:sz w:val="24"/>
          <w:szCs w:val="24"/>
        </w:rPr>
        <w:t>10.4技术规格偏离表</w:t>
      </w:r>
    </w:p>
    <w:p>
      <w:pPr>
        <w:spacing w:line="400" w:lineRule="exact"/>
        <w:ind w:firstLine="480" w:firstLineChars="200"/>
        <w:rPr>
          <w:rFonts w:asciiTheme="minorEastAsia" w:hAnsiTheme="minorEastAsia" w:cstheme="minorEastAsia"/>
          <w:color w:val="FF0000"/>
          <w:sz w:val="24"/>
          <w:szCs w:val="24"/>
        </w:rPr>
      </w:pPr>
      <w:r>
        <w:rPr>
          <w:rFonts w:hint="eastAsia" w:asciiTheme="minorEastAsia" w:hAnsiTheme="minorEastAsia" w:cstheme="minorEastAsia"/>
          <w:color w:val="FF0000"/>
          <w:sz w:val="24"/>
          <w:szCs w:val="24"/>
        </w:rPr>
        <w:t>10.5 商务条款偏离表</w:t>
      </w:r>
    </w:p>
    <w:p>
      <w:pPr>
        <w:spacing w:line="400" w:lineRule="exact"/>
        <w:ind w:firstLine="480" w:firstLineChars="200"/>
        <w:rPr>
          <w:rFonts w:asciiTheme="minorEastAsia" w:hAnsiTheme="minorEastAsia" w:cstheme="minorEastAsia"/>
          <w:color w:val="FF0000"/>
          <w:sz w:val="24"/>
          <w:szCs w:val="24"/>
        </w:rPr>
      </w:pPr>
      <w:r>
        <w:rPr>
          <w:rFonts w:hint="eastAsia" w:asciiTheme="minorEastAsia" w:hAnsiTheme="minorEastAsia" w:cstheme="minorEastAsia"/>
          <w:color w:val="FF0000"/>
          <w:sz w:val="24"/>
          <w:szCs w:val="24"/>
        </w:rPr>
        <w:t>10.6 资格的声明函</w:t>
      </w:r>
    </w:p>
    <w:p>
      <w:pPr>
        <w:spacing w:line="400" w:lineRule="exact"/>
        <w:ind w:firstLine="480" w:firstLineChars="200"/>
        <w:rPr>
          <w:rFonts w:asciiTheme="minorEastAsia" w:hAnsiTheme="minorEastAsia" w:cstheme="minorEastAsia"/>
          <w:color w:val="FF0000"/>
          <w:sz w:val="24"/>
          <w:szCs w:val="24"/>
        </w:rPr>
      </w:pPr>
      <w:r>
        <w:rPr>
          <w:rFonts w:hint="eastAsia" w:asciiTheme="minorEastAsia" w:hAnsiTheme="minorEastAsia" w:cstheme="minorEastAsia"/>
          <w:color w:val="FF0000"/>
          <w:sz w:val="24"/>
          <w:szCs w:val="24"/>
        </w:rPr>
        <w:t>10.7法定代表人授权书</w:t>
      </w:r>
    </w:p>
    <w:p>
      <w:pPr>
        <w:spacing w:line="400" w:lineRule="exact"/>
        <w:ind w:firstLine="480" w:firstLineChars="200"/>
        <w:rPr>
          <w:rFonts w:asciiTheme="minorEastAsia" w:hAnsiTheme="minorEastAsia" w:cstheme="minorEastAsia"/>
          <w:color w:val="FF0000"/>
          <w:sz w:val="24"/>
          <w:szCs w:val="24"/>
        </w:rPr>
      </w:pPr>
      <w:r>
        <w:rPr>
          <w:rFonts w:hint="eastAsia" w:asciiTheme="minorEastAsia" w:hAnsiTheme="minorEastAsia" w:cstheme="minorEastAsia"/>
          <w:color w:val="FF0000"/>
          <w:sz w:val="24"/>
          <w:szCs w:val="24"/>
        </w:rPr>
        <w:t>10.8资质声明函</w:t>
      </w:r>
    </w:p>
    <w:p>
      <w:pPr>
        <w:spacing w:line="400" w:lineRule="exact"/>
        <w:ind w:firstLine="480" w:firstLineChars="200"/>
        <w:rPr>
          <w:rFonts w:asciiTheme="minorEastAsia" w:hAnsiTheme="minorEastAsia" w:cstheme="minorEastAsia"/>
          <w:color w:val="FF0000"/>
          <w:sz w:val="24"/>
          <w:szCs w:val="24"/>
        </w:rPr>
      </w:pPr>
      <w:r>
        <w:rPr>
          <w:rFonts w:hint="eastAsia" w:asciiTheme="minorEastAsia" w:hAnsiTheme="minorEastAsia" w:cstheme="minorEastAsia"/>
          <w:color w:val="FF0000"/>
          <w:sz w:val="24"/>
          <w:szCs w:val="24"/>
        </w:rPr>
        <w:t>10.9售后服务承诺及方案</w:t>
      </w:r>
    </w:p>
    <w:p>
      <w:pPr>
        <w:spacing w:line="400" w:lineRule="exact"/>
        <w:ind w:firstLine="480" w:firstLineChars="200"/>
        <w:rPr>
          <w:rFonts w:asciiTheme="minorEastAsia" w:hAnsiTheme="minorEastAsia" w:cstheme="minorEastAsia"/>
          <w:color w:val="FF0000"/>
          <w:sz w:val="24"/>
          <w:szCs w:val="24"/>
        </w:rPr>
      </w:pPr>
      <w:r>
        <w:rPr>
          <w:rFonts w:hint="eastAsia" w:asciiTheme="minorEastAsia" w:hAnsiTheme="minorEastAsia" w:cstheme="minorEastAsia"/>
          <w:color w:val="FF0000"/>
          <w:sz w:val="24"/>
          <w:szCs w:val="24"/>
        </w:rPr>
        <w:t>10.10中小企业声明函等</w:t>
      </w:r>
    </w:p>
    <w:p>
      <w:pPr>
        <w:spacing w:line="400" w:lineRule="exact"/>
        <w:ind w:firstLine="480" w:firstLineChars="200"/>
        <w:rPr>
          <w:rFonts w:asciiTheme="minorEastAsia" w:hAnsiTheme="minorEastAsia" w:cstheme="minorEastAsia"/>
          <w:color w:val="FF0000"/>
          <w:sz w:val="24"/>
          <w:szCs w:val="24"/>
        </w:rPr>
      </w:pPr>
      <w:r>
        <w:rPr>
          <w:rFonts w:hint="eastAsia" w:asciiTheme="minorEastAsia" w:hAnsiTheme="minorEastAsia" w:cstheme="minorEastAsia"/>
          <w:color w:val="FF0000"/>
          <w:sz w:val="24"/>
          <w:szCs w:val="24"/>
        </w:rPr>
        <w:t>10.11谈判响应供应商</w:t>
      </w:r>
      <w:r>
        <w:rPr>
          <w:rFonts w:hint="eastAsia" w:asciiTheme="minorEastAsia" w:hAnsiTheme="minorEastAsia" w:cstheme="minorEastAsia"/>
          <w:bCs/>
          <w:color w:val="FF0000"/>
          <w:sz w:val="24"/>
          <w:szCs w:val="24"/>
        </w:rPr>
        <w:t>提</w:t>
      </w:r>
      <w:r>
        <w:rPr>
          <w:rFonts w:hint="eastAsia" w:asciiTheme="minorEastAsia" w:hAnsiTheme="minorEastAsia" w:cstheme="minorEastAsia"/>
          <w:color w:val="FF0000"/>
          <w:sz w:val="24"/>
          <w:szCs w:val="24"/>
        </w:rPr>
        <w:t>交的其他资料</w:t>
      </w:r>
    </w:p>
    <w:p>
      <w:pPr>
        <w:pStyle w:val="10"/>
        <w:spacing w:line="400" w:lineRule="exact"/>
        <w:jc w:val="left"/>
        <w:rPr>
          <w:rFonts w:hAnsi="宋体"/>
          <w:b/>
          <w:sz w:val="24"/>
        </w:rPr>
      </w:pPr>
      <w:r>
        <w:rPr>
          <w:rFonts w:hAnsi="宋体"/>
          <w:b/>
          <w:sz w:val="24"/>
        </w:rPr>
        <w:t>1</w:t>
      </w:r>
      <w:r>
        <w:rPr>
          <w:rFonts w:hint="eastAsia" w:hAnsi="宋体"/>
          <w:b/>
          <w:sz w:val="24"/>
        </w:rPr>
        <w:t>1</w:t>
      </w:r>
      <w:r>
        <w:rPr>
          <w:rFonts w:hAnsi="宋体"/>
          <w:b/>
          <w:sz w:val="24"/>
        </w:rPr>
        <w:t>.</w:t>
      </w:r>
      <w:r>
        <w:rPr>
          <w:rFonts w:hint="eastAsia" w:hAnsi="宋体"/>
          <w:b/>
          <w:sz w:val="24"/>
        </w:rPr>
        <w:t>谈判响应</w:t>
      </w:r>
      <w:r>
        <w:rPr>
          <w:rFonts w:hAnsi="宋体"/>
          <w:b/>
          <w:sz w:val="24"/>
        </w:rPr>
        <w:t>有效期</w:t>
      </w:r>
    </w:p>
    <w:p>
      <w:pPr>
        <w:pStyle w:val="10"/>
        <w:spacing w:line="400" w:lineRule="exact"/>
        <w:ind w:firstLine="480" w:firstLineChars="200"/>
        <w:jc w:val="left"/>
        <w:rPr>
          <w:rFonts w:hAnsi="宋体"/>
          <w:sz w:val="24"/>
        </w:rPr>
      </w:pPr>
      <w:r>
        <w:rPr>
          <w:rFonts w:hint="eastAsia" w:hAnsi="宋体"/>
          <w:sz w:val="24"/>
        </w:rPr>
        <w:t>11.1响应文件从</w:t>
      </w:r>
      <w:r>
        <w:rPr>
          <w:rFonts w:hint="eastAsia" w:hAnsi="宋体"/>
          <w:bCs/>
          <w:sz w:val="24"/>
        </w:rPr>
        <w:t>谈判响应供应商须知前附表1</w:t>
      </w:r>
      <w:r>
        <w:rPr>
          <w:rFonts w:hint="eastAsia" w:hAnsi="宋体"/>
          <w:sz w:val="24"/>
        </w:rPr>
        <w:t>所规定的谈判响应截止期之日开始生效，在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10"/>
        <w:spacing w:line="400" w:lineRule="exact"/>
        <w:ind w:firstLine="480" w:firstLineChars="200"/>
        <w:jc w:val="left"/>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报价保证金可按规定予以退还。谈判响应供应商答复不明确或者逾期未答复的，均视为拒绝上述要求。对于接受该要求的谈判响应供应商，既不要求也不允许其修改响应文件，但将要求其相应延长报价保证金有效期，有关退还和不予退还报价保证金的规定在报价有效期延长期内继续有效。</w:t>
      </w:r>
      <w:r>
        <w:rPr>
          <w:sz w:val="24"/>
          <w:szCs w:val="24"/>
        </w:rPr>
        <w:t xml:space="preserve">  </w:t>
      </w:r>
      <w:r>
        <w:rPr>
          <w:rFonts w:hAnsi="宋体"/>
          <w:sz w:val="24"/>
        </w:rPr>
        <w:t xml:space="preserve">    </w:t>
      </w:r>
    </w:p>
    <w:p>
      <w:pPr>
        <w:pStyle w:val="10"/>
        <w:spacing w:line="400" w:lineRule="exact"/>
        <w:jc w:val="left"/>
        <w:rPr>
          <w:rFonts w:hAnsi="宋体"/>
          <w:b/>
          <w:sz w:val="24"/>
        </w:rPr>
      </w:pPr>
      <w:r>
        <w:rPr>
          <w:rFonts w:hAnsi="宋体"/>
          <w:b/>
          <w:sz w:val="24"/>
        </w:rPr>
        <w:t>1</w:t>
      </w:r>
      <w:r>
        <w:rPr>
          <w:rFonts w:hint="eastAsia" w:hAnsi="宋体"/>
          <w:b/>
          <w:sz w:val="24"/>
        </w:rPr>
        <w:t>2</w:t>
      </w:r>
      <w:r>
        <w:rPr>
          <w:rFonts w:hAnsi="宋体"/>
          <w:b/>
          <w:sz w:val="24"/>
        </w:rPr>
        <w:t>.</w:t>
      </w:r>
      <w:r>
        <w:rPr>
          <w:rFonts w:hint="eastAsia" w:hAnsi="宋体"/>
          <w:b/>
          <w:sz w:val="24"/>
        </w:rPr>
        <w:t>报价保证金及</w:t>
      </w:r>
      <w:r>
        <w:rPr>
          <w:rFonts w:hint="eastAsia" w:hAnsi="宋体"/>
          <w:color w:val="FF0000"/>
          <w:sz w:val="24"/>
        </w:rPr>
        <w:t>履约保证金</w:t>
      </w:r>
    </w:p>
    <w:p>
      <w:pPr>
        <w:pStyle w:val="10"/>
        <w:spacing w:line="400" w:lineRule="exact"/>
        <w:ind w:firstLine="480" w:firstLineChars="200"/>
        <w:jc w:val="left"/>
        <w:rPr>
          <w:rFonts w:hAnsi="宋体"/>
          <w:sz w:val="24"/>
        </w:rPr>
      </w:pPr>
      <w:r>
        <w:rPr>
          <w:rFonts w:hint="eastAsia" w:hAnsi="宋体"/>
          <w:sz w:val="24"/>
        </w:rPr>
        <w:t>12</w:t>
      </w:r>
      <w:r>
        <w:rPr>
          <w:rFonts w:hAnsi="宋体"/>
          <w:sz w:val="24"/>
        </w:rPr>
        <w:t xml:space="preserve">.1 </w:t>
      </w:r>
      <w:r>
        <w:rPr>
          <w:rFonts w:hint="eastAsia" w:hAnsi="宋体"/>
          <w:sz w:val="24"/>
        </w:rPr>
        <w:t>报价保证金</w:t>
      </w:r>
      <w:r>
        <w:rPr>
          <w:rFonts w:hAnsi="宋体"/>
          <w:sz w:val="24"/>
        </w:rPr>
        <w:t>为响应文件的组成部分之一</w:t>
      </w:r>
      <w:r>
        <w:rPr>
          <w:rFonts w:hint="eastAsia" w:asciiTheme="minorEastAsia" w:hAnsiTheme="minorEastAsia"/>
          <w:color w:val="000000" w:themeColor="text1"/>
          <w:sz w:val="24"/>
          <w14:textFill>
            <w14:solidFill>
              <w14:schemeClr w14:val="tx1"/>
            </w14:solidFill>
          </w14:textFill>
        </w:rPr>
        <w:t>，以电子报名系统交纳情况为准。</w:t>
      </w:r>
    </w:p>
    <w:p>
      <w:pPr>
        <w:spacing w:line="400" w:lineRule="exact"/>
        <w:ind w:firstLine="480"/>
        <w:rPr>
          <w:rFonts w:ascii="宋体" w:hAnsi="宋体"/>
          <w:sz w:val="24"/>
          <w:szCs w:val="24"/>
        </w:rPr>
      </w:pPr>
      <w:r>
        <w:rPr>
          <w:rFonts w:hint="eastAsia"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报价保证金。联合体谈判的，可以由联合体中的一方或者共同提交报价保证金，以一方名义提交报价保证金的，对联合体各方均具有约束力。</w:t>
      </w:r>
    </w:p>
    <w:p>
      <w:pPr>
        <w:pStyle w:val="10"/>
        <w:spacing w:line="400" w:lineRule="exact"/>
        <w:ind w:firstLine="480" w:firstLineChars="200"/>
        <w:jc w:val="left"/>
        <w:rPr>
          <w:rFonts w:hAnsi="宋体"/>
          <w:sz w:val="24"/>
        </w:rPr>
      </w:pPr>
      <w:r>
        <w:rPr>
          <w:rFonts w:hint="eastAsia" w:hAnsi="宋体"/>
          <w:sz w:val="24"/>
        </w:rPr>
        <w:t>12</w:t>
      </w:r>
      <w:r>
        <w:rPr>
          <w:rFonts w:hAnsi="宋体"/>
          <w:sz w:val="24"/>
        </w:rPr>
        <w:t xml:space="preserve">.3 </w:t>
      </w:r>
      <w:r>
        <w:rPr>
          <w:rFonts w:hint="eastAsia" w:hAnsi="宋体"/>
          <w:sz w:val="24"/>
        </w:rPr>
        <w:t>报价保证金</w:t>
      </w:r>
      <w:r>
        <w:rPr>
          <w:rFonts w:hAnsi="宋体"/>
          <w:sz w:val="24"/>
        </w:rPr>
        <w:t>用于保护本次谈判活动免受谈判响应供应商的行为而引起的风险。</w:t>
      </w:r>
    </w:p>
    <w:p>
      <w:pPr>
        <w:spacing w:line="400" w:lineRule="exact"/>
        <w:ind w:firstLine="480" w:firstLineChars="200"/>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报价保证金交纳方式及其它：</w:t>
      </w:r>
    </w:p>
    <w:p>
      <w:pPr>
        <w:spacing w:line="400" w:lineRule="exact"/>
        <w:ind w:firstLine="480" w:firstLineChars="200"/>
        <w:rPr>
          <w:rFonts w:ascii="宋体" w:hAnsi="宋体"/>
          <w:sz w:val="24"/>
        </w:rPr>
      </w:pPr>
      <w:r>
        <w:rPr>
          <w:rFonts w:hint="eastAsia" w:ascii="宋体" w:hAnsi="宋体"/>
          <w:sz w:val="24"/>
        </w:rPr>
        <w:t>12.4.1报价保证金应当采用</w:t>
      </w:r>
      <w:r>
        <w:rPr>
          <w:rFonts w:hint="eastAsia" w:ascii="宋体" w:hAnsi="宋体"/>
          <w:color w:val="FF0000"/>
          <w:sz w:val="24"/>
        </w:rPr>
        <w:t>转账、网上银行支付</w:t>
      </w:r>
      <w:r>
        <w:rPr>
          <w:rFonts w:hint="eastAsia" w:ascii="宋体" w:hAnsi="宋体"/>
          <w:sz w:val="24"/>
        </w:rPr>
        <w:t>等非现金形式交纳。</w:t>
      </w:r>
    </w:p>
    <w:p>
      <w:pPr>
        <w:pStyle w:val="10"/>
        <w:spacing w:line="400" w:lineRule="exact"/>
        <w:ind w:firstLine="480" w:firstLineChars="200"/>
        <w:jc w:val="left"/>
        <w:rPr>
          <w:rFonts w:hAnsi="宋体"/>
          <w:sz w:val="24"/>
        </w:rPr>
      </w:pPr>
      <w:r>
        <w:rPr>
          <w:rFonts w:hint="eastAsia" w:hAnsi="宋体"/>
          <w:sz w:val="24"/>
        </w:rPr>
        <w:t>12.4.2若项目存在分包的，则报价保证金应按不同的合同包号分别提交。</w:t>
      </w:r>
    </w:p>
    <w:p>
      <w:pPr>
        <w:pStyle w:val="10"/>
        <w:spacing w:line="400" w:lineRule="exact"/>
        <w:ind w:firstLine="480" w:firstLineChars="200"/>
        <w:jc w:val="left"/>
        <w:rPr>
          <w:rFonts w:hAnsi="宋体"/>
          <w:sz w:val="24"/>
        </w:rPr>
      </w:pPr>
      <w:r>
        <w:rPr>
          <w:rFonts w:hAnsi="宋体"/>
          <w:sz w:val="24"/>
        </w:rPr>
        <w:t>1</w:t>
      </w:r>
      <w:r>
        <w:rPr>
          <w:rFonts w:hint="eastAsia" w:hAnsi="宋体"/>
          <w:sz w:val="24"/>
        </w:rPr>
        <w:t>2</w:t>
      </w:r>
      <w:r>
        <w:rPr>
          <w:rFonts w:hAnsi="宋体"/>
          <w:sz w:val="24"/>
        </w:rPr>
        <w:t>.5 未按</w:t>
      </w:r>
      <w:r>
        <w:rPr>
          <w:rFonts w:hint="eastAsia" w:hAnsi="宋体"/>
          <w:sz w:val="24"/>
        </w:rPr>
        <w:t>要求</w:t>
      </w:r>
      <w:r>
        <w:rPr>
          <w:rFonts w:hAnsi="宋体"/>
          <w:sz w:val="24"/>
        </w:rPr>
        <w:t>提交</w:t>
      </w:r>
      <w:r>
        <w:rPr>
          <w:rFonts w:hint="eastAsia" w:hAnsi="宋体"/>
          <w:sz w:val="24"/>
        </w:rPr>
        <w:t>报价保证金</w:t>
      </w:r>
      <w:r>
        <w:rPr>
          <w:rFonts w:hAnsi="宋体"/>
          <w:sz w:val="24"/>
        </w:rPr>
        <w:t>的</w:t>
      </w:r>
      <w:r>
        <w:rPr>
          <w:rFonts w:hint="eastAsia" w:hAnsi="宋体"/>
          <w:sz w:val="24"/>
        </w:rPr>
        <w:t>谈判响应</w:t>
      </w:r>
      <w:r>
        <w:rPr>
          <w:rFonts w:hAnsi="宋体"/>
          <w:sz w:val="24"/>
        </w:rPr>
        <w:t>，将被视为无效</w:t>
      </w:r>
      <w:r>
        <w:rPr>
          <w:rFonts w:hint="eastAsia" w:hAnsi="宋体"/>
          <w:sz w:val="24"/>
        </w:rPr>
        <w:t>响应</w:t>
      </w:r>
      <w:r>
        <w:rPr>
          <w:rFonts w:hAnsi="宋体"/>
          <w:sz w:val="24"/>
        </w:rPr>
        <w:t>。</w:t>
      </w:r>
    </w:p>
    <w:p>
      <w:pPr>
        <w:pStyle w:val="10"/>
        <w:spacing w:line="400" w:lineRule="exact"/>
        <w:ind w:firstLine="480" w:firstLineChars="200"/>
        <w:jc w:val="left"/>
        <w:rPr>
          <w:rFonts w:hAnsi="宋体"/>
          <w:color w:val="FF0000"/>
          <w:sz w:val="24"/>
        </w:rPr>
      </w:pPr>
      <w:r>
        <w:rPr>
          <w:rFonts w:hAnsi="宋体"/>
          <w:color w:val="FF0000"/>
          <w:sz w:val="24"/>
        </w:rPr>
        <w:t>1</w:t>
      </w:r>
      <w:r>
        <w:rPr>
          <w:rFonts w:hint="eastAsia" w:hAnsi="宋体"/>
          <w:color w:val="FF0000"/>
          <w:sz w:val="24"/>
        </w:rPr>
        <w:t>2</w:t>
      </w:r>
      <w:r>
        <w:rPr>
          <w:rFonts w:hAnsi="宋体"/>
          <w:color w:val="FF0000"/>
          <w:sz w:val="24"/>
        </w:rPr>
        <w:t xml:space="preserve">.6 </w:t>
      </w:r>
      <w:r>
        <w:rPr>
          <w:rFonts w:hint="eastAsia" w:hAnsi="宋体"/>
          <w:color w:val="FF0000"/>
          <w:sz w:val="24"/>
        </w:rPr>
        <w:t>招标代理机构应在中标通知书发出之日起2个工作日内，退还未中标人的投标保证金及银行同期利息。</w:t>
      </w:r>
    </w:p>
    <w:p>
      <w:pPr>
        <w:pStyle w:val="10"/>
        <w:spacing w:line="400" w:lineRule="exact"/>
        <w:ind w:firstLine="480" w:firstLineChars="200"/>
        <w:jc w:val="left"/>
        <w:rPr>
          <w:rFonts w:hAnsi="宋体"/>
          <w:color w:val="FF0000"/>
          <w:sz w:val="24"/>
        </w:rPr>
      </w:pPr>
      <w:r>
        <w:rPr>
          <w:rFonts w:hAnsi="宋体"/>
          <w:color w:val="FF0000"/>
          <w:sz w:val="24"/>
        </w:rPr>
        <w:t>1</w:t>
      </w:r>
      <w:r>
        <w:rPr>
          <w:rFonts w:hint="eastAsia" w:hAnsi="宋体"/>
          <w:color w:val="FF0000"/>
          <w:sz w:val="24"/>
        </w:rPr>
        <w:t>2</w:t>
      </w:r>
      <w:r>
        <w:rPr>
          <w:rFonts w:hAnsi="宋体"/>
          <w:color w:val="FF0000"/>
          <w:sz w:val="24"/>
        </w:rPr>
        <w:t>.7</w:t>
      </w:r>
      <w:r>
        <w:rPr>
          <w:rFonts w:hint="eastAsia" w:hAnsi="宋体"/>
          <w:color w:val="FF0000"/>
          <w:sz w:val="24"/>
        </w:rPr>
        <w:t>招标代理机构应在合同公示提交之日起2个工作日内，退还中标人的投标保证金及银行同期利息。</w:t>
      </w:r>
    </w:p>
    <w:p>
      <w:pPr>
        <w:pStyle w:val="10"/>
        <w:spacing w:line="400" w:lineRule="exact"/>
        <w:ind w:firstLine="480" w:firstLineChars="200"/>
        <w:jc w:val="left"/>
        <w:rPr>
          <w:rFonts w:hAnsi="宋体"/>
          <w:sz w:val="24"/>
        </w:rPr>
      </w:pPr>
      <w:r>
        <w:rPr>
          <w:rFonts w:hint="eastAsia" w:hAnsi="宋体"/>
          <w:sz w:val="24"/>
        </w:rPr>
        <w:t>12.8</w:t>
      </w:r>
      <w:r>
        <w:rPr>
          <w:rFonts w:hAnsi="宋体"/>
          <w:sz w:val="24"/>
        </w:rPr>
        <w:t xml:space="preserve"> 发生以下情况</w:t>
      </w:r>
      <w:r>
        <w:rPr>
          <w:rFonts w:hint="eastAsia" w:hAnsi="宋体"/>
          <w:sz w:val="24"/>
        </w:rPr>
        <w:t>之一的，报价保证金</w:t>
      </w:r>
      <w:r>
        <w:rPr>
          <w:rFonts w:hAnsi="宋体"/>
          <w:sz w:val="24"/>
        </w:rPr>
        <w:t>将</w:t>
      </w:r>
      <w:r>
        <w:rPr>
          <w:rFonts w:hint="eastAsia" w:hAnsi="宋体"/>
          <w:sz w:val="24"/>
        </w:rPr>
        <w:t>不予退还，由</w:t>
      </w:r>
      <w:r>
        <w:rPr>
          <w:rFonts w:hint="eastAsia" w:hAnsi="宋体"/>
          <w:color w:val="FF0000"/>
          <w:sz w:val="24"/>
        </w:rPr>
        <w:t>交易中心</w:t>
      </w:r>
      <w:r>
        <w:rPr>
          <w:rFonts w:hint="eastAsia" w:hAnsi="宋体"/>
          <w:sz w:val="24"/>
        </w:rPr>
        <w:t>上缴财政部门：</w:t>
      </w:r>
    </w:p>
    <w:p>
      <w:pPr>
        <w:pStyle w:val="10"/>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（1）谈判响应供应商</w:t>
      </w:r>
      <w:r>
        <w:rPr>
          <w:rFonts w:hint="eastAsia" w:hAnsi="宋体"/>
          <w:sz w:val="24"/>
        </w:rPr>
        <w:t>提交最后报价后，</w:t>
      </w:r>
      <w:r>
        <w:rPr>
          <w:rFonts w:hAnsi="宋体"/>
          <w:sz w:val="24"/>
        </w:rPr>
        <w:t>撤回</w:t>
      </w:r>
      <w:r>
        <w:rPr>
          <w:rFonts w:hint="eastAsia" w:hAnsi="宋体"/>
          <w:sz w:val="24"/>
        </w:rPr>
        <w:t>谈判响应</w:t>
      </w:r>
      <w:r>
        <w:rPr>
          <w:rFonts w:hAnsi="宋体"/>
          <w:sz w:val="24"/>
        </w:rPr>
        <w:t>；</w:t>
      </w:r>
    </w:p>
    <w:p>
      <w:pPr>
        <w:pStyle w:val="10"/>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（2）</w:t>
      </w:r>
      <w:r>
        <w:rPr>
          <w:rFonts w:hint="eastAsia" w:hAnsi="宋体"/>
          <w:sz w:val="24"/>
        </w:rPr>
        <w:t>除因不可抗力或谈判文件认可的情形外，</w:t>
      </w:r>
      <w:r>
        <w:rPr>
          <w:rFonts w:hAnsi="宋体"/>
          <w:sz w:val="24"/>
        </w:rPr>
        <w:t>成交供应商未能做到按本须知规定签订合同</w:t>
      </w:r>
      <w:r>
        <w:rPr>
          <w:rFonts w:hint="eastAsia" w:hAnsi="宋体"/>
          <w:sz w:val="24"/>
        </w:rPr>
        <w:t>的</w:t>
      </w:r>
      <w:r>
        <w:rPr>
          <w:rFonts w:hAnsi="宋体"/>
          <w:sz w:val="24"/>
        </w:rPr>
        <w:t>；</w:t>
      </w:r>
    </w:p>
    <w:p>
      <w:pPr>
        <w:pStyle w:val="10"/>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（3）</w:t>
      </w:r>
      <w:r>
        <w:rPr>
          <w:rFonts w:hint="eastAsia" w:hAnsi="宋体"/>
          <w:sz w:val="24"/>
        </w:rPr>
        <w:t>以他人名义参与谈判响应或者以其他方式弄虚作假，骗取成交的；</w:t>
      </w:r>
    </w:p>
    <w:p>
      <w:pPr>
        <w:pStyle w:val="10"/>
        <w:spacing w:line="400" w:lineRule="exact"/>
        <w:jc w:val="left"/>
        <w:rPr>
          <w:rFonts w:hAnsi="宋体"/>
          <w:sz w:val="24"/>
        </w:rPr>
      </w:pPr>
      <w:r>
        <w:rPr>
          <w:rFonts w:hint="eastAsia" w:hAnsi="宋体"/>
          <w:sz w:val="24"/>
        </w:rPr>
        <w:t xml:space="preserve">   （4）谈判响应供应商在响应文件中提供虚假材料的；</w:t>
      </w:r>
    </w:p>
    <w:p>
      <w:pPr>
        <w:pStyle w:val="10"/>
        <w:spacing w:line="400" w:lineRule="exact"/>
        <w:ind w:firstLine="360" w:firstLineChars="150"/>
        <w:jc w:val="left"/>
        <w:rPr>
          <w:rFonts w:hAnsi="宋体"/>
          <w:sz w:val="24"/>
        </w:rPr>
      </w:pPr>
      <w:r>
        <w:rPr>
          <w:rFonts w:hint="eastAsia" w:hAnsi="宋体"/>
          <w:sz w:val="24"/>
        </w:rPr>
        <w:t>（5）在禁止参加政府采购活动的处罚期内，仍参加政府采购活动的；</w:t>
      </w:r>
    </w:p>
    <w:p>
      <w:pPr>
        <w:pStyle w:val="10"/>
        <w:spacing w:line="400" w:lineRule="exact"/>
        <w:ind w:firstLine="360" w:firstLineChars="150"/>
        <w:jc w:val="left"/>
        <w:rPr>
          <w:rFonts w:hAnsi="宋体"/>
          <w:sz w:val="24"/>
        </w:rPr>
      </w:pPr>
      <w:r>
        <w:rPr>
          <w:rFonts w:hint="eastAsia" w:hAnsi="宋体"/>
          <w:sz w:val="24"/>
        </w:rPr>
        <w:t>（6）以不正当手段诋毁、排挤其他供应商的；</w:t>
      </w:r>
    </w:p>
    <w:p>
      <w:pPr>
        <w:pStyle w:val="10"/>
        <w:spacing w:line="400" w:lineRule="exact"/>
        <w:ind w:firstLine="360" w:firstLineChars="150"/>
        <w:jc w:val="left"/>
        <w:rPr>
          <w:rFonts w:hAnsi="宋体"/>
          <w:sz w:val="24"/>
        </w:rPr>
      </w:pPr>
      <w:r>
        <w:rPr>
          <w:rFonts w:hint="eastAsia" w:hAnsi="宋体"/>
          <w:sz w:val="24"/>
        </w:rPr>
        <w:t>（7）因本项目政府采购过程中的违法行为，受到行政处罚的；</w:t>
      </w:r>
    </w:p>
    <w:p>
      <w:pPr>
        <w:pStyle w:val="10"/>
        <w:spacing w:line="400" w:lineRule="exact"/>
        <w:ind w:firstLine="360" w:firstLineChars="150"/>
        <w:jc w:val="left"/>
        <w:rPr>
          <w:rFonts w:hAnsi="宋体"/>
          <w:sz w:val="24"/>
        </w:rPr>
      </w:pPr>
      <w:r>
        <w:rPr>
          <w:rFonts w:hint="eastAsia" w:hAnsi="宋体"/>
          <w:sz w:val="24"/>
        </w:rPr>
        <w:t>（8）与采购人、其他供应商或者采购代理机构恶意串通的；</w:t>
      </w:r>
    </w:p>
    <w:p>
      <w:pPr>
        <w:pStyle w:val="10"/>
        <w:spacing w:line="400" w:lineRule="exact"/>
        <w:ind w:firstLine="360" w:firstLineChars="150"/>
        <w:jc w:val="left"/>
        <w:rPr>
          <w:rFonts w:hAnsi="宋体"/>
          <w:color w:val="FF0000"/>
          <w:sz w:val="24"/>
        </w:rPr>
      </w:pPr>
      <w:r>
        <w:rPr>
          <w:rFonts w:hint="eastAsia" w:hAnsi="宋体"/>
          <w:color w:val="FF0000"/>
          <w:sz w:val="24"/>
        </w:rPr>
        <w:t>（9）无故不参与开标会的；</w:t>
      </w:r>
    </w:p>
    <w:p>
      <w:pPr>
        <w:pStyle w:val="10"/>
        <w:spacing w:line="400" w:lineRule="exact"/>
        <w:ind w:firstLine="360" w:firstLineChars="150"/>
        <w:rPr>
          <w:rFonts w:hAnsi="宋体"/>
          <w:sz w:val="24"/>
        </w:rPr>
      </w:pPr>
      <w:r>
        <w:rPr>
          <w:rFonts w:hint="eastAsia" w:hAnsi="宋体"/>
          <w:sz w:val="24"/>
        </w:rPr>
        <w:t>（10）法律、法规、规章及本谈判文件中规定的其他没收报价保证金的情形。</w:t>
      </w:r>
    </w:p>
    <w:p>
      <w:pPr>
        <w:pStyle w:val="10"/>
        <w:spacing w:line="400" w:lineRule="exact"/>
        <w:rPr>
          <w:rFonts w:hAnsi="宋体"/>
          <w:sz w:val="24"/>
        </w:rPr>
      </w:pPr>
      <w:r>
        <w:rPr>
          <w:rFonts w:hint="eastAsia" w:hAnsi="宋体"/>
          <w:sz w:val="24"/>
        </w:rPr>
        <w:t>上述不予退还报价保证金的情形给采购单位造成损失的，相关责任人还应当承担赔偿责任。</w:t>
      </w:r>
    </w:p>
    <w:p>
      <w:pPr>
        <w:tabs>
          <w:tab w:val="left" w:pos="0"/>
          <w:tab w:val="left" w:pos="1080"/>
        </w:tabs>
        <w:spacing w:line="520" w:lineRule="exact"/>
        <w:ind w:left="420"/>
        <w:rPr>
          <w:rStyle w:val="38"/>
          <w:rFonts w:ascii="宋体" w:hAnsi="宋体"/>
          <w:sz w:val="24"/>
          <w:szCs w:val="24"/>
        </w:rPr>
      </w:pPr>
      <w:r>
        <w:rPr>
          <w:rFonts w:hint="eastAsia" w:hAnsi="宋体"/>
          <w:sz w:val="24"/>
        </w:rPr>
        <w:t>12.9</w:t>
      </w:r>
      <w:r>
        <w:rPr>
          <w:rStyle w:val="38"/>
          <w:rFonts w:hint="eastAsia" w:ascii="宋体" w:hAnsi="宋体"/>
          <w:sz w:val="24"/>
          <w:szCs w:val="24"/>
        </w:rPr>
        <w:t>保证金缴纳流程如下：</w:t>
      </w:r>
    </w:p>
    <w:p>
      <w:pPr>
        <w:tabs>
          <w:tab w:val="left" w:pos="0"/>
          <w:tab w:val="left" w:pos="1080"/>
        </w:tabs>
        <w:spacing w:line="520" w:lineRule="exact"/>
        <w:ind w:left="420"/>
        <w:rPr>
          <w:rStyle w:val="38"/>
          <w:rFonts w:ascii="宋体" w:hAnsi="宋体"/>
          <w:sz w:val="24"/>
          <w:szCs w:val="24"/>
        </w:rPr>
      </w:pPr>
      <w:r>
        <w:rPr>
          <w:rStyle w:val="38"/>
          <w:rFonts w:hint="eastAsia" w:ascii="宋体" w:hAnsi="宋体"/>
          <w:sz w:val="24"/>
          <w:szCs w:val="24"/>
        </w:rPr>
        <w:t>1.线上报名获取缴纳随机码</w:t>
      </w:r>
    </w:p>
    <w:p>
      <w:pPr>
        <w:tabs>
          <w:tab w:val="left" w:pos="0"/>
          <w:tab w:val="left" w:pos="1080"/>
        </w:tabs>
        <w:spacing w:line="520" w:lineRule="exact"/>
        <w:ind w:left="420"/>
        <w:rPr>
          <w:rStyle w:val="38"/>
          <w:rFonts w:ascii="宋体" w:hAnsi="宋体"/>
          <w:sz w:val="24"/>
          <w:szCs w:val="24"/>
        </w:rPr>
      </w:pPr>
      <w:r>
        <w:rPr>
          <w:rStyle w:val="38"/>
          <w:rFonts w:hint="eastAsia" w:ascii="宋体" w:hAnsi="宋体"/>
          <w:sz w:val="24"/>
          <w:szCs w:val="24"/>
        </w:rPr>
        <w:t>·登录公共资源电子交易系统（http://jyzx.trs.gov.cn/TPFront_TR/index.htm）</w:t>
      </w:r>
    </w:p>
    <w:p>
      <w:pPr>
        <w:tabs>
          <w:tab w:val="left" w:pos="0"/>
          <w:tab w:val="left" w:pos="1080"/>
        </w:tabs>
        <w:spacing w:line="520" w:lineRule="exact"/>
        <w:ind w:left="420"/>
        <w:rPr>
          <w:rStyle w:val="38"/>
          <w:rFonts w:ascii="宋体" w:hAnsi="宋体"/>
          <w:sz w:val="24"/>
          <w:szCs w:val="24"/>
        </w:rPr>
      </w:pPr>
      <w:r>
        <w:rPr>
          <w:rStyle w:val="38"/>
          <w:rFonts w:hint="eastAsia" w:ascii="宋体" w:hAnsi="宋体"/>
          <w:sz w:val="24"/>
          <w:szCs w:val="24"/>
        </w:rPr>
        <w:t>·进入【业务管理】-【填写投标信息】 搜索或直接找到拟报名项目，点【操作】按钮，进入该项目报名页面。</w:t>
      </w:r>
    </w:p>
    <w:p>
      <w:pPr>
        <w:tabs>
          <w:tab w:val="left" w:pos="0"/>
          <w:tab w:val="left" w:pos="1080"/>
        </w:tabs>
        <w:spacing w:line="520" w:lineRule="exact"/>
        <w:ind w:left="420"/>
        <w:rPr>
          <w:rStyle w:val="38"/>
          <w:rFonts w:ascii="宋体" w:hAnsi="宋体"/>
          <w:sz w:val="24"/>
          <w:szCs w:val="24"/>
        </w:rPr>
      </w:pPr>
      <w:r>
        <w:rPr>
          <w:rStyle w:val="38"/>
          <w:rFonts w:hint="eastAsia" w:ascii="宋体" w:hAnsi="宋体"/>
          <w:sz w:val="24"/>
          <w:szCs w:val="24"/>
        </w:rPr>
        <w:t>·进入报名页面 填写完报名信息后（带*号为必填项），点左上角【保存修改】按钮。</w:t>
      </w:r>
    </w:p>
    <w:p>
      <w:pPr>
        <w:tabs>
          <w:tab w:val="left" w:pos="0"/>
          <w:tab w:val="left" w:pos="1080"/>
        </w:tabs>
        <w:spacing w:line="520" w:lineRule="exact"/>
        <w:ind w:left="420"/>
        <w:rPr>
          <w:rStyle w:val="38"/>
          <w:rFonts w:ascii="宋体" w:hAnsi="宋体"/>
          <w:sz w:val="24"/>
          <w:szCs w:val="24"/>
        </w:rPr>
      </w:pPr>
      <w:r>
        <w:rPr>
          <w:rStyle w:val="38"/>
          <w:rFonts w:hint="eastAsia" w:ascii="宋体" w:hAnsi="宋体"/>
          <w:sz w:val="24"/>
          <w:szCs w:val="24"/>
        </w:rPr>
        <w:t>· 报名成功后 在该页面会生成【保证金缴纳随机码】，务必记录留存备用。该随机码一旦生成，即使修改报名信息，也不可更改。</w:t>
      </w:r>
    </w:p>
    <w:p>
      <w:pPr>
        <w:tabs>
          <w:tab w:val="left" w:pos="0"/>
          <w:tab w:val="left" w:pos="1080"/>
        </w:tabs>
        <w:spacing w:line="520" w:lineRule="exact"/>
        <w:ind w:left="420"/>
        <w:rPr>
          <w:rStyle w:val="38"/>
          <w:rFonts w:ascii="宋体" w:hAnsi="宋体"/>
          <w:sz w:val="24"/>
          <w:szCs w:val="24"/>
        </w:rPr>
      </w:pPr>
      <w:r>
        <w:rPr>
          <w:rStyle w:val="38"/>
          <w:rFonts w:hint="eastAsia" w:ascii="宋体" w:hAnsi="宋体"/>
          <w:sz w:val="24"/>
          <w:szCs w:val="24"/>
        </w:rPr>
        <w:t>2.缴纳保证金</w:t>
      </w:r>
    </w:p>
    <w:p>
      <w:pPr>
        <w:tabs>
          <w:tab w:val="left" w:pos="0"/>
          <w:tab w:val="left" w:pos="1080"/>
        </w:tabs>
        <w:spacing w:line="520" w:lineRule="exact"/>
        <w:ind w:left="420"/>
        <w:rPr>
          <w:rStyle w:val="38"/>
          <w:rFonts w:ascii="宋体" w:hAnsi="宋体"/>
          <w:sz w:val="24"/>
          <w:szCs w:val="24"/>
        </w:rPr>
      </w:pPr>
      <w:r>
        <w:rPr>
          <w:rStyle w:val="38"/>
          <w:rFonts w:hint="eastAsia" w:ascii="宋体" w:hAnsi="宋体"/>
          <w:sz w:val="24"/>
          <w:szCs w:val="24"/>
        </w:rPr>
        <w:t>·按照招标文件要求将报价保证金缴纳到交易中心保证金账户，打款账户必须与交易系统中登记的账户信息一致（要求从登记的基本户打款），即与【诚信库管理】-【基本信息】中的 基本户开户银行、基本户开户账号、基本账户名称保持一致。</w:t>
      </w:r>
    </w:p>
    <w:p>
      <w:pPr>
        <w:tabs>
          <w:tab w:val="left" w:pos="0"/>
          <w:tab w:val="left" w:pos="1080"/>
        </w:tabs>
        <w:spacing w:line="520" w:lineRule="exact"/>
        <w:ind w:left="420"/>
        <w:rPr>
          <w:rStyle w:val="38"/>
          <w:rFonts w:ascii="宋体" w:hAnsi="宋体"/>
          <w:sz w:val="24"/>
          <w:szCs w:val="24"/>
        </w:rPr>
      </w:pPr>
      <w:r>
        <w:rPr>
          <w:rStyle w:val="38"/>
          <w:rFonts w:hint="eastAsia" w:ascii="宋体" w:hAnsi="宋体"/>
          <w:sz w:val="24"/>
          <w:szCs w:val="24"/>
        </w:rPr>
        <w:t>·不论何种渠道转款（不可用现金转账），转款备注（用途）栏唯一必填报名时生成获取的【保证金缴纳随机码】；</w:t>
      </w:r>
    </w:p>
    <w:p>
      <w:pPr>
        <w:tabs>
          <w:tab w:val="left" w:pos="0"/>
          <w:tab w:val="left" w:pos="1080"/>
        </w:tabs>
        <w:spacing w:line="520" w:lineRule="exact"/>
        <w:ind w:left="420"/>
        <w:rPr>
          <w:rStyle w:val="38"/>
          <w:rFonts w:ascii="宋体" w:hAnsi="宋体"/>
          <w:sz w:val="24"/>
          <w:szCs w:val="24"/>
        </w:rPr>
      </w:pPr>
      <w:r>
        <w:rPr>
          <w:rStyle w:val="38"/>
          <w:rFonts w:hint="eastAsia" w:ascii="宋体" w:hAnsi="宋体"/>
          <w:sz w:val="24"/>
          <w:szCs w:val="24"/>
        </w:rPr>
        <w:t>·打款账户信息与中心注册不一致、备注栏为空、书写其他（XX项目保证金之类）、随机码填写错误，均会造成保证金无法匹配进交易系统。</w:t>
      </w:r>
    </w:p>
    <w:p>
      <w:pPr>
        <w:tabs>
          <w:tab w:val="left" w:pos="0"/>
          <w:tab w:val="left" w:pos="1080"/>
        </w:tabs>
        <w:spacing w:line="520" w:lineRule="exact"/>
        <w:ind w:left="420"/>
        <w:rPr>
          <w:rStyle w:val="38"/>
          <w:rFonts w:ascii="宋体" w:hAnsi="宋体"/>
          <w:sz w:val="24"/>
          <w:szCs w:val="24"/>
        </w:rPr>
      </w:pPr>
      <w:r>
        <w:rPr>
          <w:rStyle w:val="38"/>
          <w:rFonts w:hint="eastAsia" w:ascii="宋体" w:hAnsi="宋体"/>
          <w:sz w:val="24"/>
          <w:szCs w:val="24"/>
        </w:rPr>
        <w:t>3.打印回执</w:t>
      </w:r>
    </w:p>
    <w:p>
      <w:pPr>
        <w:tabs>
          <w:tab w:val="left" w:pos="0"/>
          <w:tab w:val="left" w:pos="1080"/>
        </w:tabs>
        <w:spacing w:line="520" w:lineRule="exact"/>
        <w:ind w:left="420"/>
        <w:rPr>
          <w:rStyle w:val="38"/>
          <w:rFonts w:ascii="宋体" w:hAnsi="宋体"/>
          <w:sz w:val="24"/>
          <w:szCs w:val="24"/>
        </w:rPr>
      </w:pPr>
      <w:r>
        <w:rPr>
          <w:rStyle w:val="38"/>
          <w:rFonts w:hint="eastAsia" w:ascii="宋体" w:hAnsi="宋体"/>
          <w:sz w:val="24"/>
          <w:szCs w:val="24"/>
        </w:rPr>
        <w:t>·进入【业务管理】-【查询报价保证金缴纳情况】 搜索或直接找到项目，查看【缴纳状态】，如支付成功，将显示“已缴纳保证金”  。</w:t>
      </w:r>
    </w:p>
    <w:p>
      <w:pPr>
        <w:tabs>
          <w:tab w:val="left" w:pos="0"/>
          <w:tab w:val="left" w:pos="1080"/>
        </w:tabs>
        <w:spacing w:line="520" w:lineRule="exact"/>
        <w:ind w:left="420"/>
        <w:rPr>
          <w:rStyle w:val="38"/>
          <w:rFonts w:ascii="宋体" w:hAnsi="宋体"/>
          <w:sz w:val="24"/>
          <w:szCs w:val="24"/>
        </w:rPr>
      </w:pPr>
      <w:r>
        <w:rPr>
          <w:rStyle w:val="38"/>
          <w:rFonts w:hint="eastAsia" w:ascii="宋体" w:hAnsi="宋体"/>
          <w:sz w:val="24"/>
          <w:szCs w:val="24"/>
        </w:rPr>
        <w:t>·点【打印保证金回执单】按钮，查看确认到账回执信息，打印留存备用。</w:t>
      </w:r>
    </w:p>
    <w:p>
      <w:pPr>
        <w:pStyle w:val="10"/>
        <w:spacing w:line="360" w:lineRule="auto"/>
        <w:ind w:firstLine="480" w:firstLineChars="200"/>
        <w:jc w:val="left"/>
        <w:rPr>
          <w:rFonts w:hAnsi="宋体"/>
          <w:color w:val="FF0000"/>
          <w:sz w:val="24"/>
        </w:rPr>
      </w:pPr>
      <w:r>
        <w:rPr>
          <w:rFonts w:hint="eastAsia" w:hAnsi="宋体"/>
          <w:color w:val="FF0000"/>
          <w:sz w:val="24"/>
        </w:rPr>
        <w:t>12.10 履约保证金缴退</w:t>
      </w:r>
    </w:p>
    <w:p>
      <w:pPr>
        <w:pStyle w:val="10"/>
        <w:spacing w:line="360" w:lineRule="auto"/>
        <w:ind w:firstLine="480" w:firstLineChars="200"/>
        <w:jc w:val="left"/>
        <w:rPr>
          <w:rFonts w:hAnsi="宋体"/>
          <w:color w:val="FF0000"/>
          <w:sz w:val="24"/>
        </w:rPr>
      </w:pPr>
      <w:r>
        <w:rPr>
          <w:rFonts w:hint="eastAsia" w:hAnsi="宋体"/>
          <w:color w:val="FF0000"/>
          <w:sz w:val="24"/>
        </w:rPr>
        <w:t>12.10.1履约保证金缴纳，由中标供应商在合同签订时以转账、汇款、现金（自然人）等形式向采购人提交。其具体金额由中标供应商和采购人商定，但数额不得超过政府采购合同的10℅。</w:t>
      </w:r>
    </w:p>
    <w:p>
      <w:pPr>
        <w:pStyle w:val="10"/>
        <w:spacing w:line="360" w:lineRule="auto"/>
        <w:ind w:firstLine="480" w:firstLineChars="200"/>
        <w:jc w:val="left"/>
        <w:rPr>
          <w:rFonts w:hAnsi="宋体"/>
          <w:color w:val="FF0000"/>
          <w:sz w:val="24"/>
        </w:rPr>
      </w:pPr>
      <w:r>
        <w:rPr>
          <w:rFonts w:hint="eastAsia" w:hAnsi="宋体"/>
          <w:color w:val="FF0000"/>
          <w:sz w:val="24"/>
        </w:rPr>
        <w:t>12.10.2 履约保证金退取,中标供应商按合同约定完成货物供货和相关服务，经验收合格且备案后，5个工作日内予以无利息退还。如未能按照合同约定按时完成供货和服务的，履约保证金将不予退还。</w:t>
      </w:r>
    </w:p>
    <w:p>
      <w:pPr>
        <w:pStyle w:val="10"/>
        <w:spacing w:line="440" w:lineRule="exact"/>
        <w:jc w:val="left"/>
        <w:rPr>
          <w:rFonts w:hAnsi="宋体"/>
          <w:b/>
          <w:sz w:val="24"/>
        </w:rPr>
      </w:pPr>
      <w:r>
        <w:rPr>
          <w:rFonts w:hint="eastAsia" w:hAnsi="宋体"/>
          <w:b/>
          <w:sz w:val="24"/>
        </w:rPr>
        <w:t>13</w:t>
      </w:r>
      <w:r>
        <w:rPr>
          <w:rFonts w:hAnsi="宋体"/>
          <w:b/>
          <w:sz w:val="24"/>
        </w:rPr>
        <w:t>.</w:t>
      </w:r>
      <w:r>
        <w:rPr>
          <w:rFonts w:hint="eastAsia" w:hAnsi="宋体"/>
          <w:b/>
          <w:sz w:val="24"/>
        </w:rPr>
        <w:t>谈判响应文件的格式</w:t>
      </w:r>
    </w:p>
    <w:p>
      <w:pPr>
        <w:pStyle w:val="10"/>
        <w:spacing w:line="440" w:lineRule="exact"/>
        <w:ind w:firstLine="480" w:firstLineChars="200"/>
        <w:jc w:val="left"/>
        <w:rPr>
          <w:rFonts w:hAnsi="宋体"/>
          <w:color w:val="FF0000"/>
          <w:sz w:val="24"/>
        </w:rPr>
      </w:pPr>
      <w:r>
        <w:rPr>
          <w:rFonts w:hint="eastAsia" w:hAnsi="宋体"/>
          <w:sz w:val="24"/>
        </w:rPr>
        <w:t>13.</w:t>
      </w:r>
      <w:r>
        <w:rPr>
          <w:rFonts w:hAnsi="宋体"/>
          <w:sz w:val="24"/>
        </w:rPr>
        <w:t>1</w:t>
      </w:r>
      <w:r>
        <w:rPr>
          <w:rFonts w:hint="eastAsia" w:hAnsi="宋体"/>
          <w:color w:val="FF0000"/>
          <w:sz w:val="24"/>
        </w:rPr>
        <w:t>报价人应将响应文件用密封袋密封，</w:t>
      </w:r>
      <w:r>
        <w:rPr>
          <w:rFonts w:hint="eastAsia" w:hAnsi="宋体"/>
          <w:sz w:val="24"/>
        </w:rPr>
        <w:t>正、副本</w:t>
      </w:r>
      <w:r>
        <w:rPr>
          <w:rFonts w:hint="eastAsia" w:hAnsi="宋体"/>
          <w:color w:val="FF0000"/>
          <w:sz w:val="24"/>
          <w:u w:val="single"/>
        </w:rPr>
        <w:t xml:space="preserve"> 统一 </w:t>
      </w:r>
      <w:r>
        <w:rPr>
          <w:rFonts w:hint="eastAsia" w:hAnsi="宋体"/>
          <w:sz w:val="24"/>
        </w:rPr>
        <w:t>封装在一个密封袋内，响应文件封面应注明“正本”“副本”。</w:t>
      </w:r>
      <w:r>
        <w:rPr>
          <w:rFonts w:hint="eastAsia" w:hAnsi="宋体"/>
          <w:color w:val="FF0000"/>
          <w:sz w:val="24"/>
          <w:u w:val="single"/>
        </w:rPr>
        <w:t>报价一览表须经法定代表人或授权代表人签字、公司盖章确认后单独密封一份在外。</w:t>
      </w:r>
      <w:r>
        <w:rPr>
          <w:rFonts w:hint="eastAsia" w:hAnsi="宋体"/>
          <w:sz w:val="24"/>
        </w:rPr>
        <w:t>密封袋封面及谈判响应文件封面均应写明</w:t>
      </w:r>
      <w:r>
        <w:rPr>
          <w:rFonts w:hint="eastAsia" w:hAnsi="宋体"/>
          <w:sz w:val="24"/>
          <w:lang w:eastAsia="zh-CN"/>
        </w:rPr>
        <w:t>石阡县农业农村局设备采购项目（二次采购）</w:t>
      </w:r>
      <w:r>
        <w:rPr>
          <w:rFonts w:hint="eastAsia" w:hAnsi="宋体"/>
          <w:sz w:val="24"/>
        </w:rPr>
        <w:t>、招标编号、谈判响应供应商名称、地址、联系人等规定内容（具体详见第六章格式），</w:t>
      </w:r>
      <w:r>
        <w:rPr>
          <w:rFonts w:hint="eastAsia" w:hAnsi="宋体"/>
          <w:color w:val="FF0000"/>
          <w:sz w:val="24"/>
        </w:rPr>
        <w:t>并加盖投标单位公章和法定代表人印章。密封袋口密封处必须盖章并注明 “开标时间启封”的字样。</w:t>
      </w:r>
    </w:p>
    <w:p>
      <w:pPr>
        <w:pStyle w:val="10"/>
        <w:spacing w:line="44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.2</w:t>
      </w:r>
      <w:r>
        <w:rPr>
          <w:rFonts w:hint="eastAsia" w:hAnsi="宋体"/>
          <w:sz w:val="24"/>
        </w:rPr>
        <w:t>响应文件正本和全部副本均应使用不能擦去的墨料或墨水打印、书写或复印，</w:t>
      </w:r>
      <w:r>
        <w:rPr>
          <w:rFonts w:hint="eastAsia" w:asciiTheme="minorEastAsia" w:hAnsiTheme="minorEastAsia"/>
          <w:color w:val="FF0000"/>
          <w:sz w:val="24"/>
        </w:rPr>
        <w:t>签字页需由法定代表人或其授权代表签署，盖投标人公章，</w:t>
      </w:r>
      <w:r>
        <w:rPr>
          <w:rFonts w:hint="eastAsia" w:hAnsi="宋体"/>
          <w:sz w:val="24"/>
        </w:rPr>
        <w:t>如由后者签字，应提供“法人授权委托书”。</w:t>
      </w:r>
    </w:p>
    <w:p>
      <w:pPr>
        <w:pStyle w:val="10"/>
        <w:spacing w:line="44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.3</w:t>
      </w:r>
      <w:r>
        <w:rPr>
          <w:rFonts w:hint="eastAsia" w:hAnsi="宋体"/>
          <w:sz w:val="24"/>
        </w:rPr>
        <w:t>除非另有规定或许可，谈判响应使用货币为人民币。</w:t>
      </w:r>
    </w:p>
    <w:p>
      <w:pPr>
        <w:pStyle w:val="10"/>
        <w:spacing w:line="44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.4谈判响应供应商应提交证明其拟供货物</w:t>
      </w:r>
      <w:r>
        <w:rPr>
          <w:rFonts w:hint="eastAsia" w:hAnsi="宋体"/>
          <w:sz w:val="24"/>
        </w:rPr>
        <w:t>、服务、工程</w:t>
      </w:r>
      <w:r>
        <w:rPr>
          <w:rFonts w:hAnsi="宋体"/>
          <w:sz w:val="24"/>
        </w:rPr>
        <w:t>符合谈判文件要求的技术响应文件，该文件可以是文字资料、图纸和数据，并须提供货物</w:t>
      </w:r>
      <w:r>
        <w:rPr>
          <w:rFonts w:hint="eastAsia" w:hAnsi="宋体"/>
          <w:sz w:val="24"/>
        </w:rPr>
        <w:t>、服务、工程</w:t>
      </w:r>
      <w:r>
        <w:rPr>
          <w:rFonts w:hAnsi="宋体"/>
          <w:sz w:val="24"/>
        </w:rPr>
        <w:t>主要技术性能的详细描述。</w:t>
      </w:r>
    </w:p>
    <w:p>
      <w:pPr>
        <w:pStyle w:val="34"/>
        <w:spacing w:line="440" w:lineRule="exact"/>
        <w:ind w:firstLine="480" w:firstLineChars="200"/>
        <w:outlineLvl w:val="9"/>
        <w:rPr>
          <w:rFonts w:hAnsi="宋体"/>
          <w:sz w:val="24"/>
        </w:rPr>
      </w:pPr>
      <w:r>
        <w:rPr>
          <w:rFonts w:hint="eastAsia" w:hAnsi="宋体"/>
          <w:sz w:val="24"/>
        </w:rPr>
        <w:t>13.5 全套响应文件应无涂改和行间插字，除非这些改动是根据采购代理机构的指示进行的，或者是为改正谈判响应供应商造成的必须修改的错误而进行的。有改动时，修改处应由法定代表人或授权代表签字证明或加盖谈判响应供应商公章。</w:t>
      </w:r>
    </w:p>
    <w:p>
      <w:pPr>
        <w:pStyle w:val="34"/>
        <w:spacing w:line="440" w:lineRule="exact"/>
        <w:ind w:firstLine="480" w:firstLineChars="200"/>
        <w:outlineLvl w:val="9"/>
        <w:rPr>
          <w:rFonts w:hAnsi="宋体"/>
          <w:sz w:val="24"/>
        </w:rPr>
      </w:pPr>
      <w:r>
        <w:rPr>
          <w:rFonts w:hint="eastAsia" w:hAnsi="宋体"/>
          <w:sz w:val="24"/>
        </w:rPr>
        <w:t>13.6未按本须知规定的格式填写响应文件、响应文件字迹模糊不清的，其谈判响应将被拒绝。</w:t>
      </w:r>
    </w:p>
    <w:p>
      <w:pPr>
        <w:pStyle w:val="34"/>
        <w:spacing w:line="440" w:lineRule="exact"/>
        <w:ind w:firstLine="480" w:firstLineChars="200"/>
        <w:outlineLvl w:val="9"/>
        <w:rPr>
          <w:rFonts w:hAnsi="宋体"/>
          <w:sz w:val="24"/>
        </w:rPr>
      </w:pPr>
      <w:r>
        <w:rPr>
          <w:rFonts w:hint="eastAsia" w:hAnsi="宋体"/>
          <w:sz w:val="24"/>
        </w:rPr>
        <w:t>13.7 所有资格证明文件复印件须加盖谈判响应供应商公章。</w:t>
      </w:r>
    </w:p>
    <w:p>
      <w:pPr>
        <w:pStyle w:val="34"/>
        <w:spacing w:line="440" w:lineRule="exact"/>
        <w:ind w:firstLine="480" w:firstLineChars="200"/>
        <w:outlineLvl w:val="9"/>
        <w:rPr>
          <w:rFonts w:hAnsi="宋体"/>
          <w:sz w:val="24"/>
        </w:rPr>
      </w:pPr>
      <w:r>
        <w:rPr>
          <w:rFonts w:hint="eastAsia" w:hAnsi="宋体"/>
          <w:sz w:val="24"/>
        </w:rPr>
        <w:t>13.8谈判响应供应商应将上述文件按顺序</w:t>
      </w:r>
      <w:r>
        <w:rPr>
          <w:rFonts w:hint="eastAsia" w:hAnsi="宋体"/>
          <w:b/>
          <w:bCs/>
          <w:color w:val="0000FF"/>
          <w:sz w:val="24"/>
        </w:rPr>
        <w:t>胶装成册、打印页码，并编列响应文件目录、资料清单</w:t>
      </w:r>
      <w:r>
        <w:rPr>
          <w:rFonts w:hint="eastAsia" w:hAnsi="宋体"/>
          <w:sz w:val="24"/>
        </w:rPr>
        <w:t>，由于装订不规范或编排顺序混乱而导致响应文件被误读或漏读，该谈判响应可能被视为无效响应或承担不利的评审结果。</w:t>
      </w:r>
    </w:p>
    <w:p>
      <w:pPr>
        <w:pStyle w:val="34"/>
        <w:spacing w:line="440" w:lineRule="exact"/>
        <w:ind w:firstLine="643" w:firstLineChars="200"/>
        <w:jc w:val="center"/>
        <w:outlineLvl w:val="9"/>
        <w:rPr>
          <w:rFonts w:hAnsi="宋体"/>
          <w:b/>
          <w:sz w:val="32"/>
          <w:szCs w:val="32"/>
        </w:rPr>
      </w:pPr>
    </w:p>
    <w:p>
      <w:pPr>
        <w:pStyle w:val="34"/>
        <w:spacing w:line="440" w:lineRule="exact"/>
        <w:ind w:firstLine="643" w:firstLineChars="200"/>
        <w:jc w:val="center"/>
        <w:outlineLvl w:val="9"/>
        <w:rPr>
          <w:rFonts w:hint="eastAsia" w:hAnsi="宋体"/>
          <w:b/>
          <w:sz w:val="32"/>
          <w:szCs w:val="32"/>
        </w:rPr>
        <w:sectPr>
          <w:pgSz w:w="11910" w:h="16840"/>
          <w:pgMar w:top="1500" w:right="1460" w:bottom="1380" w:left="1340" w:header="0" w:footer="1196" w:gutter="0"/>
        </w:sectPr>
      </w:pPr>
    </w:p>
    <w:p>
      <w:pPr>
        <w:pStyle w:val="34"/>
        <w:spacing w:line="440" w:lineRule="exact"/>
        <w:ind w:firstLine="643" w:firstLineChars="200"/>
        <w:jc w:val="center"/>
        <w:outlineLvl w:val="9"/>
        <w:rPr>
          <w:rFonts w:hAnsi="宋体"/>
          <w:b/>
          <w:sz w:val="32"/>
          <w:szCs w:val="32"/>
        </w:rPr>
      </w:pPr>
      <w:r>
        <w:rPr>
          <w:rFonts w:hint="eastAsia" w:hAnsi="宋体"/>
          <w:b/>
          <w:sz w:val="32"/>
          <w:szCs w:val="32"/>
        </w:rPr>
        <w:t>四、响应文件的提交</w:t>
      </w:r>
    </w:p>
    <w:p>
      <w:pPr>
        <w:pStyle w:val="34"/>
        <w:spacing w:line="440" w:lineRule="exact"/>
        <w:outlineLvl w:val="9"/>
        <w:rPr>
          <w:rFonts w:hAnsi="宋体"/>
          <w:b/>
          <w:sz w:val="24"/>
        </w:rPr>
      </w:pPr>
      <w:r>
        <w:rPr>
          <w:rFonts w:hint="eastAsia" w:hAnsi="宋体"/>
          <w:b/>
          <w:sz w:val="24"/>
        </w:rPr>
        <w:t>14.响应文件的密封、标记和递交</w:t>
      </w:r>
    </w:p>
    <w:p>
      <w:pPr>
        <w:pStyle w:val="34"/>
        <w:spacing w:line="440" w:lineRule="exact"/>
        <w:ind w:firstLine="480" w:firstLineChars="200"/>
        <w:outlineLvl w:val="9"/>
        <w:rPr>
          <w:rFonts w:hAnsi="宋体"/>
          <w:sz w:val="24"/>
        </w:rPr>
      </w:pPr>
      <w:r>
        <w:rPr>
          <w:rFonts w:hint="eastAsia" w:hAnsi="宋体"/>
          <w:sz w:val="24"/>
        </w:rPr>
        <w:t>14.1 谈判响应供应商应将响应文件</w:t>
      </w:r>
      <w:r>
        <w:rPr>
          <w:rFonts w:hint="eastAsia" w:hAnsi="宋体"/>
          <w:color w:val="FF0000"/>
          <w:sz w:val="24"/>
          <w:u w:val="single"/>
        </w:rPr>
        <w:t>正副本统一密封在一个密封袋内</w:t>
      </w:r>
      <w:r>
        <w:rPr>
          <w:rFonts w:hint="eastAsia" w:hAnsi="宋体"/>
          <w:sz w:val="24"/>
        </w:rPr>
        <w:t>，</w:t>
      </w:r>
      <w:r>
        <w:rPr>
          <w:rFonts w:hint="eastAsia" w:hAnsi="宋体"/>
          <w:color w:val="FF0000"/>
          <w:sz w:val="24"/>
          <w:u w:val="single"/>
        </w:rPr>
        <w:t>报价一览表密封在一个密封袋内</w:t>
      </w:r>
      <w:r>
        <w:rPr>
          <w:rFonts w:hint="eastAsia" w:hAnsi="宋体"/>
          <w:color w:val="FF0000"/>
          <w:sz w:val="24"/>
        </w:rPr>
        <w:t>。密封袋上</w:t>
      </w:r>
      <w:r>
        <w:rPr>
          <w:rFonts w:hint="eastAsia" w:hAnsi="宋体"/>
          <w:sz w:val="24"/>
        </w:rPr>
        <w:t>标明</w:t>
      </w:r>
      <w:r>
        <w:rPr>
          <w:rFonts w:hint="eastAsia" w:hAnsi="宋体"/>
          <w:sz w:val="24"/>
          <w:lang w:eastAsia="zh-CN"/>
        </w:rPr>
        <w:t>石阡县农业农村局设备采购项目（二次采购）</w:t>
      </w:r>
      <w:r>
        <w:rPr>
          <w:rFonts w:hint="eastAsia" w:hAnsi="宋体"/>
          <w:sz w:val="24"/>
        </w:rPr>
        <w:t xml:space="preserve">、招标编号、谈判响应供应商名称、地址、联系人等规定内容（具体详见第六章格式）。响应文件和报价一览表未密封可导致其询价被拒绝。     </w:t>
      </w:r>
    </w:p>
    <w:p>
      <w:pPr>
        <w:pStyle w:val="10"/>
        <w:spacing w:line="440" w:lineRule="exact"/>
        <w:ind w:firstLine="480" w:firstLineChars="200"/>
        <w:jc w:val="left"/>
        <w:rPr>
          <w:rFonts w:hAnsi="宋体"/>
          <w:sz w:val="24"/>
        </w:rPr>
      </w:pPr>
      <w:r>
        <w:rPr>
          <w:rFonts w:hAnsi="宋体"/>
          <w:sz w:val="24"/>
        </w:rPr>
        <w:t>1</w:t>
      </w:r>
      <w:r>
        <w:rPr>
          <w:rFonts w:hint="eastAsia" w:hAnsi="宋体"/>
          <w:sz w:val="24"/>
        </w:rPr>
        <w:t>4.2</w:t>
      </w:r>
      <w:r>
        <w:rPr>
          <w:rFonts w:hAnsi="宋体"/>
          <w:sz w:val="24"/>
        </w:rPr>
        <w:t xml:space="preserve"> 如果未按上述规定进行密封和标记，采购代理机构</w:t>
      </w:r>
      <w:r>
        <w:rPr>
          <w:rFonts w:hint="eastAsia" w:hAnsi="宋体"/>
          <w:sz w:val="24"/>
        </w:rPr>
        <w:t>将不承担由此造成的对响应文件的误投或提前拆封的责任。</w:t>
      </w:r>
    </w:p>
    <w:p>
      <w:pPr>
        <w:pStyle w:val="34"/>
        <w:spacing w:line="440" w:lineRule="exact"/>
        <w:ind w:firstLine="480" w:firstLineChars="200"/>
        <w:outlineLvl w:val="9"/>
        <w:rPr>
          <w:rFonts w:hAnsi="宋体"/>
          <w:sz w:val="24"/>
        </w:rPr>
      </w:pPr>
      <w:r>
        <w:rPr>
          <w:rFonts w:hint="eastAsia" w:hAnsi="宋体"/>
          <w:sz w:val="24"/>
        </w:rPr>
        <w:t>14.3响应文件应在谈判公告中规定的截止时间前送达，迟到的响应文件为无效响应文件，将被拒绝。</w:t>
      </w:r>
    </w:p>
    <w:p>
      <w:pPr>
        <w:pStyle w:val="34"/>
        <w:spacing w:line="440" w:lineRule="exact"/>
        <w:ind w:firstLine="480" w:firstLineChars="200"/>
        <w:outlineLvl w:val="9"/>
        <w:rPr>
          <w:rFonts w:hAnsi="宋体"/>
          <w:sz w:val="24"/>
        </w:rPr>
      </w:pPr>
      <w:r>
        <w:rPr>
          <w:rFonts w:hint="eastAsia" w:hAnsi="宋体"/>
          <w:sz w:val="24"/>
        </w:rPr>
        <w:t>14.4谈判响应供应商在谈判响应截止时间前，可以对所提交的谈判文件进行修改或者撤回，并书面通知采购代理机构。修改的内容和撤回通知应当按本须知要求签署、盖章、密封，并作为响应文件的组成部分。</w:t>
      </w:r>
    </w:p>
    <w:p>
      <w:pPr>
        <w:pStyle w:val="34"/>
        <w:spacing w:line="440" w:lineRule="exact"/>
        <w:ind w:firstLine="480" w:firstLineChars="200"/>
        <w:outlineLvl w:val="9"/>
        <w:rPr>
          <w:rFonts w:hAnsi="宋体"/>
          <w:sz w:val="24"/>
        </w:rPr>
      </w:pPr>
      <w:r>
        <w:rPr>
          <w:rFonts w:hint="eastAsia" w:hAnsi="宋体"/>
          <w:sz w:val="24"/>
        </w:rPr>
        <w:t>14.5谈判响应供应商在谈判响应截止期后不得修改、撤回响应文件。谈判响应供应商在报价截止期后修改响应文件的，其谈判响应将被拒绝。</w:t>
      </w:r>
    </w:p>
    <w:p>
      <w:pPr>
        <w:spacing w:line="440" w:lineRule="exact"/>
        <w:ind w:firstLine="480" w:firstLineChars="200"/>
        <w:outlineLvl w:val="0"/>
        <w:rPr>
          <w:rFonts w:ascii="宋体" w:hAnsi="宋体"/>
          <w:color w:val="FF0000"/>
          <w:sz w:val="24"/>
        </w:rPr>
      </w:pPr>
      <w:r>
        <w:rPr>
          <w:rFonts w:hint="eastAsia" w:hAnsi="宋体"/>
          <w:sz w:val="24"/>
        </w:rPr>
        <w:t>14.6</w:t>
      </w:r>
      <w:r>
        <w:rPr>
          <w:rFonts w:hint="eastAsia" w:ascii="宋体" w:hAnsi="宋体"/>
          <w:color w:val="FF0000"/>
          <w:sz w:val="24"/>
        </w:rPr>
        <w:t>谈判响应供应商应按照要求，准备一式</w:t>
      </w:r>
      <w:r>
        <w:rPr>
          <w:rFonts w:hint="eastAsia" w:ascii="宋体" w:hAnsi="宋体"/>
          <w:color w:val="FF0000"/>
          <w:sz w:val="24"/>
          <w:u w:val="single"/>
        </w:rPr>
        <w:t xml:space="preserve"> </w:t>
      </w:r>
      <w:r>
        <w:rPr>
          <w:rFonts w:hint="eastAsia" w:ascii="宋体" w:hAnsi="宋体"/>
          <w:b/>
          <w:color w:val="FF0000"/>
          <w:sz w:val="24"/>
          <w:u w:val="single"/>
        </w:rPr>
        <w:t>3</w:t>
      </w:r>
      <w:r>
        <w:rPr>
          <w:rFonts w:hint="eastAsia" w:ascii="宋体" w:hAnsi="宋体"/>
          <w:color w:val="FF0000"/>
          <w:sz w:val="24"/>
          <w:u w:val="single"/>
        </w:rPr>
        <w:t xml:space="preserve"> </w:t>
      </w:r>
      <w:r>
        <w:rPr>
          <w:rFonts w:hint="eastAsia" w:ascii="宋体" w:hAnsi="宋体"/>
          <w:color w:val="FF0000"/>
          <w:sz w:val="24"/>
        </w:rPr>
        <w:t>份响应文件（</w:t>
      </w:r>
      <w:r>
        <w:rPr>
          <w:rFonts w:hint="eastAsia" w:ascii="宋体" w:hAnsi="宋体"/>
          <w:color w:val="FF0000"/>
          <w:sz w:val="24"/>
          <w:u w:val="single"/>
        </w:rPr>
        <w:t xml:space="preserve"> 1 </w:t>
      </w:r>
      <w:r>
        <w:rPr>
          <w:rFonts w:hint="eastAsia" w:ascii="宋体" w:hAnsi="宋体"/>
          <w:color w:val="FF0000"/>
          <w:sz w:val="24"/>
        </w:rPr>
        <w:t>份正本、</w:t>
      </w:r>
      <w:r>
        <w:rPr>
          <w:rFonts w:hint="eastAsia" w:ascii="宋体" w:hAnsi="宋体"/>
          <w:color w:val="FF0000"/>
          <w:sz w:val="24"/>
          <w:u w:val="single"/>
        </w:rPr>
        <w:t xml:space="preserve"> 2 </w:t>
      </w:r>
      <w:r>
        <w:rPr>
          <w:rFonts w:hint="eastAsia" w:ascii="宋体" w:hAnsi="宋体"/>
          <w:color w:val="FF0000"/>
          <w:sz w:val="24"/>
        </w:rPr>
        <w:t>份副本）</w:t>
      </w:r>
      <w:r>
        <w:rPr>
          <w:rFonts w:hint="eastAsia" w:ascii="宋体" w:hAnsi="宋体"/>
          <w:sz w:val="24"/>
        </w:rPr>
        <w:t>，</w:t>
      </w:r>
      <w:r>
        <w:rPr>
          <w:rFonts w:hint="eastAsia" w:hAnsi="宋体"/>
          <w:color w:val="000000"/>
          <w:sz w:val="24"/>
        </w:rPr>
        <w:t>响应文件（正、副本）内容均须按页码顺序胶装成册</w:t>
      </w:r>
      <w:r>
        <w:rPr>
          <w:rFonts w:hint="eastAsia"/>
          <w:sz w:val="24"/>
          <w:lang w:val="zh-CN"/>
        </w:rPr>
        <w:t>并编制目录，</w:t>
      </w:r>
      <w:r>
        <w:rPr>
          <w:rFonts w:hint="eastAsia" w:asciiTheme="minorEastAsia" w:hAnsiTheme="minorEastAsia"/>
          <w:b/>
          <w:bCs/>
          <w:color w:val="0000FF"/>
          <w:sz w:val="24"/>
        </w:rPr>
        <w:t>副本可以用正本的完整复印件，</w:t>
      </w:r>
      <w:r>
        <w:rPr>
          <w:rFonts w:hint="eastAsia" w:ascii="宋体" w:hAnsi="宋体"/>
          <w:sz w:val="24"/>
        </w:rPr>
        <w:t>响应文件正本与副本不一致时，以正本为准。</w:t>
      </w:r>
    </w:p>
    <w:p>
      <w:pPr>
        <w:spacing w:line="440" w:lineRule="exact"/>
        <w:ind w:firstLine="482" w:firstLineChars="200"/>
        <w:outlineLvl w:val="0"/>
        <w:rPr>
          <w:rFonts w:ascii="宋体" w:hAnsi="宋体"/>
          <w:color w:val="FF0000"/>
          <w:sz w:val="24"/>
        </w:rPr>
      </w:pPr>
      <w:r>
        <w:rPr>
          <w:rFonts w:hint="eastAsia" w:ascii="宋体" w:hAnsi="宋体"/>
          <w:b/>
          <w:bCs/>
          <w:color w:val="FF0000"/>
          <w:sz w:val="24"/>
          <w:u w:val="single"/>
        </w:rPr>
        <w:t>14.7本项目所需提交的资质证书</w:t>
      </w:r>
      <w:r>
        <w:rPr>
          <w:rFonts w:hint="eastAsia" w:ascii="宋体" w:hAnsi="宋体"/>
          <w:b/>
          <w:bCs/>
          <w:color w:val="FF0000"/>
          <w:sz w:val="24"/>
          <w:u w:val="single"/>
          <w:lang w:eastAsia="zh-CN"/>
        </w:rPr>
        <w:t>原件</w:t>
      </w:r>
      <w:r>
        <w:rPr>
          <w:rFonts w:hint="eastAsia" w:ascii="宋体" w:hAnsi="宋体"/>
          <w:b/>
          <w:bCs/>
          <w:color w:val="FF0000"/>
          <w:sz w:val="24"/>
          <w:u w:val="single"/>
        </w:rPr>
        <w:t>及其他证明资料可另行装袋，注明公司名称与谈判响应文件一并提交备查。</w:t>
      </w:r>
    </w:p>
    <w:p>
      <w:pPr>
        <w:pStyle w:val="34"/>
        <w:spacing w:line="400" w:lineRule="exact"/>
        <w:ind w:firstLine="480" w:firstLineChars="200"/>
        <w:outlineLvl w:val="9"/>
        <w:rPr>
          <w:rFonts w:hAnsi="宋体"/>
          <w:sz w:val="24"/>
        </w:rPr>
      </w:pPr>
    </w:p>
    <w:p>
      <w:pPr>
        <w:pStyle w:val="34"/>
        <w:spacing w:line="400" w:lineRule="exact"/>
        <w:ind w:firstLine="482" w:firstLineChars="200"/>
        <w:jc w:val="center"/>
        <w:outlineLvl w:val="9"/>
        <w:rPr>
          <w:rFonts w:hAnsi="宋体"/>
          <w:b/>
          <w:sz w:val="24"/>
        </w:rPr>
      </w:pPr>
      <w:r>
        <w:rPr>
          <w:rFonts w:hint="eastAsia" w:hAnsi="宋体"/>
          <w:b/>
          <w:sz w:val="24"/>
        </w:rPr>
        <w:t>五、响应文件的评估和比较</w:t>
      </w:r>
    </w:p>
    <w:p>
      <w:pPr>
        <w:pStyle w:val="10"/>
        <w:spacing w:line="400" w:lineRule="exact"/>
        <w:jc w:val="left"/>
        <w:rPr>
          <w:rFonts w:hAnsi="宋体"/>
          <w:b/>
          <w:sz w:val="24"/>
        </w:rPr>
      </w:pPr>
      <w:r>
        <w:rPr>
          <w:rFonts w:hint="eastAsia" w:hAnsi="宋体"/>
          <w:b/>
          <w:sz w:val="24"/>
        </w:rPr>
        <w:t>15.谈判时间</w:t>
      </w:r>
    </w:p>
    <w:p>
      <w:pPr>
        <w:pStyle w:val="10"/>
        <w:spacing w:line="400" w:lineRule="exact"/>
        <w:jc w:val="left"/>
        <w:rPr>
          <w:rFonts w:hAnsi="宋体"/>
          <w:sz w:val="24"/>
        </w:rPr>
      </w:pPr>
      <w:r>
        <w:rPr>
          <w:rFonts w:hint="eastAsia" w:hAnsi="宋体"/>
          <w:b/>
          <w:sz w:val="24"/>
        </w:rPr>
        <w:t xml:space="preserve">   </w:t>
      </w:r>
      <w:r>
        <w:rPr>
          <w:rFonts w:hint="eastAsia" w:hAnsi="宋体"/>
          <w:sz w:val="24"/>
        </w:rPr>
        <w:t xml:space="preserve"> 15.1在谈判响应供应商须知前附表中所规定的时间、地点谈判（如有推迟情形，以推迟后的时间、地点为准）。</w:t>
      </w:r>
    </w:p>
    <w:p>
      <w:pPr>
        <w:pStyle w:val="10"/>
        <w:spacing w:line="400" w:lineRule="exact"/>
        <w:jc w:val="left"/>
        <w:rPr>
          <w:rFonts w:hAnsi="宋体"/>
          <w:sz w:val="24"/>
        </w:rPr>
      </w:pPr>
      <w:r>
        <w:rPr>
          <w:rFonts w:hint="eastAsia" w:hAnsi="宋体"/>
          <w:sz w:val="24"/>
        </w:rPr>
        <w:t xml:space="preserve">    15.2谈判由采购代理机构主持，邀请采购人、谈判响应供应商和有关方面代表参加。谈判响应供应商一般应派授权代表参加谈判，并办理签到手续。</w:t>
      </w:r>
    </w:p>
    <w:p>
      <w:pPr>
        <w:pStyle w:val="10"/>
        <w:spacing w:line="400" w:lineRule="exact"/>
        <w:jc w:val="left"/>
        <w:rPr>
          <w:rFonts w:hAnsi="宋体"/>
          <w:b/>
          <w:sz w:val="24"/>
        </w:rPr>
      </w:pPr>
      <w:r>
        <w:rPr>
          <w:rFonts w:hint="eastAsia" w:hAnsi="宋体"/>
          <w:b/>
          <w:sz w:val="24"/>
        </w:rPr>
        <w:t>16.</w:t>
      </w:r>
      <w:r>
        <w:rPr>
          <w:rFonts w:hAnsi="宋体"/>
          <w:b/>
          <w:sz w:val="24"/>
        </w:rPr>
        <w:t>谈判</w:t>
      </w:r>
      <w:r>
        <w:rPr>
          <w:rFonts w:hint="eastAsia" w:hAnsi="宋体"/>
          <w:b/>
          <w:sz w:val="24"/>
        </w:rPr>
        <w:t>小组</w:t>
      </w:r>
    </w:p>
    <w:p>
      <w:pPr>
        <w:spacing w:line="400" w:lineRule="exact"/>
        <w:ind w:firstLine="480" w:firstLineChars="200"/>
        <w:rPr>
          <w:sz w:val="24"/>
          <w:szCs w:val="24"/>
        </w:rPr>
      </w:pPr>
      <w:r>
        <w:rPr>
          <w:rFonts w:hint="eastAsia"/>
          <w:sz w:val="24"/>
          <w:szCs w:val="24"/>
        </w:rPr>
        <w:t>16</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spacing w:line="400" w:lineRule="exact"/>
        <w:ind w:firstLine="480" w:firstLineChars="200"/>
        <w:rPr>
          <w:rFonts w:ascii="Arial" w:hAnsi="Arial" w:cs="Arial"/>
          <w:sz w:val="24"/>
          <w:szCs w:val="24"/>
        </w:rPr>
      </w:pPr>
      <w:r>
        <w:rPr>
          <w:rFonts w:hint="eastAsia"/>
          <w:sz w:val="24"/>
          <w:szCs w:val="24"/>
        </w:rPr>
        <w:t>16.2达到公开招标数额标准的货物或者服务采购项目，或者达到招标规模标准的政府采购工程，谈判小组应当由5人以上单数组成。</w:t>
      </w:r>
    </w:p>
    <w:p>
      <w:pPr>
        <w:pStyle w:val="10"/>
        <w:spacing w:line="400" w:lineRule="exact"/>
        <w:jc w:val="left"/>
        <w:rPr>
          <w:rFonts w:hAnsi="宋体"/>
          <w:b/>
          <w:sz w:val="24"/>
        </w:rPr>
      </w:pPr>
      <w:r>
        <w:rPr>
          <w:rFonts w:hint="eastAsia" w:hAnsi="宋体"/>
          <w:b/>
          <w:sz w:val="24"/>
        </w:rPr>
        <w:t>17.响应文件的初审</w:t>
      </w:r>
    </w:p>
    <w:p>
      <w:pPr>
        <w:spacing w:line="400" w:lineRule="exact"/>
        <w:ind w:firstLine="480" w:firstLineChars="200"/>
        <w:rPr>
          <w:rFonts w:ascii="宋体" w:hAnsi="宋体"/>
          <w:sz w:val="24"/>
        </w:rPr>
      </w:pPr>
      <w:r>
        <w:rPr>
          <w:rFonts w:hint="eastAsia" w:ascii="宋体" w:hAnsi="宋体"/>
          <w:sz w:val="24"/>
        </w:rPr>
        <w:t>对所有谈判响应供应商的评估，都采用相同的程序和标准。评议过程将严格按照谈判文件的要求和条件进行。</w:t>
      </w:r>
    </w:p>
    <w:p>
      <w:pPr>
        <w:spacing w:line="400" w:lineRule="exact"/>
        <w:ind w:firstLine="480" w:firstLineChars="200"/>
        <w:rPr>
          <w:rFonts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spacing w:line="400" w:lineRule="exact"/>
        <w:ind w:firstLine="480" w:firstLineChars="200"/>
        <w:rPr>
          <w:rFonts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谈判响应供应商任何试图影响谈判小组对响应文件的评审、比较或者推荐候选人的行为，都将导致其谈判响应被拒绝，并被没收报价保证金。</w:t>
      </w:r>
    </w:p>
    <w:p>
      <w:pPr>
        <w:pStyle w:val="10"/>
        <w:spacing w:line="400" w:lineRule="exact"/>
        <w:ind w:firstLine="480" w:firstLineChars="200"/>
        <w:jc w:val="left"/>
        <w:rPr>
          <w:rFonts w:hAnsi="宋体"/>
          <w:color w:val="FF0000"/>
          <w:sz w:val="24"/>
        </w:rPr>
      </w:pPr>
      <w:r>
        <w:rPr>
          <w:rFonts w:hint="eastAsia" w:hAnsi="宋体"/>
          <w:color w:val="FF0000"/>
          <w:sz w:val="24"/>
        </w:rPr>
        <w:t>17.1</w:t>
      </w:r>
      <w:r>
        <w:rPr>
          <w:rFonts w:hAnsi="宋体"/>
          <w:color w:val="FF0000"/>
          <w:sz w:val="24"/>
        </w:rPr>
        <w:t>开标时，</w:t>
      </w:r>
      <w:r>
        <w:rPr>
          <w:rFonts w:hint="eastAsia" w:hAnsi="宋体"/>
          <w:color w:val="FF0000"/>
          <w:sz w:val="24"/>
        </w:rPr>
        <w:t>谈判响应文件</w:t>
      </w:r>
      <w:r>
        <w:rPr>
          <w:rFonts w:hAnsi="宋体"/>
          <w:color w:val="FF0000"/>
          <w:sz w:val="24"/>
        </w:rPr>
        <w:t>开启之前，除对</w:t>
      </w:r>
      <w:r>
        <w:rPr>
          <w:rFonts w:hint="eastAsia" w:hAnsi="宋体"/>
          <w:color w:val="FF0000"/>
          <w:sz w:val="24"/>
        </w:rPr>
        <w:t>谈判响应文件</w:t>
      </w:r>
      <w:r>
        <w:rPr>
          <w:rFonts w:hAnsi="宋体"/>
          <w:color w:val="FF0000"/>
          <w:sz w:val="24"/>
        </w:rPr>
        <w:t>的密封进行检查外，</w:t>
      </w:r>
      <w:r>
        <w:rPr>
          <w:rFonts w:hint="eastAsia" w:hAnsi="宋体"/>
          <w:b/>
          <w:color w:val="FF0000"/>
          <w:sz w:val="24"/>
        </w:rPr>
        <w:t>主要是</w:t>
      </w:r>
      <w:r>
        <w:rPr>
          <w:rFonts w:hAnsi="宋体"/>
          <w:color w:val="FF0000"/>
          <w:sz w:val="24"/>
        </w:rPr>
        <w:t>对</w:t>
      </w:r>
      <w:r>
        <w:rPr>
          <w:rFonts w:hint="eastAsia" w:hAnsi="宋体"/>
          <w:color w:val="FF0000"/>
          <w:sz w:val="24"/>
        </w:rPr>
        <w:t>谈判响应供应商</w:t>
      </w:r>
      <w:r>
        <w:rPr>
          <w:rFonts w:hAnsi="宋体"/>
          <w:color w:val="FF0000"/>
          <w:sz w:val="24"/>
        </w:rPr>
        <w:t>的身份（需出示法定代表人身份证</w:t>
      </w:r>
      <w:r>
        <w:rPr>
          <w:rFonts w:hint="eastAsia" w:hAnsi="宋体"/>
          <w:color w:val="FF0000"/>
          <w:sz w:val="24"/>
          <w:lang w:eastAsia="zh-CN"/>
        </w:rPr>
        <w:t>原件</w:t>
      </w:r>
      <w:r>
        <w:rPr>
          <w:rFonts w:hAnsi="宋体"/>
          <w:color w:val="FF0000"/>
          <w:sz w:val="24"/>
        </w:rPr>
        <w:t>或委托代理人持授权委托书并出示代理人身份证</w:t>
      </w:r>
      <w:r>
        <w:rPr>
          <w:rFonts w:hint="eastAsia" w:hAnsi="宋体"/>
          <w:color w:val="FF0000"/>
          <w:sz w:val="24"/>
          <w:lang w:eastAsia="zh-CN"/>
        </w:rPr>
        <w:t>原件</w:t>
      </w:r>
      <w:r>
        <w:rPr>
          <w:rFonts w:hAnsi="宋体"/>
          <w:color w:val="FF0000"/>
          <w:sz w:val="24"/>
        </w:rPr>
        <w:t>）进行核查，</w:t>
      </w:r>
      <w:r>
        <w:rPr>
          <w:rFonts w:hAnsi="宋体"/>
          <w:sz w:val="24"/>
        </w:rPr>
        <w:t>如未能提供，视为无效投标。</w:t>
      </w:r>
    </w:p>
    <w:p>
      <w:pPr>
        <w:pStyle w:val="10"/>
        <w:spacing w:line="400" w:lineRule="exact"/>
        <w:ind w:firstLine="480" w:firstLineChars="200"/>
        <w:jc w:val="left"/>
        <w:rPr>
          <w:rFonts w:hAnsi="宋体"/>
          <w:color w:val="FF0000"/>
          <w:sz w:val="24"/>
        </w:rPr>
      </w:pPr>
      <w:r>
        <w:rPr>
          <w:rFonts w:hint="eastAsia" w:hAnsi="宋体"/>
          <w:color w:val="FF0000"/>
          <w:sz w:val="24"/>
        </w:rPr>
        <w:t>17.2评标时，需审查以下资料：</w:t>
      </w:r>
    </w:p>
    <w:p>
      <w:pPr>
        <w:pStyle w:val="10"/>
        <w:spacing w:line="400" w:lineRule="exact"/>
        <w:ind w:firstLine="480" w:firstLineChars="200"/>
        <w:jc w:val="left"/>
        <w:rPr>
          <w:color w:val="FF0000"/>
          <w:sz w:val="24"/>
          <w:szCs w:val="32"/>
        </w:rPr>
      </w:pPr>
      <w:r>
        <w:rPr>
          <w:rFonts w:hint="eastAsia" w:hAnsi="宋体"/>
          <w:color w:val="FF0000"/>
          <w:sz w:val="24"/>
          <w:szCs w:val="24"/>
        </w:rPr>
        <w:t>（1）</w:t>
      </w:r>
      <w:r>
        <w:rPr>
          <w:rFonts w:hint="eastAsia"/>
          <w:color w:val="FF0000"/>
          <w:sz w:val="24"/>
          <w:szCs w:val="32"/>
        </w:rPr>
        <w:t>合法有效统一社会信用代码的营业执照；（</w:t>
      </w:r>
      <w:r>
        <w:rPr>
          <w:rFonts w:hint="eastAsia"/>
          <w:color w:val="FF0000"/>
          <w:sz w:val="24"/>
          <w:szCs w:val="32"/>
          <w:lang w:eastAsia="zh-CN"/>
        </w:rPr>
        <w:t>原件或复印件加盖公章</w:t>
      </w:r>
      <w:r>
        <w:rPr>
          <w:rFonts w:hint="eastAsia"/>
          <w:color w:val="FF0000"/>
          <w:sz w:val="24"/>
          <w:szCs w:val="32"/>
        </w:rPr>
        <w:t>）</w:t>
      </w:r>
    </w:p>
    <w:p>
      <w:pPr>
        <w:pStyle w:val="8"/>
        <w:spacing w:line="400" w:lineRule="exact"/>
        <w:ind w:firstLine="480" w:firstLineChars="200"/>
        <w:rPr>
          <w:rFonts w:asciiTheme="minorEastAsia" w:hAnsiTheme="minorEastAsia" w:cstheme="minorEastAsia"/>
          <w:color w:val="FF0000"/>
          <w:sz w:val="24"/>
          <w:szCs w:val="24"/>
        </w:rPr>
      </w:pPr>
      <w:r>
        <w:rPr>
          <w:rFonts w:hint="eastAsia" w:asciiTheme="minorEastAsia" w:hAnsiTheme="minorEastAsia" w:cstheme="minorEastAsia"/>
          <w:color w:val="FF0000"/>
          <w:sz w:val="24"/>
          <w:szCs w:val="24"/>
        </w:rPr>
        <w:t>（2）本人身份证</w:t>
      </w:r>
      <w:r>
        <w:rPr>
          <w:rFonts w:hint="eastAsia" w:asciiTheme="minorEastAsia" w:hAnsiTheme="minorEastAsia" w:cstheme="minorEastAsia"/>
          <w:color w:val="FF0000"/>
          <w:sz w:val="24"/>
          <w:szCs w:val="24"/>
          <w:lang w:eastAsia="zh-CN"/>
        </w:rPr>
        <w:t>原件</w:t>
      </w:r>
      <w:r>
        <w:rPr>
          <w:rFonts w:hint="eastAsia" w:asciiTheme="minorEastAsia" w:hAnsiTheme="minorEastAsia" w:cstheme="minorEastAsia"/>
          <w:color w:val="FF0000"/>
          <w:sz w:val="24"/>
          <w:szCs w:val="24"/>
        </w:rPr>
        <w:t>，是委托代理人提供法人授权委托书</w:t>
      </w:r>
      <w:r>
        <w:rPr>
          <w:rFonts w:hint="eastAsia" w:asciiTheme="minorEastAsia" w:hAnsiTheme="minorEastAsia" w:cstheme="minorEastAsia"/>
          <w:color w:val="FF0000"/>
          <w:sz w:val="24"/>
          <w:szCs w:val="24"/>
          <w:lang w:eastAsia="zh-CN"/>
        </w:rPr>
        <w:t>原件</w:t>
      </w:r>
      <w:r>
        <w:rPr>
          <w:rFonts w:hint="eastAsia" w:asciiTheme="minorEastAsia" w:hAnsiTheme="minorEastAsia" w:cstheme="minorEastAsia"/>
          <w:color w:val="FF0000"/>
          <w:sz w:val="24"/>
          <w:szCs w:val="24"/>
        </w:rPr>
        <w:t>；</w:t>
      </w:r>
    </w:p>
    <w:p>
      <w:pPr>
        <w:spacing w:line="400" w:lineRule="exact"/>
        <w:ind w:firstLine="480" w:firstLineChars="200"/>
        <w:rPr>
          <w:rFonts w:ascii="宋体" w:hAnsi="宋体"/>
          <w:sz w:val="24"/>
        </w:rPr>
      </w:pPr>
      <w:r>
        <w:rPr>
          <w:rFonts w:hint="eastAsia" w:ascii="宋体" w:hAnsi="宋体"/>
          <w:sz w:val="24"/>
        </w:rPr>
        <w:t xml:space="preserve">17.3谈判小组将对响应文件进行审查，以确定响应文件是否完整、有无计算上的错误、是否提交了报价保证金、文件是否已正确签署。 </w:t>
      </w:r>
    </w:p>
    <w:p>
      <w:pPr>
        <w:spacing w:line="400" w:lineRule="exact"/>
        <w:ind w:firstLine="480" w:firstLineChars="200"/>
        <w:rPr>
          <w:rFonts w:ascii="宋体" w:hAnsi="宋体"/>
          <w:sz w:val="24"/>
        </w:rPr>
      </w:pPr>
      <w:r>
        <w:rPr>
          <w:rFonts w:hint="eastAsia" w:ascii="宋体" w:hAnsi="宋体"/>
          <w:sz w:val="24"/>
        </w:rPr>
        <w:t>17.4 算术错误将按以下方法更正：</w:t>
      </w:r>
    </w:p>
    <w:p>
      <w:pPr>
        <w:spacing w:line="400" w:lineRule="exact"/>
        <w:ind w:firstLine="480" w:firstLineChars="200"/>
        <w:rPr>
          <w:rFonts w:ascii="宋体" w:hAnsi="宋体"/>
          <w:sz w:val="24"/>
        </w:rPr>
      </w:pPr>
      <w:r>
        <w:rPr>
          <w:rFonts w:hint="eastAsia" w:ascii="宋体" w:hAnsi="宋体"/>
          <w:sz w:val="24"/>
        </w:rPr>
        <w:t>(1)响应文件中报价一览表内容与响应文件中明细表内容不一致的，以报价一览表为准。</w:t>
      </w:r>
    </w:p>
    <w:p>
      <w:pPr>
        <w:spacing w:line="400" w:lineRule="exact"/>
        <w:ind w:firstLine="480" w:firstLineChars="200"/>
        <w:rPr>
          <w:rFonts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400" w:lineRule="exact"/>
        <w:ind w:firstLine="480" w:firstLineChars="200"/>
        <w:rPr>
          <w:rFonts w:ascii="宋体" w:hAnsi="宋体"/>
          <w:sz w:val="24"/>
          <w:szCs w:val="24"/>
        </w:rPr>
      </w:pPr>
      <w:r>
        <w:rPr>
          <w:rFonts w:hint="eastAsia"/>
          <w:sz w:val="24"/>
          <w:szCs w:val="24"/>
        </w:rPr>
        <w:t>如果谈判响应供应商不接受按上述方法对响应文件中的算术错误进行更正，其响应将被拒绝并没收其报价保证金。</w:t>
      </w:r>
    </w:p>
    <w:p>
      <w:pPr>
        <w:spacing w:line="400" w:lineRule="exact"/>
        <w:ind w:firstLine="480" w:firstLineChars="200"/>
        <w:rPr>
          <w:rFonts w:ascii="宋体" w:hAnsi="宋体"/>
          <w:sz w:val="24"/>
        </w:rPr>
      </w:pPr>
      <w:r>
        <w:rPr>
          <w:rFonts w:hint="eastAsia" w:ascii="宋体" w:hAnsi="宋体"/>
          <w:sz w:val="24"/>
        </w:rPr>
        <w:t>17.5</w:t>
      </w:r>
      <w:r>
        <w:rPr>
          <w:rFonts w:hint="eastAsia" w:ascii="宋体" w:hAnsi="宋体"/>
          <w:sz w:val="24"/>
          <w:szCs w:val="18"/>
        </w:rPr>
        <w:t>资格性检查和符合性检查</w:t>
      </w:r>
      <w:r>
        <w:rPr>
          <w:rFonts w:hint="eastAsia" w:ascii="宋体" w:hAnsi="宋体"/>
          <w:sz w:val="24"/>
        </w:rPr>
        <w:t xml:space="preserve"> </w:t>
      </w:r>
    </w:p>
    <w:p>
      <w:pPr>
        <w:spacing w:line="400" w:lineRule="exact"/>
        <w:rPr>
          <w:rFonts w:ascii="宋体" w:hAnsi="宋体"/>
          <w:sz w:val="24"/>
        </w:rPr>
      </w:pPr>
      <w:r>
        <w:rPr>
          <w:rFonts w:hint="eastAsia" w:ascii="宋体" w:hAnsi="宋体"/>
          <w:sz w:val="24"/>
        </w:rPr>
        <w:t xml:space="preserve">    17.5.1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spacing w:line="400" w:lineRule="exact"/>
        <w:ind w:left="31" w:leftChars="15"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rPr>
        <w:t>5.2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spacing w:line="400" w:lineRule="exact"/>
        <w:ind w:left="69" w:leftChars="33" w:firstLine="480" w:firstLineChars="200"/>
        <w:rPr>
          <w:rFonts w:ascii="宋体" w:hAnsi="宋体"/>
          <w:color w:val="FF0000"/>
          <w:sz w:val="24"/>
        </w:rPr>
      </w:pPr>
      <w:r>
        <w:rPr>
          <w:rFonts w:hint="eastAsia" w:ascii="宋体" w:hAnsi="宋体"/>
          <w:color w:val="FF0000"/>
          <w:sz w:val="24"/>
        </w:rPr>
        <w:t>（1）开标时，谈判响应供应商的法定代表人或授权代表未参加或未按时参加开标会议的；</w:t>
      </w:r>
    </w:p>
    <w:p>
      <w:pPr>
        <w:spacing w:line="400" w:lineRule="exact"/>
        <w:ind w:left="69" w:leftChars="33" w:firstLine="480" w:firstLineChars="200"/>
        <w:rPr>
          <w:rFonts w:ascii="宋体" w:hAnsi="宋体"/>
          <w:color w:val="FF0000"/>
          <w:sz w:val="24"/>
        </w:rPr>
      </w:pPr>
      <w:r>
        <w:rPr>
          <w:rFonts w:hint="eastAsia" w:ascii="宋体" w:hAnsi="宋体"/>
          <w:color w:val="FF0000"/>
          <w:sz w:val="24"/>
        </w:rPr>
        <w:t>（2）响应文件数量不足或未按照本须知规定进行装订、密封、标识、签署、盖章的；</w:t>
      </w:r>
    </w:p>
    <w:p>
      <w:pPr>
        <w:spacing w:line="400" w:lineRule="exact"/>
        <w:ind w:left="69" w:leftChars="33" w:firstLine="480" w:firstLineChars="200"/>
        <w:rPr>
          <w:rFonts w:ascii="宋体" w:hAnsi="宋体"/>
          <w:color w:val="FF0000"/>
          <w:sz w:val="24"/>
        </w:rPr>
      </w:pPr>
      <w:r>
        <w:rPr>
          <w:rFonts w:hint="eastAsia" w:ascii="宋体" w:hAnsi="宋体"/>
          <w:color w:val="FF0000"/>
          <w:sz w:val="24"/>
        </w:rPr>
        <w:t>（3）未按规定由谈判响应供应商的法定代表人或授权代表签字；或未加盖供应商公章的；或签字人未提供法定代表人有效授权委托书的；</w:t>
      </w:r>
    </w:p>
    <w:p>
      <w:pPr>
        <w:spacing w:line="400" w:lineRule="exact"/>
        <w:ind w:left="69" w:leftChars="33" w:firstLine="480" w:firstLineChars="200"/>
        <w:rPr>
          <w:rFonts w:ascii="宋体" w:hAnsi="宋体"/>
          <w:color w:val="FF0000"/>
          <w:sz w:val="24"/>
        </w:rPr>
      </w:pPr>
      <w:r>
        <w:rPr>
          <w:rFonts w:hint="eastAsia" w:ascii="宋体" w:hAnsi="宋体"/>
          <w:color w:val="FF0000"/>
          <w:sz w:val="24"/>
        </w:rPr>
        <w:t>（4）未按规定提交报价保证金的；</w:t>
      </w:r>
    </w:p>
    <w:p>
      <w:pPr>
        <w:spacing w:line="400" w:lineRule="exact"/>
        <w:ind w:left="69" w:leftChars="33" w:firstLine="480" w:firstLineChars="200"/>
        <w:rPr>
          <w:rFonts w:ascii="宋体" w:hAnsi="宋体"/>
          <w:color w:val="FF0000"/>
          <w:sz w:val="24"/>
        </w:rPr>
      </w:pPr>
      <w:r>
        <w:rPr>
          <w:rFonts w:hint="eastAsia" w:ascii="宋体" w:hAnsi="宋体"/>
          <w:color w:val="FF0000"/>
          <w:sz w:val="24"/>
        </w:rPr>
        <w:t>（5）响应文件有效期不满足谈判文件要求的；</w:t>
      </w:r>
    </w:p>
    <w:p>
      <w:pPr>
        <w:spacing w:line="400" w:lineRule="exact"/>
        <w:ind w:left="69" w:leftChars="33" w:firstLine="480" w:firstLineChars="200"/>
        <w:rPr>
          <w:rFonts w:ascii="宋体" w:hAnsi="宋体"/>
          <w:color w:val="FF0000"/>
          <w:sz w:val="24"/>
        </w:rPr>
      </w:pPr>
      <w:r>
        <w:rPr>
          <w:rFonts w:hint="eastAsia" w:ascii="宋体" w:hAnsi="宋体"/>
          <w:color w:val="FF0000"/>
          <w:sz w:val="24"/>
        </w:rPr>
        <w:t>（6）资质验证不合格的；</w:t>
      </w:r>
    </w:p>
    <w:p>
      <w:pPr>
        <w:spacing w:line="400" w:lineRule="exact"/>
        <w:ind w:left="69" w:leftChars="33" w:firstLine="480" w:firstLineChars="200"/>
        <w:rPr>
          <w:rFonts w:ascii="宋体" w:hAnsi="宋体"/>
          <w:color w:val="FF0000"/>
          <w:sz w:val="24"/>
        </w:rPr>
      </w:pPr>
      <w:r>
        <w:rPr>
          <w:rFonts w:hint="eastAsia" w:ascii="宋体" w:hAnsi="宋体"/>
          <w:color w:val="FF0000"/>
          <w:sz w:val="24"/>
        </w:rPr>
        <w:t>（7）响应文件内容与采购内容及要求有重大偏离、保留或未实质性响应的；</w:t>
      </w:r>
    </w:p>
    <w:p>
      <w:pPr>
        <w:spacing w:line="400" w:lineRule="exact"/>
        <w:ind w:left="69" w:leftChars="33" w:firstLine="480" w:firstLineChars="200"/>
        <w:rPr>
          <w:rFonts w:ascii="宋体" w:hAnsi="宋体"/>
          <w:color w:val="FF0000"/>
          <w:sz w:val="24"/>
        </w:rPr>
      </w:pPr>
      <w:r>
        <w:rPr>
          <w:rFonts w:hint="eastAsia" w:ascii="宋体" w:hAnsi="宋体"/>
          <w:color w:val="FF0000"/>
          <w:sz w:val="24"/>
        </w:rPr>
        <w:t>（8）供应商提交的出现两种报价或投标不是固定价，投标方案是可选择的；</w:t>
      </w:r>
    </w:p>
    <w:p>
      <w:pPr>
        <w:spacing w:line="400" w:lineRule="exact"/>
        <w:ind w:left="69" w:leftChars="33" w:firstLine="480" w:firstLineChars="200"/>
        <w:rPr>
          <w:rFonts w:ascii="宋体" w:hAnsi="宋体"/>
          <w:color w:val="FF0000"/>
          <w:sz w:val="24"/>
        </w:rPr>
      </w:pPr>
      <w:r>
        <w:rPr>
          <w:rFonts w:hint="eastAsia" w:ascii="宋体" w:hAnsi="宋体"/>
          <w:color w:val="FF0000"/>
          <w:sz w:val="24"/>
        </w:rPr>
        <w:t>（9）响应供应商未按谈判文件要求进行分项报价；</w:t>
      </w:r>
    </w:p>
    <w:p>
      <w:pPr>
        <w:spacing w:line="400" w:lineRule="exact"/>
        <w:ind w:left="69" w:leftChars="33" w:firstLine="480" w:firstLineChars="200"/>
        <w:rPr>
          <w:rFonts w:ascii="宋体" w:hAnsi="宋体"/>
          <w:color w:val="FF0000"/>
          <w:sz w:val="24"/>
        </w:rPr>
      </w:pPr>
      <w:r>
        <w:rPr>
          <w:rFonts w:hint="eastAsia" w:ascii="宋体" w:hAnsi="宋体"/>
          <w:color w:val="FF0000"/>
          <w:sz w:val="24"/>
        </w:rPr>
        <w:t>（10）响应供应商不按评标委员会要求进行澄清、说明或补正；</w:t>
      </w:r>
    </w:p>
    <w:p>
      <w:pPr>
        <w:spacing w:line="400" w:lineRule="exact"/>
        <w:ind w:left="69" w:leftChars="33" w:firstLine="480" w:firstLineChars="200"/>
        <w:rPr>
          <w:rFonts w:ascii="宋体" w:hAnsi="宋体"/>
          <w:color w:val="FF0000"/>
          <w:sz w:val="24"/>
        </w:rPr>
      </w:pPr>
      <w:r>
        <w:rPr>
          <w:rFonts w:hint="eastAsia" w:ascii="宋体" w:hAnsi="宋体"/>
          <w:color w:val="FF0000"/>
          <w:sz w:val="24"/>
        </w:rPr>
        <w:t>（11）响应文件中提供虚假或失实资料的；</w:t>
      </w:r>
    </w:p>
    <w:p>
      <w:pPr>
        <w:spacing w:line="400" w:lineRule="exact"/>
        <w:ind w:left="69" w:leftChars="33" w:firstLine="480" w:firstLineChars="200"/>
        <w:rPr>
          <w:rFonts w:ascii="宋体" w:hAnsi="宋体"/>
          <w:color w:val="FF0000"/>
          <w:sz w:val="24"/>
        </w:rPr>
      </w:pPr>
      <w:r>
        <w:rPr>
          <w:rFonts w:hint="eastAsia" w:ascii="宋体" w:hAnsi="宋体"/>
          <w:color w:val="FF0000"/>
          <w:sz w:val="24"/>
        </w:rPr>
        <w:t>（12）评标委员会认定谈判响应文件雷同或存在投标供应商串通投标、弄虚作假或其他违法行为的；</w:t>
      </w:r>
    </w:p>
    <w:p>
      <w:pPr>
        <w:spacing w:line="400" w:lineRule="exact"/>
        <w:ind w:left="69" w:leftChars="33" w:firstLine="480" w:firstLineChars="200"/>
        <w:rPr>
          <w:rFonts w:ascii="宋体" w:hAnsi="宋体"/>
          <w:color w:val="FF0000"/>
          <w:sz w:val="24"/>
        </w:rPr>
      </w:pPr>
      <w:r>
        <w:rPr>
          <w:rFonts w:hint="eastAsia" w:ascii="宋体" w:hAnsi="宋体"/>
          <w:color w:val="FF0000"/>
          <w:sz w:val="24"/>
        </w:rPr>
        <w:t>（13）不符合谈判文件中规定的其它实质性条款。</w:t>
      </w:r>
    </w:p>
    <w:p>
      <w:pPr>
        <w:spacing w:line="400" w:lineRule="exact"/>
        <w:ind w:left="69" w:leftChars="33" w:firstLine="480" w:firstLineChars="200"/>
        <w:rPr>
          <w:rFonts w:ascii="宋体" w:hAnsi="宋体"/>
          <w:sz w:val="24"/>
          <w:szCs w:val="24"/>
        </w:rPr>
      </w:pPr>
      <w:r>
        <w:rPr>
          <w:rFonts w:hint="eastAsia"/>
          <w:sz w:val="24"/>
          <w:szCs w:val="24"/>
        </w:rPr>
        <w:t>谈判小组决定报价的响应性只根据响应文件本身的内容，而不寻求其他的外部证据。</w:t>
      </w:r>
    </w:p>
    <w:p>
      <w:pPr>
        <w:pStyle w:val="10"/>
        <w:spacing w:line="400" w:lineRule="exact"/>
        <w:ind w:firstLine="480" w:firstLineChars="200"/>
        <w:jc w:val="left"/>
        <w:rPr>
          <w:rFonts w:hAnsi="宋体"/>
          <w:sz w:val="24"/>
        </w:rPr>
      </w:pPr>
      <w:r>
        <w:rPr>
          <w:rFonts w:hint="eastAsia" w:hAnsi="宋体"/>
          <w:sz w:val="24"/>
        </w:rPr>
        <w:t>17.6</w:t>
      </w:r>
      <w:r>
        <w:rPr>
          <w:rFonts w:hAnsi="宋体"/>
          <w:sz w:val="24"/>
        </w:rPr>
        <w:t>谈判响应供应商提交的响应文件将给予保密，但不予退回。</w:t>
      </w:r>
    </w:p>
    <w:p>
      <w:pPr>
        <w:pStyle w:val="7"/>
        <w:snapToGrid w:val="0"/>
        <w:spacing w:line="400" w:lineRule="exact"/>
        <w:ind w:firstLine="480" w:firstLineChars="200"/>
        <w:outlineLvl w:val="0"/>
        <w:rPr>
          <w:sz w:val="24"/>
          <w:szCs w:val="24"/>
        </w:rPr>
      </w:pPr>
      <w:r>
        <w:rPr>
          <w:rFonts w:hint="eastAsia"/>
          <w:sz w:val="24"/>
          <w:szCs w:val="24"/>
        </w:rPr>
        <w:t>17.7谈判响应供应商资格和报价产品均必须满足中华人民共和国相关法律法规及行业的强制性要求，否则将作无效响应处理。</w:t>
      </w:r>
    </w:p>
    <w:p>
      <w:pPr>
        <w:pStyle w:val="7"/>
        <w:snapToGrid w:val="0"/>
        <w:spacing w:line="400" w:lineRule="exact"/>
        <w:ind w:firstLine="0"/>
        <w:outlineLvl w:val="0"/>
        <w:rPr>
          <w:sz w:val="24"/>
          <w:szCs w:val="24"/>
        </w:rPr>
      </w:pPr>
      <w:r>
        <w:rPr>
          <w:rFonts w:hint="eastAsia"/>
          <w:b/>
          <w:sz w:val="24"/>
          <w:szCs w:val="24"/>
        </w:rPr>
        <w:t>18.谈判响应文件的澄清</w:t>
      </w:r>
    </w:p>
    <w:p>
      <w:pPr>
        <w:pStyle w:val="7"/>
        <w:snapToGrid w:val="0"/>
        <w:spacing w:line="400" w:lineRule="exact"/>
        <w:ind w:firstLine="480" w:firstLineChars="200"/>
        <w:outlineLvl w:val="0"/>
        <w:rPr>
          <w:sz w:val="24"/>
          <w:szCs w:val="24"/>
        </w:rPr>
      </w:pPr>
      <w:r>
        <w:rPr>
          <w:rFonts w:hint="eastAsia"/>
          <w:sz w:val="24"/>
          <w:szCs w:val="24"/>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10"/>
        <w:spacing w:line="400" w:lineRule="exact"/>
        <w:jc w:val="left"/>
        <w:rPr>
          <w:rFonts w:hAnsi="宋体"/>
          <w:b/>
          <w:sz w:val="24"/>
        </w:rPr>
      </w:pPr>
      <w:r>
        <w:rPr>
          <w:rFonts w:hint="eastAsia" w:hAnsi="宋体"/>
          <w:b/>
          <w:sz w:val="24"/>
        </w:rPr>
        <w:t>19</w:t>
      </w:r>
      <w:r>
        <w:rPr>
          <w:rFonts w:hAnsi="宋体"/>
          <w:b/>
          <w:sz w:val="24"/>
        </w:rPr>
        <w:t>.</w:t>
      </w:r>
      <w:r>
        <w:rPr>
          <w:rFonts w:hint="eastAsia" w:hAnsi="宋体"/>
          <w:b/>
          <w:sz w:val="24"/>
        </w:rPr>
        <w:t>比较与评价</w:t>
      </w:r>
    </w:p>
    <w:p>
      <w:pPr>
        <w:pStyle w:val="10"/>
        <w:spacing w:line="400" w:lineRule="exact"/>
        <w:ind w:firstLine="482" w:firstLineChars="200"/>
        <w:jc w:val="left"/>
        <w:rPr>
          <w:rFonts w:hAnsi="宋体"/>
          <w:b/>
          <w:bCs/>
          <w:color w:val="FF0000"/>
          <w:sz w:val="24"/>
        </w:rPr>
      </w:pPr>
      <w:r>
        <w:rPr>
          <w:rFonts w:hint="eastAsia" w:hAnsi="宋体"/>
          <w:b/>
          <w:bCs/>
          <w:color w:val="FF0000"/>
          <w:sz w:val="24"/>
        </w:rPr>
        <w:t>19</w:t>
      </w:r>
      <w:r>
        <w:rPr>
          <w:rFonts w:hAnsi="宋体"/>
          <w:b/>
          <w:bCs/>
          <w:color w:val="FF0000"/>
          <w:sz w:val="24"/>
        </w:rPr>
        <w:t xml:space="preserve">.1 </w:t>
      </w:r>
      <w:r>
        <w:rPr>
          <w:rFonts w:hint="eastAsia" w:hAnsi="宋体"/>
          <w:b/>
          <w:bCs/>
          <w:color w:val="FF0000"/>
          <w:sz w:val="24"/>
        </w:rPr>
        <w:t>本次谈判采用最低价评标法。</w:t>
      </w:r>
    </w:p>
    <w:p>
      <w:pPr>
        <w:pStyle w:val="10"/>
        <w:spacing w:line="400" w:lineRule="exact"/>
        <w:ind w:firstLine="480" w:firstLineChars="200"/>
        <w:jc w:val="left"/>
        <w:rPr>
          <w:rFonts w:hAnsi="宋体"/>
          <w:sz w:val="24"/>
        </w:rPr>
      </w:pPr>
      <w:r>
        <w:rPr>
          <w:rFonts w:hint="eastAsia" w:hAnsi="宋体"/>
          <w:sz w:val="24"/>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10"/>
        <w:spacing w:line="400" w:lineRule="exact"/>
        <w:ind w:firstLine="480" w:firstLineChars="200"/>
        <w:jc w:val="left"/>
        <w:rPr>
          <w:rFonts w:hAnsi="宋体"/>
          <w:sz w:val="24"/>
        </w:rPr>
      </w:pPr>
      <w:r>
        <w:rPr>
          <w:rFonts w:hint="eastAsia" w:hAnsi="宋体"/>
          <w:sz w:val="24"/>
        </w:rPr>
        <w:t>19</w:t>
      </w:r>
      <w:r>
        <w:rPr>
          <w:rFonts w:hAnsi="宋体"/>
          <w:sz w:val="24"/>
        </w:rPr>
        <w:t>.</w:t>
      </w:r>
      <w:r>
        <w:rPr>
          <w:rFonts w:hint="eastAsia" w:hAnsi="宋体"/>
          <w:sz w:val="24"/>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7"/>
        <w:spacing w:line="360" w:lineRule="auto"/>
        <w:ind w:firstLine="426" w:firstLineChars="177"/>
        <w:rPr>
          <w:b/>
          <w:bCs/>
          <w:color w:val="FF0000"/>
          <w:sz w:val="24"/>
        </w:rPr>
      </w:pPr>
      <w:r>
        <w:rPr>
          <w:rFonts w:hint="eastAsia"/>
          <w:b/>
          <w:bCs/>
          <w:color w:val="FF0000"/>
          <w:sz w:val="24"/>
        </w:rPr>
        <w:t>20.废标原则</w:t>
      </w:r>
    </w:p>
    <w:p>
      <w:pPr>
        <w:pStyle w:val="7"/>
        <w:spacing w:line="360" w:lineRule="auto"/>
        <w:ind w:firstLine="424" w:firstLineChars="177"/>
        <w:rPr>
          <w:color w:val="FF0000"/>
          <w:sz w:val="24"/>
        </w:rPr>
      </w:pPr>
      <w:r>
        <w:rPr>
          <w:rFonts w:hint="eastAsia"/>
          <w:color w:val="FF0000"/>
          <w:sz w:val="24"/>
        </w:rPr>
        <w:t xml:space="preserve">    出现下列情况之一的，应予废标。</w:t>
      </w:r>
    </w:p>
    <w:p>
      <w:pPr>
        <w:pStyle w:val="7"/>
        <w:spacing w:line="360" w:lineRule="auto"/>
        <w:ind w:firstLine="424" w:firstLineChars="177"/>
        <w:rPr>
          <w:color w:val="FF0000"/>
          <w:sz w:val="24"/>
        </w:rPr>
      </w:pPr>
      <w:r>
        <w:rPr>
          <w:rFonts w:hint="eastAsia"/>
          <w:color w:val="FF0000"/>
          <w:sz w:val="24"/>
        </w:rPr>
        <w:t>20.1截止报名时间，报名供应商不足三家的；</w:t>
      </w:r>
    </w:p>
    <w:p>
      <w:pPr>
        <w:pStyle w:val="7"/>
        <w:spacing w:line="360" w:lineRule="auto"/>
        <w:ind w:firstLine="424" w:firstLineChars="177"/>
        <w:rPr>
          <w:color w:val="FF0000"/>
          <w:sz w:val="24"/>
        </w:rPr>
      </w:pPr>
      <w:r>
        <w:rPr>
          <w:rFonts w:hint="eastAsia"/>
          <w:color w:val="FF0000"/>
          <w:sz w:val="24"/>
        </w:rPr>
        <w:t>20.2符合专业条件的供应商或者对招标文件作实质响应的供应商不足三家的；</w:t>
      </w:r>
    </w:p>
    <w:p>
      <w:pPr>
        <w:pStyle w:val="7"/>
        <w:spacing w:line="360" w:lineRule="auto"/>
        <w:ind w:firstLine="424" w:firstLineChars="177"/>
        <w:rPr>
          <w:color w:val="FF0000"/>
          <w:sz w:val="24"/>
        </w:rPr>
      </w:pPr>
      <w:r>
        <w:rPr>
          <w:rFonts w:hint="eastAsia"/>
          <w:color w:val="FF0000"/>
          <w:sz w:val="24"/>
        </w:rPr>
        <w:t>20.3出现影响采购公正的违法、违规行为的；</w:t>
      </w:r>
    </w:p>
    <w:p>
      <w:pPr>
        <w:pStyle w:val="7"/>
        <w:spacing w:line="360" w:lineRule="auto"/>
        <w:ind w:firstLine="424" w:firstLineChars="177"/>
        <w:rPr>
          <w:color w:val="FF0000"/>
          <w:sz w:val="24"/>
        </w:rPr>
      </w:pPr>
      <w:r>
        <w:rPr>
          <w:rFonts w:hint="eastAsia"/>
          <w:color w:val="FF0000"/>
          <w:sz w:val="24"/>
        </w:rPr>
        <w:t>20.4谈判响应供应商的投标总价均超过了采购预算价，采购人不能支付的；</w:t>
      </w:r>
    </w:p>
    <w:p>
      <w:pPr>
        <w:pStyle w:val="7"/>
        <w:spacing w:line="360" w:lineRule="auto"/>
        <w:ind w:firstLine="424" w:firstLineChars="177"/>
        <w:rPr>
          <w:color w:val="FF0000"/>
          <w:sz w:val="24"/>
        </w:rPr>
      </w:pPr>
      <w:r>
        <w:rPr>
          <w:rFonts w:hint="eastAsia"/>
          <w:color w:val="FF0000"/>
          <w:sz w:val="24"/>
        </w:rPr>
        <w:t>20.5因不可抗力导致重大变故，采购任务取消的。</w:t>
      </w:r>
    </w:p>
    <w:p>
      <w:pPr>
        <w:pStyle w:val="7"/>
        <w:spacing w:line="360" w:lineRule="auto"/>
        <w:ind w:firstLine="424" w:firstLineChars="177"/>
        <w:rPr>
          <w:color w:val="FF0000"/>
          <w:sz w:val="24"/>
        </w:rPr>
      </w:pPr>
      <w:r>
        <w:rPr>
          <w:rFonts w:hint="eastAsia"/>
          <w:color w:val="FF0000"/>
          <w:sz w:val="24"/>
        </w:rPr>
        <w:t>20.6符合采购文件其他规定情形的。</w:t>
      </w:r>
    </w:p>
    <w:p>
      <w:pPr>
        <w:spacing w:line="440" w:lineRule="exact"/>
        <w:ind w:firstLine="482" w:firstLineChars="20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FF0000"/>
          <w:sz w:val="24"/>
          <w:szCs w:val="24"/>
        </w:rPr>
        <w:t>21.</w:t>
      </w:r>
      <w:r>
        <w:rPr>
          <w:rFonts w:hint="eastAsia" w:ascii="宋体" w:hAnsi="宋体" w:eastAsia="宋体" w:cs="宋体"/>
          <w:b/>
          <w:bCs/>
          <w:color w:val="000000" w:themeColor="text1"/>
          <w:sz w:val="24"/>
          <w:szCs w:val="24"/>
          <w14:textFill>
            <w14:solidFill>
              <w14:schemeClr w14:val="tx1"/>
            </w14:solidFill>
          </w14:textFill>
        </w:rPr>
        <w:t>质疑与投诉</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21.1供应商认为谈判文件、采购过程和中标结果使自己的权益受到损害的，可以在知道或者应知其权益受到损害之日起七个工作日内，以书面</w:t>
      </w:r>
      <w:r>
        <w:rPr>
          <w:rFonts w:hint="eastAsia" w:ascii="宋体" w:hAnsi="宋体"/>
          <w:color w:val="000000" w:themeColor="text1"/>
          <w:sz w:val="24"/>
          <w:lang w:eastAsia="zh-CN"/>
          <w14:textFill>
            <w14:solidFill>
              <w14:schemeClr w14:val="tx1"/>
            </w14:solidFill>
          </w14:textFill>
        </w:rPr>
        <w:t>原件</w:t>
      </w:r>
      <w:r>
        <w:rPr>
          <w:rFonts w:hint="eastAsia" w:ascii="宋体" w:hAnsi="宋体"/>
          <w:color w:val="000000" w:themeColor="text1"/>
          <w:sz w:val="24"/>
          <w14:textFill>
            <w14:solidFill>
              <w14:schemeClr w14:val="tx1"/>
            </w14:solidFill>
          </w14:textFill>
        </w:rPr>
        <w:t>形式向采购人或</w:t>
      </w:r>
      <w:r>
        <w:rPr>
          <w:rFonts w:hint="eastAsia" w:asciiTheme="minorEastAsia" w:hAnsiTheme="minorEastAsia"/>
          <w:color w:val="FF0000"/>
          <w:sz w:val="24"/>
        </w:rPr>
        <w:t>贵州黔诚商务有限公司</w:t>
      </w:r>
      <w:r>
        <w:rPr>
          <w:rFonts w:hint="eastAsia" w:ascii="宋体" w:hAnsi="宋体"/>
          <w:color w:val="000000" w:themeColor="text1"/>
          <w:sz w:val="24"/>
          <w14:textFill>
            <w14:solidFill>
              <w14:schemeClr w14:val="tx1"/>
            </w14:solidFill>
          </w14:textFill>
        </w:rPr>
        <w:t>提出质疑，逾期质疑无效。</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21.2供应商应知其权益受到损害之日是指：对谈判文件提出质疑的，为收到谈判文件之日或者谈判文件公告期限届满之日；</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21.2.1对采购过程提出质疑的，为各采购程序环节结束之日；</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21.2.2对中标结果提出质疑的，为中标结果公告发布之日。</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21.3 质疑文件应当包括下列主要内容：</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质疑供应商和相关供应商的名称、地址、联系人及联系电话等；质疑项目及编号、质疑事项；认为谈判文件、采购过程、中标和成交结果使自己的合法权益受到损害的法律依据、事实依据、相关证明材料及证据来源；提出质疑的日期。</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21.4质疑函应当署名：质疑供应商为自然人的，应当由本人签字；质疑供应商为法人的，应当由法人代表签字并加盖法人章，质疑供应商为其他组织的，应当由其负责人签字并加盖单位公章。</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21.5供应商质疑应当有明确的请求和必要的证明材料，质疑内容不得含有虚假、恶意成份。依照谁主张谁举证的原则，提出质疑者必须同时提交相关确凿的证据材料和注明证据的确切来源，证据来源必须合法，</w:t>
      </w:r>
      <w:r>
        <w:rPr>
          <w:rFonts w:hint="eastAsia" w:asciiTheme="minorEastAsia" w:hAnsiTheme="minorEastAsia"/>
          <w:color w:val="FF0000"/>
          <w:sz w:val="24"/>
        </w:rPr>
        <w:t>贵州黔诚商务有限公司</w:t>
      </w:r>
      <w:r>
        <w:rPr>
          <w:rFonts w:hint="eastAsia" w:ascii="宋体" w:hAnsi="宋体"/>
          <w:color w:val="000000" w:themeColor="text1"/>
          <w:sz w:val="24"/>
          <w14:textFill>
            <w14:solidFill>
              <w14:schemeClr w14:val="tx1"/>
            </w14:solidFill>
          </w14:textFill>
        </w:rPr>
        <w:t>有权将质疑函转发质疑事项各关联方，请其作出解释说明。对捏造事实、滥用维权扰乱采购秩序的恶意质疑者，将上报政府采购监督管理部门依法处理。</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21.6质疑供应商对采购人、</w:t>
      </w:r>
      <w:r>
        <w:rPr>
          <w:rFonts w:hint="eastAsia" w:asciiTheme="minorEastAsia" w:hAnsiTheme="minorEastAsia"/>
          <w:color w:val="FF0000"/>
          <w:sz w:val="24"/>
        </w:rPr>
        <w:t>贵州黔诚商务有限公司</w:t>
      </w:r>
      <w:r>
        <w:rPr>
          <w:rFonts w:hint="eastAsia" w:ascii="宋体" w:hAnsi="宋体"/>
          <w:color w:val="000000" w:themeColor="text1"/>
          <w:sz w:val="24"/>
          <w14:textFill>
            <w14:solidFill>
              <w14:schemeClr w14:val="tx1"/>
            </w14:solidFill>
          </w14:textFill>
        </w:rPr>
        <w:t>的质疑答复不满意，或者采购人、</w:t>
      </w:r>
      <w:r>
        <w:rPr>
          <w:rFonts w:hint="eastAsia" w:asciiTheme="minorEastAsia" w:hAnsiTheme="minorEastAsia"/>
          <w:color w:val="FF0000"/>
          <w:sz w:val="24"/>
        </w:rPr>
        <w:t>贵州黔诚商务有限公司</w:t>
      </w:r>
      <w:r>
        <w:rPr>
          <w:rFonts w:hint="eastAsia" w:ascii="宋体" w:hAnsi="宋体"/>
          <w:color w:val="000000" w:themeColor="text1"/>
          <w:sz w:val="24"/>
          <w14:textFill>
            <w14:solidFill>
              <w14:schemeClr w14:val="tx1"/>
            </w14:solidFill>
          </w14:textFill>
        </w:rPr>
        <w:t>未在规定期限内作出答复的，可以在答复期满后15个工作日内向采购人的同级政府采购监督管理部门提起投诉。</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21.7质疑受理部门：</w:t>
      </w:r>
      <w:r>
        <w:rPr>
          <w:rFonts w:hint="eastAsia" w:asciiTheme="minorEastAsia" w:hAnsiTheme="minorEastAsia"/>
          <w:color w:val="FF0000"/>
          <w:sz w:val="24"/>
        </w:rPr>
        <w:t>贵州黔诚商务有限公司及</w:t>
      </w:r>
      <w:r>
        <w:rPr>
          <w:rFonts w:hint="eastAsia" w:asciiTheme="minorEastAsia" w:hAnsiTheme="minorEastAsia"/>
          <w:color w:val="FF0000"/>
          <w:sz w:val="24"/>
          <w:lang w:eastAsia="zh-CN"/>
        </w:rPr>
        <w:t>石阡县农业农村局</w:t>
      </w:r>
      <w:r>
        <w:rPr>
          <w:rFonts w:hint="eastAsia" w:asciiTheme="minorEastAsia" w:hAnsiTheme="minorEastAsia"/>
          <w:color w:val="FF0000"/>
          <w:sz w:val="24"/>
        </w:rPr>
        <w:t xml:space="preserve"> </w:t>
      </w:r>
      <w:r>
        <w:rPr>
          <w:rFonts w:hint="eastAsia" w:ascii="宋体" w:hAnsi="宋体"/>
          <w:color w:val="000000" w:themeColor="text1"/>
          <w:sz w:val="24"/>
          <w14:textFill>
            <w14:solidFill>
              <w14:schemeClr w14:val="tx1"/>
            </w14:solidFill>
          </w14:textFill>
        </w:rPr>
        <w:t xml:space="preserve"> </w:t>
      </w:r>
    </w:p>
    <w:p>
      <w:pPr>
        <w:spacing w:line="440" w:lineRule="exact"/>
        <w:ind w:firstLine="480"/>
        <w:rPr>
          <w:rFonts w:asciiTheme="minorEastAsia" w:hAnsiTheme="minorEastAsia"/>
          <w:color w:val="FF0000"/>
          <w:sz w:val="24"/>
        </w:rPr>
      </w:pPr>
      <w:r>
        <w:rPr>
          <w:rFonts w:hint="eastAsia" w:ascii="宋体" w:hAnsi="宋体"/>
          <w:color w:val="000000" w:themeColor="text1"/>
          <w:sz w:val="24"/>
          <w14:textFill>
            <w14:solidFill>
              <w14:schemeClr w14:val="tx1"/>
            </w14:solidFill>
          </w14:textFill>
        </w:rPr>
        <w:t>21.8提交质疑文件地点：</w:t>
      </w:r>
      <w:r>
        <w:rPr>
          <w:rFonts w:hint="eastAsia" w:asciiTheme="minorEastAsia" w:hAnsiTheme="minorEastAsia"/>
          <w:color w:val="FF0000"/>
          <w:sz w:val="24"/>
        </w:rPr>
        <w:t>贵阳市观山湖区SOHO公寓E座（只接受现场提交书面质疑函）。</w:t>
      </w:r>
    </w:p>
    <w:p>
      <w:pPr>
        <w:spacing w:line="440" w:lineRule="exact"/>
        <w:ind w:firstLine="480"/>
        <w:rPr>
          <w:rFonts w:asciiTheme="minorEastAsia" w:hAnsiTheme="minorEastAsia"/>
          <w:color w:val="FF0000"/>
          <w:sz w:val="24"/>
        </w:rPr>
      </w:pPr>
      <w:r>
        <w:rPr>
          <w:rFonts w:hint="eastAsia" w:ascii="宋体" w:hAnsi="宋体"/>
          <w:color w:val="000000" w:themeColor="text1"/>
          <w:sz w:val="24"/>
          <w14:textFill>
            <w14:solidFill>
              <w14:schemeClr w14:val="tx1"/>
            </w14:solidFill>
          </w14:textFill>
        </w:rPr>
        <w:t>21.9</w:t>
      </w:r>
      <w:r>
        <w:rPr>
          <w:rFonts w:hint="eastAsia" w:asciiTheme="minorEastAsia" w:hAnsiTheme="minorEastAsia"/>
          <w:color w:val="FF0000"/>
          <w:sz w:val="24"/>
        </w:rPr>
        <w:t>本次采购活动中，代理机构对质疑回复等文件的送达方式为现场取件。</w:t>
      </w:r>
    </w:p>
    <w:p>
      <w:pPr>
        <w:pStyle w:val="7"/>
        <w:spacing w:line="360" w:lineRule="auto"/>
        <w:ind w:firstLine="424" w:firstLineChars="177"/>
        <w:rPr>
          <w:color w:val="FF0000"/>
          <w:sz w:val="24"/>
        </w:rPr>
      </w:pPr>
    </w:p>
    <w:p>
      <w:pPr>
        <w:pStyle w:val="34"/>
        <w:spacing w:line="400" w:lineRule="exact"/>
        <w:jc w:val="center"/>
        <w:outlineLvl w:val="9"/>
        <w:rPr>
          <w:rFonts w:hAnsi="宋体"/>
          <w:b/>
          <w:sz w:val="24"/>
        </w:rPr>
      </w:pPr>
      <w:r>
        <w:rPr>
          <w:rFonts w:hint="eastAsia" w:hAnsi="宋体"/>
          <w:b/>
          <w:sz w:val="24"/>
        </w:rPr>
        <w:t>六、成交与签订合同</w:t>
      </w:r>
    </w:p>
    <w:p>
      <w:pPr>
        <w:pStyle w:val="10"/>
        <w:spacing w:line="400" w:lineRule="exact"/>
        <w:jc w:val="left"/>
        <w:rPr>
          <w:rFonts w:hAnsi="宋体"/>
          <w:sz w:val="24"/>
        </w:rPr>
      </w:pPr>
      <w:r>
        <w:rPr>
          <w:rFonts w:hint="eastAsia" w:hAnsi="宋体"/>
          <w:sz w:val="24"/>
        </w:rPr>
        <w:t>22.成交准则</w:t>
      </w:r>
    </w:p>
    <w:p>
      <w:pPr>
        <w:pStyle w:val="10"/>
        <w:spacing w:line="400" w:lineRule="exact"/>
        <w:jc w:val="left"/>
        <w:rPr>
          <w:rFonts w:hAnsi="宋体"/>
          <w:sz w:val="24"/>
        </w:rPr>
      </w:pPr>
      <w:r>
        <w:rPr>
          <w:rFonts w:hint="eastAsia" w:hAnsi="宋体"/>
          <w:sz w:val="24"/>
        </w:rPr>
        <w:t xml:space="preserve">    谈判小组根据谈判报价情况，按照“低价优先”依次对报价符合条件的供应商的谈判响应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10"/>
        <w:spacing w:line="400" w:lineRule="exact"/>
        <w:jc w:val="left"/>
        <w:rPr>
          <w:rFonts w:hAnsi="宋体"/>
          <w:b/>
          <w:sz w:val="24"/>
        </w:rPr>
      </w:pPr>
      <w:r>
        <w:rPr>
          <w:rFonts w:hint="eastAsia" w:hAnsi="宋体"/>
          <w:b/>
          <w:sz w:val="24"/>
        </w:rPr>
        <w:t>23</w:t>
      </w:r>
      <w:r>
        <w:rPr>
          <w:rFonts w:hAnsi="宋体"/>
          <w:b/>
          <w:sz w:val="24"/>
        </w:rPr>
        <w:t>.成交通知</w:t>
      </w:r>
    </w:p>
    <w:p>
      <w:pPr>
        <w:pStyle w:val="10"/>
        <w:spacing w:line="400" w:lineRule="exact"/>
        <w:ind w:firstLine="480" w:firstLineChars="200"/>
        <w:jc w:val="left"/>
        <w:rPr>
          <w:rFonts w:hAnsi="宋体"/>
          <w:bCs/>
          <w:sz w:val="24"/>
        </w:rPr>
      </w:pPr>
      <w:r>
        <w:rPr>
          <w:rFonts w:hint="eastAsia" w:hAnsi="宋体"/>
          <w:bCs/>
          <w:sz w:val="24"/>
        </w:rPr>
        <w:t>谈判结束后，确定拟成交供应商，在</w:t>
      </w:r>
      <w:r>
        <w:rPr>
          <w:rFonts w:hint="eastAsia" w:hAnsi="宋体"/>
          <w:bCs/>
          <w:color w:val="FF0000"/>
          <w:sz w:val="24"/>
        </w:rPr>
        <w:t>全国公共资源交易平台（贵州省</w:t>
      </w:r>
      <w:r>
        <w:rPr>
          <w:rFonts w:hint="eastAsia" w:ascii="仿宋" w:hAnsi="仿宋" w:eastAsia="仿宋" w:cs="仿宋"/>
          <w:bCs/>
          <w:color w:val="FF0000"/>
          <w:sz w:val="24"/>
        </w:rPr>
        <w:t>·</w:t>
      </w:r>
      <w:r>
        <w:rPr>
          <w:rFonts w:hint="eastAsia" w:hAnsi="宋体"/>
          <w:bCs/>
          <w:color w:val="FF0000"/>
          <w:sz w:val="24"/>
        </w:rPr>
        <w:t>铜仁市）、</w:t>
      </w:r>
      <w:r>
        <w:rPr>
          <w:rFonts w:hint="eastAsia" w:hAnsi="宋体"/>
          <w:bCs/>
          <w:sz w:val="24"/>
        </w:rPr>
        <w:t>贵州省财政部门指定的政府采购信息发布媒体上进行公告，并发放成交通知书，《成交通知书》将作为签订合同的重要依据，所有未成交的供应商不另行通知，贵州黔诚商务有限公司无义务向未中标的谈判响应供应商解释落标原因，不退还谈判响应文件。</w:t>
      </w:r>
    </w:p>
    <w:p>
      <w:pPr>
        <w:pStyle w:val="10"/>
        <w:spacing w:line="400" w:lineRule="exact"/>
        <w:jc w:val="left"/>
        <w:rPr>
          <w:rFonts w:hAnsi="宋体"/>
          <w:b/>
          <w:sz w:val="24"/>
        </w:rPr>
      </w:pPr>
      <w:r>
        <w:rPr>
          <w:rFonts w:hint="eastAsia" w:hAnsi="宋体"/>
          <w:b/>
          <w:sz w:val="24"/>
        </w:rPr>
        <w:t>24.</w:t>
      </w:r>
      <w:r>
        <w:rPr>
          <w:rFonts w:hAnsi="宋体"/>
          <w:b/>
          <w:sz w:val="24"/>
        </w:rPr>
        <w:t>签订合同</w:t>
      </w:r>
    </w:p>
    <w:p>
      <w:pPr>
        <w:pStyle w:val="10"/>
        <w:spacing w:line="400" w:lineRule="exact"/>
        <w:ind w:firstLine="480" w:firstLineChars="200"/>
        <w:jc w:val="left"/>
        <w:rPr>
          <w:rFonts w:hAnsi="宋体"/>
          <w:sz w:val="24"/>
        </w:rPr>
      </w:pPr>
      <w:r>
        <w:rPr>
          <w:rFonts w:hint="eastAsia" w:hAnsi="宋体"/>
          <w:sz w:val="24"/>
        </w:rPr>
        <w:t>24</w:t>
      </w:r>
      <w:r>
        <w:rPr>
          <w:rFonts w:hAnsi="宋体"/>
          <w:sz w:val="24"/>
        </w:rPr>
        <w:t>.1</w:t>
      </w:r>
      <w:r>
        <w:rPr>
          <w:rFonts w:hint="eastAsia" w:hAnsi="宋体"/>
          <w:sz w:val="24"/>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报价保证金，以抵偿对采购人造成的损失。采购人逾期不与成交供应商签订合同的，按政府采购的有关规定处理。</w:t>
      </w:r>
    </w:p>
    <w:p>
      <w:pPr>
        <w:pStyle w:val="10"/>
        <w:spacing w:line="360" w:lineRule="auto"/>
        <w:ind w:firstLine="480" w:firstLineChars="200"/>
        <w:jc w:val="left"/>
        <w:rPr>
          <w:rFonts w:hAnsi="宋体"/>
          <w:sz w:val="24"/>
        </w:rPr>
      </w:pPr>
      <w:r>
        <w:rPr>
          <w:rFonts w:hint="eastAsia" w:hAnsi="宋体"/>
          <w:sz w:val="24"/>
        </w:rPr>
        <w:t xml:space="preserve">24.2 </w:t>
      </w:r>
      <w:r>
        <w:rPr>
          <w:rFonts w:hint="eastAsia" w:hAnsi="宋体"/>
          <w:b/>
          <w:bCs/>
          <w:color w:val="FF0000"/>
          <w:sz w:val="24"/>
          <w:u w:val="single"/>
        </w:rPr>
        <w:t>政府采购合同签订后，成交供应商应将合同及时上传至全国公共资源交易平台（贵州省铜仁市）站进行合同备案，上传成功后，截图打印，并作为退还保证金的依据之一。</w:t>
      </w:r>
    </w:p>
    <w:p>
      <w:pPr>
        <w:pStyle w:val="10"/>
        <w:spacing w:line="400" w:lineRule="exact"/>
        <w:ind w:firstLine="480" w:firstLineChars="200"/>
        <w:jc w:val="left"/>
        <w:rPr>
          <w:rFonts w:hAnsi="宋体"/>
          <w:sz w:val="24"/>
        </w:rPr>
      </w:pPr>
      <w:r>
        <w:rPr>
          <w:rFonts w:hint="eastAsia" w:hAnsi="宋体"/>
          <w:sz w:val="24"/>
        </w:rPr>
        <w:t>24</w:t>
      </w:r>
      <w:r>
        <w:rPr>
          <w:rFonts w:hAnsi="宋体"/>
          <w:sz w:val="24"/>
        </w:rPr>
        <w:t>.</w:t>
      </w:r>
      <w:r>
        <w:rPr>
          <w:rFonts w:hint="eastAsia" w:hAnsi="宋体"/>
          <w:sz w:val="24"/>
        </w:rPr>
        <w:t>3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10"/>
        <w:spacing w:line="400" w:lineRule="exact"/>
        <w:ind w:firstLine="480" w:firstLineChars="200"/>
        <w:jc w:val="left"/>
        <w:rPr>
          <w:rFonts w:hAnsi="宋体"/>
          <w:sz w:val="24"/>
        </w:rPr>
      </w:pPr>
      <w:r>
        <w:rPr>
          <w:rFonts w:hint="eastAsia" w:hAnsi="宋体"/>
          <w:sz w:val="24"/>
        </w:rPr>
        <w:t>24.4采购人在合同履行中，需追加与合同标的相同的货物或者服务的，在不改变合同其他条款的前提下，可与供应商协商签订补充合同，但所有补充合同的采购金额不得超过原合同采购金额的10%。</w:t>
      </w:r>
    </w:p>
    <w:p>
      <w:pPr>
        <w:spacing w:line="400" w:lineRule="exact"/>
        <w:ind w:firstLine="480" w:firstLineChars="200"/>
        <w:rPr>
          <w:rFonts w:ascii="宋体"/>
          <w:sz w:val="24"/>
          <w:szCs w:val="24"/>
        </w:rPr>
      </w:pPr>
      <w:r>
        <w:rPr>
          <w:rFonts w:hint="eastAsia"/>
          <w:sz w:val="24"/>
          <w:szCs w:val="24"/>
        </w:rPr>
        <w:t>24.5成交供应商因不可抗力或者自身原因不能履行政府采购合同的，采购人可以与排位在成交供应商之后第一位的成交备选供应商签订政府采购合同，以此类推。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10"/>
        <w:spacing w:line="400" w:lineRule="exact"/>
        <w:ind w:firstLine="480" w:firstLineChars="200"/>
        <w:jc w:val="left"/>
        <w:rPr>
          <w:rFonts w:hAnsi="宋体"/>
          <w:bCs/>
          <w:sz w:val="24"/>
        </w:rPr>
      </w:pPr>
      <w:r>
        <w:rPr>
          <w:rFonts w:hint="eastAsia" w:hAnsi="宋体"/>
          <w:bCs/>
          <w:sz w:val="24"/>
        </w:rPr>
        <w:t>25.成交服务费</w:t>
      </w:r>
    </w:p>
    <w:p>
      <w:pPr>
        <w:spacing w:line="400" w:lineRule="exact"/>
        <w:outlineLvl w:val="0"/>
        <w:rPr>
          <w:rFonts w:ascii="宋体" w:hAnsi="宋体"/>
          <w:b/>
          <w:bCs/>
          <w:sz w:val="30"/>
          <w:szCs w:val="30"/>
        </w:rPr>
      </w:pPr>
      <w:r>
        <w:rPr>
          <w:rFonts w:hint="eastAsia" w:ascii="宋体" w:hAnsi="宋体"/>
          <w:sz w:val="24"/>
        </w:rPr>
        <w:t>代理服务费收取标准及方式：本项目代理服务费由中标（成交）供应商，按国家计委计价格（2002）1980号文件规定的标准缴纳，并在领取中标（成交）通知书前结清。</w:t>
      </w:r>
    </w:p>
    <w:p>
      <w:pPr>
        <w:spacing w:line="360" w:lineRule="auto"/>
        <w:jc w:val="center"/>
        <w:outlineLvl w:val="0"/>
        <w:rPr>
          <w:rFonts w:ascii="宋体" w:hAnsi="宋体"/>
          <w:b/>
          <w:bCs/>
          <w:sz w:val="30"/>
          <w:szCs w:val="30"/>
        </w:rPr>
      </w:pPr>
    </w:p>
    <w:p>
      <w:pPr>
        <w:spacing w:line="360" w:lineRule="auto"/>
        <w:jc w:val="center"/>
        <w:outlineLvl w:val="0"/>
        <w:rPr>
          <w:rFonts w:ascii="宋体" w:hAnsi="宋体"/>
          <w:b/>
          <w:bCs/>
          <w:sz w:val="30"/>
          <w:szCs w:val="30"/>
        </w:rPr>
      </w:pPr>
    </w:p>
    <w:p>
      <w:pPr>
        <w:pStyle w:val="2"/>
      </w:pPr>
      <w:r>
        <w:br w:type="page"/>
      </w:r>
    </w:p>
    <w:p>
      <w:pPr>
        <w:spacing w:line="360" w:lineRule="auto"/>
        <w:jc w:val="center"/>
        <w:outlineLvl w:val="0"/>
        <w:rPr>
          <w:rFonts w:ascii="宋体" w:hAnsi="宋体"/>
          <w:b/>
          <w:bCs/>
          <w:sz w:val="36"/>
          <w:szCs w:val="36"/>
        </w:rPr>
      </w:pPr>
      <w:r>
        <w:rPr>
          <w:rFonts w:hint="eastAsia" w:ascii="宋体" w:hAnsi="宋体"/>
          <w:b/>
          <w:bCs/>
          <w:sz w:val="36"/>
          <w:szCs w:val="36"/>
        </w:rPr>
        <w:t>第四章  谈判内容及要求</w:t>
      </w:r>
    </w:p>
    <w:p>
      <w:pPr>
        <w:pStyle w:val="30"/>
        <w:rPr>
          <w:rFonts w:hAnsi="宋体"/>
        </w:rPr>
      </w:pPr>
    </w:p>
    <w:p>
      <w:pPr>
        <w:pStyle w:val="4"/>
        <w:numPr>
          <w:ilvl w:val="0"/>
          <w:numId w:val="2"/>
        </w:numPr>
        <w:spacing w:before="240" w:after="240"/>
        <w:rPr>
          <w:rFonts w:ascii="宋体" w:hAnsi="宋体" w:eastAsia="宋体" w:cs="宋体"/>
          <w:sz w:val="24"/>
          <w:szCs w:val="24"/>
        </w:rPr>
      </w:pPr>
      <w:r>
        <w:rPr>
          <w:rFonts w:hint="eastAsia" w:ascii="宋体" w:hAnsi="宋体" w:eastAsia="宋体" w:cs="宋体"/>
          <w:sz w:val="24"/>
          <w:szCs w:val="24"/>
        </w:rPr>
        <w:t>采购内容及要求</w:t>
      </w:r>
    </w:p>
    <w:tbl>
      <w:tblPr>
        <w:tblStyle w:val="18"/>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9"/>
        <w:gridCol w:w="1050"/>
        <w:gridCol w:w="780"/>
        <w:gridCol w:w="59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609" w:type="dxa"/>
          </w:tcPr>
          <w:p>
            <w:pPr>
              <w:pStyle w:val="40"/>
              <w:spacing w:before="179"/>
              <w:ind w:left="65" w:right="54"/>
              <w:jc w:val="center"/>
              <w:rPr>
                <w:sz w:val="22"/>
              </w:rPr>
            </w:pPr>
            <w:r>
              <w:rPr>
                <w:sz w:val="22"/>
              </w:rPr>
              <w:t>序号</w:t>
            </w:r>
          </w:p>
        </w:tc>
        <w:tc>
          <w:tcPr>
            <w:tcW w:w="1050" w:type="dxa"/>
          </w:tcPr>
          <w:p>
            <w:pPr>
              <w:pStyle w:val="40"/>
              <w:spacing w:before="179"/>
              <w:ind w:left="64" w:right="56"/>
              <w:jc w:val="center"/>
              <w:rPr>
                <w:sz w:val="22"/>
              </w:rPr>
            </w:pPr>
            <w:r>
              <w:rPr>
                <w:sz w:val="22"/>
              </w:rPr>
              <w:t>名称</w:t>
            </w:r>
          </w:p>
        </w:tc>
        <w:tc>
          <w:tcPr>
            <w:tcW w:w="780" w:type="dxa"/>
          </w:tcPr>
          <w:p>
            <w:pPr>
              <w:pStyle w:val="40"/>
              <w:spacing w:before="23"/>
              <w:ind w:left="40" w:right="28"/>
              <w:jc w:val="center"/>
              <w:rPr>
                <w:sz w:val="22"/>
              </w:rPr>
            </w:pPr>
            <w:r>
              <w:rPr>
                <w:sz w:val="22"/>
              </w:rPr>
              <w:t>数量</w:t>
            </w:r>
          </w:p>
          <w:p>
            <w:pPr>
              <w:pStyle w:val="40"/>
              <w:spacing w:before="30" w:line="277" w:lineRule="exact"/>
              <w:ind w:left="40" w:right="30"/>
              <w:jc w:val="center"/>
              <w:rPr>
                <w:sz w:val="22"/>
              </w:rPr>
            </w:pPr>
            <w:r>
              <w:rPr>
                <w:sz w:val="22"/>
              </w:rPr>
              <w:t>（台）</w:t>
            </w:r>
          </w:p>
        </w:tc>
        <w:tc>
          <w:tcPr>
            <w:tcW w:w="5991" w:type="dxa"/>
          </w:tcPr>
          <w:p>
            <w:pPr>
              <w:pStyle w:val="40"/>
              <w:spacing w:before="179"/>
              <w:ind w:left="2534" w:right="2527"/>
              <w:jc w:val="center"/>
              <w:rPr>
                <w:sz w:val="22"/>
              </w:rPr>
            </w:pPr>
            <w:r>
              <w:rPr>
                <w:sz w:val="22"/>
              </w:rPr>
              <w:t>规格参数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trPr>
        <w:tc>
          <w:tcPr>
            <w:tcW w:w="609" w:type="dxa"/>
          </w:tcPr>
          <w:p>
            <w:pPr>
              <w:pStyle w:val="40"/>
              <w:ind w:left="0"/>
              <w:rPr>
                <w:sz w:val="22"/>
              </w:rPr>
            </w:pPr>
          </w:p>
          <w:p>
            <w:pPr>
              <w:pStyle w:val="40"/>
              <w:spacing w:before="5"/>
              <w:ind w:left="0"/>
              <w:rPr>
                <w:sz w:val="16"/>
              </w:rPr>
            </w:pPr>
          </w:p>
          <w:p>
            <w:pPr>
              <w:pStyle w:val="40"/>
              <w:jc w:val="center"/>
              <w:rPr>
                <w:sz w:val="22"/>
              </w:rPr>
            </w:pPr>
            <w:r>
              <w:rPr>
                <w:w w:val="100"/>
                <w:sz w:val="22"/>
              </w:rPr>
              <w:t>1</w:t>
            </w:r>
          </w:p>
        </w:tc>
        <w:tc>
          <w:tcPr>
            <w:tcW w:w="1050" w:type="dxa"/>
          </w:tcPr>
          <w:p>
            <w:pPr>
              <w:pStyle w:val="40"/>
              <w:spacing w:before="3"/>
              <w:ind w:left="0"/>
              <w:rPr>
                <w:sz w:val="26"/>
              </w:rPr>
            </w:pPr>
          </w:p>
          <w:p>
            <w:pPr>
              <w:pStyle w:val="40"/>
              <w:spacing w:line="266" w:lineRule="auto"/>
              <w:ind w:left="85" w:right="71"/>
              <w:rPr>
                <w:sz w:val="22"/>
              </w:rPr>
            </w:pPr>
            <w:r>
              <w:rPr>
                <w:sz w:val="22"/>
              </w:rPr>
              <w:t>全喂入联合收割机</w:t>
            </w:r>
          </w:p>
        </w:tc>
        <w:tc>
          <w:tcPr>
            <w:tcW w:w="780" w:type="dxa"/>
          </w:tcPr>
          <w:p>
            <w:pPr>
              <w:pStyle w:val="40"/>
              <w:ind w:left="0"/>
              <w:rPr>
                <w:sz w:val="22"/>
              </w:rPr>
            </w:pPr>
          </w:p>
          <w:p>
            <w:pPr>
              <w:pStyle w:val="40"/>
              <w:spacing w:before="5"/>
              <w:ind w:left="0"/>
              <w:rPr>
                <w:sz w:val="16"/>
              </w:rPr>
            </w:pPr>
          </w:p>
          <w:p>
            <w:pPr>
              <w:pStyle w:val="40"/>
              <w:jc w:val="center"/>
              <w:rPr>
                <w:sz w:val="22"/>
              </w:rPr>
            </w:pPr>
            <w:r>
              <w:rPr>
                <w:w w:val="100"/>
                <w:sz w:val="22"/>
              </w:rPr>
              <w:t>1</w:t>
            </w:r>
          </w:p>
        </w:tc>
        <w:tc>
          <w:tcPr>
            <w:tcW w:w="5991" w:type="dxa"/>
          </w:tcPr>
          <w:p>
            <w:pPr>
              <w:pStyle w:val="40"/>
              <w:spacing w:before="9"/>
              <w:rPr>
                <w:sz w:val="24"/>
              </w:rPr>
            </w:pPr>
            <w:r>
              <w:rPr>
                <w:sz w:val="24"/>
              </w:rPr>
              <w:t>喂入量（kg/s）6.0,履带自走全喂入式，割占宽度</w:t>
            </w:r>
          </w:p>
          <w:p>
            <w:pPr>
              <w:pStyle w:val="40"/>
              <w:spacing w:before="2" w:line="310" w:lineRule="atLeast"/>
              <w:ind w:right="-15"/>
              <w:jc w:val="both"/>
              <w:rPr>
                <w:sz w:val="24"/>
              </w:rPr>
            </w:pPr>
            <w:r>
              <w:rPr>
                <w:sz w:val="24"/>
              </w:rPr>
              <w:t>（mm)2200,</w:t>
            </w:r>
            <w:r>
              <w:rPr>
                <w:spacing w:val="-13"/>
                <w:sz w:val="24"/>
              </w:rPr>
              <w:t xml:space="preserve">标定功率 </w:t>
            </w:r>
            <w:r>
              <w:rPr>
                <w:sz w:val="24"/>
              </w:rPr>
              <w:t>80KW,标定转速（r/min）2600,国四</w:t>
            </w:r>
            <w:r>
              <w:rPr>
                <w:spacing w:val="-4"/>
                <w:sz w:val="24"/>
              </w:rPr>
              <w:t>排放标准，外型尺寸</w:t>
            </w:r>
            <w:r>
              <w:rPr>
                <w:sz w:val="24"/>
              </w:rPr>
              <w:t>（mm)5840×2520×2950,液压无极变速器(HST)+机械变速箱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609" w:type="dxa"/>
          </w:tcPr>
          <w:p>
            <w:pPr>
              <w:pStyle w:val="40"/>
              <w:spacing w:before="1"/>
              <w:ind w:left="0"/>
              <w:rPr>
                <w:sz w:val="26"/>
              </w:rPr>
            </w:pPr>
          </w:p>
          <w:p>
            <w:pPr>
              <w:pStyle w:val="40"/>
              <w:spacing w:before="1"/>
              <w:jc w:val="center"/>
              <w:rPr>
                <w:sz w:val="22"/>
              </w:rPr>
            </w:pPr>
            <w:r>
              <w:rPr>
                <w:w w:val="100"/>
                <w:sz w:val="22"/>
              </w:rPr>
              <w:t>2</w:t>
            </w:r>
          </w:p>
        </w:tc>
        <w:tc>
          <w:tcPr>
            <w:tcW w:w="1050" w:type="dxa"/>
          </w:tcPr>
          <w:p>
            <w:pPr>
              <w:pStyle w:val="40"/>
              <w:spacing w:before="1"/>
              <w:ind w:left="0"/>
              <w:rPr>
                <w:sz w:val="26"/>
              </w:rPr>
            </w:pPr>
          </w:p>
          <w:p>
            <w:pPr>
              <w:pStyle w:val="40"/>
              <w:spacing w:before="1"/>
              <w:ind w:left="64" w:right="56"/>
              <w:jc w:val="center"/>
              <w:rPr>
                <w:sz w:val="22"/>
              </w:rPr>
            </w:pPr>
            <w:r>
              <w:rPr>
                <w:sz w:val="22"/>
              </w:rPr>
              <w:t>无人机 1</w:t>
            </w:r>
          </w:p>
        </w:tc>
        <w:tc>
          <w:tcPr>
            <w:tcW w:w="780" w:type="dxa"/>
          </w:tcPr>
          <w:p>
            <w:pPr>
              <w:pStyle w:val="40"/>
              <w:spacing w:before="1"/>
              <w:ind w:left="0"/>
              <w:rPr>
                <w:sz w:val="26"/>
              </w:rPr>
            </w:pPr>
          </w:p>
          <w:p>
            <w:pPr>
              <w:pStyle w:val="40"/>
              <w:spacing w:before="1"/>
              <w:jc w:val="center"/>
              <w:rPr>
                <w:sz w:val="22"/>
              </w:rPr>
            </w:pPr>
            <w:r>
              <w:rPr>
                <w:w w:val="100"/>
                <w:sz w:val="22"/>
              </w:rPr>
              <w:t>1</w:t>
            </w:r>
          </w:p>
        </w:tc>
        <w:tc>
          <w:tcPr>
            <w:tcW w:w="5991" w:type="dxa"/>
          </w:tcPr>
          <w:p>
            <w:pPr>
              <w:pStyle w:val="40"/>
              <w:spacing w:before="10"/>
              <w:rPr>
                <w:sz w:val="24"/>
              </w:rPr>
            </w:pPr>
            <w:r>
              <w:rPr>
                <w:sz w:val="24"/>
              </w:rPr>
              <w:t>机重 21.1kg,标准起飞重量 42.6kg，多旋翼，最大功耗</w:t>
            </w:r>
          </w:p>
          <w:p>
            <w:pPr>
              <w:pStyle w:val="40"/>
              <w:spacing w:before="2" w:line="310" w:lineRule="atLeast"/>
              <w:ind w:right="-15"/>
              <w:rPr>
                <w:sz w:val="24"/>
              </w:rPr>
            </w:pPr>
            <w:r>
              <w:rPr>
                <w:spacing w:val="-4"/>
                <w:sz w:val="24"/>
              </w:rPr>
              <w:t>8300W</w:t>
            </w:r>
            <w:r>
              <w:rPr>
                <w:spacing w:val="-10"/>
                <w:sz w:val="24"/>
              </w:rPr>
              <w:t xml:space="preserve">，最大飞行高度 </w:t>
            </w:r>
            <w:r>
              <w:rPr>
                <w:sz w:val="24"/>
              </w:rPr>
              <w:t>2000m,</w:t>
            </w:r>
            <w:r>
              <w:rPr>
                <w:spacing w:val="-12"/>
                <w:sz w:val="24"/>
              </w:rPr>
              <w:t xml:space="preserve">外型尺寸 </w:t>
            </w:r>
            <w:r>
              <w:rPr>
                <w:sz w:val="24"/>
              </w:rPr>
              <w:t>2509mm×2213mm× 732mm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609" w:type="dxa"/>
          </w:tcPr>
          <w:p>
            <w:pPr>
              <w:pStyle w:val="40"/>
              <w:spacing w:before="3"/>
              <w:ind w:left="0"/>
              <w:rPr>
                <w:sz w:val="26"/>
              </w:rPr>
            </w:pPr>
          </w:p>
          <w:p>
            <w:pPr>
              <w:pStyle w:val="40"/>
              <w:jc w:val="center"/>
              <w:rPr>
                <w:sz w:val="22"/>
              </w:rPr>
            </w:pPr>
            <w:r>
              <w:rPr>
                <w:w w:val="100"/>
                <w:sz w:val="22"/>
              </w:rPr>
              <w:t>3</w:t>
            </w:r>
          </w:p>
        </w:tc>
        <w:tc>
          <w:tcPr>
            <w:tcW w:w="1050" w:type="dxa"/>
          </w:tcPr>
          <w:p>
            <w:pPr>
              <w:pStyle w:val="40"/>
              <w:spacing w:before="3"/>
              <w:ind w:left="0"/>
              <w:rPr>
                <w:sz w:val="26"/>
              </w:rPr>
            </w:pPr>
          </w:p>
          <w:p>
            <w:pPr>
              <w:pStyle w:val="40"/>
              <w:ind w:left="64" w:right="56"/>
              <w:jc w:val="center"/>
              <w:rPr>
                <w:sz w:val="22"/>
              </w:rPr>
            </w:pPr>
            <w:r>
              <w:rPr>
                <w:sz w:val="22"/>
              </w:rPr>
              <w:t>无人机 2</w:t>
            </w:r>
          </w:p>
        </w:tc>
        <w:tc>
          <w:tcPr>
            <w:tcW w:w="780" w:type="dxa"/>
          </w:tcPr>
          <w:p>
            <w:pPr>
              <w:pStyle w:val="40"/>
              <w:spacing w:before="3"/>
              <w:ind w:left="0"/>
              <w:rPr>
                <w:sz w:val="26"/>
              </w:rPr>
            </w:pPr>
          </w:p>
          <w:p>
            <w:pPr>
              <w:pStyle w:val="40"/>
              <w:jc w:val="center"/>
              <w:rPr>
                <w:sz w:val="22"/>
              </w:rPr>
            </w:pPr>
            <w:r>
              <w:rPr>
                <w:w w:val="100"/>
                <w:sz w:val="22"/>
              </w:rPr>
              <w:t>1</w:t>
            </w:r>
          </w:p>
        </w:tc>
        <w:tc>
          <w:tcPr>
            <w:tcW w:w="5991" w:type="dxa"/>
          </w:tcPr>
          <w:p>
            <w:pPr>
              <w:pStyle w:val="40"/>
              <w:spacing w:before="6" w:line="310" w:lineRule="atLeast"/>
              <w:ind w:right="91"/>
              <w:jc w:val="both"/>
              <w:rPr>
                <w:sz w:val="24"/>
              </w:rPr>
            </w:pPr>
            <w:r>
              <w:rPr>
                <w:spacing w:val="-14"/>
                <w:sz w:val="24"/>
              </w:rPr>
              <w:t xml:space="preserve">空机重量 </w:t>
            </w:r>
            <w:r>
              <w:rPr>
                <w:sz w:val="24"/>
              </w:rPr>
              <w:t>14kg,</w:t>
            </w:r>
            <w:r>
              <w:rPr>
                <w:spacing w:val="-10"/>
                <w:sz w:val="24"/>
              </w:rPr>
              <w:t xml:space="preserve">最大起飞重量 </w:t>
            </w:r>
            <w:r>
              <w:rPr>
                <w:sz w:val="24"/>
              </w:rPr>
              <w:t>40kg</w:t>
            </w:r>
            <w:r>
              <w:rPr>
                <w:spacing w:val="-32"/>
                <w:sz w:val="24"/>
              </w:rPr>
              <w:t xml:space="preserve">，飞行时间 </w:t>
            </w:r>
            <w:r>
              <w:rPr>
                <w:sz w:val="24"/>
              </w:rPr>
              <w:t>10-15</w:t>
            </w:r>
            <w:r>
              <w:rPr>
                <w:spacing w:val="-22"/>
                <w:sz w:val="24"/>
              </w:rPr>
              <w:t xml:space="preserve"> 分钟</w:t>
            </w:r>
            <w:r>
              <w:rPr>
                <w:spacing w:val="-30"/>
                <w:sz w:val="24"/>
              </w:rPr>
              <w:t xml:space="preserve">作业速度 </w:t>
            </w:r>
            <w:r>
              <w:rPr>
                <w:sz w:val="24"/>
              </w:rPr>
              <w:t>0-8</w:t>
            </w:r>
            <w:r>
              <w:rPr>
                <w:spacing w:val="-30"/>
                <w:sz w:val="24"/>
              </w:rPr>
              <w:t xml:space="preserve"> 米</w:t>
            </w:r>
            <w:r>
              <w:rPr>
                <w:sz w:val="24"/>
              </w:rPr>
              <w:t>/</w:t>
            </w:r>
            <w:r>
              <w:rPr>
                <w:spacing w:val="-8"/>
                <w:sz w:val="24"/>
              </w:rPr>
              <w:t xml:space="preserve">分钟，喷洒宽度 </w:t>
            </w:r>
            <w:r>
              <w:rPr>
                <w:sz w:val="24"/>
              </w:rPr>
              <w:t>5m，</w:t>
            </w:r>
            <w:r>
              <w:rPr>
                <w:spacing w:val="-20"/>
                <w:sz w:val="24"/>
              </w:rPr>
              <w:t xml:space="preserve">电机 </w:t>
            </w:r>
            <w:r>
              <w:rPr>
                <w:sz w:val="24"/>
              </w:rPr>
              <w:t>120kv，</w:t>
            </w:r>
            <w:r>
              <w:rPr>
                <w:spacing w:val="-8"/>
                <w:sz w:val="24"/>
              </w:rPr>
              <w:t>药箱</w:t>
            </w:r>
            <w:r>
              <w:rPr>
                <w:spacing w:val="-20"/>
                <w:sz w:val="24"/>
              </w:rPr>
              <w:t xml:space="preserve">容量 </w:t>
            </w:r>
            <w:r>
              <w:rPr>
                <w:sz w:val="24"/>
              </w:rPr>
              <w:t>16L，</w:t>
            </w:r>
            <w:r>
              <w:rPr>
                <w:spacing w:val="-12"/>
                <w:sz w:val="24"/>
              </w:rPr>
              <w:t xml:space="preserve">遥控距离 </w:t>
            </w:r>
            <w:r>
              <w:rPr>
                <w:sz w:val="24"/>
              </w:rPr>
              <w:t>3000M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609" w:type="dxa"/>
          </w:tcPr>
          <w:p>
            <w:pPr>
              <w:pStyle w:val="40"/>
              <w:spacing w:before="1"/>
              <w:ind w:left="0"/>
              <w:rPr>
                <w:sz w:val="26"/>
              </w:rPr>
            </w:pPr>
          </w:p>
          <w:p>
            <w:pPr>
              <w:pStyle w:val="40"/>
              <w:spacing w:before="1"/>
              <w:jc w:val="center"/>
              <w:rPr>
                <w:sz w:val="22"/>
              </w:rPr>
            </w:pPr>
            <w:r>
              <w:rPr>
                <w:w w:val="100"/>
                <w:sz w:val="22"/>
              </w:rPr>
              <w:t>4</w:t>
            </w:r>
          </w:p>
        </w:tc>
        <w:tc>
          <w:tcPr>
            <w:tcW w:w="1050" w:type="dxa"/>
          </w:tcPr>
          <w:p>
            <w:pPr>
              <w:pStyle w:val="40"/>
              <w:spacing w:before="179" w:line="266" w:lineRule="auto"/>
              <w:ind w:left="332" w:right="71" w:hanging="248"/>
              <w:rPr>
                <w:sz w:val="22"/>
              </w:rPr>
            </w:pPr>
            <w:r>
              <w:rPr>
                <w:sz w:val="22"/>
              </w:rPr>
              <w:t>轮式拖拉机 1</w:t>
            </w:r>
          </w:p>
        </w:tc>
        <w:tc>
          <w:tcPr>
            <w:tcW w:w="780" w:type="dxa"/>
          </w:tcPr>
          <w:p>
            <w:pPr>
              <w:pStyle w:val="40"/>
              <w:spacing w:before="1"/>
              <w:ind w:left="0"/>
              <w:rPr>
                <w:sz w:val="26"/>
              </w:rPr>
            </w:pPr>
          </w:p>
          <w:p>
            <w:pPr>
              <w:pStyle w:val="40"/>
              <w:spacing w:before="1"/>
              <w:jc w:val="center"/>
              <w:rPr>
                <w:sz w:val="22"/>
              </w:rPr>
            </w:pPr>
            <w:r>
              <w:rPr>
                <w:w w:val="100"/>
                <w:sz w:val="22"/>
              </w:rPr>
              <w:t>1</w:t>
            </w:r>
          </w:p>
        </w:tc>
        <w:tc>
          <w:tcPr>
            <w:tcW w:w="5991" w:type="dxa"/>
          </w:tcPr>
          <w:p>
            <w:pPr>
              <w:pStyle w:val="40"/>
              <w:spacing w:before="7" w:line="310" w:lineRule="atLeast"/>
              <w:ind w:right="31"/>
              <w:jc w:val="both"/>
              <w:rPr>
                <w:sz w:val="24"/>
              </w:rPr>
            </w:pPr>
            <w:r>
              <w:rPr>
                <w:sz w:val="24"/>
              </w:rPr>
              <w:t>机体尺寸（mm)1965×2620×2250,</w:t>
            </w:r>
            <w:r>
              <w:rPr>
                <w:spacing w:val="-9"/>
                <w:sz w:val="24"/>
              </w:rPr>
              <w:t xml:space="preserve">最小离地高度 </w:t>
            </w:r>
            <w:r>
              <w:rPr>
                <w:spacing w:val="-3"/>
                <w:sz w:val="24"/>
              </w:rPr>
              <w:t xml:space="preserve">490mm， 四轮驱动，液压助力转向，智能变速，油箱容量 </w:t>
            </w:r>
            <w:r>
              <w:rPr>
                <w:sz w:val="24"/>
              </w:rPr>
              <w:t>140L,</w:t>
            </w:r>
            <w:r>
              <w:rPr>
                <w:spacing w:val="-16"/>
                <w:sz w:val="24"/>
              </w:rPr>
              <w:t xml:space="preserve">额定功率 </w:t>
            </w:r>
            <w:r>
              <w:rPr>
                <w:sz w:val="24"/>
              </w:rPr>
              <w:t>77.2kw,</w:t>
            </w:r>
            <w:r>
              <w:rPr>
                <w:spacing w:val="-20"/>
                <w:sz w:val="24"/>
              </w:rPr>
              <w:t xml:space="preserve">转速 </w:t>
            </w:r>
            <w:r>
              <w:rPr>
                <w:sz w:val="24"/>
              </w:rPr>
              <w:t>2200(rpm),高花胎，空调驾驶室。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609" w:type="dxa"/>
          </w:tcPr>
          <w:p>
            <w:pPr>
              <w:pStyle w:val="40"/>
              <w:spacing w:before="2"/>
              <w:ind w:left="0"/>
              <w:rPr>
                <w:sz w:val="21"/>
              </w:rPr>
            </w:pPr>
          </w:p>
          <w:p>
            <w:pPr>
              <w:pStyle w:val="40"/>
              <w:jc w:val="center"/>
              <w:rPr>
                <w:sz w:val="22"/>
              </w:rPr>
            </w:pPr>
            <w:r>
              <w:rPr>
                <w:w w:val="100"/>
                <w:sz w:val="22"/>
              </w:rPr>
              <w:t>5</w:t>
            </w:r>
          </w:p>
        </w:tc>
        <w:tc>
          <w:tcPr>
            <w:tcW w:w="1050" w:type="dxa"/>
          </w:tcPr>
          <w:p>
            <w:pPr>
              <w:pStyle w:val="40"/>
              <w:spacing w:before="115" w:line="266" w:lineRule="auto"/>
              <w:ind w:left="332" w:right="71" w:hanging="248"/>
              <w:rPr>
                <w:sz w:val="22"/>
              </w:rPr>
            </w:pPr>
            <w:r>
              <w:rPr>
                <w:sz w:val="22"/>
              </w:rPr>
              <w:t>轮式拖拉机 2</w:t>
            </w:r>
          </w:p>
        </w:tc>
        <w:tc>
          <w:tcPr>
            <w:tcW w:w="780" w:type="dxa"/>
          </w:tcPr>
          <w:p>
            <w:pPr>
              <w:pStyle w:val="40"/>
              <w:spacing w:before="2"/>
              <w:ind w:left="0"/>
              <w:rPr>
                <w:sz w:val="21"/>
              </w:rPr>
            </w:pPr>
          </w:p>
          <w:p>
            <w:pPr>
              <w:pStyle w:val="40"/>
              <w:jc w:val="center"/>
              <w:rPr>
                <w:sz w:val="22"/>
              </w:rPr>
            </w:pPr>
            <w:r>
              <w:rPr>
                <w:w w:val="100"/>
                <w:sz w:val="22"/>
              </w:rPr>
              <w:t>1</w:t>
            </w:r>
          </w:p>
        </w:tc>
        <w:tc>
          <w:tcPr>
            <w:tcW w:w="5991" w:type="dxa"/>
          </w:tcPr>
          <w:p>
            <w:pPr>
              <w:pStyle w:val="40"/>
              <w:spacing w:before="102"/>
              <w:rPr>
                <w:sz w:val="24"/>
              </w:rPr>
            </w:pPr>
            <w:r>
              <w:rPr>
                <w:sz w:val="24"/>
              </w:rPr>
              <w:t>四轮驱动，功率 51.5kw，外型尺寸 4130mm×1795mm×</w:t>
            </w:r>
          </w:p>
          <w:p>
            <w:pPr>
              <w:pStyle w:val="40"/>
              <w:spacing w:before="5"/>
              <w:rPr>
                <w:sz w:val="24"/>
              </w:rPr>
            </w:pPr>
            <w:r>
              <w:rPr>
                <w:sz w:val="24"/>
              </w:rPr>
              <w:t>2675mm,高花胎，带驾驶室，带气刹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609" w:type="dxa"/>
          </w:tcPr>
          <w:p>
            <w:pPr>
              <w:pStyle w:val="40"/>
              <w:spacing w:before="180"/>
              <w:jc w:val="center"/>
              <w:rPr>
                <w:sz w:val="22"/>
              </w:rPr>
            </w:pPr>
            <w:r>
              <w:rPr>
                <w:w w:val="100"/>
                <w:sz w:val="22"/>
              </w:rPr>
              <w:t>6</w:t>
            </w:r>
          </w:p>
        </w:tc>
        <w:tc>
          <w:tcPr>
            <w:tcW w:w="1050" w:type="dxa"/>
          </w:tcPr>
          <w:p>
            <w:pPr>
              <w:pStyle w:val="40"/>
              <w:spacing w:before="180"/>
              <w:ind w:left="64" w:right="53"/>
              <w:jc w:val="center"/>
              <w:rPr>
                <w:sz w:val="22"/>
              </w:rPr>
            </w:pPr>
            <w:r>
              <w:rPr>
                <w:sz w:val="22"/>
              </w:rPr>
              <w:t>机耕船</w:t>
            </w:r>
          </w:p>
        </w:tc>
        <w:tc>
          <w:tcPr>
            <w:tcW w:w="780" w:type="dxa"/>
          </w:tcPr>
          <w:p>
            <w:pPr>
              <w:pStyle w:val="40"/>
              <w:spacing w:before="180"/>
              <w:jc w:val="center"/>
              <w:rPr>
                <w:sz w:val="22"/>
              </w:rPr>
            </w:pPr>
            <w:r>
              <w:rPr>
                <w:w w:val="100"/>
                <w:sz w:val="22"/>
              </w:rPr>
              <w:t>1</w:t>
            </w:r>
          </w:p>
        </w:tc>
        <w:tc>
          <w:tcPr>
            <w:tcW w:w="5991" w:type="dxa"/>
          </w:tcPr>
          <w:p>
            <w:pPr>
              <w:pStyle w:val="40"/>
              <w:spacing w:before="6" w:line="310" w:lineRule="atLeast"/>
              <w:ind w:right="91"/>
              <w:rPr>
                <w:sz w:val="24"/>
              </w:rPr>
            </w:pPr>
            <w:r>
              <w:rPr>
                <w:spacing w:val="-8"/>
                <w:sz w:val="24"/>
              </w:rPr>
              <w:t xml:space="preserve">发动机标定功率 </w:t>
            </w:r>
            <w:r>
              <w:rPr>
                <w:sz w:val="24"/>
              </w:rPr>
              <w:t>14.7kw，</w:t>
            </w:r>
            <w:r>
              <w:rPr>
                <w:spacing w:val="-13"/>
                <w:sz w:val="24"/>
              </w:rPr>
              <w:t xml:space="preserve">标定转速 </w:t>
            </w:r>
            <w:r>
              <w:rPr>
                <w:sz w:val="24"/>
              </w:rPr>
              <w:t>2200r/msn,</w:t>
            </w:r>
            <w:r>
              <w:rPr>
                <w:spacing w:val="-4"/>
                <w:sz w:val="24"/>
              </w:rPr>
              <w:t>转向轮直</w:t>
            </w:r>
            <w:r>
              <w:rPr>
                <w:spacing w:val="-31"/>
                <w:sz w:val="24"/>
              </w:rPr>
              <w:t xml:space="preserve">径 </w:t>
            </w:r>
            <w:r>
              <w:rPr>
                <w:sz w:val="24"/>
              </w:rPr>
              <w:t>420mm,</w:t>
            </w:r>
            <w:r>
              <w:rPr>
                <w:spacing w:val="-12"/>
                <w:sz w:val="24"/>
              </w:rPr>
              <w:t xml:space="preserve">外型尺寸 </w:t>
            </w:r>
            <w:r>
              <w:rPr>
                <w:sz w:val="24"/>
              </w:rPr>
              <w:t>3400mm×1530mm×1250mm.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609" w:type="dxa"/>
          </w:tcPr>
          <w:p>
            <w:pPr>
              <w:pStyle w:val="40"/>
              <w:spacing w:before="1"/>
              <w:ind w:left="0"/>
              <w:rPr>
                <w:sz w:val="26"/>
              </w:rPr>
            </w:pPr>
          </w:p>
          <w:p>
            <w:pPr>
              <w:pStyle w:val="40"/>
              <w:spacing w:before="1"/>
              <w:jc w:val="center"/>
              <w:rPr>
                <w:sz w:val="22"/>
              </w:rPr>
            </w:pPr>
            <w:r>
              <w:rPr>
                <w:w w:val="100"/>
                <w:sz w:val="22"/>
              </w:rPr>
              <w:t>7</w:t>
            </w:r>
          </w:p>
        </w:tc>
        <w:tc>
          <w:tcPr>
            <w:tcW w:w="1050" w:type="dxa"/>
          </w:tcPr>
          <w:p>
            <w:pPr>
              <w:pStyle w:val="40"/>
              <w:spacing w:before="1"/>
              <w:ind w:left="0"/>
              <w:rPr>
                <w:sz w:val="26"/>
              </w:rPr>
            </w:pPr>
          </w:p>
          <w:p>
            <w:pPr>
              <w:pStyle w:val="40"/>
              <w:spacing w:before="1"/>
              <w:ind w:left="64" w:right="53"/>
              <w:jc w:val="center"/>
              <w:rPr>
                <w:sz w:val="22"/>
              </w:rPr>
            </w:pPr>
            <w:r>
              <w:rPr>
                <w:sz w:val="22"/>
              </w:rPr>
              <w:t>插秧机</w:t>
            </w:r>
          </w:p>
        </w:tc>
        <w:tc>
          <w:tcPr>
            <w:tcW w:w="780" w:type="dxa"/>
          </w:tcPr>
          <w:p>
            <w:pPr>
              <w:pStyle w:val="40"/>
              <w:spacing w:before="1"/>
              <w:ind w:left="0"/>
              <w:rPr>
                <w:sz w:val="26"/>
              </w:rPr>
            </w:pPr>
          </w:p>
          <w:p>
            <w:pPr>
              <w:pStyle w:val="40"/>
              <w:spacing w:before="1"/>
              <w:jc w:val="center"/>
              <w:rPr>
                <w:sz w:val="22"/>
              </w:rPr>
            </w:pPr>
            <w:r>
              <w:rPr>
                <w:w w:val="100"/>
                <w:sz w:val="22"/>
              </w:rPr>
              <w:t>1</w:t>
            </w:r>
          </w:p>
        </w:tc>
        <w:tc>
          <w:tcPr>
            <w:tcW w:w="5991" w:type="dxa"/>
          </w:tcPr>
          <w:p>
            <w:pPr>
              <w:pStyle w:val="40"/>
              <w:spacing w:before="10" w:line="242" w:lineRule="auto"/>
              <w:ind w:right="-15"/>
              <w:rPr>
                <w:sz w:val="24"/>
              </w:rPr>
            </w:pPr>
            <w:r>
              <w:rPr>
                <w:spacing w:val="7"/>
                <w:sz w:val="24"/>
              </w:rPr>
              <w:t>外型尺寸</w:t>
            </w:r>
            <w:r>
              <w:rPr>
                <w:sz w:val="24"/>
              </w:rPr>
              <w:t>2140mm×2132mm×1300mm,</w:t>
            </w:r>
            <w:r>
              <w:rPr>
                <w:spacing w:val="7"/>
                <w:sz w:val="24"/>
              </w:rPr>
              <w:t>工作行数</w:t>
            </w:r>
            <w:r>
              <w:rPr>
                <w:sz w:val="24"/>
              </w:rPr>
              <w:t>6</w:t>
            </w:r>
            <w:r>
              <w:rPr>
                <w:spacing w:val="-29"/>
                <w:sz w:val="24"/>
              </w:rPr>
              <w:t>，行距</w:t>
            </w:r>
            <w:r>
              <w:rPr>
                <w:sz w:val="24"/>
              </w:rPr>
              <w:t>300</w:t>
            </w:r>
            <w:r>
              <w:rPr>
                <w:spacing w:val="-16"/>
                <w:sz w:val="24"/>
              </w:rPr>
              <w:t xml:space="preserve">配套动力 </w:t>
            </w:r>
            <w:r>
              <w:rPr>
                <w:sz w:val="24"/>
              </w:rPr>
              <w:t>178</w:t>
            </w:r>
            <w:r>
              <w:rPr>
                <w:spacing w:val="-32"/>
                <w:sz w:val="24"/>
              </w:rPr>
              <w:t xml:space="preserve"> 柴油机 </w:t>
            </w:r>
            <w:r>
              <w:rPr>
                <w:sz w:val="24"/>
              </w:rPr>
              <w:t>4.4kw</w:t>
            </w:r>
            <w:r>
              <w:rPr>
                <w:spacing w:val="-50"/>
                <w:sz w:val="24"/>
              </w:rPr>
              <w:t xml:space="preserve">，转速 </w:t>
            </w:r>
            <w:r>
              <w:rPr>
                <w:sz w:val="24"/>
              </w:rPr>
              <w:t>1800</w:t>
            </w:r>
            <w:r>
              <w:rPr>
                <w:spacing w:val="-39"/>
                <w:sz w:val="24"/>
              </w:rPr>
              <w:t xml:space="preserve"> 转</w:t>
            </w:r>
            <w:r>
              <w:rPr>
                <w:sz w:val="24"/>
              </w:rPr>
              <w:t>/</w:t>
            </w:r>
            <w:r>
              <w:rPr>
                <w:spacing w:val="-16"/>
                <w:sz w:val="24"/>
              </w:rPr>
              <w:t>分，作业效率(米</w:t>
            </w:r>
          </w:p>
          <w:p>
            <w:pPr>
              <w:pStyle w:val="40"/>
              <w:spacing w:before="3" w:line="290" w:lineRule="exact"/>
              <w:rPr>
                <w:sz w:val="24"/>
              </w:rPr>
            </w:pPr>
            <w:r>
              <w:rPr>
                <w:sz w:val="24"/>
              </w:rPr>
              <w:t>/秒)3-5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609" w:type="dxa"/>
          </w:tcPr>
          <w:p>
            <w:pPr>
              <w:pStyle w:val="40"/>
              <w:spacing w:before="180"/>
              <w:jc w:val="center"/>
              <w:rPr>
                <w:sz w:val="22"/>
              </w:rPr>
            </w:pPr>
            <w:r>
              <w:rPr>
                <w:w w:val="100"/>
                <w:sz w:val="22"/>
              </w:rPr>
              <w:t>8</w:t>
            </w:r>
          </w:p>
        </w:tc>
        <w:tc>
          <w:tcPr>
            <w:tcW w:w="1050" w:type="dxa"/>
          </w:tcPr>
          <w:p>
            <w:pPr>
              <w:pStyle w:val="40"/>
              <w:spacing w:before="180"/>
              <w:ind w:left="64" w:right="56"/>
              <w:jc w:val="center"/>
              <w:rPr>
                <w:sz w:val="22"/>
              </w:rPr>
            </w:pPr>
            <w:r>
              <w:rPr>
                <w:sz w:val="22"/>
              </w:rPr>
              <w:t>旋耕机 1</w:t>
            </w:r>
          </w:p>
        </w:tc>
        <w:tc>
          <w:tcPr>
            <w:tcW w:w="780" w:type="dxa"/>
          </w:tcPr>
          <w:p>
            <w:pPr>
              <w:pStyle w:val="40"/>
              <w:spacing w:before="180"/>
              <w:jc w:val="center"/>
              <w:rPr>
                <w:sz w:val="22"/>
              </w:rPr>
            </w:pPr>
            <w:r>
              <w:rPr>
                <w:w w:val="100"/>
                <w:sz w:val="22"/>
              </w:rPr>
              <w:t>1</w:t>
            </w:r>
          </w:p>
        </w:tc>
        <w:tc>
          <w:tcPr>
            <w:tcW w:w="5991" w:type="dxa"/>
          </w:tcPr>
          <w:p>
            <w:pPr>
              <w:pStyle w:val="40"/>
              <w:spacing w:before="6" w:line="310" w:lineRule="atLeast"/>
              <w:ind w:right="31"/>
              <w:rPr>
                <w:sz w:val="24"/>
              </w:rPr>
            </w:pPr>
            <w:r>
              <w:rPr>
                <w:spacing w:val="-5"/>
                <w:sz w:val="24"/>
              </w:rPr>
              <w:t xml:space="preserve">旋耕机，框架式，外型尺寸 </w:t>
            </w:r>
            <w:r>
              <w:rPr>
                <w:sz w:val="24"/>
              </w:rPr>
              <w:t>1050mm×2816mm×1400mm,</w:t>
            </w:r>
            <w:r>
              <w:rPr>
                <w:spacing w:val="-16"/>
                <w:sz w:val="24"/>
              </w:rPr>
              <w:t xml:space="preserve">工作幅度 </w:t>
            </w:r>
            <w:r>
              <w:rPr>
                <w:sz w:val="24"/>
              </w:rPr>
              <w:t>250cm，</w:t>
            </w:r>
            <w:r>
              <w:rPr>
                <w:spacing w:val="-20"/>
                <w:sz w:val="24"/>
              </w:rPr>
              <w:t xml:space="preserve">耕深 </w:t>
            </w:r>
            <w:r>
              <w:rPr>
                <w:sz w:val="24"/>
              </w:rPr>
              <w:t>12-16cm,中间传动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609" w:type="dxa"/>
          </w:tcPr>
          <w:p>
            <w:pPr>
              <w:pStyle w:val="40"/>
              <w:spacing w:before="179"/>
              <w:jc w:val="center"/>
              <w:rPr>
                <w:sz w:val="22"/>
              </w:rPr>
            </w:pPr>
            <w:r>
              <w:rPr>
                <w:w w:val="100"/>
                <w:sz w:val="22"/>
              </w:rPr>
              <w:t>9</w:t>
            </w:r>
          </w:p>
        </w:tc>
        <w:tc>
          <w:tcPr>
            <w:tcW w:w="1050" w:type="dxa"/>
          </w:tcPr>
          <w:p>
            <w:pPr>
              <w:pStyle w:val="40"/>
              <w:spacing w:before="179"/>
              <w:ind w:left="64" w:right="56"/>
              <w:jc w:val="center"/>
              <w:rPr>
                <w:sz w:val="22"/>
              </w:rPr>
            </w:pPr>
            <w:r>
              <w:rPr>
                <w:sz w:val="22"/>
              </w:rPr>
              <w:t>旋耕机 2</w:t>
            </w:r>
          </w:p>
        </w:tc>
        <w:tc>
          <w:tcPr>
            <w:tcW w:w="780" w:type="dxa"/>
          </w:tcPr>
          <w:p>
            <w:pPr>
              <w:pStyle w:val="40"/>
              <w:spacing w:before="179"/>
              <w:jc w:val="center"/>
              <w:rPr>
                <w:sz w:val="22"/>
              </w:rPr>
            </w:pPr>
            <w:r>
              <w:rPr>
                <w:w w:val="100"/>
                <w:sz w:val="22"/>
              </w:rPr>
              <w:t>1</w:t>
            </w:r>
          </w:p>
        </w:tc>
        <w:tc>
          <w:tcPr>
            <w:tcW w:w="5991" w:type="dxa"/>
          </w:tcPr>
          <w:p>
            <w:pPr>
              <w:pStyle w:val="40"/>
              <w:spacing w:before="10"/>
              <w:rPr>
                <w:sz w:val="24"/>
              </w:rPr>
            </w:pPr>
            <w:r>
              <w:rPr>
                <w:sz w:val="24"/>
              </w:rPr>
              <w:t>框架式，外型尺寸 1200mm×2550mm×1200mm,工作幅度</w:t>
            </w:r>
          </w:p>
          <w:p>
            <w:pPr>
              <w:pStyle w:val="40"/>
              <w:spacing w:before="4" w:line="290" w:lineRule="exact"/>
              <w:rPr>
                <w:sz w:val="24"/>
              </w:rPr>
            </w:pPr>
            <w:r>
              <w:rPr>
                <w:sz w:val="24"/>
              </w:rPr>
              <w:t>230cm,耕深≥12cm,中间传动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609" w:type="dxa"/>
          </w:tcPr>
          <w:p>
            <w:pPr>
              <w:pStyle w:val="40"/>
              <w:spacing w:before="24" w:line="276" w:lineRule="exact"/>
              <w:ind w:left="61" w:right="54"/>
              <w:jc w:val="center"/>
              <w:rPr>
                <w:sz w:val="22"/>
              </w:rPr>
            </w:pPr>
            <w:r>
              <w:rPr>
                <w:sz w:val="22"/>
              </w:rPr>
              <w:t>10</w:t>
            </w:r>
          </w:p>
        </w:tc>
        <w:tc>
          <w:tcPr>
            <w:tcW w:w="1050" w:type="dxa"/>
          </w:tcPr>
          <w:p>
            <w:pPr>
              <w:pStyle w:val="40"/>
              <w:spacing w:before="24" w:line="276" w:lineRule="exact"/>
              <w:ind w:left="64" w:right="53"/>
              <w:jc w:val="center"/>
              <w:rPr>
                <w:sz w:val="22"/>
              </w:rPr>
            </w:pPr>
            <w:r>
              <w:rPr>
                <w:sz w:val="22"/>
              </w:rPr>
              <w:t>发电机</w:t>
            </w:r>
          </w:p>
        </w:tc>
        <w:tc>
          <w:tcPr>
            <w:tcW w:w="780" w:type="dxa"/>
          </w:tcPr>
          <w:p>
            <w:pPr>
              <w:pStyle w:val="40"/>
              <w:spacing w:before="24" w:line="276" w:lineRule="exact"/>
              <w:jc w:val="center"/>
              <w:rPr>
                <w:sz w:val="22"/>
              </w:rPr>
            </w:pPr>
            <w:r>
              <w:rPr>
                <w:w w:val="100"/>
                <w:sz w:val="22"/>
              </w:rPr>
              <w:t>1</w:t>
            </w:r>
          </w:p>
        </w:tc>
        <w:tc>
          <w:tcPr>
            <w:tcW w:w="5991" w:type="dxa"/>
          </w:tcPr>
          <w:p>
            <w:pPr>
              <w:pStyle w:val="40"/>
              <w:spacing w:before="9" w:line="291" w:lineRule="exact"/>
              <w:rPr>
                <w:sz w:val="24"/>
              </w:rPr>
            </w:pPr>
            <w:r>
              <w:rPr>
                <w:sz w:val="24"/>
              </w:rPr>
              <w:t>2400 瓦静音，18kg(电启动+手动）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0" w:hRule="atLeast"/>
        </w:trPr>
        <w:tc>
          <w:tcPr>
            <w:tcW w:w="609" w:type="dxa"/>
          </w:tcPr>
          <w:p>
            <w:pPr>
              <w:pStyle w:val="40"/>
              <w:ind w:left="0"/>
              <w:rPr>
                <w:sz w:val="22"/>
              </w:rPr>
            </w:pPr>
          </w:p>
          <w:p>
            <w:pPr>
              <w:pStyle w:val="40"/>
              <w:ind w:left="0"/>
              <w:rPr>
                <w:sz w:val="22"/>
              </w:rPr>
            </w:pPr>
          </w:p>
          <w:p>
            <w:pPr>
              <w:pStyle w:val="40"/>
              <w:spacing w:before="8"/>
              <w:ind w:left="0"/>
              <w:rPr>
                <w:sz w:val="18"/>
              </w:rPr>
            </w:pPr>
          </w:p>
          <w:p>
            <w:pPr>
              <w:pStyle w:val="40"/>
              <w:ind w:left="61" w:right="54"/>
              <w:jc w:val="center"/>
              <w:rPr>
                <w:sz w:val="22"/>
              </w:rPr>
            </w:pPr>
            <w:r>
              <w:rPr>
                <w:sz w:val="22"/>
              </w:rPr>
              <w:t>11</w:t>
            </w:r>
          </w:p>
        </w:tc>
        <w:tc>
          <w:tcPr>
            <w:tcW w:w="1050" w:type="dxa"/>
          </w:tcPr>
          <w:p>
            <w:pPr>
              <w:pStyle w:val="40"/>
              <w:ind w:left="0"/>
              <w:rPr>
                <w:sz w:val="22"/>
              </w:rPr>
            </w:pPr>
          </w:p>
          <w:p>
            <w:pPr>
              <w:pStyle w:val="40"/>
              <w:ind w:left="0"/>
              <w:rPr>
                <w:sz w:val="22"/>
              </w:rPr>
            </w:pPr>
          </w:p>
          <w:p>
            <w:pPr>
              <w:pStyle w:val="40"/>
              <w:spacing w:before="8"/>
              <w:ind w:left="0"/>
              <w:rPr>
                <w:sz w:val="18"/>
              </w:rPr>
            </w:pPr>
          </w:p>
          <w:p>
            <w:pPr>
              <w:pStyle w:val="40"/>
              <w:ind w:left="64" w:right="53"/>
              <w:jc w:val="center"/>
              <w:rPr>
                <w:sz w:val="22"/>
              </w:rPr>
            </w:pPr>
            <w:r>
              <w:rPr>
                <w:sz w:val="22"/>
              </w:rPr>
              <w:t>割草机</w:t>
            </w:r>
          </w:p>
        </w:tc>
        <w:tc>
          <w:tcPr>
            <w:tcW w:w="780" w:type="dxa"/>
          </w:tcPr>
          <w:p>
            <w:pPr>
              <w:pStyle w:val="40"/>
              <w:ind w:left="0"/>
              <w:rPr>
                <w:sz w:val="22"/>
              </w:rPr>
            </w:pPr>
          </w:p>
          <w:p>
            <w:pPr>
              <w:pStyle w:val="40"/>
              <w:ind w:left="0"/>
              <w:rPr>
                <w:sz w:val="22"/>
              </w:rPr>
            </w:pPr>
          </w:p>
          <w:p>
            <w:pPr>
              <w:pStyle w:val="40"/>
              <w:spacing w:before="8"/>
              <w:ind w:left="0"/>
              <w:rPr>
                <w:sz w:val="18"/>
              </w:rPr>
            </w:pPr>
          </w:p>
          <w:p>
            <w:pPr>
              <w:pStyle w:val="40"/>
              <w:jc w:val="center"/>
              <w:rPr>
                <w:sz w:val="22"/>
              </w:rPr>
            </w:pPr>
            <w:r>
              <w:rPr>
                <w:w w:val="100"/>
                <w:sz w:val="22"/>
              </w:rPr>
              <w:t>4</w:t>
            </w:r>
          </w:p>
        </w:tc>
        <w:tc>
          <w:tcPr>
            <w:tcW w:w="5991" w:type="dxa"/>
          </w:tcPr>
          <w:p>
            <w:pPr>
              <w:pStyle w:val="40"/>
              <w:spacing w:before="10"/>
              <w:rPr>
                <w:sz w:val="24"/>
              </w:rPr>
            </w:pPr>
            <w:r>
              <w:rPr>
                <w:sz w:val="24"/>
              </w:rPr>
              <w:t>顶置式气门，气缸数：1，缸径（mm）：39，行程（mm）</w:t>
            </w:r>
          </w:p>
          <w:p>
            <w:pPr>
              <w:pStyle w:val="40"/>
              <w:spacing w:before="4"/>
              <w:rPr>
                <w:sz w:val="24"/>
              </w:rPr>
            </w:pPr>
            <w:r>
              <w:rPr>
                <w:sz w:val="24"/>
              </w:rPr>
              <w:t>26，排量（cm3）31，压缩比：8.3:1，额定功率及转速</w:t>
            </w:r>
          </w:p>
          <w:p>
            <w:pPr>
              <w:pStyle w:val="40"/>
              <w:spacing w:before="2" w:line="310" w:lineRule="atLeast"/>
              <w:ind w:right="-29"/>
              <w:rPr>
                <w:sz w:val="24"/>
              </w:rPr>
            </w:pPr>
            <w:r>
              <w:rPr>
                <w:sz w:val="24"/>
              </w:rPr>
              <w:t>（KW/min-1）：0.65/6500，</w:t>
            </w:r>
            <w:r>
              <w:rPr>
                <w:spacing w:val="-1"/>
                <w:sz w:val="24"/>
              </w:rPr>
              <w:t>点火提前角度：</w:t>
            </w:r>
            <w:r>
              <w:rPr>
                <w:spacing w:val="-3"/>
                <w:sz w:val="24"/>
              </w:rPr>
              <w:t xml:space="preserve">25°±2°， </w:t>
            </w:r>
            <w:r>
              <w:rPr>
                <w:sz w:val="24"/>
              </w:rPr>
              <w:t>进气门（mm）：0.05-0.08，排气门</w:t>
            </w:r>
            <w:r>
              <w:rPr>
                <w:spacing w:val="-3"/>
                <w:sz w:val="24"/>
              </w:rPr>
              <w:t xml:space="preserve">（mm）：0.08-0.12， </w:t>
            </w:r>
            <w:r>
              <w:rPr>
                <w:sz w:val="24"/>
              </w:rPr>
              <w:t>火花塞间隙（mm）：0.6-0.8，燃油容积：0.5L，机油容</w:t>
            </w:r>
            <w:r>
              <w:rPr>
                <w:spacing w:val="-7"/>
                <w:sz w:val="24"/>
              </w:rPr>
              <w:t>积：</w:t>
            </w:r>
            <w:r>
              <w:rPr>
                <w:spacing w:val="-13"/>
                <w:sz w:val="24"/>
              </w:rPr>
              <w:t>0.07L</w:t>
            </w:r>
            <w:r>
              <w:rPr>
                <w:spacing w:val="-12"/>
                <w:sz w:val="24"/>
              </w:rPr>
              <w:t>，外形尺寸</w:t>
            </w:r>
            <w:r>
              <w:rPr>
                <w:spacing w:val="-6"/>
                <w:sz w:val="24"/>
              </w:rPr>
              <w:t>（mm)：245×190×250</w:t>
            </w:r>
            <w:r>
              <w:rPr>
                <w:spacing w:val="-4"/>
                <w:sz w:val="24"/>
              </w:rPr>
              <w:t>，净重：</w:t>
            </w:r>
            <w:r>
              <w:rPr>
                <w:spacing w:val="-8"/>
                <w:sz w:val="24"/>
              </w:rPr>
              <w:t>3.3kg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609" w:type="dxa"/>
          </w:tcPr>
          <w:p>
            <w:pPr>
              <w:pStyle w:val="40"/>
              <w:spacing w:before="180"/>
              <w:ind w:left="61" w:right="54"/>
              <w:jc w:val="center"/>
              <w:rPr>
                <w:sz w:val="22"/>
              </w:rPr>
            </w:pPr>
            <w:r>
              <w:rPr>
                <w:sz w:val="22"/>
              </w:rPr>
              <w:t>12</w:t>
            </w:r>
          </w:p>
        </w:tc>
        <w:tc>
          <w:tcPr>
            <w:tcW w:w="1050" w:type="dxa"/>
          </w:tcPr>
          <w:p>
            <w:pPr>
              <w:pStyle w:val="40"/>
              <w:spacing w:before="180"/>
              <w:ind w:left="64" w:right="53"/>
              <w:jc w:val="center"/>
              <w:rPr>
                <w:sz w:val="22"/>
              </w:rPr>
            </w:pPr>
            <w:r>
              <w:rPr>
                <w:sz w:val="22"/>
              </w:rPr>
              <w:t>微耕机</w:t>
            </w:r>
          </w:p>
        </w:tc>
        <w:tc>
          <w:tcPr>
            <w:tcW w:w="780" w:type="dxa"/>
          </w:tcPr>
          <w:p>
            <w:pPr>
              <w:pStyle w:val="40"/>
              <w:spacing w:before="180"/>
              <w:jc w:val="center"/>
              <w:rPr>
                <w:sz w:val="22"/>
              </w:rPr>
            </w:pPr>
            <w:r>
              <w:rPr>
                <w:w w:val="100"/>
                <w:sz w:val="22"/>
              </w:rPr>
              <w:t>6</w:t>
            </w:r>
          </w:p>
        </w:tc>
        <w:tc>
          <w:tcPr>
            <w:tcW w:w="5991" w:type="dxa"/>
          </w:tcPr>
          <w:p>
            <w:pPr>
              <w:pStyle w:val="40"/>
              <w:spacing w:before="6" w:line="310" w:lineRule="atLeast"/>
              <w:ind w:right="115"/>
              <w:rPr>
                <w:sz w:val="24"/>
              </w:rPr>
            </w:pPr>
            <w:r>
              <w:rPr>
                <w:spacing w:val="-2"/>
                <w:sz w:val="24"/>
              </w:rPr>
              <w:t>配套功率：</w:t>
            </w:r>
            <w:r>
              <w:rPr>
                <w:spacing w:val="-9"/>
                <w:sz w:val="24"/>
              </w:rPr>
              <w:t>5.3KW</w:t>
            </w:r>
            <w:r>
              <w:rPr>
                <w:spacing w:val="-4"/>
                <w:sz w:val="24"/>
              </w:rPr>
              <w:t>，设计耕深：</w:t>
            </w:r>
            <w:r>
              <w:rPr>
                <w:spacing w:val="-9"/>
                <w:sz w:val="24"/>
              </w:rPr>
              <w:t>≥10cm</w:t>
            </w:r>
            <w:r>
              <w:rPr>
                <w:spacing w:val="-4"/>
                <w:sz w:val="24"/>
              </w:rPr>
              <w:t>，设计耕宽：</w:t>
            </w:r>
            <w:r>
              <w:rPr>
                <w:spacing w:val="-8"/>
                <w:sz w:val="24"/>
              </w:rPr>
              <w:t xml:space="preserve">105cm </w:t>
            </w:r>
            <w:r>
              <w:rPr>
                <w:sz w:val="24"/>
              </w:rPr>
              <w:t>生产率：≥0.04h</w:t>
            </w:r>
            <w:r>
              <w:rPr>
                <w:spacing w:val="-31"/>
                <w:sz w:val="24"/>
              </w:rPr>
              <w:t xml:space="preserve"> ㎡</w:t>
            </w:r>
            <w:r>
              <w:rPr>
                <w:sz w:val="24"/>
              </w:rPr>
              <w:t>（h.m)，燃油消耗率：≤30kg/h</w:t>
            </w:r>
            <w:r>
              <w:rPr>
                <w:spacing w:val="-30"/>
                <w:sz w:val="24"/>
              </w:rPr>
              <w:t xml:space="preserve"> ㎡</w:t>
            </w:r>
          </w:p>
        </w:tc>
      </w:tr>
    </w:tbl>
    <w:p>
      <w:pPr>
        <w:pStyle w:val="9"/>
        <w:spacing w:line="360" w:lineRule="auto"/>
        <w:ind w:firstLine="422" w:firstLineChars="200"/>
        <w:rPr>
          <w:rFonts w:ascii="宋体" w:hAnsi="宋体" w:cs="宋体"/>
          <w:b/>
          <w:bCs/>
        </w:rPr>
      </w:pPr>
    </w:p>
    <w:p>
      <w:pPr>
        <w:pStyle w:val="9"/>
        <w:spacing w:line="360" w:lineRule="auto"/>
        <w:ind w:firstLine="422" w:firstLineChars="200"/>
        <w:rPr>
          <w:rFonts w:ascii="宋体" w:hAnsi="宋体" w:cs="宋体"/>
          <w:b/>
          <w:bCs/>
        </w:rPr>
      </w:pPr>
    </w:p>
    <w:p>
      <w:pPr>
        <w:pStyle w:val="9"/>
        <w:spacing w:before="199" w:line="364" w:lineRule="auto"/>
        <w:ind w:left="460" w:right="337"/>
      </w:pPr>
      <w:r>
        <w:rPr>
          <w:rFonts w:ascii="Calibri" w:eastAsia="Calibri"/>
          <w:b/>
        </w:rPr>
        <w:t>1</w:t>
      </w:r>
      <w:r>
        <w:rPr>
          <w:b/>
          <w:spacing w:val="-11"/>
        </w:rPr>
        <w:t>、付款方式：</w:t>
      </w:r>
      <w:r>
        <w:rPr>
          <w:spacing w:val="-3"/>
        </w:rPr>
        <w:t xml:space="preserve">货物验收成功并试运行结束后甲方支付货款 </w:t>
      </w:r>
      <w:r>
        <w:rPr>
          <w:rFonts w:ascii="Calibri" w:eastAsia="Calibri"/>
          <w:spacing w:val="-9"/>
        </w:rPr>
        <w:t>95%</w:t>
      </w:r>
      <w:r>
        <w:rPr>
          <w:spacing w:val="-18"/>
        </w:rPr>
        <w:t xml:space="preserve">，剩余 </w:t>
      </w:r>
      <w:r>
        <w:rPr>
          <w:rFonts w:ascii="Calibri" w:eastAsia="Calibri"/>
        </w:rPr>
        <w:t>5%</w:t>
      </w:r>
      <w:r>
        <w:rPr>
          <w:spacing w:val="-5"/>
        </w:rPr>
        <w:t>作为项</w:t>
      </w:r>
      <w:r>
        <w:t>目质保金，货物质保期结束后再无息付清。。</w:t>
      </w:r>
    </w:p>
    <w:p>
      <w:pPr>
        <w:spacing w:before="0" w:line="232" w:lineRule="exact"/>
        <w:ind w:left="460" w:right="0" w:firstLine="0"/>
        <w:jc w:val="left"/>
        <w:rPr>
          <w:sz w:val="24"/>
        </w:rPr>
      </w:pPr>
      <w:r>
        <w:rPr>
          <w:rFonts w:ascii="Calibri" w:eastAsia="Calibri"/>
          <w:b/>
          <w:sz w:val="24"/>
        </w:rPr>
        <w:t>2</w:t>
      </w:r>
      <w:r>
        <w:rPr>
          <w:b/>
          <w:sz w:val="24"/>
        </w:rPr>
        <w:t>、投标有效期</w:t>
      </w:r>
      <w:r>
        <w:rPr>
          <w:sz w:val="24"/>
        </w:rPr>
        <w:t>：</w:t>
      </w:r>
      <w:r>
        <w:rPr>
          <w:rFonts w:ascii="Calibri" w:eastAsia="Calibri"/>
          <w:sz w:val="24"/>
        </w:rPr>
        <w:t xml:space="preserve">60 </w:t>
      </w:r>
      <w:r>
        <w:rPr>
          <w:sz w:val="24"/>
        </w:rPr>
        <w:t>日历天；</w:t>
      </w:r>
    </w:p>
    <w:p>
      <w:pPr>
        <w:pStyle w:val="9"/>
        <w:spacing w:before="1" w:line="520" w:lineRule="exact"/>
        <w:ind w:left="460" w:right="349"/>
      </w:pPr>
      <w:r>
        <w:rPr>
          <w:rFonts w:ascii="Calibri" w:eastAsia="Calibri"/>
          <w:b/>
        </w:rPr>
        <w:t>3</w:t>
      </w:r>
      <w:r>
        <w:rPr>
          <w:b/>
        </w:rPr>
        <w:t>、验收标准：</w:t>
      </w:r>
      <w:r>
        <w:t>由采购人按照石府办发[2017]191 号文件要求，组成验收小组， 严格按照采购文件技术要求进行验收，并出具验收报告。</w:t>
      </w:r>
    </w:p>
    <w:p>
      <w:pPr>
        <w:pStyle w:val="4"/>
        <w:spacing w:before="81"/>
        <w:ind w:left="460" w:firstLine="0"/>
        <w:jc w:val="both"/>
        <w:rPr>
          <w:rFonts w:hint="eastAsia" w:ascii="宋体" w:eastAsia="宋体"/>
        </w:rPr>
      </w:pPr>
      <w:r>
        <w:rPr>
          <w:rFonts w:ascii="Calibri" w:eastAsia="Calibri"/>
        </w:rPr>
        <w:t>4</w:t>
      </w:r>
      <w:r>
        <w:rPr>
          <w:rFonts w:hint="eastAsia" w:ascii="宋体" w:eastAsia="宋体"/>
        </w:rPr>
        <w:t>、交货时间及地点：</w:t>
      </w:r>
    </w:p>
    <w:p>
      <w:pPr>
        <w:pStyle w:val="9"/>
        <w:spacing w:before="161"/>
        <w:ind w:left="460"/>
        <w:jc w:val="both"/>
      </w:pPr>
      <w:r>
        <w:t>交货期：</w:t>
      </w:r>
      <w:r>
        <w:rPr>
          <w:rFonts w:hint="eastAsia"/>
          <w:lang w:eastAsia="zh-CN"/>
        </w:rPr>
        <w:t>合同签订后15个日历天内完成最终验收并交付使用</w:t>
      </w:r>
      <w:r>
        <w:t>。</w:t>
      </w:r>
    </w:p>
    <w:p>
      <w:pPr>
        <w:pStyle w:val="9"/>
        <w:spacing w:before="160"/>
        <w:ind w:left="460"/>
        <w:jc w:val="both"/>
      </w:pPr>
      <w:r>
        <w:t>交货地点：采购人指定地点，按采购方的书面或电话通知进行交货。</w:t>
      </w:r>
    </w:p>
    <w:p>
      <w:pPr>
        <w:pStyle w:val="4"/>
        <w:numPr>
          <w:ilvl w:val="0"/>
          <w:numId w:val="3"/>
        </w:numPr>
        <w:tabs>
          <w:tab w:val="left" w:pos="648"/>
          <w:tab w:val="clear" w:pos="3402"/>
        </w:tabs>
        <w:spacing w:before="161" w:after="0" w:line="240" w:lineRule="auto"/>
        <w:ind w:left="647" w:right="0" w:hanging="187"/>
        <w:jc w:val="both"/>
        <w:rPr>
          <w:rFonts w:hint="eastAsia" w:ascii="宋体" w:eastAsia="宋体"/>
        </w:rPr>
      </w:pPr>
      <w:r>
        <w:rPr>
          <w:rFonts w:hint="eastAsia" w:ascii="宋体" w:eastAsia="宋体"/>
        </w:rPr>
        <w:t>质保期：</w:t>
      </w:r>
    </w:p>
    <w:p>
      <w:pPr>
        <w:pStyle w:val="9"/>
        <w:spacing w:before="160"/>
        <w:ind w:left="460"/>
        <w:jc w:val="both"/>
      </w:pPr>
      <w:r>
        <w:t>自验收合格之日起 1 年。</w:t>
      </w:r>
    </w:p>
    <w:p>
      <w:pPr>
        <w:pStyle w:val="4"/>
        <w:numPr>
          <w:ilvl w:val="0"/>
          <w:numId w:val="3"/>
        </w:numPr>
        <w:tabs>
          <w:tab w:val="left" w:pos="648"/>
          <w:tab w:val="clear" w:pos="3402"/>
        </w:tabs>
        <w:spacing w:before="161" w:after="0" w:line="240" w:lineRule="auto"/>
        <w:ind w:left="647" w:right="0" w:hanging="187"/>
        <w:jc w:val="both"/>
        <w:rPr>
          <w:rFonts w:hint="eastAsia" w:ascii="宋体" w:eastAsia="宋体"/>
        </w:rPr>
      </w:pPr>
      <w:r>
        <w:rPr>
          <w:rFonts w:hint="eastAsia" w:ascii="宋体" w:eastAsia="宋体"/>
        </w:rPr>
        <w:t>售后：</w:t>
      </w:r>
    </w:p>
    <w:p>
      <w:pPr>
        <w:pStyle w:val="9"/>
        <w:spacing w:before="160" w:line="364" w:lineRule="auto"/>
        <w:ind w:left="460" w:right="365"/>
      </w:pPr>
      <w:r>
        <w:t>1、投标人负责采购文件中要求的一切事宜及责任，包括运输、保管、装卸、调试、技术培训、验收及相关服务等；</w:t>
      </w:r>
    </w:p>
    <w:p>
      <w:pPr>
        <w:pStyle w:val="9"/>
        <w:spacing w:before="2" w:line="364" w:lineRule="auto"/>
        <w:ind w:left="460" w:right="337"/>
        <w:jc w:val="both"/>
      </w:pPr>
      <w:r>
        <w:t>2、投标人所提供的货物必须为原厂原装、全新产品、无任何缺陷隐患。如在安</w:t>
      </w:r>
      <w:r>
        <w:rPr>
          <w:spacing w:val="-7"/>
        </w:rPr>
        <w:t>装调试完成后无法通过验收，用户有权要求无条件退换货，中标人承担退换货产</w:t>
      </w:r>
      <w:r>
        <w:t>生的相关费用；</w:t>
      </w:r>
    </w:p>
    <w:p>
      <w:pPr>
        <w:pStyle w:val="9"/>
        <w:spacing w:before="1" w:line="364" w:lineRule="auto"/>
        <w:ind w:left="460" w:right="337"/>
        <w:jc w:val="both"/>
      </w:pPr>
      <w:r>
        <w:t>3、中标人或制造商应当为采购人提供技术援助电话，解答采购人在使用中遇到</w:t>
      </w:r>
      <w:r>
        <w:rPr>
          <w:spacing w:val="-2"/>
        </w:rPr>
        <w:t xml:space="preserve">的问题，及时为采购人提出解决问题的建议。在保修期内，应提供 </w:t>
      </w:r>
      <w:r>
        <w:t>7*24</w:t>
      </w:r>
      <w:r>
        <w:rPr>
          <w:spacing w:val="-15"/>
        </w:rPr>
        <w:t xml:space="preserve"> 小时技术支持服务，在接到用户服务请求后，1</w:t>
      </w:r>
      <w:r>
        <w:rPr>
          <w:spacing w:val="-10"/>
        </w:rPr>
        <w:t xml:space="preserve"> 小时内响应</w:t>
      </w:r>
      <w:r>
        <w:t>，2</w:t>
      </w:r>
      <w:r>
        <w:rPr>
          <w:spacing w:val="-8"/>
        </w:rPr>
        <w:t xml:space="preserve"> 小时内到达现场处置。</w:t>
      </w:r>
      <w:r>
        <w:rPr>
          <w:spacing w:val="-12"/>
        </w:rPr>
        <w:t xml:space="preserve">一般故障排除最长时间不超过 </w:t>
      </w:r>
      <w:r>
        <w:t>8</w:t>
      </w:r>
      <w:r>
        <w:rPr>
          <w:spacing w:val="-14"/>
        </w:rPr>
        <w:t xml:space="preserve"> 小时；重大故障或需到生产厂家调配零件，应在</w:t>
      </w:r>
    </w:p>
    <w:p>
      <w:pPr>
        <w:pStyle w:val="9"/>
        <w:spacing w:before="3" w:line="364" w:lineRule="auto"/>
        <w:ind w:left="460" w:right="365"/>
      </w:pPr>
      <w:r>
        <w:t>3</w:t>
      </w:r>
      <w:r>
        <w:rPr>
          <w:spacing w:val="-12"/>
        </w:rPr>
        <w:t xml:space="preserve"> 天内完成</w:t>
      </w:r>
      <w:r>
        <w:t>，7</w:t>
      </w:r>
      <w:r>
        <w:rPr>
          <w:spacing w:val="-9"/>
        </w:rPr>
        <w:t xml:space="preserve"> 天内无法排除故障需提供备用机并保证所供备用机的性能和作用</w:t>
      </w:r>
      <w:r>
        <w:t>不低于原配置。</w:t>
      </w:r>
    </w:p>
    <w:p>
      <w:pPr>
        <w:pStyle w:val="9"/>
        <w:spacing w:before="1" w:line="364" w:lineRule="auto"/>
        <w:ind w:left="460" w:right="245"/>
      </w:pPr>
      <w:r>
        <w:t>4、投标人在质保期内无条件负责所投设备的维修、保养，并承担相应的维修和配件费用；质保期外只收取零备件成本费用。软件部分（如有）终身免费升级。</w:t>
      </w:r>
    </w:p>
    <w:p>
      <w:pPr>
        <w:pStyle w:val="9"/>
        <w:spacing w:before="1" w:line="364" w:lineRule="auto"/>
        <w:ind w:left="460" w:right="365"/>
      </w:pPr>
      <w:r>
        <w:t>5、投标人或产品售后服务维修中心须有足够的备品备件，以便在需要时能及时更换保证设备正常运行。</w:t>
      </w:r>
    </w:p>
    <w:p>
      <w:pPr>
        <w:pStyle w:val="9"/>
        <w:spacing w:before="1" w:line="364" w:lineRule="auto"/>
        <w:ind w:left="460" w:right="365"/>
      </w:pPr>
      <w:r>
        <w:t>6、投标人须提供详尽的售后服务方案，方案应包括但不限于以下内容：售后服务体系、质保期内外的服务及应急措施等。</w:t>
      </w:r>
    </w:p>
    <w:p>
      <w:pPr>
        <w:spacing w:after="0" w:line="364" w:lineRule="auto"/>
        <w:sectPr>
          <w:pgSz w:w="11910" w:h="16840"/>
          <w:pgMar w:top="1500" w:right="1460" w:bottom="1380" w:left="1340" w:header="0" w:footer="1196" w:gutter="0"/>
        </w:sectPr>
      </w:pPr>
    </w:p>
    <w:p>
      <w:pPr>
        <w:pStyle w:val="9"/>
        <w:spacing w:before="42"/>
        <w:ind w:left="460"/>
      </w:pPr>
      <w:r>
        <w:t>7、其它未尽事宜采购双方在签订合同时约定。</w:t>
      </w:r>
    </w:p>
    <w:p>
      <w:pPr>
        <w:pStyle w:val="4"/>
        <w:numPr>
          <w:ilvl w:val="0"/>
          <w:numId w:val="3"/>
        </w:numPr>
        <w:tabs>
          <w:tab w:val="left" w:pos="648"/>
          <w:tab w:val="clear" w:pos="3402"/>
        </w:tabs>
        <w:spacing w:before="160" w:after="0" w:line="240" w:lineRule="auto"/>
        <w:ind w:left="647" w:right="0" w:hanging="187"/>
        <w:jc w:val="left"/>
        <w:rPr>
          <w:rFonts w:hint="eastAsia" w:ascii="宋体" w:eastAsia="宋体"/>
        </w:rPr>
      </w:pPr>
      <w:r>
        <w:rPr>
          <w:rFonts w:hint="eastAsia" w:ascii="宋体" w:eastAsia="宋体"/>
        </w:rPr>
        <w:t>其他要求</w:t>
      </w:r>
    </w:p>
    <w:p>
      <w:pPr>
        <w:pStyle w:val="9"/>
        <w:spacing w:before="161" w:line="364" w:lineRule="auto"/>
        <w:ind w:left="460" w:right="337"/>
        <w:jc w:val="both"/>
      </w:pPr>
      <w:r>
        <w:t>1、本项目投标报价包含项目文件的论证及评审费（可编制投标文件前咨询采购人或代理机构</w:t>
      </w:r>
      <w:r>
        <w:rPr>
          <w:spacing w:val="-17"/>
        </w:rPr>
        <w:t>）</w:t>
      </w:r>
      <w:r>
        <w:rPr>
          <w:spacing w:val="-10"/>
        </w:rPr>
        <w:t>、所有设备的运输、安装、调试、税费、并交付使用等所需的所有费用；投标人所投报价在合同执行过程中是固定不变的，不得以任何理由予以</w:t>
      </w:r>
      <w:r>
        <w:t>变更。</w:t>
      </w:r>
    </w:p>
    <w:p>
      <w:pPr>
        <w:pStyle w:val="9"/>
        <w:spacing w:line="233" w:lineRule="exact"/>
        <w:ind w:left="460"/>
        <w:jc w:val="both"/>
      </w:pPr>
      <w:r>
        <w:t>2、采购人保留对中标单位复核的权利，中标单位所提供的佐证材料若有不符，</w:t>
      </w:r>
    </w:p>
    <w:p>
      <w:pPr>
        <w:widowControl/>
        <w:spacing w:line="360" w:lineRule="auto"/>
        <w:ind w:firstLine="420" w:firstLineChars="200"/>
        <w:jc w:val="left"/>
      </w:pPr>
      <w:r>
        <w:t>则中标人自行承担由此导致的与本项目有关的任何损失及法律责任。</w:t>
      </w:r>
    </w:p>
    <w:p>
      <w:pPr>
        <w:pStyle w:val="2"/>
        <w:sectPr>
          <w:pgSz w:w="11906" w:h="16838"/>
          <w:pgMar w:top="1440" w:right="1797" w:bottom="1440" w:left="1797" w:header="851" w:footer="992" w:gutter="0"/>
          <w:cols w:space="720" w:num="1"/>
          <w:docGrid w:linePitch="312" w:charSpace="0"/>
        </w:sectPr>
      </w:pPr>
    </w:p>
    <w:p>
      <w:pPr>
        <w:widowControl/>
        <w:jc w:val="center"/>
        <w:rPr>
          <w:rFonts w:ascii="宋体" w:hAnsi="宋体"/>
          <w:b/>
          <w:sz w:val="44"/>
          <w:szCs w:val="44"/>
        </w:rPr>
      </w:pPr>
      <w:bookmarkStart w:id="0" w:name="_Toc268599010"/>
      <w:r>
        <w:rPr>
          <w:rFonts w:ascii="宋体" w:hAnsi="宋体"/>
          <w:b/>
          <w:bCs/>
          <w:sz w:val="36"/>
          <w:szCs w:val="36"/>
        </w:rPr>
        <w:t>第</w:t>
      </w:r>
      <w:r>
        <w:rPr>
          <w:rFonts w:hint="eastAsia" w:ascii="宋体" w:hAnsi="宋体"/>
          <w:b/>
          <w:bCs/>
          <w:sz w:val="36"/>
          <w:szCs w:val="36"/>
        </w:rPr>
        <w:t xml:space="preserve">五章  </w:t>
      </w:r>
      <w:r>
        <w:rPr>
          <w:rFonts w:hint="eastAsia" w:ascii="宋体" w:hAnsi="宋体"/>
          <w:b/>
          <w:sz w:val="36"/>
          <w:szCs w:val="36"/>
        </w:rPr>
        <w:t>政府采购合同（参考文本）</w:t>
      </w:r>
    </w:p>
    <w:bookmarkEnd w:id="0"/>
    <w:p>
      <w:pPr>
        <w:spacing w:line="360" w:lineRule="auto"/>
        <w:rPr>
          <w:rFonts w:ascii="宋体" w:hAnsi="宋体"/>
          <w:sz w:val="24"/>
        </w:rPr>
      </w:pPr>
      <w:bookmarkStart w:id="1" w:name="_Toc268599011"/>
      <w:r>
        <w:rPr>
          <w:rFonts w:hint="eastAsia" w:ascii="宋体" w:hAnsi="宋体"/>
          <w:sz w:val="24"/>
        </w:rPr>
        <w:t>甲方</w:t>
      </w:r>
      <w:r>
        <w:rPr>
          <w:rFonts w:ascii="宋体" w:hAnsi="宋体"/>
          <w:sz w:val="24"/>
        </w:rPr>
        <w:t>（</w:t>
      </w:r>
      <w:r>
        <w:rPr>
          <w:rFonts w:hint="eastAsia" w:ascii="宋体" w:hAnsi="宋体"/>
          <w:sz w:val="24"/>
        </w:rPr>
        <w:t>采购人</w:t>
      </w:r>
      <w:r>
        <w:rPr>
          <w:rFonts w:ascii="宋体" w:hAnsi="宋体"/>
          <w:sz w:val="24"/>
        </w:rPr>
        <w:t>）</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签订地点：</w:t>
      </w:r>
      <w:r>
        <w:rPr>
          <w:rFonts w:hint="eastAsia" w:ascii="宋体" w:hAnsi="宋体"/>
          <w:sz w:val="24"/>
          <w:u w:val="single"/>
        </w:rPr>
        <w:t xml:space="preserve">                 </w:t>
      </w:r>
      <w:r>
        <w:rPr>
          <w:rFonts w:hint="eastAsia" w:ascii="宋体" w:hAnsi="宋体"/>
          <w:sz w:val="24"/>
        </w:rPr>
        <w:t xml:space="preserve">  </w:t>
      </w:r>
    </w:p>
    <w:p>
      <w:pPr>
        <w:spacing w:line="360" w:lineRule="auto"/>
        <w:rPr>
          <w:rFonts w:ascii="宋体" w:hAnsi="宋体"/>
          <w:sz w:val="24"/>
          <w:u w:val="single"/>
        </w:rPr>
      </w:pPr>
      <w:r>
        <w:rPr>
          <w:rFonts w:hint="eastAsia" w:ascii="宋体" w:hAnsi="宋体"/>
          <w:sz w:val="24"/>
        </w:rPr>
        <w:t>乙方（成交供应商）：</w:t>
      </w:r>
      <w:r>
        <w:rPr>
          <w:rFonts w:hint="eastAsia" w:ascii="宋体" w:hAnsi="宋体"/>
          <w:sz w:val="24"/>
          <w:u w:val="single"/>
        </w:rPr>
        <w:t xml:space="preserve">                         </w:t>
      </w:r>
      <w:r>
        <w:rPr>
          <w:rFonts w:hint="eastAsia" w:ascii="宋体" w:hAnsi="宋体"/>
          <w:sz w:val="24"/>
        </w:rPr>
        <w:t xml:space="preserve">签订日期： </w:t>
      </w:r>
      <w:r>
        <w:rPr>
          <w:rFonts w:hint="eastAsia" w:ascii="宋体" w:hAnsi="宋体"/>
          <w:sz w:val="24"/>
          <w:u w:val="single"/>
        </w:rPr>
        <w:t xml:space="preserve">     年   月   日</w:t>
      </w:r>
    </w:p>
    <w:p>
      <w:pPr>
        <w:spacing w:line="360" w:lineRule="auto"/>
        <w:rPr>
          <w:rFonts w:ascii="宋体" w:hAnsi="宋体"/>
          <w:sz w:val="24"/>
        </w:rPr>
      </w:pPr>
      <w:r>
        <w:rPr>
          <w:rFonts w:hint="eastAsia" w:ascii="宋体" w:hAnsi="宋体"/>
          <w:sz w:val="24"/>
        </w:rPr>
        <w:t xml:space="preserve">    根据甲方委托</w:t>
      </w:r>
      <w:r>
        <w:rPr>
          <w:rFonts w:hint="eastAsia" w:ascii="宋体" w:hAnsi="宋体"/>
          <w:sz w:val="24"/>
          <w:u w:val="single"/>
        </w:rPr>
        <w:t>（采购代理机构）</w:t>
      </w:r>
      <w:r>
        <w:rPr>
          <w:rFonts w:hint="eastAsia" w:ascii="宋体" w:hAnsi="宋体"/>
          <w:sz w:val="24"/>
        </w:rPr>
        <w:t>对</w:t>
      </w:r>
      <w:r>
        <w:rPr>
          <w:rFonts w:hint="eastAsia" w:ascii="宋体" w:hAnsi="宋体"/>
          <w:sz w:val="24"/>
          <w:u w:val="single"/>
        </w:rPr>
        <w:t xml:space="preserve">       </w:t>
      </w:r>
      <w:r>
        <w:rPr>
          <w:rFonts w:hint="eastAsia" w:ascii="宋体" w:hAnsi="宋体"/>
          <w:sz w:val="24"/>
        </w:rPr>
        <w:t>进行采购（项目编号：</w:t>
      </w:r>
      <w:r>
        <w:rPr>
          <w:rFonts w:hint="eastAsia" w:ascii="宋体" w:hAnsi="宋体"/>
          <w:sz w:val="24"/>
          <w:u w:val="single"/>
        </w:rPr>
        <w:t xml:space="preserve">     </w:t>
      </w:r>
      <w:r>
        <w:rPr>
          <w:rFonts w:hint="eastAsia" w:ascii="宋体" w:hAnsi="宋体"/>
          <w:sz w:val="24"/>
        </w:rPr>
        <w:t>）的采购结果，乙方为成交供应商，现依照谈判文件、</w:t>
      </w:r>
      <w:r>
        <w:rPr>
          <w:rFonts w:hint="eastAsia" w:ascii="宋体" w:hAnsi="宋体"/>
          <w:sz w:val="24"/>
          <w:u w:val="single"/>
        </w:rPr>
        <w:t>（成交供应商）</w:t>
      </w:r>
      <w:r>
        <w:rPr>
          <w:rFonts w:hint="eastAsia" w:ascii="宋体" w:hAnsi="宋体"/>
          <w:sz w:val="24"/>
        </w:rPr>
        <w:t>响应文件及有关法律、法规、规章规定的内容，双方达成如下协议：</w:t>
      </w:r>
    </w:p>
    <w:p>
      <w:pPr>
        <w:spacing w:line="360" w:lineRule="auto"/>
        <w:ind w:firstLine="480" w:firstLineChars="200"/>
        <w:rPr>
          <w:rFonts w:ascii="宋体" w:hAnsi="宋体" w:cs="Arial"/>
          <w:sz w:val="24"/>
        </w:rPr>
      </w:pPr>
      <w:r>
        <w:rPr>
          <w:rFonts w:hint="eastAsia" w:ascii="宋体" w:hAnsi="宋体" w:cs="Arial"/>
          <w:sz w:val="24"/>
        </w:rPr>
        <w:t>1.合同标物的和合同价格</w:t>
      </w:r>
    </w:p>
    <w:tbl>
      <w:tblPr>
        <w:tblStyle w:val="18"/>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8"/>
        <w:gridCol w:w="1668"/>
        <w:gridCol w:w="1148"/>
        <w:gridCol w:w="1148"/>
        <w:gridCol w:w="1148"/>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jc w:val="center"/>
              <w:rPr>
                <w:rFonts w:ascii="宋体" w:hAnsi="宋体"/>
                <w:b/>
                <w:sz w:val="24"/>
              </w:rPr>
            </w:pPr>
            <w:r>
              <w:rPr>
                <w:rFonts w:hint="eastAsia" w:ascii="宋体" w:hAnsi="宋体"/>
                <w:b/>
                <w:sz w:val="24"/>
              </w:rPr>
              <w:t>产品名称</w:t>
            </w:r>
          </w:p>
        </w:tc>
        <w:tc>
          <w:tcPr>
            <w:tcW w:w="1668" w:type="dxa"/>
            <w:vAlign w:val="center"/>
          </w:tcPr>
          <w:p>
            <w:pPr>
              <w:spacing w:line="360" w:lineRule="auto"/>
              <w:jc w:val="center"/>
              <w:rPr>
                <w:rFonts w:ascii="宋体" w:hAnsi="宋体"/>
                <w:b/>
                <w:sz w:val="24"/>
              </w:rPr>
            </w:pPr>
            <w:r>
              <w:rPr>
                <w:rFonts w:hint="eastAsia" w:ascii="宋体" w:hAnsi="宋体"/>
                <w:b/>
                <w:sz w:val="24"/>
              </w:rPr>
              <w:t>规格型号</w:t>
            </w:r>
          </w:p>
        </w:tc>
        <w:tc>
          <w:tcPr>
            <w:tcW w:w="1668" w:type="dxa"/>
            <w:vAlign w:val="center"/>
          </w:tcPr>
          <w:p>
            <w:pPr>
              <w:spacing w:line="360" w:lineRule="auto"/>
              <w:jc w:val="center"/>
              <w:rPr>
                <w:rFonts w:ascii="宋体" w:hAnsi="宋体"/>
                <w:b/>
                <w:sz w:val="24"/>
              </w:rPr>
            </w:pPr>
            <w:r>
              <w:rPr>
                <w:rFonts w:hint="eastAsia" w:ascii="宋体" w:hAnsi="宋体"/>
                <w:b/>
                <w:sz w:val="24"/>
              </w:rPr>
              <w:t>生产厂家</w:t>
            </w:r>
          </w:p>
        </w:tc>
        <w:tc>
          <w:tcPr>
            <w:tcW w:w="1148" w:type="dxa"/>
            <w:vAlign w:val="center"/>
          </w:tcPr>
          <w:p>
            <w:pPr>
              <w:spacing w:line="360" w:lineRule="auto"/>
              <w:jc w:val="center"/>
              <w:rPr>
                <w:rFonts w:ascii="宋体" w:hAnsi="宋体"/>
                <w:b/>
                <w:sz w:val="24"/>
              </w:rPr>
            </w:pPr>
            <w:r>
              <w:rPr>
                <w:rFonts w:hint="eastAsia" w:ascii="宋体" w:hAnsi="宋体"/>
                <w:b/>
                <w:sz w:val="24"/>
              </w:rPr>
              <w:t>数 量</w:t>
            </w:r>
          </w:p>
        </w:tc>
        <w:tc>
          <w:tcPr>
            <w:tcW w:w="1148" w:type="dxa"/>
            <w:vAlign w:val="center"/>
          </w:tcPr>
          <w:p>
            <w:pPr>
              <w:spacing w:line="360" w:lineRule="auto"/>
              <w:jc w:val="center"/>
              <w:rPr>
                <w:rFonts w:ascii="宋体" w:hAnsi="宋体"/>
                <w:b/>
                <w:sz w:val="24"/>
              </w:rPr>
            </w:pPr>
            <w:r>
              <w:rPr>
                <w:rFonts w:hint="eastAsia" w:ascii="宋体" w:hAnsi="宋体"/>
                <w:b/>
                <w:sz w:val="24"/>
              </w:rPr>
              <w:t>单 价</w:t>
            </w:r>
          </w:p>
        </w:tc>
        <w:tc>
          <w:tcPr>
            <w:tcW w:w="1148" w:type="dxa"/>
            <w:vAlign w:val="center"/>
          </w:tcPr>
          <w:p>
            <w:pPr>
              <w:spacing w:line="360" w:lineRule="auto"/>
              <w:jc w:val="center"/>
              <w:rPr>
                <w:rFonts w:ascii="宋体" w:hAnsi="宋体"/>
                <w:b/>
                <w:sz w:val="24"/>
              </w:rPr>
            </w:pPr>
            <w:r>
              <w:rPr>
                <w:rFonts w:hint="eastAsia" w:ascii="宋体" w:hAnsi="宋体"/>
                <w:b/>
                <w:sz w:val="24"/>
              </w:rPr>
              <w:t>总 价</w:t>
            </w:r>
          </w:p>
        </w:tc>
        <w:tc>
          <w:tcPr>
            <w:tcW w:w="1316" w:type="dxa"/>
            <w:vAlign w:val="center"/>
          </w:tcPr>
          <w:p>
            <w:pPr>
              <w:spacing w:line="360" w:lineRule="auto"/>
              <w:jc w:val="center"/>
              <w:rPr>
                <w:rFonts w:ascii="宋体" w:hAnsi="宋体"/>
                <w:b/>
                <w:sz w:val="24"/>
              </w:rPr>
            </w:pPr>
            <w:r>
              <w:rPr>
                <w:rFonts w:hint="eastAsia" w:ascii="宋体" w:hAnsi="宋体"/>
                <w:b/>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bl>
    <w:p>
      <w:pPr>
        <w:spacing w:line="360" w:lineRule="auto"/>
        <w:ind w:firstLine="480" w:firstLineChars="200"/>
        <w:rPr>
          <w:rFonts w:ascii="宋体" w:hAnsi="宋体" w:cs="Arial"/>
          <w:sz w:val="24"/>
        </w:rPr>
      </w:pPr>
      <w:r>
        <w:rPr>
          <w:rFonts w:hint="eastAsia" w:ascii="宋体" w:hAnsi="宋体" w:cs="Arial"/>
          <w:sz w:val="24"/>
        </w:rPr>
        <w:t>2.交货方式和交货地点</w:t>
      </w:r>
    </w:p>
    <w:p>
      <w:pPr>
        <w:spacing w:line="360" w:lineRule="auto"/>
        <w:ind w:firstLine="480" w:firstLineChars="200"/>
        <w:rPr>
          <w:rFonts w:ascii="宋体" w:hAnsi="宋体"/>
          <w:sz w:val="24"/>
          <w:u w:val="single"/>
        </w:rPr>
      </w:pPr>
      <w:r>
        <w:rPr>
          <w:rFonts w:ascii="宋体" w:hAnsi="宋体"/>
          <w:sz w:val="24"/>
        </w:rPr>
        <w:t>2.1</w:t>
      </w:r>
      <w:r>
        <w:rPr>
          <w:rFonts w:hint="eastAsia" w:ascii="宋体" w:hAnsi="宋体"/>
          <w:sz w:val="24"/>
        </w:rPr>
        <w:t xml:space="preserve">交货方式： </w:t>
      </w:r>
      <w:r>
        <w:rPr>
          <w:rFonts w:hint="eastAsia" w:ascii="宋体" w:hAnsi="宋体"/>
          <w:sz w:val="24"/>
          <w:u w:val="single"/>
        </w:rPr>
        <w:t xml:space="preserve">                   </w:t>
      </w:r>
    </w:p>
    <w:p>
      <w:pPr>
        <w:spacing w:line="360" w:lineRule="auto"/>
        <w:ind w:firstLine="480" w:firstLineChars="200"/>
        <w:rPr>
          <w:rFonts w:ascii="宋体" w:hAnsi="宋体"/>
          <w:sz w:val="24"/>
        </w:rPr>
      </w:pPr>
      <w:r>
        <w:rPr>
          <w:rFonts w:ascii="宋体" w:hAnsi="宋体"/>
          <w:sz w:val="24"/>
        </w:rPr>
        <w:t>2.2</w:t>
      </w:r>
      <w:r>
        <w:rPr>
          <w:rFonts w:hint="eastAsia" w:ascii="宋体" w:hAnsi="宋体"/>
          <w:sz w:val="24"/>
        </w:rPr>
        <w:t>交货地点：</w:t>
      </w:r>
      <w:r>
        <w:rPr>
          <w:rFonts w:hint="eastAsia" w:ascii="宋体" w:hAnsi="宋体"/>
          <w:sz w:val="24"/>
          <w:u w:val="single"/>
        </w:rPr>
        <w:t xml:space="preserve">                     </w:t>
      </w:r>
    </w:p>
    <w:p>
      <w:pPr>
        <w:spacing w:line="360" w:lineRule="auto"/>
        <w:ind w:firstLine="480" w:firstLineChars="200"/>
        <w:rPr>
          <w:rFonts w:ascii="宋体" w:hAnsi="宋体" w:cs="Arial"/>
          <w:sz w:val="24"/>
        </w:rPr>
      </w:pPr>
      <w:r>
        <w:rPr>
          <w:rFonts w:ascii="宋体" w:hAnsi="宋体" w:cs="Arial"/>
          <w:sz w:val="24"/>
        </w:rPr>
        <w:t>3</w:t>
      </w:r>
      <w:r>
        <w:rPr>
          <w:rFonts w:hint="eastAsia" w:ascii="宋体" w:hAnsi="宋体" w:cs="Arial"/>
          <w:sz w:val="24"/>
        </w:rPr>
        <w:t>.供货清单</w:t>
      </w:r>
    </w:p>
    <w:p>
      <w:pPr>
        <w:spacing w:line="360" w:lineRule="auto"/>
        <w:ind w:firstLine="480" w:firstLineChars="200"/>
        <w:rPr>
          <w:rFonts w:ascii="宋体" w:hAnsi="宋体" w:cs="Arial"/>
          <w:sz w:val="24"/>
        </w:rPr>
      </w:pPr>
      <w:r>
        <w:rPr>
          <w:rFonts w:ascii="宋体" w:hAnsi="宋体" w:cs="Arial"/>
          <w:sz w:val="24"/>
        </w:rPr>
        <w:t>3.1</w:t>
      </w:r>
      <w:r>
        <w:rPr>
          <w:rFonts w:hint="eastAsia" w:ascii="宋体" w:hAnsi="宋体" w:cs="Arial"/>
          <w:sz w:val="24"/>
        </w:rPr>
        <w:t>供货清单：包括产品主机、随机备品备件、专用工具的名称及数量。（采购人对包装及运输有特别要求的，应作具体约定。）</w:t>
      </w:r>
    </w:p>
    <w:p>
      <w:pPr>
        <w:spacing w:line="360" w:lineRule="auto"/>
        <w:ind w:firstLine="480" w:firstLineChars="200"/>
        <w:rPr>
          <w:rFonts w:ascii="宋体" w:hAnsi="宋体" w:cs="Arial"/>
          <w:sz w:val="24"/>
        </w:rPr>
      </w:pPr>
      <w:r>
        <w:rPr>
          <w:rFonts w:hint="eastAsia" w:ascii="宋体" w:hAnsi="宋体" w:cs="Arial"/>
          <w:sz w:val="24"/>
        </w:rPr>
        <w:t>4.付款方式与条件</w:t>
      </w:r>
    </w:p>
    <w:p>
      <w:pPr>
        <w:spacing w:line="360" w:lineRule="auto"/>
        <w:ind w:firstLine="480" w:firstLineChars="200"/>
        <w:rPr>
          <w:rFonts w:ascii="宋体" w:hAnsi="宋体" w:cs="Arial"/>
          <w:sz w:val="24"/>
        </w:rPr>
      </w:pPr>
      <w:r>
        <w:rPr>
          <w:rFonts w:hint="eastAsia" w:ascii="宋体" w:hAnsi="宋体" w:cs="Arial"/>
          <w:sz w:val="24"/>
        </w:rPr>
        <w:t>4.1货物交货付款</w:t>
      </w:r>
    </w:p>
    <w:p>
      <w:pPr>
        <w:spacing w:line="360" w:lineRule="auto"/>
        <w:rPr>
          <w:rFonts w:ascii="宋体" w:hAnsi="宋体"/>
          <w:sz w:val="24"/>
        </w:rPr>
      </w:pPr>
      <w:r>
        <w:rPr>
          <w:rFonts w:hint="eastAsia" w:ascii="宋体" w:hAnsi="宋体"/>
          <w:sz w:val="24"/>
        </w:rPr>
        <w:t xml:space="preserve">    全部货物交货并经验收合格后，甲方凭收讫货物的验收凭证和货物验收合格文件等材料以</w:t>
      </w:r>
      <w:r>
        <w:rPr>
          <w:rFonts w:hint="eastAsia" w:ascii="宋体" w:hAnsi="宋体"/>
          <w:sz w:val="24"/>
          <w:u w:val="single"/>
        </w:rPr>
        <w:t xml:space="preserve">     </w:t>
      </w:r>
      <w:r>
        <w:rPr>
          <w:rFonts w:hint="eastAsia" w:ascii="宋体" w:hAnsi="宋体"/>
          <w:sz w:val="24"/>
        </w:rPr>
        <w:t>方式向乙方一次性支付</w:t>
      </w:r>
      <w:r>
        <w:rPr>
          <w:rFonts w:hint="eastAsia" w:ascii="宋体" w:hAnsi="宋体"/>
          <w:sz w:val="24"/>
          <w:u w:val="single"/>
        </w:rPr>
        <w:t xml:space="preserve">    </w:t>
      </w:r>
      <w:r>
        <w:rPr>
          <w:rFonts w:hint="eastAsia" w:ascii="宋体" w:hAnsi="宋体"/>
          <w:sz w:val="24"/>
        </w:rPr>
        <w:t>%的货物价款。（若乙方有支付履约保证金的，可在支付货款时予以扣除。）</w:t>
      </w:r>
    </w:p>
    <w:p>
      <w:pPr>
        <w:spacing w:line="360" w:lineRule="auto"/>
        <w:rPr>
          <w:rFonts w:ascii="宋体" w:hAnsi="宋体"/>
          <w:sz w:val="24"/>
        </w:rPr>
      </w:pPr>
      <w:r>
        <w:rPr>
          <w:rFonts w:hint="eastAsia" w:ascii="宋体" w:hAnsi="宋体"/>
          <w:sz w:val="24"/>
        </w:rPr>
        <w:t xml:space="preserve">    现场交货条件下，乙方要求付款应提交下列单证和文件。</w:t>
      </w:r>
    </w:p>
    <w:p>
      <w:pPr>
        <w:spacing w:line="360" w:lineRule="auto"/>
        <w:ind w:firstLine="480" w:firstLineChars="200"/>
        <w:rPr>
          <w:rFonts w:ascii="宋体" w:hAnsi="宋体" w:cs="Arial"/>
          <w:sz w:val="24"/>
        </w:rPr>
      </w:pPr>
      <w:r>
        <w:rPr>
          <w:rFonts w:ascii="宋体" w:hAnsi="宋体" w:cs="Arial"/>
          <w:sz w:val="24"/>
        </w:rPr>
        <w:t>a.</w:t>
      </w:r>
      <w:r>
        <w:rPr>
          <w:rFonts w:hint="eastAsia" w:ascii="宋体" w:hAnsi="宋体" w:cs="Arial"/>
          <w:sz w:val="24"/>
        </w:rPr>
        <w:t>金额为有关合同货物价格</w:t>
      </w:r>
      <w:r>
        <w:rPr>
          <w:rFonts w:hint="eastAsia" w:ascii="宋体" w:hAnsi="宋体" w:cs="Arial"/>
          <w:sz w:val="24"/>
          <w:u w:val="single"/>
        </w:rPr>
        <w:t xml:space="preserve">      </w:t>
      </w:r>
      <w:r>
        <w:rPr>
          <w:rFonts w:hint="eastAsia" w:ascii="宋体" w:hAnsi="宋体" w:cs="Arial"/>
          <w:sz w:val="24"/>
        </w:rPr>
        <w:t>%的正式发票。</w:t>
      </w:r>
    </w:p>
    <w:p>
      <w:pPr>
        <w:spacing w:line="360" w:lineRule="auto"/>
        <w:ind w:firstLine="480" w:firstLineChars="200"/>
        <w:rPr>
          <w:rFonts w:ascii="宋体" w:hAnsi="宋体" w:cs="Arial"/>
          <w:sz w:val="24"/>
        </w:rPr>
      </w:pPr>
      <w:r>
        <w:rPr>
          <w:rFonts w:ascii="宋体" w:hAnsi="宋体" w:cs="Arial"/>
          <w:sz w:val="24"/>
        </w:rPr>
        <w:t>b.</w:t>
      </w:r>
      <w:r>
        <w:rPr>
          <w:rFonts w:hint="eastAsia" w:ascii="宋体" w:hAnsi="宋体" w:cs="Arial"/>
          <w:sz w:val="24"/>
        </w:rPr>
        <w:t>制造厂家出具的货物质量合格证书。</w:t>
      </w:r>
    </w:p>
    <w:p>
      <w:pPr>
        <w:spacing w:line="360" w:lineRule="auto"/>
        <w:ind w:firstLine="480" w:firstLineChars="200"/>
        <w:rPr>
          <w:rFonts w:ascii="宋体" w:hAnsi="宋体" w:cs="Arial"/>
          <w:sz w:val="24"/>
        </w:rPr>
      </w:pPr>
      <w:r>
        <w:rPr>
          <w:rFonts w:ascii="宋体" w:hAnsi="宋体" w:cs="Arial"/>
          <w:sz w:val="24"/>
        </w:rPr>
        <w:t>c.</w:t>
      </w:r>
      <w:r>
        <w:rPr>
          <w:rFonts w:hint="eastAsia" w:ascii="宋体" w:hAnsi="宋体" w:cs="Arial"/>
          <w:sz w:val="24"/>
        </w:rPr>
        <w:t xml:space="preserve"> 甲方已收讫货物的验收凭证。</w:t>
      </w:r>
    </w:p>
    <w:p>
      <w:pPr>
        <w:spacing w:line="360" w:lineRule="auto"/>
        <w:ind w:firstLine="480" w:firstLineChars="200"/>
        <w:rPr>
          <w:rFonts w:ascii="宋体" w:hAnsi="宋体" w:cs="Arial"/>
          <w:sz w:val="24"/>
        </w:rPr>
      </w:pPr>
      <w:r>
        <w:rPr>
          <w:rFonts w:ascii="宋体" w:hAnsi="宋体" w:cs="Arial"/>
          <w:sz w:val="24"/>
        </w:rPr>
        <w:t>d.</w:t>
      </w:r>
      <w:r>
        <w:rPr>
          <w:rFonts w:hint="eastAsia" w:ascii="宋体" w:hAnsi="宋体" w:cs="Arial"/>
          <w:sz w:val="24"/>
        </w:rPr>
        <w:t xml:space="preserve"> 甲方签发的验收合格文件。</w:t>
      </w:r>
    </w:p>
    <w:p>
      <w:pPr>
        <w:spacing w:line="360" w:lineRule="auto"/>
        <w:rPr>
          <w:rFonts w:ascii="宋体" w:hAnsi="宋体"/>
          <w:sz w:val="24"/>
        </w:rPr>
      </w:pPr>
      <w:r>
        <w:rPr>
          <w:rFonts w:hint="eastAsia" w:ascii="宋体" w:hAnsi="宋体"/>
          <w:sz w:val="24"/>
        </w:rPr>
        <w:t xml:space="preserve">    </w:t>
      </w:r>
      <w:r>
        <w:rPr>
          <w:rFonts w:hint="eastAsia" w:ascii="宋体" w:hAnsi="宋体" w:cs="Arial"/>
          <w:sz w:val="24"/>
        </w:rPr>
        <w:t>4.</w:t>
      </w:r>
      <w:r>
        <w:rPr>
          <w:rFonts w:hint="eastAsia" w:ascii="宋体" w:hAnsi="宋体"/>
          <w:sz w:val="24"/>
        </w:rPr>
        <w:t>2分期支付货款的，余下的货款应于</w:t>
      </w:r>
      <w:r>
        <w:rPr>
          <w:rFonts w:hint="eastAsia" w:ascii="宋体" w:hAnsi="宋体"/>
          <w:sz w:val="24"/>
          <w:u w:val="single"/>
        </w:rPr>
        <w:t xml:space="preserve">       </w:t>
      </w:r>
      <w:r>
        <w:rPr>
          <w:rFonts w:hint="eastAsia" w:ascii="宋体" w:hAnsi="宋体"/>
          <w:sz w:val="24"/>
        </w:rPr>
        <w:t>（时间）支付。</w:t>
      </w:r>
    </w:p>
    <w:p>
      <w:pPr>
        <w:spacing w:line="360" w:lineRule="auto"/>
        <w:ind w:firstLine="480" w:firstLineChars="200"/>
        <w:rPr>
          <w:rFonts w:ascii="宋体" w:hAnsi="宋体" w:cs="Arial"/>
          <w:sz w:val="24"/>
        </w:rPr>
      </w:pPr>
      <w:r>
        <w:rPr>
          <w:rFonts w:hint="eastAsia" w:ascii="宋体" w:hAnsi="宋体" w:cs="Arial"/>
          <w:sz w:val="24"/>
        </w:rPr>
        <w:t>5.质量要求和技术标准</w:t>
      </w:r>
    </w:p>
    <w:p>
      <w:pPr>
        <w:spacing w:line="360" w:lineRule="auto"/>
        <w:ind w:firstLine="480" w:firstLineChars="200"/>
        <w:rPr>
          <w:rFonts w:ascii="宋体" w:hAnsi="宋体" w:cs="Arial"/>
          <w:sz w:val="24"/>
        </w:rPr>
      </w:pPr>
      <w:r>
        <w:rPr>
          <w:rFonts w:hint="eastAsia" w:ascii="宋体" w:hAnsi="宋体" w:cs="Arial"/>
          <w:sz w:val="24"/>
        </w:rPr>
        <w:t>质量条款可细分为产品质量、包装质量、技术资料质量等内容。</w:t>
      </w:r>
    </w:p>
    <w:p>
      <w:pPr>
        <w:spacing w:line="360" w:lineRule="auto"/>
        <w:ind w:firstLine="480" w:firstLineChars="200"/>
        <w:rPr>
          <w:rFonts w:ascii="宋体" w:hAnsi="宋体" w:cs="Arial"/>
          <w:sz w:val="24"/>
        </w:rPr>
      </w:pPr>
      <w:r>
        <w:rPr>
          <w:rFonts w:hint="eastAsia" w:ascii="宋体" w:hAnsi="宋体" w:cs="Arial"/>
          <w:sz w:val="24"/>
        </w:rPr>
        <w:t>（质量要求和技术标准应按谈判文件要求填列。）</w:t>
      </w:r>
    </w:p>
    <w:p>
      <w:pPr>
        <w:spacing w:line="360" w:lineRule="auto"/>
        <w:ind w:firstLine="480" w:firstLineChars="200"/>
        <w:rPr>
          <w:rFonts w:ascii="宋体" w:hAnsi="宋体" w:cs="Arial"/>
          <w:sz w:val="24"/>
        </w:rPr>
      </w:pPr>
      <w:r>
        <w:rPr>
          <w:rFonts w:ascii="宋体" w:hAnsi="宋体" w:cs="Arial"/>
          <w:sz w:val="24"/>
        </w:rPr>
        <w:t>6</w:t>
      </w:r>
      <w:r>
        <w:rPr>
          <w:rFonts w:hint="eastAsia" w:ascii="宋体" w:hAnsi="宋体" w:cs="Arial"/>
          <w:sz w:val="24"/>
        </w:rPr>
        <w:t>.安装调试、技术服务、人员培训及技术资料</w:t>
      </w:r>
    </w:p>
    <w:p>
      <w:pPr>
        <w:spacing w:line="360" w:lineRule="auto"/>
        <w:ind w:firstLine="480" w:firstLineChars="200"/>
        <w:rPr>
          <w:rFonts w:ascii="宋体" w:hAnsi="宋体" w:cs="Arial"/>
          <w:sz w:val="24"/>
        </w:rPr>
      </w:pPr>
      <w:r>
        <w:rPr>
          <w:rFonts w:hint="eastAsia" w:ascii="宋体" w:hAnsi="宋体" w:cs="Arial"/>
          <w:sz w:val="24"/>
        </w:rPr>
        <w:t xml:space="preserve">  （安装调试、技术服务、人员培训及技术资料应按谈判文件要求填列。）</w:t>
      </w:r>
    </w:p>
    <w:p>
      <w:pPr>
        <w:spacing w:line="360" w:lineRule="auto"/>
        <w:ind w:firstLine="480" w:firstLineChars="200"/>
        <w:rPr>
          <w:rFonts w:ascii="宋体" w:hAnsi="宋体" w:cs="Arial"/>
          <w:sz w:val="24"/>
        </w:rPr>
      </w:pPr>
      <w:r>
        <w:rPr>
          <w:rFonts w:ascii="宋体" w:hAnsi="宋体" w:cs="Arial"/>
          <w:sz w:val="24"/>
        </w:rPr>
        <w:t>7</w:t>
      </w:r>
      <w:r>
        <w:rPr>
          <w:rFonts w:hint="eastAsia" w:ascii="宋体" w:hAnsi="宋体" w:cs="Arial"/>
          <w:sz w:val="24"/>
        </w:rPr>
        <w:t>.验收</w:t>
      </w:r>
    </w:p>
    <w:p>
      <w:pPr>
        <w:spacing w:line="360" w:lineRule="auto"/>
        <w:ind w:firstLine="480" w:firstLineChars="200"/>
        <w:rPr>
          <w:rFonts w:ascii="宋体" w:hAnsi="宋体" w:cs="Arial"/>
          <w:sz w:val="24"/>
        </w:rPr>
      </w:pPr>
      <w:r>
        <w:rPr>
          <w:rFonts w:hint="eastAsia" w:ascii="宋体" w:hAnsi="宋体" w:cs="Arial"/>
          <w:sz w:val="24"/>
        </w:rPr>
        <w:t>（货物验收标准和方法应按谈判文件要求填列。）验收结果经双方确认后，双方代表必须按规定的验收交接单上的项目对照本合同填好验收结果并签名盖章。</w:t>
      </w:r>
    </w:p>
    <w:p>
      <w:pPr>
        <w:spacing w:line="360" w:lineRule="auto"/>
        <w:ind w:firstLine="480" w:firstLineChars="200"/>
        <w:rPr>
          <w:rFonts w:ascii="宋体" w:hAnsi="宋体" w:cs="Arial"/>
          <w:sz w:val="24"/>
        </w:rPr>
      </w:pPr>
      <w:r>
        <w:rPr>
          <w:rFonts w:hint="eastAsia" w:ascii="宋体" w:hAnsi="宋体" w:cs="Arial"/>
          <w:sz w:val="24"/>
        </w:rPr>
        <w:t>验收可细分为到货时的外在质量的验收，投产前的质量验收，大型设备可能还存在更多的验收步骤和验收方式，采购人可在谈判文件中细化规定。</w:t>
      </w:r>
    </w:p>
    <w:p>
      <w:pPr>
        <w:spacing w:line="360" w:lineRule="auto"/>
        <w:ind w:firstLine="480" w:firstLineChars="200"/>
        <w:rPr>
          <w:rFonts w:ascii="宋体" w:hAnsi="宋体" w:cs="Arial"/>
          <w:sz w:val="24"/>
        </w:rPr>
      </w:pPr>
      <w:r>
        <w:rPr>
          <w:rFonts w:hint="eastAsia" w:ascii="宋体" w:hAnsi="宋体" w:cs="Arial"/>
          <w:sz w:val="24"/>
        </w:rPr>
        <w:t>8.质量保证</w:t>
      </w:r>
    </w:p>
    <w:p>
      <w:pPr>
        <w:spacing w:line="360" w:lineRule="auto"/>
        <w:ind w:firstLine="480" w:firstLineChars="200"/>
        <w:rPr>
          <w:rFonts w:ascii="宋体" w:hAnsi="宋体"/>
          <w:sz w:val="24"/>
        </w:rPr>
      </w:pPr>
      <w:r>
        <w:rPr>
          <w:rFonts w:hint="eastAsia" w:ascii="宋体" w:hAnsi="宋体"/>
          <w:sz w:val="24"/>
        </w:rPr>
        <w:t xml:space="preserve">各合同包货物质保期要求均为货物经最终验收合格后 </w:t>
      </w:r>
      <w:r>
        <w:rPr>
          <w:rFonts w:hint="eastAsia" w:ascii="宋体" w:hAnsi="宋体"/>
          <w:sz w:val="24"/>
          <w:u w:val="single"/>
        </w:rPr>
        <w:t xml:space="preserve">    </w:t>
      </w:r>
      <w:r>
        <w:rPr>
          <w:rFonts w:hint="eastAsia" w:ascii="宋体" w:hAnsi="宋体"/>
          <w:sz w:val="24"/>
        </w:rPr>
        <w:t>个月，在质量保证期内设备运行发生故障时，乙方在接到甲方故障通知后</w:t>
      </w:r>
      <w:r>
        <w:rPr>
          <w:rFonts w:hint="eastAsia" w:ascii="宋体" w:hAnsi="宋体"/>
          <w:sz w:val="24"/>
          <w:u w:val="single"/>
        </w:rPr>
        <w:t xml:space="preserve">   </w:t>
      </w:r>
      <w:r>
        <w:rPr>
          <w:rFonts w:hint="eastAsia" w:ascii="宋体" w:hAnsi="宋体"/>
          <w:sz w:val="24"/>
        </w:rPr>
        <w:t>小时内应委派专业技术人员到现场免费提供咨询、维修和更换零部件等服务，并及时填写维修报告（包括故障原因、处理情况及甲方意见等）报甲方备案，若</w:t>
      </w:r>
      <w:r>
        <w:rPr>
          <w:rFonts w:hint="eastAsia" w:ascii="宋体" w:hAnsi="宋体"/>
          <w:sz w:val="24"/>
          <w:u w:val="single"/>
        </w:rPr>
        <w:t xml:space="preserve">    </w:t>
      </w:r>
      <w:r>
        <w:rPr>
          <w:rFonts w:hint="eastAsia" w:ascii="宋体" w:hAnsi="宋体"/>
          <w:sz w:val="24"/>
        </w:rPr>
        <w:t>小时内无法排除故障，则应先提供同档次备用机供甲方使用。其中发生一切费用由乙方承担。质量保证期内乙方有责任对设备进行不定期的巡查检修。谈判响应供应商视自身能力在响应文件中提供更优、更合理的维修服务承诺。</w:t>
      </w:r>
    </w:p>
    <w:p>
      <w:pPr>
        <w:spacing w:line="360" w:lineRule="auto"/>
        <w:ind w:firstLine="480" w:firstLineChars="200"/>
        <w:rPr>
          <w:rFonts w:ascii="宋体" w:hAnsi="宋体" w:cs="Arial"/>
          <w:sz w:val="24"/>
        </w:rPr>
      </w:pPr>
      <w:r>
        <w:rPr>
          <w:rFonts w:hint="eastAsia" w:ascii="宋体" w:hAnsi="宋体" w:cs="Arial"/>
          <w:sz w:val="24"/>
        </w:rPr>
        <w:t>9.知识产权：</w:t>
      </w:r>
    </w:p>
    <w:p>
      <w:pPr>
        <w:spacing w:line="360" w:lineRule="auto"/>
        <w:ind w:firstLine="480" w:firstLineChars="200"/>
        <w:rPr>
          <w:rFonts w:ascii="宋体" w:hAnsi="宋体" w:cs="Arial"/>
          <w:sz w:val="24"/>
        </w:rPr>
      </w:pPr>
      <w:r>
        <w:rPr>
          <w:rFonts w:hint="eastAsia" w:ascii="宋体" w:hAnsi="宋体" w:cs="Arial"/>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ascii="宋体" w:hAnsi="宋体" w:cs="Arial"/>
          <w:sz w:val="24"/>
        </w:rPr>
      </w:pPr>
      <w:r>
        <w:rPr>
          <w:rFonts w:hint="eastAsia" w:ascii="宋体" w:hAnsi="宋体" w:cs="Arial"/>
          <w:sz w:val="24"/>
        </w:rPr>
        <w:t>10.违约责任</w:t>
      </w:r>
    </w:p>
    <w:p>
      <w:pPr>
        <w:spacing w:line="360" w:lineRule="auto"/>
        <w:ind w:firstLine="480" w:firstLineChars="200"/>
        <w:rPr>
          <w:rFonts w:ascii="宋体" w:hAnsi="宋体"/>
          <w:sz w:val="24"/>
          <w:u w:val="single"/>
        </w:rPr>
      </w:pPr>
      <w:r>
        <w:rPr>
          <w:rFonts w:hint="eastAsia" w:ascii="宋体" w:hAnsi="宋体" w:cs="Arial"/>
          <w:sz w:val="24"/>
        </w:rPr>
        <w:t>10.1未按期交货的违约责任：</w:t>
      </w:r>
      <w:r>
        <w:rPr>
          <w:rFonts w:hint="eastAsia" w:ascii="宋体" w:hAnsi="宋体"/>
          <w:sz w:val="24"/>
          <w:u w:val="single"/>
        </w:rPr>
        <w:t xml:space="preserve">                                                 </w:t>
      </w:r>
    </w:p>
    <w:p>
      <w:pPr>
        <w:spacing w:line="360" w:lineRule="auto"/>
        <w:ind w:firstLine="480" w:firstLineChars="200"/>
        <w:rPr>
          <w:rFonts w:ascii="宋体" w:hAnsi="宋体" w:cs="Arial"/>
          <w:sz w:val="24"/>
        </w:rPr>
      </w:pPr>
      <w:r>
        <w:rPr>
          <w:rFonts w:ascii="宋体" w:hAnsi="宋体" w:cs="Arial"/>
          <w:sz w:val="24"/>
        </w:rPr>
        <w:t>1</w:t>
      </w:r>
      <w:r>
        <w:rPr>
          <w:rFonts w:hint="eastAsia" w:ascii="宋体" w:hAnsi="宋体" w:cs="Arial"/>
          <w:sz w:val="24"/>
        </w:rPr>
        <w:t>1.违约终止合同</w:t>
      </w:r>
    </w:p>
    <w:p>
      <w:pPr>
        <w:spacing w:line="360" w:lineRule="auto"/>
        <w:ind w:firstLine="480" w:firstLineChars="200"/>
        <w:rPr>
          <w:rFonts w:ascii="宋体" w:hAnsi="宋体" w:cs="Arial"/>
          <w:sz w:val="24"/>
        </w:rPr>
      </w:pPr>
      <w:r>
        <w:rPr>
          <w:rFonts w:ascii="宋体" w:hAnsi="宋体" w:cs="Arial"/>
          <w:sz w:val="24"/>
        </w:rPr>
        <w:t>11.</w:t>
      </w:r>
      <w:r>
        <w:rPr>
          <w:rFonts w:hint="eastAsia" w:ascii="宋体" w:hAnsi="宋体" w:cs="Arial"/>
          <w:sz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ascii="宋体" w:hAnsi="宋体" w:cs="Arial"/>
          <w:sz w:val="24"/>
        </w:rPr>
      </w:pPr>
      <w:r>
        <w:rPr>
          <w:rFonts w:ascii="宋体" w:hAnsi="宋体" w:cs="Arial"/>
          <w:sz w:val="24"/>
        </w:rPr>
        <w:t>11.1.1</w:t>
      </w:r>
      <w:r>
        <w:rPr>
          <w:rFonts w:hint="eastAsia" w:ascii="宋体" w:hAnsi="宋体" w:cs="Arial"/>
          <w:sz w:val="24"/>
        </w:rPr>
        <w:t>如果乙方未能在合同规定的期限内或双方另行确定的延期交货时间内交付合同约定的货物。</w:t>
      </w:r>
    </w:p>
    <w:p>
      <w:pPr>
        <w:spacing w:line="360" w:lineRule="auto"/>
        <w:ind w:firstLine="480" w:firstLineChars="200"/>
        <w:rPr>
          <w:rFonts w:ascii="宋体" w:hAnsi="宋体" w:cs="Arial"/>
          <w:sz w:val="24"/>
        </w:rPr>
      </w:pPr>
      <w:r>
        <w:rPr>
          <w:rFonts w:ascii="宋体" w:hAnsi="宋体" w:cs="Arial"/>
          <w:sz w:val="24"/>
        </w:rPr>
        <w:t>11.1.2</w:t>
      </w:r>
      <w:r>
        <w:rPr>
          <w:rFonts w:hint="eastAsia" w:ascii="宋体" w:hAnsi="宋体" w:cs="Arial"/>
          <w:sz w:val="24"/>
        </w:rPr>
        <w:t>乙方未能履行合同项下的任何其它义务。</w:t>
      </w:r>
    </w:p>
    <w:p>
      <w:pPr>
        <w:spacing w:line="360" w:lineRule="auto"/>
        <w:ind w:firstLine="480" w:firstLineChars="200"/>
        <w:rPr>
          <w:rFonts w:ascii="宋体" w:hAnsi="宋体" w:cs="Arial"/>
          <w:sz w:val="24"/>
        </w:rPr>
      </w:pPr>
      <w:r>
        <w:rPr>
          <w:rFonts w:hint="eastAsia" w:ascii="宋体" w:hAnsi="宋体" w:cs="Arial"/>
          <w:sz w:val="24"/>
        </w:rPr>
        <w:t>12.不可抗力</w:t>
      </w:r>
    </w:p>
    <w:p>
      <w:pPr>
        <w:spacing w:line="360" w:lineRule="auto"/>
        <w:ind w:firstLine="480" w:firstLineChars="200"/>
        <w:rPr>
          <w:rFonts w:ascii="宋体" w:hAnsi="宋体" w:cs="Arial"/>
          <w:sz w:val="24"/>
        </w:rPr>
      </w:pPr>
      <w:r>
        <w:rPr>
          <w:rFonts w:hint="eastAsia" w:ascii="宋体" w:hAnsi="宋体" w:cs="Arial"/>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ascii="宋体" w:hAnsi="宋体" w:cs="Arial"/>
          <w:sz w:val="24"/>
        </w:rPr>
      </w:pPr>
      <w:r>
        <w:rPr>
          <w:rFonts w:hint="eastAsia" w:ascii="宋体" w:hAnsi="宋体" w:cs="Arial"/>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ascii="宋体" w:hAnsi="宋体" w:cs="Arial"/>
          <w:sz w:val="24"/>
        </w:rPr>
      </w:pPr>
      <w:r>
        <w:rPr>
          <w:rFonts w:hint="eastAsia" w:ascii="宋体" w:hAnsi="宋体" w:cs="Arial"/>
          <w:sz w:val="24"/>
        </w:rPr>
        <w:t>13.合同纠纷处理方式：因本合同或与本合同有关的一切事项发生争议，由双方友好协商解决。协商不成的，选择以下其中一种方式解决：</w:t>
      </w:r>
    </w:p>
    <w:p>
      <w:pPr>
        <w:spacing w:line="360" w:lineRule="auto"/>
        <w:ind w:firstLine="480" w:firstLineChars="200"/>
        <w:rPr>
          <w:rFonts w:ascii="宋体" w:hAnsi="宋体" w:cs="Arial"/>
          <w:sz w:val="24"/>
        </w:rPr>
      </w:pPr>
      <w:r>
        <w:rPr>
          <w:rFonts w:hint="eastAsia" w:ascii="宋体" w:hAnsi="宋体" w:cs="Arial"/>
          <w:sz w:val="24"/>
        </w:rPr>
        <w:t>（  ）向（</w:t>
      </w:r>
      <w:r>
        <w:rPr>
          <w:rFonts w:hint="eastAsia" w:ascii="宋体" w:hAnsi="宋体" w:cs="Arial"/>
          <w:sz w:val="24"/>
          <w:u w:val="single"/>
        </w:rPr>
        <w:t>甲方所在地）</w:t>
      </w:r>
      <w:r>
        <w:rPr>
          <w:rFonts w:hint="eastAsia" w:ascii="宋体" w:hAnsi="宋体" w:cs="Arial"/>
          <w:sz w:val="24"/>
        </w:rPr>
        <w:t>仲裁委员会申请仲裁；</w:t>
      </w:r>
    </w:p>
    <w:p>
      <w:pPr>
        <w:spacing w:line="360" w:lineRule="auto"/>
        <w:ind w:firstLine="480" w:firstLineChars="200"/>
        <w:rPr>
          <w:rFonts w:ascii="宋体" w:hAnsi="宋体" w:cs="Arial"/>
          <w:sz w:val="24"/>
        </w:rPr>
      </w:pPr>
      <w:r>
        <w:rPr>
          <w:rFonts w:hint="eastAsia" w:ascii="宋体" w:hAnsi="宋体" w:cs="Arial"/>
          <w:sz w:val="24"/>
        </w:rPr>
        <w:t>（  ）向有管辖权的人民法院提起诉讼。</w:t>
      </w:r>
    </w:p>
    <w:p>
      <w:pPr>
        <w:spacing w:line="360" w:lineRule="auto"/>
        <w:ind w:firstLine="480" w:firstLineChars="200"/>
        <w:rPr>
          <w:rFonts w:ascii="宋体" w:hAnsi="宋体" w:cs="Arial"/>
          <w:sz w:val="24"/>
        </w:rPr>
      </w:pPr>
      <w:r>
        <w:rPr>
          <w:rFonts w:hint="eastAsia" w:ascii="宋体" w:hAnsi="宋体" w:cs="Arial"/>
          <w:sz w:val="24"/>
        </w:rPr>
        <w:t>14.其他约定</w:t>
      </w:r>
    </w:p>
    <w:p>
      <w:pPr>
        <w:spacing w:line="360" w:lineRule="auto"/>
        <w:ind w:firstLine="480" w:firstLineChars="200"/>
        <w:rPr>
          <w:rFonts w:ascii="宋体" w:hAnsi="宋体" w:cs="Arial"/>
          <w:sz w:val="24"/>
        </w:rPr>
      </w:pPr>
      <w:r>
        <w:rPr>
          <w:rFonts w:hint="eastAsia" w:ascii="宋体" w:hAnsi="宋体" w:cs="Arial"/>
          <w:sz w:val="24"/>
        </w:rPr>
        <w:t>14.1本采购项目的谈判文件、成交供应商的响应文件以及相关的澄清确认函（如果有的话）均为本合同不可分割的一部分，与本合同具有同等法律效力。</w:t>
      </w:r>
    </w:p>
    <w:p>
      <w:pPr>
        <w:spacing w:line="360" w:lineRule="auto"/>
        <w:ind w:firstLine="480" w:firstLineChars="200"/>
        <w:rPr>
          <w:rFonts w:ascii="宋体" w:hAnsi="宋体" w:cs="Arial"/>
          <w:sz w:val="24"/>
        </w:rPr>
      </w:pPr>
      <w:r>
        <w:rPr>
          <w:rFonts w:hint="eastAsia" w:ascii="宋体" w:hAnsi="宋体" w:cs="Arial"/>
          <w:sz w:val="24"/>
        </w:rPr>
        <w:t>14.2本合同未尽事宜，双方另行补充。</w:t>
      </w:r>
    </w:p>
    <w:p>
      <w:pPr>
        <w:spacing w:line="360" w:lineRule="auto"/>
        <w:ind w:firstLine="480" w:firstLineChars="200"/>
        <w:rPr>
          <w:rFonts w:ascii="宋体" w:hAnsi="宋体" w:cs="Arial"/>
          <w:sz w:val="24"/>
        </w:rPr>
      </w:pPr>
      <w:r>
        <w:rPr>
          <w:rFonts w:hint="eastAsia" w:ascii="宋体" w:hAnsi="宋体" w:cs="Arial"/>
          <w:sz w:val="24"/>
        </w:rPr>
        <w:t>14.3</w:t>
      </w:r>
      <w:r>
        <w:rPr>
          <w:rFonts w:hint="eastAsia" w:ascii="宋体" w:hAnsi="宋体" w:eastAsia="宋体" w:cs="宋体"/>
          <w:sz w:val="24"/>
          <w:szCs w:val="24"/>
        </w:rPr>
        <w:t>本合同一式</w:t>
      </w:r>
      <w:r>
        <w:rPr>
          <w:rFonts w:hint="eastAsia" w:ascii="宋体" w:hAnsi="宋体" w:eastAsia="宋体" w:cs="宋体"/>
          <w:color w:val="FF0000"/>
          <w:sz w:val="24"/>
          <w:szCs w:val="24"/>
          <w:u w:val="single"/>
        </w:rPr>
        <w:t>五</w:t>
      </w:r>
      <w:r>
        <w:rPr>
          <w:rFonts w:hint="eastAsia" w:ascii="宋体" w:hAnsi="宋体" w:eastAsia="宋体" w:cs="宋体"/>
          <w:sz w:val="24"/>
          <w:szCs w:val="24"/>
        </w:rPr>
        <w:t>份,</w:t>
      </w:r>
      <w:r>
        <w:rPr>
          <w:rFonts w:hint="eastAsia" w:ascii="宋体" w:hAnsi="宋体" w:eastAsia="宋体" w:cs="宋体"/>
          <w:color w:val="FF0000"/>
          <w:sz w:val="24"/>
          <w:szCs w:val="24"/>
        </w:rPr>
        <w:t>甲方执</w:t>
      </w:r>
      <w:r>
        <w:rPr>
          <w:rFonts w:hint="eastAsia" w:ascii="宋体" w:hAnsi="宋体" w:eastAsia="宋体" w:cs="宋体"/>
          <w:color w:val="FF0000"/>
          <w:sz w:val="24"/>
          <w:szCs w:val="24"/>
          <w:u w:val="single"/>
        </w:rPr>
        <w:t>二</w:t>
      </w:r>
      <w:r>
        <w:rPr>
          <w:rFonts w:hint="eastAsia" w:ascii="宋体" w:hAnsi="宋体" w:eastAsia="宋体" w:cs="宋体"/>
          <w:color w:val="FF0000"/>
          <w:sz w:val="24"/>
          <w:szCs w:val="24"/>
        </w:rPr>
        <w:t>份</w:t>
      </w:r>
      <w:r>
        <w:rPr>
          <w:rFonts w:hint="eastAsia" w:ascii="宋体" w:hAnsi="宋体" w:eastAsia="宋体" w:cs="宋体"/>
          <w:sz w:val="24"/>
          <w:szCs w:val="24"/>
        </w:rPr>
        <w:t>，乙方执</w:t>
      </w:r>
      <w:r>
        <w:rPr>
          <w:rFonts w:hint="eastAsia" w:ascii="宋体" w:hAnsi="宋体" w:eastAsia="宋体" w:cs="宋体"/>
          <w:sz w:val="24"/>
          <w:szCs w:val="24"/>
          <w:u w:val="single"/>
        </w:rPr>
        <w:t>一</w:t>
      </w:r>
      <w:r>
        <w:rPr>
          <w:rFonts w:hint="eastAsia" w:ascii="宋体" w:hAnsi="宋体" w:eastAsia="宋体" w:cs="宋体"/>
          <w:sz w:val="24"/>
          <w:szCs w:val="24"/>
        </w:rPr>
        <w:t>份，送县财政局和采购代理机构各备份一份，具有同等法律效力.</w:t>
      </w:r>
    </w:p>
    <w:p>
      <w:pPr>
        <w:spacing w:line="360" w:lineRule="auto"/>
        <w:ind w:firstLine="480" w:firstLineChars="200"/>
        <w:rPr>
          <w:rFonts w:ascii="宋体" w:hAnsi="宋体" w:cs="Arial"/>
          <w:sz w:val="24"/>
        </w:rPr>
      </w:pPr>
      <w:r>
        <w:rPr>
          <w:rFonts w:hint="eastAsia" w:ascii="宋体" w:hAnsi="宋体" w:cs="Arial"/>
          <w:sz w:val="24"/>
        </w:rPr>
        <w:t>14.4</w:t>
      </w:r>
      <w:r>
        <w:rPr>
          <w:rFonts w:hint="eastAsia" w:ascii="宋体" w:hAnsi="宋体" w:eastAsia="宋体" w:cs="宋体"/>
          <w:b/>
          <w:bCs/>
          <w:color w:val="FF0000"/>
          <w:sz w:val="24"/>
          <w:szCs w:val="24"/>
          <w:u w:val="single"/>
        </w:rPr>
        <w:t>乙方应当自合同签订之日起2个工作日，将合同在全国公共资源交易平台（贵州省铜仁市）上公告，但合同中涉及国家秘密、商业秘密的内容除外。</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甲    方：                            乙    方：</w:t>
      </w:r>
    </w:p>
    <w:p>
      <w:pPr>
        <w:spacing w:line="360" w:lineRule="auto"/>
        <w:rPr>
          <w:rFonts w:ascii="宋体" w:hAnsi="宋体"/>
          <w:sz w:val="24"/>
        </w:rPr>
      </w:pPr>
      <w:r>
        <w:rPr>
          <w:rFonts w:hint="eastAsia" w:ascii="宋体" w:hAnsi="宋体"/>
          <w:sz w:val="24"/>
        </w:rPr>
        <w:t>单位地址：                            单位地址：</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电    话：                            电    话：</w:t>
      </w:r>
    </w:p>
    <w:p>
      <w:pPr>
        <w:spacing w:line="360" w:lineRule="auto"/>
        <w:rPr>
          <w:rFonts w:ascii="宋体" w:hAnsi="宋体"/>
          <w:sz w:val="24"/>
        </w:rPr>
      </w:pPr>
      <w:r>
        <w:rPr>
          <w:rFonts w:hint="eastAsia" w:ascii="宋体" w:hAnsi="宋体"/>
          <w:sz w:val="24"/>
        </w:rPr>
        <w:t>开户银行：                            开户银行：</w:t>
      </w:r>
    </w:p>
    <w:p>
      <w:pPr>
        <w:spacing w:line="360" w:lineRule="auto"/>
        <w:outlineLvl w:val="0"/>
        <w:rPr>
          <w:rFonts w:ascii="宋体" w:hAnsi="宋体"/>
          <w:sz w:val="24"/>
        </w:rPr>
      </w:pPr>
      <w:r>
        <w:rPr>
          <w:rFonts w:hint="eastAsia" w:ascii="宋体" w:hAnsi="宋体"/>
          <w:sz w:val="24"/>
        </w:rPr>
        <w:t>账    号：                            账    号：</w:t>
      </w: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jc w:val="center"/>
        <w:outlineLvl w:val="0"/>
        <w:rPr>
          <w:rFonts w:ascii="宋体" w:hAnsi="宋体"/>
          <w:b/>
          <w:bCs/>
          <w:sz w:val="44"/>
          <w:szCs w:val="44"/>
        </w:rPr>
      </w:pPr>
      <w:r>
        <w:rPr>
          <w:rFonts w:hint="eastAsia" w:ascii="宋体" w:hAnsi="宋体"/>
          <w:b/>
          <w:bCs/>
          <w:sz w:val="44"/>
          <w:szCs w:val="44"/>
        </w:rPr>
        <w:t>第六章　响应文件格式</w:t>
      </w:r>
      <w:bookmarkEnd w:id="1"/>
    </w:p>
    <w:p>
      <w:pPr>
        <w:spacing w:line="360" w:lineRule="auto"/>
        <w:jc w:val="center"/>
        <w:rPr>
          <w:rFonts w:asciiTheme="minorEastAsia" w:hAnsiTheme="minorEastAsia" w:cstheme="minorEastAsia"/>
          <w:b/>
          <w:color w:val="000000"/>
          <w:sz w:val="36"/>
          <w:szCs w:val="36"/>
        </w:rPr>
      </w:pPr>
      <w:r>
        <w:rPr>
          <w:rFonts w:hint="eastAsia" w:asciiTheme="minorEastAsia" w:hAnsiTheme="minorEastAsia" w:cstheme="minorEastAsia"/>
          <w:b/>
          <w:color w:val="000000"/>
          <w:sz w:val="36"/>
          <w:szCs w:val="36"/>
        </w:rPr>
        <w:t>密封袋格式</w:t>
      </w:r>
    </w:p>
    <w:tbl>
      <w:tblPr>
        <w:tblStyle w:val="1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atLeast"/>
        </w:trPr>
        <w:tc>
          <w:tcPr>
            <w:tcW w:w="8528" w:type="dxa"/>
          </w:tcPr>
          <w:p>
            <w:pPr>
              <w:spacing w:line="480" w:lineRule="auto"/>
              <w:jc w:val="center"/>
              <w:rPr>
                <w:rFonts w:asciiTheme="minorEastAsia" w:hAnsiTheme="minorEastAsia" w:cstheme="minorEastAsia"/>
                <w:bCs/>
                <w:color w:val="000000"/>
                <w:sz w:val="28"/>
                <w:szCs w:val="28"/>
              </w:rPr>
            </w:pPr>
          </w:p>
          <w:p>
            <w:pPr>
              <w:spacing w:line="480" w:lineRule="auto"/>
              <w:jc w:val="center"/>
              <w:rPr>
                <w:rFonts w:asciiTheme="minorEastAsia" w:hAnsiTheme="minorEastAsia" w:cstheme="minorEastAsia"/>
                <w:bCs/>
                <w:color w:val="000000"/>
                <w:sz w:val="28"/>
                <w:szCs w:val="28"/>
              </w:rPr>
            </w:pPr>
            <w:r>
              <w:rPr>
                <w:rFonts w:hint="eastAsia" w:asciiTheme="minorEastAsia" w:hAnsiTheme="minorEastAsia" w:cstheme="minorEastAsia"/>
                <w:bCs/>
                <w:color w:val="000000"/>
                <w:sz w:val="28"/>
                <w:szCs w:val="28"/>
              </w:rPr>
              <w:t>贵州黔诚商务有限公司 （政府采购）项目</w:t>
            </w:r>
          </w:p>
          <w:p>
            <w:pPr>
              <w:pStyle w:val="3"/>
            </w:pPr>
          </w:p>
          <w:p>
            <w:pPr>
              <w:spacing w:line="480" w:lineRule="auto"/>
              <w:jc w:val="center"/>
              <w:rPr>
                <w:rFonts w:asciiTheme="minorEastAsia" w:hAnsiTheme="minorEastAsia" w:cstheme="minorEastAsia"/>
                <w:b/>
                <w:color w:val="000000"/>
                <w:sz w:val="28"/>
                <w:szCs w:val="28"/>
              </w:rPr>
            </w:pPr>
            <w:r>
              <w:rPr>
                <w:rFonts w:hint="eastAsia" w:asciiTheme="minorEastAsia" w:hAnsiTheme="minorEastAsia" w:cstheme="minorEastAsia"/>
                <w:b/>
                <w:color w:val="FF0000"/>
                <w:sz w:val="28"/>
                <w:szCs w:val="28"/>
              </w:rPr>
              <w:t>谈判响应文件</w:t>
            </w:r>
            <w:r>
              <w:rPr>
                <w:rFonts w:hint="eastAsia" w:asciiTheme="minorEastAsia" w:hAnsiTheme="minorEastAsia" w:cstheme="minorEastAsia"/>
                <w:b/>
                <w:color w:val="000000"/>
                <w:sz w:val="28"/>
                <w:szCs w:val="28"/>
              </w:rPr>
              <w:t>/报价一览表</w:t>
            </w:r>
          </w:p>
          <w:p>
            <w:pPr>
              <w:spacing w:line="400" w:lineRule="exact"/>
              <w:rPr>
                <w:rFonts w:asciiTheme="minorEastAsia" w:hAnsiTheme="minorEastAsia" w:cstheme="minorEastAsia"/>
                <w:bCs/>
                <w:color w:val="000000"/>
                <w:sz w:val="28"/>
                <w:szCs w:val="28"/>
              </w:rPr>
            </w:pPr>
          </w:p>
          <w:p>
            <w:pPr>
              <w:spacing w:line="400" w:lineRule="exact"/>
              <w:ind w:left="180"/>
              <w:rPr>
                <w:rFonts w:asciiTheme="minorEastAsia" w:hAnsiTheme="minorEastAsia" w:cstheme="minorEastAsia"/>
                <w:bCs/>
                <w:color w:val="000000"/>
                <w:sz w:val="28"/>
                <w:szCs w:val="28"/>
              </w:rPr>
            </w:pPr>
          </w:p>
          <w:p>
            <w:pPr>
              <w:spacing w:line="400" w:lineRule="exact"/>
              <w:rPr>
                <w:rFonts w:asciiTheme="minorEastAsia" w:hAnsiTheme="minorEastAsia" w:cstheme="minorEastAsia"/>
                <w:bCs/>
                <w:color w:val="000000"/>
                <w:sz w:val="28"/>
                <w:szCs w:val="28"/>
              </w:rPr>
            </w:pPr>
          </w:p>
          <w:p>
            <w:pPr>
              <w:spacing w:line="400" w:lineRule="exact"/>
              <w:rPr>
                <w:rFonts w:asciiTheme="minorEastAsia" w:hAnsiTheme="minorEastAsia" w:cstheme="minorEastAsia"/>
                <w:bCs/>
                <w:color w:val="000000"/>
                <w:sz w:val="28"/>
                <w:szCs w:val="28"/>
              </w:rPr>
            </w:pPr>
          </w:p>
          <w:p>
            <w:pPr>
              <w:pStyle w:val="3"/>
            </w:pPr>
          </w:p>
          <w:p>
            <w:pPr>
              <w:spacing w:line="400" w:lineRule="exact"/>
              <w:ind w:left="180"/>
              <w:rPr>
                <w:rFonts w:asciiTheme="minorEastAsia" w:hAnsiTheme="minorEastAsia" w:cstheme="minorEastAsia"/>
                <w:bCs/>
                <w:color w:val="000000"/>
                <w:sz w:val="28"/>
                <w:szCs w:val="28"/>
              </w:rPr>
            </w:pPr>
          </w:p>
          <w:p>
            <w:pPr>
              <w:spacing w:line="400" w:lineRule="exact"/>
              <w:ind w:left="180" w:firstLine="280" w:firstLineChars="100"/>
              <w:rPr>
                <w:rFonts w:asciiTheme="minorEastAsia" w:hAnsiTheme="minorEastAsia" w:cstheme="minorEastAsia"/>
                <w:bCs/>
                <w:color w:val="000000"/>
                <w:sz w:val="28"/>
                <w:szCs w:val="28"/>
                <w:u w:val="single"/>
              </w:rPr>
            </w:pPr>
            <w:r>
              <w:rPr>
                <w:rFonts w:hint="eastAsia" w:asciiTheme="minorEastAsia" w:hAnsiTheme="minorEastAsia" w:cstheme="minorEastAsia"/>
                <w:bCs/>
                <w:color w:val="000000"/>
                <w:sz w:val="28"/>
                <w:szCs w:val="28"/>
              </w:rPr>
              <w:t>采购</w:t>
            </w:r>
            <w:r>
              <w:rPr>
                <w:rFonts w:hint="eastAsia" w:asciiTheme="minorEastAsia" w:hAnsiTheme="minorEastAsia" w:cstheme="minorEastAsia"/>
                <w:bCs/>
                <w:color w:val="000000"/>
                <w:sz w:val="28"/>
                <w:szCs w:val="28"/>
                <w:lang w:eastAsia="zh-CN"/>
              </w:rPr>
              <w:t>石阡县农业农村局设备采购项目（二次采购）</w:t>
            </w:r>
            <w:r>
              <w:rPr>
                <w:rFonts w:hint="eastAsia" w:asciiTheme="minorEastAsia" w:hAnsiTheme="minorEastAsia" w:cstheme="minorEastAsia"/>
                <w:bCs/>
                <w:color w:val="000000"/>
                <w:sz w:val="28"/>
                <w:szCs w:val="28"/>
              </w:rPr>
              <w:t>:</w:t>
            </w:r>
            <w:r>
              <w:rPr>
                <w:rFonts w:hint="eastAsia" w:asciiTheme="minorEastAsia" w:hAnsiTheme="minorEastAsia" w:cstheme="minorEastAsia"/>
                <w:bCs/>
                <w:color w:val="000000"/>
                <w:sz w:val="28"/>
                <w:szCs w:val="28"/>
                <w:u w:val="single"/>
              </w:rPr>
              <w:t xml:space="preserve">                                          </w:t>
            </w:r>
          </w:p>
          <w:p>
            <w:pPr>
              <w:spacing w:line="400" w:lineRule="exact"/>
              <w:ind w:left="180" w:firstLine="280" w:firstLineChars="100"/>
              <w:rPr>
                <w:rFonts w:asciiTheme="minorEastAsia" w:hAnsiTheme="minorEastAsia" w:cstheme="minorEastAsia"/>
                <w:bCs/>
                <w:color w:val="000000"/>
                <w:sz w:val="28"/>
                <w:szCs w:val="28"/>
                <w:u w:val="single"/>
              </w:rPr>
            </w:pPr>
            <w:r>
              <w:rPr>
                <w:rFonts w:hint="eastAsia" w:asciiTheme="minorEastAsia" w:hAnsiTheme="minorEastAsia" w:cstheme="minorEastAsia"/>
                <w:bCs/>
                <w:color w:val="000000"/>
                <w:sz w:val="28"/>
                <w:szCs w:val="28"/>
              </w:rPr>
              <w:t>采购项目编号:</w:t>
            </w:r>
            <w:r>
              <w:rPr>
                <w:rFonts w:hint="eastAsia" w:asciiTheme="minorEastAsia" w:hAnsiTheme="minorEastAsia" w:cstheme="minorEastAsia"/>
                <w:bCs/>
                <w:color w:val="000000"/>
                <w:sz w:val="28"/>
                <w:szCs w:val="28"/>
                <w:u w:val="single"/>
              </w:rPr>
              <w:t xml:space="preserve">                                          </w:t>
            </w:r>
          </w:p>
          <w:p>
            <w:pPr>
              <w:spacing w:line="400" w:lineRule="exact"/>
              <w:ind w:left="180" w:firstLine="280" w:firstLineChars="100"/>
              <w:rPr>
                <w:rFonts w:asciiTheme="minorEastAsia" w:hAnsiTheme="minorEastAsia" w:cstheme="minorEastAsia"/>
                <w:bCs/>
                <w:color w:val="000000"/>
                <w:sz w:val="28"/>
                <w:szCs w:val="28"/>
                <w:u w:val="single"/>
              </w:rPr>
            </w:pPr>
            <w:r>
              <w:rPr>
                <w:rFonts w:hint="eastAsia" w:asciiTheme="minorEastAsia" w:hAnsiTheme="minorEastAsia" w:cstheme="minorEastAsia"/>
                <w:bCs/>
                <w:color w:val="000000"/>
                <w:sz w:val="28"/>
                <w:szCs w:val="28"/>
              </w:rPr>
              <w:t>投标单位名称:</w:t>
            </w:r>
            <w:r>
              <w:rPr>
                <w:rFonts w:hint="eastAsia" w:asciiTheme="minorEastAsia" w:hAnsiTheme="minorEastAsia" w:cstheme="minorEastAsia"/>
                <w:bCs/>
                <w:color w:val="000000"/>
                <w:sz w:val="28"/>
                <w:szCs w:val="28"/>
                <w:u w:val="single"/>
              </w:rPr>
              <w:t xml:space="preserve">                                           </w:t>
            </w:r>
          </w:p>
          <w:p>
            <w:pPr>
              <w:spacing w:line="400" w:lineRule="exact"/>
              <w:ind w:left="180" w:firstLine="280" w:firstLineChars="100"/>
              <w:rPr>
                <w:rFonts w:asciiTheme="minorEastAsia" w:hAnsiTheme="minorEastAsia" w:cstheme="minorEastAsia"/>
                <w:bCs/>
                <w:color w:val="000000"/>
                <w:sz w:val="28"/>
                <w:szCs w:val="28"/>
                <w:u w:val="single"/>
              </w:rPr>
            </w:pPr>
            <w:r>
              <w:rPr>
                <w:rFonts w:hint="eastAsia" w:asciiTheme="minorEastAsia" w:hAnsiTheme="minorEastAsia" w:cstheme="minorEastAsia"/>
                <w:bCs/>
                <w:color w:val="000000"/>
                <w:sz w:val="28"/>
                <w:szCs w:val="28"/>
              </w:rPr>
              <w:t>地        址:</w:t>
            </w:r>
            <w:r>
              <w:rPr>
                <w:rFonts w:hint="eastAsia" w:asciiTheme="minorEastAsia" w:hAnsiTheme="minorEastAsia" w:cstheme="minorEastAsia"/>
                <w:bCs/>
                <w:color w:val="000000"/>
                <w:sz w:val="28"/>
                <w:szCs w:val="28"/>
                <w:u w:val="single"/>
              </w:rPr>
              <w:t xml:space="preserve">                                   </w:t>
            </w:r>
            <w:r>
              <w:rPr>
                <w:rFonts w:hint="eastAsia" w:asciiTheme="minorEastAsia" w:hAnsiTheme="minorEastAsia" w:cstheme="minorEastAsia"/>
                <w:bCs/>
                <w:color w:val="000000"/>
                <w:sz w:val="28"/>
                <w:szCs w:val="28"/>
                <w:u w:val="single"/>
              </w:rPr>
              <w:tab/>
            </w:r>
            <w:r>
              <w:rPr>
                <w:rFonts w:hint="eastAsia" w:asciiTheme="minorEastAsia" w:hAnsiTheme="minorEastAsia" w:cstheme="minorEastAsia"/>
                <w:bCs/>
                <w:color w:val="000000"/>
                <w:sz w:val="28"/>
                <w:szCs w:val="28"/>
                <w:u w:val="single"/>
              </w:rPr>
              <w:t xml:space="preserve">      </w:t>
            </w:r>
          </w:p>
          <w:p>
            <w:pPr>
              <w:spacing w:line="400" w:lineRule="exact"/>
              <w:ind w:left="180" w:firstLine="280" w:firstLineChars="100"/>
              <w:rPr>
                <w:rFonts w:asciiTheme="minorEastAsia" w:hAnsiTheme="minorEastAsia" w:cstheme="minorEastAsia"/>
                <w:bCs/>
                <w:color w:val="000000"/>
                <w:sz w:val="28"/>
                <w:szCs w:val="28"/>
                <w:u w:val="single"/>
              </w:rPr>
            </w:pPr>
            <w:r>
              <w:rPr>
                <w:rFonts w:hint="eastAsia" w:asciiTheme="minorEastAsia" w:hAnsiTheme="minorEastAsia" w:cstheme="minorEastAsia"/>
                <w:bCs/>
                <w:color w:val="000000"/>
                <w:sz w:val="28"/>
                <w:szCs w:val="28"/>
              </w:rPr>
              <w:t>联   系   人:</w:t>
            </w:r>
            <w:r>
              <w:rPr>
                <w:rFonts w:hint="eastAsia" w:asciiTheme="minorEastAsia" w:hAnsiTheme="minorEastAsia" w:cstheme="minorEastAsia"/>
                <w:bCs/>
                <w:color w:val="000000"/>
                <w:sz w:val="28"/>
                <w:szCs w:val="28"/>
                <w:u w:val="single"/>
              </w:rPr>
              <w:t xml:space="preserve">                                          </w:t>
            </w:r>
          </w:p>
          <w:p>
            <w:pPr>
              <w:spacing w:line="400" w:lineRule="exact"/>
              <w:ind w:left="180" w:firstLine="280" w:firstLineChars="100"/>
              <w:rPr>
                <w:rFonts w:asciiTheme="minorEastAsia" w:hAnsiTheme="minorEastAsia" w:cstheme="minorEastAsia"/>
                <w:b/>
                <w:color w:val="000000"/>
                <w:sz w:val="28"/>
                <w:szCs w:val="28"/>
                <w:u w:val="single"/>
              </w:rPr>
            </w:pPr>
            <w:r>
              <w:rPr>
                <w:rFonts w:hint="eastAsia" w:asciiTheme="minorEastAsia" w:hAnsiTheme="minorEastAsia" w:cstheme="minorEastAsia"/>
                <w:bCs/>
                <w:color w:val="000000"/>
                <w:sz w:val="28"/>
                <w:szCs w:val="28"/>
              </w:rPr>
              <w:t>联  系 电 话:</w:t>
            </w:r>
            <w:r>
              <w:rPr>
                <w:rFonts w:hint="eastAsia" w:asciiTheme="minorEastAsia" w:hAnsiTheme="minorEastAsia" w:cstheme="minorEastAsia"/>
                <w:bCs/>
                <w:color w:val="000000"/>
                <w:sz w:val="28"/>
                <w:szCs w:val="28"/>
                <w:u w:val="single"/>
              </w:rPr>
              <w:t xml:space="preserve">                                         </w:t>
            </w:r>
            <w:r>
              <w:rPr>
                <w:rFonts w:hint="eastAsia" w:asciiTheme="minorEastAsia" w:hAnsiTheme="minorEastAsia" w:cstheme="minorEastAsia"/>
                <w:b/>
                <w:color w:val="000000"/>
                <w:sz w:val="28"/>
                <w:szCs w:val="28"/>
                <w:u w:val="single"/>
              </w:rPr>
              <w:t xml:space="preserve"> </w:t>
            </w:r>
          </w:p>
          <w:p>
            <w:pPr>
              <w:pStyle w:val="5"/>
              <w:rPr>
                <w:rFonts w:hAnsi="宋体"/>
                <w:color w:val="FF0000"/>
                <w:sz w:val="24"/>
              </w:rPr>
            </w:pPr>
          </w:p>
          <w:p>
            <w:pPr>
              <w:pStyle w:val="5"/>
            </w:pPr>
            <w:r>
              <w:rPr>
                <w:rFonts w:hint="eastAsia" w:hAnsi="宋体"/>
                <w:color w:val="FF0000"/>
                <w:sz w:val="24"/>
              </w:rPr>
              <w:t>注：密封袋口的密封处必须盖章并注明 “开标时间启封”的字样。</w:t>
            </w:r>
          </w:p>
        </w:tc>
      </w:tr>
    </w:tbl>
    <w:p>
      <w:pPr>
        <w:pStyle w:val="5"/>
        <w:jc w:val="both"/>
      </w:pPr>
    </w:p>
    <w:p>
      <w:pPr>
        <w:spacing w:line="480" w:lineRule="auto"/>
        <w:jc w:val="center"/>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spacing w:line="360" w:lineRule="auto"/>
        <w:jc w:val="center"/>
        <w:rPr>
          <w:rFonts w:asciiTheme="minorEastAsia" w:hAnsiTheme="minorEastAsia" w:cstheme="minorEastAsia"/>
          <w:b/>
          <w:color w:val="FF0000"/>
          <w:sz w:val="36"/>
          <w:szCs w:val="36"/>
        </w:rPr>
      </w:pPr>
      <w:r>
        <w:rPr>
          <w:rFonts w:hint="eastAsia" w:asciiTheme="minorEastAsia" w:hAnsiTheme="minorEastAsia" w:cstheme="minorEastAsia"/>
          <w:b/>
          <w:color w:val="FF0000"/>
          <w:sz w:val="36"/>
          <w:szCs w:val="36"/>
        </w:rPr>
        <w:t>谈判响应文件封面格式</w:t>
      </w:r>
    </w:p>
    <w:p>
      <w:pPr>
        <w:pStyle w:val="5"/>
      </w:pPr>
    </w:p>
    <w:tbl>
      <w:tblPr>
        <w:tblStyle w:val="19"/>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6" w:hRule="atLeast"/>
        </w:trPr>
        <w:tc>
          <w:tcPr>
            <w:tcW w:w="8640" w:type="dxa"/>
          </w:tcPr>
          <w:p>
            <w:pPr>
              <w:spacing w:line="480" w:lineRule="auto"/>
              <w:jc w:val="right"/>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u w:val="single"/>
              </w:rPr>
              <w:t>正本或副本</w:t>
            </w:r>
          </w:p>
          <w:p>
            <w:pPr>
              <w:spacing w:line="480" w:lineRule="auto"/>
              <w:jc w:val="center"/>
              <w:rPr>
                <w:rFonts w:asciiTheme="minorEastAsia" w:hAnsiTheme="minorEastAsia" w:cstheme="minorEastAsia"/>
                <w:bCs/>
                <w:color w:val="000000"/>
                <w:sz w:val="28"/>
                <w:szCs w:val="28"/>
              </w:rPr>
            </w:pPr>
            <w:r>
              <w:rPr>
                <w:rFonts w:hint="eastAsia" w:asciiTheme="minorEastAsia" w:hAnsiTheme="minorEastAsia" w:cstheme="minorEastAsia"/>
                <w:bCs/>
                <w:color w:val="000000"/>
                <w:sz w:val="28"/>
                <w:szCs w:val="28"/>
              </w:rPr>
              <w:t>贵州黔诚商务有限公司 （政府采购）项目</w:t>
            </w:r>
          </w:p>
          <w:p>
            <w:pPr>
              <w:pStyle w:val="3"/>
            </w:pPr>
          </w:p>
          <w:p>
            <w:pPr>
              <w:spacing w:line="480" w:lineRule="auto"/>
              <w:jc w:val="center"/>
              <w:rPr>
                <w:rFonts w:asciiTheme="minorEastAsia" w:hAnsiTheme="minorEastAsia" w:cstheme="minorEastAsia"/>
                <w:b/>
                <w:color w:val="FF0000"/>
                <w:sz w:val="28"/>
                <w:szCs w:val="28"/>
              </w:rPr>
            </w:pPr>
            <w:r>
              <w:rPr>
                <w:rFonts w:hint="eastAsia" w:asciiTheme="minorEastAsia" w:hAnsiTheme="minorEastAsia" w:cstheme="minorEastAsia"/>
                <w:b/>
                <w:color w:val="FF0000"/>
                <w:sz w:val="28"/>
                <w:szCs w:val="28"/>
              </w:rPr>
              <w:t>谈判响应文件</w:t>
            </w:r>
          </w:p>
          <w:p>
            <w:pPr>
              <w:spacing w:line="400" w:lineRule="exact"/>
              <w:rPr>
                <w:rFonts w:asciiTheme="minorEastAsia" w:hAnsiTheme="minorEastAsia" w:cstheme="minorEastAsia"/>
                <w:bCs/>
                <w:color w:val="000000"/>
                <w:sz w:val="28"/>
                <w:szCs w:val="28"/>
              </w:rPr>
            </w:pPr>
          </w:p>
          <w:p>
            <w:pPr>
              <w:spacing w:line="400" w:lineRule="exact"/>
              <w:ind w:left="180"/>
              <w:rPr>
                <w:rFonts w:asciiTheme="minorEastAsia" w:hAnsiTheme="minorEastAsia" w:cstheme="minorEastAsia"/>
                <w:bCs/>
                <w:color w:val="000000"/>
                <w:sz w:val="28"/>
                <w:szCs w:val="28"/>
              </w:rPr>
            </w:pPr>
          </w:p>
          <w:p>
            <w:pPr>
              <w:spacing w:line="400" w:lineRule="exact"/>
              <w:rPr>
                <w:rFonts w:asciiTheme="minorEastAsia" w:hAnsiTheme="minorEastAsia" w:cstheme="minorEastAsia"/>
                <w:bCs/>
                <w:color w:val="000000"/>
                <w:sz w:val="28"/>
                <w:szCs w:val="28"/>
              </w:rPr>
            </w:pPr>
          </w:p>
          <w:p>
            <w:pPr>
              <w:spacing w:line="400" w:lineRule="exact"/>
              <w:rPr>
                <w:rFonts w:asciiTheme="minorEastAsia" w:hAnsiTheme="minorEastAsia" w:cstheme="minorEastAsia"/>
                <w:bCs/>
                <w:color w:val="000000"/>
                <w:sz w:val="28"/>
                <w:szCs w:val="28"/>
              </w:rPr>
            </w:pPr>
          </w:p>
          <w:p>
            <w:pPr>
              <w:pStyle w:val="3"/>
            </w:pPr>
          </w:p>
          <w:p/>
          <w:p>
            <w:pPr>
              <w:spacing w:line="400" w:lineRule="exact"/>
              <w:ind w:left="180"/>
              <w:rPr>
                <w:rFonts w:asciiTheme="minorEastAsia" w:hAnsiTheme="minorEastAsia" w:cstheme="minorEastAsia"/>
                <w:bCs/>
                <w:color w:val="000000"/>
                <w:sz w:val="28"/>
                <w:szCs w:val="28"/>
              </w:rPr>
            </w:pPr>
          </w:p>
          <w:p>
            <w:pPr>
              <w:spacing w:line="400" w:lineRule="exact"/>
              <w:ind w:left="180" w:firstLine="280" w:firstLineChars="100"/>
              <w:rPr>
                <w:rFonts w:asciiTheme="minorEastAsia" w:hAnsiTheme="minorEastAsia" w:cstheme="minorEastAsia"/>
                <w:bCs/>
                <w:color w:val="000000"/>
                <w:sz w:val="28"/>
                <w:szCs w:val="28"/>
                <w:u w:val="single"/>
              </w:rPr>
            </w:pPr>
            <w:r>
              <w:rPr>
                <w:rFonts w:hint="eastAsia" w:asciiTheme="minorEastAsia" w:hAnsiTheme="minorEastAsia" w:cstheme="minorEastAsia"/>
                <w:bCs/>
                <w:color w:val="000000"/>
                <w:sz w:val="28"/>
                <w:szCs w:val="28"/>
              </w:rPr>
              <w:t>采购</w:t>
            </w:r>
            <w:r>
              <w:rPr>
                <w:rFonts w:hint="eastAsia" w:asciiTheme="minorEastAsia" w:hAnsiTheme="minorEastAsia" w:cstheme="minorEastAsia"/>
                <w:bCs/>
                <w:color w:val="000000"/>
                <w:sz w:val="28"/>
                <w:szCs w:val="28"/>
                <w:lang w:eastAsia="zh-CN"/>
              </w:rPr>
              <w:t>石阡县农业农村局设备采购项目（二次采购）</w:t>
            </w:r>
            <w:r>
              <w:rPr>
                <w:rFonts w:hint="eastAsia" w:asciiTheme="minorEastAsia" w:hAnsiTheme="minorEastAsia" w:cstheme="minorEastAsia"/>
                <w:bCs/>
                <w:color w:val="000000"/>
                <w:sz w:val="28"/>
                <w:szCs w:val="28"/>
              </w:rPr>
              <w:t>:</w:t>
            </w:r>
            <w:r>
              <w:rPr>
                <w:rFonts w:hint="eastAsia" w:asciiTheme="minorEastAsia" w:hAnsiTheme="minorEastAsia" w:cstheme="minorEastAsia"/>
                <w:bCs/>
                <w:color w:val="000000"/>
                <w:sz w:val="28"/>
                <w:szCs w:val="28"/>
                <w:u w:val="single"/>
              </w:rPr>
              <w:t xml:space="preserve">                                          </w:t>
            </w:r>
          </w:p>
          <w:p>
            <w:pPr>
              <w:spacing w:line="400" w:lineRule="exact"/>
              <w:ind w:left="180" w:firstLine="280" w:firstLineChars="100"/>
              <w:rPr>
                <w:rFonts w:asciiTheme="minorEastAsia" w:hAnsiTheme="minorEastAsia" w:cstheme="minorEastAsia"/>
                <w:bCs/>
                <w:color w:val="000000"/>
                <w:sz w:val="28"/>
                <w:szCs w:val="28"/>
                <w:u w:val="single"/>
              </w:rPr>
            </w:pPr>
            <w:r>
              <w:rPr>
                <w:rFonts w:hint="eastAsia" w:asciiTheme="minorEastAsia" w:hAnsiTheme="minorEastAsia" w:cstheme="minorEastAsia"/>
                <w:bCs/>
                <w:color w:val="000000"/>
                <w:sz w:val="28"/>
                <w:szCs w:val="28"/>
              </w:rPr>
              <w:t>采购项目编号:</w:t>
            </w:r>
            <w:r>
              <w:rPr>
                <w:rFonts w:hint="eastAsia" w:asciiTheme="minorEastAsia" w:hAnsiTheme="minorEastAsia" w:cstheme="minorEastAsia"/>
                <w:bCs/>
                <w:color w:val="000000"/>
                <w:sz w:val="28"/>
                <w:szCs w:val="28"/>
                <w:u w:val="single"/>
              </w:rPr>
              <w:t xml:space="preserve">                                          </w:t>
            </w:r>
          </w:p>
          <w:p>
            <w:pPr>
              <w:spacing w:line="400" w:lineRule="exact"/>
              <w:ind w:left="180" w:firstLine="280" w:firstLineChars="100"/>
              <w:rPr>
                <w:rFonts w:asciiTheme="minorEastAsia" w:hAnsiTheme="minorEastAsia" w:cstheme="minorEastAsia"/>
                <w:bCs/>
                <w:color w:val="000000"/>
                <w:sz w:val="28"/>
                <w:szCs w:val="28"/>
                <w:u w:val="single"/>
              </w:rPr>
            </w:pPr>
            <w:r>
              <w:rPr>
                <w:rFonts w:hint="eastAsia" w:asciiTheme="minorEastAsia" w:hAnsiTheme="minorEastAsia" w:cstheme="minorEastAsia"/>
                <w:bCs/>
                <w:color w:val="000000"/>
                <w:sz w:val="28"/>
                <w:szCs w:val="28"/>
              </w:rPr>
              <w:t>投标单位名称:</w:t>
            </w:r>
            <w:r>
              <w:rPr>
                <w:rFonts w:hint="eastAsia" w:asciiTheme="minorEastAsia" w:hAnsiTheme="minorEastAsia" w:cstheme="minorEastAsia"/>
                <w:bCs/>
                <w:color w:val="000000"/>
                <w:sz w:val="28"/>
                <w:szCs w:val="28"/>
                <w:u w:val="single"/>
              </w:rPr>
              <w:t xml:space="preserve">                                           </w:t>
            </w:r>
          </w:p>
          <w:p>
            <w:pPr>
              <w:spacing w:line="400" w:lineRule="exact"/>
              <w:ind w:left="180" w:firstLine="280" w:firstLineChars="100"/>
              <w:rPr>
                <w:rFonts w:asciiTheme="minorEastAsia" w:hAnsiTheme="minorEastAsia" w:cstheme="minorEastAsia"/>
                <w:bCs/>
                <w:color w:val="000000"/>
                <w:sz w:val="28"/>
                <w:szCs w:val="28"/>
                <w:u w:val="single"/>
              </w:rPr>
            </w:pPr>
            <w:r>
              <w:rPr>
                <w:rFonts w:hint="eastAsia" w:asciiTheme="minorEastAsia" w:hAnsiTheme="minorEastAsia" w:cstheme="minorEastAsia"/>
                <w:bCs/>
                <w:color w:val="000000"/>
                <w:sz w:val="28"/>
                <w:szCs w:val="28"/>
              </w:rPr>
              <w:t>地        址:</w:t>
            </w:r>
            <w:r>
              <w:rPr>
                <w:rFonts w:hint="eastAsia" w:asciiTheme="minorEastAsia" w:hAnsiTheme="minorEastAsia" w:cstheme="minorEastAsia"/>
                <w:bCs/>
                <w:color w:val="000000"/>
                <w:sz w:val="28"/>
                <w:szCs w:val="28"/>
                <w:u w:val="single"/>
              </w:rPr>
              <w:t xml:space="preserve">                                   </w:t>
            </w:r>
            <w:r>
              <w:rPr>
                <w:rFonts w:hint="eastAsia" w:asciiTheme="minorEastAsia" w:hAnsiTheme="minorEastAsia" w:cstheme="minorEastAsia"/>
                <w:bCs/>
                <w:color w:val="000000"/>
                <w:sz w:val="28"/>
                <w:szCs w:val="28"/>
                <w:u w:val="single"/>
              </w:rPr>
              <w:tab/>
            </w:r>
            <w:r>
              <w:rPr>
                <w:rFonts w:hint="eastAsia" w:asciiTheme="minorEastAsia" w:hAnsiTheme="minorEastAsia" w:cstheme="minorEastAsia"/>
                <w:bCs/>
                <w:color w:val="000000"/>
                <w:sz w:val="28"/>
                <w:szCs w:val="28"/>
                <w:u w:val="single"/>
              </w:rPr>
              <w:t xml:space="preserve">      </w:t>
            </w:r>
          </w:p>
          <w:p>
            <w:pPr>
              <w:spacing w:line="400" w:lineRule="exact"/>
              <w:ind w:left="180" w:firstLine="280" w:firstLineChars="100"/>
              <w:rPr>
                <w:rFonts w:asciiTheme="minorEastAsia" w:hAnsiTheme="minorEastAsia" w:cstheme="minorEastAsia"/>
                <w:bCs/>
                <w:color w:val="000000"/>
                <w:sz w:val="28"/>
                <w:szCs w:val="28"/>
                <w:u w:val="single"/>
              </w:rPr>
            </w:pPr>
            <w:r>
              <w:rPr>
                <w:rFonts w:hint="eastAsia" w:asciiTheme="minorEastAsia" w:hAnsiTheme="minorEastAsia" w:cstheme="minorEastAsia"/>
                <w:bCs/>
                <w:color w:val="000000"/>
                <w:sz w:val="28"/>
                <w:szCs w:val="28"/>
              </w:rPr>
              <w:t>联   系   人:</w:t>
            </w:r>
            <w:r>
              <w:rPr>
                <w:rFonts w:hint="eastAsia" w:asciiTheme="minorEastAsia" w:hAnsiTheme="minorEastAsia" w:cstheme="minorEastAsia"/>
                <w:bCs/>
                <w:color w:val="000000"/>
                <w:sz w:val="28"/>
                <w:szCs w:val="28"/>
                <w:u w:val="single"/>
              </w:rPr>
              <w:t xml:space="preserve">                                          </w:t>
            </w:r>
          </w:p>
          <w:p>
            <w:pPr>
              <w:spacing w:line="400" w:lineRule="exact"/>
              <w:ind w:left="180" w:firstLine="280" w:firstLineChars="100"/>
              <w:rPr>
                <w:rFonts w:asciiTheme="minorEastAsia" w:hAnsiTheme="minorEastAsia" w:cstheme="minorEastAsia"/>
                <w:b/>
                <w:color w:val="000000"/>
                <w:sz w:val="28"/>
                <w:szCs w:val="28"/>
                <w:u w:val="single"/>
              </w:rPr>
            </w:pPr>
            <w:r>
              <w:rPr>
                <w:rFonts w:hint="eastAsia" w:asciiTheme="minorEastAsia" w:hAnsiTheme="minorEastAsia" w:cstheme="minorEastAsia"/>
                <w:bCs/>
                <w:color w:val="000000"/>
                <w:sz w:val="28"/>
                <w:szCs w:val="28"/>
              </w:rPr>
              <w:t>联  系 电 话:</w:t>
            </w:r>
            <w:r>
              <w:rPr>
                <w:rFonts w:hint="eastAsia" w:asciiTheme="minorEastAsia" w:hAnsiTheme="minorEastAsia" w:cstheme="minorEastAsia"/>
                <w:bCs/>
                <w:color w:val="000000"/>
                <w:sz w:val="28"/>
                <w:szCs w:val="28"/>
                <w:u w:val="single"/>
              </w:rPr>
              <w:t xml:space="preserve">                                         </w:t>
            </w:r>
            <w:r>
              <w:rPr>
                <w:rFonts w:hint="eastAsia" w:asciiTheme="minorEastAsia" w:hAnsiTheme="minorEastAsia" w:cstheme="minorEastAsia"/>
                <w:b/>
                <w:color w:val="000000"/>
                <w:sz w:val="28"/>
                <w:szCs w:val="28"/>
                <w:u w:val="single"/>
              </w:rPr>
              <w:t xml:space="preserve"> </w:t>
            </w:r>
          </w:p>
          <w:p>
            <w:pPr>
              <w:spacing w:line="480" w:lineRule="auto"/>
              <w:rPr>
                <w:rFonts w:asciiTheme="minorEastAsia" w:hAnsiTheme="minorEastAsia" w:cstheme="minorEastAsia"/>
                <w:b/>
                <w:color w:val="000000"/>
                <w:sz w:val="28"/>
                <w:szCs w:val="28"/>
              </w:rPr>
            </w:pPr>
          </w:p>
        </w:tc>
      </w:tr>
    </w:tbl>
    <w:p>
      <w:pPr>
        <w:spacing w:line="480" w:lineRule="auto"/>
        <w:jc w:val="center"/>
        <w:rPr>
          <w:rFonts w:ascii="宋体" w:hAnsi="宋体"/>
          <w:b/>
          <w:sz w:val="36"/>
        </w:rPr>
      </w:pPr>
      <w:r>
        <w:rPr>
          <w:rFonts w:hint="eastAsia" w:ascii="宋体" w:hAnsi="宋体"/>
          <w:b/>
          <w:sz w:val="36"/>
        </w:rPr>
        <w:t>一  谈判响应声明函</w:t>
      </w:r>
    </w:p>
    <w:p>
      <w:pPr>
        <w:pStyle w:val="10"/>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致：贵州黔诚商务有限公司</w:t>
      </w:r>
    </w:p>
    <w:p>
      <w:pPr>
        <w:kinsoku w:val="0"/>
        <w:wordWrap w:val="0"/>
        <w:spacing w:line="40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根据贵方为</w:t>
      </w:r>
      <w:r>
        <w:rPr>
          <w:rFonts w:hint="eastAsia" w:asciiTheme="minorEastAsia" w:hAnsiTheme="minorEastAsia" w:cstheme="minorEastAsia"/>
          <w:color w:val="000000"/>
          <w:sz w:val="24"/>
          <w:szCs w:val="24"/>
          <w:u w:val="single"/>
        </w:rPr>
        <w:t xml:space="preserve"> （</w:t>
      </w:r>
      <w:r>
        <w:rPr>
          <w:rFonts w:hint="eastAsia" w:asciiTheme="minorEastAsia" w:hAnsiTheme="minorEastAsia" w:cstheme="minorEastAsia"/>
          <w:color w:val="000000"/>
          <w:sz w:val="24"/>
          <w:szCs w:val="24"/>
          <w:u w:val="single"/>
          <w:lang w:eastAsia="zh-CN"/>
        </w:rPr>
        <w:t>石阡县农业农村局设备采购项目（二次采购）</w:t>
      </w:r>
      <w:r>
        <w:rPr>
          <w:rFonts w:hint="eastAsia" w:asciiTheme="minorEastAsia" w:hAnsiTheme="minorEastAsia" w:cstheme="minorEastAsia"/>
          <w:color w:val="000000"/>
          <w:sz w:val="24"/>
          <w:szCs w:val="24"/>
          <w:u w:val="single"/>
        </w:rPr>
        <w:t xml:space="preserve">） </w:t>
      </w:r>
      <w:r>
        <w:rPr>
          <w:rFonts w:hint="eastAsia" w:asciiTheme="minorEastAsia" w:hAnsiTheme="minorEastAsia" w:cstheme="minorEastAsia"/>
          <w:color w:val="000000"/>
          <w:sz w:val="24"/>
          <w:szCs w:val="24"/>
        </w:rPr>
        <w:t>项目的招标公告，签字代表</w:t>
      </w:r>
      <w:r>
        <w:rPr>
          <w:rFonts w:hint="eastAsia" w:asciiTheme="minorEastAsia" w:hAnsiTheme="minorEastAsia" w:cstheme="minorEastAsia"/>
          <w:color w:val="000000"/>
          <w:sz w:val="24"/>
          <w:szCs w:val="24"/>
          <w:u w:val="single"/>
        </w:rPr>
        <w:t>（姓名、职务）</w:t>
      </w:r>
      <w:r>
        <w:rPr>
          <w:rFonts w:hint="eastAsia" w:asciiTheme="minorEastAsia" w:hAnsiTheme="minorEastAsia" w:cstheme="minorEastAsia"/>
          <w:color w:val="000000"/>
          <w:sz w:val="24"/>
          <w:szCs w:val="24"/>
        </w:rPr>
        <w:t>经正式授权并代表投标人</w:t>
      </w:r>
      <w:r>
        <w:rPr>
          <w:rFonts w:hint="eastAsia" w:asciiTheme="minorEastAsia" w:hAnsiTheme="minorEastAsia" w:cstheme="minorEastAsia"/>
          <w:color w:val="000000"/>
          <w:sz w:val="24"/>
          <w:szCs w:val="24"/>
          <w:u w:val="single"/>
        </w:rPr>
        <w:t>（投标人名称、地址）</w:t>
      </w:r>
      <w:r>
        <w:rPr>
          <w:rFonts w:hint="eastAsia" w:asciiTheme="minorEastAsia" w:hAnsiTheme="minorEastAsia" w:cstheme="minorEastAsia"/>
          <w:color w:val="000000"/>
          <w:sz w:val="24"/>
          <w:szCs w:val="24"/>
        </w:rPr>
        <w:t>提交本项目投标文件正本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份及副本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份。据此函，签字代表宣布同意如下：</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1、所附投标价格表中规定的应提交和交付的货物投标总价为</w:t>
      </w:r>
      <w:r>
        <w:rPr>
          <w:rFonts w:hint="eastAsia" w:asciiTheme="minorEastAsia" w:hAnsiTheme="minorEastAsia" w:cstheme="minorEastAsia"/>
          <w:color w:val="000000"/>
          <w:sz w:val="24"/>
          <w:szCs w:val="24"/>
          <w:u w:val="single"/>
        </w:rPr>
        <w:t>（注明币种，并用文字和数字表示投标总价）（必须按要求填写清楚）</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2、交货期：</w:t>
      </w:r>
      <w:r>
        <w:rPr>
          <w:rFonts w:hint="eastAsia" w:asciiTheme="minorEastAsia" w:hAnsiTheme="minorEastAsia" w:cstheme="minorEastAsia"/>
          <w:color w:val="000000"/>
          <w:sz w:val="24"/>
          <w:szCs w:val="24"/>
          <w:u w:val="single"/>
        </w:rPr>
        <w:t xml:space="preserve">        （日历天）</w:t>
      </w:r>
      <w:r>
        <w:rPr>
          <w:rFonts w:hint="eastAsia" w:asciiTheme="minorEastAsia" w:hAnsiTheme="minorEastAsia" w:cstheme="minorEastAsia"/>
          <w:color w:val="000000"/>
          <w:sz w:val="24"/>
          <w:szCs w:val="24"/>
        </w:rPr>
        <w:t>，保修期：</w:t>
      </w:r>
      <w:r>
        <w:rPr>
          <w:rFonts w:hint="eastAsia" w:asciiTheme="minorEastAsia" w:hAnsiTheme="minorEastAsia" w:cstheme="minorEastAsia"/>
          <w:color w:val="000000"/>
          <w:sz w:val="24"/>
          <w:szCs w:val="24"/>
          <w:u w:val="single"/>
        </w:rPr>
        <w:t xml:space="preserve">        （月）</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5、本投标有效期为开标日起</w:t>
      </w:r>
      <w:r>
        <w:rPr>
          <w:rFonts w:hint="eastAsia" w:asciiTheme="minorEastAsia" w:hAnsiTheme="minorEastAsia" w:cstheme="minorEastAsia"/>
          <w:color w:val="000000"/>
          <w:sz w:val="24"/>
          <w:szCs w:val="24"/>
          <w:u w:val="single"/>
        </w:rPr>
        <w:t xml:space="preserve">     </w:t>
      </w:r>
      <w:r>
        <w:rPr>
          <w:rFonts w:hint="eastAsia" w:asciiTheme="minorEastAsia" w:hAnsiTheme="minorEastAsia" w:cstheme="minorEastAsia"/>
          <w:color w:val="000000"/>
          <w:sz w:val="24"/>
          <w:szCs w:val="24"/>
        </w:rPr>
        <w:t>个日历日。</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7、完全理解贵方不一定要接受最低价的投标或收到的任何投标。</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8、我单位承诺满足招标文件要求的付款方式和条件。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r>
        <w:rPr>
          <w:rFonts w:hint="eastAsia" w:ascii="宋体" w:hAnsi="宋体"/>
          <w:bCs/>
          <w:sz w:val="24"/>
        </w:rPr>
        <w:t xml:space="preserve"> </w:t>
      </w:r>
    </w:p>
    <w:p>
      <w:pPr>
        <w:spacing w:line="360" w:lineRule="auto"/>
        <w:rPr>
          <w:rFonts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r>
        <w:rPr>
          <w:rFonts w:hint="eastAsia" w:ascii="宋体" w:hAnsi="宋体"/>
          <w:bCs/>
          <w:sz w:val="24"/>
        </w:rPr>
        <w:t xml:space="preserve"> </w:t>
      </w:r>
    </w:p>
    <w:p>
      <w:pPr>
        <w:spacing w:line="360" w:lineRule="auto"/>
        <w:rPr>
          <w:rFonts w:ascii="宋体" w:hAnsi="宋体"/>
          <w:bCs/>
          <w:sz w:val="24"/>
        </w:rPr>
      </w:pPr>
      <w:r>
        <w:rPr>
          <w:rFonts w:hint="eastAsia" w:ascii="宋体" w:hAnsi="宋体"/>
          <w:bCs/>
          <w:sz w:val="24"/>
        </w:rPr>
        <w:t>电子信箱：</w:t>
      </w:r>
      <w:r>
        <w:rPr>
          <w:rFonts w:hint="eastAsia" w:ascii="宋体" w:hAnsi="宋体"/>
          <w:bCs/>
          <w:sz w:val="24"/>
          <w:u w:val="single"/>
        </w:rPr>
        <w:t>　　　　　　　　　　　　　　</w:t>
      </w:r>
      <w:r>
        <w:rPr>
          <w:rFonts w:hint="eastAsia" w:ascii="宋体" w:hAnsi="宋体"/>
          <w:bCs/>
          <w:sz w:val="24"/>
        </w:rPr>
        <w:t xml:space="preserve"> </w:t>
      </w:r>
    </w:p>
    <w:p>
      <w:pPr>
        <w:spacing w:line="360" w:lineRule="auto"/>
        <w:rPr>
          <w:rFonts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r>
        <w:rPr>
          <w:rFonts w:hint="eastAsia" w:ascii="宋体" w:hAnsi="宋体"/>
          <w:bCs/>
          <w:sz w:val="24"/>
        </w:rPr>
        <w:t xml:space="preserve"> </w:t>
      </w:r>
    </w:p>
    <w:p>
      <w:pPr>
        <w:spacing w:line="360" w:lineRule="auto"/>
        <w:rPr>
          <w:rFonts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spacing w:line="400" w:lineRule="exact"/>
        <w:jc w:val="center"/>
        <w:rPr>
          <w:rFonts w:asciiTheme="minorEastAsia" w:hAnsiTheme="minorEastAsia" w:cstheme="minorEastAsia"/>
          <w:b/>
          <w:sz w:val="36"/>
          <w:szCs w:val="36"/>
        </w:rPr>
      </w:pPr>
    </w:p>
    <w:p>
      <w:pPr>
        <w:spacing w:line="400" w:lineRule="exact"/>
        <w:jc w:val="center"/>
        <w:rPr>
          <w:rFonts w:asciiTheme="minorEastAsia" w:hAnsiTheme="minorEastAsia" w:cstheme="minorEastAsia"/>
          <w:b/>
          <w:bCs/>
          <w:color w:val="000000"/>
          <w:sz w:val="36"/>
          <w:szCs w:val="36"/>
        </w:rPr>
      </w:pPr>
      <w:r>
        <w:rPr>
          <w:rFonts w:hint="eastAsia" w:asciiTheme="minorEastAsia" w:hAnsiTheme="minorEastAsia" w:cstheme="minorEastAsia"/>
          <w:b/>
          <w:sz w:val="36"/>
          <w:szCs w:val="36"/>
        </w:rPr>
        <w:t>二  报价一览表</w:t>
      </w:r>
    </w:p>
    <w:p>
      <w:pPr>
        <w:autoSpaceDE w:val="0"/>
        <w:autoSpaceDN w:val="0"/>
        <w:adjustRightInd w:val="0"/>
        <w:spacing w:line="500" w:lineRule="exact"/>
        <w:rPr>
          <w:rFonts w:ascii="仿宋" w:hAnsi="仿宋" w:eastAsia="仿宋" w:cs="仿宋"/>
          <w:kern w:val="0"/>
          <w:sz w:val="24"/>
          <w:szCs w:val="28"/>
        </w:rPr>
      </w:pPr>
    </w:p>
    <w:tbl>
      <w:tblPr>
        <w:tblStyle w:val="18"/>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7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34" w:type="dxa"/>
            <w:vAlign w:val="center"/>
          </w:tcPr>
          <w:p>
            <w:pPr>
              <w:autoSpaceDE w:val="0"/>
              <w:autoSpaceDN w:val="0"/>
              <w:adjustRightInd w:val="0"/>
              <w:spacing w:line="360" w:lineRule="exact"/>
              <w:rPr>
                <w:rFonts w:hint="eastAsia" w:ascii="宋体" w:hAnsi="宋体" w:eastAsia="宋体" w:cs="宋体"/>
                <w:kern w:val="0"/>
                <w:sz w:val="24"/>
                <w:szCs w:val="44"/>
                <w:lang w:eastAsia="zh-CN"/>
              </w:rPr>
            </w:pPr>
            <w:r>
              <w:rPr>
                <w:rFonts w:hint="eastAsia" w:ascii="宋体" w:hAnsi="宋体" w:eastAsia="宋体" w:cs="宋体"/>
                <w:kern w:val="0"/>
                <w:sz w:val="24"/>
                <w:szCs w:val="44"/>
                <w:lang w:eastAsia="zh-CN"/>
              </w:rPr>
              <w:t>石阡县农业农村局设备采购项目（二次采购）</w:t>
            </w:r>
          </w:p>
        </w:tc>
        <w:tc>
          <w:tcPr>
            <w:tcW w:w="7614" w:type="dxa"/>
            <w:vAlign w:val="center"/>
          </w:tcPr>
          <w:p>
            <w:pPr>
              <w:autoSpaceDE w:val="0"/>
              <w:autoSpaceDN w:val="0"/>
              <w:adjustRightInd w:val="0"/>
              <w:spacing w:line="360" w:lineRule="exact"/>
              <w:rPr>
                <w:rFonts w:ascii="宋体" w:hAnsi="宋体" w:eastAsia="宋体" w:cs="宋体"/>
                <w:kern w:val="0"/>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34" w:type="dxa"/>
            <w:vAlign w:val="center"/>
          </w:tcPr>
          <w:p>
            <w:pPr>
              <w:autoSpaceDE w:val="0"/>
              <w:autoSpaceDN w:val="0"/>
              <w:adjustRightInd w:val="0"/>
              <w:spacing w:line="360" w:lineRule="exact"/>
              <w:rPr>
                <w:rFonts w:ascii="宋体" w:hAnsi="宋体" w:eastAsia="宋体" w:cs="宋体"/>
                <w:kern w:val="0"/>
                <w:sz w:val="24"/>
                <w:szCs w:val="44"/>
              </w:rPr>
            </w:pPr>
            <w:r>
              <w:rPr>
                <w:rFonts w:hint="eastAsia" w:ascii="宋体" w:hAnsi="宋体" w:eastAsia="宋体" w:cs="宋体"/>
                <w:kern w:val="0"/>
                <w:sz w:val="24"/>
                <w:szCs w:val="44"/>
              </w:rPr>
              <w:t>项目编号</w:t>
            </w:r>
          </w:p>
        </w:tc>
        <w:tc>
          <w:tcPr>
            <w:tcW w:w="7614" w:type="dxa"/>
            <w:vAlign w:val="center"/>
          </w:tcPr>
          <w:p>
            <w:pPr>
              <w:autoSpaceDE w:val="0"/>
              <w:autoSpaceDN w:val="0"/>
              <w:adjustRightInd w:val="0"/>
              <w:spacing w:line="360" w:lineRule="exact"/>
              <w:rPr>
                <w:rFonts w:ascii="宋体" w:hAnsi="宋体" w:eastAsia="宋体" w:cs="宋体"/>
                <w:kern w:val="0"/>
                <w:sz w:val="24"/>
                <w:szCs w:val="44"/>
              </w:rPr>
            </w:pPr>
            <w:r>
              <w:rPr>
                <w:rFonts w:hint="eastAsia" w:ascii="宋体" w:hAnsi="宋体" w:eastAsia="宋体" w:cs="宋体"/>
                <w:kern w:val="0"/>
                <w:sz w:val="24"/>
                <w:szCs w:val="4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734" w:type="dxa"/>
            <w:vAlign w:val="center"/>
          </w:tcPr>
          <w:p>
            <w:pPr>
              <w:autoSpaceDE w:val="0"/>
              <w:autoSpaceDN w:val="0"/>
              <w:adjustRightInd w:val="0"/>
              <w:spacing w:line="360" w:lineRule="exact"/>
              <w:rPr>
                <w:rFonts w:ascii="宋体" w:hAnsi="宋体" w:eastAsia="宋体" w:cs="宋体"/>
                <w:kern w:val="0"/>
                <w:sz w:val="24"/>
                <w:szCs w:val="44"/>
              </w:rPr>
            </w:pPr>
            <w:r>
              <w:rPr>
                <w:rFonts w:hint="eastAsia" w:ascii="宋体" w:hAnsi="宋体" w:eastAsia="宋体" w:cs="宋体"/>
                <w:kern w:val="0"/>
                <w:sz w:val="24"/>
                <w:szCs w:val="44"/>
              </w:rPr>
              <w:t>投标总价（元）</w:t>
            </w:r>
          </w:p>
        </w:tc>
        <w:tc>
          <w:tcPr>
            <w:tcW w:w="7614" w:type="dxa"/>
            <w:vAlign w:val="center"/>
          </w:tcPr>
          <w:p>
            <w:pPr>
              <w:autoSpaceDE w:val="0"/>
              <w:autoSpaceDN w:val="0"/>
              <w:adjustRightInd w:val="0"/>
              <w:spacing w:line="360" w:lineRule="exact"/>
              <w:rPr>
                <w:rFonts w:ascii="宋体" w:hAnsi="宋体" w:eastAsia="宋体" w:cs="宋体"/>
                <w:kern w:val="0"/>
                <w:sz w:val="24"/>
                <w:szCs w:val="44"/>
                <w:u w:val="single"/>
              </w:rPr>
            </w:pPr>
            <w:r>
              <w:rPr>
                <w:rFonts w:hint="eastAsia" w:ascii="宋体" w:hAnsi="宋体" w:eastAsia="宋体" w:cs="宋体"/>
                <w:kern w:val="0"/>
                <w:sz w:val="24"/>
                <w:szCs w:val="44"/>
              </w:rPr>
              <w:t>人民币</w:t>
            </w:r>
            <w:r>
              <w:rPr>
                <w:rFonts w:hint="eastAsia" w:ascii="宋体" w:hAnsi="宋体" w:eastAsia="宋体" w:cs="宋体"/>
                <w:kern w:val="0"/>
                <w:sz w:val="24"/>
                <w:szCs w:val="44"/>
                <w:u w:val="single"/>
              </w:rPr>
              <w:t>大写金额                   （￥  小写金额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34" w:type="dxa"/>
            <w:vAlign w:val="center"/>
          </w:tcPr>
          <w:p>
            <w:pPr>
              <w:autoSpaceDE w:val="0"/>
              <w:autoSpaceDN w:val="0"/>
              <w:adjustRightInd w:val="0"/>
              <w:spacing w:line="360" w:lineRule="exact"/>
              <w:rPr>
                <w:rFonts w:ascii="宋体" w:hAnsi="宋体" w:eastAsia="宋体" w:cs="宋体"/>
                <w:kern w:val="0"/>
                <w:sz w:val="24"/>
                <w:szCs w:val="44"/>
                <w:u w:val="single"/>
              </w:rPr>
            </w:pPr>
            <w:r>
              <w:rPr>
                <w:rFonts w:hint="eastAsia" w:ascii="宋体" w:hAnsi="宋体" w:eastAsia="宋体" w:cs="宋体"/>
                <w:kern w:val="0"/>
                <w:sz w:val="24"/>
                <w:szCs w:val="44"/>
              </w:rPr>
              <w:t>供货期限</w:t>
            </w:r>
          </w:p>
        </w:tc>
        <w:tc>
          <w:tcPr>
            <w:tcW w:w="7614" w:type="dxa"/>
            <w:vAlign w:val="center"/>
          </w:tcPr>
          <w:p>
            <w:pPr>
              <w:autoSpaceDE w:val="0"/>
              <w:autoSpaceDN w:val="0"/>
              <w:adjustRightInd w:val="0"/>
              <w:spacing w:line="360" w:lineRule="exact"/>
              <w:rPr>
                <w:rFonts w:ascii="宋体" w:hAnsi="宋体" w:eastAsia="宋体" w:cs="宋体"/>
                <w:kern w:val="0"/>
                <w:sz w:val="24"/>
                <w:szCs w:val="44"/>
                <w:u w:val="single"/>
              </w:rPr>
            </w:pPr>
            <w:r>
              <w:rPr>
                <w:rFonts w:hint="eastAsia" w:ascii="宋体" w:hAnsi="宋体" w:eastAsia="宋体" w:cs="宋体"/>
                <w:kern w:val="0"/>
                <w:sz w:val="24"/>
                <w:szCs w:val="44"/>
              </w:rPr>
              <w:t>合同签订后</w:t>
            </w:r>
            <w:r>
              <w:rPr>
                <w:rFonts w:hint="eastAsia" w:ascii="宋体" w:hAnsi="宋体" w:eastAsia="宋体" w:cs="宋体"/>
                <w:kern w:val="0"/>
                <w:sz w:val="24"/>
                <w:szCs w:val="4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34" w:type="dxa"/>
            <w:vAlign w:val="center"/>
          </w:tcPr>
          <w:p>
            <w:pPr>
              <w:tabs>
                <w:tab w:val="left" w:pos="228"/>
              </w:tabs>
              <w:spacing w:line="420" w:lineRule="exact"/>
              <w:rPr>
                <w:rFonts w:ascii="宋体" w:hAnsi="宋体" w:eastAsia="宋体" w:cs="宋体"/>
                <w:kern w:val="0"/>
                <w:sz w:val="24"/>
                <w:szCs w:val="44"/>
              </w:rPr>
            </w:pPr>
            <w:r>
              <w:rPr>
                <w:rFonts w:hint="eastAsia" w:ascii="宋体" w:hAnsi="宋体" w:eastAsia="宋体" w:cs="宋体"/>
                <w:kern w:val="0"/>
                <w:sz w:val="24"/>
                <w:szCs w:val="44"/>
              </w:rPr>
              <w:t>供货地点</w:t>
            </w:r>
          </w:p>
        </w:tc>
        <w:tc>
          <w:tcPr>
            <w:tcW w:w="7614" w:type="dxa"/>
            <w:vAlign w:val="center"/>
          </w:tcPr>
          <w:p>
            <w:pPr>
              <w:tabs>
                <w:tab w:val="left" w:pos="228"/>
              </w:tabs>
              <w:spacing w:line="420" w:lineRule="exact"/>
              <w:jc w:val="left"/>
              <w:rPr>
                <w:rFonts w:ascii="宋体" w:hAnsi="宋体" w:eastAsia="宋体" w:cs="宋体"/>
                <w:sz w:val="24"/>
                <w:szCs w:val="28"/>
              </w:rPr>
            </w:pPr>
            <w:r>
              <w:rPr>
                <w:rFonts w:hint="eastAsia" w:ascii="宋体" w:hAnsi="宋体" w:eastAsia="宋体" w:cs="宋体"/>
                <w:sz w:val="24"/>
                <w:szCs w:val="28"/>
                <w:u w:val="single"/>
              </w:rPr>
              <w:t xml:space="preserve">        </w:t>
            </w:r>
            <w:r>
              <w:rPr>
                <w:rFonts w:hint="eastAsia" w:ascii="宋体" w:hAnsi="宋体" w:eastAsia="宋体" w:cs="宋体"/>
                <w:sz w:val="24"/>
                <w:szCs w:val="28"/>
              </w:rPr>
              <w:t>（承诺或不承诺）达到采购人的服务地点要求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34" w:type="dxa"/>
            <w:vAlign w:val="center"/>
          </w:tcPr>
          <w:p>
            <w:pPr>
              <w:tabs>
                <w:tab w:val="left" w:pos="228"/>
              </w:tabs>
              <w:spacing w:line="420" w:lineRule="exact"/>
              <w:rPr>
                <w:rFonts w:ascii="宋体" w:hAnsi="宋体" w:eastAsia="宋体" w:cs="宋体"/>
                <w:kern w:val="0"/>
                <w:sz w:val="24"/>
                <w:szCs w:val="44"/>
              </w:rPr>
            </w:pPr>
            <w:r>
              <w:rPr>
                <w:rFonts w:hint="eastAsia" w:ascii="宋体" w:hAnsi="宋体" w:eastAsia="宋体" w:cs="宋体"/>
                <w:kern w:val="0"/>
                <w:sz w:val="24"/>
                <w:szCs w:val="44"/>
              </w:rPr>
              <w:t>质保期</w:t>
            </w:r>
          </w:p>
        </w:tc>
        <w:tc>
          <w:tcPr>
            <w:tcW w:w="7614" w:type="dxa"/>
            <w:vAlign w:val="center"/>
          </w:tcPr>
          <w:p>
            <w:pPr>
              <w:tabs>
                <w:tab w:val="left" w:pos="228"/>
              </w:tabs>
              <w:spacing w:line="420" w:lineRule="exact"/>
              <w:jc w:val="left"/>
              <w:rPr>
                <w:rFonts w:ascii="宋体" w:hAnsi="宋体" w:eastAsia="宋体" w:cs="宋体"/>
                <w:sz w:val="24"/>
                <w:szCs w:val="28"/>
              </w:rPr>
            </w:pPr>
            <w:r>
              <w:rPr>
                <w:rFonts w:hint="eastAsia" w:ascii="宋体" w:hAnsi="宋体" w:eastAsia="宋体" w:cs="宋体"/>
                <w:sz w:val="24"/>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734" w:type="dxa"/>
            <w:vAlign w:val="center"/>
          </w:tcPr>
          <w:p>
            <w:pPr>
              <w:tabs>
                <w:tab w:val="left" w:pos="228"/>
              </w:tabs>
              <w:spacing w:line="420" w:lineRule="exact"/>
              <w:jc w:val="left"/>
              <w:rPr>
                <w:rFonts w:ascii="宋体" w:hAnsi="宋体" w:eastAsia="宋体" w:cs="宋体"/>
                <w:kern w:val="0"/>
                <w:sz w:val="24"/>
                <w:szCs w:val="44"/>
                <w:u w:val="single"/>
              </w:rPr>
            </w:pPr>
            <w:r>
              <w:rPr>
                <w:rFonts w:hint="eastAsia" w:ascii="宋体" w:hAnsi="宋体" w:eastAsia="宋体" w:cs="宋体"/>
                <w:sz w:val="24"/>
                <w:szCs w:val="28"/>
              </w:rPr>
              <w:t>投标有效期</w:t>
            </w:r>
          </w:p>
        </w:tc>
        <w:tc>
          <w:tcPr>
            <w:tcW w:w="7614" w:type="dxa"/>
            <w:vAlign w:val="center"/>
          </w:tcPr>
          <w:p>
            <w:pPr>
              <w:tabs>
                <w:tab w:val="left" w:pos="228"/>
              </w:tabs>
              <w:spacing w:line="420" w:lineRule="exact"/>
              <w:jc w:val="left"/>
              <w:rPr>
                <w:rFonts w:ascii="宋体" w:hAnsi="宋体" w:eastAsia="宋体" w:cs="宋体"/>
                <w:kern w:val="0"/>
                <w:sz w:val="24"/>
                <w:szCs w:val="44"/>
                <w:u w:val="single"/>
              </w:rPr>
            </w:pPr>
            <w:r>
              <w:rPr>
                <w:rFonts w:hint="eastAsia" w:ascii="宋体" w:hAnsi="宋体" w:eastAsia="宋体" w:cs="宋体"/>
                <w:sz w:val="24"/>
                <w:szCs w:val="28"/>
                <w:u w:val="single"/>
              </w:rPr>
              <w:t xml:space="preserve">       </w:t>
            </w:r>
            <w:r>
              <w:rPr>
                <w:rFonts w:hint="eastAsia" w:ascii="宋体" w:hAnsi="宋体" w:eastAsia="宋体" w:cs="宋体"/>
                <w:sz w:val="24"/>
                <w:szCs w:val="28"/>
              </w:rPr>
              <w:t>日历天（从投标截止日开始计算）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734" w:type="dxa"/>
            <w:vAlign w:val="center"/>
          </w:tcPr>
          <w:p>
            <w:pPr>
              <w:tabs>
                <w:tab w:val="left" w:pos="228"/>
              </w:tabs>
              <w:spacing w:line="420" w:lineRule="exact"/>
              <w:jc w:val="left"/>
              <w:rPr>
                <w:rFonts w:ascii="宋体" w:hAnsi="宋体" w:eastAsia="宋体" w:cs="宋体"/>
                <w:sz w:val="24"/>
                <w:szCs w:val="28"/>
              </w:rPr>
            </w:pPr>
            <w:r>
              <w:rPr>
                <w:rFonts w:hint="eastAsia" w:ascii="宋体" w:hAnsi="宋体" w:eastAsia="宋体" w:cs="宋体"/>
                <w:sz w:val="24"/>
                <w:szCs w:val="28"/>
              </w:rPr>
              <w:t>售后响应时间</w:t>
            </w:r>
          </w:p>
        </w:tc>
        <w:tc>
          <w:tcPr>
            <w:tcW w:w="7614" w:type="dxa"/>
            <w:vAlign w:val="center"/>
          </w:tcPr>
          <w:p>
            <w:pPr>
              <w:spacing w:line="440" w:lineRule="exact"/>
              <w:rPr>
                <w:rFonts w:ascii="宋体" w:hAnsi="宋体" w:eastAsia="宋体" w:cs="宋体"/>
                <w:b/>
                <w:sz w:val="24"/>
              </w:rPr>
            </w:pPr>
            <w:r>
              <w:rPr>
                <w:rFonts w:hint="eastAsia" w:ascii="宋体" w:hAnsi="宋体" w:eastAsia="宋体" w:cs="宋体"/>
                <w:kern w:val="0"/>
                <w:sz w:val="24"/>
                <w:szCs w:val="44"/>
              </w:rPr>
              <w:t>我方接到采购人的服务申告电话后</w:t>
            </w:r>
            <w:r>
              <w:rPr>
                <w:rFonts w:hint="eastAsia" w:ascii="宋体" w:hAnsi="宋体" w:eastAsia="宋体" w:cs="宋体"/>
                <w:kern w:val="0"/>
                <w:sz w:val="24"/>
                <w:szCs w:val="44"/>
                <w:u w:val="single"/>
              </w:rPr>
              <w:t xml:space="preserve">       </w:t>
            </w:r>
            <w:r>
              <w:rPr>
                <w:rFonts w:hint="eastAsia" w:ascii="宋体" w:hAnsi="宋体" w:eastAsia="宋体" w:cs="宋体"/>
                <w:kern w:val="0"/>
                <w:sz w:val="24"/>
                <w:szCs w:val="44"/>
              </w:rPr>
              <w:t>小时内</w:t>
            </w:r>
            <w:r>
              <w:rPr>
                <w:rFonts w:hint="eastAsia" w:ascii="宋体" w:hAnsi="宋体" w:eastAsia="宋体" w:cs="宋体"/>
                <w:sz w:val="24"/>
              </w:rPr>
              <w:t>予以响应、回复，且及时安排人员到甲方进行服务。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9348" w:type="dxa"/>
            <w:gridSpan w:val="2"/>
          </w:tcPr>
          <w:p>
            <w:pPr>
              <w:autoSpaceDE w:val="0"/>
              <w:autoSpaceDN w:val="0"/>
              <w:adjustRightInd w:val="0"/>
              <w:spacing w:line="360" w:lineRule="exact"/>
              <w:rPr>
                <w:rFonts w:ascii="宋体" w:hAnsi="宋体" w:eastAsia="宋体" w:cs="宋体"/>
                <w:kern w:val="0"/>
                <w:sz w:val="24"/>
                <w:szCs w:val="44"/>
              </w:rPr>
            </w:pPr>
            <w:r>
              <w:rPr>
                <w:rFonts w:hint="eastAsia" w:ascii="宋体" w:hAnsi="宋体" w:eastAsia="宋体" w:cs="宋体"/>
                <w:kern w:val="0"/>
                <w:sz w:val="24"/>
                <w:szCs w:val="44"/>
              </w:rPr>
              <w:t>备注：（如优惠条件等）</w:t>
            </w:r>
          </w:p>
          <w:p>
            <w:pPr>
              <w:autoSpaceDE w:val="0"/>
              <w:autoSpaceDN w:val="0"/>
              <w:adjustRightInd w:val="0"/>
              <w:spacing w:line="360" w:lineRule="exact"/>
              <w:rPr>
                <w:rFonts w:ascii="宋体" w:hAnsi="宋体" w:eastAsia="宋体" w:cs="宋体"/>
                <w:kern w:val="0"/>
                <w:sz w:val="24"/>
                <w:szCs w:val="44"/>
              </w:rPr>
            </w:pPr>
          </w:p>
          <w:p>
            <w:pPr>
              <w:autoSpaceDE w:val="0"/>
              <w:autoSpaceDN w:val="0"/>
              <w:adjustRightInd w:val="0"/>
              <w:spacing w:line="360" w:lineRule="exact"/>
              <w:rPr>
                <w:rFonts w:ascii="宋体" w:hAnsi="宋体" w:eastAsia="宋体" w:cs="宋体"/>
                <w:kern w:val="0"/>
                <w:sz w:val="24"/>
                <w:szCs w:val="44"/>
              </w:rPr>
            </w:pPr>
          </w:p>
          <w:p>
            <w:pPr>
              <w:autoSpaceDE w:val="0"/>
              <w:autoSpaceDN w:val="0"/>
              <w:adjustRightInd w:val="0"/>
              <w:spacing w:line="360" w:lineRule="exact"/>
              <w:rPr>
                <w:rFonts w:ascii="宋体" w:hAnsi="宋体" w:eastAsia="宋体" w:cs="宋体"/>
                <w:kern w:val="0"/>
                <w:sz w:val="24"/>
                <w:szCs w:val="44"/>
              </w:rPr>
            </w:pPr>
          </w:p>
          <w:p>
            <w:pPr>
              <w:autoSpaceDE w:val="0"/>
              <w:autoSpaceDN w:val="0"/>
              <w:adjustRightInd w:val="0"/>
              <w:spacing w:line="360" w:lineRule="exact"/>
              <w:rPr>
                <w:rFonts w:ascii="宋体" w:hAnsi="宋体" w:eastAsia="宋体" w:cs="宋体"/>
                <w:kern w:val="0"/>
                <w:sz w:val="24"/>
                <w:szCs w:val="44"/>
              </w:rPr>
            </w:pPr>
          </w:p>
          <w:p>
            <w:pPr>
              <w:autoSpaceDE w:val="0"/>
              <w:autoSpaceDN w:val="0"/>
              <w:adjustRightInd w:val="0"/>
              <w:spacing w:line="360" w:lineRule="exact"/>
              <w:rPr>
                <w:rFonts w:ascii="宋体" w:hAnsi="宋体" w:eastAsia="宋体" w:cs="宋体"/>
                <w:kern w:val="0"/>
                <w:sz w:val="24"/>
                <w:szCs w:val="44"/>
              </w:rPr>
            </w:pPr>
          </w:p>
        </w:tc>
      </w:tr>
    </w:tbl>
    <w:p>
      <w:pPr>
        <w:spacing w:line="560" w:lineRule="exact"/>
        <w:rPr>
          <w:rFonts w:ascii="宋体" w:hAnsi="宋体" w:eastAsia="宋体" w:cs="宋体"/>
          <w:b/>
          <w:bCs/>
          <w:sz w:val="24"/>
        </w:rPr>
      </w:pPr>
    </w:p>
    <w:p>
      <w:pPr>
        <w:spacing w:line="560" w:lineRule="exact"/>
        <w:ind w:firstLine="482" w:firstLineChars="200"/>
        <w:jc w:val="center"/>
        <w:rPr>
          <w:rFonts w:ascii="宋体" w:hAnsi="宋体" w:eastAsia="宋体" w:cs="宋体"/>
          <w:b/>
          <w:bCs/>
          <w:sz w:val="24"/>
        </w:rPr>
      </w:pPr>
    </w:p>
    <w:p>
      <w:pPr>
        <w:autoSpaceDE w:val="0"/>
        <w:autoSpaceDN w:val="0"/>
        <w:adjustRightInd w:val="0"/>
        <w:spacing w:line="520" w:lineRule="exact"/>
        <w:ind w:firstLine="3883" w:firstLineChars="1618"/>
        <w:rPr>
          <w:rFonts w:ascii="宋体" w:hAnsi="宋体" w:eastAsia="宋体" w:cs="宋体"/>
          <w:kern w:val="0"/>
          <w:sz w:val="24"/>
          <w:szCs w:val="44"/>
        </w:rPr>
      </w:pPr>
      <w:r>
        <w:rPr>
          <w:rFonts w:hint="eastAsia" w:ascii="宋体" w:hAnsi="宋体" w:eastAsia="宋体" w:cs="宋体"/>
          <w:kern w:val="0"/>
          <w:sz w:val="24"/>
          <w:szCs w:val="44"/>
        </w:rPr>
        <w:t>供应商：（公司公章）</w:t>
      </w:r>
    </w:p>
    <w:p>
      <w:pPr>
        <w:autoSpaceDE w:val="0"/>
        <w:autoSpaceDN w:val="0"/>
        <w:adjustRightInd w:val="0"/>
        <w:spacing w:line="520" w:lineRule="exact"/>
        <w:ind w:firstLine="3883" w:firstLineChars="1618"/>
        <w:rPr>
          <w:rFonts w:ascii="宋体" w:hAnsi="宋体" w:eastAsia="宋体" w:cs="宋体"/>
          <w:kern w:val="0"/>
          <w:sz w:val="24"/>
          <w:szCs w:val="44"/>
        </w:rPr>
      </w:pPr>
    </w:p>
    <w:p>
      <w:pPr>
        <w:autoSpaceDE w:val="0"/>
        <w:autoSpaceDN w:val="0"/>
        <w:adjustRightInd w:val="0"/>
        <w:spacing w:line="520" w:lineRule="exact"/>
        <w:ind w:firstLine="3883" w:firstLineChars="1618"/>
        <w:rPr>
          <w:rFonts w:ascii="宋体" w:hAnsi="宋体" w:eastAsia="宋体" w:cs="宋体"/>
          <w:kern w:val="0"/>
          <w:sz w:val="24"/>
          <w:szCs w:val="44"/>
        </w:rPr>
      </w:pPr>
      <w:r>
        <w:rPr>
          <w:rFonts w:hint="eastAsia" w:ascii="宋体" w:hAnsi="宋体" w:eastAsia="宋体" w:cs="宋体"/>
          <w:kern w:val="0"/>
          <w:sz w:val="24"/>
          <w:szCs w:val="44"/>
        </w:rPr>
        <w:t>法定代表人或谈判响应供应商代表签名：</w:t>
      </w:r>
    </w:p>
    <w:p>
      <w:pPr>
        <w:autoSpaceDE w:val="0"/>
        <w:autoSpaceDN w:val="0"/>
        <w:adjustRightInd w:val="0"/>
        <w:spacing w:line="520" w:lineRule="exact"/>
        <w:ind w:firstLine="4854" w:firstLineChars="1618"/>
        <w:rPr>
          <w:rFonts w:ascii="宋体" w:hAnsi="宋体" w:eastAsia="宋体" w:cs="宋体"/>
          <w:spacing w:val="30"/>
          <w:kern w:val="0"/>
          <w:sz w:val="24"/>
          <w:szCs w:val="44"/>
        </w:rPr>
      </w:pPr>
    </w:p>
    <w:p>
      <w:pPr>
        <w:autoSpaceDE w:val="0"/>
        <w:autoSpaceDN w:val="0"/>
        <w:adjustRightInd w:val="0"/>
        <w:spacing w:line="400" w:lineRule="exact"/>
        <w:ind w:firstLine="3885" w:firstLineChars="1295"/>
        <w:rPr>
          <w:rFonts w:ascii="宋体" w:hAnsi="宋体" w:eastAsia="宋体" w:cs="宋体"/>
          <w:kern w:val="0"/>
          <w:sz w:val="28"/>
          <w:szCs w:val="44"/>
        </w:rPr>
      </w:pPr>
      <w:r>
        <w:rPr>
          <w:rFonts w:hint="eastAsia" w:ascii="宋体" w:hAnsi="宋体" w:eastAsia="宋体" w:cs="宋体"/>
          <w:spacing w:val="30"/>
          <w:kern w:val="0"/>
          <w:sz w:val="24"/>
          <w:szCs w:val="44"/>
        </w:rPr>
        <w:t>日    期</w:t>
      </w:r>
      <w:r>
        <w:rPr>
          <w:rFonts w:hint="eastAsia" w:ascii="宋体" w:hAnsi="宋体" w:eastAsia="宋体" w:cs="宋体"/>
          <w:kern w:val="0"/>
          <w:sz w:val="24"/>
          <w:szCs w:val="44"/>
        </w:rPr>
        <w:t xml:space="preserve">： </w:t>
      </w:r>
      <w:r>
        <w:rPr>
          <w:rFonts w:hint="eastAsia" w:ascii="宋体" w:hAnsi="宋体" w:eastAsia="宋体" w:cs="宋体"/>
          <w:kern w:val="0"/>
          <w:sz w:val="28"/>
          <w:szCs w:val="44"/>
        </w:rPr>
        <w:t xml:space="preserve">   </w:t>
      </w:r>
    </w:p>
    <w:p>
      <w:pPr>
        <w:autoSpaceDE w:val="0"/>
        <w:autoSpaceDN w:val="0"/>
        <w:adjustRightInd w:val="0"/>
        <w:spacing w:line="500" w:lineRule="exact"/>
        <w:jc w:val="center"/>
        <w:rPr>
          <w:rFonts w:ascii="宋体" w:hAnsi="宋体" w:eastAsia="宋体" w:cs="宋体"/>
          <w:b/>
          <w:bCs/>
          <w:kern w:val="0"/>
          <w:sz w:val="44"/>
          <w:szCs w:val="44"/>
        </w:rPr>
      </w:pPr>
    </w:p>
    <w:p>
      <w:pPr>
        <w:autoSpaceDE w:val="0"/>
        <w:autoSpaceDN w:val="0"/>
        <w:adjustRightInd w:val="0"/>
        <w:spacing w:line="500" w:lineRule="exact"/>
        <w:rPr>
          <w:rFonts w:ascii="宋体" w:hAnsi="宋体" w:eastAsia="宋体" w:cs="宋体"/>
          <w:b/>
          <w:bCs/>
          <w:kern w:val="0"/>
          <w:sz w:val="32"/>
          <w:szCs w:val="44"/>
        </w:rPr>
      </w:pPr>
    </w:p>
    <w:p>
      <w:pPr>
        <w:autoSpaceDE w:val="0"/>
        <w:autoSpaceDN w:val="0"/>
        <w:adjustRightInd w:val="0"/>
        <w:spacing w:line="500" w:lineRule="exact"/>
        <w:rPr>
          <w:rFonts w:ascii="宋体" w:hAnsi="宋体" w:eastAsia="宋体" w:cs="宋体"/>
          <w:b/>
          <w:bCs/>
          <w:kern w:val="0"/>
          <w:sz w:val="32"/>
          <w:szCs w:val="44"/>
        </w:rPr>
      </w:pPr>
      <w:r>
        <w:rPr>
          <w:rFonts w:hint="eastAsia" w:ascii="宋体" w:hAnsi="宋体" w:eastAsia="宋体" w:cs="宋体"/>
          <w:b/>
          <w:bCs/>
          <w:kern w:val="0"/>
          <w:sz w:val="28"/>
          <w:szCs w:val="28"/>
        </w:rPr>
        <w:t>注：本表须另单独封装一份在外(按谈判响应文件的封装要求封装）。</w:t>
      </w:r>
    </w:p>
    <w:p>
      <w:pPr>
        <w:spacing w:line="360" w:lineRule="auto"/>
        <w:rPr>
          <w:rFonts w:ascii="宋体" w:hAnsi="宋体"/>
          <w:b/>
          <w:sz w:val="36"/>
          <w:szCs w:val="36"/>
        </w:rPr>
      </w:pPr>
    </w:p>
    <w:p>
      <w:pPr>
        <w:spacing w:line="360" w:lineRule="auto"/>
        <w:ind w:firstLine="1807" w:firstLineChars="500"/>
        <w:rPr>
          <w:rFonts w:ascii="宋体" w:hAnsi="宋体"/>
          <w:b/>
          <w:sz w:val="36"/>
          <w:szCs w:val="36"/>
        </w:rPr>
      </w:pPr>
      <w:r>
        <w:rPr>
          <w:rFonts w:hint="eastAsia" w:ascii="宋体" w:hAnsi="宋体"/>
          <w:b/>
          <w:sz w:val="36"/>
          <w:szCs w:val="36"/>
        </w:rPr>
        <w:t>三  谈判分项报价表（格式）</w:t>
      </w:r>
    </w:p>
    <w:p>
      <w:pPr>
        <w:pStyle w:val="10"/>
        <w:spacing w:line="360" w:lineRule="auto"/>
        <w:jc w:val="left"/>
        <w:rPr>
          <w:rFonts w:hAnsi="宋体"/>
          <w:sz w:val="24"/>
        </w:rPr>
      </w:pPr>
    </w:p>
    <w:p>
      <w:pPr>
        <w:pStyle w:val="10"/>
        <w:spacing w:line="360" w:lineRule="auto"/>
        <w:jc w:val="left"/>
        <w:rPr>
          <w:rFonts w:hAnsi="宋体"/>
          <w:bCs/>
          <w:sz w:val="24"/>
        </w:rPr>
      </w:pPr>
      <w:r>
        <w:rPr>
          <w:rFonts w:hAnsi="宋体"/>
          <w:bCs/>
          <w:sz w:val="24"/>
        </w:rPr>
        <w:t>谈判响应供应商名称：</w:t>
      </w:r>
      <w:r>
        <w:rPr>
          <w:rFonts w:hAnsi="宋体"/>
          <w:bCs/>
          <w:sz w:val="24"/>
          <w:u w:val="single"/>
        </w:rPr>
        <w:t xml:space="preserve">            </w:t>
      </w:r>
      <w:r>
        <w:rPr>
          <w:rFonts w:hAnsi="宋体"/>
          <w:bCs/>
          <w:sz w:val="24"/>
        </w:rPr>
        <w:t>项目编号：</w:t>
      </w:r>
      <w:r>
        <w:rPr>
          <w:rFonts w:hAnsi="宋体"/>
          <w:bCs/>
          <w:sz w:val="24"/>
          <w:u w:val="single"/>
        </w:rPr>
        <w:t xml:space="preserve">          </w:t>
      </w:r>
      <w:r>
        <w:rPr>
          <w:rFonts w:hAnsi="宋体"/>
          <w:bCs/>
          <w:sz w:val="24"/>
        </w:rPr>
        <w:t>货币单位：</w:t>
      </w:r>
      <w:r>
        <w:rPr>
          <w:rFonts w:hAnsi="宋体"/>
          <w:bCs/>
          <w:sz w:val="24"/>
          <w:u w:val="single"/>
        </w:rPr>
        <w:t xml:space="preserve">      </w:t>
      </w:r>
      <w:r>
        <w:rPr>
          <w:rFonts w:hAnsi="宋体"/>
          <w:bCs/>
          <w:sz w:val="24"/>
        </w:rPr>
        <w:t xml:space="preserve"> </w:t>
      </w:r>
    </w:p>
    <w:tbl>
      <w:tblPr>
        <w:tblStyle w:val="18"/>
        <w:tblW w:w="844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212"/>
        <w:gridCol w:w="851"/>
        <w:gridCol w:w="870"/>
        <w:gridCol w:w="885"/>
        <w:gridCol w:w="1005"/>
        <w:gridCol w:w="1005"/>
        <w:gridCol w:w="1005"/>
        <w:gridCol w:w="10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11" w:type="dxa"/>
            <w:vAlign w:val="center"/>
          </w:tcPr>
          <w:p>
            <w:pPr>
              <w:adjustRightInd w:val="0"/>
              <w:snapToGrid w:val="0"/>
              <w:jc w:val="cente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序号</w:t>
            </w:r>
          </w:p>
        </w:tc>
        <w:tc>
          <w:tcPr>
            <w:tcW w:w="1212" w:type="dxa"/>
            <w:vAlign w:val="center"/>
          </w:tcPr>
          <w:p>
            <w:pPr>
              <w:adjustRightInd w:val="0"/>
              <w:snapToGrid w:val="0"/>
              <w:jc w:val="cente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分项内容</w:t>
            </w:r>
          </w:p>
        </w:tc>
        <w:tc>
          <w:tcPr>
            <w:tcW w:w="851" w:type="dxa"/>
            <w:vAlign w:val="center"/>
          </w:tcPr>
          <w:p>
            <w:pPr>
              <w:adjustRightInd w:val="0"/>
              <w:snapToGrid w:val="0"/>
              <w:jc w:val="center"/>
              <w:rPr>
                <w:rFonts w:ascii="宋体" w:hAnsi="宋体" w:cs="Times New Roman"/>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品牌</w:t>
            </w:r>
          </w:p>
        </w:tc>
        <w:tc>
          <w:tcPr>
            <w:tcW w:w="870" w:type="dxa"/>
            <w:vAlign w:val="center"/>
          </w:tcPr>
          <w:p>
            <w:pPr>
              <w:adjustRightInd w:val="0"/>
              <w:snapToGrid w:val="0"/>
              <w:jc w:val="center"/>
              <w:rPr>
                <w:rFonts w:ascii="宋体" w:hAnsi="宋体" w:cs="Times New Roman"/>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型号</w:t>
            </w:r>
          </w:p>
        </w:tc>
        <w:tc>
          <w:tcPr>
            <w:tcW w:w="885" w:type="dxa"/>
            <w:vAlign w:val="center"/>
          </w:tcPr>
          <w:p>
            <w:pPr>
              <w:adjustRightInd w:val="0"/>
              <w:snapToGrid w:val="0"/>
              <w:jc w:val="center"/>
              <w:rPr>
                <w:rFonts w:ascii="宋体" w:hAnsi="宋体" w:cs="Times New Roman"/>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产地</w:t>
            </w:r>
          </w:p>
        </w:tc>
        <w:tc>
          <w:tcPr>
            <w:tcW w:w="1005" w:type="dxa"/>
            <w:vAlign w:val="center"/>
          </w:tcPr>
          <w:p>
            <w:pPr>
              <w:adjustRightInd w:val="0"/>
              <w:snapToGrid w:val="0"/>
              <w:jc w:val="cente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单位</w:t>
            </w:r>
          </w:p>
        </w:tc>
        <w:tc>
          <w:tcPr>
            <w:tcW w:w="1005" w:type="dxa"/>
            <w:vAlign w:val="center"/>
          </w:tcPr>
          <w:p>
            <w:pPr>
              <w:adjustRightInd w:val="0"/>
              <w:snapToGrid w:val="0"/>
              <w:jc w:val="center"/>
              <w:rPr>
                <w:rFonts w:ascii="宋体" w:hAnsi="宋体" w:cs="Times New Roman"/>
                <w:color w:val="000000" w:themeColor="text1"/>
                <w:sz w:val="24"/>
                <w14:textFill>
                  <w14:solidFill>
                    <w14:schemeClr w14:val="tx1"/>
                  </w14:solidFill>
                </w14:textFill>
              </w:rPr>
            </w:pPr>
            <w:r>
              <w:rPr>
                <w:rFonts w:ascii="宋体" w:hAnsi="宋体" w:cs="Times New Roman"/>
                <w:color w:val="000000" w:themeColor="text1"/>
                <w:sz w:val="24"/>
                <w14:textFill>
                  <w14:solidFill>
                    <w14:schemeClr w14:val="tx1"/>
                  </w14:solidFill>
                </w14:textFill>
              </w:rPr>
              <w:t>数量</w:t>
            </w:r>
          </w:p>
        </w:tc>
        <w:tc>
          <w:tcPr>
            <w:tcW w:w="1005" w:type="dxa"/>
            <w:vAlign w:val="center"/>
          </w:tcPr>
          <w:p>
            <w:pPr>
              <w:adjustRightInd w:val="0"/>
              <w:snapToGrid w:val="0"/>
              <w:jc w:val="cente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报价</w:t>
            </w:r>
          </w:p>
        </w:tc>
        <w:tc>
          <w:tcPr>
            <w:tcW w:w="1005" w:type="dxa"/>
            <w:vAlign w:val="center"/>
          </w:tcPr>
          <w:p>
            <w:pPr>
              <w:adjustRightInd w:val="0"/>
              <w:snapToGrid w:val="0"/>
              <w:jc w:val="cente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11" w:type="dxa"/>
            <w:vAlign w:val="center"/>
          </w:tcPr>
          <w:p>
            <w:pPr>
              <w:jc w:val="cente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1</w:t>
            </w:r>
          </w:p>
        </w:tc>
        <w:tc>
          <w:tcPr>
            <w:tcW w:w="1212" w:type="dxa"/>
            <w:vAlign w:val="center"/>
          </w:tcPr>
          <w:p>
            <w:pPr>
              <w:jc w:val="center"/>
              <w:rPr>
                <w:rFonts w:ascii="宋体" w:hAnsi="宋体" w:cs="Times New Roman"/>
                <w:color w:val="000000" w:themeColor="text1"/>
                <w:sz w:val="24"/>
                <w14:textFill>
                  <w14:solidFill>
                    <w14:schemeClr w14:val="tx1"/>
                  </w14:solidFill>
                </w14:textFill>
              </w:rPr>
            </w:pPr>
          </w:p>
        </w:tc>
        <w:tc>
          <w:tcPr>
            <w:tcW w:w="851" w:type="dxa"/>
            <w:vAlign w:val="center"/>
          </w:tcPr>
          <w:p>
            <w:pPr>
              <w:jc w:val="center"/>
              <w:rPr>
                <w:rFonts w:ascii="宋体" w:hAnsi="宋体" w:cs="Times New Roman"/>
                <w:color w:val="000000" w:themeColor="text1"/>
                <w:sz w:val="24"/>
                <w14:textFill>
                  <w14:solidFill>
                    <w14:schemeClr w14:val="tx1"/>
                  </w14:solidFill>
                </w14:textFill>
              </w:rPr>
            </w:pPr>
          </w:p>
        </w:tc>
        <w:tc>
          <w:tcPr>
            <w:tcW w:w="870" w:type="dxa"/>
            <w:vAlign w:val="center"/>
          </w:tcPr>
          <w:p>
            <w:pPr>
              <w:jc w:val="center"/>
              <w:rPr>
                <w:rFonts w:ascii="宋体" w:hAnsi="宋体" w:cs="Times New Roman"/>
                <w:color w:val="000000" w:themeColor="text1"/>
                <w:sz w:val="24"/>
                <w14:textFill>
                  <w14:solidFill>
                    <w14:schemeClr w14:val="tx1"/>
                  </w14:solidFill>
                </w14:textFill>
              </w:rPr>
            </w:pPr>
          </w:p>
        </w:tc>
        <w:tc>
          <w:tcPr>
            <w:tcW w:w="885" w:type="dxa"/>
            <w:vAlign w:val="center"/>
          </w:tcPr>
          <w:p>
            <w:pPr>
              <w:jc w:val="center"/>
              <w:rPr>
                <w:rFonts w:ascii="宋体" w:hAnsi="宋体" w:cs="Times New Roman"/>
                <w:color w:val="000000" w:themeColor="text1"/>
                <w:sz w:val="24"/>
                <w14:textFill>
                  <w14:solidFill>
                    <w14:schemeClr w14:val="tx1"/>
                  </w14:solidFill>
                </w14:textFill>
              </w:rPr>
            </w:pPr>
          </w:p>
        </w:tc>
        <w:tc>
          <w:tcPr>
            <w:tcW w:w="1005" w:type="dxa"/>
            <w:vAlign w:val="center"/>
          </w:tcPr>
          <w:p>
            <w:pPr>
              <w:jc w:val="center"/>
              <w:rPr>
                <w:rFonts w:ascii="宋体" w:hAnsi="宋体" w:cs="Times New Roman"/>
                <w:color w:val="000000" w:themeColor="text1"/>
                <w:sz w:val="24"/>
                <w14:textFill>
                  <w14:solidFill>
                    <w14:schemeClr w14:val="tx1"/>
                  </w14:solidFill>
                </w14:textFill>
              </w:rPr>
            </w:pPr>
          </w:p>
        </w:tc>
        <w:tc>
          <w:tcPr>
            <w:tcW w:w="1005" w:type="dxa"/>
            <w:vAlign w:val="center"/>
          </w:tcPr>
          <w:p>
            <w:pPr>
              <w:jc w:val="center"/>
              <w:rPr>
                <w:rFonts w:ascii="宋体" w:hAnsi="宋体" w:cs="Times New Roman"/>
                <w:color w:val="000000" w:themeColor="text1"/>
                <w:sz w:val="24"/>
                <w14:textFill>
                  <w14:solidFill>
                    <w14:schemeClr w14:val="tx1"/>
                  </w14:solidFill>
                </w14:textFill>
              </w:rPr>
            </w:pPr>
          </w:p>
        </w:tc>
        <w:tc>
          <w:tcPr>
            <w:tcW w:w="1005" w:type="dxa"/>
            <w:vAlign w:val="center"/>
          </w:tcPr>
          <w:p>
            <w:pPr>
              <w:jc w:val="center"/>
              <w:rPr>
                <w:rFonts w:ascii="宋体" w:hAnsi="宋体" w:cs="Times New Roman"/>
                <w:color w:val="000000" w:themeColor="text1"/>
                <w:sz w:val="24"/>
                <w14:textFill>
                  <w14:solidFill>
                    <w14:schemeClr w14:val="tx1"/>
                  </w14:solidFill>
                </w14:textFill>
              </w:rPr>
            </w:pPr>
          </w:p>
        </w:tc>
        <w:tc>
          <w:tcPr>
            <w:tcW w:w="1005" w:type="dxa"/>
            <w:vAlign w:val="center"/>
          </w:tcPr>
          <w:p>
            <w:pPr>
              <w:jc w:val="center"/>
              <w:rPr>
                <w:rFonts w:ascii="宋体" w:hAnsi="宋体" w:cs="Times New Roman"/>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11" w:type="dxa"/>
            <w:vAlign w:val="center"/>
          </w:tcPr>
          <w:p>
            <w:pPr>
              <w:jc w:val="cente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2</w:t>
            </w:r>
          </w:p>
        </w:tc>
        <w:tc>
          <w:tcPr>
            <w:tcW w:w="1212" w:type="dxa"/>
            <w:vAlign w:val="center"/>
          </w:tcPr>
          <w:p>
            <w:pPr>
              <w:jc w:val="center"/>
              <w:rPr>
                <w:rFonts w:ascii="宋体" w:hAnsi="宋体" w:cs="Times New Roman"/>
                <w:color w:val="000000" w:themeColor="text1"/>
                <w:sz w:val="24"/>
                <w14:textFill>
                  <w14:solidFill>
                    <w14:schemeClr w14:val="tx1"/>
                  </w14:solidFill>
                </w14:textFill>
              </w:rPr>
            </w:pPr>
          </w:p>
        </w:tc>
        <w:tc>
          <w:tcPr>
            <w:tcW w:w="851" w:type="dxa"/>
            <w:vAlign w:val="center"/>
          </w:tcPr>
          <w:p>
            <w:pPr>
              <w:jc w:val="center"/>
              <w:rPr>
                <w:rFonts w:ascii="宋体" w:hAnsi="宋体" w:cs="Times New Roman"/>
                <w:color w:val="000000" w:themeColor="text1"/>
                <w:sz w:val="24"/>
                <w14:textFill>
                  <w14:solidFill>
                    <w14:schemeClr w14:val="tx1"/>
                  </w14:solidFill>
                </w14:textFill>
              </w:rPr>
            </w:pPr>
          </w:p>
        </w:tc>
        <w:tc>
          <w:tcPr>
            <w:tcW w:w="870" w:type="dxa"/>
            <w:vAlign w:val="center"/>
          </w:tcPr>
          <w:p>
            <w:pPr>
              <w:jc w:val="center"/>
              <w:rPr>
                <w:rFonts w:ascii="宋体" w:hAnsi="宋体" w:cs="Times New Roman"/>
                <w:color w:val="000000" w:themeColor="text1"/>
                <w:sz w:val="24"/>
                <w14:textFill>
                  <w14:solidFill>
                    <w14:schemeClr w14:val="tx1"/>
                  </w14:solidFill>
                </w14:textFill>
              </w:rPr>
            </w:pPr>
          </w:p>
        </w:tc>
        <w:tc>
          <w:tcPr>
            <w:tcW w:w="885" w:type="dxa"/>
            <w:vAlign w:val="center"/>
          </w:tcPr>
          <w:p>
            <w:pPr>
              <w:jc w:val="center"/>
              <w:rPr>
                <w:rFonts w:ascii="宋体" w:hAnsi="宋体" w:cs="Times New Roman"/>
                <w:color w:val="000000" w:themeColor="text1"/>
                <w:sz w:val="24"/>
                <w14:textFill>
                  <w14:solidFill>
                    <w14:schemeClr w14:val="tx1"/>
                  </w14:solidFill>
                </w14:textFill>
              </w:rPr>
            </w:pPr>
          </w:p>
        </w:tc>
        <w:tc>
          <w:tcPr>
            <w:tcW w:w="1005" w:type="dxa"/>
            <w:vAlign w:val="center"/>
          </w:tcPr>
          <w:p>
            <w:pPr>
              <w:jc w:val="center"/>
              <w:rPr>
                <w:rFonts w:ascii="宋体" w:hAnsi="宋体" w:cs="Times New Roman"/>
                <w:color w:val="000000" w:themeColor="text1"/>
                <w:sz w:val="24"/>
                <w14:textFill>
                  <w14:solidFill>
                    <w14:schemeClr w14:val="tx1"/>
                  </w14:solidFill>
                </w14:textFill>
              </w:rPr>
            </w:pPr>
          </w:p>
        </w:tc>
        <w:tc>
          <w:tcPr>
            <w:tcW w:w="1005" w:type="dxa"/>
            <w:vAlign w:val="center"/>
          </w:tcPr>
          <w:p>
            <w:pPr>
              <w:jc w:val="center"/>
              <w:rPr>
                <w:rFonts w:ascii="宋体" w:hAnsi="宋体" w:cs="Times New Roman"/>
                <w:color w:val="000000" w:themeColor="text1"/>
                <w:sz w:val="24"/>
                <w14:textFill>
                  <w14:solidFill>
                    <w14:schemeClr w14:val="tx1"/>
                  </w14:solidFill>
                </w14:textFill>
              </w:rPr>
            </w:pPr>
          </w:p>
        </w:tc>
        <w:tc>
          <w:tcPr>
            <w:tcW w:w="1005" w:type="dxa"/>
            <w:vAlign w:val="center"/>
          </w:tcPr>
          <w:p>
            <w:pPr>
              <w:jc w:val="center"/>
              <w:rPr>
                <w:rFonts w:ascii="宋体" w:hAnsi="宋体" w:cs="Times New Roman"/>
                <w:color w:val="000000" w:themeColor="text1"/>
                <w:sz w:val="24"/>
                <w14:textFill>
                  <w14:solidFill>
                    <w14:schemeClr w14:val="tx1"/>
                  </w14:solidFill>
                </w14:textFill>
              </w:rPr>
            </w:pPr>
          </w:p>
        </w:tc>
        <w:tc>
          <w:tcPr>
            <w:tcW w:w="1005" w:type="dxa"/>
            <w:vAlign w:val="center"/>
          </w:tcPr>
          <w:p>
            <w:pPr>
              <w:jc w:val="center"/>
              <w:rPr>
                <w:rFonts w:ascii="宋体" w:hAnsi="宋体" w:cs="Times New Roman"/>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11" w:type="dxa"/>
            <w:vAlign w:val="center"/>
          </w:tcPr>
          <w:p>
            <w:pPr>
              <w:jc w:val="cente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3</w:t>
            </w:r>
          </w:p>
        </w:tc>
        <w:tc>
          <w:tcPr>
            <w:tcW w:w="1212" w:type="dxa"/>
            <w:vAlign w:val="center"/>
          </w:tcPr>
          <w:p>
            <w:pPr>
              <w:jc w:val="center"/>
              <w:rPr>
                <w:rFonts w:ascii="宋体" w:hAnsi="宋体" w:cs="Times New Roman"/>
                <w:color w:val="000000" w:themeColor="text1"/>
                <w:sz w:val="24"/>
                <w14:textFill>
                  <w14:solidFill>
                    <w14:schemeClr w14:val="tx1"/>
                  </w14:solidFill>
                </w14:textFill>
              </w:rPr>
            </w:pPr>
          </w:p>
        </w:tc>
        <w:tc>
          <w:tcPr>
            <w:tcW w:w="851" w:type="dxa"/>
            <w:vAlign w:val="center"/>
          </w:tcPr>
          <w:p>
            <w:pPr>
              <w:jc w:val="center"/>
              <w:rPr>
                <w:rFonts w:ascii="宋体" w:hAnsi="宋体" w:cs="Times New Roman"/>
                <w:color w:val="000000" w:themeColor="text1"/>
                <w:sz w:val="24"/>
                <w14:textFill>
                  <w14:solidFill>
                    <w14:schemeClr w14:val="tx1"/>
                  </w14:solidFill>
                </w14:textFill>
              </w:rPr>
            </w:pPr>
          </w:p>
        </w:tc>
        <w:tc>
          <w:tcPr>
            <w:tcW w:w="870" w:type="dxa"/>
            <w:vAlign w:val="center"/>
          </w:tcPr>
          <w:p>
            <w:pPr>
              <w:jc w:val="center"/>
              <w:rPr>
                <w:rFonts w:ascii="宋体" w:hAnsi="宋体" w:cs="Times New Roman"/>
                <w:color w:val="000000" w:themeColor="text1"/>
                <w:sz w:val="24"/>
                <w14:textFill>
                  <w14:solidFill>
                    <w14:schemeClr w14:val="tx1"/>
                  </w14:solidFill>
                </w14:textFill>
              </w:rPr>
            </w:pPr>
          </w:p>
        </w:tc>
        <w:tc>
          <w:tcPr>
            <w:tcW w:w="885" w:type="dxa"/>
            <w:vAlign w:val="center"/>
          </w:tcPr>
          <w:p>
            <w:pPr>
              <w:jc w:val="center"/>
              <w:rPr>
                <w:rFonts w:ascii="宋体" w:hAnsi="宋体" w:cs="Times New Roman"/>
                <w:color w:val="000000" w:themeColor="text1"/>
                <w:sz w:val="24"/>
                <w14:textFill>
                  <w14:solidFill>
                    <w14:schemeClr w14:val="tx1"/>
                  </w14:solidFill>
                </w14:textFill>
              </w:rPr>
            </w:pPr>
          </w:p>
        </w:tc>
        <w:tc>
          <w:tcPr>
            <w:tcW w:w="1005" w:type="dxa"/>
            <w:vAlign w:val="center"/>
          </w:tcPr>
          <w:p>
            <w:pPr>
              <w:jc w:val="center"/>
              <w:rPr>
                <w:rFonts w:ascii="宋体" w:hAnsi="宋体" w:cs="Times New Roman"/>
                <w:color w:val="000000" w:themeColor="text1"/>
                <w:sz w:val="24"/>
                <w14:textFill>
                  <w14:solidFill>
                    <w14:schemeClr w14:val="tx1"/>
                  </w14:solidFill>
                </w14:textFill>
              </w:rPr>
            </w:pPr>
          </w:p>
        </w:tc>
        <w:tc>
          <w:tcPr>
            <w:tcW w:w="1005" w:type="dxa"/>
            <w:vAlign w:val="center"/>
          </w:tcPr>
          <w:p>
            <w:pPr>
              <w:jc w:val="center"/>
              <w:rPr>
                <w:rFonts w:ascii="宋体" w:hAnsi="宋体" w:cs="Times New Roman"/>
                <w:color w:val="000000" w:themeColor="text1"/>
                <w:sz w:val="24"/>
                <w14:textFill>
                  <w14:solidFill>
                    <w14:schemeClr w14:val="tx1"/>
                  </w14:solidFill>
                </w14:textFill>
              </w:rPr>
            </w:pPr>
          </w:p>
        </w:tc>
        <w:tc>
          <w:tcPr>
            <w:tcW w:w="1005" w:type="dxa"/>
            <w:vAlign w:val="center"/>
          </w:tcPr>
          <w:p>
            <w:pPr>
              <w:jc w:val="center"/>
              <w:rPr>
                <w:rFonts w:ascii="宋体" w:hAnsi="宋体" w:cs="Times New Roman"/>
                <w:color w:val="000000" w:themeColor="text1"/>
                <w:sz w:val="24"/>
                <w14:textFill>
                  <w14:solidFill>
                    <w14:schemeClr w14:val="tx1"/>
                  </w14:solidFill>
                </w14:textFill>
              </w:rPr>
            </w:pPr>
          </w:p>
        </w:tc>
        <w:tc>
          <w:tcPr>
            <w:tcW w:w="1005" w:type="dxa"/>
            <w:vAlign w:val="center"/>
          </w:tcPr>
          <w:p>
            <w:pPr>
              <w:jc w:val="center"/>
              <w:rPr>
                <w:rFonts w:ascii="宋体" w:hAnsi="宋体" w:cs="Times New Roman"/>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11" w:type="dxa"/>
            <w:vAlign w:val="center"/>
          </w:tcPr>
          <w:p>
            <w:pPr>
              <w:jc w:val="cente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w:t>
            </w:r>
          </w:p>
        </w:tc>
        <w:tc>
          <w:tcPr>
            <w:tcW w:w="1212" w:type="dxa"/>
            <w:vAlign w:val="center"/>
          </w:tcPr>
          <w:p>
            <w:pPr>
              <w:jc w:val="center"/>
              <w:rPr>
                <w:rFonts w:ascii="宋体" w:hAnsi="宋体" w:cs="Times New Roman"/>
                <w:color w:val="000000" w:themeColor="text1"/>
                <w:sz w:val="24"/>
                <w14:textFill>
                  <w14:solidFill>
                    <w14:schemeClr w14:val="tx1"/>
                  </w14:solidFill>
                </w14:textFill>
              </w:rPr>
            </w:pPr>
          </w:p>
        </w:tc>
        <w:tc>
          <w:tcPr>
            <w:tcW w:w="851" w:type="dxa"/>
            <w:vAlign w:val="center"/>
          </w:tcPr>
          <w:p>
            <w:pPr>
              <w:jc w:val="center"/>
              <w:rPr>
                <w:rFonts w:ascii="宋体" w:hAnsi="宋体" w:cs="Times New Roman"/>
                <w:color w:val="000000" w:themeColor="text1"/>
                <w:sz w:val="24"/>
                <w14:textFill>
                  <w14:solidFill>
                    <w14:schemeClr w14:val="tx1"/>
                  </w14:solidFill>
                </w14:textFill>
              </w:rPr>
            </w:pPr>
          </w:p>
        </w:tc>
        <w:tc>
          <w:tcPr>
            <w:tcW w:w="870" w:type="dxa"/>
            <w:vAlign w:val="center"/>
          </w:tcPr>
          <w:p>
            <w:pPr>
              <w:jc w:val="center"/>
              <w:rPr>
                <w:rFonts w:ascii="宋体" w:hAnsi="宋体" w:cs="Times New Roman"/>
                <w:color w:val="000000" w:themeColor="text1"/>
                <w:sz w:val="24"/>
                <w14:textFill>
                  <w14:solidFill>
                    <w14:schemeClr w14:val="tx1"/>
                  </w14:solidFill>
                </w14:textFill>
              </w:rPr>
            </w:pPr>
          </w:p>
        </w:tc>
        <w:tc>
          <w:tcPr>
            <w:tcW w:w="885" w:type="dxa"/>
            <w:vAlign w:val="center"/>
          </w:tcPr>
          <w:p>
            <w:pPr>
              <w:jc w:val="center"/>
              <w:rPr>
                <w:rFonts w:ascii="宋体" w:hAnsi="宋体" w:cs="Times New Roman"/>
                <w:color w:val="000000" w:themeColor="text1"/>
                <w:sz w:val="24"/>
                <w14:textFill>
                  <w14:solidFill>
                    <w14:schemeClr w14:val="tx1"/>
                  </w14:solidFill>
                </w14:textFill>
              </w:rPr>
            </w:pPr>
          </w:p>
        </w:tc>
        <w:tc>
          <w:tcPr>
            <w:tcW w:w="1005" w:type="dxa"/>
            <w:vAlign w:val="center"/>
          </w:tcPr>
          <w:p>
            <w:pPr>
              <w:jc w:val="center"/>
              <w:rPr>
                <w:rFonts w:ascii="宋体" w:hAnsi="宋体" w:cs="Times New Roman"/>
                <w:color w:val="000000" w:themeColor="text1"/>
                <w:sz w:val="24"/>
                <w14:textFill>
                  <w14:solidFill>
                    <w14:schemeClr w14:val="tx1"/>
                  </w14:solidFill>
                </w14:textFill>
              </w:rPr>
            </w:pPr>
          </w:p>
        </w:tc>
        <w:tc>
          <w:tcPr>
            <w:tcW w:w="1005" w:type="dxa"/>
            <w:vAlign w:val="center"/>
          </w:tcPr>
          <w:p>
            <w:pPr>
              <w:jc w:val="center"/>
              <w:rPr>
                <w:rFonts w:ascii="宋体" w:hAnsi="宋体" w:cs="Times New Roman"/>
                <w:color w:val="000000" w:themeColor="text1"/>
                <w:sz w:val="24"/>
                <w14:textFill>
                  <w14:solidFill>
                    <w14:schemeClr w14:val="tx1"/>
                  </w14:solidFill>
                </w14:textFill>
              </w:rPr>
            </w:pPr>
          </w:p>
        </w:tc>
        <w:tc>
          <w:tcPr>
            <w:tcW w:w="1005" w:type="dxa"/>
            <w:vAlign w:val="center"/>
          </w:tcPr>
          <w:p>
            <w:pPr>
              <w:jc w:val="center"/>
              <w:rPr>
                <w:rFonts w:ascii="宋体" w:hAnsi="宋体" w:cs="Times New Roman"/>
                <w:color w:val="000000" w:themeColor="text1"/>
                <w:sz w:val="24"/>
                <w14:textFill>
                  <w14:solidFill>
                    <w14:schemeClr w14:val="tx1"/>
                  </w14:solidFill>
                </w14:textFill>
              </w:rPr>
            </w:pPr>
          </w:p>
        </w:tc>
        <w:tc>
          <w:tcPr>
            <w:tcW w:w="1005" w:type="dxa"/>
            <w:vAlign w:val="center"/>
          </w:tcPr>
          <w:p>
            <w:pPr>
              <w:jc w:val="center"/>
              <w:rPr>
                <w:rFonts w:ascii="宋体" w:hAnsi="宋体" w:cs="Times New Roman"/>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449" w:type="dxa"/>
            <w:gridSpan w:val="9"/>
            <w:vAlign w:val="center"/>
          </w:tcPr>
          <w:p>
            <w:pPr>
              <w:rPr>
                <w:rFonts w:ascii="宋体" w:hAnsi="宋体" w:cs="Times New Roman"/>
                <w:color w:val="000000" w:themeColor="text1"/>
                <w:sz w:val="24"/>
                <w14:textFill>
                  <w14:solidFill>
                    <w14:schemeClr w14:val="tx1"/>
                  </w14:solidFill>
                </w14:textFill>
              </w:rPr>
            </w:pPr>
          </w:p>
        </w:tc>
      </w:tr>
    </w:tbl>
    <w:p>
      <w:pPr>
        <w:spacing w:line="400" w:lineRule="exact"/>
        <w:rPr>
          <w:rFonts w:ascii="宋体" w:hAnsi="宋体"/>
          <w:color w:val="000000" w:themeColor="text1"/>
          <w:sz w:val="24"/>
          <w14:textFill>
            <w14:solidFill>
              <w14:schemeClr w14:val="tx1"/>
            </w14:solidFill>
          </w14:textFill>
        </w:rPr>
      </w:pP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 xml:space="preserve"> 此表为《报价一览表》的报价明细表。</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 所有价格均以人民币作为货币单位填写及计算。对于有配件、耗材、选件和特殊工具的货物（若适用），还应填报投标货物配件、耗材、选件表和备件及特殊工具清单，注明、功能、单价等内容，该表格式由投标供应商自行设计。投标供应商按照上述要求分类报价，其目的是便于评标，但在任何情况下并不限制采购人以任何条款签订合同的权利。</w:t>
      </w:r>
    </w:p>
    <w:p>
      <w:pPr>
        <w:spacing w:line="400" w:lineRule="exact"/>
        <w:ind w:left="556" w:leftChars="200" w:hanging="136" w:hangingChars="5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 该表格式仅作参考，投标供应商的详细报价表格式可自定。</w:t>
      </w: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34"/>
        <w:spacing w:line="360" w:lineRule="auto"/>
        <w:outlineLvl w:val="9"/>
        <w:rPr>
          <w:rFonts w:hAnsi="宋体"/>
          <w:bCs/>
          <w:sz w:val="24"/>
          <w:u w:val="single"/>
        </w:rPr>
      </w:pPr>
      <w:r>
        <w:rPr>
          <w:rFonts w:hint="eastAsia" w:hAnsi="宋体"/>
          <w:bCs/>
          <w:sz w:val="24"/>
        </w:rPr>
        <w:t>谈判响应供应商代表签名：</w:t>
      </w:r>
      <w:r>
        <w:rPr>
          <w:rFonts w:hint="eastAsia" w:hAnsi="宋体"/>
          <w:bCs/>
          <w:sz w:val="24"/>
          <w:u w:val="single"/>
        </w:rPr>
        <w:t xml:space="preserve">                      </w:t>
      </w:r>
    </w:p>
    <w:p>
      <w:pPr>
        <w:spacing w:line="360" w:lineRule="auto"/>
        <w:rPr>
          <w:rFonts w:ascii="宋体" w:hAnsi="宋体"/>
          <w:b/>
          <w:sz w:val="32"/>
        </w:rPr>
      </w:pPr>
    </w:p>
    <w:p>
      <w:pPr>
        <w:spacing w:line="360" w:lineRule="auto"/>
        <w:rPr>
          <w:rFonts w:ascii="宋体" w:hAnsi="宋体"/>
          <w:b/>
          <w:sz w:val="32"/>
        </w:rPr>
      </w:pPr>
    </w:p>
    <w:p>
      <w:pPr>
        <w:spacing w:line="360" w:lineRule="auto"/>
        <w:jc w:val="center"/>
        <w:rPr>
          <w:rFonts w:ascii="宋体" w:hAnsi="宋体"/>
          <w:b/>
          <w:sz w:val="32"/>
        </w:rPr>
        <w:sectPr>
          <w:pgSz w:w="11906" w:h="16838"/>
          <w:pgMar w:top="1440" w:right="1797" w:bottom="1440" w:left="1797" w:header="851" w:footer="992" w:gutter="0"/>
          <w:cols w:space="720" w:num="1"/>
          <w:docGrid w:linePitch="312" w:charSpace="0"/>
        </w:sectPr>
      </w:pPr>
    </w:p>
    <w:p>
      <w:pPr>
        <w:autoSpaceDE w:val="0"/>
        <w:autoSpaceDN w:val="0"/>
        <w:adjustRightInd w:val="0"/>
        <w:spacing w:line="360" w:lineRule="auto"/>
        <w:jc w:val="center"/>
        <w:rPr>
          <w:rFonts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w:t>
      </w:r>
      <w:r>
        <w:rPr>
          <w:rFonts w:hint="eastAsia" w:ascii="宋体" w:hAnsi="宋体" w:eastAsia="宋体" w:cs="宋体"/>
          <w:b/>
          <w:bCs/>
          <w:color w:val="000000"/>
          <w:sz w:val="36"/>
          <w:szCs w:val="36"/>
        </w:rPr>
        <w:t xml:space="preserve">  </w:t>
      </w:r>
      <w:r>
        <w:rPr>
          <w:rFonts w:hint="eastAsia" w:ascii="宋体" w:hAnsi="宋体" w:eastAsia="宋体" w:cs="宋体"/>
          <w:b/>
          <w:bCs/>
          <w:color w:val="000000"/>
          <w:sz w:val="36"/>
          <w:szCs w:val="36"/>
          <w:lang w:val="zh-CN"/>
        </w:rPr>
        <w:t>技术规格偏离表</w:t>
      </w:r>
    </w:p>
    <w:p>
      <w:pPr>
        <w:autoSpaceDE w:val="0"/>
        <w:autoSpaceDN w:val="0"/>
        <w:adjustRightInd w:val="0"/>
        <w:spacing w:line="312"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10"/>
        <w:spacing w:line="360" w:lineRule="auto"/>
        <w:rPr>
          <w:rFonts w:hAnsi="宋体" w:eastAsia="宋体" w:cs="宋体"/>
          <w:color w:val="000000"/>
          <w:sz w:val="24"/>
          <w:szCs w:val="24"/>
          <w:lang w:val="zh-CN"/>
        </w:rPr>
      </w:pPr>
      <w:r>
        <w:rPr>
          <w:rFonts w:hint="eastAsia" w:hAnsi="宋体" w:eastAsia="宋体" w:cs="宋体"/>
          <w:color w:val="000000"/>
          <w:sz w:val="24"/>
          <w:szCs w:val="24"/>
          <w:lang w:val="zh-CN"/>
        </w:rPr>
        <w:t>石阡县农业农村局设备采购项目（二次采购）（盖章）：</w:t>
      </w:r>
    </w:p>
    <w:tbl>
      <w:tblPr>
        <w:tblStyle w:val="18"/>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谈判要求参数</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响应实际参数</w:t>
            </w:r>
          </w:p>
        </w:tc>
        <w:tc>
          <w:tcPr>
            <w:tcW w:w="22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bl>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autoSpaceDE w:val="0"/>
        <w:autoSpaceDN w:val="0"/>
        <w:adjustRightInd w:val="0"/>
        <w:spacing w:line="440" w:lineRule="exac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请如实填写偏离表，如果虚假响应，将被暂停进入贵州黔诚商务有限公司石阡分中心（政府采购）活动。</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4.投标人须根据投标服务与招标文件要求的实际响应情况填写偏离情况一栏：投标服务与招标文件要求相等的，偏离情况一栏填写“符合”； 投标服务优于招标文件要求的，偏离情况一栏填写“正偏离”；投标服务不满足招标文件要求的，偏离情况一栏填写“负偏离”；存在偏离情况的均应在备注栏中详细说明。</w:t>
      </w:r>
    </w:p>
    <w:p>
      <w:pPr>
        <w:pStyle w:val="2"/>
        <w:numPr>
          <w:ilvl w:val="1"/>
          <w:numId w:val="0"/>
        </w:numPr>
        <w:jc w:val="center"/>
        <w:rPr>
          <w:rFonts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pStyle w:val="2"/>
        <w:numPr>
          <w:ilvl w:val="1"/>
          <w:numId w:val="0"/>
        </w:numPr>
        <w:jc w:val="center"/>
        <w:rPr>
          <w:rFonts w:ascii="宋体" w:hAnsi="宋体" w:eastAsia="宋体" w:cs="宋体"/>
          <w:b w:val="0"/>
          <w:bCs w:val="0"/>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pStyle w:val="10"/>
        <w:spacing w:line="360" w:lineRule="auto"/>
        <w:jc w:val="center"/>
        <w:rPr>
          <w:rFonts w:hAnsi="宋体"/>
          <w:b/>
          <w:color w:val="000000"/>
          <w:sz w:val="36"/>
          <w:szCs w:val="36"/>
        </w:rPr>
      </w:pPr>
      <w:r>
        <w:rPr>
          <w:rFonts w:hint="eastAsia" w:hAnsi="宋体"/>
          <w:b/>
          <w:color w:val="000000"/>
          <w:sz w:val="36"/>
          <w:szCs w:val="36"/>
        </w:rPr>
        <w:t>五  商务条款偏离表</w:t>
      </w:r>
    </w:p>
    <w:p>
      <w:pPr>
        <w:pStyle w:val="10"/>
        <w:spacing w:line="360" w:lineRule="auto"/>
        <w:rPr>
          <w:rFonts w:hAnsi="宋体"/>
          <w:color w:val="000000"/>
          <w:sz w:val="28"/>
          <w:szCs w:val="28"/>
        </w:rPr>
      </w:pPr>
      <w:r>
        <w:rPr>
          <w:rFonts w:hint="eastAsia" w:hAnsi="宋体"/>
          <w:color w:val="000000"/>
          <w:sz w:val="28"/>
          <w:szCs w:val="28"/>
        </w:rPr>
        <w:t xml:space="preserve">投标人名称：           </w:t>
      </w:r>
    </w:p>
    <w:p>
      <w:pPr>
        <w:pStyle w:val="10"/>
        <w:spacing w:line="360" w:lineRule="auto"/>
        <w:rPr>
          <w:rFonts w:hAnsi="宋体"/>
          <w:color w:val="000000"/>
          <w:sz w:val="28"/>
          <w:szCs w:val="28"/>
        </w:rPr>
      </w:pPr>
      <w:r>
        <w:rPr>
          <w:rFonts w:hint="eastAsia" w:hAnsi="宋体"/>
          <w:color w:val="000000"/>
          <w:sz w:val="28"/>
          <w:szCs w:val="28"/>
        </w:rPr>
        <w:t>招标编号：</w:t>
      </w:r>
    </w:p>
    <w:tbl>
      <w:tblPr>
        <w:tblStyle w:val="18"/>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jc w:val="center"/>
              <w:rPr>
                <w:rFonts w:hAnsi="宋体"/>
                <w:color w:val="000000"/>
                <w:sz w:val="28"/>
                <w:szCs w:val="28"/>
              </w:rPr>
            </w:pPr>
            <w:r>
              <w:rPr>
                <w:rFonts w:hint="eastAsia" w:hAnsi="宋体"/>
                <w:color w:val="000000"/>
                <w:sz w:val="28"/>
                <w:szCs w:val="28"/>
              </w:rPr>
              <w:t>序号</w:t>
            </w:r>
          </w:p>
        </w:tc>
        <w:tc>
          <w:tcPr>
            <w:tcW w:w="2118" w:type="dxa"/>
          </w:tcPr>
          <w:p>
            <w:pPr>
              <w:pStyle w:val="10"/>
              <w:spacing w:line="400" w:lineRule="exact"/>
              <w:jc w:val="center"/>
              <w:rPr>
                <w:rFonts w:hAnsi="宋体"/>
                <w:color w:val="000000"/>
                <w:sz w:val="28"/>
                <w:szCs w:val="28"/>
              </w:rPr>
            </w:pPr>
            <w:r>
              <w:rPr>
                <w:rFonts w:hint="eastAsia" w:hAnsi="宋体"/>
                <w:color w:val="000000"/>
                <w:sz w:val="28"/>
                <w:szCs w:val="28"/>
              </w:rPr>
              <w:t>谈判文件条目号</w:t>
            </w:r>
          </w:p>
        </w:tc>
        <w:tc>
          <w:tcPr>
            <w:tcW w:w="2118" w:type="dxa"/>
          </w:tcPr>
          <w:p>
            <w:pPr>
              <w:pStyle w:val="10"/>
              <w:spacing w:line="400" w:lineRule="exact"/>
              <w:jc w:val="center"/>
              <w:rPr>
                <w:rFonts w:hAnsi="宋体"/>
                <w:color w:val="000000"/>
                <w:sz w:val="28"/>
                <w:szCs w:val="28"/>
              </w:rPr>
            </w:pPr>
            <w:r>
              <w:rPr>
                <w:rFonts w:hint="eastAsia" w:hAnsi="宋体"/>
                <w:color w:val="000000"/>
                <w:sz w:val="28"/>
                <w:szCs w:val="28"/>
              </w:rPr>
              <w:t>谈判文件商务要求</w:t>
            </w:r>
          </w:p>
        </w:tc>
        <w:tc>
          <w:tcPr>
            <w:tcW w:w="2118" w:type="dxa"/>
          </w:tcPr>
          <w:p>
            <w:pPr>
              <w:pStyle w:val="10"/>
              <w:spacing w:line="400" w:lineRule="exact"/>
              <w:jc w:val="center"/>
              <w:rPr>
                <w:rFonts w:hAnsi="宋体"/>
                <w:color w:val="000000"/>
                <w:sz w:val="28"/>
                <w:szCs w:val="28"/>
              </w:rPr>
            </w:pPr>
            <w:r>
              <w:rPr>
                <w:rFonts w:hint="eastAsia" w:hAnsi="宋体"/>
                <w:color w:val="000000"/>
                <w:sz w:val="28"/>
                <w:szCs w:val="28"/>
              </w:rPr>
              <w:t>谈判文件商务响应</w:t>
            </w:r>
          </w:p>
        </w:tc>
        <w:tc>
          <w:tcPr>
            <w:tcW w:w="1245" w:type="dxa"/>
          </w:tcPr>
          <w:p>
            <w:pPr>
              <w:pStyle w:val="10"/>
              <w:spacing w:line="400" w:lineRule="exact"/>
              <w:jc w:val="center"/>
              <w:rPr>
                <w:rFonts w:hAnsi="宋体"/>
                <w:color w:val="000000"/>
                <w:sz w:val="28"/>
                <w:szCs w:val="28"/>
              </w:rPr>
            </w:pPr>
            <w:r>
              <w:rPr>
                <w:rFonts w:hint="eastAsia" w:hAnsi="宋体"/>
                <w:color w:val="000000"/>
                <w:sz w:val="28"/>
                <w:szCs w:val="28"/>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bl>
    <w:p>
      <w:pPr>
        <w:pStyle w:val="10"/>
        <w:spacing w:line="360" w:lineRule="auto"/>
        <w:jc w:val="center"/>
        <w:rPr>
          <w:rFonts w:hAnsi="宋体"/>
          <w:b/>
          <w:color w:val="000000"/>
          <w:sz w:val="28"/>
          <w:szCs w:val="28"/>
        </w:rPr>
      </w:pPr>
    </w:p>
    <w:p>
      <w:pPr>
        <w:pStyle w:val="10"/>
        <w:spacing w:line="360" w:lineRule="auto"/>
        <w:jc w:val="center"/>
        <w:rPr>
          <w:rFonts w:hAnsi="宋体"/>
          <w:b/>
          <w:color w:val="000000"/>
          <w:sz w:val="28"/>
          <w:szCs w:val="28"/>
        </w:rPr>
      </w:pPr>
    </w:p>
    <w:p>
      <w:pPr>
        <w:pStyle w:val="10"/>
        <w:spacing w:line="360" w:lineRule="auto"/>
        <w:jc w:val="center"/>
        <w:rPr>
          <w:rFonts w:hAnsi="宋体"/>
          <w:b/>
          <w:color w:val="000000"/>
          <w:sz w:val="28"/>
          <w:szCs w:val="28"/>
        </w:rPr>
      </w:pPr>
    </w:p>
    <w:p>
      <w:pPr>
        <w:pStyle w:val="10"/>
        <w:spacing w:line="360" w:lineRule="auto"/>
        <w:rPr>
          <w:rFonts w:hAnsi="宋体"/>
          <w:b/>
          <w:color w:val="000000"/>
          <w:sz w:val="28"/>
          <w:szCs w:val="28"/>
        </w:rPr>
      </w:pPr>
    </w:p>
    <w:p>
      <w:pPr>
        <w:pStyle w:val="10"/>
        <w:spacing w:line="360" w:lineRule="auto"/>
        <w:rPr>
          <w:rFonts w:hAnsi="宋体"/>
          <w:color w:val="000000"/>
          <w:sz w:val="28"/>
          <w:szCs w:val="28"/>
        </w:rPr>
      </w:pPr>
      <w:r>
        <w:rPr>
          <w:rFonts w:hint="eastAsia" w:hAnsi="宋体"/>
          <w:color w:val="000000"/>
          <w:sz w:val="28"/>
          <w:szCs w:val="28"/>
        </w:rPr>
        <w:t>授权代表签字：</w:t>
      </w:r>
      <w:r>
        <w:rPr>
          <w:rFonts w:hint="eastAsia" w:hAnsi="宋体"/>
          <w:color w:val="000000"/>
          <w:spacing w:val="15"/>
          <w:sz w:val="28"/>
          <w:szCs w:val="28"/>
        </w:rPr>
        <w:t xml:space="preserve">               投标单位（盖章）</w:t>
      </w:r>
    </w:p>
    <w:p>
      <w:pPr>
        <w:spacing w:line="360" w:lineRule="auto"/>
        <w:rPr>
          <w:rFonts w:ascii="宋体" w:hAnsi="宋体"/>
          <w:sz w:val="24"/>
        </w:rPr>
      </w:pPr>
    </w:p>
    <w:p>
      <w:pPr>
        <w:spacing w:line="360" w:lineRule="auto"/>
        <w:ind w:right="-122" w:rightChars="-58"/>
        <w:rPr>
          <w:rFonts w:ascii="宋体" w:hAnsi="宋体"/>
          <w:sz w:val="24"/>
        </w:rPr>
        <w:sectPr>
          <w:pgSz w:w="11906" w:h="16838"/>
          <w:pgMar w:top="1440" w:right="1797" w:bottom="1440" w:left="1797" w:header="851" w:footer="992" w:gutter="0"/>
          <w:cols w:space="720" w:num="1"/>
          <w:docGrid w:linePitch="312" w:charSpace="0"/>
        </w:sectPr>
      </w:pPr>
    </w:p>
    <w:p>
      <w:pPr>
        <w:spacing w:line="360" w:lineRule="auto"/>
        <w:ind w:firstLine="2891" w:firstLineChars="800"/>
        <w:rPr>
          <w:rFonts w:asciiTheme="minorEastAsia" w:hAnsiTheme="minorEastAsia" w:cstheme="minorEastAsia"/>
          <w:b/>
          <w:sz w:val="36"/>
          <w:szCs w:val="36"/>
        </w:rPr>
      </w:pPr>
      <w:r>
        <w:rPr>
          <w:rFonts w:hint="eastAsia" w:asciiTheme="minorEastAsia" w:hAnsiTheme="minorEastAsia" w:cstheme="minorEastAsia"/>
          <w:b/>
          <w:sz w:val="36"/>
          <w:szCs w:val="36"/>
        </w:rPr>
        <w:t>六  资格的声明函</w:t>
      </w:r>
    </w:p>
    <w:p>
      <w:pPr>
        <w:spacing w:line="360" w:lineRule="auto"/>
        <w:rPr>
          <w:rFonts w:asciiTheme="minorEastAsia" w:hAnsiTheme="minorEastAsia" w:cstheme="minorEastAsia"/>
          <w:bCs/>
          <w:sz w:val="28"/>
          <w:szCs w:val="28"/>
        </w:rPr>
      </w:pPr>
      <w:r>
        <w:rPr>
          <w:rFonts w:hint="eastAsia" w:asciiTheme="minorEastAsia" w:hAnsiTheme="minorEastAsia" w:cstheme="minorEastAsia"/>
          <w:bCs/>
          <w:sz w:val="28"/>
          <w:szCs w:val="28"/>
          <w:u w:val="single"/>
        </w:rPr>
        <w:t xml:space="preserve">贵州黔诚商务有限公司    </w:t>
      </w:r>
      <w:r>
        <w:rPr>
          <w:rFonts w:hint="eastAsia" w:asciiTheme="minorEastAsia" w:hAnsiTheme="minorEastAsia" w:cstheme="minorEastAsia"/>
          <w:bCs/>
          <w:sz w:val="28"/>
          <w:szCs w:val="28"/>
        </w:rPr>
        <w:t>：</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关于贵方</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日第</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 （项目编号）政府谈判邀请，本签字人愿意参加谈判，提供谈判文件“采购服务及要求”中规定的</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（合同包/品目号）</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（货物名称），并证明提交的下列文件和说明是准确的和真实的。</w:t>
      </w:r>
    </w:p>
    <w:p>
      <w:pPr>
        <w:spacing w:line="360" w:lineRule="auto"/>
        <w:ind w:firstLine="560" w:firstLineChars="200"/>
        <w:rPr>
          <w:rFonts w:asciiTheme="minorEastAsia" w:hAnsiTheme="minorEastAsia" w:cstheme="minorEastAsia"/>
          <w:sz w:val="28"/>
          <w:szCs w:val="28"/>
        </w:rPr>
      </w:pP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1．本签字人确认资格文件中的说明以及响应文件中所有提交的文件和材料是真实的、准确的。</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2．我方的资格声明正本一份，副本</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份，随响应文件一同递交。</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 xml:space="preserve"> </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 xml:space="preserve">    </w:t>
      </w:r>
    </w:p>
    <w:p>
      <w:pPr>
        <w:spacing w:line="360" w:lineRule="auto"/>
        <w:rPr>
          <w:rFonts w:asciiTheme="minorEastAsia" w:hAnsiTheme="minorEastAsia" w:cstheme="minorEastAsia"/>
          <w:sz w:val="28"/>
          <w:szCs w:val="28"/>
        </w:rPr>
      </w:pPr>
    </w:p>
    <w:p>
      <w:pPr>
        <w:spacing w:line="360" w:lineRule="auto"/>
        <w:rPr>
          <w:rFonts w:asciiTheme="minorEastAsia" w:hAnsiTheme="minorEastAsia" w:cstheme="minorEastAsia"/>
          <w:sz w:val="28"/>
          <w:szCs w:val="28"/>
        </w:rPr>
      </w:pP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谈判响应供应商（全称并加盖公章）：</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                     </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地     址：</w:t>
      </w:r>
      <w:r>
        <w:rPr>
          <w:rFonts w:hint="eastAsia" w:asciiTheme="minorEastAsia" w:hAnsiTheme="minorEastAsia" w:cstheme="minorEastAsia"/>
          <w:sz w:val="28"/>
          <w:szCs w:val="28"/>
          <w:u w:val="single"/>
        </w:rPr>
        <w:t xml:space="preserve">                         </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邮     编：</w:t>
      </w:r>
      <w:r>
        <w:rPr>
          <w:rFonts w:hint="eastAsia" w:asciiTheme="minorEastAsia" w:hAnsiTheme="minorEastAsia" w:cstheme="minorEastAsia"/>
          <w:sz w:val="28"/>
          <w:szCs w:val="28"/>
          <w:u w:val="single"/>
        </w:rPr>
        <w:t xml:space="preserve">                         </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电 话/传 真：</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 电子信箱：</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 </w:t>
      </w:r>
    </w:p>
    <w:p>
      <w:pPr>
        <w:rPr>
          <w:rFonts w:asciiTheme="minorEastAsia" w:hAnsiTheme="minorEastAsia" w:cstheme="minorEastAsia"/>
          <w:sz w:val="28"/>
          <w:szCs w:val="28"/>
        </w:rPr>
      </w:pPr>
      <w:r>
        <w:rPr>
          <w:rFonts w:hint="eastAsia" w:asciiTheme="minorEastAsia" w:hAnsiTheme="minorEastAsia" w:cstheme="minorEastAsia"/>
          <w:sz w:val="28"/>
          <w:szCs w:val="28"/>
        </w:rPr>
        <w:t xml:space="preserve">谈判响应供应商代表签字： </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        </w:t>
      </w:r>
    </w:p>
    <w:p>
      <w:pPr>
        <w:jc w:val="center"/>
        <w:rPr>
          <w:rFonts w:asciiTheme="minorEastAsia" w:hAnsiTheme="minorEastAsia" w:cstheme="minorEastAsia"/>
          <w:sz w:val="28"/>
          <w:szCs w:val="28"/>
        </w:rPr>
      </w:pPr>
    </w:p>
    <w:p>
      <w:pPr>
        <w:jc w:val="center"/>
        <w:rPr>
          <w:rFonts w:asciiTheme="minorEastAsia" w:hAnsiTheme="minorEastAsia" w:cstheme="minorEastAsia"/>
          <w:sz w:val="28"/>
          <w:szCs w:val="28"/>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七  法定代表人授权书</w:t>
      </w:r>
    </w:p>
    <w:p>
      <w:pPr>
        <w:spacing w:line="360" w:lineRule="auto"/>
        <w:jc w:val="center"/>
        <w:rPr>
          <w:rFonts w:asciiTheme="minorEastAsia" w:hAnsiTheme="minorEastAsia" w:cstheme="minorEastAsia"/>
          <w:bCs/>
          <w:sz w:val="28"/>
          <w:szCs w:val="28"/>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u w:val="single"/>
        </w:rPr>
        <w:t xml:space="preserve">贵州黔诚商务有限公司 </w:t>
      </w:r>
      <w:r>
        <w:rPr>
          <w:rFonts w:hint="eastAsia" w:asciiTheme="minorEastAsia" w:hAnsiTheme="minorEastAsia" w:cstheme="minorEastAsia"/>
          <w:sz w:val="24"/>
          <w:szCs w:val="24"/>
        </w:rPr>
        <w:t>：</w:t>
      </w:r>
    </w:p>
    <w:p>
      <w:pPr>
        <w:pStyle w:val="1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（谈判响应供应商全称）</w:t>
      </w:r>
      <w:r>
        <w:rPr>
          <w:rFonts w:hint="eastAsia" w:asciiTheme="minorEastAsia" w:hAnsiTheme="minorEastAsia" w:cstheme="minorEastAsia"/>
          <w:sz w:val="24"/>
          <w:szCs w:val="24"/>
        </w:rPr>
        <w:t>法定代表人</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授权</w:t>
      </w:r>
      <w:r>
        <w:rPr>
          <w:rFonts w:hint="eastAsia" w:asciiTheme="minorEastAsia" w:hAnsiTheme="minorEastAsia" w:cstheme="minorEastAsia"/>
          <w:sz w:val="24"/>
          <w:szCs w:val="24"/>
          <w:u w:val="single"/>
        </w:rPr>
        <w:t xml:space="preserve">  （谈判响应供应商代表姓名）</w:t>
      </w:r>
      <w:r>
        <w:rPr>
          <w:rFonts w:hint="eastAsia" w:asciiTheme="minorEastAsia" w:hAnsiTheme="minorEastAsia" w:cstheme="minorEastAsia"/>
          <w:sz w:val="24"/>
          <w:szCs w:val="24"/>
        </w:rPr>
        <w:t>为谈判响应供应商代表，代表本公司参加</w:t>
      </w:r>
      <w:r>
        <w:rPr>
          <w:rFonts w:hint="eastAsia" w:asciiTheme="minorEastAsia" w:hAnsiTheme="minorEastAsia" w:cstheme="minorEastAsia"/>
          <w:color w:val="FF0000"/>
          <w:sz w:val="24"/>
          <w:szCs w:val="24"/>
        </w:rPr>
        <w:t>贵中心</w:t>
      </w:r>
      <w:r>
        <w:rPr>
          <w:rFonts w:hint="eastAsia" w:asciiTheme="minorEastAsia" w:hAnsiTheme="minorEastAsia" w:cstheme="minorEastAsia"/>
          <w:sz w:val="24"/>
          <w:szCs w:val="24"/>
        </w:rPr>
        <w:t>组织的</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项目（项目编号</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pPr>
        <w:pStyle w:val="1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本授权书自出具之日起生效。</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性别：</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身份证号：</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单位：</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部门：</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职务：</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sz w:val="24"/>
          <w:szCs w:val="24"/>
          <w:u w:val="single"/>
        </w:rPr>
      </w:pPr>
      <w:r>
        <w:rPr>
          <w:rFonts w:hint="eastAsia" w:asciiTheme="minorEastAsia" w:hAnsiTheme="minorEastAsia" w:cstheme="minorEastAsia"/>
          <w:sz w:val="24"/>
          <w:szCs w:val="24"/>
        </w:rPr>
        <w:t>详细通讯地址：</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w:t>
      </w:r>
      <w:r>
        <w:rPr>
          <w:rFonts w:hint="eastAsia" w:asciiTheme="minorEastAsia" w:hAnsiTheme="minorEastAsia" w:cstheme="minorEastAsia"/>
          <w:b/>
          <w:bCs/>
          <w:sz w:val="24"/>
          <w:szCs w:val="24"/>
        </w:rPr>
        <w:t xml:space="preserve"> </w:t>
      </w:r>
      <w:r>
        <w:rPr>
          <w:rFonts w:hint="eastAsia" w:asciiTheme="minorEastAsia" w:hAnsiTheme="minorEastAsia" w:cstheme="minorEastAsia"/>
          <w:sz w:val="24"/>
          <w:szCs w:val="24"/>
        </w:rPr>
        <w:t>邮政编码:</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电话：</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电子信箱：</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附：授权人身份证件（正反面）</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被授权人身份证件（正反面）</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授权方</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r>
        <w:rPr>
          <w:rFonts w:hint="eastAsia" w:asciiTheme="minorEastAsia" w:hAnsiTheme="minorEastAsia" w:cstheme="minorEastAsia"/>
          <w:sz w:val="24"/>
          <w:szCs w:val="24"/>
          <w:u w:val="single"/>
        </w:rPr>
        <w:t xml:space="preserve">                    </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法定代表人签字：</w:t>
      </w:r>
      <w:r>
        <w:rPr>
          <w:rFonts w:hint="eastAsia" w:asciiTheme="minorEastAsia" w:hAnsiTheme="minorEastAsia" w:cstheme="minorEastAsia"/>
          <w:sz w:val="24"/>
          <w:szCs w:val="24"/>
          <w:u w:val="single"/>
        </w:rPr>
        <w:t xml:space="preserve">                     </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sz w:val="24"/>
          <w:szCs w:val="24"/>
        </w:rPr>
      </w:pP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接受授权方</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谈判响应供应商代表签字：</w:t>
      </w:r>
      <w:r>
        <w:rPr>
          <w:rFonts w:hint="eastAsia" w:asciiTheme="minorEastAsia" w:hAnsiTheme="minorEastAsia" w:cstheme="minorEastAsia"/>
          <w:sz w:val="24"/>
          <w:szCs w:val="24"/>
          <w:u w:val="single"/>
        </w:rPr>
        <w:t xml:space="preserve">                </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bCs/>
          <w:sz w:val="28"/>
          <w:szCs w:val="28"/>
        </w:rPr>
      </w:pPr>
    </w:p>
    <w:p>
      <w:pPr>
        <w:ind w:firstLine="1954" w:firstLineChars="695"/>
        <w:rPr>
          <w:rFonts w:asciiTheme="minorEastAsia" w:hAnsiTheme="minorEastAsia" w:cstheme="minorEastAsia"/>
          <w:b/>
          <w:sz w:val="28"/>
          <w:szCs w:val="28"/>
        </w:rPr>
      </w:pPr>
      <w:r>
        <w:rPr>
          <w:rFonts w:hint="eastAsia" w:asciiTheme="minorEastAsia" w:hAnsiTheme="minorEastAsia" w:cstheme="minorEastAsia"/>
          <w:b/>
          <w:sz w:val="28"/>
          <w:szCs w:val="28"/>
        </w:rPr>
        <w:t xml:space="preserve">    </w:t>
      </w:r>
    </w:p>
    <w:p>
      <w:pPr>
        <w:spacing w:line="400" w:lineRule="exact"/>
        <w:ind w:firstLine="2512" w:firstLineChars="695"/>
        <w:rPr>
          <w:rFonts w:asciiTheme="minorEastAsia" w:hAnsiTheme="minorEastAsia" w:cstheme="minorEastAsia"/>
          <w:b/>
          <w:sz w:val="36"/>
          <w:szCs w:val="36"/>
        </w:rPr>
      </w:pPr>
      <w:r>
        <w:rPr>
          <w:rFonts w:hint="eastAsia" w:asciiTheme="minorEastAsia" w:hAnsiTheme="minorEastAsia" w:cstheme="minorEastAsia"/>
          <w:b/>
          <w:sz w:val="36"/>
          <w:szCs w:val="36"/>
        </w:rPr>
        <w:t>八  资质声明函</w:t>
      </w:r>
    </w:p>
    <w:p>
      <w:pPr>
        <w:pStyle w:val="10"/>
        <w:spacing w:line="400" w:lineRule="exact"/>
        <w:ind w:firstLine="840" w:firstLineChars="300"/>
        <w:rPr>
          <w:rFonts w:asciiTheme="minorEastAsia" w:hAnsiTheme="minorEastAsia" w:cstheme="minorEastAsia"/>
          <w:color w:val="000000"/>
          <w:sz w:val="28"/>
          <w:szCs w:val="28"/>
        </w:rPr>
      </w:pPr>
    </w:p>
    <w:p>
      <w:pPr>
        <w:pStyle w:val="10"/>
        <w:spacing w:line="400" w:lineRule="exact"/>
        <w:ind w:firstLine="720" w:firstLineChars="300"/>
        <w:rPr>
          <w:rFonts w:asciiTheme="minorEastAsia" w:hAnsiTheme="minorEastAsia" w:cstheme="minorEastAsia"/>
          <w:b/>
          <w:sz w:val="24"/>
          <w:szCs w:val="24"/>
        </w:rPr>
      </w:pPr>
      <w:r>
        <w:rPr>
          <w:rFonts w:hint="eastAsia" w:asciiTheme="minorEastAsia" w:hAnsiTheme="minorEastAsia" w:cstheme="minorEastAsia"/>
          <w:color w:val="000000"/>
          <w:sz w:val="24"/>
          <w:szCs w:val="24"/>
        </w:rPr>
        <w:t>根据贵方的投标邀请，本签字人愿意参加投标，并按</w:t>
      </w:r>
      <w:r>
        <w:rPr>
          <w:rFonts w:hint="eastAsia" w:asciiTheme="minorEastAsia" w:hAnsiTheme="minorEastAsia" w:cstheme="minorEastAsia"/>
          <w:color w:val="FF0000"/>
          <w:sz w:val="24"/>
          <w:szCs w:val="24"/>
        </w:rPr>
        <w:t>谈判</w:t>
      </w:r>
      <w:r>
        <w:rPr>
          <w:rFonts w:hint="eastAsia" w:asciiTheme="minorEastAsia" w:hAnsiTheme="minorEastAsia" w:cstheme="minorEastAsia"/>
          <w:color w:val="000000"/>
          <w:sz w:val="24"/>
          <w:szCs w:val="24"/>
        </w:rPr>
        <w:t>文件要求提交下列资质文件，同时声明，保证所提交文件是准确的、真实的。</w:t>
      </w:r>
      <w:r>
        <w:rPr>
          <w:rFonts w:hint="eastAsia" w:asciiTheme="minorEastAsia" w:hAnsiTheme="minorEastAsia" w:cstheme="minorEastAsia"/>
          <w:b/>
          <w:color w:val="000000"/>
          <w:sz w:val="24"/>
          <w:szCs w:val="24"/>
        </w:rPr>
        <w:t>以下资质文件的复印件需加盖鲜章装订在谈判响应文件中。</w:t>
      </w:r>
    </w:p>
    <w:p>
      <w:pPr>
        <w:pStyle w:val="10"/>
        <w:spacing w:line="400" w:lineRule="exact"/>
        <w:ind w:firstLine="480" w:firstLineChars="200"/>
        <w:jc w:val="left"/>
        <w:rPr>
          <w:color w:val="FF0000"/>
          <w:sz w:val="24"/>
          <w:szCs w:val="32"/>
        </w:rPr>
      </w:pPr>
      <w:r>
        <w:rPr>
          <w:rFonts w:hint="eastAsia" w:hAnsi="宋体"/>
          <w:color w:val="FF0000"/>
          <w:sz w:val="24"/>
          <w:szCs w:val="24"/>
        </w:rPr>
        <w:t>（1）</w:t>
      </w:r>
      <w:r>
        <w:rPr>
          <w:rFonts w:hint="eastAsia"/>
          <w:color w:val="FF0000"/>
          <w:sz w:val="24"/>
          <w:szCs w:val="32"/>
        </w:rPr>
        <w:t>合法有效统一社会信用代码的营业执照；</w:t>
      </w:r>
    </w:p>
    <w:p>
      <w:pPr>
        <w:pStyle w:val="8"/>
        <w:spacing w:line="400" w:lineRule="exact"/>
        <w:ind w:firstLine="480" w:firstLineChars="200"/>
        <w:rPr>
          <w:rFonts w:asciiTheme="minorEastAsia" w:hAnsiTheme="minorEastAsia" w:cstheme="minorEastAsia"/>
          <w:color w:val="FF0000"/>
          <w:sz w:val="24"/>
          <w:szCs w:val="24"/>
        </w:rPr>
      </w:pPr>
      <w:r>
        <w:rPr>
          <w:rFonts w:hint="eastAsia" w:asciiTheme="minorEastAsia" w:hAnsiTheme="minorEastAsia" w:cstheme="minorEastAsia"/>
          <w:color w:val="FF0000"/>
          <w:sz w:val="24"/>
          <w:szCs w:val="24"/>
        </w:rPr>
        <w:t>（2）2018年的财务报告（新成立的公司只需提供开标前三个月的银行流水）；</w:t>
      </w:r>
    </w:p>
    <w:p>
      <w:pPr>
        <w:pStyle w:val="8"/>
        <w:spacing w:line="400" w:lineRule="exact"/>
        <w:ind w:firstLine="480" w:firstLineChars="200"/>
        <w:rPr>
          <w:rFonts w:asciiTheme="minorEastAsia" w:hAnsiTheme="minorEastAsia" w:cstheme="minorEastAsia"/>
          <w:color w:val="FF0000"/>
          <w:sz w:val="24"/>
          <w:szCs w:val="24"/>
        </w:rPr>
      </w:pPr>
      <w:r>
        <w:rPr>
          <w:rFonts w:hint="eastAsia" w:asciiTheme="minorEastAsia" w:hAnsiTheme="minorEastAsia" w:cstheme="minorEastAsia"/>
          <w:color w:val="FF0000"/>
          <w:sz w:val="24"/>
          <w:szCs w:val="24"/>
        </w:rPr>
        <w:t>（3）提供履行合同所必须的专业技术能力相关证明材料；</w:t>
      </w:r>
    </w:p>
    <w:p>
      <w:pPr>
        <w:pStyle w:val="8"/>
        <w:spacing w:line="400" w:lineRule="exact"/>
        <w:ind w:firstLine="480" w:firstLineChars="200"/>
        <w:rPr>
          <w:rFonts w:asciiTheme="minorEastAsia" w:hAnsiTheme="minorEastAsia" w:cstheme="minorEastAsia"/>
          <w:b/>
          <w:bCs/>
          <w:color w:val="FF0000"/>
          <w:sz w:val="24"/>
          <w:szCs w:val="24"/>
          <w:u w:val="single"/>
        </w:rPr>
      </w:pPr>
      <w:r>
        <w:rPr>
          <w:rFonts w:hint="eastAsia" w:asciiTheme="minorEastAsia" w:hAnsiTheme="minorEastAsia" w:cstheme="minorEastAsia"/>
          <w:color w:val="FF0000"/>
          <w:sz w:val="24"/>
          <w:szCs w:val="24"/>
        </w:rPr>
        <w:t>（4）2019年任意3个月的纳税证明和社保证明；</w:t>
      </w:r>
    </w:p>
    <w:p>
      <w:pPr>
        <w:pStyle w:val="8"/>
        <w:spacing w:line="400" w:lineRule="exact"/>
        <w:ind w:firstLine="480" w:firstLineChars="200"/>
        <w:rPr>
          <w:rFonts w:asciiTheme="minorEastAsia" w:hAnsiTheme="minorEastAsia" w:cstheme="minorEastAsia"/>
          <w:color w:val="FF0000"/>
          <w:sz w:val="24"/>
          <w:szCs w:val="24"/>
        </w:rPr>
      </w:pPr>
      <w:r>
        <w:rPr>
          <w:rFonts w:hint="eastAsia" w:asciiTheme="minorEastAsia" w:hAnsiTheme="minorEastAsia" w:cstheme="minorEastAsia"/>
          <w:color w:val="FF0000"/>
          <w:sz w:val="24"/>
          <w:szCs w:val="24"/>
        </w:rPr>
        <w:t>（5）</w:t>
      </w:r>
      <w:r>
        <w:rPr>
          <w:rFonts w:hint="eastAsia" w:hAnsi="宋体"/>
          <w:color w:val="FF0000"/>
          <w:sz w:val="24"/>
          <w:szCs w:val="24"/>
        </w:rPr>
        <w:t>法人代表身份证或委托代理人持法人授权委托书及代理人身份证件；</w:t>
      </w:r>
    </w:p>
    <w:p>
      <w:pPr>
        <w:pStyle w:val="10"/>
        <w:spacing w:line="400" w:lineRule="exact"/>
        <w:ind w:firstLine="480" w:firstLineChars="200"/>
        <w:jc w:val="left"/>
        <w:outlineLvl w:val="0"/>
        <w:rPr>
          <w:rFonts w:hAnsi="宋体"/>
          <w:color w:val="FF0000"/>
          <w:sz w:val="24"/>
          <w:szCs w:val="24"/>
        </w:rPr>
      </w:pPr>
      <w:r>
        <w:rPr>
          <w:rFonts w:hint="eastAsia" w:hAnsi="宋体"/>
          <w:color w:val="FF0000"/>
          <w:sz w:val="24"/>
          <w:szCs w:val="24"/>
        </w:rPr>
        <w:t>（6）</w:t>
      </w:r>
      <w:r>
        <w:rPr>
          <w:rFonts w:hint="eastAsia" w:asciiTheme="minorEastAsia" w:hAnsiTheme="minorEastAsia" w:cstheme="minorEastAsia"/>
          <w:color w:val="FF0000"/>
          <w:sz w:val="24"/>
          <w:szCs w:val="24"/>
        </w:rPr>
        <w:t>参加政府采购活动近3年内在经营活动中没有重大违法记录的书面声</w:t>
      </w:r>
    </w:p>
    <w:p>
      <w:pPr>
        <w:pStyle w:val="8"/>
        <w:spacing w:line="400" w:lineRule="exact"/>
        <w:ind w:firstLine="480" w:firstLineChars="200"/>
        <w:rPr>
          <w:rFonts w:asciiTheme="minorEastAsia" w:hAnsiTheme="minorEastAsia" w:cstheme="minorEastAsia"/>
          <w:color w:val="FF0000"/>
          <w:sz w:val="24"/>
          <w:szCs w:val="24"/>
        </w:rPr>
      </w:pPr>
      <w:r>
        <w:rPr>
          <w:rFonts w:hint="eastAsia" w:asciiTheme="minorEastAsia" w:hAnsiTheme="minorEastAsia" w:cstheme="minorEastAsia"/>
          <w:color w:val="FF0000"/>
          <w:sz w:val="24"/>
          <w:szCs w:val="24"/>
        </w:rPr>
        <w:t>明。</w:t>
      </w:r>
    </w:p>
    <w:p>
      <w:pPr>
        <w:pStyle w:val="8"/>
        <w:spacing w:line="400" w:lineRule="exact"/>
        <w:ind w:firstLine="480" w:firstLineChars="200"/>
        <w:rPr>
          <w:rFonts w:asciiTheme="minorEastAsia" w:hAnsiTheme="minorEastAsia" w:cstheme="minorEastAsia"/>
          <w:color w:val="FF0000"/>
          <w:sz w:val="24"/>
          <w:szCs w:val="24"/>
        </w:rPr>
      </w:pPr>
      <w:r>
        <w:rPr>
          <w:rFonts w:hint="eastAsia" w:asciiTheme="minorEastAsia" w:hAnsiTheme="minorEastAsia" w:cstheme="minorEastAsia"/>
          <w:color w:val="FF0000"/>
          <w:sz w:val="24"/>
          <w:szCs w:val="24"/>
        </w:rPr>
        <w:t>（7）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pPr>
        <w:pStyle w:val="8"/>
        <w:spacing w:line="400" w:lineRule="exact"/>
        <w:ind w:firstLine="480" w:firstLineChars="200"/>
        <w:rPr>
          <w:rFonts w:asciiTheme="minorEastAsia" w:hAnsiTheme="minorEastAsia" w:cstheme="minorEastAsia"/>
          <w:color w:val="FF0000"/>
          <w:sz w:val="24"/>
          <w:szCs w:val="24"/>
        </w:rPr>
      </w:pPr>
      <w:r>
        <w:rPr>
          <w:rFonts w:hint="eastAsia" w:asciiTheme="minorEastAsia" w:hAnsiTheme="minorEastAsia" w:cstheme="minorEastAsia"/>
          <w:color w:val="FF0000"/>
          <w:sz w:val="24"/>
          <w:szCs w:val="24"/>
        </w:rPr>
        <w:t>（8）供应商认为需要提供的其他材料。</w:t>
      </w:r>
    </w:p>
    <w:p>
      <w:pPr>
        <w:spacing w:line="400" w:lineRule="exact"/>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谈判响应供应商（全称并加盖公章）：</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谈判响应供应商代表签字：</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sz w:val="28"/>
          <w:szCs w:val="28"/>
        </w:rPr>
      </w:pPr>
      <w:r>
        <w:rPr>
          <w:rFonts w:hint="eastAsia" w:asciiTheme="minorEastAsia" w:hAnsiTheme="minorEastAsia" w:cstheme="minorEastAsia"/>
          <w:sz w:val="24"/>
          <w:szCs w:val="24"/>
        </w:rPr>
        <w:t xml:space="preserve">                         日      期：</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8"/>
          <w:szCs w:val="28"/>
          <w:u w:val="single"/>
        </w:rPr>
        <w:t xml:space="preserve">         </w:t>
      </w:r>
    </w:p>
    <w:p>
      <w:pPr>
        <w:spacing w:line="360" w:lineRule="auto"/>
        <w:rPr>
          <w:rFonts w:asciiTheme="minorEastAsia" w:hAnsiTheme="minorEastAsia" w:cstheme="minorEastAsia"/>
          <w:b/>
          <w:bCs/>
          <w:sz w:val="28"/>
          <w:szCs w:val="28"/>
        </w:rPr>
      </w:pPr>
    </w:p>
    <w:p>
      <w:pPr>
        <w:spacing w:line="360" w:lineRule="auto"/>
        <w:rPr>
          <w:rFonts w:asciiTheme="minorEastAsia" w:hAnsiTheme="minorEastAsia" w:cstheme="minorEastAsia"/>
          <w:b/>
          <w:bCs/>
          <w:sz w:val="28"/>
          <w:szCs w:val="28"/>
        </w:rPr>
      </w:pPr>
    </w:p>
    <w:p>
      <w:pPr>
        <w:jc w:val="center"/>
        <w:rPr>
          <w:rFonts w:ascii="宋体" w:hAnsi="宋体"/>
          <w:b/>
          <w:color w:val="000000"/>
          <w:sz w:val="44"/>
          <w:szCs w:val="44"/>
        </w:rPr>
      </w:pPr>
      <w:r>
        <w:rPr>
          <w:rFonts w:hint="eastAsia" w:ascii="宋体" w:hAnsi="宋体"/>
          <w:b/>
          <w:color w:val="000000"/>
          <w:sz w:val="32"/>
          <w:szCs w:val="32"/>
        </w:rPr>
        <w:t>九  售后服务承诺及方案</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（1）售后服务承诺</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（2）质量保证承诺书</w:t>
      </w:r>
    </w:p>
    <w:p>
      <w:pPr>
        <w:autoSpaceDE w:val="0"/>
        <w:autoSpaceDN w:val="0"/>
        <w:adjustRightInd w:val="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（3）按照国家验收标准执行</w:t>
      </w:r>
    </w:p>
    <w:p>
      <w:pPr>
        <w:autoSpaceDE w:val="0"/>
        <w:autoSpaceDN w:val="0"/>
        <w:adjustRightInd w:val="0"/>
        <w:ind w:left="482" w:hanging="482" w:hangingChars="200"/>
        <w:rPr>
          <w:rFonts w:asciiTheme="minorEastAsia" w:hAnsiTheme="minorEastAsia" w:cstheme="minorEastAsia"/>
          <w:b/>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投标单位（盖章）：</w:t>
      </w:r>
      <w:r>
        <w:rPr>
          <w:rFonts w:hint="eastAsia" w:asciiTheme="minorEastAsia" w:hAnsiTheme="minorEastAsia" w:cstheme="minorEastAsia"/>
          <w:color w:val="000000"/>
          <w:sz w:val="24"/>
          <w:szCs w:val="24"/>
          <w:u w:val="single"/>
        </w:rPr>
        <w:t xml:space="preserve">              </w:t>
      </w: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法定代表（签字）：</w:t>
      </w:r>
      <w:r>
        <w:rPr>
          <w:rFonts w:hint="eastAsia" w:asciiTheme="minorEastAsia" w:hAnsiTheme="minorEastAsia" w:cstheme="minorEastAsia"/>
          <w:color w:val="000000"/>
          <w:sz w:val="24"/>
          <w:szCs w:val="24"/>
          <w:u w:val="single"/>
        </w:rPr>
        <w:t xml:space="preserve">              </w:t>
      </w:r>
    </w:p>
    <w:p>
      <w:pPr>
        <w:autoSpaceDE w:val="0"/>
        <w:autoSpaceDN w:val="0"/>
        <w:adjustRightInd w:val="0"/>
        <w:jc w:val="center"/>
        <w:rPr>
          <w:rFonts w:asciiTheme="minorEastAsia" w:hAnsiTheme="minorEastAsia" w:cstheme="minorEastAsia"/>
          <w:color w:val="000000"/>
          <w:sz w:val="24"/>
          <w:szCs w:val="24"/>
          <w:u w:val="single"/>
        </w:rPr>
      </w:pPr>
    </w:p>
    <w:p>
      <w:pPr>
        <w:ind w:firstLine="3000" w:firstLineChars="12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日             期：   年  月  日</w:t>
      </w: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1084" w:firstLineChars="300"/>
        <w:jc w:val="left"/>
        <w:rPr>
          <w:rFonts w:asciiTheme="minorEastAsia" w:hAnsiTheme="minorEastAsia" w:cstheme="minorEastAsia"/>
          <w:b/>
          <w:bCs/>
          <w:sz w:val="36"/>
          <w:szCs w:val="36"/>
        </w:rPr>
      </w:pPr>
    </w:p>
    <w:p>
      <w:pPr>
        <w:spacing w:line="360" w:lineRule="auto"/>
        <w:jc w:val="center"/>
        <w:rPr>
          <w:rFonts w:asciiTheme="minorEastAsia" w:hAnsiTheme="minorEastAsia" w:cstheme="minorEastAsia"/>
          <w:b/>
          <w:sz w:val="36"/>
          <w:szCs w:val="36"/>
        </w:rPr>
      </w:pPr>
      <w:r>
        <w:rPr>
          <w:rFonts w:hint="eastAsia" w:asciiTheme="minorEastAsia" w:hAnsiTheme="minorEastAsia" w:cstheme="minorEastAsia"/>
          <w:b/>
          <w:bCs/>
          <w:sz w:val="36"/>
          <w:szCs w:val="36"/>
        </w:rPr>
        <w:t xml:space="preserve">十  </w:t>
      </w:r>
      <w:r>
        <w:rPr>
          <w:rFonts w:hint="eastAsia" w:asciiTheme="minorEastAsia" w:hAnsiTheme="minorEastAsia" w:cstheme="minorEastAsia"/>
          <w:b/>
          <w:sz w:val="36"/>
          <w:szCs w:val="36"/>
        </w:rPr>
        <w:t xml:space="preserve"> 中小企业声明函</w:t>
      </w:r>
    </w:p>
    <w:p>
      <w:pPr>
        <w:spacing w:line="360" w:lineRule="auto"/>
        <w:ind w:firstLine="560" w:firstLineChars="200"/>
        <w:rPr>
          <w:rFonts w:asciiTheme="minorEastAsia" w:hAnsiTheme="minorEastAsia" w:cstheme="minorEastAsia"/>
          <w:sz w:val="28"/>
          <w:szCs w:val="28"/>
        </w:rPr>
      </w:pP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本公司郑重声明，根据《政府采购促进中小企业发展暂行办法》（财库〔2011〕181号）的规定，本公司为</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（请填写：中型、小型、微型）企业。即，本公司同时满足以下条件：</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1.根据《工业和信息化部、国家统计局、国家发展和改革委员会、财政部关于印发中小企业划型标准规定的通知》（工信部联企业〔2011〕300号）规定的划分标准，本公司为</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（请填写：中型、小型、微型）企业。</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2.本公司参加</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单位的</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项目采购活动提供本企业制造的货物，由本企业承担工程、提供服务，或者提供其他</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（请填写：中型、小型、微型）企业制造的货物（详见《报价明细表》）。本条所称货物不包括使用大型企业注册商标的货物。</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本公司对上述声明的真实性负责。如有虚假，将依法承担响应的责任。 </w:t>
      </w:r>
    </w:p>
    <w:p>
      <w:pPr>
        <w:spacing w:line="360" w:lineRule="auto"/>
        <w:ind w:firstLine="435"/>
        <w:rPr>
          <w:rFonts w:asciiTheme="minorEastAsia" w:hAnsiTheme="minorEastAsia" w:cstheme="minorEastAsia"/>
          <w:sz w:val="24"/>
          <w:szCs w:val="24"/>
        </w:rPr>
      </w:pPr>
    </w:p>
    <w:p>
      <w:pPr>
        <w:spacing w:line="360" w:lineRule="auto"/>
        <w:ind w:firstLine="435"/>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w:t>
      </w:r>
    </w:p>
    <w:p>
      <w:pPr>
        <w:spacing w:line="360" w:lineRule="auto"/>
        <w:ind w:firstLine="2772" w:firstLineChars="1155"/>
        <w:jc w:val="right"/>
        <w:rPr>
          <w:rFonts w:asciiTheme="minorEastAsia" w:hAnsiTheme="minorEastAsia" w:cstheme="minorEastAsia"/>
          <w:sz w:val="24"/>
          <w:szCs w:val="24"/>
        </w:rPr>
      </w:pPr>
      <w:r>
        <w:rPr>
          <w:rFonts w:hint="eastAsia" w:asciiTheme="minorEastAsia" w:hAnsiTheme="minorEastAsia" w:cstheme="minorEastAsia"/>
          <w:sz w:val="24"/>
          <w:szCs w:val="24"/>
        </w:rPr>
        <w:t>谈判响应供应商名称（盖章）：</w:t>
      </w:r>
    </w:p>
    <w:p>
      <w:pPr>
        <w:spacing w:line="360" w:lineRule="auto"/>
        <w:ind w:firstLine="435"/>
        <w:jc w:val="right"/>
        <w:rPr>
          <w:rFonts w:asciiTheme="minorEastAsia" w:hAnsiTheme="minorEastAsia" w:cstheme="minorEastAsia"/>
          <w:sz w:val="24"/>
          <w:szCs w:val="24"/>
        </w:rPr>
      </w:pPr>
      <w:r>
        <w:rPr>
          <w:rFonts w:hint="eastAsia" w:asciiTheme="minorEastAsia" w:hAnsiTheme="minorEastAsia" w:cstheme="minorEastAsia"/>
          <w:sz w:val="24"/>
          <w:szCs w:val="24"/>
        </w:rPr>
        <w:t xml:space="preserve">                    日   期：</w:t>
      </w:r>
    </w:p>
    <w:p>
      <w:pPr>
        <w:pStyle w:val="36"/>
        <w:spacing w:line="360" w:lineRule="auto"/>
        <w:jc w:val="center"/>
        <w:rPr>
          <w:rFonts w:ascii="宋体" w:hAnsi="宋体"/>
          <w:b/>
          <w:spacing w:val="6"/>
          <w:sz w:val="28"/>
          <w:szCs w:val="28"/>
        </w:rPr>
      </w:pPr>
    </w:p>
    <w:p>
      <w:pPr>
        <w:pStyle w:val="36"/>
        <w:spacing w:line="360" w:lineRule="auto"/>
        <w:jc w:val="center"/>
        <w:rPr>
          <w:rFonts w:ascii="宋体" w:hAnsi="宋体"/>
          <w:b/>
          <w:spacing w:val="6"/>
          <w:sz w:val="28"/>
          <w:szCs w:val="28"/>
        </w:rPr>
      </w:pPr>
    </w:p>
    <w:p>
      <w:pPr>
        <w:pStyle w:val="36"/>
        <w:spacing w:line="360" w:lineRule="auto"/>
        <w:jc w:val="center"/>
        <w:rPr>
          <w:rFonts w:ascii="宋体" w:hAnsi="宋体"/>
          <w:b/>
          <w:spacing w:val="6"/>
          <w:sz w:val="28"/>
          <w:szCs w:val="28"/>
        </w:rPr>
      </w:pPr>
    </w:p>
    <w:p>
      <w:pPr>
        <w:pStyle w:val="36"/>
        <w:spacing w:line="360" w:lineRule="auto"/>
        <w:jc w:val="center"/>
        <w:rPr>
          <w:rFonts w:ascii="宋体" w:hAnsi="宋体"/>
          <w:b/>
          <w:spacing w:val="6"/>
          <w:sz w:val="28"/>
          <w:szCs w:val="28"/>
        </w:rPr>
      </w:pPr>
    </w:p>
    <w:p>
      <w:pPr>
        <w:pStyle w:val="36"/>
        <w:spacing w:line="360" w:lineRule="auto"/>
        <w:jc w:val="center"/>
        <w:rPr>
          <w:rFonts w:ascii="宋体" w:hAnsi="宋体"/>
          <w:b/>
          <w:spacing w:val="6"/>
          <w:sz w:val="28"/>
          <w:szCs w:val="28"/>
        </w:rPr>
      </w:pPr>
    </w:p>
    <w:p>
      <w:pPr>
        <w:pStyle w:val="36"/>
        <w:spacing w:line="360" w:lineRule="auto"/>
        <w:jc w:val="center"/>
        <w:rPr>
          <w:rFonts w:ascii="宋体" w:hAnsi="宋体"/>
          <w:b/>
          <w:spacing w:val="6"/>
          <w:sz w:val="28"/>
          <w:szCs w:val="28"/>
        </w:rPr>
      </w:pPr>
    </w:p>
    <w:p>
      <w:pPr>
        <w:pStyle w:val="36"/>
        <w:spacing w:line="360" w:lineRule="auto"/>
        <w:jc w:val="center"/>
        <w:rPr>
          <w:rFonts w:ascii="宋体" w:hAnsi="宋体"/>
          <w:b/>
          <w:spacing w:val="6"/>
          <w:sz w:val="28"/>
          <w:szCs w:val="28"/>
        </w:rPr>
      </w:pPr>
    </w:p>
    <w:p>
      <w:pPr>
        <w:pStyle w:val="36"/>
        <w:spacing w:line="360" w:lineRule="auto"/>
        <w:jc w:val="center"/>
        <w:rPr>
          <w:rFonts w:ascii="宋体" w:hAnsi="宋体"/>
          <w:b/>
          <w:spacing w:val="6"/>
          <w:sz w:val="28"/>
          <w:szCs w:val="28"/>
        </w:rPr>
      </w:pPr>
    </w:p>
    <w:p>
      <w:pPr>
        <w:pStyle w:val="36"/>
        <w:spacing w:line="360" w:lineRule="auto"/>
        <w:jc w:val="center"/>
        <w:rPr>
          <w:rFonts w:ascii="宋体" w:hAnsi="宋体"/>
          <w:b/>
          <w:spacing w:val="6"/>
          <w:sz w:val="28"/>
          <w:szCs w:val="28"/>
        </w:rPr>
      </w:pPr>
      <w:r>
        <w:rPr>
          <w:rFonts w:ascii="宋体" w:hAnsi="宋体"/>
          <w:b/>
          <w:spacing w:val="6"/>
          <w:sz w:val="28"/>
          <w:szCs w:val="28"/>
        </w:rPr>
        <w:t>残疾人福利性单位声明函</w:t>
      </w:r>
    </w:p>
    <w:p>
      <w:pPr>
        <w:pStyle w:val="36"/>
        <w:spacing w:line="360" w:lineRule="auto"/>
        <w:jc w:val="center"/>
        <w:rPr>
          <w:rFonts w:ascii="宋体" w:hAnsi="宋体"/>
          <w:b/>
          <w:spacing w:val="6"/>
          <w:sz w:val="28"/>
          <w:szCs w:val="28"/>
        </w:rPr>
      </w:pPr>
    </w:p>
    <w:p>
      <w:pPr>
        <w:pStyle w:val="36"/>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6"/>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36"/>
        <w:spacing w:line="360" w:lineRule="auto"/>
        <w:ind w:firstLine="504" w:firstLineChars="200"/>
        <w:rPr>
          <w:rFonts w:ascii="宋体" w:hAnsi="宋体"/>
          <w:color w:val="993300"/>
          <w:spacing w:val="6"/>
          <w:sz w:val="24"/>
        </w:rPr>
      </w:pPr>
    </w:p>
    <w:p>
      <w:pPr>
        <w:pStyle w:val="36"/>
        <w:tabs>
          <w:tab w:val="left" w:pos="4860"/>
        </w:tabs>
        <w:spacing w:line="360" w:lineRule="auto"/>
        <w:ind w:right="1560" w:firstLine="504" w:firstLineChars="200"/>
        <w:jc w:val="center"/>
        <w:rPr>
          <w:rFonts w:ascii="宋体" w:hAnsi="宋体"/>
          <w:spacing w:val="6"/>
          <w:sz w:val="24"/>
        </w:rPr>
      </w:pPr>
      <w:r>
        <w:rPr>
          <w:rFonts w:hint="eastAsia" w:ascii="宋体" w:hAnsi="宋体"/>
          <w:spacing w:val="6"/>
          <w:sz w:val="24"/>
        </w:rPr>
        <w:t xml:space="preserve">              </w:t>
      </w:r>
    </w:p>
    <w:p>
      <w:pPr>
        <w:pStyle w:val="36"/>
        <w:tabs>
          <w:tab w:val="left" w:pos="4860"/>
        </w:tabs>
        <w:spacing w:line="360" w:lineRule="auto"/>
        <w:ind w:right="1560" w:firstLine="504" w:firstLineChars="200"/>
        <w:jc w:val="center"/>
        <w:rPr>
          <w:rFonts w:ascii="宋体" w:hAnsi="宋体"/>
          <w:spacing w:val="6"/>
          <w:sz w:val="24"/>
        </w:rPr>
      </w:pPr>
      <w:r>
        <w:rPr>
          <w:rFonts w:hint="eastAsia" w:ascii="宋体" w:hAnsi="宋体"/>
          <w:spacing w:val="6"/>
          <w:sz w:val="24"/>
        </w:rPr>
        <w:t xml:space="preserve">                    </w:t>
      </w: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rPr>
          <w:rFonts w:ascii="宋体" w:hAnsi="宋体" w:cs="Arial"/>
          <w:sz w:val="24"/>
        </w:rPr>
      </w:pPr>
    </w:p>
    <w:p>
      <w:pPr>
        <w:adjustRightInd w:val="0"/>
        <w:snapToGrid w:val="0"/>
        <w:spacing w:beforeLines="50" w:afterLines="50" w:line="360" w:lineRule="auto"/>
        <w:jc w:val="center"/>
        <w:rPr>
          <w:b/>
          <w:sz w:val="36"/>
          <w:szCs w:val="36"/>
        </w:rPr>
      </w:pPr>
      <w:r>
        <w:rPr>
          <w:rFonts w:hint="eastAsia"/>
          <w:b/>
          <w:sz w:val="36"/>
          <w:szCs w:val="36"/>
        </w:rPr>
        <w:t>制造商中小企业声明函</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p>
    <w:p>
      <w:pPr>
        <w:spacing w:line="360" w:lineRule="auto"/>
        <w:ind w:firstLine="480" w:firstLineChars="200"/>
        <w:jc w:val="right"/>
        <w:rPr>
          <w:rFonts w:ascii="宋体" w:hAnsi="宋体"/>
          <w:sz w:val="24"/>
        </w:rPr>
      </w:pP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rPr>
          <w:color w:val="000000" w:themeColor="text1"/>
          <w:sz w:val="24"/>
          <w14:textFill>
            <w14:solidFill>
              <w14:schemeClr w14:val="tx1"/>
            </w14:solidFill>
          </w14:textFill>
        </w:rPr>
      </w:pPr>
      <w:r>
        <w:rPr>
          <w:rFonts w:hint="eastAsia" w:ascii="宋体" w:hAnsi="宋体"/>
          <w:sz w:val="24"/>
        </w:rPr>
        <w:t>6.关于企业从业人员的认定，供应商应该真实填写（格式自拟）。</w:t>
      </w:r>
    </w:p>
    <w:p>
      <w:pPr>
        <w:pStyle w:val="3"/>
        <w:jc w:val="center"/>
        <w:rPr>
          <w:color w:val="FF0000"/>
          <w:sz w:val="28"/>
          <w:szCs w:val="28"/>
        </w:rPr>
      </w:pPr>
      <w:r>
        <w:rPr>
          <w:rFonts w:hint="eastAsia"/>
          <w:color w:val="FF0000"/>
          <w:sz w:val="28"/>
          <w:szCs w:val="28"/>
        </w:rPr>
        <w:t>十一 谈判响应供应商认为需要提交的其他资料</w:t>
      </w:r>
    </w:p>
    <w:p>
      <w:pPr>
        <w:spacing w:line="360" w:lineRule="auto"/>
        <w:ind w:firstLine="435"/>
        <w:rPr>
          <w:rFonts w:ascii="宋体" w:hAnsi="宋体"/>
          <w:sz w:val="24"/>
          <w:szCs w:val="24"/>
        </w:rPr>
      </w:pPr>
    </w:p>
    <w:p>
      <w:pPr>
        <w:rPr>
          <w:sz w:val="24"/>
          <w:szCs w:val="24"/>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Wingdings 2">
    <w:panose1 w:val="05020102010507070707"/>
    <w:charset w:val="00"/>
    <w:family w:val="auto"/>
    <w:pitch w:val="default"/>
    <w:sig w:usb0="00000000" w:usb1="00000000" w:usb2="00000000" w:usb3="00000000" w:csb0="80000000" w:csb1="00000000"/>
  </w:font>
  <w:font w:name="SimSun-Identity-H">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rPr>
    </w:pPr>
    <w:r>
      <w:rPr>
        <w:rFonts w:hint="eastAsia"/>
      </w:rPr>
      <w:t xml:space="preserve">                                             </w:t>
    </w:r>
    <w:r>
      <w:rPr>
        <w:rFonts w:hint="eastAsia" w:ascii="宋体" w:hAnsi="宋体"/>
      </w:rPr>
      <w:t xml:space="preserve"> </w:t>
    </w:r>
    <w:r>
      <w:rPr>
        <w:rStyle w:val="22"/>
        <w:rFonts w:hint="eastAsia" w:ascii="宋体" w:hAnsi="宋体"/>
      </w:rPr>
      <w:t>第</w:t>
    </w:r>
    <w:r>
      <w:rPr>
        <w:rFonts w:ascii="宋体" w:hAnsi="宋体"/>
      </w:rPr>
      <w:fldChar w:fldCharType="begin"/>
    </w:r>
    <w:r>
      <w:rPr>
        <w:rStyle w:val="22"/>
        <w:rFonts w:ascii="宋体" w:hAnsi="宋体"/>
      </w:rPr>
      <w:instrText xml:space="preserve"> PAGE </w:instrText>
    </w:r>
    <w:r>
      <w:rPr>
        <w:rFonts w:ascii="宋体" w:hAnsi="宋体"/>
      </w:rPr>
      <w:fldChar w:fldCharType="separate"/>
    </w:r>
    <w:r>
      <w:rPr>
        <w:rStyle w:val="22"/>
        <w:rFonts w:ascii="宋体" w:hAnsi="宋体"/>
      </w:rPr>
      <w:t>41</w:t>
    </w:r>
    <w:r>
      <w:rPr>
        <w:rFonts w:ascii="宋体" w:hAnsi="宋体"/>
      </w:rPr>
      <w:fldChar w:fldCharType="end"/>
    </w:r>
    <w:r>
      <w:rPr>
        <w:rStyle w:val="22"/>
        <w:rFonts w:hint="eastAsia" w:ascii="宋体" w:hAnsi="宋体"/>
      </w:rPr>
      <w:t>页，共</w:t>
    </w:r>
    <w:r>
      <w:rPr>
        <w:rFonts w:ascii="宋体" w:hAnsi="宋体"/>
      </w:rPr>
      <w:fldChar w:fldCharType="begin"/>
    </w:r>
    <w:r>
      <w:rPr>
        <w:rStyle w:val="22"/>
        <w:rFonts w:ascii="宋体" w:hAnsi="宋体"/>
      </w:rPr>
      <w:instrText xml:space="preserve"> NUMPAGES </w:instrText>
    </w:r>
    <w:r>
      <w:rPr>
        <w:rFonts w:ascii="宋体" w:hAnsi="宋体"/>
      </w:rPr>
      <w:fldChar w:fldCharType="separate"/>
    </w:r>
    <w:r>
      <w:rPr>
        <w:rStyle w:val="22"/>
        <w:rFonts w:ascii="宋体" w:hAnsi="宋体"/>
      </w:rPr>
      <w:t>60</w:t>
    </w:r>
    <w:r>
      <w:rPr>
        <w:rFonts w:ascii="宋体" w:hAnsi="宋体"/>
      </w:rPr>
      <w:fldChar w:fldCharType="end"/>
    </w:r>
    <w:r>
      <w:rPr>
        <w:rStyle w:val="22"/>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rPr>
    </w:pPr>
    <w:r>
      <w:rPr>
        <w:rFonts w:hint="eastAsia"/>
      </w:rPr>
      <w:t xml:space="preserve">                                             </w:t>
    </w:r>
    <w:r>
      <w:rPr>
        <w:rFonts w:hint="eastAsia" w:ascii="宋体" w:hAnsi="宋体"/>
      </w:rPr>
      <w:t xml:space="preserve"> </w:t>
    </w:r>
    <w:r>
      <w:rPr>
        <w:rStyle w:val="22"/>
        <w:rFonts w:hint="eastAsia" w:ascii="宋体" w:hAnsi="宋体"/>
      </w:rPr>
      <w:t>第</w:t>
    </w:r>
    <w:r>
      <w:rPr>
        <w:rFonts w:ascii="宋体" w:hAnsi="宋体"/>
      </w:rPr>
      <w:fldChar w:fldCharType="begin"/>
    </w:r>
    <w:r>
      <w:rPr>
        <w:rStyle w:val="22"/>
        <w:rFonts w:ascii="宋体" w:hAnsi="宋体"/>
      </w:rPr>
      <w:instrText xml:space="preserve"> PAGE </w:instrText>
    </w:r>
    <w:r>
      <w:rPr>
        <w:rFonts w:ascii="宋体" w:hAnsi="宋体"/>
      </w:rPr>
      <w:fldChar w:fldCharType="separate"/>
    </w:r>
    <w:r>
      <w:rPr>
        <w:rStyle w:val="22"/>
        <w:rFonts w:ascii="宋体" w:hAnsi="宋体"/>
      </w:rPr>
      <w:t>60</w:t>
    </w:r>
    <w:r>
      <w:rPr>
        <w:rFonts w:ascii="宋体" w:hAnsi="宋体"/>
      </w:rPr>
      <w:fldChar w:fldCharType="end"/>
    </w:r>
    <w:r>
      <w:rPr>
        <w:rStyle w:val="22"/>
        <w:rFonts w:hint="eastAsia" w:ascii="宋体" w:hAnsi="宋体"/>
      </w:rPr>
      <w:t>页，共</w:t>
    </w:r>
    <w:r>
      <w:rPr>
        <w:rFonts w:ascii="宋体" w:hAnsi="宋体"/>
      </w:rPr>
      <w:fldChar w:fldCharType="begin"/>
    </w:r>
    <w:r>
      <w:rPr>
        <w:rStyle w:val="22"/>
        <w:rFonts w:ascii="宋体" w:hAnsi="宋体"/>
      </w:rPr>
      <w:instrText xml:space="preserve"> NUMPAGES </w:instrText>
    </w:r>
    <w:r>
      <w:rPr>
        <w:rFonts w:ascii="宋体" w:hAnsi="宋体"/>
      </w:rPr>
      <w:fldChar w:fldCharType="separate"/>
    </w:r>
    <w:r>
      <w:rPr>
        <w:rStyle w:val="22"/>
        <w:rFonts w:ascii="宋体" w:hAnsi="宋体"/>
      </w:rPr>
      <w:t>61</w:t>
    </w:r>
    <w:r>
      <w:rPr>
        <w:rFonts w:ascii="宋体" w:hAnsi="宋体"/>
      </w:rPr>
      <w:fldChar w:fldCharType="end"/>
    </w:r>
    <w:r>
      <w:rPr>
        <w:rStyle w:val="22"/>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left"/>
      <w:rPr>
        <w:rFonts w:hint="eastAsia" w:eastAsiaTheme="minorEastAsia"/>
        <w:u w:val="single"/>
        <w:lang w:eastAsia="zh-CN"/>
      </w:rPr>
    </w:pPr>
    <w:r>
      <w:rPr>
        <w:rFonts w:hint="eastAsia"/>
        <w:u w:val="single"/>
      </w:rPr>
      <w:t>贵州黔诚商务有限公司</w:t>
    </w:r>
    <w:r>
      <w:rPr>
        <w:rFonts w:hint="eastAsia"/>
      </w:rPr>
      <w:t xml:space="preserve">                                                           QCZB2020-</w:t>
    </w:r>
    <w:r>
      <w:rPr>
        <w:rFonts w:hint="eastAsia"/>
        <w:lang w:eastAsia="zh-CN"/>
      </w:rPr>
      <w:t>006C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48E98F"/>
    <w:multiLevelType w:val="singleLevel"/>
    <w:tmpl w:val="AE48E98F"/>
    <w:lvl w:ilvl="0" w:tentative="0">
      <w:start w:val="1"/>
      <w:numFmt w:val="chineseCounting"/>
      <w:suff w:val="space"/>
      <w:lvlText w:val="第%1节"/>
      <w:lvlJc w:val="left"/>
      <w:rPr>
        <w:rFonts w:hint="eastAsia"/>
      </w:rPr>
    </w:lvl>
  </w:abstractNum>
  <w:abstractNum w:abstractNumId="1">
    <w:nsid w:val="CF092B84"/>
    <w:multiLevelType w:val="multilevel"/>
    <w:tmpl w:val="CF092B84"/>
    <w:lvl w:ilvl="0" w:tentative="0">
      <w:start w:val="5"/>
      <w:numFmt w:val="decimal"/>
      <w:lvlText w:val="%1."/>
      <w:lvlJc w:val="left"/>
      <w:pPr>
        <w:ind w:left="647" w:hanging="188"/>
        <w:jc w:val="left"/>
      </w:pPr>
      <w:rPr>
        <w:rFonts w:hint="default" w:ascii="Calibri" w:hAnsi="Calibri" w:eastAsia="Calibri" w:cs="Calibri"/>
        <w:b/>
        <w:bCs/>
        <w:spacing w:val="-2"/>
        <w:w w:val="100"/>
        <w:sz w:val="22"/>
        <w:szCs w:val="22"/>
      </w:rPr>
    </w:lvl>
    <w:lvl w:ilvl="1" w:tentative="0">
      <w:start w:val="0"/>
      <w:numFmt w:val="bullet"/>
      <w:lvlText w:val="•"/>
      <w:lvlJc w:val="left"/>
      <w:pPr>
        <w:ind w:left="1486" w:hanging="188"/>
      </w:pPr>
      <w:rPr>
        <w:rFonts w:hint="default"/>
      </w:rPr>
    </w:lvl>
    <w:lvl w:ilvl="2" w:tentative="0">
      <w:start w:val="0"/>
      <w:numFmt w:val="bullet"/>
      <w:lvlText w:val="•"/>
      <w:lvlJc w:val="left"/>
      <w:pPr>
        <w:ind w:left="2333" w:hanging="188"/>
      </w:pPr>
      <w:rPr>
        <w:rFonts w:hint="default"/>
      </w:rPr>
    </w:lvl>
    <w:lvl w:ilvl="3" w:tentative="0">
      <w:start w:val="0"/>
      <w:numFmt w:val="bullet"/>
      <w:lvlText w:val="•"/>
      <w:lvlJc w:val="left"/>
      <w:pPr>
        <w:ind w:left="3179" w:hanging="188"/>
      </w:pPr>
      <w:rPr>
        <w:rFonts w:hint="default"/>
      </w:rPr>
    </w:lvl>
    <w:lvl w:ilvl="4" w:tentative="0">
      <w:start w:val="0"/>
      <w:numFmt w:val="bullet"/>
      <w:lvlText w:val="•"/>
      <w:lvlJc w:val="left"/>
      <w:pPr>
        <w:ind w:left="4026" w:hanging="188"/>
      </w:pPr>
      <w:rPr>
        <w:rFonts w:hint="default"/>
      </w:rPr>
    </w:lvl>
    <w:lvl w:ilvl="5" w:tentative="0">
      <w:start w:val="0"/>
      <w:numFmt w:val="bullet"/>
      <w:lvlText w:val="•"/>
      <w:lvlJc w:val="left"/>
      <w:pPr>
        <w:ind w:left="4873" w:hanging="188"/>
      </w:pPr>
      <w:rPr>
        <w:rFonts w:hint="default"/>
      </w:rPr>
    </w:lvl>
    <w:lvl w:ilvl="6" w:tentative="0">
      <w:start w:val="0"/>
      <w:numFmt w:val="bullet"/>
      <w:lvlText w:val="•"/>
      <w:lvlJc w:val="left"/>
      <w:pPr>
        <w:ind w:left="5719" w:hanging="188"/>
      </w:pPr>
      <w:rPr>
        <w:rFonts w:hint="default"/>
      </w:rPr>
    </w:lvl>
    <w:lvl w:ilvl="7" w:tentative="0">
      <w:start w:val="0"/>
      <w:numFmt w:val="bullet"/>
      <w:lvlText w:val="•"/>
      <w:lvlJc w:val="left"/>
      <w:pPr>
        <w:ind w:left="6566" w:hanging="188"/>
      </w:pPr>
      <w:rPr>
        <w:rFonts w:hint="default"/>
      </w:rPr>
    </w:lvl>
    <w:lvl w:ilvl="8" w:tentative="0">
      <w:start w:val="0"/>
      <w:numFmt w:val="bullet"/>
      <w:lvlText w:val="•"/>
      <w:lvlJc w:val="left"/>
      <w:pPr>
        <w:ind w:left="7412" w:hanging="188"/>
      </w:pPr>
      <w:rPr>
        <w:rFonts w:hint="default"/>
      </w:rPr>
    </w:lvl>
  </w:abstractNum>
  <w:abstractNum w:abstractNumId="2">
    <w:nsid w:val="59A303B5"/>
    <w:multiLevelType w:val="singleLevel"/>
    <w:tmpl w:val="59A303B5"/>
    <w:lvl w:ilvl="0" w:tentative="0">
      <w:start w:val="1"/>
      <w:numFmt w:val="chineseCounting"/>
      <w:suff w:val="space"/>
      <w:lvlText w:val="第%1章"/>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007A37"/>
    <w:rsid w:val="00013958"/>
    <w:rsid w:val="001A0684"/>
    <w:rsid w:val="0026086E"/>
    <w:rsid w:val="00265E91"/>
    <w:rsid w:val="00362B51"/>
    <w:rsid w:val="0047338D"/>
    <w:rsid w:val="004D5ED7"/>
    <w:rsid w:val="00583F42"/>
    <w:rsid w:val="006C0910"/>
    <w:rsid w:val="00820D37"/>
    <w:rsid w:val="008E1F31"/>
    <w:rsid w:val="008E4D1D"/>
    <w:rsid w:val="00DB1E20"/>
    <w:rsid w:val="00F76379"/>
    <w:rsid w:val="014442EA"/>
    <w:rsid w:val="01BD2F7F"/>
    <w:rsid w:val="02305F2D"/>
    <w:rsid w:val="025901CF"/>
    <w:rsid w:val="046F54A9"/>
    <w:rsid w:val="0480058F"/>
    <w:rsid w:val="04C759B6"/>
    <w:rsid w:val="07DD7EBF"/>
    <w:rsid w:val="0ACF1DD8"/>
    <w:rsid w:val="0D8469AC"/>
    <w:rsid w:val="15B36CC5"/>
    <w:rsid w:val="168B1164"/>
    <w:rsid w:val="16D308AD"/>
    <w:rsid w:val="1BFB3FAF"/>
    <w:rsid w:val="1C767556"/>
    <w:rsid w:val="1C9D20D0"/>
    <w:rsid w:val="1DA8185C"/>
    <w:rsid w:val="1E076792"/>
    <w:rsid w:val="1FF36677"/>
    <w:rsid w:val="227836A7"/>
    <w:rsid w:val="25625D65"/>
    <w:rsid w:val="25B657A5"/>
    <w:rsid w:val="281828B6"/>
    <w:rsid w:val="2A2D615C"/>
    <w:rsid w:val="2AA12BBB"/>
    <w:rsid w:val="2BEA751B"/>
    <w:rsid w:val="2DC8601F"/>
    <w:rsid w:val="32BD4C80"/>
    <w:rsid w:val="364B4308"/>
    <w:rsid w:val="39DB7A1A"/>
    <w:rsid w:val="3AF84CD2"/>
    <w:rsid w:val="409B6E5D"/>
    <w:rsid w:val="413C43C1"/>
    <w:rsid w:val="42CE5F42"/>
    <w:rsid w:val="46816B02"/>
    <w:rsid w:val="46DE667A"/>
    <w:rsid w:val="470622D8"/>
    <w:rsid w:val="4896454D"/>
    <w:rsid w:val="4A0E5981"/>
    <w:rsid w:val="4B4E5849"/>
    <w:rsid w:val="4C1A1F4E"/>
    <w:rsid w:val="4D9E46AE"/>
    <w:rsid w:val="4EAE04CE"/>
    <w:rsid w:val="4F334E94"/>
    <w:rsid w:val="4FDE57D5"/>
    <w:rsid w:val="4FE20CB3"/>
    <w:rsid w:val="50255511"/>
    <w:rsid w:val="523E3048"/>
    <w:rsid w:val="52642ECD"/>
    <w:rsid w:val="52DA21C6"/>
    <w:rsid w:val="539A677E"/>
    <w:rsid w:val="5C9275F7"/>
    <w:rsid w:val="5CD7137B"/>
    <w:rsid w:val="5E456CAE"/>
    <w:rsid w:val="60C27580"/>
    <w:rsid w:val="60EA2F16"/>
    <w:rsid w:val="60F0743C"/>
    <w:rsid w:val="63187F86"/>
    <w:rsid w:val="65164C90"/>
    <w:rsid w:val="652C7320"/>
    <w:rsid w:val="6593310D"/>
    <w:rsid w:val="659F0DC4"/>
    <w:rsid w:val="670A3D62"/>
    <w:rsid w:val="671901E5"/>
    <w:rsid w:val="6AD47DEF"/>
    <w:rsid w:val="6CCA454A"/>
    <w:rsid w:val="6E064B16"/>
    <w:rsid w:val="6E9A5852"/>
    <w:rsid w:val="704A2BB3"/>
    <w:rsid w:val="71B53207"/>
    <w:rsid w:val="72FB52FA"/>
    <w:rsid w:val="734C455D"/>
    <w:rsid w:val="748C671B"/>
    <w:rsid w:val="772D77E1"/>
    <w:rsid w:val="7B9F7CCD"/>
    <w:rsid w:val="7C0F0C49"/>
    <w:rsid w:val="7C4E04D0"/>
    <w:rsid w:val="7C931B48"/>
    <w:rsid w:val="7CA504BF"/>
    <w:rsid w:val="7E082122"/>
    <w:rsid w:val="7EBF2607"/>
    <w:rsid w:val="7FA26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line="576" w:lineRule="auto"/>
      <w:outlineLvl w:val="0"/>
    </w:pPr>
    <w:rPr>
      <w:b/>
      <w:bCs/>
      <w:kern w:val="44"/>
      <w:sz w:val="44"/>
      <w:szCs w:val="44"/>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9"/>
    <w:pPr>
      <w:keepNext/>
      <w:keepLines/>
      <w:tabs>
        <w:tab w:val="left" w:pos="3402"/>
      </w:tabs>
      <w:spacing w:beforeLines="100" w:afterLines="100"/>
      <w:contextualSpacing/>
      <w:jc w:val="center"/>
      <w:outlineLvl w:val="2"/>
    </w:pPr>
    <w:rPr>
      <w:rFonts w:eastAsia="黑体"/>
      <w:bCs/>
      <w:szCs w:val="32"/>
    </w:rPr>
  </w:style>
  <w:style w:type="paragraph" w:styleId="5">
    <w:name w:val="heading 4"/>
    <w:basedOn w:val="1"/>
    <w:next w:val="1"/>
    <w:qFormat/>
    <w:uiPriority w:val="0"/>
    <w:pPr>
      <w:keepNext/>
      <w:keepLines/>
      <w:spacing w:line="360" w:lineRule="auto"/>
      <w:jc w:val="center"/>
      <w:outlineLvl w:val="3"/>
    </w:pPr>
    <w:rPr>
      <w:rFonts w:ascii="Arial" w:hAnsi="Arial"/>
      <w:b/>
      <w:sz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List 3"/>
    <w:basedOn w:val="1"/>
    <w:qFormat/>
    <w:uiPriority w:val="0"/>
    <w:pPr>
      <w:ind w:left="1260" w:hanging="420"/>
    </w:pPr>
    <w:rPr>
      <w:rFonts w:ascii="Times New Roman" w:hAnsi="Times New Roman"/>
      <w:szCs w:val="20"/>
    </w:rPr>
  </w:style>
  <w:style w:type="paragraph" w:styleId="7">
    <w:name w:val="Normal Indent"/>
    <w:basedOn w:val="1"/>
    <w:qFormat/>
    <w:uiPriority w:val="0"/>
    <w:pPr>
      <w:ind w:firstLine="420"/>
    </w:pPr>
    <w:rPr>
      <w:rFonts w:ascii="宋体" w:hAnsi="宋体"/>
      <w:kern w:val="0"/>
      <w:sz w:val="20"/>
      <w:szCs w:val="20"/>
    </w:rPr>
  </w:style>
  <w:style w:type="paragraph" w:styleId="8">
    <w:name w:val="annotation text"/>
    <w:basedOn w:val="1"/>
    <w:qFormat/>
    <w:uiPriority w:val="0"/>
    <w:pPr>
      <w:jc w:val="left"/>
    </w:pPr>
  </w:style>
  <w:style w:type="paragraph" w:styleId="9">
    <w:name w:val="Body Text"/>
    <w:basedOn w:val="1"/>
    <w:qFormat/>
    <w:uiPriority w:val="0"/>
    <w:pPr>
      <w:spacing w:after="120"/>
    </w:pPr>
    <w:rPr>
      <w:szCs w:val="24"/>
    </w:rPr>
  </w:style>
  <w:style w:type="paragraph" w:styleId="10">
    <w:name w:val="Plain Text"/>
    <w:basedOn w:val="1"/>
    <w:qFormat/>
    <w:uiPriority w:val="0"/>
    <w:rPr>
      <w:rFonts w:ascii="宋体" w:hAnsi="Courier New"/>
      <w:kern w:val="0"/>
      <w:sz w:val="20"/>
      <w:szCs w:val="20"/>
    </w:rPr>
  </w:style>
  <w:style w:type="paragraph" w:styleId="11">
    <w:name w:val="Date"/>
    <w:basedOn w:val="1"/>
    <w:next w:val="1"/>
    <w:qFormat/>
    <w:uiPriority w:val="0"/>
    <w:rPr>
      <w:sz w:val="28"/>
      <w:szCs w:val="28"/>
    </w:rPr>
  </w:style>
  <w:style w:type="paragraph" w:styleId="12">
    <w:name w:val="Body Text Indent 2"/>
    <w:basedOn w:val="1"/>
    <w:qFormat/>
    <w:uiPriority w:val="0"/>
    <w:pPr>
      <w:spacing w:after="120" w:line="480" w:lineRule="auto"/>
      <w:ind w:left="420" w:leftChars="200"/>
    </w:pPr>
    <w:rPr>
      <w:szCs w:val="24"/>
    </w:rPr>
  </w:style>
  <w:style w:type="paragraph" w:styleId="13">
    <w:name w:val="Balloon Text"/>
    <w:basedOn w:val="1"/>
    <w:link w:val="39"/>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rPr>
      <w:rFonts w:ascii="Times New Roman" w:hAnsi="Times New Roman"/>
      <w:szCs w:val="24"/>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9">
    <w:name w:val="Table Grid"/>
    <w:basedOn w:val="1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Strong"/>
    <w:basedOn w:val="20"/>
    <w:qFormat/>
    <w:uiPriority w:val="0"/>
    <w:rPr>
      <w:b/>
    </w:rPr>
  </w:style>
  <w:style w:type="character" w:styleId="22">
    <w:name w:val="page number"/>
    <w:basedOn w:val="20"/>
    <w:qFormat/>
    <w:uiPriority w:val="0"/>
  </w:style>
  <w:style w:type="character" w:styleId="23">
    <w:name w:val="FollowedHyperlink"/>
    <w:basedOn w:val="20"/>
    <w:uiPriority w:val="0"/>
    <w:rPr>
      <w:color w:val="2FA4E7"/>
      <w:u w:val="none"/>
    </w:rPr>
  </w:style>
  <w:style w:type="character" w:styleId="24">
    <w:name w:val="Emphasis"/>
    <w:basedOn w:val="20"/>
    <w:qFormat/>
    <w:uiPriority w:val="0"/>
    <w:rPr>
      <w:i/>
    </w:rPr>
  </w:style>
  <w:style w:type="character" w:styleId="25">
    <w:name w:val="Hyperlink"/>
    <w:qFormat/>
    <w:uiPriority w:val="0"/>
    <w:rPr>
      <w:color w:val="0000FF"/>
      <w:u w:val="single"/>
    </w:rPr>
  </w:style>
  <w:style w:type="character" w:styleId="26">
    <w:name w:val="HTML Code"/>
    <w:basedOn w:val="20"/>
    <w:qFormat/>
    <w:uiPriority w:val="0"/>
    <w:rPr>
      <w:rFonts w:ascii="Consolas" w:hAnsi="Consolas" w:eastAsia="Consolas" w:cs="Consolas"/>
      <w:color w:val="DD1144"/>
      <w:sz w:val="9"/>
      <w:szCs w:val="9"/>
      <w:bdr w:val="single" w:color="E1E1E8" w:sz="2" w:space="0"/>
      <w:shd w:val="clear" w:fill="F7F7F9"/>
    </w:rPr>
  </w:style>
  <w:style w:type="character" w:styleId="27">
    <w:name w:val="annotation reference"/>
    <w:basedOn w:val="20"/>
    <w:qFormat/>
    <w:uiPriority w:val="0"/>
    <w:rPr>
      <w:sz w:val="21"/>
      <w:szCs w:val="21"/>
    </w:rPr>
  </w:style>
  <w:style w:type="character" w:styleId="28">
    <w:name w:val="HTML Cite"/>
    <w:basedOn w:val="20"/>
    <w:qFormat/>
    <w:uiPriority w:val="0"/>
  </w:style>
  <w:style w:type="paragraph" w:customStyle="1" w:styleId="29">
    <w:name w:val="Char Char Char Char Char Char"/>
    <w:basedOn w:val="1"/>
    <w:qFormat/>
    <w:uiPriority w:val="0"/>
    <w:rPr>
      <w:rFonts w:ascii="Times New Roman" w:hAnsi="Times New Roman"/>
      <w:szCs w:val="24"/>
    </w:rPr>
  </w:style>
  <w:style w:type="paragraph" w:customStyle="1" w:styleId="30">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31">
    <w:name w:val="正文+宋体"/>
    <w:basedOn w:val="17"/>
    <w:qFormat/>
    <w:uiPriority w:val="0"/>
    <w:pPr>
      <w:shd w:val="clear" w:color="auto" w:fill="FFFFFF"/>
      <w:spacing w:before="0" w:beforeAutospacing="0" w:after="0" w:afterAutospacing="0"/>
      <w:ind w:firstLine="480" w:firstLineChars="200"/>
    </w:pPr>
    <w:rPr>
      <w:kern w:val="2"/>
    </w:rPr>
  </w:style>
  <w:style w:type="paragraph" w:customStyle="1" w:styleId="32">
    <w:name w:val="Char Char Char Char Char Char Char"/>
    <w:basedOn w:val="1"/>
    <w:qFormat/>
    <w:uiPriority w:val="0"/>
    <w:rPr>
      <w:rFonts w:ascii="Times New Roman" w:hAnsi="Times New Roman"/>
      <w:szCs w:val="24"/>
    </w:rPr>
  </w:style>
  <w:style w:type="paragraph" w:customStyle="1" w:styleId="33">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34">
    <w:name w:val="样式3"/>
    <w:basedOn w:val="10"/>
    <w:qFormat/>
    <w:uiPriority w:val="0"/>
    <w:pPr>
      <w:spacing w:line="0" w:lineRule="atLeast"/>
      <w:outlineLvl w:val="0"/>
    </w:pPr>
    <w:rPr>
      <w:sz w:val="28"/>
    </w:rPr>
  </w:style>
  <w:style w:type="paragraph" w:customStyle="1" w:styleId="35">
    <w:name w:val="p0"/>
    <w:basedOn w:val="1"/>
    <w:qFormat/>
    <w:uiPriority w:val="0"/>
    <w:pPr>
      <w:widowControl/>
    </w:pPr>
    <w:rPr>
      <w:kern w:val="0"/>
      <w:szCs w:val="21"/>
    </w:rPr>
  </w:style>
  <w:style w:type="paragraph" w:customStyle="1" w:styleId="36">
    <w:name w:val="Normal_22"/>
    <w:qFormat/>
    <w:uiPriority w:val="0"/>
    <w:rPr>
      <w:rFonts w:ascii="Times New Roman" w:hAnsi="Times New Roman" w:eastAsia="宋体" w:cs="Times New Roman"/>
      <w:sz w:val="21"/>
      <w:lang w:val="en-US" w:eastAsia="zh-CN" w:bidi="ar-SA"/>
    </w:rPr>
  </w:style>
  <w:style w:type="paragraph" w:customStyle="1" w:styleId="37">
    <w:name w:val="四级标题"/>
    <w:basedOn w:val="11"/>
    <w:qFormat/>
    <w:uiPriority w:val="0"/>
    <w:rPr>
      <w:rFonts w:eastAsia="黑体"/>
      <w:szCs w:val="22"/>
    </w:rPr>
  </w:style>
  <w:style w:type="character" w:customStyle="1" w:styleId="38">
    <w:name w:val="p141"/>
    <w:qFormat/>
    <w:uiPriority w:val="0"/>
    <w:rPr>
      <w:sz w:val="21"/>
      <w:szCs w:val="21"/>
    </w:rPr>
  </w:style>
  <w:style w:type="character" w:customStyle="1" w:styleId="39">
    <w:name w:val="批注框文本 Char"/>
    <w:basedOn w:val="20"/>
    <w:link w:val="13"/>
    <w:qFormat/>
    <w:uiPriority w:val="0"/>
    <w:rPr>
      <w:rFonts w:asciiTheme="minorHAnsi" w:hAnsiTheme="minorHAnsi" w:eastAsiaTheme="minorEastAsia" w:cstheme="minorBidi"/>
      <w:kern w:val="2"/>
      <w:sz w:val="18"/>
      <w:szCs w:val="18"/>
    </w:rPr>
  </w:style>
  <w:style w:type="paragraph" w:customStyle="1" w:styleId="40">
    <w:name w:val="Table Paragraph"/>
    <w:basedOn w:val="1"/>
    <w:qFormat/>
    <w:uiPriority w:val="1"/>
    <w:pPr>
      <w:ind w:left="7"/>
    </w:pPr>
    <w:rPr>
      <w:rFonts w:ascii="宋体" w:hAnsi="宋体" w:eastAsia="宋体" w:cs="宋体"/>
    </w:rPr>
  </w:style>
  <w:style w:type="character" w:customStyle="1" w:styleId="41">
    <w:name w:val="jbox-icon"/>
    <w:basedOn w:val="20"/>
    <w:qFormat/>
    <w:uiPriority w:val="0"/>
  </w:style>
  <w:style w:type="character" w:customStyle="1" w:styleId="42">
    <w:name w:val="jbox-icon-error"/>
    <w:basedOn w:val="20"/>
    <w:qFormat/>
    <w:uiPriority w:val="0"/>
  </w:style>
  <w:style w:type="character" w:customStyle="1" w:styleId="43">
    <w:name w:val="jbox-icon-info"/>
    <w:basedOn w:val="20"/>
    <w:qFormat/>
    <w:uiPriority w:val="0"/>
  </w:style>
  <w:style w:type="character" w:customStyle="1" w:styleId="44">
    <w:name w:val="jbox-icon-success"/>
    <w:basedOn w:val="20"/>
    <w:qFormat/>
    <w:uiPriority w:val="0"/>
  </w:style>
  <w:style w:type="character" w:customStyle="1" w:styleId="45">
    <w:name w:val="jbox-icon-question"/>
    <w:basedOn w:val="20"/>
    <w:qFormat/>
    <w:uiPriority w:val="0"/>
  </w:style>
  <w:style w:type="character" w:customStyle="1" w:styleId="46">
    <w:name w:val="jbox-icon-warning"/>
    <w:basedOn w:val="20"/>
    <w:qFormat/>
    <w:uiPriority w:val="0"/>
  </w:style>
  <w:style w:type="character" w:customStyle="1" w:styleId="47">
    <w:name w:val="jbox-icon-loading"/>
    <w:basedOn w:val="20"/>
    <w:qFormat/>
    <w:uiPriority w:val="0"/>
  </w:style>
  <w:style w:type="character" w:customStyle="1" w:styleId="48">
    <w:name w:val="jbox-icon-none"/>
    <w:basedOn w:val="20"/>
    <w:qFormat/>
    <w:uiPriority w:val="0"/>
    <w:rPr>
      <w:vanish/>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25731</Words>
  <Characters>27356</Characters>
  <Lines>53</Lines>
  <Paragraphs>77</Paragraphs>
  <TotalTime>17</TotalTime>
  <ScaleCrop>false</ScaleCrop>
  <LinksUpToDate>false</LinksUpToDate>
  <CharactersWithSpaces>30067</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2020-07-13T06:46:00Z</dcterms:created>
  <dc:creator>Administrator</dc:creator>
  <cp:lastModifiedBy>岑岑岑岑。杨杨 ❤</cp:lastModifiedBy>
  <dcterms:modified xsi:type="dcterms:W3CDTF">2020-11-20T07:20:31Z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