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bookmarkStart w:id="0" w:name="OLE_LINK4"/>
      <w:bookmarkStart w:id="1" w:name="OLE_LINK2"/>
      <w:bookmarkStart w:id="2" w:name="OLE_LINK1"/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1.项目名称：</w:t>
      </w:r>
      <w:r>
        <w:rPr>
          <w:rFonts w:hint="eastAsia" w:asciiTheme="minorEastAsia" w:hAnsiTheme="minorEastAsia" w:cstheme="minorEastAsia"/>
          <w:b/>
          <w:color w:val="000000"/>
          <w:sz w:val="28"/>
          <w:szCs w:val="28"/>
          <w:lang w:eastAsia="zh-CN"/>
        </w:rPr>
        <w:t>铜仁市碧江区教育局交互式一体机班班通采购项目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default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2.项目编号：TRZFCG-2020-165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default" w:ascii="宋体" w:hAnsi="宋体" w:cs="宋体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3.采购方式：竞争性谈判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4.公示期限（不少于2个工作日）：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2020年10月20日-2020年10月21日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采购预算：1897500.00元(最高限价1897500.00元)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6.采购预算确定依据：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碧江区政府采购（集中采购）申报表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采购人名称：铜仁市碧江区教育局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项目联系人：李主任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default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联系电话：0856-5420502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8.采购代理机构全称:铜仁市公共资源交易中心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联系地址:铜仁市公共服务中心四楼（川硐麒龙国际会展城）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项目联系人:黄丽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联系电话:0856-3912922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eastAsia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任何单位和个人对本项目采购文件需求公示有异议的，可在公示期限内，反馈意见给代理机构。</w:t>
      </w:r>
      <w:bookmarkEnd w:id="0"/>
      <w:bookmarkEnd w:id="1"/>
      <w:bookmarkEnd w:id="2"/>
    </w:p>
    <w:p>
      <w:pPr>
        <w:pStyle w:val="4"/>
        <w:rPr>
          <w:rFonts w:hint="eastAsia"/>
          <w:sz w:val="48"/>
          <w:szCs w:val="48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6" w:name="_GoBack"/>
      <w:bookmarkEnd w:id="6"/>
    </w:p>
    <w:p>
      <w:pPr>
        <w:rPr>
          <w:rFonts w:hint="eastAsia"/>
          <w:lang w:eastAsia="zh-CN"/>
        </w:rPr>
      </w:pPr>
    </w:p>
    <w:p>
      <w:pPr>
        <w:pStyle w:val="4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铜仁市碧江区教育局交互式一体机班班通采购项目</w:t>
      </w:r>
    </w:p>
    <w:p>
      <w:pPr>
        <w:pStyle w:val="4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需</w:t>
      </w:r>
      <w:r>
        <w:rPr>
          <w:sz w:val="36"/>
          <w:szCs w:val="36"/>
        </w:rPr>
        <w:t>求书</w:t>
      </w:r>
    </w:p>
    <w:p>
      <w:pPr>
        <w:spacing w:line="276" w:lineRule="auto"/>
        <w:jc w:val="center"/>
        <w:rPr>
          <w:rFonts w:hint="eastAsia" w:ascii="宋体" w:hAnsi="宋体"/>
          <w:b/>
          <w:color w:val="FF0000"/>
          <w:sz w:val="24"/>
        </w:rPr>
      </w:pPr>
    </w:p>
    <w:tbl>
      <w:tblPr>
        <w:tblStyle w:val="13"/>
        <w:tblW w:w="95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812"/>
        <w:gridCol w:w="6653"/>
        <w:gridCol w:w="706"/>
        <w:gridCol w:w="7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</w:rPr>
            </w:pPr>
            <w:bookmarkStart w:id="3" w:name="EB93c4e8d19c1041a5b927e28a0c288bfb"/>
            <w:r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名称</w:t>
            </w:r>
          </w:p>
        </w:tc>
        <w:tc>
          <w:tcPr>
            <w:tcW w:w="66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参  数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数量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交互式一体机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1、显示尺寸≥85英寸，显示比例16:9，物理分辨率：</w:t>
            </w:r>
            <w:r>
              <w:rPr>
                <w:rFonts w:hint="eastAsia" w:ascii="宋体" w:hAnsi="宋体" w:eastAsia="宋体" w:cs="宋体"/>
                <w:color w:val="000000"/>
              </w:rPr>
              <w:t>≧</w:t>
            </w:r>
            <w:r>
              <w:rPr>
                <w:rFonts w:hint="eastAsia"/>
                <w:color w:val="000000"/>
              </w:rPr>
              <w:t xml:space="preserve">3840×2160，对比度≥4000：1；                                                                               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2、采用红外感应技术，在双系统下均支持10点触控及同时书写，触摸分辨率：≥32768*32768；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★3、具备前置带有中文标识输入接口：HDMI接口（非转接形式）≥1路、双通道USB3.0接口≥3路（提供加盖公章的接口照片）；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★4、具备前置电脑一键还原按键，不需专业人员即可轻松解决电脑系统故障（提供加盖公章的按键照片）；                                                                                                   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5、具备悬浮自定义常用工具栏，可以通过手势调用到屏体任意位置；                                                                                                                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6、无需实体按键，可以通过手势快速实现节能；                                                                                          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7、内置安卓系统，CPU采用四核，主板具备ROM不小于8G, RAM不小于</w:t>
            </w:r>
            <w:r>
              <w:rPr>
                <w:rFonts w:hint="eastAsia"/>
                <w:color w:val="000000"/>
                <w:lang w:val="en-US" w:eastAsia="zh-CN"/>
              </w:rPr>
              <w:t>8</w:t>
            </w:r>
            <w:r>
              <w:rPr>
                <w:rFonts w:hint="eastAsia"/>
                <w:color w:val="000000"/>
              </w:rPr>
              <w:t>G, 安卓系统版本不低于6.0；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8、带内置音箱。</w:t>
            </w:r>
            <w:r>
              <w:rPr>
                <w:rFonts w:hint="eastAsia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资质要求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1、提供交互式一体机制造商ISO管理体系认证证书；</w:t>
            </w:r>
          </w:p>
          <w:p>
            <w:pPr>
              <w:jc w:val="left"/>
              <w:rPr>
                <w:rFonts w:hint="eastAsia"/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rFonts w:hint="eastAsia"/>
                <w:color w:val="000000"/>
              </w:rPr>
              <w:t>、★提供交互一体机制造商针对本项目的售后服务及参数确认函；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69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3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教学软件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1、软件菜单功能按钮和图标的各级菜单均配备明确中文标识；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2、文本编辑功能，支持文本输入并可快速设置字体、大小、颜色、粗体、斜体、下划线、删除线、上标、下标、项目符号等文本输入。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3、软件具有水平和垂直的对齐虚线，当移动对象素材时，对齐虚线提示是否对齐。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4、思维导图：提供多种思维导图模板如逻辑图、鱼骨图、组织结构图，可轻松增删或拖拽编辑内容、节点，并支持在节点上插入图片、音频、视频、文档等附件、及网页链接、课件页面、聚光灯等。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、学科工具：至少提供12门以上学科工具，包含语文、数学、英语、物理、化学、生物、地理、历史、音乐、体育、书法、美术等常用学科。针对以上学科，学科工具包含视频、文字、图片、动态教具、动态课件等内容。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1）数学工具：提供数学公式编辑功能，支持常规输入与LaTeX两种输入方式；提供初中和高中成品动态课件，课件可一键插入白板教学页面直接使用；提供立体图形动态展示功能，支持分段展示，并可以精确修改几何数值。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2）语文学科工具：至少包含汉字、拼音、注音、古诗词、学词语、学拼音、成语词典等内容。提供3755个国标一级汉字，包括汉字的笔顺演示和指定分解笔画演示；支持手写识别拼音，以及笔顺演示和朗读发音；提供单个或多个文字自动注音功能；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（3）英语工具：提供单词和音标学习视频；支持英文手写识别和自动换行；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（4）物理工具：提供力学、电学、电磁学、光学、电学图例等多种动态可调节素材，如弹簧、游标卡尺、刻度尺、气缸、安培表、伏特表、开关、滑动变阻器、透镜等；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（5）化学工具：提供动态可调节实验化学器械和化学器皿，如量筒、启普发生器、铁架台、分液漏斗、天平等；提供化学元素周期表工具和化学符号；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（6）生物工具：提供显微镜功能，可模拟装片展示，物镜目镜调整及旋转聚焦等操作。提供氨基酸、核苷酸、染色体、细胞膜等动态操作演示；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（7）地理工具：提供地球仪模型，可显示气候、国家、地形等内容；提供太阳系图示，可显示不同视角、地球晨昏线、地月模型；提供天气符号图示； 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（8）音乐工具：提供电子琴、架子鼓、吉他、排笛、大提琴等多种动态教具。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9）历史工具：提供中国各朝代的动态简介，包含世系表、疆域图、朝代历史简介等；提供国内外近代政治、经济、文化、军事、历史事件介绍，提供年代检索；以及丝绸之路、新航路开辟、赤壁之战等历史大事件的动态简介等；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6、书写工具：至少提供硬笔、智能笔、激光笔、粉笔、手势笔等不少于10种书写工具。通过智能笔可识别平面图形；通过手势笔可实现书写、擦除、前后翻页，聚光灯，放大镜等功能。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7、工具箱：提供不少于12个教学辅助工具，例如直尺、圆规、三角板、聚光灯、放大镜、屏幕截图、展台、草稿纸等； 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8、PPT课件批注功能：PPT全屏播放时可自动开启工具菜单，提供PPT课件的播放控制(如前后翻页)、聚光灯、放大镜、草稿纸和书写批注等功能,支持生成二维码，快速分享课件。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、多屏互动功能：支持手机、pad移动端与交互平板连接后，可实现常用功能如影像上传、投屏、播放课件、直播。支持对上传的图片内容再次编辑，可同时上传多张照片进行同屏对比，双向批注；一键打开电脑桌面课件并播放，课件支持播放列表，可快速选择PPT或白板课件进行播放。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10、提供产品微信公众号，内容包含软硬件产品文字、视频教程，产品报修和服务反馈等；                                                                   </w:t>
            </w:r>
          </w:p>
          <w:p>
            <w:pPr>
              <w:jc w:val="left"/>
              <w:rPr>
                <w:rFonts w:hint="eastAsia"/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</w:rPr>
              <w:t>★为保证兼容性本次投标拒绝使用第三方软件，</w:t>
            </w:r>
            <w:r>
              <w:rPr>
                <w:rFonts w:hint="eastAsia"/>
                <w:color w:val="000000"/>
                <w:lang w:eastAsia="zh-CN"/>
              </w:rPr>
              <w:t>提供</w:t>
            </w:r>
            <w:r>
              <w:rPr>
                <w:rFonts w:hint="eastAsia"/>
                <w:color w:val="000000"/>
              </w:rPr>
              <w:t>教学软件，仿真实验室，教育云平台软件著作权登记证书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69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电脑模块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★1、采用模块化电脑方案，抽拉内置式，采用 80pin标准接口，以满足后续升级需求。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★2、处理器：Intel Core i5 （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  <w:r>
              <w:rPr>
                <w:rFonts w:hint="eastAsia"/>
                <w:color w:val="000000"/>
              </w:rPr>
              <w:t>代及以上）以上处理器，主频≥2.</w:t>
            </w:r>
            <w:r>
              <w:rPr>
                <w:rFonts w:hint="eastAsia"/>
                <w:color w:val="000000"/>
                <w:lang w:val="en-US" w:eastAsia="zh-CN"/>
              </w:rPr>
              <w:t>9</w:t>
            </w:r>
            <w:r>
              <w:rPr>
                <w:rFonts w:hint="eastAsia"/>
                <w:color w:val="000000"/>
              </w:rPr>
              <w:t>G；内存≥8G ；固态硬盘≥256G 。                                                                                              3、具有独立非外扩展的电脑 USB 接口：电脑上至少 6 个 USB 接口，其中至少包含 2个 USB3.0 接口。</w:t>
            </w:r>
          </w:p>
          <w:p>
            <w:pPr>
              <w:jc w:val="left"/>
              <w:rPr>
                <w:rFonts w:hint="eastAsia"/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</w:rPr>
              <w:t>★4、正版Windows 10及OFFICE系统。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69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智能笔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智能书写笔：采用蓝牙技术；采用锂电池供电，带自动休眠节电设计，充满电后连续使用时间不低于100小时；笔尖设计采用2048级压力感应；提供5个按键，至少有一个按键可以自定义，自定义内容包括笔的开关、截图、清页等；具有擦除按键，用户可通过长按钮实现擦除，支持白板软件中点擦除；支持长按按键实现ppt播放和结束播放，短按实现上下翻页。支持所有页面的包括office、网页、白板软件的翻页功能。具有远程指示灯演示功能。                                                                                                                    ★提供权威机构出具的功能检测报告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69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无线传屏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无需任何外接设备的情况下，以软件连接码的方式支持Windows、Android、iOS、Mac系统的设备传屏至交互设备中，并能够反向控制Windows端传屏画面；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支持动态连接密码连接，用户可手动调整动态连接密码刷新时间。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支持多个移动端实时投屏，支持音视频播放/暂停，重复播放、音量调节、播放进度调节，可将任意一路画面一键全屏，单个音视频默认自动播放，多个音视频默认静音。 支持PC传屏，可将电脑屏幕画面实时投影到大屏上，并且可将触摸信号回传至电脑中，实现反向操作。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支持设备管理,可以对已连接设备锁定/解锁操作，被锁定设备将无法传屏。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★可支持至少6个投屏画面同时在大屏上显示，同步显示来自Android、iOS、Windows、MacOS 等不同系统的投屏画面，分屏自动排布。支持一键全屏显示，一键返回。 上传图片单次可选9张，任意发送端不限上传次数，支持不限量分屏查看。 接收端支持索引，对任意图片进行全屏、旋转、缩放、关闭，支持手势翻页、缩放。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支持音视频、图片分类展示，展示画面自由切换。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接收端提供上传目录，可存放并查看、复制、导出上传7天内的教学图片。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接收端支持申请模式和普通模式，在申请模式下，对发送端的投屏互动进行审批管理，审批后可进行相应的互动操作。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发送端连接成功后，主界面可快速打开本地音/视频传屏、照片传屏、文档传屏、摄像头直播。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手机发送端上传音视频成功后，支持在手机上控制音视频的音量大小、播放进度、播放/暂停。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移动发送端投屏时，支持横竖切换。 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直播画面支持流畅与清晰模式切换。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支持悬浮窗大小模式切换。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69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移动授课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支持手机、pad移动端与交互平板连接后，可实现常用功能如影像上传、投屏、播放课件、直播。支持对上传的图片内容再次编辑如裁剪、马赛克等操作，可同时上传多张照片进行同屏对比，双向批注；手机与交互平板电脑画面双向互传，可实现手机实时控制、随时批注交互平板电脑桌面；一键打开电脑桌面ppt课件并播放；还可实现手机移动直播功能；u盘文件直读、一键切换电脑窗口文件、模拟鼠标等功能；方便教师及时分享各类资源。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69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评价系统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1、支持老师对全班或单个学生进行评价，评价结果可撤回。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2、支持管理者查看所有班级学生的评价得分。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3、支持随机抽选学生进行评价。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4、支持桌面显示光荣榜，可显示班级学生的本日、本周的排名情况，可设置隐藏。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5、支持教师通过PC客户端、安卓手机端、苹果手机端登录使用。支持家长通过安卓手机端、苹果手机端端查看学生表现。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69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班务管理系统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1、★ 具有专门的通知发送工具，成员选择支持一个或多个班级中的全部或部分成员。通知接收者单独收到该条通知。支持教师编辑带回执的通知，回执内容支持自定义。通知查看或回执结果自动统计形成直观报表；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2、通知支持教师自主撰写文字，支持图片、拍照、语音、文件、外链等附件。支持以免费短信、免费语音电话的形式提醒未查看或未反馈的家长及时处理；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3、支持教师创建带主题的讨论组，可设置讨论组默认结束时间，结束后自动全员禁言。讨论组创建者7天内可撤回任意成员的消息。支持与班级内任一成员发起一对一聊天或拨打成员电话；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4、支持教师创建相册并上传照片、视频供家长查看。上传的照片、视频支持家长下载；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69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集中控制平台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设备详情：可查看局域网内所有设备的状态，包括在线、离线状态，教室名称信号源、内存使用率、CPU使用率、C盘使用率，音量、音响模式、节能模式。支持按照设备类型、设备名称进行查询筛选；支持按列表展示以及按缩略图展示；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2.远程监控：实时监控当前设备桌面，支持同时查看多台设备；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3.即时操作控制：批量对选定的受控设备进行关机、重启、触控切换（屏幕触控锁定、解锁），信号源切换、音量调节、系统备份/还原、音响模式切换、远程节能切换及打铃操作；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.定时操作控制：可远程对选定的设备做定时关机、定时打铃、定时切换信号源、定时信息发布，实现单次、每日循环、每周循环、每月循环的定时控制。支持定时操作列表查询，并可对具体某项定时操作进行再次编辑；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5.远程控制：可远程控制所选择设备桌面，方便用户管理；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6.控制列表：支持查看控制列表，查看立即控制、定时计划、信息发布等内容；包含下发命令内容、执行时间、执行策略、已执行数量等内容；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可对具体某项定时操作进行撤销；并可查看定时计划名称、命令、执行策略、计划状态等内容；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7.发布信息：可即时向任意选定的设备发布纯文本信息，支持常驻桌面型、滚动发布型及气泡弹出提示，可设置播放时长，支持再次编辑；支持设置字体及字体颜色； 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8.文件分发：支持多文件推送至任意选定的设备，包括文本、图片、pdf、word、excel、ppt、flash、音视频； 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9.软件管理：可上传软件至集控平台，可远程安装/卸载，便于管理终端软件；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三、数据统计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以图文形式对设备的使用情况进行数据统计，可以按照一定时间周期进行统计，也支持按日、周、月进行统计；统计内容包括设备数量、设备开机率、设备开机时长、软件使用活跃度、设备活跃度排行、设备使用时长分布、设备在线数量等，支持以统计图表显示及以excel格式导出；支持将统计图表内容以pdf形式，每周推送至用户移动端中；区级管理员可查看该区域下所有学校设备数据，校级管理员可查看本校所有设备数据；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四、视频直播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用户可预约直播，选择日期、时间进行预约；直播开始时，接收端弹出10秒倒计时提醒，直播时间结束时，自动关闭直播；直播时可选择音频直播/视频直播，可调节视频源、音量等。支持查看直播列表，包含直播名称、预约时间、直播类型、预约设备、创建时间、删除等。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五、信息发布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、服务器端：模板中心内置节目模板，支持横版、竖版，可根据主题和场景进行归类，数量不低于100个；支持图片、视频、网页等内容同一页面同时播放；支持对接第三方提供的网页接口和第三方课表、考勤、作业、班级荣誉、德育排名、通知公告等；系统内置不低于5套不同风格的课表、考勤样式，支持今日课表、周课表、我的课表、我的考勤等内容展示；为区校级管理员提供数据报告，可对设备运行情况进行统计，包括设备数量、设备开机率、设备在线时长及详情，可对软件使用情况进行统计，包括活跃用户排行、资源等进行统计；数据报告可导出报表；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、终端：支持任意分割画面播放，可分区展示图片、视频、文字、时间、天气、班级圈、对接第三方内容等各类显示信息；交互平板上可自动按照播放计划进行课间内容的展示；交互平板课间播放节目支持倒计时提醒，教师可取消或退出课间节目的播放   ★为保证系统兼容性，所投集中管理控制平台须与交互平板为同一企业研发，并具有集中管理控制平台知识产权证明文件及相关软件测试报告，投标时提供相关证书或报告复印件加盖制造厂商公章。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系统</w:t>
            </w:r>
            <w:r>
              <w:rPr>
                <w:rFonts w:hint="eastAsia"/>
                <w:color w:val="000000"/>
              </w:rPr>
              <w:t>集成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安装，运输，线材，培训，辅材，系统集成</w:t>
            </w:r>
            <w:r>
              <w:rPr>
                <w:rFonts w:hint="eastAsia"/>
                <w:color w:val="000000"/>
              </w:rPr>
              <w:t>。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69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套</w:t>
            </w:r>
          </w:p>
        </w:tc>
      </w:tr>
    </w:tbl>
    <w:p>
      <w:pPr>
        <w:spacing w:line="500" w:lineRule="exact"/>
        <w:ind w:firstLine="723" w:firstLineChars="200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pStyle w:val="4"/>
        <w:spacing w:before="200" w:after="200" w:line="360" w:lineRule="auto"/>
        <w:jc w:val="left"/>
        <w:rPr>
          <w:rFonts w:hint="eastAsia" w:ascii="宋体" w:hAnsi="宋体"/>
          <w:sz w:val="30"/>
          <w:szCs w:val="30"/>
        </w:rPr>
      </w:pPr>
    </w:p>
    <w:tbl>
      <w:tblPr>
        <w:tblStyle w:val="13"/>
        <w:tblW w:w="9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701"/>
        <w:gridCol w:w="1306"/>
        <w:gridCol w:w="952"/>
        <w:gridCol w:w="5665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noWrap w:val="0"/>
            <w:vAlign w:val="center"/>
          </w:tcPr>
          <w:p>
            <w:pPr>
              <w:spacing w:line="240" w:lineRule="auto"/>
              <w:ind w:firstLine="28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240" w:lineRule="auto"/>
              <w:ind w:firstLine="28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240" w:lineRule="auto"/>
              <w:ind w:firstLine="28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评分因素</w:t>
            </w:r>
          </w:p>
          <w:p>
            <w:pPr>
              <w:spacing w:line="240" w:lineRule="auto"/>
              <w:ind w:firstLine="28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及权重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240" w:lineRule="auto"/>
              <w:ind w:firstLine="28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分值</w:t>
            </w:r>
          </w:p>
        </w:tc>
        <w:tc>
          <w:tcPr>
            <w:tcW w:w="5665" w:type="dxa"/>
            <w:noWrap w:val="0"/>
            <w:vAlign w:val="center"/>
          </w:tcPr>
          <w:p>
            <w:pPr>
              <w:spacing w:line="240" w:lineRule="auto"/>
              <w:ind w:firstLine="28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评分标准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pStyle w:val="34"/>
              <w:spacing w:before="0"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5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价格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部分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30分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240" w:lineRule="auto"/>
              <w:ind w:firstLine="2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uto"/>
              <w:ind w:firstLine="2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投标报价</w:t>
            </w:r>
          </w:p>
          <w:p>
            <w:pPr>
              <w:spacing w:line="240" w:lineRule="auto"/>
              <w:ind w:firstLine="2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（30分）</w:t>
            </w:r>
          </w:p>
          <w:p>
            <w:pPr>
              <w:spacing w:line="240" w:lineRule="auto"/>
              <w:ind w:firstLine="2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spacing w:line="240" w:lineRule="auto"/>
              <w:ind w:firstLine="2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30分</w:t>
            </w:r>
          </w:p>
        </w:tc>
        <w:tc>
          <w:tcPr>
            <w:tcW w:w="5665" w:type="dxa"/>
            <w:noWrap w:val="0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bookmarkStart w:id="4" w:name="_Toc30109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投标报价得分＝（评标基准价/投标报价）×价格权重×100。</w:t>
            </w:r>
            <w:bookmarkEnd w:id="4"/>
          </w:p>
          <w:p>
            <w:pPr>
              <w:pStyle w:val="4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bookmarkStart w:id="5" w:name="_Toc27297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取所有有效投标价格的最低报价为基准价。</w:t>
            </w:r>
            <w:bookmarkEnd w:id="5"/>
          </w:p>
        </w:tc>
        <w:tc>
          <w:tcPr>
            <w:tcW w:w="794" w:type="dxa"/>
            <w:noWrap w:val="0"/>
            <w:vAlign w:val="center"/>
          </w:tcPr>
          <w:p>
            <w:pPr>
              <w:spacing w:line="240" w:lineRule="auto"/>
              <w:ind w:left="-38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atLeast"/>
          <w:jc w:val="center"/>
        </w:trPr>
        <w:tc>
          <w:tcPr>
            <w:tcW w:w="565" w:type="dxa"/>
            <w:noWrap w:val="0"/>
            <w:vAlign w:val="center"/>
          </w:tcPr>
          <w:p>
            <w:pPr>
              <w:spacing w:line="240" w:lineRule="auto"/>
              <w:ind w:firstLine="2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240" w:lineRule="auto"/>
              <w:ind w:firstLine="2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技术部分</w:t>
            </w:r>
          </w:p>
          <w:p>
            <w:pPr>
              <w:spacing w:line="240" w:lineRule="auto"/>
              <w:ind w:firstLine="2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240" w:lineRule="auto"/>
              <w:ind w:firstLine="2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技术响应</w:t>
            </w:r>
          </w:p>
          <w:p>
            <w:pPr>
              <w:spacing w:line="240" w:lineRule="auto"/>
              <w:ind w:firstLine="2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240" w:lineRule="auto"/>
              <w:ind w:firstLine="2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5665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所投产品需全部满足技术参数要求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的得40分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，一般参数负偏离1项扣3分，带★参数负偏离1项扣5分，扣完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为止。参数中要求提供的证明材料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文件等均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按要求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在投标文件中体现，未体现的视为负偏离。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1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01" w:type="dxa"/>
            <w:vMerge w:val="restart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商务部分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生产厂商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荣誉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资质评分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240" w:lineRule="auto"/>
              <w:ind w:firstLine="2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5665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生产厂商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荣誉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资质评分：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1、交互式一体机生产企业获得国家科学技术进步奖证书；得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分，未提供不得分；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2、交互式一体机制造商具有有效期内的产品 3C 认证证书（申请人、制造商、生产厂必须为同一企业），不接受 OEM 等代工方式产品，提供权威网站截图;得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分，OEM产品不得分；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3、提供交互式一体机整机检测报告得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分，不提供不得分；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教学软件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仿真实验室，教育云平台软件著作权登记证书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分，未提供不得分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                                     </w:t>
            </w:r>
          </w:p>
        </w:tc>
        <w:tc>
          <w:tcPr>
            <w:tcW w:w="794" w:type="dxa"/>
            <w:vMerge w:val="restart"/>
            <w:noWrap w:val="0"/>
            <w:vAlign w:val="center"/>
          </w:tcPr>
          <w:p>
            <w:pPr>
              <w:spacing w:line="240" w:lineRule="auto"/>
              <w:ind w:left="-38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atLeast"/>
          <w:jc w:val="center"/>
        </w:trPr>
        <w:tc>
          <w:tcPr>
            <w:tcW w:w="565" w:type="dxa"/>
            <w:vMerge w:val="continue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line="240" w:lineRule="auto"/>
              <w:ind w:firstLine="2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售后服务</w:t>
            </w:r>
          </w:p>
          <w:p>
            <w:pPr>
              <w:spacing w:line="240" w:lineRule="auto"/>
              <w:ind w:firstLine="2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评分</w:t>
            </w:r>
          </w:p>
          <w:p>
            <w:pPr>
              <w:spacing w:line="240" w:lineRule="auto"/>
              <w:ind w:firstLine="2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240" w:lineRule="auto"/>
              <w:ind w:firstLine="2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5665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评分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</w:p>
          <w:p>
            <w:pPr>
              <w:numPr>
                <w:ilvl w:val="0"/>
                <w:numId w:val="3"/>
              </w:numPr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提供交互一体机制造商售后服务认证证书（服务成熟度达五星以上）得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分，不提供不得分；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售后服务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方案、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投标人提供具体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售后服务方案：（0-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分）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eastAsia="zh-CN"/>
              </w:rPr>
              <w:t>最高得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4分。</w:t>
            </w:r>
          </w:p>
        </w:tc>
        <w:tc>
          <w:tcPr>
            <w:tcW w:w="794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line="240" w:lineRule="auto"/>
              <w:ind w:firstLine="2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投标人业绩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评分</w:t>
            </w:r>
          </w:p>
          <w:p>
            <w:pPr>
              <w:spacing w:line="240" w:lineRule="auto"/>
              <w:ind w:firstLine="2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240" w:lineRule="auto"/>
              <w:ind w:firstLine="28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5665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投标人有同类项目经验的，每提供1个得2分，最多得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提供合同关键页加盖单位公章。</w:t>
            </w:r>
          </w:p>
        </w:tc>
        <w:tc>
          <w:tcPr>
            <w:tcW w:w="794" w:type="dxa"/>
            <w:vMerge w:val="continue"/>
            <w:noWrap w:val="0"/>
            <w:vAlign w:val="center"/>
          </w:tcPr>
          <w:p>
            <w:pPr>
              <w:spacing w:line="240" w:lineRule="auto"/>
              <w:ind w:left="-38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备注：专家论证费和专家评审费由中标人承担。</w:t>
      </w:r>
    </w:p>
    <w:p>
      <w:pPr>
        <w:rPr>
          <w:rFonts w:hint="eastAsia" w:ascii="宋体" w:hAnsi="宋体"/>
          <w:color w:val="auto"/>
          <w:sz w:val="20"/>
          <w:highlight w:val="white"/>
          <w:lang w:eastAsia="zh-CN"/>
        </w:rPr>
      </w:pPr>
      <w:r>
        <w:rPr>
          <w:rFonts w:hint="eastAsia" w:ascii="宋体" w:hAnsi="宋体"/>
          <w:color w:val="auto"/>
          <w:sz w:val="20"/>
          <w:highlight w:val="white"/>
        </w:rPr>
        <w:t xml:space="preserve"> </w:t>
      </w:r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139BB1"/>
    <w:multiLevelType w:val="singleLevel"/>
    <w:tmpl w:val="D5139BB1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7C22E82"/>
    <w:multiLevelType w:val="singleLevel"/>
    <w:tmpl w:val="E7C22E8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8130DFB"/>
    <w:multiLevelType w:val="singleLevel"/>
    <w:tmpl w:val="08130DF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52170"/>
    <w:rsid w:val="019656D4"/>
    <w:rsid w:val="025C1FC0"/>
    <w:rsid w:val="02A03C48"/>
    <w:rsid w:val="04053D83"/>
    <w:rsid w:val="040C3561"/>
    <w:rsid w:val="044F7412"/>
    <w:rsid w:val="04A04175"/>
    <w:rsid w:val="05227056"/>
    <w:rsid w:val="055F495A"/>
    <w:rsid w:val="06BE40C9"/>
    <w:rsid w:val="09BD7216"/>
    <w:rsid w:val="0A2948D5"/>
    <w:rsid w:val="0AFA01CF"/>
    <w:rsid w:val="0BE52170"/>
    <w:rsid w:val="0C12316E"/>
    <w:rsid w:val="0F723765"/>
    <w:rsid w:val="124E4CF9"/>
    <w:rsid w:val="156108C9"/>
    <w:rsid w:val="156C1119"/>
    <w:rsid w:val="15907F5B"/>
    <w:rsid w:val="1624122A"/>
    <w:rsid w:val="16674D3D"/>
    <w:rsid w:val="17320C4D"/>
    <w:rsid w:val="1A544667"/>
    <w:rsid w:val="1AF45D39"/>
    <w:rsid w:val="1B8E7A6F"/>
    <w:rsid w:val="1BC620E4"/>
    <w:rsid w:val="1BC953AD"/>
    <w:rsid w:val="1C223593"/>
    <w:rsid w:val="1DA94B31"/>
    <w:rsid w:val="1DED6146"/>
    <w:rsid w:val="1DF70BE2"/>
    <w:rsid w:val="1E1C734C"/>
    <w:rsid w:val="1FA552BD"/>
    <w:rsid w:val="1FDE647D"/>
    <w:rsid w:val="21075005"/>
    <w:rsid w:val="22717992"/>
    <w:rsid w:val="229C33A8"/>
    <w:rsid w:val="23103604"/>
    <w:rsid w:val="2322146C"/>
    <w:rsid w:val="26A872DC"/>
    <w:rsid w:val="27B96CE8"/>
    <w:rsid w:val="2B477BC9"/>
    <w:rsid w:val="2B4937C0"/>
    <w:rsid w:val="2DD0334B"/>
    <w:rsid w:val="2F000D0A"/>
    <w:rsid w:val="318A1C77"/>
    <w:rsid w:val="319C2700"/>
    <w:rsid w:val="340F7004"/>
    <w:rsid w:val="345D6BCD"/>
    <w:rsid w:val="34E105F2"/>
    <w:rsid w:val="351F7BA9"/>
    <w:rsid w:val="35C04321"/>
    <w:rsid w:val="37E76C1D"/>
    <w:rsid w:val="39AC072B"/>
    <w:rsid w:val="3AB406EF"/>
    <w:rsid w:val="3D067007"/>
    <w:rsid w:val="422E1229"/>
    <w:rsid w:val="426352F3"/>
    <w:rsid w:val="42E66127"/>
    <w:rsid w:val="44105AD8"/>
    <w:rsid w:val="455E210C"/>
    <w:rsid w:val="46401E44"/>
    <w:rsid w:val="47C86602"/>
    <w:rsid w:val="49805174"/>
    <w:rsid w:val="4B072103"/>
    <w:rsid w:val="4B0B0FAA"/>
    <w:rsid w:val="4C2B7A40"/>
    <w:rsid w:val="4DCB07C7"/>
    <w:rsid w:val="4E595DA0"/>
    <w:rsid w:val="4E98237F"/>
    <w:rsid w:val="52586C04"/>
    <w:rsid w:val="526C288D"/>
    <w:rsid w:val="52725823"/>
    <w:rsid w:val="529E2F4B"/>
    <w:rsid w:val="5445294F"/>
    <w:rsid w:val="54ED528B"/>
    <w:rsid w:val="56C34F82"/>
    <w:rsid w:val="5A213645"/>
    <w:rsid w:val="5B8B7574"/>
    <w:rsid w:val="5BD32A41"/>
    <w:rsid w:val="5D301470"/>
    <w:rsid w:val="5E534C59"/>
    <w:rsid w:val="5F131865"/>
    <w:rsid w:val="5FAB543B"/>
    <w:rsid w:val="60115372"/>
    <w:rsid w:val="61E429AA"/>
    <w:rsid w:val="62AC5CB7"/>
    <w:rsid w:val="63B12314"/>
    <w:rsid w:val="66A756BA"/>
    <w:rsid w:val="68D739A2"/>
    <w:rsid w:val="692449EE"/>
    <w:rsid w:val="6AE44653"/>
    <w:rsid w:val="6B0C104F"/>
    <w:rsid w:val="6D40715A"/>
    <w:rsid w:val="6D535020"/>
    <w:rsid w:val="703D1D01"/>
    <w:rsid w:val="710167A8"/>
    <w:rsid w:val="712658CF"/>
    <w:rsid w:val="72385C09"/>
    <w:rsid w:val="72A01582"/>
    <w:rsid w:val="738744BB"/>
    <w:rsid w:val="73B87E01"/>
    <w:rsid w:val="74594D5B"/>
    <w:rsid w:val="75854221"/>
    <w:rsid w:val="75A77F5F"/>
    <w:rsid w:val="75A92818"/>
    <w:rsid w:val="765C2FCD"/>
    <w:rsid w:val="781C0B5A"/>
    <w:rsid w:val="79D225D2"/>
    <w:rsid w:val="7A427D47"/>
    <w:rsid w:val="7A4C450A"/>
    <w:rsid w:val="7E32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0" w:beforeLines="0" w:line="360" w:lineRule="auto"/>
      <w:ind w:firstLine="0"/>
      <w:jc w:val="center"/>
      <w:outlineLvl w:val="0"/>
    </w:pPr>
    <w:rPr>
      <w:rFonts w:cs="宋体"/>
      <w:b/>
      <w:bCs/>
      <w:kern w:val="44"/>
      <w:sz w:val="32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paragraph" w:styleId="6">
    <w:name w:val="heading 4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360" w:lineRule="auto"/>
      <w:jc w:val="both"/>
      <w:outlineLvl w:val="3"/>
    </w:pPr>
    <w:rPr>
      <w:rFonts w:ascii="宋体" w:hAnsi="Arial" w:cs="宋体"/>
      <w:color w:val="000000"/>
    </w:rPr>
  </w:style>
  <w:style w:type="character" w:default="1" w:styleId="15">
    <w:name w:val="Default Paragraph Font"/>
    <w:link w:val="16"/>
    <w:semiHidden/>
    <w:qFormat/>
    <w:uiPriority w:val="0"/>
    <w:rPr>
      <w:rFonts w:ascii="Times New Roman" w:hAnsi="Times New Roman"/>
      <w:szCs w:val="24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7">
    <w:name w:val="Normal Indent"/>
    <w:basedOn w:val="1"/>
    <w:qFormat/>
    <w:uiPriority w:val="0"/>
    <w:pPr>
      <w:ind w:firstLine="420"/>
    </w:pPr>
  </w:style>
  <w:style w:type="paragraph" w:styleId="8">
    <w:name w:val="Body Text 3"/>
    <w:basedOn w:val="1"/>
    <w:qFormat/>
    <w:uiPriority w:val="0"/>
    <w:rPr>
      <w:rFonts w:ascii="宋体"/>
      <w:kern w:val="2"/>
      <w:sz w:val="24"/>
    </w:rPr>
  </w:style>
  <w:style w:type="paragraph" w:styleId="9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Char Char Char Char Char Char"/>
    <w:basedOn w:val="1"/>
    <w:link w:val="15"/>
    <w:qFormat/>
    <w:uiPriority w:val="0"/>
    <w:rPr>
      <w:rFonts w:ascii="Times New Roman" w:hAnsi="Times New Roman"/>
      <w:szCs w:val="24"/>
    </w:rPr>
  </w:style>
  <w:style w:type="character" w:styleId="17">
    <w:name w:val="Strong"/>
    <w:basedOn w:val="15"/>
    <w:qFormat/>
    <w:uiPriority w:val="0"/>
    <w:rPr>
      <w:b/>
    </w:rPr>
  </w:style>
  <w:style w:type="character" w:styleId="18">
    <w:name w:val="page number"/>
    <w:basedOn w:val="15"/>
    <w:qFormat/>
    <w:uiPriority w:val="0"/>
  </w:style>
  <w:style w:type="character" w:styleId="19">
    <w:name w:val="FollowedHyperlink"/>
    <w:basedOn w:val="15"/>
    <w:qFormat/>
    <w:uiPriority w:val="0"/>
    <w:rPr>
      <w:color w:val="333333"/>
      <w:u w:val="none"/>
    </w:rPr>
  </w:style>
  <w:style w:type="character" w:styleId="20">
    <w:name w:val="Emphasis"/>
    <w:basedOn w:val="15"/>
    <w:qFormat/>
    <w:uiPriority w:val="0"/>
  </w:style>
  <w:style w:type="character" w:styleId="21">
    <w:name w:val="HTML Definition"/>
    <w:basedOn w:val="15"/>
    <w:qFormat/>
    <w:uiPriority w:val="0"/>
    <w:rPr>
      <w:i/>
    </w:rPr>
  </w:style>
  <w:style w:type="character" w:styleId="22">
    <w:name w:val="Hyperlink"/>
    <w:basedOn w:val="15"/>
    <w:qFormat/>
    <w:uiPriority w:val="0"/>
    <w:rPr>
      <w:color w:val="333333"/>
      <w:u w:val="none"/>
    </w:rPr>
  </w:style>
  <w:style w:type="character" w:styleId="23">
    <w:name w:val="HTML Code"/>
    <w:basedOn w:val="1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24">
    <w:name w:val="HTML Keyboard"/>
    <w:basedOn w:val="15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5">
    <w:name w:val="HTML Sample"/>
    <w:basedOn w:val="15"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26">
    <w:name w:val="列出段落1"/>
    <w:basedOn w:val="1"/>
    <w:qFormat/>
    <w:uiPriority w:val="34"/>
    <w:pPr>
      <w:ind w:firstLine="420" w:firstLineChars="200"/>
    </w:pPr>
  </w:style>
  <w:style w:type="character" w:customStyle="1" w:styleId="27">
    <w:name w:val="font0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21"/>
    <w:basedOn w:val="1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29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styleId="3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</w:rPr>
  </w:style>
  <w:style w:type="paragraph" w:customStyle="1" w:styleId="31">
    <w:name w:val="_Style 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2">
    <w:name w:val="_Style 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3">
    <w:name w:val="hover4"/>
    <w:basedOn w:val="15"/>
    <w:qFormat/>
    <w:uiPriority w:val="0"/>
    <w:rPr>
      <w:color w:val="999999"/>
    </w:rPr>
  </w:style>
  <w:style w:type="paragraph" w:customStyle="1" w:styleId="3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1877</Words>
  <Characters>1969</Characters>
  <Lines>0</Lines>
  <Paragraphs>0</Paragraphs>
  <TotalTime>3</TotalTime>
  <ScaleCrop>false</ScaleCrop>
  <LinksUpToDate>false</LinksUpToDate>
  <CharactersWithSpaces>1971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2018-07-11T06:18:00Z</dcterms:created>
  <dc:creator>待续</dc:creator>
  <cp:lastModifiedBy>Lily-servienne</cp:lastModifiedBy>
  <cp:lastPrinted>2018-11-02T03:19:00Z</cp:lastPrinted>
  <dcterms:modified xsi:type="dcterms:W3CDTF">2020-10-19T03:30:24Z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