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bookmarkStart w:id="0" w:name="OLE_LINK1"/>
      <w:bookmarkStart w:id="1" w:name="OLE_LINK2"/>
      <w:bookmarkStart w:id="2" w:name="OLE_LINK4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1.项目名称：铜仁市万山区2020年第一批公务用车政府采购项目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2.项目编号：TRZFCG-2020-156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3.采购方式：公开招标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2020年10月14日-2020年10月15日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采购预算：1399000.00元（最高限价：1399000.00元）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铜仁市万山区政府采购实施计划备案表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7.采购人名称：铜仁市万山区机关事务中心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联系地址：铜仁市万山区机关事务中心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项目联系人：冷先生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联系电话：13017006671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项目联系人:杨惠茹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6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</w:p>
    <w:p>
      <w:pPr>
        <w:pStyle w:val="16"/>
        <w:ind w:left="0" w:leftChars="0" w:firstLine="0" w:firstLineChars="0"/>
        <w:jc w:val="center"/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铜仁市万山区2020年第一批公务用车政府采购项目</w:t>
      </w:r>
      <w:r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  <w:t>参数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 w:ascii="黑体" w:eastAsia="黑体"/>
          <w:sz w:val="48"/>
          <w:szCs w:val="48"/>
          <w:lang w:eastAsia="zh-CN"/>
        </w:rPr>
      </w:pPr>
      <w:bookmarkStart w:id="3" w:name="title"/>
      <w:r>
        <w:rPr>
          <w:rFonts w:hint="eastAsia" w:ascii="黑体" w:eastAsia="黑体"/>
          <w:sz w:val="48"/>
          <w:szCs w:val="48"/>
        </w:rPr>
        <w:t>路面养护车</w:t>
      </w:r>
      <w:bookmarkStart w:id="4" w:name="pic"/>
      <w:r>
        <w:rPr>
          <w:rFonts w:hint="eastAsia" w:ascii="黑体" w:eastAsia="黑体"/>
          <w:sz w:val="48"/>
          <w:szCs w:val="48"/>
          <w:lang w:eastAsia="zh-CN"/>
        </w:rPr>
        <w:t>（</w:t>
      </w:r>
      <w:r>
        <w:rPr>
          <w:rFonts w:hint="eastAsia" w:ascii="黑体" w:eastAsia="黑体"/>
          <w:sz w:val="48"/>
          <w:szCs w:val="48"/>
          <w:lang w:val="en-US" w:eastAsia="zh-CN"/>
        </w:rPr>
        <w:t>3辆</w:t>
      </w:r>
      <w:r>
        <w:rPr>
          <w:rFonts w:hint="eastAsia" w:ascii="黑体" w:eastAsia="黑体"/>
          <w:sz w:val="48"/>
          <w:szCs w:val="48"/>
          <w:lang w:eastAsia="zh-CN"/>
        </w:rPr>
        <w:t>）</w:t>
      </w:r>
    </w:p>
    <w:bookmarkEnd w:id="3"/>
    <w:bookmarkEnd w:id="4"/>
    <w:tbl>
      <w:tblPr>
        <w:tblStyle w:val="17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6"/>
        <w:gridCol w:w="2948"/>
        <w:gridCol w:w="2053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40" w:type="dxa"/>
            <w:gridSpan w:val="5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【整车技术参数】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产品名称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5" w:name="cpmc"/>
            <w:r>
              <w:rPr>
                <w:rFonts w:ascii="宋体" w:hAnsi="宋体"/>
                <w:sz w:val="24"/>
                <w:szCs w:val="24"/>
              </w:rPr>
              <w:t>路面养护车</w:t>
            </w:r>
            <w:bookmarkEnd w:id="5"/>
          </w:p>
        </w:tc>
        <w:tc>
          <w:tcPr>
            <w:tcW w:w="5023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产品必须满足国家有效的免征公告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bookmarkStart w:id="6" w:name="zzl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3495</w:t>
            </w:r>
            <w:bookmarkEnd w:id="6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罐体容积</w:t>
            </w:r>
            <w:r>
              <w:rPr>
                <w:rFonts w:ascii="宋体" w:hAnsi="宋体"/>
                <w:sz w:val="24"/>
                <w:szCs w:val="24"/>
              </w:rPr>
              <w:t>(m3)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7" w:name="gtrj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额定载质量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bookmarkStart w:id="8" w:name="edzl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≤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1105</w:t>
            </w:r>
            <w:bookmarkEnd w:id="8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　　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外形尺寸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bookmarkStart w:id="9" w:name="c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5250</w:t>
            </w:r>
            <w:bookmarkEnd w:id="9"/>
            <w:bookmarkStart w:id="10" w:name="k"/>
            <w:r>
              <w:rPr>
                <w:rFonts w:ascii="宋体" w:hAnsi="宋体"/>
                <w:sz w:val="24"/>
                <w:szCs w:val="24"/>
                <w:highlight w:val="none"/>
              </w:rPr>
              <w:t>×1750</w:t>
            </w:r>
            <w:bookmarkEnd w:id="10"/>
            <w:bookmarkStart w:id="11" w:name="g"/>
            <w:r>
              <w:rPr>
                <w:rFonts w:ascii="宋体" w:hAnsi="宋体"/>
                <w:sz w:val="24"/>
                <w:szCs w:val="24"/>
                <w:highlight w:val="none"/>
              </w:rPr>
              <w:t>×2150</w:t>
            </w:r>
            <w:bookmarkEnd w:id="11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整备质量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bookmarkStart w:id="12" w:name="zbzl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2260</w:t>
            </w:r>
            <w:bookmarkEnd w:id="12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货厢尺寸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13" w:name="hc"/>
            <w:bookmarkEnd w:id="13"/>
            <w:r>
              <w:rPr>
                <w:rFonts w:ascii="宋体" w:hAnsi="宋体"/>
                <w:sz w:val="24"/>
                <w:szCs w:val="24"/>
              </w:rPr>
              <w:t>×</w:t>
            </w:r>
            <w:bookmarkStart w:id="14" w:name="hk"/>
            <w:bookmarkEnd w:id="14"/>
            <w:r>
              <w:rPr>
                <w:rFonts w:ascii="宋体" w:hAnsi="宋体"/>
                <w:sz w:val="24"/>
                <w:szCs w:val="24"/>
              </w:rPr>
              <w:t>×</w:t>
            </w:r>
            <w:bookmarkStart w:id="15" w:name="hg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额定载客</w:t>
            </w:r>
            <w:r>
              <w:rPr>
                <w:rFonts w:ascii="宋体" w:hAnsi="宋体"/>
                <w:sz w:val="24"/>
                <w:szCs w:val="24"/>
              </w:rPr>
              <w:t>(人)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16" w:name="edzk"/>
            <w:bookmarkEnd w:id="16"/>
            <w:r>
              <w:rPr>
                <w:rFonts w:ascii="宋体" w:hAnsi="宋体"/>
                <w:sz w:val="24"/>
                <w:szCs w:val="24"/>
              </w:rPr>
              <w:t>××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准拖挂车总质量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17" w:name="gczl"/>
            <w:bookmarkEnd w:id="17"/>
            <w:r>
              <w:rPr>
                <w:rFonts w:ascii="宋体" w:hAnsi="宋体"/>
                <w:sz w:val="24"/>
                <w:szCs w:val="24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驾驶室准乘人数</w:t>
            </w:r>
            <w:r>
              <w:rPr>
                <w:rFonts w:ascii="宋体" w:hAnsi="宋体"/>
                <w:sz w:val="24"/>
                <w:szCs w:val="24"/>
              </w:rPr>
              <w:t>(人)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18" w:name="qpck"/>
            <w:r>
              <w:rPr>
                <w:rFonts w:ascii="宋体" w:hAnsi="宋体"/>
                <w:sz w:val="24"/>
                <w:szCs w:val="24"/>
              </w:rPr>
              <w:t>2</w:t>
            </w:r>
            <w:bookmarkEnd w:id="18"/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鞍座最大载质量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19" w:name="zaizl"/>
            <w:bookmarkEnd w:id="19"/>
            <w:r>
              <w:rPr>
                <w:rFonts w:ascii="宋体" w:hAnsi="宋体"/>
                <w:sz w:val="24"/>
                <w:szCs w:val="24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接近角</w:t>
            </w:r>
            <w:r>
              <w:rPr>
                <w:rFonts w:ascii="宋体" w:hAnsi="宋体"/>
                <w:sz w:val="24"/>
                <w:szCs w:val="24"/>
              </w:rPr>
              <w:t>/离去角(°)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bookmarkStart w:id="20" w:name="jjlqj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25/20</w:t>
            </w:r>
            <w:bookmarkEnd w:id="20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　　　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前悬</w:t>
            </w:r>
            <w:r>
              <w:rPr>
                <w:rFonts w:ascii="宋体" w:hAnsi="宋体"/>
                <w:sz w:val="24"/>
                <w:szCs w:val="24"/>
              </w:rPr>
              <w:t>/后悬(mm)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bookmarkStart w:id="21" w:name="qxhx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720/1330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轴荷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bookmarkStart w:id="22" w:name="zh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1100/2395</w:t>
            </w:r>
            <w:bookmarkEnd w:id="22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　　　　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最高车速</w:t>
            </w:r>
            <w:r>
              <w:rPr>
                <w:rFonts w:ascii="宋体" w:hAnsi="宋体"/>
                <w:sz w:val="24"/>
                <w:szCs w:val="24"/>
              </w:rPr>
              <w:t>(Km/h)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23" w:name="zgcs"/>
            <w:r>
              <w:rPr>
                <w:rFonts w:ascii="宋体" w:hAnsi="宋体"/>
                <w:sz w:val="24"/>
                <w:szCs w:val="24"/>
              </w:rPr>
              <w:t>100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0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98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24" w:name="qt"/>
            <w:r>
              <w:rPr>
                <w:rFonts w:ascii="宋体" w:hAnsi="宋体"/>
                <w:sz w:val="24"/>
                <w:szCs w:val="24"/>
              </w:rPr>
              <w:t>此车前伸为350mm.该车为路面养护专用作业车,前部悬挂安装有喷洒架用于路面养护.ABS控制系统型号/控制方式:YF8/四通道式.随底盘选装驾驶室.DK15C发动机净功率为78kW.选装外形图片.当此车不选装装前伸时,整车长/后悬对应关系为(mm):4850/1280;选装前伸时,整车长/后悬对应关系为(mm):5250/1330.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40" w:type="dxa"/>
            <w:gridSpan w:val="5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【</w:t>
            </w:r>
            <w:bookmarkStart w:id="25" w:name="qtorzc"/>
            <w:r>
              <w:rPr>
                <w:rFonts w:hint="eastAsia" w:ascii="宋体" w:hAnsi="宋体"/>
                <w:b/>
                <w:sz w:val="24"/>
                <w:szCs w:val="24"/>
              </w:rPr>
              <w:t>底盘技术</w:t>
            </w:r>
            <w:bookmarkEnd w:id="25"/>
            <w:r>
              <w:rPr>
                <w:rFonts w:hint="eastAsia" w:ascii="宋体" w:hAnsi="宋体"/>
                <w:b/>
                <w:sz w:val="24"/>
                <w:szCs w:val="24"/>
              </w:rPr>
              <w:t>参数】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69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底盘名称</w:t>
            </w:r>
            <w:bookmarkStart w:id="26" w:name="dpmc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bookmarkEnd w:id="26"/>
          </w:p>
        </w:tc>
        <w:tc>
          <w:tcPr>
            <w:tcW w:w="797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载货汽车底盘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轴数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27" w:name="zs"/>
            <w:r>
              <w:rPr>
                <w:rFonts w:ascii="宋体" w:hAnsi="宋体"/>
                <w:sz w:val="24"/>
                <w:szCs w:val="24"/>
              </w:rPr>
              <w:t>2</w:t>
            </w:r>
            <w:bookmarkEnd w:id="27"/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轮胎数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28" w:name="lts"/>
            <w:r>
              <w:rPr>
                <w:rFonts w:ascii="宋体" w:hAnsi="宋体"/>
                <w:sz w:val="24"/>
                <w:szCs w:val="24"/>
              </w:rPr>
              <w:t>6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轴距 (mm)</w:t>
            </w:r>
          </w:p>
        </w:tc>
        <w:tc>
          <w:tcPr>
            <w:tcW w:w="7987" w:type="dxa"/>
            <w:gridSpan w:val="4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29" w:name="zj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2850</w:t>
            </w:r>
            <w:bookmarkEnd w:id="29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轮胎规格</w:t>
            </w:r>
          </w:p>
        </w:tc>
        <w:tc>
          <w:tcPr>
            <w:tcW w:w="798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bookmarkStart w:id="30" w:name="ltgg"/>
            <w:r>
              <w:rPr>
                <w:rFonts w:ascii="宋体" w:hAnsi="宋体"/>
                <w:sz w:val="24"/>
                <w:szCs w:val="24"/>
              </w:rPr>
              <w:t>185R14LT 8PR</w:t>
            </w:r>
            <w:bookmarkEnd w:id="30"/>
            <w:r>
              <w:rPr>
                <w:rFonts w:hint="eastAsia" w:ascii="宋体" w:hAnsi="宋体"/>
                <w:sz w:val="24"/>
                <w:szCs w:val="24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钢板弹簧片数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31" w:name="dpthps"/>
            <w:r>
              <w:rPr>
                <w:rFonts w:ascii="宋体" w:hAnsi="宋体"/>
                <w:sz w:val="24"/>
                <w:szCs w:val="24"/>
                <w:highlight w:val="none"/>
              </w:rPr>
              <w:t>5/7+4,5/3+2</w:t>
            </w:r>
            <w:bookmarkEnd w:id="31"/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前轮距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bookmarkStart w:id="32" w:name="dpqlj"/>
            <w:r>
              <w:rPr>
                <w:rFonts w:ascii="宋体" w:hAnsi="宋体"/>
                <w:sz w:val="24"/>
                <w:szCs w:val="24"/>
                <w:highlight w:val="none"/>
              </w:rPr>
              <w:t>1460</w:t>
            </w:r>
            <w:bookmarkEnd w:id="32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燃料种类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33" w:name="dpryzl"/>
            <w:r>
              <w:rPr>
                <w:rFonts w:ascii="宋体" w:hAnsi="宋体"/>
                <w:sz w:val="24"/>
                <w:szCs w:val="24"/>
              </w:rPr>
              <w:t>汽油</w:t>
            </w:r>
            <w:bookmarkEnd w:id="33"/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后轮距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bookmarkStart w:id="34" w:name="dphlj"/>
            <w:r>
              <w:rPr>
                <w:rFonts w:ascii="宋体" w:hAnsi="宋体"/>
                <w:sz w:val="24"/>
                <w:szCs w:val="24"/>
                <w:highlight w:val="none"/>
              </w:rPr>
              <w:t>1278</w:t>
            </w:r>
            <w:bookmarkEnd w:id="34"/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排放依据标准</w:t>
            </w:r>
          </w:p>
        </w:tc>
        <w:tc>
          <w:tcPr>
            <w:tcW w:w="798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35" w:name="dppfbz"/>
            <w:r>
              <w:rPr>
                <w:rFonts w:ascii="宋体" w:hAnsi="宋体"/>
                <w:sz w:val="24"/>
                <w:szCs w:val="24"/>
              </w:rPr>
              <w:t>GB18352.6-2016国Ⅵ</w:t>
            </w:r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排量（</w:t>
            </w:r>
            <w:r>
              <w:rPr>
                <w:rFonts w:ascii="宋体" w:hAnsi="宋体"/>
                <w:sz w:val="24"/>
                <w:szCs w:val="24"/>
              </w:rPr>
              <w:t>ml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96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1498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功率（</w:t>
            </w:r>
            <w:r>
              <w:rPr>
                <w:rFonts w:ascii="宋体" w:hAnsi="宋体"/>
                <w:sz w:val="24"/>
                <w:szCs w:val="24"/>
              </w:rPr>
              <w:t>Kw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36" w:name="dp_fdjgl"/>
            <w:r>
              <w:rPr>
                <w:rFonts w:ascii="宋体" w:hAnsi="宋体"/>
                <w:sz w:val="24"/>
                <w:szCs w:val="24"/>
              </w:rPr>
              <w:t>82</w:t>
            </w:r>
            <w:bookmarkEnd w:id="36"/>
          </w:p>
        </w:tc>
      </w:tr>
    </w:tbl>
    <w:p>
      <w:pPr>
        <w:jc w:val="center"/>
        <w:rPr>
          <w:rFonts w:hint="eastAsia" w:ascii="黑体" w:eastAsia="黑体"/>
          <w:sz w:val="32"/>
        </w:rPr>
      </w:pPr>
    </w:p>
    <w:p>
      <w:pPr>
        <w:jc w:val="left"/>
        <w:rPr>
          <w:rFonts w:hint="eastAsia" w:ascii="宋体" w:hAnsi="宋体"/>
          <w:sz w:val="20"/>
        </w:rPr>
      </w:pPr>
      <w:bookmarkStart w:id="37" w:name="yj"/>
      <w:bookmarkEnd w:id="37"/>
    </w:p>
    <w:p>
      <w:pPr>
        <w:jc w:val="left"/>
        <w:rPr>
          <w:rFonts w:hint="eastAsia" w:ascii="宋体" w:hAnsi="宋体"/>
          <w:sz w:val="20"/>
        </w:rPr>
      </w:pPr>
    </w:p>
    <w:p>
      <w:pPr>
        <w:jc w:val="left"/>
        <w:rPr>
          <w:rFonts w:hint="eastAsia" w:ascii="宋体" w:hAnsi="宋体"/>
          <w:sz w:val="20"/>
        </w:rPr>
      </w:pPr>
    </w:p>
    <w:p>
      <w:pPr>
        <w:jc w:val="left"/>
        <w:rPr>
          <w:rFonts w:hint="eastAsia" w:ascii="宋体" w:hAnsi="宋体"/>
          <w:sz w:val="20"/>
        </w:rPr>
      </w:pPr>
      <w:bookmarkStart w:id="38" w:name="_GoBack"/>
      <w:bookmarkEnd w:id="38"/>
    </w:p>
    <w:p>
      <w:pPr>
        <w:jc w:val="left"/>
        <w:rPr>
          <w:rFonts w:ascii="宋体" w:hAnsi="宋体"/>
          <w:sz w:val="20"/>
        </w:rPr>
      </w:pP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扫路车</w:t>
      </w:r>
      <w:r>
        <w:rPr>
          <w:rFonts w:hint="eastAsia" w:ascii="黑体" w:eastAsia="黑体"/>
          <w:sz w:val="44"/>
          <w:szCs w:val="44"/>
          <w:lang w:eastAsia="zh-CN"/>
        </w:rPr>
        <w:t>（</w:t>
      </w:r>
      <w:r>
        <w:rPr>
          <w:rFonts w:hint="eastAsia" w:ascii="黑体" w:eastAsia="黑体"/>
          <w:sz w:val="44"/>
          <w:szCs w:val="44"/>
          <w:lang w:val="en-US" w:eastAsia="zh-CN"/>
        </w:rPr>
        <w:t>2辆</w:t>
      </w:r>
      <w:r>
        <w:rPr>
          <w:rFonts w:hint="eastAsia" w:ascii="黑体" w:eastAsia="黑体"/>
          <w:sz w:val="44"/>
          <w:szCs w:val="44"/>
          <w:lang w:eastAsia="zh-CN"/>
        </w:rPr>
        <w:t>）</w:t>
      </w:r>
    </w:p>
    <w:tbl>
      <w:tblPr>
        <w:tblStyle w:val="17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"/>
        <w:gridCol w:w="2910"/>
        <w:gridCol w:w="15"/>
        <w:gridCol w:w="2001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60" w:type="dxa"/>
            <w:gridSpan w:val="6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【整车技术参数】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产品名称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扫路车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4934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产品必须满足国家有效的免征公告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7360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罐体容积</w:t>
            </w:r>
            <w:r>
              <w:rPr>
                <w:rFonts w:ascii="宋体" w:hAnsi="宋体"/>
                <w:sz w:val="24"/>
                <w:szCs w:val="24"/>
              </w:rPr>
              <w:t>(m3)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额定载质量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≥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2130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外形尺寸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≤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6200×2000×2590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整备质量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≤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5100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货厢尺寸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驾驶室准乘人数</w:t>
            </w:r>
            <w:r>
              <w:rPr>
                <w:rFonts w:ascii="宋体" w:hAnsi="宋体"/>
                <w:sz w:val="24"/>
                <w:szCs w:val="24"/>
              </w:rPr>
              <w:t>(人)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鞍座最大载质量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接近角</w:t>
            </w:r>
            <w:r>
              <w:rPr>
                <w:rFonts w:ascii="宋体" w:hAnsi="宋体"/>
                <w:sz w:val="24"/>
                <w:szCs w:val="24"/>
              </w:rPr>
              <w:t>/离去角(°)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24/10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前悬</w:t>
            </w:r>
            <w:r>
              <w:rPr>
                <w:rFonts w:ascii="宋体" w:hAnsi="宋体"/>
                <w:sz w:val="24"/>
                <w:szCs w:val="24"/>
              </w:rPr>
              <w:t>/后悬(mm)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1055/1837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轴荷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2640/4720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最高车速</w:t>
            </w:r>
            <w:r>
              <w:rPr>
                <w:rFonts w:ascii="宋体" w:hAnsi="宋体"/>
                <w:sz w:val="24"/>
                <w:szCs w:val="24"/>
              </w:rPr>
              <w:t>(Km/h)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8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该车主要作用于路面的机械化清扫作业;专用装置为扫刷。2、防护材料:Q235B碳钢,连接方式:左右侧面防护装置由专用装置代替离地高度为(mm):280;后下部防护装置与大梁螺栓连接,后部防护断面尺寸(mm):120×50,后部防护离地高度(mm):380。3、整车长/轴距/后悬的对应关系(mm)为:6200/3308/1837,5905/2950/1900,5505/2700/1750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、随底盘选装驾驶室。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60" w:type="dxa"/>
            <w:gridSpan w:val="6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【底盘技术参数】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底盘名称</w:t>
            </w:r>
          </w:p>
        </w:tc>
        <w:tc>
          <w:tcPr>
            <w:tcW w:w="7844" w:type="dxa"/>
            <w:gridSpan w:val="4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载货汽车底盘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轴数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轮胎数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轴距 (mm)</w:t>
            </w:r>
          </w:p>
        </w:tc>
        <w:tc>
          <w:tcPr>
            <w:tcW w:w="7844" w:type="dxa"/>
            <w:gridSpan w:val="4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3308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轮胎规格</w:t>
            </w:r>
          </w:p>
        </w:tc>
        <w:tc>
          <w:tcPr>
            <w:tcW w:w="7844" w:type="dxa"/>
            <w:gridSpan w:val="4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7.00R16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钢板弹簧片数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6/6+5,3/3+3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前轮距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1519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燃料种类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柴油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后轮距(mm)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排放依据标准</w:t>
            </w:r>
          </w:p>
        </w:tc>
        <w:tc>
          <w:tcPr>
            <w:tcW w:w="78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GB3847-2005,GB17691-2018国Ⅵ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14" w:type="dxa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发动机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排量（</w:t>
            </w:r>
            <w:r>
              <w:rPr>
                <w:rFonts w:hint="eastAsia" w:ascii="宋体" w:hAnsi="宋体"/>
                <w:sz w:val="24"/>
                <w:szCs w:val="24"/>
              </w:rPr>
              <w:t>ml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27" w:type="dxa"/>
            <w:gridSpan w:val="3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2360</w:t>
            </w:r>
          </w:p>
        </w:tc>
        <w:tc>
          <w:tcPr>
            <w:tcW w:w="2001" w:type="dxa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功率(Kw)</w:t>
            </w:r>
          </w:p>
        </w:tc>
        <w:tc>
          <w:tcPr>
            <w:tcW w:w="2918" w:type="dxa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103</w:t>
            </w:r>
          </w:p>
        </w:tc>
      </w:tr>
    </w:tbl>
    <w:p>
      <w:pPr>
        <w:jc w:val="center"/>
        <w:rPr>
          <w:rFonts w:hint="eastAsia" w:ascii="黑体" w:eastAsia="黑体"/>
          <w:sz w:val="32"/>
        </w:rPr>
      </w:pPr>
    </w:p>
    <w:p>
      <w:pPr>
        <w:jc w:val="left"/>
        <w:rPr>
          <w:rFonts w:hint="eastAsia" w:ascii="宋体" w:hAnsi="宋体"/>
          <w:sz w:val="20"/>
        </w:rPr>
      </w:pPr>
    </w:p>
    <w:p>
      <w:pPr>
        <w:jc w:val="left"/>
        <w:rPr>
          <w:rFonts w:hint="eastAsia" w:ascii="宋体" w:hAnsi="宋体"/>
          <w:sz w:val="20"/>
        </w:rPr>
      </w:pP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洒水车</w:t>
      </w:r>
      <w:r>
        <w:rPr>
          <w:rFonts w:hint="eastAsia" w:ascii="黑体" w:eastAsia="黑体"/>
          <w:sz w:val="44"/>
          <w:szCs w:val="44"/>
          <w:lang w:eastAsia="zh-CN"/>
        </w:rPr>
        <w:t>（</w:t>
      </w:r>
      <w:r>
        <w:rPr>
          <w:rFonts w:hint="eastAsia" w:ascii="黑体" w:eastAsia="黑体"/>
          <w:sz w:val="44"/>
          <w:szCs w:val="44"/>
          <w:lang w:val="en-US" w:eastAsia="zh-CN"/>
        </w:rPr>
        <w:t>2辆</w:t>
      </w:r>
      <w:r>
        <w:rPr>
          <w:rFonts w:hint="eastAsia" w:ascii="黑体" w:eastAsia="黑体"/>
          <w:sz w:val="44"/>
          <w:szCs w:val="44"/>
          <w:lang w:eastAsia="zh-CN"/>
        </w:rPr>
        <w:t>）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905"/>
        <w:gridCol w:w="2013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840" w:type="dxa"/>
            <w:gridSpan w:val="4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【整车技术参数】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产品名称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洒水车</w:t>
            </w:r>
          </w:p>
        </w:tc>
        <w:tc>
          <w:tcPr>
            <w:tcW w:w="4922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产品必须满足国家有效的免征公告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16200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罐体容积</w:t>
            </w:r>
            <w:r>
              <w:rPr>
                <w:rFonts w:ascii="宋体" w:hAnsi="宋体"/>
                <w:sz w:val="24"/>
                <w:szCs w:val="24"/>
              </w:rPr>
              <w:t>(m3)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10.08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额定载质量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9670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外形尺寸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7500×2500×3200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整备质量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6400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货厢尺寸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驾驶室准乘人数</w:t>
            </w:r>
            <w:r>
              <w:rPr>
                <w:rFonts w:ascii="宋体" w:hAnsi="宋体"/>
                <w:sz w:val="24"/>
                <w:szCs w:val="24"/>
              </w:rPr>
              <w:t>(人)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鞍座最大载质量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接近角</w:t>
            </w:r>
            <w:r>
              <w:rPr>
                <w:rFonts w:ascii="宋体" w:hAnsi="宋体"/>
                <w:sz w:val="24"/>
                <w:szCs w:val="24"/>
              </w:rPr>
              <w:t>/离去角(°)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19/12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前悬</w:t>
            </w:r>
            <w:r>
              <w:rPr>
                <w:rFonts w:ascii="宋体" w:hAnsi="宋体"/>
                <w:sz w:val="24"/>
                <w:szCs w:val="24"/>
              </w:rPr>
              <w:t>/后悬(mm)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1260/2290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轴荷</w:t>
            </w:r>
            <w:r>
              <w:rPr>
                <w:rFonts w:ascii="宋体" w:hAnsi="宋体"/>
                <w:sz w:val="24"/>
                <w:szCs w:val="24"/>
              </w:rPr>
              <w:t>(Kg)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5600/10600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最高车速</w:t>
            </w:r>
            <w:r>
              <w:rPr>
                <w:rFonts w:ascii="宋体" w:hAnsi="宋体"/>
                <w:sz w:val="24"/>
                <w:szCs w:val="24"/>
              </w:rPr>
              <w:t>(Km/h)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82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.专用装置:罐体,主要用于路面洒水及园林绿化;2.品名:水;密度:1000千克/立方米;有效容积:10.08立方米;罐体外形尺寸(长×长轴×短轴)(mm):4200×2300×1450;仅采用3950mm轴距,整车长/后悬对应(mm)关系为:7500/2290,7700/2490;3.侧防护为Q235A碳钢材质,连接方式:焊接连接,后下部防护为Q235A碳钢材质,连接方式:螺栓连接,尺寸为:120×50(mm),离地面高度为490mm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840" w:type="dxa"/>
            <w:gridSpan w:val="4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【底盘技术参数】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底盘名称</w:t>
            </w:r>
          </w:p>
        </w:tc>
        <w:tc>
          <w:tcPr>
            <w:tcW w:w="7827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载货汽车底盘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轴数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轮胎数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轴距 (mm)</w:t>
            </w:r>
          </w:p>
        </w:tc>
        <w:tc>
          <w:tcPr>
            <w:tcW w:w="7827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3950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轮胎规格</w:t>
            </w:r>
          </w:p>
        </w:tc>
        <w:tc>
          <w:tcPr>
            <w:tcW w:w="7827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9.00R20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钢板弹簧片数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8/10+7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前轮距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1862,1933,1949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燃料种类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柴油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后轮距</w:t>
            </w:r>
            <w:r>
              <w:rPr>
                <w:rFonts w:ascii="宋体" w:hAnsi="宋体"/>
                <w:sz w:val="24"/>
                <w:szCs w:val="24"/>
              </w:rPr>
              <w:t>(mm)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1806,1865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排放依据标准</w:t>
            </w:r>
          </w:p>
        </w:tc>
        <w:tc>
          <w:tcPr>
            <w:tcW w:w="782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GB3847-2005,GB17691-2018国Ⅵ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13" w:type="dxa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</w:rPr>
              <w:t>发动机</w:t>
            </w: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排量（</w:t>
            </w:r>
            <w:r>
              <w:rPr>
                <w:rFonts w:ascii="宋体" w:hAnsi="宋体"/>
                <w:sz w:val="24"/>
                <w:szCs w:val="24"/>
                <w:shd w:val="clear" w:color="FFFFFF" w:fill="D9D9D9"/>
              </w:rPr>
              <w:t>ml</w:t>
            </w: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  <w:t>）</w:t>
            </w:r>
          </w:p>
        </w:tc>
        <w:tc>
          <w:tcPr>
            <w:tcW w:w="2905" w:type="dxa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val="en-US" w:eastAsia="zh-CN"/>
              </w:rPr>
              <w:t>4156</w:t>
            </w:r>
          </w:p>
        </w:tc>
        <w:tc>
          <w:tcPr>
            <w:tcW w:w="2013" w:type="dxa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</w:rPr>
              <w:t>功率</w:t>
            </w:r>
            <w:r>
              <w:rPr>
                <w:rFonts w:ascii="宋体" w:hAnsi="宋体"/>
                <w:sz w:val="24"/>
                <w:szCs w:val="24"/>
                <w:shd w:val="clear" w:color="FFFFFF" w:fill="D9D9D9"/>
              </w:rPr>
              <w:t>(Kw)</w:t>
            </w:r>
          </w:p>
        </w:tc>
        <w:tc>
          <w:tcPr>
            <w:tcW w:w="2909" w:type="dxa"/>
            <w:shd w:val="clear" w:color="auto" w:fill="DCDCDC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FFFFFF" w:fill="D9D9D9"/>
                <w:lang w:val="en-US" w:eastAsia="zh-CN"/>
              </w:rPr>
              <w:t>147</w:t>
            </w:r>
          </w:p>
        </w:tc>
      </w:tr>
    </w:tbl>
    <w:p>
      <w:pPr>
        <w:jc w:val="center"/>
        <w:rPr>
          <w:rFonts w:hint="eastAsia" w:ascii="黑体" w:eastAsia="黑体"/>
          <w:sz w:val="32"/>
        </w:rPr>
      </w:pPr>
    </w:p>
    <w:p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200" w:after="200" w:line="360" w:lineRule="auto"/>
        <w:jc w:val="left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备注：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宋体" w:hAnsi="宋体"/>
          <w:b/>
          <w:bCs/>
          <w:sz w:val="30"/>
          <w:szCs w:val="30"/>
        </w:rPr>
        <w:t>招标文件论证费和专家评审费用由中标人承担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；</w:t>
      </w:r>
    </w:p>
    <w:p>
      <w:pPr>
        <w:pStyle w:val="4"/>
        <w:numPr>
          <w:ilvl w:val="0"/>
          <w:numId w:val="0"/>
        </w:numPr>
        <w:spacing w:before="200" w:after="200" w:line="360" w:lineRule="auto"/>
        <w:ind w:leftChars="0" w:firstLine="904" w:firstLineChars="30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2.关于合同的签订：中标后由中标单位与直接使用的单位签订合同。</w:t>
      </w:r>
    </w:p>
    <w:p>
      <w:pPr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965702"/>
        <w:showingPlcHdr/>
      </w:sdtPr>
      <w:sdtContent/>
    </w:sdt>
  </w:p>
  <w:p>
    <w:pPr>
      <w:pStyle w:val="13"/>
      <w:tabs>
        <w:tab w:val="center" w:pos="4143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5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1B56C6C"/>
    <w:rsid w:val="020C0AE9"/>
    <w:rsid w:val="028D1371"/>
    <w:rsid w:val="02A03C48"/>
    <w:rsid w:val="03385080"/>
    <w:rsid w:val="04053D83"/>
    <w:rsid w:val="040C3561"/>
    <w:rsid w:val="04A04175"/>
    <w:rsid w:val="05406A7D"/>
    <w:rsid w:val="083F2C5A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1A2DD3"/>
    <w:rsid w:val="17320C4D"/>
    <w:rsid w:val="17FE2A53"/>
    <w:rsid w:val="18C8647B"/>
    <w:rsid w:val="18E92669"/>
    <w:rsid w:val="1A544667"/>
    <w:rsid w:val="1AC94CB2"/>
    <w:rsid w:val="1AE264D7"/>
    <w:rsid w:val="1AF45D39"/>
    <w:rsid w:val="1B8E7A6F"/>
    <w:rsid w:val="1BC620E4"/>
    <w:rsid w:val="1BC953AD"/>
    <w:rsid w:val="1C223593"/>
    <w:rsid w:val="1DA94B31"/>
    <w:rsid w:val="1DB266FB"/>
    <w:rsid w:val="1DED6146"/>
    <w:rsid w:val="1E1C734C"/>
    <w:rsid w:val="1F1C5D81"/>
    <w:rsid w:val="1FA552BD"/>
    <w:rsid w:val="1FDE647D"/>
    <w:rsid w:val="20280B17"/>
    <w:rsid w:val="20ED13FE"/>
    <w:rsid w:val="21075005"/>
    <w:rsid w:val="217A6BF2"/>
    <w:rsid w:val="223A77B7"/>
    <w:rsid w:val="22717992"/>
    <w:rsid w:val="229C33A8"/>
    <w:rsid w:val="23103604"/>
    <w:rsid w:val="2322146C"/>
    <w:rsid w:val="24165DDB"/>
    <w:rsid w:val="26A872DC"/>
    <w:rsid w:val="27B96CE8"/>
    <w:rsid w:val="2923306D"/>
    <w:rsid w:val="2B4937C0"/>
    <w:rsid w:val="2BFD537A"/>
    <w:rsid w:val="2D8C041A"/>
    <w:rsid w:val="2DD0334B"/>
    <w:rsid w:val="2DDC0788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6F0664F"/>
    <w:rsid w:val="37DE6A3D"/>
    <w:rsid w:val="37E76C1D"/>
    <w:rsid w:val="39AC072B"/>
    <w:rsid w:val="3AB406EF"/>
    <w:rsid w:val="3B021532"/>
    <w:rsid w:val="3D067007"/>
    <w:rsid w:val="3D374A05"/>
    <w:rsid w:val="3F0A2DB7"/>
    <w:rsid w:val="3F2C1931"/>
    <w:rsid w:val="42E66127"/>
    <w:rsid w:val="432021F2"/>
    <w:rsid w:val="43D2755A"/>
    <w:rsid w:val="44105AD8"/>
    <w:rsid w:val="44B359D4"/>
    <w:rsid w:val="4572509D"/>
    <w:rsid w:val="462712D8"/>
    <w:rsid w:val="46401E44"/>
    <w:rsid w:val="47780405"/>
    <w:rsid w:val="47C86602"/>
    <w:rsid w:val="495816D1"/>
    <w:rsid w:val="496D7653"/>
    <w:rsid w:val="49805174"/>
    <w:rsid w:val="499A7E56"/>
    <w:rsid w:val="4B0B0FAA"/>
    <w:rsid w:val="4CA0565A"/>
    <w:rsid w:val="4DA9005F"/>
    <w:rsid w:val="4DCB07C7"/>
    <w:rsid w:val="4E595DA0"/>
    <w:rsid w:val="4E98237F"/>
    <w:rsid w:val="4F773CDF"/>
    <w:rsid w:val="4FB15955"/>
    <w:rsid w:val="526C288D"/>
    <w:rsid w:val="52725823"/>
    <w:rsid w:val="541D45D8"/>
    <w:rsid w:val="5445294F"/>
    <w:rsid w:val="547C3A7F"/>
    <w:rsid w:val="54814C88"/>
    <w:rsid w:val="548E3869"/>
    <w:rsid w:val="54ED528B"/>
    <w:rsid w:val="557D625A"/>
    <w:rsid w:val="55EE2384"/>
    <w:rsid w:val="56C34F82"/>
    <w:rsid w:val="57990E11"/>
    <w:rsid w:val="58BB66F0"/>
    <w:rsid w:val="58F0181A"/>
    <w:rsid w:val="58F870CD"/>
    <w:rsid w:val="592B113D"/>
    <w:rsid w:val="5A213645"/>
    <w:rsid w:val="5A793414"/>
    <w:rsid w:val="5ADC5924"/>
    <w:rsid w:val="5B8B7574"/>
    <w:rsid w:val="5BD32A41"/>
    <w:rsid w:val="5C7930FC"/>
    <w:rsid w:val="5CC5665E"/>
    <w:rsid w:val="5CCF1722"/>
    <w:rsid w:val="5D2B3C75"/>
    <w:rsid w:val="5D301470"/>
    <w:rsid w:val="5E534C59"/>
    <w:rsid w:val="5E7002E1"/>
    <w:rsid w:val="5F131865"/>
    <w:rsid w:val="5FAB543B"/>
    <w:rsid w:val="60115372"/>
    <w:rsid w:val="62AC5CB7"/>
    <w:rsid w:val="63A15EB1"/>
    <w:rsid w:val="63B12314"/>
    <w:rsid w:val="66E358D5"/>
    <w:rsid w:val="68CF488C"/>
    <w:rsid w:val="68D739A2"/>
    <w:rsid w:val="68F74FEB"/>
    <w:rsid w:val="692449EE"/>
    <w:rsid w:val="6A407933"/>
    <w:rsid w:val="6ADB5827"/>
    <w:rsid w:val="6AE44653"/>
    <w:rsid w:val="6B0C104F"/>
    <w:rsid w:val="6C552E96"/>
    <w:rsid w:val="6D276FAC"/>
    <w:rsid w:val="6D40715A"/>
    <w:rsid w:val="6D535020"/>
    <w:rsid w:val="6DEA7494"/>
    <w:rsid w:val="6DFA46C3"/>
    <w:rsid w:val="72385C09"/>
    <w:rsid w:val="72A01582"/>
    <w:rsid w:val="738744BB"/>
    <w:rsid w:val="744F23EB"/>
    <w:rsid w:val="74594D5B"/>
    <w:rsid w:val="746B6380"/>
    <w:rsid w:val="753C709E"/>
    <w:rsid w:val="75854221"/>
    <w:rsid w:val="75A77F5F"/>
    <w:rsid w:val="765C2FCD"/>
    <w:rsid w:val="76A668B1"/>
    <w:rsid w:val="76DA2432"/>
    <w:rsid w:val="7883182C"/>
    <w:rsid w:val="79881788"/>
    <w:rsid w:val="79D225D2"/>
    <w:rsid w:val="7A0808A3"/>
    <w:rsid w:val="7A427D47"/>
    <w:rsid w:val="7A4C450A"/>
    <w:rsid w:val="7B600EE3"/>
    <w:rsid w:val="7B6164F9"/>
    <w:rsid w:val="7C2B0736"/>
    <w:rsid w:val="7C977012"/>
    <w:rsid w:val="7D1B3356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link w:val="20"/>
    <w:semiHidden/>
    <w:qFormat/>
    <w:uiPriority w:val="0"/>
    <w:rPr>
      <w:rFonts w:ascii="Times New Roman" w:hAnsi="Times New Roman"/>
      <w:szCs w:val="24"/>
    </w:rPr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9">
    <w:name w:val="annotation text"/>
    <w:basedOn w:val="1"/>
    <w:qFormat/>
    <w:uiPriority w:val="99"/>
    <w:pPr>
      <w:widowControl w:val="0"/>
    </w:pPr>
    <w:rPr>
      <w:rFonts w:ascii="Times New Roman" w:hAnsi="Times New Roman"/>
      <w:szCs w:val="24"/>
    </w:rPr>
  </w:style>
  <w:style w:type="paragraph" w:styleId="10">
    <w:name w:val="Body Text 3"/>
    <w:basedOn w:val="1"/>
    <w:qFormat/>
    <w:uiPriority w:val="0"/>
    <w:rPr>
      <w:rFonts w:ascii="宋体"/>
      <w:kern w:val="2"/>
      <w:sz w:val="24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styleId="16">
    <w:name w:val="Body Text First Indent 2"/>
    <w:basedOn w:val="11"/>
    <w:qFormat/>
    <w:uiPriority w:val="0"/>
    <w:pPr>
      <w:spacing w:after="0"/>
      <w:ind w:left="0" w:leftChars="0" w:firstLine="420" w:firstLineChars="200"/>
    </w:pPr>
    <w:rPr>
      <w:rFonts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 Char Char Char Char"/>
    <w:basedOn w:val="1"/>
    <w:link w:val="19"/>
    <w:qFormat/>
    <w:uiPriority w:val="0"/>
    <w:rPr>
      <w:rFonts w:ascii="Times New Roman" w:hAnsi="Times New Roman"/>
      <w:szCs w:val="24"/>
    </w:rPr>
  </w:style>
  <w:style w:type="character" w:styleId="21">
    <w:name w:val="Strong"/>
    <w:basedOn w:val="19"/>
    <w:qFormat/>
    <w:uiPriority w:val="22"/>
    <w:rPr>
      <w:rFonts w:eastAsia="黑体"/>
      <w:bCs/>
    </w:rPr>
  </w:style>
  <w:style w:type="character" w:styleId="22">
    <w:name w:val="page number"/>
    <w:basedOn w:val="19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font0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9">
    <w:name w:val="Table Paragraph"/>
    <w:basedOn w:val="1"/>
    <w:qFormat/>
    <w:uiPriority w:val="1"/>
    <w:rPr>
      <w:lang w:val="zh-CN" w:eastAsia="zh-CN" w:bidi="zh-CN"/>
    </w:rPr>
  </w:style>
  <w:style w:type="character" w:customStyle="1" w:styleId="30">
    <w:name w:val="font5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71"/>
    <w:basedOn w:val="1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2">
    <w:name w:val="font6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3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37">
    <w:name w:val="Nul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纯文本3"/>
    <w:basedOn w:val="1"/>
    <w:qFormat/>
    <w:uiPriority w:val="0"/>
    <w:pPr>
      <w:widowControl/>
    </w:pPr>
    <w:rPr>
      <w:rFonts w:ascii="宋体" w:hAnsi="Courier New" w:cs="宋体"/>
      <w:szCs w:val="24"/>
    </w:rPr>
  </w:style>
  <w:style w:type="character" w:customStyle="1" w:styleId="39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8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41">
    <w:name w:val="标1"/>
    <w:basedOn w:val="1"/>
    <w:qFormat/>
    <w:uiPriority w:val="0"/>
    <w:pPr>
      <w:widowControl/>
      <w:tabs>
        <w:tab w:val="left" w:pos="1140"/>
      </w:tabs>
      <w:adjustRightInd w:val="0"/>
      <w:snapToGrid w:val="0"/>
      <w:spacing w:beforeLines="100" w:line="360" w:lineRule="auto"/>
      <w:ind w:left="1140" w:hanging="720"/>
      <w:jc w:val="left"/>
      <w:outlineLvl w:val="0"/>
    </w:pPr>
    <w:rPr>
      <w:rFonts w:ascii="Arial Narrow" w:hAnsi="Arial Narrow" w:eastAsia="仿宋"/>
      <w:b/>
      <w:spacing w:val="20"/>
      <w:kern w:val="0"/>
      <w:sz w:val="24"/>
      <w:szCs w:val="24"/>
    </w:rPr>
  </w:style>
  <w:style w:type="character" w:customStyle="1" w:styleId="42">
    <w:name w:val="font91"/>
    <w:basedOn w:val="1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TotalTime>0</TotalTime>
  <ScaleCrop>false</ScaleCrop>
  <LinksUpToDate>false</LinksUpToDate>
  <CharactersWithSpaces>4623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Administrator</cp:lastModifiedBy>
  <cp:lastPrinted>2018-11-02T03:19:00Z</cp:lastPrinted>
  <dcterms:modified xsi:type="dcterms:W3CDTF">2020-10-13T02:03:20Z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