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b/>
          <w:bCs/>
          <w:sz w:val="32"/>
          <w:szCs w:val="32"/>
        </w:rPr>
      </w:pPr>
      <w:bookmarkStart w:id="0" w:name="_Hlk48545313"/>
    </w:p>
    <w:bookmarkEnd w:id="0"/>
    <w:p>
      <w:pPr>
        <w:pStyle w:val="3"/>
        <w:keepNext w:val="0"/>
        <w:keepLines w:val="0"/>
        <w:pageBreakBefore w:val="0"/>
        <w:widowControl w:val="0"/>
        <w:kinsoku/>
        <w:wordWrap/>
        <w:overflowPunct/>
        <w:topLinePunct w:val="0"/>
        <w:autoSpaceDE w:val="0"/>
        <w:autoSpaceDN w:val="0"/>
        <w:bidi w:val="0"/>
        <w:adjustRightInd/>
        <w:snapToGrid/>
        <w:spacing w:before="0" w:after="0" w:line="237" w:lineRule="auto"/>
        <w:ind w:left="0" w:right="0"/>
        <w:jc w:val="center"/>
        <w:textAlignment w:val="auto"/>
        <w:rPr>
          <w:rFonts w:hint="eastAsia" w:eastAsia="宋体"/>
          <w:w w:val="95"/>
          <w:highlight w:val="none"/>
          <w:lang w:eastAsia="zh-CN"/>
        </w:rPr>
      </w:pPr>
      <w:r>
        <w:rPr>
          <w:rFonts w:hint="eastAsia" w:eastAsia="宋体"/>
          <w:w w:val="95"/>
          <w:highlight w:val="none"/>
          <w:lang w:eastAsia="zh-CN"/>
        </w:rPr>
        <w:drawing>
          <wp:inline distT="0" distB="0" distL="114300" distR="114300">
            <wp:extent cx="5558155" cy="8248650"/>
            <wp:effectExtent l="0" t="0" r="4445" b="0"/>
            <wp:docPr id="1" name="图片 1" descr="招标文件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招标文件封面"/>
                    <pic:cNvPicPr>
                      <a:picLocks noChangeAspect="1"/>
                    </pic:cNvPicPr>
                  </pic:nvPicPr>
                  <pic:blipFill>
                    <a:blip r:embed="rId11"/>
                    <a:stretch>
                      <a:fillRect/>
                    </a:stretch>
                  </pic:blipFill>
                  <pic:spPr>
                    <a:xfrm>
                      <a:off x="0" y="0"/>
                      <a:ext cx="5558155" cy="8248650"/>
                    </a:xfrm>
                    <a:prstGeom prst="rect">
                      <a:avLst/>
                    </a:prstGeom>
                  </pic:spPr>
                </pic:pic>
              </a:graphicData>
            </a:graphic>
          </wp:inline>
        </w:drawing>
      </w:r>
    </w:p>
    <w:p>
      <w:pPr>
        <w:rPr>
          <w:rFonts w:hint="eastAsia" w:eastAsia="宋体"/>
          <w:w w:val="95"/>
          <w:highlight w:val="none"/>
          <w:lang w:eastAsia="zh-CN"/>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17"/>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17"/>
          <w:highlight w:val="none"/>
        </w:rPr>
      </w:pPr>
    </w:p>
    <w:p>
      <w:pPr>
        <w:pStyle w:val="4"/>
        <w:keepNext w:val="0"/>
        <w:keepLines w:val="0"/>
        <w:pageBreakBefore w:val="0"/>
        <w:widowControl w:val="0"/>
        <w:tabs>
          <w:tab w:val="left" w:pos="905"/>
        </w:tabs>
        <w:kinsoku/>
        <w:wordWrap/>
        <w:overflowPunct/>
        <w:topLinePunct w:val="0"/>
        <w:autoSpaceDE w:val="0"/>
        <w:autoSpaceDN w:val="0"/>
        <w:bidi w:val="0"/>
        <w:adjustRightInd/>
        <w:snapToGrid/>
        <w:spacing w:before="0" w:after="0" w:line="461" w:lineRule="exact"/>
        <w:ind w:left="0" w:right="0"/>
        <w:jc w:val="center"/>
        <w:textAlignment w:val="auto"/>
        <w:rPr>
          <w:highlight w:val="none"/>
        </w:rPr>
      </w:pPr>
      <w:r>
        <w:rPr>
          <w:highlight w:val="none"/>
        </w:rPr>
        <w:t>目</w:t>
      </w:r>
      <w:r>
        <w:rPr>
          <w:highlight w:val="none"/>
        </w:rPr>
        <w:tab/>
      </w:r>
      <w:r>
        <w:rPr>
          <w:highlight w:val="none"/>
        </w:rPr>
        <w:t>录</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3"/>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第一章 磋商公告</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19"/>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both"/>
        <w:textAlignment w:val="auto"/>
        <w:rPr>
          <w:b/>
          <w:sz w:val="28"/>
          <w:highlight w:val="none"/>
        </w:rPr>
      </w:pPr>
      <w:r>
        <w:rPr>
          <w:b/>
          <w:sz w:val="28"/>
          <w:highlight w:val="none"/>
        </w:rPr>
        <w:t>第二章 磋商供应商须知</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19"/>
          <w:highlight w:val="none"/>
        </w:rPr>
      </w:pPr>
    </w:p>
    <w:p>
      <w:pPr>
        <w:keepNext w:val="0"/>
        <w:keepLines w:val="0"/>
        <w:pageBreakBefore w:val="0"/>
        <w:widowControl w:val="0"/>
        <w:numPr>
          <w:ilvl w:val="0"/>
          <w:numId w:val="1"/>
        </w:numPr>
        <w:kinsoku/>
        <w:wordWrap/>
        <w:overflowPunct/>
        <w:topLinePunct w:val="0"/>
        <w:autoSpaceDE w:val="0"/>
        <w:autoSpaceDN w:val="0"/>
        <w:bidi w:val="0"/>
        <w:adjustRightInd/>
        <w:snapToGrid/>
        <w:spacing w:before="0" w:after="0" w:line="408" w:lineRule="auto"/>
        <w:ind w:left="0" w:right="0" w:firstLine="0"/>
        <w:jc w:val="both"/>
        <w:textAlignment w:val="auto"/>
        <w:rPr>
          <w:b/>
          <w:sz w:val="28"/>
          <w:highlight w:val="none"/>
        </w:rPr>
      </w:pPr>
      <w:r>
        <w:rPr>
          <w:b/>
          <w:sz w:val="28"/>
          <w:highlight w:val="none"/>
        </w:rPr>
        <w:t>磋商供应商须知正文部分</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8" w:lineRule="auto"/>
        <w:ind w:leftChars="0" w:right="0" w:rightChars="0"/>
        <w:jc w:val="both"/>
        <w:textAlignment w:val="auto"/>
        <w:rPr>
          <w:b/>
          <w:sz w:val="28"/>
          <w:highlight w:val="none"/>
        </w:rPr>
      </w:pPr>
      <w:r>
        <w:rPr>
          <w:b/>
          <w:sz w:val="28"/>
          <w:highlight w:val="none"/>
        </w:rPr>
        <w:t>第四章 磋商内容及要求</w:t>
      </w:r>
    </w:p>
    <w:p>
      <w:pPr>
        <w:keepNext w:val="0"/>
        <w:keepLines w:val="0"/>
        <w:pageBreakBefore w:val="0"/>
        <w:widowControl w:val="0"/>
        <w:kinsoku/>
        <w:wordWrap/>
        <w:overflowPunct/>
        <w:topLinePunct w:val="0"/>
        <w:autoSpaceDE w:val="0"/>
        <w:autoSpaceDN w:val="0"/>
        <w:bidi w:val="0"/>
        <w:adjustRightInd/>
        <w:snapToGrid/>
        <w:spacing w:before="0" w:after="0" w:line="408" w:lineRule="auto"/>
        <w:ind w:left="0" w:right="0" w:firstLine="0"/>
        <w:jc w:val="both"/>
        <w:textAlignment w:val="auto"/>
        <w:rPr>
          <w:b/>
          <w:sz w:val="28"/>
          <w:highlight w:val="none"/>
        </w:rPr>
      </w:pPr>
      <w:r>
        <w:rPr>
          <w:b/>
          <w:sz w:val="28"/>
          <w:highlight w:val="none"/>
        </w:rPr>
        <w:t xml:space="preserve">第五章 铜仁市政府采购合同（参考文本） </w:t>
      </w:r>
    </w:p>
    <w:p>
      <w:pPr>
        <w:keepNext w:val="0"/>
        <w:keepLines w:val="0"/>
        <w:pageBreakBefore w:val="0"/>
        <w:widowControl w:val="0"/>
        <w:kinsoku/>
        <w:wordWrap/>
        <w:overflowPunct/>
        <w:topLinePunct w:val="0"/>
        <w:autoSpaceDE w:val="0"/>
        <w:autoSpaceDN w:val="0"/>
        <w:bidi w:val="0"/>
        <w:adjustRightInd/>
        <w:snapToGrid/>
        <w:spacing w:before="0" w:after="0" w:line="408" w:lineRule="auto"/>
        <w:ind w:left="0" w:right="0" w:firstLine="0"/>
        <w:jc w:val="both"/>
        <w:textAlignment w:val="auto"/>
        <w:rPr>
          <w:b/>
          <w:sz w:val="28"/>
          <w:highlight w:val="none"/>
        </w:rPr>
      </w:pPr>
      <w:r>
        <w:rPr>
          <w:b/>
          <w:sz w:val="28"/>
          <w:highlight w:val="none"/>
        </w:rPr>
        <w:t>第</w:t>
      </w:r>
      <w:r>
        <w:rPr>
          <w:rFonts w:hint="eastAsia"/>
          <w:b/>
          <w:sz w:val="28"/>
          <w:highlight w:val="none"/>
          <w:lang w:val="en-US" w:eastAsia="zh-CN"/>
        </w:rPr>
        <w:t>六</w:t>
      </w:r>
      <w:r>
        <w:rPr>
          <w:b/>
          <w:sz w:val="28"/>
          <w:highlight w:val="none"/>
        </w:rPr>
        <w:t>章 响应文件格式</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8"/>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8"/>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4"/>
          <w:szCs w:val="24"/>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0"/>
        <w:jc w:val="both"/>
        <w:textAlignment w:val="auto"/>
        <w:rPr>
          <w:b/>
          <w:sz w:val="24"/>
          <w:szCs w:val="24"/>
          <w:highlight w:val="none"/>
        </w:rPr>
      </w:pPr>
      <w:r>
        <w:rPr>
          <w:b/>
          <w:w w:val="95"/>
          <w:sz w:val="24"/>
          <w:szCs w:val="24"/>
          <w:highlight w:val="none"/>
        </w:rPr>
        <w:t>提示：投标前请认真阅读本招标文件！！</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398"/>
        <w:jc w:val="both"/>
        <w:textAlignment w:val="auto"/>
        <w:rPr>
          <w:b/>
          <w:sz w:val="24"/>
          <w:szCs w:val="24"/>
          <w:highlight w:val="none"/>
        </w:rPr>
      </w:pPr>
      <w:r>
        <w:rPr>
          <w:b/>
          <w:sz w:val="24"/>
          <w:szCs w:val="24"/>
          <w:highlight w:val="none"/>
        </w:rPr>
        <w:t>投标人在购买招标文件后请自行核对和仔细阅读招标文件的内容，如发现缺页、错装，疑</w:t>
      </w:r>
      <w:r>
        <w:rPr>
          <w:b/>
          <w:spacing w:val="-7"/>
          <w:sz w:val="24"/>
          <w:szCs w:val="24"/>
          <w:highlight w:val="none"/>
        </w:rPr>
        <w:t>议等情况，请于购买招标文件之日</w:t>
      </w:r>
      <w:r>
        <w:rPr>
          <w:rFonts w:hint="eastAsia"/>
          <w:b/>
          <w:spacing w:val="-7"/>
          <w:sz w:val="24"/>
          <w:szCs w:val="24"/>
          <w:highlight w:val="none"/>
          <w:lang w:val="en-US" w:eastAsia="zh-CN"/>
        </w:rPr>
        <w:t>7</w:t>
      </w:r>
      <w:r>
        <w:rPr>
          <w:b/>
          <w:sz w:val="24"/>
          <w:szCs w:val="24"/>
          <w:highlight w:val="none"/>
        </w:rPr>
        <w:t>个工作日内向招标人或招标代理机构提出</w:t>
      </w:r>
      <w:r>
        <w:rPr>
          <w:rFonts w:hint="eastAsia"/>
          <w:b/>
          <w:sz w:val="24"/>
          <w:szCs w:val="24"/>
          <w:highlight w:val="none"/>
          <w:lang w:eastAsia="zh-CN"/>
        </w:rPr>
        <w:t>，</w:t>
      </w:r>
      <w:r>
        <w:rPr>
          <w:b/>
          <w:spacing w:val="-4"/>
          <w:sz w:val="24"/>
          <w:szCs w:val="24"/>
          <w:highlight w:val="none"/>
        </w:rPr>
        <w:t>否则</w:t>
      </w:r>
      <w:r>
        <w:rPr>
          <w:rFonts w:hint="eastAsia"/>
          <w:b/>
          <w:spacing w:val="-4"/>
          <w:sz w:val="24"/>
          <w:szCs w:val="24"/>
          <w:highlight w:val="none"/>
          <w:lang w:eastAsia="zh-CN"/>
        </w:rPr>
        <w:t>，</w:t>
      </w:r>
      <w:r>
        <w:rPr>
          <w:b/>
          <w:spacing w:val="-4"/>
          <w:sz w:val="24"/>
          <w:szCs w:val="24"/>
          <w:highlight w:val="none"/>
        </w:rPr>
        <w:t>视为投标</w:t>
      </w:r>
      <w:r>
        <w:rPr>
          <w:b/>
          <w:spacing w:val="-4"/>
          <w:w w:val="95"/>
          <w:sz w:val="24"/>
          <w:szCs w:val="24"/>
          <w:highlight w:val="none"/>
        </w:rPr>
        <w:t>人对招标文件的充分理解和认可。</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jc w:val="both"/>
        <w:textAlignment w:val="auto"/>
        <w:rPr>
          <w:sz w:val="20"/>
          <w:highlight w:val="none"/>
        </w:rPr>
        <w:sectPr>
          <w:footerReference r:id="rId3" w:type="default"/>
          <w:pgSz w:w="11910" w:h="16840"/>
          <w:pgMar w:top="1580" w:right="1680" w:bottom="820" w:left="1680" w:header="0" w:footer="626" w:gutter="0"/>
          <w:pgBorders>
            <w:top w:val="none" w:sz="0" w:space="0"/>
            <w:left w:val="none" w:sz="0" w:space="0"/>
            <w:bottom w:val="none" w:sz="0" w:space="0"/>
            <w:right w:val="none" w:sz="0" w:space="0"/>
          </w:pgBorders>
          <w:pgNumType w:fmt="decimal" w:start="1"/>
        </w:sectPr>
      </w:pPr>
    </w:p>
    <w:p>
      <w:pPr>
        <w:keepNext w:val="0"/>
        <w:keepLines w:val="0"/>
        <w:pageBreakBefore w:val="0"/>
        <w:widowControl w:val="0"/>
        <w:tabs>
          <w:tab w:val="left" w:pos="1605"/>
        </w:tabs>
        <w:kinsoku/>
        <w:wordWrap/>
        <w:overflowPunct/>
        <w:topLinePunct w:val="0"/>
        <w:autoSpaceDE w:val="0"/>
        <w:autoSpaceDN w:val="0"/>
        <w:bidi w:val="0"/>
        <w:adjustRightInd/>
        <w:snapToGrid/>
        <w:spacing w:before="0" w:after="0" w:line="395" w:lineRule="exact"/>
        <w:ind w:left="0" w:right="0" w:firstLine="0"/>
        <w:jc w:val="center"/>
        <w:textAlignment w:val="auto"/>
        <w:rPr>
          <w:b/>
          <w:sz w:val="32"/>
          <w:highlight w:val="none"/>
        </w:rPr>
      </w:pPr>
      <w:bookmarkStart w:id="1" w:name="第一部分  竞争性磋商公告"/>
      <w:bookmarkEnd w:id="1"/>
      <w:r>
        <w:rPr>
          <w:b/>
          <w:sz w:val="32"/>
          <w:highlight w:val="none"/>
        </w:rPr>
        <w:t>第一</w:t>
      </w:r>
      <w:r>
        <w:rPr>
          <w:rFonts w:hint="eastAsia"/>
          <w:b/>
          <w:sz w:val="32"/>
          <w:highlight w:val="none"/>
          <w:lang w:eastAsia="zh-CN"/>
        </w:rPr>
        <w:t>章</w:t>
      </w:r>
      <w:r>
        <w:rPr>
          <w:rFonts w:hint="eastAsia"/>
          <w:b/>
          <w:sz w:val="32"/>
          <w:highlight w:val="none"/>
          <w:lang w:val="en-US" w:eastAsia="zh-CN"/>
        </w:rPr>
        <w:t xml:space="preserve"> </w:t>
      </w:r>
      <w:r>
        <w:rPr>
          <w:b/>
          <w:w w:val="95"/>
          <w:sz w:val="32"/>
          <w:highlight w:val="none"/>
        </w:rPr>
        <w:t>竞争性磋商公告</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jc w:val="both"/>
        <w:textAlignment w:val="auto"/>
        <w:rPr>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jc w:val="both"/>
        <w:textAlignment w:val="auto"/>
        <w:rPr>
          <w:highlight w:val="none"/>
        </w:rPr>
      </w:pPr>
      <w:r>
        <w:rPr>
          <w:highlight w:val="none"/>
        </w:rPr>
        <w:t>1</w:t>
      </w:r>
      <w:r>
        <w:rPr>
          <w:spacing w:val="-6"/>
          <w:highlight w:val="none"/>
        </w:rPr>
        <w:t>、项目名称：</w:t>
      </w:r>
      <w:r>
        <w:rPr>
          <w:rFonts w:hint="eastAsia"/>
          <w:spacing w:val="-6"/>
          <w:highlight w:val="none"/>
        </w:rPr>
        <w:t>江口县2018年农村“厕所革命”省级奖补资金工程项目采购</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jc w:val="both"/>
        <w:textAlignment w:val="auto"/>
        <w:rPr>
          <w:rFonts w:hint="default" w:eastAsia="宋体"/>
          <w:highlight w:val="none"/>
          <w:lang w:val="en-US" w:eastAsia="zh-CN"/>
        </w:rPr>
      </w:pPr>
      <w:r>
        <w:rPr>
          <w:highlight w:val="none"/>
        </w:rPr>
        <w:t>2、项目编号：</w:t>
      </w:r>
      <w:r>
        <w:rPr>
          <w:rFonts w:hint="eastAsia" w:ascii="宋体" w:hAnsi="宋体" w:cs="宋体"/>
          <w:sz w:val="24"/>
          <w:szCs w:val="24"/>
          <w:lang w:val="en-US" w:eastAsia="zh-CN"/>
        </w:rPr>
        <w:t>GZZY-CG-2020100(-</w:t>
      </w:r>
      <w:r>
        <w:rPr>
          <w:rFonts w:hint="eastAsia" w:cs="宋体"/>
          <w:sz w:val="24"/>
          <w:szCs w:val="24"/>
          <w:lang w:val="en-US" w:eastAsia="zh-CN"/>
        </w:rPr>
        <w:t>10</w:t>
      </w:r>
      <w:r>
        <w:rPr>
          <w:rFonts w:hint="eastAsia" w:ascii="宋体" w:hAnsi="宋体" w:cs="宋体"/>
          <w:sz w:val="24"/>
          <w:szCs w:val="24"/>
          <w:lang w:val="en-US" w:eastAsia="zh-CN"/>
        </w:rPr>
        <w:t>)</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jc w:val="both"/>
        <w:textAlignment w:val="auto"/>
        <w:rPr>
          <w:rFonts w:hint="eastAsia"/>
          <w:highlight w:val="none"/>
          <w:lang w:val="en-US" w:eastAsia="zh-CN"/>
        </w:rPr>
      </w:pPr>
      <w:r>
        <w:rPr>
          <w:highlight w:val="none"/>
        </w:rPr>
        <w:t xml:space="preserve">3、项目序列号: </w:t>
      </w:r>
      <w:r>
        <w:rPr>
          <w:rFonts w:hint="eastAsia"/>
          <w:highlight w:val="none"/>
          <w:lang w:val="en-US" w:eastAsia="zh-CN"/>
        </w:rPr>
        <w:t>/</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jc w:val="both"/>
        <w:textAlignment w:val="auto"/>
        <w:rPr>
          <w:rFonts w:hint="default" w:eastAsia="宋体"/>
          <w:highlight w:val="none"/>
          <w:lang w:val="en-US" w:eastAsia="zh-CN"/>
        </w:rPr>
      </w:pPr>
      <w:r>
        <w:rPr>
          <w:highlight w:val="none"/>
        </w:rPr>
        <w:t>4、联系人：</w:t>
      </w:r>
      <w:r>
        <w:rPr>
          <w:rFonts w:hint="eastAsia"/>
          <w:highlight w:val="none"/>
          <w:lang w:val="en-US" w:eastAsia="zh-CN"/>
        </w:rPr>
        <w:t>夏祖权</w:t>
      </w:r>
    </w:p>
    <w:p>
      <w:pPr>
        <w:pStyle w:val="9"/>
        <w:keepNext w:val="0"/>
        <w:keepLines w:val="0"/>
        <w:pageBreakBefore w:val="0"/>
        <w:widowControl w:val="0"/>
        <w:tabs>
          <w:tab w:val="left" w:pos="957"/>
        </w:tabs>
        <w:kinsoku/>
        <w:wordWrap/>
        <w:overflowPunct/>
        <w:topLinePunct w:val="0"/>
        <w:autoSpaceDE w:val="0"/>
        <w:autoSpaceDN w:val="0"/>
        <w:bidi w:val="0"/>
        <w:adjustRightInd/>
        <w:snapToGrid/>
        <w:spacing w:before="0" w:after="0" w:line="420" w:lineRule="exact"/>
        <w:ind w:left="0" w:right="0"/>
        <w:jc w:val="both"/>
        <w:textAlignment w:val="auto"/>
        <w:rPr>
          <w:rFonts w:hint="default" w:eastAsia="宋体"/>
          <w:highlight w:val="none"/>
          <w:lang w:val="en-US" w:eastAsia="zh-CN"/>
        </w:rPr>
      </w:pPr>
      <w:r>
        <w:rPr>
          <w:highlight w:val="none"/>
        </w:rPr>
        <w:t>5、电</w:t>
      </w:r>
      <w:r>
        <w:rPr>
          <w:highlight w:val="none"/>
        </w:rPr>
        <w:tab/>
      </w:r>
      <w:r>
        <w:rPr>
          <w:highlight w:val="none"/>
        </w:rPr>
        <w:t>话：</w:t>
      </w:r>
      <w:r>
        <w:rPr>
          <w:rFonts w:hint="eastAsia"/>
          <w:highlight w:val="none"/>
          <w:lang w:val="en-US" w:eastAsia="zh-CN"/>
        </w:rPr>
        <w:t>13885659956</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jc w:val="both"/>
        <w:textAlignment w:val="auto"/>
        <w:rPr>
          <w:highlight w:val="none"/>
        </w:rPr>
      </w:pPr>
      <w:r>
        <w:rPr>
          <w:highlight w:val="none"/>
        </w:rPr>
        <w:t>6、招标方式: 竞争性磋商</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jc w:val="both"/>
        <w:textAlignment w:val="auto"/>
        <w:rPr>
          <w:highlight w:val="none"/>
        </w:rPr>
      </w:pPr>
      <w:r>
        <w:rPr>
          <w:highlight w:val="none"/>
        </w:rPr>
        <w:t>7、采购货物或服务情况：</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jc w:val="both"/>
        <w:textAlignment w:val="auto"/>
        <w:rPr>
          <w:rFonts w:hint="default"/>
          <w:highlight w:val="none"/>
          <w:lang w:val="en-US" w:eastAsia="zh-CN"/>
        </w:rPr>
      </w:pPr>
      <w:r>
        <w:rPr>
          <w:highlight w:val="none"/>
        </w:rPr>
        <w:t>（1）采购主要内容:</w:t>
      </w:r>
      <w:r>
        <w:rPr>
          <w:rFonts w:hint="eastAsia"/>
          <w:highlight w:val="none"/>
        </w:rPr>
        <w:t>新建村级户用卫生厕所2</w:t>
      </w:r>
      <w:r>
        <w:rPr>
          <w:highlight w:val="none"/>
        </w:rPr>
        <w:t>56</w:t>
      </w:r>
      <w:r>
        <w:rPr>
          <w:rFonts w:hint="eastAsia"/>
          <w:highlight w:val="none"/>
        </w:rPr>
        <w:t>户（其中：凯文村1</w:t>
      </w:r>
      <w:r>
        <w:rPr>
          <w:highlight w:val="none"/>
        </w:rPr>
        <w:t>18</w:t>
      </w:r>
      <w:r>
        <w:rPr>
          <w:rFonts w:hint="eastAsia"/>
          <w:highlight w:val="none"/>
        </w:rPr>
        <w:t>户、净河村1</w:t>
      </w:r>
      <w:r>
        <w:rPr>
          <w:highlight w:val="none"/>
        </w:rPr>
        <w:t>38</w:t>
      </w:r>
      <w:r>
        <w:rPr>
          <w:rFonts w:hint="eastAsia"/>
          <w:highlight w:val="none"/>
        </w:rPr>
        <w:t>户）；凯文村生活污水处理系统1套（其中：D</w:t>
      </w:r>
      <w:r>
        <w:rPr>
          <w:highlight w:val="none"/>
        </w:rPr>
        <w:t>N300</w:t>
      </w:r>
      <w:r>
        <w:rPr>
          <w:rFonts w:hint="eastAsia"/>
          <w:highlight w:val="none"/>
        </w:rPr>
        <w:t>污水管1</w:t>
      </w:r>
      <w:r>
        <w:rPr>
          <w:highlight w:val="none"/>
        </w:rPr>
        <w:t>818.93m</w:t>
      </w:r>
      <w:r>
        <w:rPr>
          <w:rFonts w:hint="eastAsia"/>
          <w:highlight w:val="none"/>
        </w:rPr>
        <w:t>、D</w:t>
      </w:r>
      <w:r>
        <w:rPr>
          <w:highlight w:val="none"/>
        </w:rPr>
        <w:t>N200</w:t>
      </w:r>
      <w:r>
        <w:rPr>
          <w:rFonts w:hint="eastAsia"/>
          <w:highlight w:val="none"/>
        </w:rPr>
        <w:t>污水管4</w:t>
      </w:r>
      <w:r>
        <w:rPr>
          <w:highlight w:val="none"/>
        </w:rPr>
        <w:t>30.26m</w:t>
      </w:r>
      <w:r>
        <w:rPr>
          <w:rFonts w:hint="eastAsia"/>
          <w:highlight w:val="none"/>
        </w:rPr>
        <w:t>、D</w:t>
      </w:r>
      <w:r>
        <w:rPr>
          <w:highlight w:val="none"/>
        </w:rPr>
        <w:t>N150</w:t>
      </w:r>
      <w:r>
        <w:rPr>
          <w:rFonts w:hint="eastAsia"/>
          <w:highlight w:val="none"/>
        </w:rPr>
        <w:t>污水管7</w:t>
      </w:r>
      <w:r>
        <w:rPr>
          <w:highlight w:val="none"/>
        </w:rPr>
        <w:t>50m</w:t>
      </w:r>
      <w:r>
        <w:rPr>
          <w:rFonts w:hint="eastAsia"/>
          <w:highlight w:val="none"/>
        </w:rPr>
        <w:t>、检查井5</w:t>
      </w:r>
      <w:r>
        <w:rPr>
          <w:highlight w:val="none"/>
        </w:rPr>
        <w:t>9</w:t>
      </w:r>
      <w:r>
        <w:rPr>
          <w:rFonts w:hint="eastAsia"/>
          <w:highlight w:val="none"/>
        </w:rPr>
        <w:t>座、生物氧化塘1座）。</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jc w:val="both"/>
        <w:textAlignment w:val="auto"/>
        <w:rPr>
          <w:highlight w:val="none"/>
        </w:rPr>
      </w:pPr>
      <w:r>
        <w:rPr>
          <w:highlight w:val="none"/>
        </w:rPr>
        <w:t>（2）采购数量:</w:t>
      </w:r>
      <w:r>
        <w:rPr>
          <w:rFonts w:hint="eastAsia"/>
          <w:highlight w:val="none"/>
          <w:lang w:val="en-US" w:eastAsia="zh-CN"/>
        </w:rPr>
        <w:t>一批</w:t>
      </w:r>
      <w:r>
        <w:rPr>
          <w:highlight w:val="none"/>
        </w:rPr>
        <w:t>。</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jc w:val="both"/>
        <w:textAlignment w:val="auto"/>
        <w:rPr>
          <w:highlight w:val="none"/>
        </w:rPr>
      </w:pPr>
      <w:r>
        <w:rPr>
          <w:highlight w:val="none"/>
        </w:rPr>
        <w:t>（3）简要技术要求、服务和安全要求:详见采购文件</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jc w:val="both"/>
        <w:textAlignment w:val="auto"/>
        <w:rPr>
          <w:highlight w:val="none"/>
        </w:rPr>
      </w:pPr>
      <w:r>
        <w:rPr>
          <w:highlight w:val="none"/>
        </w:rPr>
        <w:t>（4）采购预算:</w:t>
      </w:r>
      <w:r>
        <w:rPr>
          <w:rFonts w:hint="eastAsia"/>
          <w:highlight w:val="none"/>
          <w:lang w:val="en-US" w:eastAsia="zh-CN"/>
        </w:rPr>
        <w:t>1890000.00元</w:t>
      </w:r>
      <w:r>
        <w:rPr>
          <w:highlight w:val="none"/>
        </w:rPr>
        <w:t>。</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jc w:val="both"/>
        <w:textAlignment w:val="auto"/>
        <w:rPr>
          <w:highlight w:val="none"/>
        </w:rPr>
      </w:pPr>
      <w:r>
        <w:rPr>
          <w:highlight w:val="none"/>
        </w:rPr>
        <w:t>（5）最高限价:</w:t>
      </w:r>
      <w:r>
        <w:rPr>
          <w:rFonts w:hint="eastAsia"/>
          <w:highlight w:val="none"/>
          <w:lang w:val="en-US" w:eastAsia="zh-CN"/>
        </w:rPr>
        <w:t>1890000.00元</w:t>
      </w:r>
      <w:r>
        <w:rPr>
          <w:highlight w:val="none"/>
        </w:rPr>
        <w:t>。</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jc w:val="both"/>
        <w:textAlignment w:val="auto"/>
        <w:rPr>
          <w:rFonts w:hint="default" w:eastAsia="宋体"/>
          <w:highlight w:val="none"/>
          <w:lang w:val="en-US" w:eastAsia="zh-CN"/>
        </w:rPr>
      </w:pPr>
      <w:r>
        <w:rPr>
          <w:highlight w:val="none"/>
        </w:rPr>
        <w:t xml:space="preserve">（6）交货时间或服务时间: </w:t>
      </w:r>
      <w:r>
        <w:rPr>
          <w:rFonts w:hint="eastAsia"/>
          <w:color w:val="auto"/>
          <w:highlight w:val="none"/>
          <w:lang w:val="en-US" w:eastAsia="zh-CN"/>
        </w:rPr>
        <w:t>3个月。</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jc w:val="both"/>
        <w:textAlignment w:val="auto"/>
        <w:rPr>
          <w:highlight w:val="none"/>
        </w:rPr>
      </w:pPr>
      <w:r>
        <w:rPr>
          <w:highlight w:val="none"/>
        </w:rPr>
        <w:t>（7）交货地点或服务地点:</w:t>
      </w:r>
      <w:r>
        <w:rPr>
          <w:rFonts w:hint="eastAsia"/>
        </w:rPr>
        <w:t>采购人指定地点</w:t>
      </w:r>
      <w:r>
        <w:rPr>
          <w:highlight w:val="none"/>
        </w:rPr>
        <w:t>。</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jc w:val="both"/>
        <w:textAlignment w:val="auto"/>
        <w:rPr>
          <w:highlight w:val="none"/>
        </w:rPr>
      </w:pPr>
      <w:r>
        <w:rPr>
          <w:highlight w:val="none"/>
        </w:rPr>
        <w:t>（8）其他事项（如样品提交、现场踏勘等）:无。</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jc w:val="both"/>
        <w:textAlignment w:val="auto"/>
        <w:rPr>
          <w:highlight w:val="none"/>
        </w:rPr>
      </w:pPr>
      <w:r>
        <w:rPr>
          <w:highlight w:val="none"/>
        </w:rPr>
        <w:t>8、投标人资格要求</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hanging="240"/>
        <w:jc w:val="both"/>
        <w:textAlignment w:val="auto"/>
        <w:rPr>
          <w:color w:val="333333"/>
          <w:highlight w:val="none"/>
        </w:rPr>
      </w:pPr>
      <w:r>
        <w:rPr>
          <w:color w:val="333333"/>
          <w:highlight w:val="none"/>
        </w:rPr>
        <w:t>（1）一般资格要求：</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leftChars="0" w:right="0" w:firstLine="480" w:firstLineChars="200"/>
        <w:jc w:val="both"/>
        <w:textAlignment w:val="auto"/>
        <w:rPr>
          <w:highlight w:val="none"/>
        </w:rPr>
      </w:pPr>
      <w:r>
        <w:rPr>
          <w:color w:val="333333"/>
          <w:highlight w:val="none"/>
        </w:rPr>
        <w:t>1</w:t>
      </w:r>
      <w:r>
        <w:rPr>
          <w:rFonts w:hint="eastAsia"/>
          <w:color w:val="333333"/>
          <w:highlight w:val="none"/>
          <w:lang w:val="en-US" w:eastAsia="zh-CN"/>
        </w:rPr>
        <w:t>.</w:t>
      </w:r>
      <w:r>
        <w:rPr>
          <w:color w:val="333333"/>
          <w:spacing w:val="-4"/>
          <w:highlight w:val="none"/>
        </w:rPr>
        <w:t xml:space="preserve">符合《中华人民共和国政府采购法》第 </w:t>
      </w:r>
      <w:r>
        <w:rPr>
          <w:color w:val="333333"/>
          <w:highlight w:val="none"/>
        </w:rPr>
        <w:t>22</w:t>
      </w:r>
      <w:r>
        <w:rPr>
          <w:color w:val="333333"/>
          <w:spacing w:val="-10"/>
          <w:highlight w:val="none"/>
        </w:rPr>
        <w:t xml:space="preserve"> 条的条件；</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firstLine="480" w:firstLineChars="200"/>
        <w:jc w:val="both"/>
        <w:textAlignment w:val="auto"/>
        <w:rPr>
          <w:rFonts w:hint="eastAsia"/>
          <w:color w:val="333333"/>
          <w:highlight w:val="none"/>
        </w:rPr>
      </w:pPr>
      <w:r>
        <w:rPr>
          <w:rFonts w:hint="eastAsia"/>
          <w:color w:val="333333"/>
          <w:highlight w:val="none"/>
          <w:lang w:val="en-US" w:eastAsia="zh-CN"/>
        </w:rPr>
        <w:t>1</w:t>
      </w:r>
      <w:r>
        <w:rPr>
          <w:color w:val="333333"/>
          <w:highlight w:val="none"/>
        </w:rPr>
        <w:t>）</w:t>
      </w:r>
      <w:r>
        <w:rPr>
          <w:rFonts w:hint="eastAsia"/>
          <w:color w:val="333333"/>
          <w:highlight w:val="none"/>
        </w:rPr>
        <w:t>具有独立承担民事责任的能力；具备有效的工商营业执照副本（三证合一）复印件加盖鲜章（或营业执照、税务登记证、组织机构代码证）；</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firstLine="480" w:firstLineChars="200"/>
        <w:jc w:val="both"/>
        <w:textAlignment w:val="auto"/>
        <w:rPr>
          <w:color w:val="333333"/>
          <w:highlight w:val="none"/>
        </w:rPr>
      </w:pPr>
      <w:r>
        <w:rPr>
          <w:color w:val="333333"/>
          <w:highlight w:val="none"/>
        </w:rPr>
        <w:t>2）具有良好的商业信誉和健全的财务会计制度：</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firstLine="480" w:firstLineChars="200"/>
        <w:jc w:val="both"/>
        <w:textAlignment w:val="auto"/>
        <w:rPr>
          <w:highlight w:val="none"/>
        </w:rPr>
      </w:pPr>
      <w:r>
        <w:rPr>
          <w:rFonts w:hint="eastAsia" w:hAnsi="宋体" w:cs="宋体"/>
          <w:color w:val="000000"/>
          <w:sz w:val="24"/>
          <w:szCs w:val="24"/>
        </w:rPr>
        <w:t>具体要求：供应商是法人的，应提供2019年度经审计的财务报告或基本开户银行出具的资信证明。新成立未满一年、部分其他组织和自然人，没有经审计的财务报告，可以提供银行出具的资信证明；</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20" w:lineRule="exact"/>
        <w:ind w:leftChars="200" w:right="0" w:rightChars="0"/>
        <w:jc w:val="both"/>
        <w:textAlignment w:val="auto"/>
        <w:rPr>
          <w:color w:val="333333"/>
          <w:highlight w:val="none"/>
        </w:rPr>
      </w:pPr>
      <w:r>
        <w:rPr>
          <w:rFonts w:hint="eastAsia"/>
          <w:color w:val="333333"/>
          <w:highlight w:val="none"/>
          <w:lang w:val="en-US" w:eastAsia="zh-CN"/>
        </w:rPr>
        <w:t>3）</w:t>
      </w:r>
      <w:r>
        <w:rPr>
          <w:color w:val="333333"/>
          <w:highlight w:val="none"/>
        </w:rPr>
        <w:t>具有依法缴纳税收和社会保障资金的良好记录：</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20" w:lineRule="exact"/>
        <w:ind w:left="0" w:leftChars="0" w:right="0" w:rightChars="0" w:firstLine="439" w:firstLineChars="183"/>
        <w:jc w:val="both"/>
        <w:textAlignment w:val="auto"/>
        <w:rPr>
          <w:color w:val="333333"/>
          <w:highlight w:val="none"/>
        </w:rPr>
      </w:pPr>
      <w:r>
        <w:rPr>
          <w:rFonts w:hint="eastAsia"/>
          <w:color w:val="333333"/>
        </w:rPr>
        <w:t>具体要求：</w:t>
      </w:r>
      <w:r>
        <w:rPr>
          <w:rFonts w:hint="eastAsia"/>
          <w:color w:val="333333"/>
          <w:highlight w:val="none"/>
        </w:rPr>
        <w:t>供应商</w:t>
      </w:r>
      <w:r>
        <w:rPr>
          <w:rFonts w:hint="eastAsia"/>
          <w:color w:val="333333"/>
          <w:highlight w:val="none"/>
          <w:lang w:val="en-US" w:eastAsia="zh-CN"/>
        </w:rPr>
        <w:t>自行</w:t>
      </w:r>
      <w:r>
        <w:rPr>
          <w:rFonts w:hint="eastAsia"/>
          <w:color w:val="333333"/>
          <w:highlight w:val="none"/>
        </w:rPr>
        <w:t>提供的承诺作为证明材料</w:t>
      </w:r>
      <w:r>
        <w:rPr>
          <w:rFonts w:hint="eastAsia"/>
          <w:color w:val="333333"/>
          <w:highlight w:val="none"/>
          <w:lang w:eastAsia="zh-CN"/>
        </w:rPr>
        <w:t>；</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firstLine="480" w:firstLineChars="200"/>
        <w:jc w:val="both"/>
        <w:textAlignment w:val="auto"/>
        <w:rPr>
          <w:color w:val="333333"/>
          <w:highlight w:val="none"/>
        </w:rPr>
      </w:pPr>
      <w:r>
        <w:rPr>
          <w:color w:val="333333"/>
          <w:highlight w:val="none"/>
        </w:rPr>
        <w:t>4)参加本次政府采购活动前三年内，在经营活动中没有违法违规记录：提供参加政府采购活动前 3 年内在经营活动中没有重大违法记录的书面声明；</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firstLine="480" w:firstLineChars="200"/>
        <w:jc w:val="both"/>
        <w:textAlignment w:val="auto"/>
        <w:rPr>
          <w:rFonts w:hint="eastAsia"/>
          <w:color w:val="333333"/>
          <w:spacing w:val="2"/>
          <w:highlight w:val="none"/>
        </w:rPr>
      </w:pPr>
      <w:r>
        <w:rPr>
          <w:color w:val="333333"/>
          <w:highlight w:val="none"/>
        </w:rPr>
        <w:t>5)法律、行政法规规定的其他条件：提供诚信资格证明材料：对列入失信被执行人、重大税收违法案件当事人名单、政府采购严重违法失信行为记录名单及其他不符合《中华人民共和国政府采购法》第二十二条规定</w:t>
      </w:r>
      <w:r>
        <w:rPr>
          <w:color w:val="333333"/>
          <w:spacing w:val="-12"/>
          <w:highlight w:val="none"/>
        </w:rPr>
        <w:t>条件的供应商，拒绝其</w:t>
      </w:r>
      <w:r>
        <w:rPr>
          <w:color w:val="333333"/>
          <w:spacing w:val="2"/>
          <w:highlight w:val="none"/>
        </w:rPr>
        <w:t>参与投标。在</w:t>
      </w:r>
      <w:r>
        <w:rPr>
          <w:rFonts w:hint="eastAsia"/>
          <w:color w:val="333333"/>
          <w:spacing w:val="2"/>
          <w:highlight w:val="none"/>
        </w:rPr>
        <w:t>“信用中国”网站（www.creditchina.gov.cn）和政府采购严重违法失信行为记录名单（http://www.ccgp.gov.cn/search/cr/）查询的信用记录情况（对列入失信被执行人、重大税收违法案件当事人名单、政府采购严重违法失信行为记录名单的投标人，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jc w:val="both"/>
        <w:textAlignment w:val="auto"/>
        <w:rPr>
          <w:highlight w:val="none"/>
        </w:rPr>
      </w:pPr>
      <w:r>
        <w:rPr>
          <w:color w:val="333333"/>
          <w:highlight w:val="none"/>
        </w:rPr>
        <w:t>（2）本项目不接受联合体；</w:t>
      </w:r>
    </w:p>
    <w:p>
      <w:pPr>
        <w:keepNext w:val="0"/>
        <w:keepLines w:val="0"/>
        <w:pageBreakBefore w:val="0"/>
        <w:widowControl w:val="0"/>
        <w:kinsoku/>
        <w:wordWrap/>
        <w:overflowPunct/>
        <w:topLinePunct w:val="0"/>
        <w:autoSpaceDE w:val="0"/>
        <w:autoSpaceDN w:val="0"/>
        <w:bidi w:val="0"/>
        <w:adjustRightInd w:val="0"/>
        <w:snapToGrid/>
        <w:spacing w:line="420" w:lineRule="exact"/>
        <w:ind w:right="-158"/>
        <w:jc w:val="both"/>
        <w:textAlignment w:val="auto"/>
        <w:rPr>
          <w:rFonts w:hint="default" w:eastAsia="宋体"/>
          <w:kern w:val="0"/>
          <w:sz w:val="24"/>
          <w:highlight w:val="none"/>
          <w:lang w:val="en-US" w:eastAsia="zh-CN"/>
        </w:rPr>
      </w:pPr>
      <w:r>
        <w:rPr>
          <w:color w:val="333333"/>
          <w:highlight w:val="none"/>
        </w:rPr>
        <w:t>（3）</w:t>
      </w:r>
      <w:r>
        <w:rPr>
          <w:b/>
          <w:color w:val="333333"/>
          <w:highlight w:val="none"/>
        </w:rPr>
        <w:t>特殊资格要求：</w:t>
      </w:r>
      <w:r>
        <w:rPr>
          <w:rFonts w:hint="eastAsia" w:ascii="Calibri" w:hAnsi="Calibri" w:cs="宋体"/>
          <w:kern w:val="0"/>
          <w:sz w:val="24"/>
          <w:highlight w:val="none"/>
          <w:lang w:val="en-US" w:eastAsia="zh-CN"/>
        </w:rPr>
        <w:t>市政公用</w:t>
      </w:r>
      <w:r>
        <w:rPr>
          <w:rFonts w:hint="eastAsia" w:ascii="Calibri" w:hAnsi="Calibri" w:eastAsia="宋体" w:cs="宋体"/>
          <w:kern w:val="0"/>
          <w:sz w:val="24"/>
          <w:highlight w:val="none"/>
        </w:rPr>
        <w:t>工程施工</w:t>
      </w:r>
      <w:r>
        <w:rPr>
          <w:rFonts w:hint="eastAsia" w:ascii="Calibri" w:hAnsi="Calibri" w:cs="宋体"/>
          <w:kern w:val="0"/>
          <w:sz w:val="24"/>
          <w:highlight w:val="none"/>
          <w:lang w:eastAsia="zh-CN"/>
        </w:rPr>
        <w:t>总承包</w:t>
      </w:r>
      <w:r>
        <w:rPr>
          <w:rFonts w:hint="eastAsia" w:ascii="Calibri" w:hAnsi="Calibri" w:eastAsia="宋体" w:cs="宋体"/>
          <w:kern w:val="0"/>
          <w:sz w:val="24"/>
          <w:highlight w:val="none"/>
        </w:rPr>
        <w:t>三级及以上资质</w:t>
      </w:r>
      <w:r>
        <w:rPr>
          <w:rFonts w:hint="eastAsia" w:ascii="Calibri" w:hAnsi="Calibri" w:cs="宋体"/>
          <w:kern w:val="0"/>
          <w:sz w:val="24"/>
          <w:highlight w:val="none"/>
          <w:lang w:eastAsia="zh-CN"/>
        </w:rPr>
        <w:t>、</w:t>
      </w:r>
      <w:r>
        <w:rPr>
          <w:rFonts w:hint="eastAsia" w:ascii="Calibri" w:hAnsi="Calibri" w:eastAsia="宋体" w:cs="宋体"/>
          <w:kern w:val="0"/>
          <w:sz w:val="24"/>
          <w:highlight w:val="none"/>
        </w:rPr>
        <w:t>有效期内的安全生产许可证；</w:t>
      </w:r>
      <w:r>
        <w:rPr>
          <w:rFonts w:hint="eastAsia" w:ascii="Calibri" w:hAnsi="Calibri" w:cs="宋体"/>
          <w:kern w:val="0"/>
          <w:sz w:val="24"/>
          <w:highlight w:val="none"/>
          <w:lang w:val="en-US" w:eastAsia="zh-CN"/>
        </w:rPr>
        <w:t>项目经理需具备市政工程专业二级及以上注册建造师，并在人员、设备、资金上等方面具备相应的能力。</w:t>
      </w:r>
    </w:p>
    <w:p>
      <w:pPr>
        <w:pStyle w:val="10"/>
        <w:keepNext w:val="0"/>
        <w:keepLines w:val="0"/>
        <w:pageBreakBefore w:val="0"/>
        <w:widowControl w:val="0"/>
        <w:kinsoku/>
        <w:wordWrap/>
        <w:overflowPunct/>
        <w:topLinePunct w:val="0"/>
        <w:autoSpaceDE w:val="0"/>
        <w:autoSpaceDN w:val="0"/>
        <w:bidi w:val="0"/>
        <w:snapToGrid/>
        <w:spacing w:line="420" w:lineRule="exact"/>
        <w:jc w:val="left"/>
        <w:textAlignment w:val="auto"/>
        <w:rPr>
          <w:rFonts w:asciiTheme="minorEastAsia" w:hAnsiTheme="minorEastAsia"/>
          <w:b/>
          <w:bCs/>
          <w:color w:val="000000" w:themeColor="text1"/>
          <w:sz w:val="24"/>
          <w:szCs w:val="24"/>
          <w:highlight w:val="none"/>
        </w:rPr>
      </w:pPr>
      <w:r>
        <w:rPr>
          <w:rFonts w:hint="eastAsia" w:asciiTheme="minorEastAsia" w:hAnsiTheme="minorEastAsia"/>
          <w:b/>
          <w:bCs/>
          <w:color w:val="000000" w:themeColor="text1"/>
          <w:sz w:val="24"/>
          <w:szCs w:val="24"/>
          <w:highlight w:val="none"/>
        </w:rPr>
        <w:t>开标评标时，投标供应商需提供以下资料(复印件须加盖公章现场提交) ：</w:t>
      </w:r>
    </w:p>
    <w:p>
      <w:pPr>
        <w:pStyle w:val="10"/>
        <w:keepNext w:val="0"/>
        <w:keepLines w:val="0"/>
        <w:pageBreakBefore w:val="0"/>
        <w:widowControl w:val="0"/>
        <w:kinsoku/>
        <w:wordWrap/>
        <w:overflowPunct/>
        <w:topLinePunct w:val="0"/>
        <w:autoSpaceDE w:val="0"/>
        <w:autoSpaceDN w:val="0"/>
        <w:bidi w:val="0"/>
        <w:snapToGrid/>
        <w:spacing w:line="420" w:lineRule="exact"/>
        <w:ind w:firstLine="240" w:firstLineChars="100"/>
        <w:jc w:val="left"/>
        <w:textAlignment w:val="auto"/>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1 、具备有效的工商营业执照副本（三证合一）复印件加盖鲜章（或营业执照、税务登记证、组织机构代码证）；</w:t>
      </w:r>
    </w:p>
    <w:p>
      <w:pPr>
        <w:pStyle w:val="10"/>
        <w:keepNext w:val="0"/>
        <w:keepLines w:val="0"/>
        <w:pageBreakBefore w:val="0"/>
        <w:widowControl w:val="0"/>
        <w:kinsoku/>
        <w:wordWrap/>
        <w:overflowPunct/>
        <w:topLinePunct w:val="0"/>
        <w:autoSpaceDE w:val="0"/>
        <w:autoSpaceDN w:val="0"/>
        <w:bidi w:val="0"/>
        <w:snapToGrid/>
        <w:spacing w:line="420" w:lineRule="exact"/>
        <w:ind w:left="251" w:leftChars="114"/>
        <w:jc w:val="both"/>
        <w:textAlignment w:val="auto"/>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2 、法定代表人</w:t>
      </w:r>
      <w:r>
        <w:rPr>
          <w:rFonts w:hint="eastAsia" w:asciiTheme="minorEastAsia" w:hAnsiTheme="minorEastAsia"/>
          <w:color w:val="000000" w:themeColor="text1"/>
          <w:sz w:val="24"/>
          <w:szCs w:val="24"/>
          <w:highlight w:val="none"/>
          <w:lang w:val="en-US" w:eastAsia="zh-CN"/>
        </w:rPr>
        <w:t>持</w:t>
      </w:r>
      <w:r>
        <w:rPr>
          <w:rFonts w:hint="eastAsia" w:asciiTheme="minorEastAsia" w:hAnsiTheme="minorEastAsia"/>
          <w:color w:val="000000" w:themeColor="text1"/>
          <w:sz w:val="24"/>
          <w:szCs w:val="24"/>
          <w:highlight w:val="none"/>
        </w:rPr>
        <w:t>身份证或委托代理人持授权委托书及代理人身份证</w:t>
      </w:r>
      <w:r>
        <w:rPr>
          <w:rFonts w:hint="eastAsia" w:asciiTheme="minorEastAsia" w:hAnsiTheme="minorEastAsia"/>
          <w:color w:val="000000" w:themeColor="text1"/>
          <w:sz w:val="24"/>
          <w:szCs w:val="24"/>
          <w:highlight w:val="none"/>
          <w:lang w:val="en-US" w:eastAsia="zh-CN"/>
        </w:rPr>
        <w:t>原</w:t>
      </w:r>
      <w:r>
        <w:rPr>
          <w:rFonts w:hint="eastAsia" w:asciiTheme="minorEastAsia" w:hAnsiTheme="minorEastAsia"/>
          <w:color w:val="000000" w:themeColor="text1"/>
          <w:sz w:val="24"/>
          <w:szCs w:val="24"/>
          <w:highlight w:val="none"/>
        </w:rPr>
        <w:t xml:space="preserve">件； </w:t>
      </w:r>
    </w:p>
    <w:p>
      <w:pPr>
        <w:keepNext w:val="0"/>
        <w:keepLines w:val="0"/>
        <w:pageBreakBefore w:val="0"/>
        <w:widowControl w:val="0"/>
        <w:kinsoku/>
        <w:wordWrap/>
        <w:overflowPunct/>
        <w:topLinePunct w:val="0"/>
        <w:autoSpaceDE w:val="0"/>
        <w:autoSpaceDN w:val="0"/>
        <w:bidi w:val="0"/>
        <w:adjustRightInd w:val="0"/>
        <w:snapToGrid/>
        <w:spacing w:line="420" w:lineRule="exact"/>
        <w:ind w:right="-158" w:firstLine="240" w:firstLineChars="100"/>
        <w:jc w:val="both"/>
        <w:textAlignment w:val="auto"/>
        <w:rPr>
          <w:kern w:val="0"/>
          <w:sz w:val="24"/>
          <w:highlight w:val="none"/>
        </w:rPr>
      </w:pPr>
      <w:r>
        <w:rPr>
          <w:rFonts w:hint="eastAsia" w:eastAsia="宋体" w:cs="宋体" w:asciiTheme="minorEastAsia" w:hAnsiTheme="minorEastAsia"/>
          <w:color w:val="000000" w:themeColor="text1"/>
          <w:sz w:val="24"/>
          <w:szCs w:val="24"/>
          <w:highlight w:val="none"/>
          <w:lang w:val="en-US" w:eastAsia="zh-CN" w:bidi="ar-SA"/>
        </w:rPr>
        <w:t>3</w:t>
      </w:r>
      <w:r>
        <w:rPr>
          <w:rFonts w:hint="eastAsia" w:eastAsia="宋体" w:cs="宋体" w:asciiTheme="minorEastAsia" w:hAnsiTheme="minorEastAsia"/>
          <w:color w:val="000000" w:themeColor="text1"/>
          <w:sz w:val="24"/>
          <w:szCs w:val="24"/>
          <w:highlight w:val="none"/>
          <w:lang w:val="en-US" w:eastAsia="en-US" w:bidi="ar-SA"/>
        </w:rPr>
        <w:t>、</w:t>
      </w:r>
      <w:r>
        <w:rPr>
          <w:rFonts w:hint="eastAsia" w:ascii="Calibri" w:hAnsi="Calibri" w:eastAsia="宋体" w:cs="宋体"/>
          <w:kern w:val="0"/>
          <w:sz w:val="24"/>
          <w:highlight w:val="none"/>
        </w:rPr>
        <w:t>保证金缴纳凭证；（</w:t>
      </w:r>
      <w:r>
        <w:rPr>
          <w:rFonts w:hint="eastAsia" w:ascii="Calibri" w:hAnsi="Calibri" w:eastAsia="宋体" w:cs="宋体"/>
          <w:sz w:val="24"/>
          <w:highlight w:val="none"/>
        </w:rPr>
        <w:t>在电子交易系统中缴纳凭证</w:t>
      </w:r>
      <w:r>
        <w:rPr>
          <w:rFonts w:hint="eastAsia" w:ascii="Calibri" w:hAnsi="Calibri" w:eastAsia="宋体" w:cs="宋体"/>
          <w:kern w:val="0"/>
          <w:sz w:val="24"/>
          <w:highlight w:val="none"/>
        </w:rPr>
        <w:t>）</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jc w:val="both"/>
        <w:textAlignment w:val="auto"/>
        <w:rPr>
          <w:highlight w:val="none"/>
        </w:rPr>
      </w:pPr>
      <w:r>
        <w:rPr>
          <w:highlight w:val="none"/>
        </w:rPr>
        <w:t>9、获取招标文件信息:</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jc w:val="both"/>
        <w:textAlignment w:val="auto"/>
        <w:rPr>
          <w:spacing w:val="-41"/>
          <w:highlight w:val="none"/>
        </w:rPr>
      </w:pPr>
      <w:r>
        <w:rPr>
          <w:highlight w:val="none"/>
        </w:rPr>
        <w:t>（1）购买采购文件时间:</w:t>
      </w:r>
      <w:r>
        <w:rPr>
          <w:rFonts w:hint="eastAsia"/>
          <w:highlight w:val="none"/>
          <w:lang w:val="en-US" w:eastAsia="zh-CN"/>
        </w:rPr>
        <w:t>2020</w:t>
      </w:r>
      <w:r>
        <w:rPr>
          <w:spacing w:val="-41"/>
          <w:highlight w:val="none"/>
        </w:rPr>
        <w:t xml:space="preserve">年 </w:t>
      </w:r>
      <w:r>
        <w:rPr>
          <w:rFonts w:hint="eastAsia"/>
          <w:spacing w:val="-41"/>
          <w:highlight w:val="none"/>
          <w:lang w:val="en-US" w:eastAsia="zh-CN"/>
        </w:rPr>
        <w:t>10</w:t>
      </w:r>
      <w:r>
        <w:rPr>
          <w:spacing w:val="-41"/>
          <w:highlight w:val="none"/>
        </w:rPr>
        <w:t>月</w:t>
      </w:r>
      <w:r>
        <w:rPr>
          <w:rFonts w:hint="eastAsia"/>
          <w:spacing w:val="-41"/>
          <w:highlight w:val="none"/>
          <w:lang w:val="en-US" w:eastAsia="zh-CN"/>
        </w:rPr>
        <w:t>22</w:t>
      </w:r>
      <w:r>
        <w:rPr>
          <w:highlight w:val="none"/>
        </w:rPr>
        <w:t>日 09:00时至</w:t>
      </w:r>
      <w:r>
        <w:rPr>
          <w:rFonts w:hint="eastAsia"/>
          <w:highlight w:val="none"/>
          <w:lang w:val="en-US" w:eastAsia="zh-CN"/>
        </w:rPr>
        <w:t>2020</w:t>
      </w:r>
      <w:r>
        <w:rPr>
          <w:spacing w:val="-41"/>
          <w:highlight w:val="none"/>
        </w:rPr>
        <w:t>年</w:t>
      </w:r>
      <w:r>
        <w:rPr>
          <w:rFonts w:hint="eastAsia"/>
          <w:spacing w:val="-41"/>
          <w:highlight w:val="none"/>
          <w:lang w:val="en-US" w:eastAsia="zh-CN"/>
        </w:rPr>
        <w:t xml:space="preserve"> </w:t>
      </w:r>
      <w:r>
        <w:rPr>
          <w:rFonts w:hint="eastAsia"/>
          <w:highlight w:val="none"/>
          <w:lang w:val="en-US" w:eastAsia="zh-CN"/>
        </w:rPr>
        <w:t>10</w:t>
      </w:r>
      <w:r>
        <w:rPr>
          <w:spacing w:val="-41"/>
          <w:highlight w:val="none"/>
        </w:rPr>
        <w:t>月</w:t>
      </w:r>
      <w:r>
        <w:rPr>
          <w:rFonts w:hint="eastAsia"/>
          <w:spacing w:val="-41"/>
          <w:highlight w:val="none"/>
          <w:lang w:val="en-US" w:eastAsia="zh-CN"/>
        </w:rPr>
        <w:t xml:space="preserve"> 28</w:t>
      </w:r>
      <w:r>
        <w:rPr>
          <w:spacing w:val="-41"/>
          <w:highlight w:val="none"/>
        </w:rPr>
        <w:t>日</w:t>
      </w:r>
      <w:r>
        <w:rPr>
          <w:rFonts w:hint="eastAsia"/>
          <w:highlight w:val="none"/>
          <w:lang w:val="en-US" w:eastAsia="zh-CN"/>
        </w:rPr>
        <w:t>17:00时</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jc w:val="both"/>
        <w:textAlignment w:val="auto"/>
        <w:rPr>
          <w:highlight w:val="none"/>
        </w:rPr>
      </w:pPr>
      <w:r>
        <w:rPr>
          <w:highlight w:val="none"/>
        </w:rPr>
        <w:t>（2）采购文件发售截止时间：</w:t>
      </w:r>
      <w:r>
        <w:rPr>
          <w:rFonts w:hint="eastAsia"/>
          <w:highlight w:val="none"/>
          <w:lang w:val="en-US" w:eastAsia="zh-CN"/>
        </w:rPr>
        <w:t>2020</w:t>
      </w:r>
      <w:r>
        <w:rPr>
          <w:highlight w:val="none"/>
        </w:rPr>
        <w:t>年</w:t>
      </w:r>
      <w:r>
        <w:rPr>
          <w:rFonts w:hint="eastAsia"/>
          <w:highlight w:val="none"/>
          <w:lang w:val="en-US" w:eastAsia="zh-CN"/>
        </w:rPr>
        <w:t>10</w:t>
      </w:r>
      <w:r>
        <w:rPr>
          <w:highlight w:val="none"/>
        </w:rPr>
        <w:t>月</w:t>
      </w:r>
      <w:r>
        <w:rPr>
          <w:rFonts w:hint="eastAsia"/>
          <w:highlight w:val="none"/>
          <w:lang w:val="en-US" w:eastAsia="zh-CN"/>
        </w:rPr>
        <w:t>28</w:t>
      </w:r>
      <w:r>
        <w:rPr>
          <w:highlight w:val="none"/>
        </w:rPr>
        <w:t>日 17:00时</w:t>
      </w:r>
    </w:p>
    <w:p>
      <w:pPr>
        <w:pStyle w:val="9"/>
        <w:keepNext w:val="0"/>
        <w:keepLines w:val="0"/>
        <w:pageBreakBefore w:val="0"/>
        <w:widowControl w:val="0"/>
        <w:tabs>
          <w:tab w:val="left" w:pos="3007"/>
        </w:tabs>
        <w:kinsoku/>
        <w:wordWrap/>
        <w:overflowPunct/>
        <w:topLinePunct w:val="0"/>
        <w:autoSpaceDE w:val="0"/>
        <w:autoSpaceDN w:val="0"/>
        <w:bidi w:val="0"/>
        <w:adjustRightInd/>
        <w:snapToGrid/>
        <w:spacing w:before="0" w:after="0" w:line="420" w:lineRule="exact"/>
        <w:ind w:left="0" w:right="0"/>
        <w:jc w:val="both"/>
        <w:textAlignment w:val="auto"/>
        <w:rPr>
          <w:highlight w:val="none"/>
        </w:rPr>
      </w:pPr>
      <w:r>
        <w:rPr>
          <w:color w:val="333333"/>
          <w:highlight w:val="none"/>
        </w:rPr>
        <w:t>（3）购买采购文件地点:全国公共资源交易平台（贵州省.铜仁市）网站（</w:t>
      </w:r>
      <w:r>
        <w:rPr>
          <w:rFonts w:hint="eastAsia"/>
          <w:color w:val="333333"/>
          <w:highlight w:val="none"/>
        </w:rPr>
        <w:t>http://jyzx.trs.gov.cn/index.shtml</w:t>
      </w:r>
      <w:r>
        <w:rPr>
          <w:color w:val="333333"/>
          <w:highlight w:val="none"/>
        </w:rPr>
        <w:t>）</w:t>
      </w:r>
    </w:p>
    <w:p>
      <w:pPr>
        <w:pStyle w:val="9"/>
        <w:keepNext w:val="0"/>
        <w:keepLines w:val="0"/>
        <w:pageBreakBefore w:val="0"/>
        <w:widowControl w:val="0"/>
        <w:tabs>
          <w:tab w:val="left" w:pos="2997"/>
        </w:tabs>
        <w:kinsoku/>
        <w:wordWrap/>
        <w:overflowPunct/>
        <w:topLinePunct w:val="0"/>
        <w:autoSpaceDE w:val="0"/>
        <w:autoSpaceDN w:val="0"/>
        <w:bidi w:val="0"/>
        <w:adjustRightInd/>
        <w:snapToGrid/>
        <w:spacing w:before="0" w:after="0" w:line="420" w:lineRule="exact"/>
        <w:ind w:left="0" w:right="0"/>
        <w:jc w:val="both"/>
        <w:textAlignment w:val="auto"/>
        <w:rPr>
          <w:highlight w:val="none"/>
        </w:rPr>
      </w:pPr>
      <w:r>
        <w:rPr>
          <w:color w:val="333333"/>
          <w:highlight w:val="none"/>
        </w:rPr>
        <w:t>（4）招标采购获取方式:网上购买</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jc w:val="both"/>
        <w:textAlignment w:val="auto"/>
        <w:rPr>
          <w:color w:val="333333"/>
          <w:highlight w:val="none"/>
        </w:rPr>
      </w:pPr>
      <w:r>
        <w:rPr>
          <w:color w:val="333333"/>
          <w:highlight w:val="none"/>
        </w:rPr>
        <w:t>（5）采购文件售价:人民币300.00元/套</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jc w:val="both"/>
        <w:textAlignment w:val="auto"/>
        <w:rPr>
          <w:color w:val="333333"/>
          <w:highlight w:val="none"/>
        </w:rPr>
      </w:pPr>
      <w:r>
        <w:rPr>
          <w:rFonts w:hint="eastAsia"/>
        </w:rPr>
        <w:t>注：投标人应随时登录贵州省政府采购（http://www.ccgp-guizhuo.gov.cn/）或者铜仁市公共资源交易中心网（http://jyzx.trs.gov.cn）“交易平台”查看、处理采购人发出的文件澄清、补充、更正等通知内容，如因投标人微机室上网查询导致的后果，由投标人自己承担。</w:t>
      </w:r>
    </w:p>
    <w:p>
      <w:pPr>
        <w:pStyle w:val="9"/>
        <w:keepNext w:val="0"/>
        <w:keepLines w:val="0"/>
        <w:pageBreakBefore w:val="0"/>
        <w:widowControl w:val="0"/>
        <w:tabs>
          <w:tab w:val="left" w:pos="6117"/>
          <w:tab w:val="left" w:pos="6957"/>
        </w:tabs>
        <w:kinsoku/>
        <w:wordWrap/>
        <w:overflowPunct/>
        <w:topLinePunct w:val="0"/>
        <w:autoSpaceDE w:val="0"/>
        <w:autoSpaceDN w:val="0"/>
        <w:bidi w:val="0"/>
        <w:adjustRightInd/>
        <w:snapToGrid/>
        <w:spacing w:before="0" w:after="0" w:line="420" w:lineRule="exact"/>
        <w:ind w:left="0" w:right="0"/>
        <w:jc w:val="both"/>
        <w:textAlignment w:val="auto"/>
        <w:rPr>
          <w:highlight w:val="none"/>
        </w:rPr>
      </w:pPr>
      <w:r>
        <w:rPr>
          <w:color w:val="333333"/>
          <w:highlight w:val="none"/>
        </w:rPr>
        <w:t>10.投标截止时间（北京时间</w:t>
      </w:r>
      <w:r>
        <w:rPr>
          <w:highlight w:val="none"/>
        </w:rPr>
        <w:t>）:</w:t>
      </w:r>
      <w:r>
        <w:rPr>
          <w:rFonts w:hint="eastAsia"/>
          <w:color w:val="333333"/>
          <w:highlight w:val="none"/>
          <w:lang w:val="en-US" w:eastAsia="zh-CN"/>
        </w:rPr>
        <w:t>2020年11月2日 14 时00分</w:t>
      </w:r>
    </w:p>
    <w:p>
      <w:pPr>
        <w:pStyle w:val="9"/>
        <w:keepNext w:val="0"/>
        <w:keepLines w:val="0"/>
        <w:pageBreakBefore w:val="0"/>
        <w:widowControl w:val="0"/>
        <w:tabs>
          <w:tab w:val="left" w:pos="5217"/>
          <w:tab w:val="left" w:pos="5697"/>
          <w:tab w:val="left" w:pos="6537"/>
        </w:tabs>
        <w:kinsoku/>
        <w:wordWrap/>
        <w:overflowPunct/>
        <w:topLinePunct w:val="0"/>
        <w:autoSpaceDE w:val="0"/>
        <w:autoSpaceDN w:val="0"/>
        <w:bidi w:val="0"/>
        <w:adjustRightInd/>
        <w:snapToGrid/>
        <w:spacing w:before="0" w:after="0" w:line="420" w:lineRule="exact"/>
        <w:ind w:left="0" w:right="0"/>
        <w:jc w:val="both"/>
        <w:textAlignment w:val="auto"/>
        <w:rPr>
          <w:highlight w:val="none"/>
        </w:rPr>
      </w:pPr>
      <w:r>
        <w:rPr>
          <w:highlight w:val="none"/>
        </w:rPr>
        <w:t>11.开标时间（北京时间）:</w:t>
      </w:r>
      <w:r>
        <w:rPr>
          <w:rFonts w:hint="eastAsia"/>
          <w:highlight w:val="none"/>
          <w:lang w:val="en-US" w:eastAsia="zh-CN"/>
        </w:rPr>
        <w:t>2020</w:t>
      </w:r>
      <w:r>
        <w:rPr>
          <w:highlight w:val="none"/>
        </w:rPr>
        <w:t>年</w:t>
      </w:r>
      <w:r>
        <w:rPr>
          <w:spacing w:val="-60"/>
          <w:highlight w:val="none"/>
        </w:rPr>
        <w:t xml:space="preserve"> </w:t>
      </w:r>
      <w:r>
        <w:rPr>
          <w:rFonts w:hint="eastAsia"/>
          <w:highlight w:val="none"/>
          <w:lang w:val="en-US" w:eastAsia="zh-CN"/>
        </w:rPr>
        <w:t>11</w:t>
      </w:r>
      <w:r>
        <w:rPr>
          <w:highlight w:val="none"/>
        </w:rPr>
        <w:t>月</w:t>
      </w:r>
      <w:r>
        <w:rPr>
          <w:rFonts w:hint="eastAsia"/>
          <w:spacing w:val="-60"/>
          <w:highlight w:val="none"/>
          <w:lang w:val="en-US" w:eastAsia="zh-CN"/>
        </w:rPr>
        <w:t xml:space="preserve"> 2  </w:t>
      </w:r>
      <w:r>
        <w:rPr>
          <w:highlight w:val="none"/>
        </w:rPr>
        <w:t>日</w:t>
      </w:r>
      <w:r>
        <w:rPr>
          <w:rFonts w:hint="eastAsia"/>
          <w:highlight w:val="none"/>
          <w:lang w:val="en-US" w:eastAsia="zh-CN"/>
        </w:rPr>
        <w:t>14</w:t>
      </w:r>
      <w:r>
        <w:rPr>
          <w:highlight w:val="none"/>
        </w:rPr>
        <w:t>时</w:t>
      </w:r>
      <w:r>
        <w:rPr>
          <w:rFonts w:hint="eastAsia"/>
          <w:highlight w:val="none"/>
          <w:lang w:val="en-US" w:eastAsia="zh-CN"/>
        </w:rPr>
        <w:t>00</w:t>
      </w:r>
      <w:r>
        <w:rPr>
          <w:highlight w:val="none"/>
        </w:rPr>
        <w:t>分</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jc w:val="both"/>
        <w:textAlignment w:val="auto"/>
        <w:rPr>
          <w:color w:val="333333"/>
          <w:highlight w:val="none"/>
        </w:rPr>
      </w:pPr>
      <w:r>
        <w:rPr>
          <w:color w:val="333333"/>
          <w:highlight w:val="none"/>
        </w:rPr>
        <w:t>12.开标地点:</w:t>
      </w:r>
      <w:r>
        <w:rPr>
          <w:rFonts w:hint="eastAsia"/>
          <w:color w:val="333333"/>
          <w:highlight w:val="none"/>
        </w:rPr>
        <w:t xml:space="preserve">全国公共资源交易平台（贵州省.铜仁市）江口分中心 </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jc w:val="both"/>
        <w:textAlignment w:val="auto"/>
        <w:rPr>
          <w:rFonts w:hint="eastAsia"/>
          <w:color w:val="333333"/>
          <w:highlight w:val="none"/>
          <w:lang w:val="en-US" w:eastAsia="zh-CN"/>
        </w:rPr>
      </w:pPr>
      <w:r>
        <w:rPr>
          <w:color w:val="333333"/>
          <w:highlight w:val="none"/>
        </w:rPr>
        <w:t>13.投标保证金情况</w:t>
      </w:r>
      <w:r>
        <w:rPr>
          <w:rFonts w:hint="eastAsia"/>
          <w:color w:val="333333"/>
          <w:highlight w:val="none"/>
          <w:lang w:val="en-US" w:eastAsia="zh-CN"/>
        </w:rPr>
        <w:t>:具体缴退流程见全国公共资源交易平台（贵州省•铜仁市）官方网址（http://jyzx.trs.gov.cn/TPFront_TR/index.htm），点击首页--办事指南--保证金缴退，按步骤自行缴纳保证金。</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jc w:val="both"/>
        <w:textAlignment w:val="auto"/>
        <w:rPr>
          <w:color w:val="333333"/>
          <w:highlight w:val="none"/>
        </w:rPr>
      </w:pPr>
      <w:r>
        <w:rPr>
          <w:color w:val="333333"/>
          <w:highlight w:val="none"/>
        </w:rPr>
        <w:t>（1）磋商保证金额:</w:t>
      </w:r>
      <w:r>
        <w:rPr>
          <w:rFonts w:hint="eastAsia"/>
          <w:color w:val="333333"/>
          <w:highlight w:val="none"/>
          <w:lang w:val="en-US" w:eastAsia="zh-CN"/>
        </w:rPr>
        <w:t>10000</w:t>
      </w:r>
      <w:r>
        <w:rPr>
          <w:color w:val="333333"/>
          <w:highlight w:val="none"/>
        </w:rPr>
        <w:t>.00元</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jc w:val="both"/>
        <w:textAlignment w:val="auto"/>
        <w:rPr>
          <w:color w:val="333333"/>
          <w:highlight w:val="none"/>
        </w:rPr>
      </w:pPr>
      <w:r>
        <w:rPr>
          <w:color w:val="333333"/>
          <w:highlight w:val="none"/>
        </w:rPr>
        <w:t>（2）竞争性磋商保证金交纳时间:投标截止时间前</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jc w:val="both"/>
        <w:textAlignment w:val="auto"/>
        <w:rPr>
          <w:color w:val="333333"/>
          <w:highlight w:val="none"/>
          <w:lang w:val="en-US" w:eastAsia="en-US"/>
        </w:rPr>
      </w:pPr>
      <w:r>
        <w:rPr>
          <w:color w:val="333333"/>
          <w:highlight w:val="none"/>
          <w:lang w:val="en-US" w:eastAsia="en-US"/>
        </w:rPr>
        <w:t>（3）竞争性磋商保证金交纳方式:</w:t>
      </w:r>
      <w:r>
        <w:rPr>
          <w:rFonts w:hint="eastAsia"/>
          <w:color w:val="333333"/>
          <w:highlight w:val="none"/>
          <w:lang w:val="en-US" w:eastAsia="en-US"/>
        </w:rPr>
        <w:t>公对公转账</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jc w:val="both"/>
        <w:textAlignment w:val="auto"/>
        <w:rPr>
          <w:color w:val="333333"/>
          <w:highlight w:val="none"/>
          <w:lang w:val="en-US" w:eastAsia="en-US"/>
        </w:rPr>
      </w:pPr>
      <w:r>
        <w:rPr>
          <w:color w:val="333333"/>
          <w:highlight w:val="none"/>
          <w:lang w:val="en-US" w:eastAsia="en-US"/>
        </w:rPr>
        <w:t>（4）开户银行及帐号：</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right="0" w:firstLine="240" w:firstLineChars="100"/>
        <w:jc w:val="both"/>
        <w:textAlignment w:val="auto"/>
        <w:rPr>
          <w:color w:val="333333"/>
          <w:highlight w:val="none"/>
          <w:lang w:val="en-US" w:eastAsia="en-US"/>
        </w:rPr>
      </w:pPr>
      <w:r>
        <w:rPr>
          <w:color w:val="333333"/>
          <w:highlight w:val="none"/>
          <w:lang w:val="en-US" w:eastAsia="en-US"/>
        </w:rPr>
        <w:t>单位名称:铜仁市公共资源交易中心</w:t>
      </w:r>
      <w:r>
        <w:rPr>
          <w:rFonts w:hint="eastAsia"/>
          <w:color w:val="333333"/>
          <w:highlight w:val="none"/>
          <w:lang w:val="en-US" w:eastAsia="zh-CN"/>
        </w:rPr>
        <w:t>江口</w:t>
      </w:r>
      <w:r>
        <w:rPr>
          <w:color w:val="333333"/>
          <w:highlight w:val="none"/>
          <w:lang w:val="en-US" w:eastAsia="en-US"/>
        </w:rPr>
        <w:t>分中心</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right="0" w:firstLine="240" w:firstLineChars="100"/>
        <w:jc w:val="both"/>
        <w:textAlignment w:val="auto"/>
        <w:rPr>
          <w:color w:val="333333"/>
          <w:highlight w:val="none"/>
          <w:lang w:val="en-US" w:eastAsia="en-US"/>
        </w:rPr>
      </w:pPr>
      <w:r>
        <w:rPr>
          <w:color w:val="333333"/>
          <w:highlight w:val="none"/>
          <w:lang w:val="en-US" w:eastAsia="en-US"/>
        </w:rPr>
        <w:t>开户银行:</w:t>
      </w:r>
      <w:r>
        <w:rPr>
          <w:rFonts w:hint="eastAsia"/>
          <w:color w:val="333333"/>
          <w:highlight w:val="none"/>
          <w:lang w:val="en-US" w:eastAsia="en-US"/>
        </w:rPr>
        <w:t>贵州银行股份有限公司江口支行</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right="0" w:firstLine="240" w:firstLineChars="100"/>
        <w:jc w:val="both"/>
        <w:textAlignment w:val="auto"/>
        <w:rPr>
          <w:rFonts w:hint="eastAsia"/>
          <w:color w:val="333333"/>
          <w:highlight w:val="none"/>
          <w:lang w:val="en-US" w:eastAsia="en-US"/>
        </w:rPr>
      </w:pPr>
      <w:r>
        <w:rPr>
          <w:color w:val="333333"/>
          <w:highlight w:val="none"/>
          <w:lang w:val="en-US" w:eastAsia="en-US"/>
        </w:rPr>
        <w:t>帐</w:t>
      </w:r>
      <w:r>
        <w:rPr>
          <w:rFonts w:hint="eastAsia"/>
          <w:color w:val="333333"/>
          <w:highlight w:val="none"/>
          <w:lang w:val="en-US" w:eastAsia="zh-CN"/>
        </w:rPr>
        <w:t xml:space="preserve">    </w:t>
      </w:r>
      <w:r>
        <w:rPr>
          <w:color w:val="333333"/>
          <w:highlight w:val="none"/>
          <w:lang w:val="en-US" w:eastAsia="en-US"/>
        </w:rPr>
        <w:t>号:</w:t>
      </w:r>
      <w:r>
        <w:rPr>
          <w:rFonts w:hint="eastAsia"/>
          <w:color w:val="333333"/>
          <w:highlight w:val="none"/>
          <w:lang w:val="en-US" w:eastAsia="en-US"/>
        </w:rPr>
        <w:t>0614 0016 0000 0057</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jc w:val="both"/>
        <w:textAlignment w:val="auto"/>
        <w:rPr>
          <w:sz w:val="23"/>
          <w:highlight w:val="none"/>
        </w:rPr>
      </w:pPr>
      <w:bookmarkStart w:id="3" w:name="_GoBack"/>
      <w:bookmarkEnd w:id="3"/>
      <w:r>
        <w:rPr>
          <w:highlight w:val="none"/>
        </w:rPr>
        <w:t>14、PPP项目:否</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jc w:val="both"/>
        <w:textAlignment w:val="auto"/>
        <w:rPr>
          <w:rFonts w:hint="default" w:eastAsia="宋体"/>
          <w:highlight w:val="none"/>
          <w:lang w:val="en-US" w:eastAsia="zh-CN"/>
        </w:rPr>
      </w:pPr>
      <w:r>
        <w:rPr>
          <w:highlight w:val="none"/>
        </w:rPr>
        <w:t>15、招标人名称:</w:t>
      </w:r>
      <w:r>
        <w:rPr>
          <w:rFonts w:hint="eastAsia"/>
          <w:highlight w:val="none"/>
          <w:lang w:val="en-US" w:eastAsia="zh-CN"/>
        </w:rPr>
        <w:t>江口县农业农村局</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firstLine="480" w:firstLineChars="200"/>
        <w:jc w:val="both"/>
        <w:textAlignment w:val="auto"/>
        <w:rPr>
          <w:rFonts w:hint="default"/>
          <w:highlight w:val="none"/>
          <w:lang w:val="en-US" w:eastAsia="zh-CN"/>
        </w:rPr>
      </w:pPr>
      <w:r>
        <w:rPr>
          <w:highlight w:val="none"/>
        </w:rPr>
        <w:t>联系地址:</w:t>
      </w:r>
      <w:r>
        <w:rPr>
          <w:rFonts w:hint="eastAsia"/>
          <w:highlight w:val="none"/>
          <w:lang w:val="en-US" w:eastAsia="zh-CN"/>
        </w:rPr>
        <w:t>江口县三星西路127号</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firstLine="480" w:firstLineChars="200"/>
        <w:jc w:val="both"/>
        <w:textAlignment w:val="auto"/>
        <w:rPr>
          <w:rFonts w:hint="eastAsia" w:eastAsia="宋体"/>
          <w:highlight w:val="none"/>
          <w:lang w:val="en-US" w:eastAsia="zh-CN"/>
        </w:rPr>
      </w:pPr>
      <w:r>
        <w:rPr>
          <w:highlight w:val="none"/>
        </w:rPr>
        <w:t>联系人：</w:t>
      </w:r>
      <w:r>
        <w:rPr>
          <w:rFonts w:hint="eastAsia"/>
          <w:highlight w:val="none"/>
          <w:lang w:val="en-US" w:eastAsia="zh-CN"/>
        </w:rPr>
        <w:t>夏祖权</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firstLine="480" w:firstLineChars="200"/>
        <w:jc w:val="both"/>
        <w:textAlignment w:val="auto"/>
        <w:rPr>
          <w:rFonts w:hint="default" w:eastAsia="宋体"/>
          <w:sz w:val="23"/>
          <w:highlight w:val="none"/>
          <w:lang w:val="en-US" w:eastAsia="zh-CN"/>
        </w:rPr>
      </w:pPr>
      <w:r>
        <w:rPr>
          <w:highlight w:val="none"/>
        </w:rPr>
        <w:t xml:space="preserve">电 </w:t>
      </w:r>
      <w:r>
        <w:rPr>
          <w:rFonts w:hint="eastAsia"/>
          <w:highlight w:val="none"/>
          <w:lang w:val="en-US" w:eastAsia="zh-CN"/>
        </w:rPr>
        <w:t xml:space="preserve"> </w:t>
      </w:r>
      <w:r>
        <w:rPr>
          <w:highlight w:val="none"/>
        </w:rPr>
        <w:t>话：</w:t>
      </w:r>
      <w:r>
        <w:rPr>
          <w:rFonts w:hint="eastAsia"/>
          <w:highlight w:val="none"/>
          <w:lang w:val="en-US" w:eastAsia="zh-CN"/>
        </w:rPr>
        <w:t>13885659956</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jc w:val="both"/>
        <w:textAlignment w:val="auto"/>
        <w:rPr>
          <w:highlight w:val="none"/>
        </w:rPr>
      </w:pPr>
      <w:r>
        <w:rPr>
          <w:highlight w:val="none"/>
        </w:rPr>
        <w:t>16、采购项目需要落实的政府采购政策:已落实</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jc w:val="both"/>
        <w:textAlignment w:val="auto"/>
        <w:rPr>
          <w:rFonts w:hint="eastAsia"/>
          <w:highlight w:val="none"/>
          <w:lang w:eastAsia="zh-CN"/>
        </w:rPr>
      </w:pPr>
      <w:r>
        <w:rPr>
          <w:highlight w:val="none"/>
        </w:rPr>
        <w:t>17、采购代理机构全称:</w:t>
      </w:r>
      <w:r>
        <w:rPr>
          <w:rFonts w:hint="eastAsia"/>
          <w:highlight w:val="none"/>
        </w:rPr>
        <w:t>贵州智邺建设工程项目管理有限公司</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firstLine="480" w:firstLineChars="200"/>
        <w:jc w:val="both"/>
        <w:textAlignment w:val="auto"/>
        <w:rPr>
          <w:highlight w:val="none"/>
        </w:rPr>
      </w:pPr>
      <w:r>
        <w:rPr>
          <w:highlight w:val="none"/>
        </w:rPr>
        <w:t>联系地址:</w:t>
      </w:r>
      <w:r>
        <w:rPr>
          <w:rFonts w:hint="eastAsia"/>
          <w:highlight w:val="none"/>
          <w:lang w:val="en-US" w:eastAsia="zh-CN"/>
        </w:rPr>
        <w:t>贵州省贵安新区行政中心政务服务大厅2楼办公室</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firstLine="480" w:firstLineChars="200"/>
        <w:jc w:val="both"/>
        <w:textAlignment w:val="auto"/>
        <w:rPr>
          <w:rFonts w:hint="eastAsia"/>
          <w:highlight w:val="none"/>
          <w:lang w:val="en-US" w:eastAsia="zh-CN"/>
        </w:rPr>
      </w:pPr>
      <w:r>
        <w:rPr>
          <w:highlight w:val="none"/>
        </w:rPr>
        <w:t>联系人:</w:t>
      </w:r>
      <w:r>
        <w:rPr>
          <w:rFonts w:hint="eastAsia"/>
          <w:highlight w:val="none"/>
          <w:lang w:val="en-US" w:eastAsia="zh-CN"/>
        </w:rPr>
        <w:t>周丽</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firstLine="480" w:firstLineChars="200"/>
        <w:jc w:val="both"/>
        <w:textAlignment w:val="auto"/>
        <w:rPr>
          <w:rFonts w:hint="default"/>
          <w:highlight w:val="none"/>
          <w:lang w:val="en-US"/>
        </w:rPr>
        <w:sectPr>
          <w:pgSz w:w="11910" w:h="16840"/>
          <w:pgMar w:top="1540" w:right="1680" w:bottom="880" w:left="1680" w:header="0" w:footer="1077" w:gutter="0"/>
          <w:pgBorders>
            <w:top w:val="none" w:sz="0" w:space="0"/>
            <w:left w:val="none" w:sz="0" w:space="0"/>
            <w:bottom w:val="none" w:sz="0" w:space="0"/>
            <w:right w:val="none" w:sz="0" w:space="0"/>
          </w:pgBorders>
          <w:pgNumType w:fmt="decimal"/>
        </w:sectPr>
      </w:pPr>
      <w:r>
        <w:rPr>
          <w:rFonts w:hint="eastAsia"/>
          <w:highlight w:val="none"/>
        </w:rPr>
        <w:t>电</w:t>
      </w:r>
      <w:r>
        <w:rPr>
          <w:rFonts w:hint="eastAsia"/>
          <w:highlight w:val="none"/>
          <w:lang w:val="en-US" w:eastAsia="zh-CN"/>
        </w:rPr>
        <w:t xml:space="preserve">  </w:t>
      </w:r>
      <w:r>
        <w:rPr>
          <w:rFonts w:hint="eastAsia"/>
          <w:highlight w:val="none"/>
        </w:rPr>
        <w:t>话:</w:t>
      </w:r>
      <w:r>
        <w:rPr>
          <w:rFonts w:hint="eastAsia"/>
          <w:highlight w:val="none"/>
          <w:lang w:val="en-US" w:eastAsia="zh-CN"/>
        </w:rPr>
        <w:t>18311708670</w:t>
      </w:r>
    </w:p>
    <w:p>
      <w:pPr>
        <w:pStyle w:val="4"/>
        <w:keepNext w:val="0"/>
        <w:keepLines w:val="0"/>
        <w:pageBreakBefore w:val="0"/>
        <w:widowControl w:val="0"/>
        <w:kinsoku/>
        <w:wordWrap/>
        <w:overflowPunct/>
        <w:topLinePunct w:val="0"/>
        <w:autoSpaceDE w:val="0"/>
        <w:autoSpaceDN w:val="0"/>
        <w:bidi w:val="0"/>
        <w:adjustRightInd/>
        <w:snapToGrid/>
        <w:spacing w:before="0" w:after="0" w:line="433" w:lineRule="exact"/>
        <w:ind w:left="0" w:right="0"/>
        <w:jc w:val="center"/>
        <w:textAlignment w:val="auto"/>
        <w:rPr>
          <w:highlight w:val="none"/>
        </w:rPr>
      </w:pPr>
      <w:r>
        <w:rPr>
          <w:highlight w:val="none"/>
        </w:rPr>
        <w:t>第二章 磋商供应商须知</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38"/>
          <w:highlight w:val="none"/>
        </w:rPr>
      </w:pPr>
    </w:p>
    <w:p>
      <w:pPr>
        <w:pStyle w:val="5"/>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highlight w:val="none"/>
        </w:rPr>
      </w:pPr>
      <w:r>
        <w:rPr>
          <w:highlight w:val="none"/>
        </w:rPr>
        <w:t>磋商供应商须知前附表 1</w:t>
      </w:r>
    </w:p>
    <w:p>
      <w:pPr>
        <w:pStyle w:val="9"/>
        <w:keepNext w:val="0"/>
        <w:keepLines w:val="0"/>
        <w:pageBreakBefore w:val="0"/>
        <w:widowControl w:val="0"/>
        <w:kinsoku/>
        <w:wordWrap/>
        <w:overflowPunct/>
        <w:topLinePunct w:val="0"/>
        <w:autoSpaceDE w:val="0"/>
        <w:autoSpaceDN w:val="0"/>
        <w:bidi w:val="0"/>
        <w:adjustRightInd/>
        <w:snapToGrid/>
        <w:spacing w:before="0" w:after="0" w:line="237" w:lineRule="auto"/>
        <w:ind w:left="0" w:right="0" w:firstLine="480"/>
        <w:jc w:val="both"/>
        <w:textAlignment w:val="auto"/>
        <w:rPr>
          <w:highlight w:val="none"/>
        </w:rPr>
      </w:pPr>
      <w:r>
        <w:rPr>
          <w:highlight w:val="none"/>
        </w:rPr>
        <w:t>本须知前附表的条款号是与《磋商供应商须知》中条款的项号相对应的。如果有矛盾的话，应以本附表为准。</w:t>
      </w:r>
    </w:p>
    <w:tbl>
      <w:tblPr>
        <w:tblStyle w:val="13"/>
        <w:tblW w:w="87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3"/>
        <w:gridCol w:w="78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903"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b/>
                <w:bCs/>
                <w:sz w:val="24"/>
                <w:highlight w:val="none"/>
              </w:rPr>
            </w:pPr>
            <w:r>
              <w:rPr>
                <w:b/>
                <w:bCs/>
                <w:sz w:val="24"/>
                <w:highlight w:val="none"/>
              </w:rPr>
              <w:t>序号</w:t>
            </w:r>
          </w:p>
        </w:tc>
        <w:tc>
          <w:tcPr>
            <w:tcW w:w="7872"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bCs/>
                <w:sz w:val="21"/>
                <w:highlight w:val="none"/>
              </w:rPr>
            </w:pPr>
          </w:p>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b/>
                <w:bCs/>
                <w:sz w:val="24"/>
                <w:highlight w:val="none"/>
              </w:rPr>
            </w:pPr>
            <w:r>
              <w:rPr>
                <w:b/>
                <w:bCs/>
                <w:sz w:val="24"/>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0" w:hRule="atLeast"/>
        </w:trPr>
        <w:tc>
          <w:tcPr>
            <w:tcW w:w="903"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4"/>
                <w:highlight w:val="none"/>
              </w:rPr>
            </w:pPr>
            <w:r>
              <w:rPr>
                <w:sz w:val="24"/>
                <w:highlight w:val="none"/>
              </w:rPr>
              <w:t>1</w:t>
            </w:r>
          </w:p>
        </w:tc>
        <w:tc>
          <w:tcPr>
            <w:tcW w:w="7872" w:type="dxa"/>
          </w:tcPr>
          <w:p>
            <w:pPr>
              <w:pStyle w:val="1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sz w:val="24"/>
                <w:highlight w:val="none"/>
                <w:u w:val="single"/>
              </w:rPr>
            </w:pPr>
            <w:r>
              <w:rPr>
                <w:spacing w:val="-12"/>
                <w:sz w:val="24"/>
                <w:highlight w:val="none"/>
              </w:rPr>
              <w:t>项目名称：</w:t>
            </w:r>
            <w:r>
              <w:rPr>
                <w:rFonts w:hint="eastAsia"/>
                <w:sz w:val="24"/>
                <w:highlight w:val="none"/>
                <w:u w:val="single"/>
                <w:lang w:val="en-US" w:eastAsia="zh-CN"/>
              </w:rPr>
              <w:t>江口县2018年农村“厕所革命”省级奖补资金工程项目采购</w:t>
            </w:r>
          </w:p>
          <w:p>
            <w:pPr>
              <w:pStyle w:val="1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sz w:val="24"/>
                <w:highlight w:val="none"/>
              </w:rPr>
            </w:pPr>
            <w:r>
              <w:rPr>
                <w:sz w:val="24"/>
                <w:highlight w:val="none"/>
              </w:rPr>
              <w:t>采购人名称:</w:t>
            </w:r>
            <w:r>
              <w:rPr>
                <w:rFonts w:hint="eastAsia"/>
                <w:sz w:val="24"/>
                <w:highlight w:val="none"/>
                <w:u w:val="single"/>
                <w:lang w:val="en-US" w:eastAsia="zh-CN"/>
              </w:rPr>
              <w:t>江口县农业农村局</w:t>
            </w:r>
          </w:p>
          <w:p>
            <w:pPr>
              <w:pStyle w:val="1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hint="default" w:eastAsia="宋体"/>
                <w:sz w:val="24"/>
                <w:highlight w:val="none"/>
                <w:lang w:val="en-US" w:eastAsia="zh-CN"/>
              </w:rPr>
            </w:pPr>
            <w:r>
              <w:rPr>
                <w:sz w:val="24"/>
                <w:highlight w:val="none"/>
              </w:rPr>
              <w:t>采购人地址:</w:t>
            </w:r>
            <w:r>
              <w:rPr>
                <w:rFonts w:hint="eastAsia"/>
                <w:sz w:val="24"/>
                <w:u w:val="single"/>
              </w:rPr>
              <w:t>江口县三星西路</w:t>
            </w:r>
            <w:r>
              <w:rPr>
                <w:rFonts w:hint="eastAsia"/>
                <w:sz w:val="24"/>
                <w:u w:val="single"/>
                <w:lang w:val="en-US" w:eastAsia="zh-CN"/>
              </w:rPr>
              <w:t>127号</w:t>
            </w:r>
          </w:p>
          <w:p>
            <w:pPr>
              <w:pStyle w:val="1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hint="default"/>
                <w:sz w:val="24"/>
                <w:highlight w:val="none"/>
                <w:lang w:val="en-US" w:eastAsia="zh-CN"/>
              </w:rPr>
            </w:pPr>
            <w:r>
              <w:rPr>
                <w:sz w:val="24"/>
                <w:highlight w:val="none"/>
              </w:rPr>
              <w:t>项目内容：</w:t>
            </w:r>
            <w:r>
              <w:rPr>
                <w:rFonts w:hint="eastAsia"/>
                <w:sz w:val="24"/>
                <w:highlight w:val="none"/>
                <w:u w:val="single"/>
                <w:lang w:val="en-US" w:eastAsia="zh-CN"/>
              </w:rPr>
              <w:t>新建村级户用卫生厕所256户（其中：凯文村118户、净河村138户）；凯文村生活污水处理系统1套（其中：DN300污水管1818.93m、DN200污水管430.26m、DN150污水管750m、检查井59座、生物氧化塘1座）</w:t>
            </w:r>
            <w:r>
              <w:rPr>
                <w:rFonts w:hint="eastAsia"/>
                <w:sz w:val="24"/>
                <w:highlight w:val="none"/>
                <w:lang w:val="en-US" w:eastAsia="zh-CN"/>
              </w:rPr>
              <w:t>。</w:t>
            </w:r>
          </w:p>
          <w:p>
            <w:pPr>
              <w:pStyle w:val="1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hint="eastAsia" w:eastAsia="宋体"/>
                <w:sz w:val="24"/>
                <w:highlight w:val="none"/>
                <w:lang w:val="en-US" w:eastAsia="zh-CN"/>
              </w:rPr>
            </w:pPr>
            <w:r>
              <w:rPr>
                <w:sz w:val="24"/>
                <w:highlight w:val="none"/>
              </w:rPr>
              <w:t xml:space="preserve">项目编号： </w:t>
            </w:r>
            <w:r>
              <w:rPr>
                <w:rFonts w:hint="eastAsia" w:ascii="宋体" w:hAnsi="宋体" w:cs="宋体"/>
                <w:sz w:val="24"/>
                <w:szCs w:val="24"/>
                <w:u w:val="single"/>
                <w:lang w:val="en-US" w:eastAsia="zh-CN"/>
              </w:rPr>
              <w:t>GZZY-CG-2020100(-</w:t>
            </w:r>
            <w:r>
              <w:rPr>
                <w:rFonts w:hint="eastAsia" w:cs="宋体"/>
                <w:sz w:val="24"/>
                <w:szCs w:val="24"/>
                <w:u w:val="single"/>
                <w:lang w:val="en-US" w:eastAsia="zh-CN"/>
              </w:rPr>
              <w:t>10</w:t>
            </w:r>
            <w:r>
              <w:rPr>
                <w:rFonts w:hint="eastAsia" w:ascii="宋体" w:hAnsi="宋体" w:cs="宋体"/>
                <w:sz w:val="24"/>
                <w:szCs w:val="24"/>
                <w:u w:val="single"/>
                <w:lang w:val="en-US" w:eastAsia="zh-CN"/>
              </w:rPr>
              <w:t>)</w:t>
            </w:r>
          </w:p>
          <w:p>
            <w:pPr>
              <w:pStyle w:val="1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sz w:val="24"/>
                <w:highlight w:val="none"/>
              </w:rPr>
            </w:pPr>
            <w:r>
              <w:rPr>
                <w:sz w:val="24"/>
                <w:highlight w:val="none"/>
              </w:rPr>
              <w:t>财政审核控制价（预算价）：</w:t>
            </w:r>
            <w:r>
              <w:rPr>
                <w:rFonts w:hint="eastAsia"/>
                <w:sz w:val="24"/>
                <w:highlight w:val="none"/>
                <w:u w:val="single"/>
                <w:lang w:val="en-US" w:eastAsia="zh-CN"/>
              </w:rPr>
              <w:t>189</w:t>
            </w:r>
            <w:r>
              <w:rPr>
                <w:sz w:val="24"/>
                <w:highlight w:val="none"/>
              </w:rPr>
              <w:t>万元（磋商首次报价不能超过财政审核预算价）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03"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4"/>
                <w:highlight w:val="none"/>
              </w:rPr>
            </w:pPr>
            <w:r>
              <w:rPr>
                <w:sz w:val="24"/>
                <w:highlight w:val="none"/>
              </w:rPr>
              <w:t>2</w:t>
            </w:r>
          </w:p>
        </w:tc>
        <w:tc>
          <w:tcPr>
            <w:tcW w:w="7872"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4"/>
                <w:highlight w:val="none"/>
              </w:rPr>
            </w:pPr>
            <w:r>
              <w:rPr>
                <w:sz w:val="24"/>
                <w:highlight w:val="none"/>
              </w:rPr>
              <w:t>是否允许中国境外供应商参加本采购项目：</w:t>
            </w:r>
            <w:r>
              <w:rPr>
                <w:rFonts w:hint="eastAsia"/>
                <w:b/>
                <w:sz w:val="24"/>
                <w:highlight w:val="none"/>
                <w:lang w:eastAsia="zh-CN"/>
              </w:rPr>
              <w:t>□</w:t>
            </w:r>
            <w:r>
              <w:rPr>
                <w:sz w:val="24"/>
                <w:highlight w:val="none"/>
              </w:rPr>
              <w:t xml:space="preserve">是/ </w:t>
            </w:r>
            <w:r>
              <w:rPr>
                <w:rFonts w:ascii="Arial" w:hAnsi="Arial" w:eastAsia="Arial"/>
                <w:sz w:val="24"/>
                <w:highlight w:val="none"/>
              </w:rPr>
              <w:t>√</w:t>
            </w:r>
            <w:r>
              <w:rPr>
                <w:sz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1" w:hRule="atLeast"/>
        </w:trPr>
        <w:tc>
          <w:tcPr>
            <w:tcW w:w="903"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4"/>
                <w:highlight w:val="none"/>
              </w:rPr>
            </w:pPr>
            <w:r>
              <w:rPr>
                <w:sz w:val="24"/>
                <w:highlight w:val="none"/>
              </w:rPr>
              <w:t>3</w:t>
            </w:r>
          </w:p>
        </w:tc>
        <w:tc>
          <w:tcPr>
            <w:tcW w:w="7872" w:type="dxa"/>
          </w:tcPr>
          <w:p>
            <w:pPr>
              <w:pStyle w:val="19"/>
              <w:keepNext w:val="0"/>
              <w:keepLines w:val="0"/>
              <w:pageBreakBefore w:val="0"/>
              <w:widowControl w:val="0"/>
              <w:kinsoku/>
              <w:wordWrap/>
              <w:overflowPunct/>
              <w:topLinePunct w:val="0"/>
              <w:autoSpaceDE w:val="0"/>
              <w:autoSpaceDN w:val="0"/>
              <w:bidi w:val="0"/>
              <w:adjustRightInd/>
              <w:snapToGrid/>
              <w:spacing w:before="0" w:after="0" w:line="360" w:lineRule="auto"/>
              <w:ind w:left="0" w:right="0"/>
              <w:jc w:val="both"/>
              <w:textAlignment w:val="auto"/>
              <w:rPr>
                <w:sz w:val="24"/>
                <w:highlight w:val="none"/>
              </w:rPr>
            </w:pPr>
            <w:r>
              <w:rPr>
                <w:sz w:val="24"/>
                <w:highlight w:val="none"/>
              </w:rPr>
              <w:t>资格标准：</w:t>
            </w:r>
          </w:p>
          <w:p>
            <w:pPr>
              <w:pStyle w:val="19"/>
              <w:keepNext w:val="0"/>
              <w:keepLines w:val="0"/>
              <w:pageBreakBefore w:val="0"/>
              <w:widowControl w:val="0"/>
              <w:kinsoku/>
              <w:wordWrap/>
              <w:overflowPunct/>
              <w:topLinePunct w:val="0"/>
              <w:autoSpaceDE w:val="0"/>
              <w:autoSpaceDN w:val="0"/>
              <w:bidi w:val="0"/>
              <w:adjustRightInd/>
              <w:snapToGrid/>
              <w:spacing w:before="0" w:after="0" w:line="360" w:lineRule="auto"/>
              <w:ind w:left="0" w:right="0"/>
              <w:jc w:val="both"/>
              <w:textAlignment w:val="auto"/>
              <w:rPr>
                <w:sz w:val="24"/>
                <w:highlight w:val="none"/>
              </w:rPr>
            </w:pPr>
            <w:r>
              <w:rPr>
                <w:spacing w:val="-7"/>
                <w:sz w:val="24"/>
                <w:highlight w:val="none"/>
              </w:rPr>
              <w:t xml:space="preserve">详见第二章《磋商响应供应商须知》第 </w:t>
            </w:r>
            <w:r>
              <w:rPr>
                <w:sz w:val="24"/>
                <w:highlight w:val="none"/>
              </w:rPr>
              <w:t>3</w:t>
            </w:r>
            <w:r>
              <w:rPr>
                <w:spacing w:val="-8"/>
                <w:sz w:val="24"/>
                <w:highlight w:val="none"/>
              </w:rPr>
              <w:t xml:space="preserve"> 条，以及第三章《采购内容 及要求》有关内容。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903"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4"/>
                <w:highlight w:val="none"/>
              </w:rPr>
            </w:pPr>
            <w:r>
              <w:rPr>
                <w:sz w:val="24"/>
                <w:highlight w:val="none"/>
              </w:rPr>
              <w:t>4</w:t>
            </w:r>
          </w:p>
        </w:tc>
        <w:tc>
          <w:tcPr>
            <w:tcW w:w="7872" w:type="dxa"/>
            <w:vAlign w:val="center"/>
          </w:tcPr>
          <w:p>
            <w:pPr>
              <w:pStyle w:val="19"/>
              <w:tabs>
                <w:tab w:val="left" w:pos="2140"/>
                <w:tab w:val="left" w:pos="3700"/>
                <w:tab w:val="left" w:pos="6100"/>
              </w:tabs>
              <w:spacing w:line="305" w:lineRule="auto"/>
              <w:rPr>
                <w:rFonts w:hint="eastAsia"/>
                <w:sz w:val="24"/>
              </w:rPr>
            </w:pPr>
            <w:r>
              <w:rPr>
                <w:sz w:val="24"/>
              </w:rPr>
              <w:t>响应文件递交地址：</w:t>
            </w:r>
          </w:p>
          <w:p>
            <w:pPr>
              <w:pStyle w:val="19"/>
              <w:tabs>
                <w:tab w:val="left" w:pos="2140"/>
                <w:tab w:val="left" w:pos="3700"/>
                <w:tab w:val="left" w:pos="6100"/>
              </w:tabs>
              <w:spacing w:line="305" w:lineRule="auto"/>
              <w:rPr>
                <w:b/>
                <w:bCs/>
                <w:sz w:val="24"/>
                <w:highlight w:val="none"/>
              </w:rPr>
            </w:pPr>
            <w:r>
              <w:rPr>
                <w:rFonts w:hint="eastAsia"/>
                <w:b/>
                <w:bCs/>
                <w:sz w:val="24"/>
              </w:rPr>
              <w:t>电子投标文件：</w:t>
            </w:r>
            <w:r>
              <w:rPr>
                <w:rFonts w:hint="eastAsia"/>
                <w:b/>
                <w:bCs/>
                <w:sz w:val="24"/>
                <w:highlight w:val="none"/>
              </w:rPr>
              <w:t>加密的电子投标文件</w:t>
            </w:r>
            <w:r>
              <w:rPr>
                <w:sz w:val="24"/>
                <w:highlight w:val="none"/>
                <w:u w:val="single"/>
              </w:rPr>
              <w:t xml:space="preserve">  </w:t>
            </w:r>
            <w:r>
              <w:rPr>
                <w:rFonts w:hint="eastAsia"/>
                <w:sz w:val="24"/>
                <w:highlight w:val="none"/>
                <w:u w:val="single"/>
              </w:rPr>
              <w:t>1</w:t>
            </w:r>
            <w:r>
              <w:rPr>
                <w:sz w:val="24"/>
                <w:highlight w:val="none"/>
                <w:u w:val="single"/>
              </w:rPr>
              <w:t xml:space="preserve"> </w:t>
            </w:r>
            <w:r>
              <w:rPr>
                <w:sz w:val="24"/>
                <w:highlight w:val="none"/>
              </w:rPr>
              <w:t>份</w:t>
            </w:r>
            <w:r>
              <w:rPr>
                <w:rFonts w:hint="eastAsia"/>
                <w:b/>
                <w:bCs/>
                <w:sz w:val="24"/>
                <w:highlight w:val="none"/>
              </w:rPr>
              <w:t>（T</w:t>
            </w:r>
            <w:r>
              <w:rPr>
                <w:b/>
                <w:bCs/>
                <w:sz w:val="24"/>
                <w:highlight w:val="none"/>
              </w:rPr>
              <w:t>RTF</w:t>
            </w:r>
            <w:r>
              <w:rPr>
                <w:rFonts w:hint="eastAsia"/>
                <w:b/>
                <w:bCs/>
                <w:sz w:val="24"/>
                <w:highlight w:val="none"/>
              </w:rPr>
              <w:t>格式文件，在全国公共资源交易平台（贵州省·铜仁市）（jyzx.trs.gov.cn）指定位置上传）</w:t>
            </w:r>
          </w:p>
          <w:p>
            <w:pPr>
              <w:pStyle w:val="19"/>
              <w:tabs>
                <w:tab w:val="left" w:pos="2140"/>
                <w:tab w:val="left" w:pos="3700"/>
                <w:tab w:val="left" w:pos="6100"/>
              </w:tabs>
              <w:spacing w:line="305" w:lineRule="auto"/>
              <w:rPr>
                <w:color w:val="333333"/>
                <w:sz w:val="24"/>
              </w:rPr>
            </w:pPr>
            <w:r>
              <w:rPr>
                <w:rFonts w:hint="eastAsia"/>
                <w:sz w:val="24"/>
                <w:highlight w:val="none"/>
              </w:rPr>
              <w:t>纸质投标文件：</w:t>
            </w:r>
            <w:r>
              <w:rPr>
                <w:sz w:val="24"/>
                <w:highlight w:val="none"/>
              </w:rPr>
              <w:t>响应文件正本</w:t>
            </w:r>
            <w:r>
              <w:rPr>
                <w:sz w:val="24"/>
                <w:highlight w:val="none"/>
                <w:u w:val="single"/>
              </w:rPr>
              <w:t xml:space="preserve">  </w:t>
            </w:r>
            <w:r>
              <w:rPr>
                <w:rFonts w:hint="eastAsia"/>
                <w:sz w:val="24"/>
                <w:highlight w:val="none"/>
                <w:u w:val="single"/>
              </w:rPr>
              <w:t>1</w:t>
            </w:r>
            <w:r>
              <w:rPr>
                <w:sz w:val="24"/>
                <w:highlight w:val="none"/>
                <w:u w:val="single"/>
              </w:rPr>
              <w:t xml:space="preserve"> </w:t>
            </w:r>
            <w:r>
              <w:rPr>
                <w:sz w:val="24"/>
                <w:highlight w:val="none"/>
              </w:rPr>
              <w:t>份，副本</w:t>
            </w:r>
            <w:r>
              <w:rPr>
                <w:spacing w:val="118"/>
                <w:sz w:val="24"/>
                <w:highlight w:val="none"/>
                <w:u w:val="single"/>
              </w:rPr>
              <w:t xml:space="preserve"> </w:t>
            </w:r>
            <w:r>
              <w:rPr>
                <w:rFonts w:hint="eastAsia"/>
                <w:sz w:val="24"/>
                <w:highlight w:val="none"/>
                <w:u w:val="single"/>
              </w:rPr>
              <w:t xml:space="preserve">3  </w:t>
            </w:r>
            <w:r>
              <w:rPr>
                <w:sz w:val="24"/>
                <w:highlight w:val="none"/>
              </w:rPr>
              <w:t>份,</w:t>
            </w:r>
            <w:r>
              <w:rPr>
                <w:rFonts w:hint="eastAsia"/>
                <w:b/>
                <w:bCs/>
                <w:sz w:val="24"/>
                <w:highlight w:val="none"/>
              </w:rPr>
              <w:t xml:space="preserve"> 非加密的电子投标文件</w:t>
            </w:r>
            <w:r>
              <w:rPr>
                <w:rFonts w:hint="eastAsia"/>
                <w:sz w:val="24"/>
                <w:highlight w:val="none"/>
              </w:rPr>
              <w:t>（.n</w:t>
            </w:r>
            <w:r>
              <w:rPr>
                <w:sz w:val="24"/>
                <w:highlight w:val="none"/>
              </w:rPr>
              <w:t xml:space="preserve"> TRTF</w:t>
            </w:r>
            <w:r>
              <w:rPr>
                <w:rFonts w:hint="eastAsia"/>
                <w:sz w:val="24"/>
                <w:highlight w:val="none"/>
              </w:rPr>
              <w:t>格式）</w:t>
            </w:r>
            <w:r>
              <w:rPr>
                <w:sz w:val="24"/>
              </w:rPr>
              <w:t>U</w:t>
            </w:r>
            <w:r>
              <w:rPr>
                <w:spacing w:val="-61"/>
                <w:sz w:val="24"/>
              </w:rPr>
              <w:t xml:space="preserve"> </w:t>
            </w:r>
            <w:r>
              <w:rPr>
                <w:sz w:val="24"/>
              </w:rPr>
              <w:t>盘文件</w:t>
            </w:r>
            <w:r>
              <w:rPr>
                <w:sz w:val="24"/>
                <w:u w:val="single"/>
              </w:rPr>
              <w:t>1</w:t>
            </w:r>
            <w:r>
              <w:rPr>
                <w:sz w:val="24"/>
              </w:rPr>
              <w:t>份</w:t>
            </w:r>
            <w:r>
              <w:rPr>
                <w:rFonts w:hint="eastAsia"/>
                <w:sz w:val="24"/>
              </w:rPr>
              <w:t>；</w:t>
            </w:r>
            <w:r>
              <w:rPr>
                <w:sz w:val="24"/>
              </w:rPr>
              <w:t>递交地址：铜仁市公</w:t>
            </w:r>
            <w:r>
              <w:rPr>
                <w:color w:val="333333"/>
                <w:sz w:val="24"/>
              </w:rPr>
              <w:t>共资源交易中心</w:t>
            </w:r>
            <w:r>
              <w:rPr>
                <w:rFonts w:hint="eastAsia"/>
                <w:color w:val="333333"/>
                <w:sz w:val="24"/>
              </w:rPr>
              <w:t>江口</w:t>
            </w:r>
            <w:r>
              <w:rPr>
                <w:color w:val="333333"/>
                <w:sz w:val="24"/>
              </w:rPr>
              <w:t>分中心</w:t>
            </w:r>
          </w:p>
          <w:p>
            <w:pPr>
              <w:pStyle w:val="19"/>
              <w:tabs>
                <w:tab w:val="left" w:pos="2140"/>
                <w:tab w:val="left" w:pos="3700"/>
                <w:tab w:val="left" w:pos="6100"/>
              </w:tabs>
              <w:spacing w:before="41" w:line="304" w:lineRule="auto"/>
              <w:ind w:right="1027"/>
              <w:rPr>
                <w:sz w:val="24"/>
              </w:rPr>
            </w:pPr>
            <w:r>
              <w:rPr>
                <w:color w:val="333333"/>
                <w:sz w:val="24"/>
              </w:rPr>
              <w:t>响应文件提交截止时间：详见谈判公告</w:t>
            </w:r>
            <w:r>
              <w:rPr>
                <w:sz w:val="24"/>
              </w:rPr>
              <w:t>。</w:t>
            </w:r>
          </w:p>
          <w:p>
            <w:pPr>
              <w:pStyle w:val="19"/>
              <w:spacing w:before="22"/>
              <w:rPr>
                <w:sz w:val="24"/>
              </w:rPr>
            </w:pPr>
            <w:r>
              <w:rPr>
                <w:sz w:val="24"/>
              </w:rPr>
              <w:t xml:space="preserve">响应文件有效期：响应文件提交截止之日起 </w:t>
            </w:r>
            <w:r>
              <w:rPr>
                <w:rFonts w:hint="eastAsia"/>
                <w:sz w:val="24"/>
                <w:lang w:val="en-US" w:eastAsia="zh-CN"/>
              </w:rPr>
              <w:t>6</w:t>
            </w:r>
            <w:r>
              <w:rPr>
                <w:sz w:val="24"/>
              </w:rPr>
              <w:t>0 个日历日</w:t>
            </w:r>
          </w:p>
          <w:p>
            <w:pPr>
              <w:pStyle w:val="19"/>
              <w:keepNext w:val="0"/>
              <w:keepLines w:val="0"/>
              <w:pageBreakBefore w:val="0"/>
              <w:widowControl w:val="0"/>
              <w:kinsoku/>
              <w:wordWrap/>
              <w:overflowPunct/>
              <w:topLinePunct w:val="0"/>
              <w:autoSpaceDE w:val="0"/>
              <w:autoSpaceDN w:val="0"/>
              <w:bidi w:val="0"/>
              <w:adjustRightInd/>
              <w:snapToGrid/>
              <w:spacing w:before="0" w:after="0" w:line="360" w:lineRule="auto"/>
              <w:ind w:left="0" w:right="0"/>
              <w:jc w:val="both"/>
              <w:textAlignment w:val="auto"/>
              <w:rPr>
                <w:sz w:val="24"/>
                <w:highlight w:val="none"/>
              </w:rPr>
            </w:pPr>
            <w:r>
              <w:rPr>
                <w:rFonts w:hint="eastAsia"/>
                <w:color w:val="000000"/>
                <w:sz w:val="24"/>
              </w:rPr>
              <w:t>有效期不足将导致其投标文件被拒绝。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03"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4"/>
                <w:highlight w:val="none"/>
              </w:rPr>
            </w:pPr>
            <w:r>
              <w:rPr>
                <w:sz w:val="24"/>
                <w:highlight w:val="none"/>
              </w:rPr>
              <w:t>5</w:t>
            </w:r>
          </w:p>
        </w:tc>
        <w:tc>
          <w:tcPr>
            <w:tcW w:w="7872" w:type="dxa"/>
          </w:tcPr>
          <w:p>
            <w:pPr>
              <w:pStyle w:val="1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sz w:val="24"/>
                <w:highlight w:val="none"/>
              </w:rPr>
            </w:pPr>
            <w:r>
              <w:rPr>
                <w:spacing w:val="-4"/>
                <w:sz w:val="24"/>
                <w:highlight w:val="none"/>
              </w:rPr>
              <w:t xml:space="preserve">磋商保证金：响应文件应附有人民币 </w:t>
            </w:r>
            <w:r>
              <w:rPr>
                <w:rFonts w:hint="eastAsia"/>
                <w:sz w:val="24"/>
                <w:highlight w:val="none"/>
                <w:u w:val="single"/>
                <w:lang w:val="en-US" w:eastAsia="zh-CN"/>
              </w:rPr>
              <w:t>10000.00</w:t>
            </w:r>
            <w:r>
              <w:rPr>
                <w:spacing w:val="-8"/>
                <w:sz w:val="24"/>
                <w:highlight w:val="none"/>
              </w:rPr>
              <w:t>元整的磋商保证金，保证金必须从供应商账户支付且在响应文件提交截止时间前到账，非现金形式交纳。为方便磋商保证金的收、退结算，请在银行汇款凭证上标注项目随机码，磋商保证金缴交凭证请随同响应文件同时送达。（保</w:t>
            </w:r>
            <w:r>
              <w:rPr>
                <w:spacing w:val="-12"/>
                <w:sz w:val="24"/>
                <w:highlight w:val="none"/>
              </w:rPr>
              <w:t>证金不得超过采购项目预算金额的</w:t>
            </w:r>
            <w:r>
              <w:rPr>
                <w:rFonts w:hint="eastAsia"/>
                <w:spacing w:val="-12"/>
                <w:sz w:val="24"/>
                <w:highlight w:val="none"/>
                <w:lang w:val="en-US" w:eastAsia="zh-CN"/>
              </w:rPr>
              <w:t xml:space="preserve"> </w:t>
            </w:r>
            <w:r>
              <w:rPr>
                <w:sz w:val="24"/>
                <w:highlight w:val="none"/>
              </w:rPr>
              <w:t>2%）</w:t>
            </w:r>
          </w:p>
          <w:p>
            <w:pPr>
              <w:pStyle w:val="1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sz w:val="24"/>
                <w:highlight w:val="none"/>
              </w:rPr>
            </w:pPr>
            <w:r>
              <w:rPr>
                <w:sz w:val="24"/>
                <w:highlight w:val="none"/>
              </w:rPr>
              <w:t>注：磋商保证金必须在提交响应文件截止时间前到帐，否则视为无效响应。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5" w:hRule="atLeast"/>
        </w:trPr>
        <w:tc>
          <w:tcPr>
            <w:tcW w:w="903"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eastAsia" w:eastAsia="宋体"/>
                <w:sz w:val="24"/>
                <w:highlight w:val="none"/>
                <w:lang w:val="en-US" w:eastAsia="zh-CN"/>
              </w:rPr>
            </w:pPr>
            <w:r>
              <w:rPr>
                <w:rFonts w:hint="eastAsia"/>
                <w:sz w:val="24"/>
                <w:highlight w:val="none"/>
                <w:lang w:val="en-US" w:eastAsia="zh-CN"/>
              </w:rPr>
              <w:t>6</w:t>
            </w:r>
          </w:p>
        </w:tc>
        <w:tc>
          <w:tcPr>
            <w:tcW w:w="7872" w:type="dxa"/>
          </w:tcPr>
          <w:p>
            <w:pPr>
              <w:pStyle w:val="9"/>
              <w:spacing w:before="76"/>
            </w:pPr>
            <w:r>
              <w:t>质疑、投诉：</w:t>
            </w:r>
          </w:p>
          <w:p>
            <w:pPr>
              <w:pStyle w:val="9"/>
              <w:spacing w:before="87"/>
            </w:pPr>
            <w:r>
              <w:t>一、采购文件的质疑</w:t>
            </w:r>
          </w:p>
          <w:p>
            <w:pPr>
              <w:pStyle w:val="9"/>
              <w:spacing w:before="87" w:line="304" w:lineRule="auto"/>
              <w:ind w:right="364"/>
            </w:pPr>
            <w:r>
              <w:t>1）质疑主体：提出质疑的供应商应当是参加所质疑项目采购活动的</w:t>
            </w:r>
            <w:r>
              <w:rPr>
                <w:spacing w:val="-5"/>
              </w:rPr>
              <w:t>供应商，潜在供应商已依法获取其可质疑的采购文件的，可以对该文</w:t>
            </w:r>
            <w:r>
              <w:rPr>
                <w:spacing w:val="-7"/>
              </w:rPr>
              <w:t>件提出质疑，对采购文件提出质疑的，应当获取采购文件或者采购文</w:t>
            </w:r>
            <w:r>
              <w:rPr>
                <w:spacing w:val="-12"/>
              </w:rPr>
              <w:t xml:space="preserve">件公告期限届满之日起 </w:t>
            </w:r>
            <w:r>
              <w:t>7</w:t>
            </w:r>
            <w:r>
              <w:rPr>
                <w:spacing w:val="-8"/>
              </w:rPr>
              <w:t xml:space="preserve"> 个工作日内提出。</w:t>
            </w:r>
          </w:p>
          <w:p>
            <w:pPr>
              <w:pStyle w:val="9"/>
              <w:spacing w:before="19" w:line="307" w:lineRule="auto"/>
              <w:ind w:right="357"/>
            </w:pPr>
            <w:r>
              <w:t>2）质疑文件以书面形式加盖公章后送达到</w:t>
            </w:r>
            <w:r>
              <w:rPr>
                <w:rFonts w:hint="eastAsia"/>
              </w:rPr>
              <w:t>贵州智邺建设工程项目管理有限公司</w:t>
            </w:r>
            <w:r>
              <w:t>。</w:t>
            </w:r>
          </w:p>
          <w:p>
            <w:pPr>
              <w:pStyle w:val="9"/>
              <w:spacing w:before="84" w:line="304" w:lineRule="auto"/>
              <w:ind w:right="211"/>
            </w:pPr>
            <w:r>
              <w:rPr>
                <w:spacing w:val="-26"/>
              </w:rPr>
              <w:t>3）</w:t>
            </w:r>
            <w:r>
              <w:rPr>
                <w:spacing w:val="-8"/>
              </w:rPr>
              <w:t>须递交营业执照复印件、购买招标文件证明</w:t>
            </w:r>
            <w:r>
              <w:t>（交易中心报名截图</w:t>
            </w:r>
            <w:r>
              <w:rPr>
                <w:spacing w:val="-120"/>
              </w:rPr>
              <w:t>）</w:t>
            </w:r>
            <w:r>
              <w:rPr>
                <w:rFonts w:hint="eastAsia"/>
              </w:rPr>
              <w:t>）</w:t>
            </w:r>
            <w:r>
              <w:rPr>
                <w:spacing w:val="-4"/>
              </w:rPr>
              <w:t>法人授权委托书、公司为被授权人缴纳社保证明，以及《政府采购质</w:t>
            </w:r>
            <w:r>
              <w:rPr>
                <w:spacing w:val="-11"/>
              </w:rPr>
              <w:t>疑和投诉办法》要求提供证明材料。</w:t>
            </w:r>
            <w:r>
              <w:t>（以上资料均须加盖单位公章</w:t>
            </w:r>
            <w:r>
              <w:rPr>
                <w:spacing w:val="-16"/>
              </w:rPr>
              <w:t xml:space="preserve">）， </w:t>
            </w:r>
            <w:r>
              <w:t>未按照本项要求提供资料的，不予接收。</w:t>
            </w:r>
          </w:p>
          <w:p>
            <w:pPr>
              <w:pStyle w:val="9"/>
              <w:spacing w:before="86"/>
            </w:pPr>
            <w:r>
              <w:t>4）领取答疑回复地点：</w:t>
            </w:r>
            <w:r>
              <w:rPr>
                <w:rFonts w:hint="eastAsia"/>
              </w:rPr>
              <w:t>贵州省贵安新区行政中心政务服务大厅2楼办公室</w:t>
            </w:r>
          </w:p>
          <w:p>
            <w:pPr>
              <w:pStyle w:val="9"/>
              <w:spacing w:before="84" w:line="258" w:lineRule="exact"/>
            </w:pPr>
            <w:r>
              <w:t>联系电话：</w:t>
            </w:r>
            <w:r>
              <w:rPr>
                <w:rFonts w:hint="eastAsia" w:ascii="Times New Roman" w:hAnsi="Times New Roman" w:eastAsia="新宋体"/>
              </w:rPr>
              <w:t>18874601088</w:t>
            </w:r>
          </w:p>
          <w:p>
            <w:pPr>
              <w:pStyle w:val="9"/>
              <w:spacing w:before="86"/>
            </w:pPr>
            <w:r>
              <w:t>送交方式：书面现场递交</w:t>
            </w:r>
          </w:p>
          <w:p>
            <w:pPr>
              <w:pStyle w:val="9"/>
              <w:spacing w:before="83" w:line="307" w:lineRule="auto"/>
              <w:ind w:right="133"/>
            </w:pPr>
            <w:r>
              <w:t>注意事项：质疑内容及要求需满足《政府采购质疑和投诉办法》的范围和要求。</w:t>
            </w:r>
          </w:p>
          <w:p>
            <w:pPr>
              <w:pStyle w:val="9"/>
              <w:spacing w:before="18" w:line="304" w:lineRule="auto"/>
              <w:ind w:right="133"/>
            </w:pPr>
            <w:r>
              <w:t>备注：供应商在法定质疑期内必须一次性提出针对同一采购程序环节的质疑</w:t>
            </w:r>
          </w:p>
          <w:p>
            <w:pPr>
              <w:pStyle w:val="9"/>
              <w:spacing w:before="21"/>
            </w:pPr>
            <w:r>
              <w:t>二、采购文件的澄清、修改和更正</w:t>
            </w:r>
          </w:p>
          <w:p>
            <w:pPr>
              <w:pStyle w:val="1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hint="default" w:eastAsia="宋体"/>
                <w:sz w:val="24"/>
                <w:highlight w:val="none"/>
                <w:lang w:val="en-US" w:eastAsia="zh-CN"/>
              </w:rPr>
            </w:pPr>
            <w:r>
              <w:rPr>
                <w:spacing w:val="5"/>
              </w:rPr>
              <w:t>招标人可以对已发出的资格预审文件或者招标文件进行必要的澄清</w:t>
            </w:r>
            <w:r>
              <w:rPr>
                <w:spacing w:val="-3"/>
              </w:rPr>
              <w:t>或者修改。澄清或者修改的内容可能影响资格预审申请文件或者投标</w:t>
            </w:r>
            <w:r>
              <w:rPr>
                <w:spacing w:val="-9"/>
              </w:rPr>
              <w:t xml:space="preserve">文件编制的，招标人应当在提交资格预审申请文件截止时间至少 </w:t>
            </w:r>
            <w:r>
              <w:t>3</w:t>
            </w:r>
            <w:r>
              <w:rPr>
                <w:spacing w:val="-30"/>
              </w:rPr>
              <w:t xml:space="preserve"> 日</w:t>
            </w:r>
            <w:r>
              <w:t>前，或者投标截止时间至少 15 日前，以书面形式通知所有获取资格</w:t>
            </w:r>
            <w:r>
              <w:rPr>
                <w:spacing w:val="-3"/>
              </w:rPr>
              <w:t xml:space="preserve">预审文件或者招标文件的潜在投标人；不足 </w:t>
            </w:r>
            <w:r>
              <w:t>3</w:t>
            </w:r>
            <w:r>
              <w:rPr>
                <w:spacing w:val="-20"/>
              </w:rPr>
              <w:t xml:space="preserve"> 日或者 </w:t>
            </w:r>
            <w:r>
              <w:t>15</w:t>
            </w:r>
            <w:r>
              <w:rPr>
                <w:spacing w:val="-9"/>
              </w:rPr>
              <w:t xml:space="preserve"> 日的，招标人应当顺延提交资格预审申请文件或者投标文件的截止时间。</w:t>
            </w:r>
            <w:r>
              <w:rPr>
                <w:spacing w:val="-6"/>
              </w:rPr>
              <w:t>根据《政府采购质疑和投诉办法》第三十七条的规定：投诉人在全国</w:t>
            </w:r>
            <w:r>
              <w:rPr>
                <w:spacing w:val="-17"/>
              </w:rPr>
              <w:t xml:space="preserve">范围 </w:t>
            </w:r>
            <w:r>
              <w:t>12</w:t>
            </w:r>
            <w:r>
              <w:rPr>
                <w:spacing w:val="-6"/>
              </w:rPr>
              <w:t xml:space="preserve"> 个月内三次以上投诉查无实据的，由财政部门列入不良行为记录名单。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5" w:hRule="atLeast"/>
        </w:trPr>
        <w:tc>
          <w:tcPr>
            <w:tcW w:w="903"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sz w:val="24"/>
                <w:highlight w:val="none"/>
                <w:lang w:val="en-US" w:eastAsia="zh-CN"/>
              </w:rPr>
            </w:pPr>
            <w:r>
              <w:rPr>
                <w:rFonts w:hint="eastAsia"/>
                <w:sz w:val="24"/>
                <w:highlight w:val="none"/>
                <w:lang w:val="en-US" w:eastAsia="zh-CN"/>
              </w:rPr>
              <w:t>7</w:t>
            </w:r>
          </w:p>
        </w:tc>
        <w:tc>
          <w:tcPr>
            <w:tcW w:w="7872" w:type="dxa"/>
          </w:tcPr>
          <w:p>
            <w:pPr>
              <w:pStyle w:val="1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hint="eastAsia"/>
                <w:sz w:val="24"/>
                <w:highlight w:val="none"/>
                <w:lang w:eastAsia="zh-CN"/>
              </w:rPr>
            </w:pPr>
            <w:r>
              <w:rPr>
                <w:rFonts w:hint="eastAsia"/>
                <w:sz w:val="24"/>
                <w:highlight w:val="none"/>
                <w:lang w:eastAsia="zh-CN"/>
              </w:rPr>
              <w:t>付款方式：工程进度款按月支付，按照完成签证工程量的</w:t>
            </w:r>
            <w:r>
              <w:rPr>
                <w:rFonts w:hint="eastAsia"/>
                <w:sz w:val="24"/>
                <w:highlight w:val="none"/>
                <w:lang w:val="en-US" w:eastAsia="zh-CN"/>
              </w:rPr>
              <w:t>80%支付进度款。工程竣工付至合同总价的90%，验收合格经第三方审计完成，并且承包人提交完成工程项目廉政档案盒工程序管理档案的资料后，支付结算总价的97%，预留3%为项目质量保证金，一年后无质量问题，一次性付清（最终以中标后签订合同付款方式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3" w:hRule="atLeast"/>
        </w:trPr>
        <w:tc>
          <w:tcPr>
            <w:tcW w:w="903"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sz w:val="24"/>
                <w:highlight w:val="none"/>
                <w:lang w:val="en-US" w:eastAsia="zh-CN"/>
              </w:rPr>
            </w:pPr>
            <w:r>
              <w:rPr>
                <w:rFonts w:hint="eastAsia"/>
                <w:sz w:val="24"/>
                <w:highlight w:val="none"/>
                <w:lang w:val="en-US" w:eastAsia="zh-CN"/>
              </w:rPr>
              <w:t>8</w:t>
            </w:r>
          </w:p>
        </w:tc>
        <w:tc>
          <w:tcPr>
            <w:tcW w:w="7872" w:type="dxa"/>
          </w:tcPr>
          <w:p>
            <w:pPr>
              <w:pStyle w:val="9"/>
              <w:spacing w:before="40" w:line="245" w:lineRule="auto"/>
              <w:rPr>
                <w:rFonts w:hint="eastAsia"/>
              </w:rPr>
            </w:pPr>
            <w:r>
              <w:t>本项目代理服务费为：</w:t>
            </w:r>
            <w:r>
              <w:rPr>
                <w:rFonts w:hint="eastAsia"/>
                <w:lang w:val="zh-CN"/>
              </w:rPr>
              <w:t>按国家</w:t>
            </w:r>
            <w:r>
              <w:rPr>
                <w:rFonts w:hint="eastAsia"/>
                <w:u w:val="single"/>
                <w:lang w:val="zh-CN"/>
              </w:rPr>
              <w:t xml:space="preserve">   计价格[2002]1980号    </w:t>
            </w:r>
            <w:r>
              <w:rPr>
                <w:rFonts w:hint="eastAsia"/>
                <w:lang w:val="zh-CN"/>
              </w:rPr>
              <w:t>文件规定的收费标准收取招标代理服务费。</w:t>
            </w:r>
          </w:p>
          <w:p>
            <w:pPr>
              <w:pStyle w:val="9"/>
              <w:spacing w:before="40" w:line="244" w:lineRule="auto"/>
              <w:ind w:left="101" w:right="3300"/>
            </w:pPr>
            <w:r>
              <w:t>一、支付方式</w:t>
            </w:r>
          </w:p>
          <w:p>
            <w:pPr>
              <w:pStyle w:val="1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hint="eastAsia"/>
                <w:sz w:val="24"/>
                <w:highlight w:val="none"/>
                <w:lang w:eastAsia="zh-CN"/>
              </w:rPr>
            </w:pPr>
            <w:r>
              <w:rPr>
                <w:spacing w:val="-2"/>
              </w:rPr>
              <w:t>成交供应商在收到中标通知书前向代理机构支付代理服务费。中</w:t>
            </w:r>
            <w:r>
              <w:rPr>
                <w:spacing w:val="-5"/>
              </w:rPr>
              <w:t>标服务费可采取现金、银行汇款、电汇款等代理机构认可的方式进行支付。</w:t>
            </w:r>
          </w:p>
        </w:tc>
      </w:tr>
    </w:tbl>
    <w:p>
      <w:pPr>
        <w:pStyle w:val="5"/>
        <w:keepNext w:val="0"/>
        <w:keepLines w:val="0"/>
        <w:pageBreakBefore w:val="0"/>
        <w:widowControl w:val="0"/>
        <w:kinsoku/>
        <w:wordWrap/>
        <w:overflowPunct/>
        <w:topLinePunct w:val="0"/>
        <w:autoSpaceDE w:val="0"/>
        <w:autoSpaceDN w:val="0"/>
        <w:bidi w:val="0"/>
        <w:adjustRightInd/>
        <w:snapToGrid/>
        <w:spacing w:before="0" w:after="0" w:line="395" w:lineRule="exact"/>
        <w:ind w:left="0" w:right="0"/>
        <w:jc w:val="center"/>
        <w:textAlignment w:val="auto"/>
        <w:rPr>
          <w:highlight w:val="none"/>
        </w:rPr>
      </w:pPr>
    </w:p>
    <w:p>
      <w:pPr>
        <w:pStyle w:val="5"/>
        <w:keepNext w:val="0"/>
        <w:keepLines w:val="0"/>
        <w:pageBreakBefore w:val="0"/>
        <w:widowControl w:val="0"/>
        <w:kinsoku/>
        <w:wordWrap/>
        <w:overflowPunct/>
        <w:topLinePunct w:val="0"/>
        <w:autoSpaceDE w:val="0"/>
        <w:autoSpaceDN w:val="0"/>
        <w:bidi w:val="0"/>
        <w:adjustRightInd/>
        <w:snapToGrid/>
        <w:spacing w:before="0" w:after="0" w:line="395" w:lineRule="exact"/>
        <w:ind w:left="0" w:right="0"/>
        <w:jc w:val="center"/>
        <w:textAlignment w:val="auto"/>
        <w:rPr>
          <w:highlight w:val="none"/>
        </w:rPr>
      </w:pPr>
      <w:r>
        <w:rPr>
          <w:highlight w:val="none"/>
        </w:rPr>
        <w:t>磋商供应商须知前附表 2:资格性、符合性检查表</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32"/>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237" w:lineRule="auto"/>
        <w:ind w:left="0" w:right="0" w:firstLine="480" w:firstLineChars="200"/>
        <w:jc w:val="both"/>
        <w:textAlignment w:val="auto"/>
        <w:rPr>
          <w:highlight w:val="none"/>
        </w:rPr>
      </w:pPr>
      <w:r>
        <w:rPr>
          <w:highlight w:val="none"/>
        </w:rPr>
        <w:t>本须知前附表 2 集中列示了资格性、符合性检查的所有条款，其内容是磋商小组判断磋商供应商的报价是否有效的重要依据。</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6"/>
          <w:highlight w:val="none"/>
        </w:rPr>
      </w:pPr>
    </w:p>
    <w:tbl>
      <w:tblPr>
        <w:tblStyle w:val="13"/>
        <w:tblW w:w="93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2"/>
        <w:gridCol w:w="8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42"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right="220" w:rightChars="100"/>
              <w:jc w:val="center"/>
              <w:textAlignment w:val="auto"/>
              <w:rPr>
                <w:b/>
                <w:bCs/>
                <w:sz w:val="32"/>
                <w:highlight w:val="none"/>
              </w:rPr>
            </w:pPr>
          </w:p>
        </w:tc>
        <w:tc>
          <w:tcPr>
            <w:tcW w:w="8398"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b/>
                <w:bCs/>
                <w:sz w:val="32"/>
                <w:highlight w:val="none"/>
              </w:rPr>
            </w:pPr>
            <w:r>
              <w:rPr>
                <w:b/>
                <w:bCs/>
                <w:w w:val="95"/>
                <w:sz w:val="32"/>
                <w:highlight w:val="none"/>
              </w:rPr>
              <w:t>资格性要求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42"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220" w:rightChars="100"/>
              <w:jc w:val="center"/>
              <w:textAlignment w:val="auto"/>
              <w:rPr>
                <w:b/>
                <w:bCs/>
                <w:w w:val="95"/>
                <w:sz w:val="32"/>
                <w:highlight w:val="none"/>
              </w:rPr>
            </w:pPr>
            <w:r>
              <w:rPr>
                <w:b/>
                <w:bCs/>
                <w:w w:val="95"/>
                <w:sz w:val="32"/>
                <w:highlight w:val="none"/>
              </w:rPr>
              <w:t>序号</w:t>
            </w:r>
          </w:p>
        </w:tc>
        <w:tc>
          <w:tcPr>
            <w:tcW w:w="8398"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b/>
                <w:bCs/>
                <w:w w:val="95"/>
                <w:sz w:val="32"/>
                <w:highlight w:val="none"/>
              </w:rPr>
            </w:pPr>
            <w:r>
              <w:rPr>
                <w:b/>
                <w:bCs/>
                <w:w w:val="95"/>
                <w:sz w:val="32"/>
                <w:highlight w:val="none"/>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942"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sz w:val="24"/>
                <w:highlight w:val="none"/>
              </w:rPr>
            </w:pPr>
            <w:r>
              <w:rPr>
                <w:sz w:val="24"/>
                <w:highlight w:val="none"/>
              </w:rPr>
              <w:t>1</w:t>
            </w:r>
          </w:p>
        </w:tc>
        <w:tc>
          <w:tcPr>
            <w:tcW w:w="8398"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right="220" w:rightChars="100"/>
              <w:jc w:val="both"/>
              <w:textAlignment w:val="auto"/>
              <w:rPr>
                <w:sz w:val="24"/>
                <w:highlight w:val="none"/>
              </w:rPr>
            </w:pPr>
            <w:r>
              <w:rPr>
                <w:sz w:val="24"/>
                <w:highlight w:val="none"/>
              </w:rPr>
              <w:t>合格的磋商供应商具体内容详见第二章第 3 条“合格的磋商供应商”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942"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sz w:val="24"/>
                <w:highlight w:val="none"/>
              </w:rPr>
            </w:pPr>
            <w:r>
              <w:rPr>
                <w:sz w:val="24"/>
                <w:highlight w:val="none"/>
              </w:rPr>
              <w:t>2</w:t>
            </w:r>
          </w:p>
        </w:tc>
        <w:tc>
          <w:tcPr>
            <w:tcW w:w="8398"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right="220" w:rightChars="100"/>
              <w:jc w:val="both"/>
              <w:textAlignment w:val="auto"/>
              <w:rPr>
                <w:sz w:val="24"/>
                <w:highlight w:val="none"/>
              </w:rPr>
            </w:pPr>
            <w:r>
              <w:rPr>
                <w:sz w:val="24"/>
                <w:highlight w:val="none"/>
              </w:rPr>
              <w:t>磋商代表若不是法定代表人，则必须提供法定代表人对磋商代表的授权书原件及磋商代表的身份证复印件（正反面均需复印）。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8" w:hRule="atLeast"/>
        </w:trPr>
        <w:tc>
          <w:tcPr>
            <w:tcW w:w="942"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sz w:val="24"/>
                <w:highlight w:val="none"/>
              </w:rPr>
            </w:pPr>
          </w:p>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sz w:val="24"/>
                <w:highlight w:val="none"/>
              </w:rPr>
            </w:pPr>
          </w:p>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sz w:val="24"/>
                <w:highlight w:val="none"/>
              </w:rPr>
            </w:pPr>
          </w:p>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sz w:val="24"/>
                <w:highlight w:val="none"/>
              </w:rPr>
            </w:pPr>
          </w:p>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sz w:val="24"/>
                <w:highlight w:val="none"/>
              </w:rPr>
            </w:pPr>
          </w:p>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sz w:val="24"/>
                <w:highlight w:val="none"/>
              </w:rPr>
            </w:pPr>
          </w:p>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sz w:val="24"/>
                <w:highlight w:val="none"/>
              </w:rPr>
            </w:pPr>
          </w:p>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sz w:val="24"/>
                <w:highlight w:val="none"/>
              </w:rPr>
            </w:pPr>
          </w:p>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sz w:val="24"/>
                <w:highlight w:val="none"/>
              </w:rPr>
            </w:pPr>
          </w:p>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sz w:val="24"/>
                <w:highlight w:val="none"/>
              </w:rPr>
            </w:pPr>
          </w:p>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sz w:val="24"/>
                <w:highlight w:val="none"/>
              </w:rPr>
            </w:pPr>
          </w:p>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sz w:val="31"/>
                <w:highlight w:val="none"/>
              </w:rPr>
            </w:pPr>
          </w:p>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sz w:val="24"/>
                <w:highlight w:val="none"/>
              </w:rPr>
            </w:pPr>
            <w:r>
              <w:rPr>
                <w:sz w:val="24"/>
                <w:highlight w:val="none"/>
              </w:rPr>
              <w:t>3</w:t>
            </w:r>
          </w:p>
        </w:tc>
        <w:tc>
          <w:tcPr>
            <w:tcW w:w="8398"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firstLine="720" w:firstLineChars="300"/>
              <w:jc w:val="both"/>
              <w:textAlignment w:val="auto"/>
              <w:rPr>
                <w:sz w:val="24"/>
                <w:highlight w:val="none"/>
              </w:rPr>
            </w:pPr>
            <w:r>
              <w:rPr>
                <w:sz w:val="24"/>
                <w:highlight w:val="none"/>
              </w:rPr>
              <w:t>参加政府采购活动的磋商供应商应当具备《中华人民共和国 政府采购法》第二十二条第一款规定的条件，提供下列材料：</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hanging="240"/>
              <w:jc w:val="both"/>
              <w:textAlignment w:val="auto"/>
              <w:rPr>
                <w:color w:val="333333"/>
                <w:highlight w:val="none"/>
              </w:rPr>
            </w:pPr>
            <w:r>
              <w:rPr>
                <w:color w:val="333333"/>
                <w:highlight w:val="none"/>
              </w:rPr>
              <w:t>（</w:t>
            </w:r>
            <w:r>
              <w:rPr>
                <w:rFonts w:hint="eastAsia"/>
                <w:color w:val="333333"/>
                <w:highlight w:val="none"/>
                <w:lang w:eastAsia="zh-CN"/>
              </w:rPr>
              <w:t>（</w:t>
            </w:r>
            <w:r>
              <w:rPr>
                <w:color w:val="333333"/>
                <w:highlight w:val="none"/>
              </w:rPr>
              <w:t>1）一般资格要求：</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leftChars="0" w:right="0" w:firstLine="480" w:firstLineChars="200"/>
              <w:jc w:val="both"/>
              <w:textAlignment w:val="auto"/>
              <w:rPr>
                <w:highlight w:val="none"/>
              </w:rPr>
            </w:pPr>
            <w:r>
              <w:rPr>
                <w:color w:val="333333"/>
                <w:highlight w:val="none"/>
              </w:rPr>
              <w:t>1</w:t>
            </w:r>
            <w:r>
              <w:rPr>
                <w:rFonts w:hint="eastAsia"/>
                <w:color w:val="333333"/>
                <w:highlight w:val="none"/>
                <w:lang w:val="en-US" w:eastAsia="zh-CN"/>
              </w:rPr>
              <w:t>.</w:t>
            </w:r>
            <w:r>
              <w:rPr>
                <w:color w:val="333333"/>
                <w:spacing w:val="-4"/>
                <w:highlight w:val="none"/>
              </w:rPr>
              <w:t xml:space="preserve">符合《中华人民共和国政府采购法》第 </w:t>
            </w:r>
            <w:r>
              <w:rPr>
                <w:color w:val="333333"/>
                <w:highlight w:val="none"/>
              </w:rPr>
              <w:t>22</w:t>
            </w:r>
            <w:r>
              <w:rPr>
                <w:color w:val="333333"/>
                <w:spacing w:val="-10"/>
                <w:highlight w:val="none"/>
              </w:rPr>
              <w:t xml:space="preserve"> 条的条件；</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firstLine="480" w:firstLineChars="200"/>
              <w:jc w:val="both"/>
              <w:textAlignment w:val="auto"/>
              <w:rPr>
                <w:rFonts w:hint="eastAsia"/>
                <w:color w:val="333333"/>
                <w:highlight w:val="none"/>
              </w:rPr>
            </w:pPr>
            <w:r>
              <w:rPr>
                <w:rFonts w:hint="eastAsia"/>
                <w:color w:val="333333"/>
                <w:highlight w:val="none"/>
                <w:lang w:val="en-US" w:eastAsia="zh-CN"/>
              </w:rPr>
              <w:t>1</w:t>
            </w:r>
            <w:r>
              <w:rPr>
                <w:color w:val="333333"/>
                <w:highlight w:val="none"/>
              </w:rPr>
              <w:t>）</w:t>
            </w:r>
            <w:r>
              <w:rPr>
                <w:rFonts w:hint="eastAsia"/>
                <w:color w:val="333333"/>
                <w:highlight w:val="none"/>
              </w:rPr>
              <w:t>具有独立承担民事责任的能力；具备有效的工商营业执照副本（三证合一）复印件加盖鲜章（或营业执照、税务登记证、组织机构代码证）；</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firstLine="480" w:firstLineChars="200"/>
              <w:jc w:val="both"/>
              <w:textAlignment w:val="auto"/>
              <w:rPr>
                <w:color w:val="333333"/>
                <w:highlight w:val="none"/>
              </w:rPr>
            </w:pPr>
            <w:r>
              <w:rPr>
                <w:color w:val="333333"/>
                <w:highlight w:val="none"/>
              </w:rPr>
              <w:t>2）具有良好的商业信誉和健全的财务会计制度：</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firstLine="480" w:firstLineChars="200"/>
              <w:jc w:val="both"/>
              <w:textAlignment w:val="auto"/>
              <w:rPr>
                <w:highlight w:val="none"/>
              </w:rPr>
            </w:pPr>
            <w:r>
              <w:rPr>
                <w:rFonts w:hint="eastAsia" w:hAnsi="宋体" w:cs="宋体"/>
                <w:color w:val="000000"/>
                <w:sz w:val="24"/>
                <w:szCs w:val="24"/>
              </w:rPr>
              <w:t>具体要求：供应商是法人的，应提供2019年度经审计的财务报告或基本开户银行出具的资信证明。新成立未满一年、部分其他组织和自然人，没有经审计的财务报告，可以提供银行出具的资信证明；</w:t>
            </w:r>
          </w:p>
          <w:p>
            <w:pPr>
              <w:pStyle w:val="9"/>
              <w:keepNext w:val="0"/>
              <w:keepLines w:val="0"/>
              <w:pageBreakBefore w:val="0"/>
              <w:widowControl w:val="0"/>
              <w:numPr>
                <w:ilvl w:val="0"/>
                <w:numId w:val="0"/>
              </w:numPr>
              <w:tabs>
                <w:tab w:val="left" w:pos="7310"/>
              </w:tabs>
              <w:kinsoku/>
              <w:wordWrap/>
              <w:overflowPunct/>
              <w:topLinePunct w:val="0"/>
              <w:autoSpaceDE w:val="0"/>
              <w:autoSpaceDN w:val="0"/>
              <w:bidi w:val="0"/>
              <w:adjustRightInd/>
              <w:snapToGrid/>
              <w:spacing w:before="0" w:after="0" w:line="420" w:lineRule="exact"/>
              <w:ind w:leftChars="200" w:right="0" w:rightChars="0"/>
              <w:jc w:val="both"/>
              <w:textAlignment w:val="auto"/>
              <w:rPr>
                <w:rFonts w:hint="eastAsia" w:eastAsia="宋体"/>
                <w:color w:val="333333"/>
                <w:highlight w:val="none"/>
                <w:lang w:eastAsia="zh-CN"/>
              </w:rPr>
            </w:pPr>
            <w:r>
              <w:rPr>
                <w:rFonts w:hint="eastAsia"/>
                <w:color w:val="333333"/>
                <w:highlight w:val="none"/>
                <w:lang w:val="en-US" w:eastAsia="zh-CN"/>
              </w:rPr>
              <w:t>3）</w:t>
            </w:r>
            <w:r>
              <w:rPr>
                <w:color w:val="333333"/>
                <w:highlight w:val="none"/>
              </w:rPr>
              <w:t>具有依法缴纳税收和社会保障资金的良好记录：</w:t>
            </w:r>
            <w:r>
              <w:rPr>
                <w:rFonts w:hint="eastAsia"/>
                <w:color w:val="333333"/>
                <w:highlight w:val="none"/>
                <w:lang w:eastAsia="zh-CN"/>
              </w:rPr>
              <w:tab/>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20" w:lineRule="exact"/>
              <w:ind w:left="0" w:leftChars="0" w:right="0" w:rightChars="0" w:firstLine="439" w:firstLineChars="183"/>
              <w:jc w:val="both"/>
              <w:textAlignment w:val="auto"/>
              <w:rPr>
                <w:color w:val="333333"/>
                <w:highlight w:val="none"/>
              </w:rPr>
            </w:pPr>
            <w:r>
              <w:rPr>
                <w:rFonts w:hint="eastAsia"/>
                <w:color w:val="333333"/>
              </w:rPr>
              <w:t>具体要求：</w:t>
            </w:r>
            <w:r>
              <w:rPr>
                <w:color w:val="333333"/>
                <w:highlight w:val="none"/>
              </w:rPr>
              <w:t>供应商</w:t>
            </w:r>
            <w:r>
              <w:rPr>
                <w:rFonts w:hint="eastAsia"/>
                <w:color w:val="333333"/>
                <w:highlight w:val="none"/>
                <w:lang w:val="en-US" w:eastAsia="zh-CN"/>
              </w:rPr>
              <w:t>自行</w:t>
            </w:r>
            <w:r>
              <w:rPr>
                <w:color w:val="333333"/>
                <w:highlight w:val="none"/>
              </w:rPr>
              <w:t>提供的承诺作为证明材料）</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firstLine="480" w:firstLineChars="200"/>
              <w:jc w:val="both"/>
              <w:textAlignment w:val="auto"/>
              <w:rPr>
                <w:color w:val="333333"/>
                <w:highlight w:val="none"/>
              </w:rPr>
            </w:pPr>
            <w:r>
              <w:rPr>
                <w:color w:val="333333"/>
                <w:highlight w:val="none"/>
              </w:rPr>
              <w:t>4)参加本次政府采购活动前三年内，在经营活动中没有违法违规记录：提供参加政府采购活动前 3 年内在经营活动中没有重大违法记录的书面声明；</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firstLine="480" w:firstLineChars="200"/>
              <w:jc w:val="both"/>
              <w:textAlignment w:val="auto"/>
              <w:rPr>
                <w:rFonts w:hint="eastAsia"/>
                <w:color w:val="333333"/>
                <w:spacing w:val="2"/>
                <w:highlight w:val="none"/>
              </w:rPr>
            </w:pPr>
            <w:r>
              <w:rPr>
                <w:color w:val="333333"/>
                <w:highlight w:val="none"/>
              </w:rPr>
              <w:t>5)法律、行政法规规定的其他条件：提供诚信资格证明材料：对列入失信被执行人、重大税收违法案件当事人名单、政府采购严重违法失信行为记录名单及其他不符合《中华人民共和国政府采购法》第二十二条规定</w:t>
            </w:r>
            <w:r>
              <w:rPr>
                <w:color w:val="333333"/>
                <w:spacing w:val="-12"/>
                <w:highlight w:val="none"/>
              </w:rPr>
              <w:t>条件的供应商，拒绝其</w:t>
            </w:r>
            <w:r>
              <w:rPr>
                <w:color w:val="333333"/>
                <w:spacing w:val="2"/>
                <w:highlight w:val="none"/>
              </w:rPr>
              <w:t>参与投标。在</w:t>
            </w:r>
            <w:r>
              <w:rPr>
                <w:rFonts w:hint="eastAsia"/>
                <w:color w:val="333333"/>
                <w:spacing w:val="2"/>
                <w:highlight w:val="none"/>
              </w:rPr>
              <w:t>“信用中国”网站（www.creditchina.gov.cn）和政府采购严重违法失信行为记录名单（http://www.ccgp.gov.cn/search/cr/）查询的信用记录情况（对列入失信被执行人、重大税收违法案件当事人名单、政府采购严重违法失信行为记录名单的投标人，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jc w:val="both"/>
              <w:textAlignment w:val="auto"/>
              <w:rPr>
                <w:highlight w:val="none"/>
              </w:rPr>
            </w:pPr>
            <w:r>
              <w:rPr>
                <w:color w:val="333333"/>
                <w:highlight w:val="none"/>
              </w:rPr>
              <w:t>（2）本项目不接受联合体；</w:t>
            </w:r>
          </w:p>
          <w:p>
            <w:pPr>
              <w:keepNext w:val="0"/>
              <w:keepLines w:val="0"/>
              <w:pageBreakBefore w:val="0"/>
              <w:widowControl w:val="0"/>
              <w:kinsoku/>
              <w:wordWrap/>
              <w:overflowPunct/>
              <w:topLinePunct w:val="0"/>
              <w:autoSpaceDE w:val="0"/>
              <w:autoSpaceDN w:val="0"/>
              <w:bidi w:val="0"/>
              <w:adjustRightInd w:val="0"/>
              <w:snapToGrid/>
              <w:spacing w:line="420" w:lineRule="exact"/>
              <w:ind w:right="-158"/>
              <w:jc w:val="both"/>
              <w:textAlignment w:val="auto"/>
              <w:rPr>
                <w:rFonts w:hint="default" w:eastAsia="宋体"/>
                <w:kern w:val="0"/>
                <w:sz w:val="24"/>
                <w:highlight w:val="none"/>
                <w:lang w:val="en-US" w:eastAsia="zh-CN"/>
              </w:rPr>
            </w:pPr>
            <w:r>
              <w:rPr>
                <w:color w:val="333333"/>
                <w:highlight w:val="none"/>
              </w:rPr>
              <w:t>（3）</w:t>
            </w:r>
            <w:r>
              <w:rPr>
                <w:b/>
                <w:color w:val="333333"/>
                <w:highlight w:val="none"/>
              </w:rPr>
              <w:t>特殊资格要求：</w:t>
            </w:r>
            <w:r>
              <w:rPr>
                <w:rFonts w:hint="eastAsia" w:ascii="Calibri" w:hAnsi="Calibri" w:cs="宋体"/>
                <w:kern w:val="0"/>
                <w:sz w:val="24"/>
                <w:highlight w:val="none"/>
                <w:lang w:val="en-US" w:eastAsia="zh-CN"/>
              </w:rPr>
              <w:t>市政公用</w:t>
            </w:r>
            <w:r>
              <w:rPr>
                <w:rFonts w:hint="eastAsia" w:ascii="Calibri" w:hAnsi="Calibri" w:eastAsia="宋体" w:cs="宋体"/>
                <w:kern w:val="0"/>
                <w:sz w:val="24"/>
                <w:highlight w:val="none"/>
              </w:rPr>
              <w:t>工程施工</w:t>
            </w:r>
            <w:r>
              <w:rPr>
                <w:rFonts w:hint="eastAsia" w:ascii="Calibri" w:hAnsi="Calibri" w:cs="宋体"/>
                <w:kern w:val="0"/>
                <w:sz w:val="24"/>
                <w:highlight w:val="none"/>
                <w:lang w:eastAsia="zh-CN"/>
              </w:rPr>
              <w:t>总承包</w:t>
            </w:r>
            <w:r>
              <w:rPr>
                <w:rFonts w:hint="eastAsia" w:ascii="Calibri" w:hAnsi="Calibri" w:eastAsia="宋体" w:cs="宋体"/>
                <w:kern w:val="0"/>
                <w:sz w:val="24"/>
                <w:highlight w:val="none"/>
              </w:rPr>
              <w:t>三级及以上资质</w:t>
            </w:r>
            <w:r>
              <w:rPr>
                <w:rFonts w:hint="eastAsia" w:ascii="Calibri" w:hAnsi="Calibri" w:cs="宋体"/>
                <w:kern w:val="0"/>
                <w:sz w:val="24"/>
                <w:highlight w:val="none"/>
                <w:lang w:eastAsia="zh-CN"/>
              </w:rPr>
              <w:t>、</w:t>
            </w:r>
            <w:r>
              <w:rPr>
                <w:rFonts w:hint="eastAsia" w:ascii="Calibri" w:hAnsi="Calibri" w:eastAsia="宋体" w:cs="宋体"/>
                <w:kern w:val="0"/>
                <w:sz w:val="24"/>
                <w:highlight w:val="none"/>
              </w:rPr>
              <w:t>有效期内的安全生产许可证；</w:t>
            </w:r>
            <w:r>
              <w:rPr>
                <w:rFonts w:hint="eastAsia" w:ascii="Calibri" w:hAnsi="Calibri" w:cs="宋体"/>
                <w:kern w:val="0"/>
                <w:sz w:val="24"/>
                <w:highlight w:val="none"/>
                <w:lang w:val="en-US" w:eastAsia="zh-CN"/>
              </w:rPr>
              <w:t>项目经理需具备市政工程专业二级及以上注册建造师，并在人员、设备、资金上等方面具备相应的能力。</w:t>
            </w:r>
          </w:p>
          <w:p>
            <w:pPr>
              <w:pStyle w:val="10"/>
              <w:keepNext w:val="0"/>
              <w:keepLines w:val="0"/>
              <w:pageBreakBefore w:val="0"/>
              <w:widowControl w:val="0"/>
              <w:kinsoku/>
              <w:wordWrap/>
              <w:overflowPunct/>
              <w:topLinePunct w:val="0"/>
              <w:autoSpaceDE w:val="0"/>
              <w:autoSpaceDN w:val="0"/>
              <w:bidi w:val="0"/>
              <w:snapToGrid/>
              <w:spacing w:line="420" w:lineRule="exact"/>
              <w:jc w:val="left"/>
              <w:textAlignment w:val="auto"/>
              <w:rPr>
                <w:rFonts w:asciiTheme="minorEastAsia" w:hAnsiTheme="minorEastAsia"/>
                <w:b/>
                <w:bCs/>
                <w:color w:val="000000" w:themeColor="text1"/>
                <w:sz w:val="24"/>
                <w:szCs w:val="24"/>
                <w:highlight w:val="none"/>
              </w:rPr>
            </w:pPr>
            <w:r>
              <w:rPr>
                <w:rFonts w:hint="eastAsia" w:asciiTheme="minorEastAsia" w:hAnsiTheme="minorEastAsia"/>
                <w:b/>
                <w:bCs/>
                <w:color w:val="000000" w:themeColor="text1"/>
                <w:sz w:val="24"/>
                <w:szCs w:val="24"/>
                <w:highlight w:val="none"/>
              </w:rPr>
              <w:t>开标评标时，投标供应商需提供以下资料(复印件须加盖公章现场提交) ：</w:t>
            </w:r>
          </w:p>
          <w:p>
            <w:pPr>
              <w:pStyle w:val="10"/>
              <w:keepNext w:val="0"/>
              <w:keepLines w:val="0"/>
              <w:pageBreakBefore w:val="0"/>
              <w:widowControl w:val="0"/>
              <w:kinsoku/>
              <w:wordWrap/>
              <w:overflowPunct/>
              <w:topLinePunct w:val="0"/>
              <w:autoSpaceDE w:val="0"/>
              <w:autoSpaceDN w:val="0"/>
              <w:bidi w:val="0"/>
              <w:snapToGrid/>
              <w:spacing w:line="420" w:lineRule="exact"/>
              <w:ind w:firstLine="240" w:firstLineChars="100"/>
              <w:jc w:val="left"/>
              <w:textAlignment w:val="auto"/>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1、具备有效的工商营业执照副本（三证合一）复印件加盖鲜章（或营业执照、税务登记证、组织机构代码证）；</w:t>
            </w:r>
          </w:p>
          <w:p>
            <w:pPr>
              <w:pStyle w:val="10"/>
              <w:keepNext w:val="0"/>
              <w:keepLines w:val="0"/>
              <w:pageBreakBefore w:val="0"/>
              <w:widowControl w:val="0"/>
              <w:kinsoku/>
              <w:wordWrap/>
              <w:overflowPunct/>
              <w:topLinePunct w:val="0"/>
              <w:autoSpaceDE w:val="0"/>
              <w:autoSpaceDN w:val="0"/>
              <w:bidi w:val="0"/>
              <w:snapToGrid/>
              <w:spacing w:line="420" w:lineRule="exact"/>
              <w:ind w:left="251" w:leftChars="114"/>
              <w:jc w:val="both"/>
              <w:textAlignment w:val="auto"/>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2、法定代表人</w:t>
            </w:r>
            <w:r>
              <w:rPr>
                <w:rFonts w:hint="eastAsia" w:asciiTheme="minorEastAsia" w:hAnsiTheme="minorEastAsia"/>
                <w:color w:val="000000" w:themeColor="text1"/>
                <w:sz w:val="24"/>
                <w:szCs w:val="24"/>
                <w:highlight w:val="none"/>
                <w:lang w:val="en-US" w:eastAsia="zh-CN"/>
              </w:rPr>
              <w:t>持</w:t>
            </w:r>
            <w:r>
              <w:rPr>
                <w:rFonts w:hint="eastAsia" w:asciiTheme="minorEastAsia" w:hAnsiTheme="minorEastAsia"/>
                <w:color w:val="000000" w:themeColor="text1"/>
                <w:sz w:val="24"/>
                <w:szCs w:val="24"/>
                <w:highlight w:val="none"/>
              </w:rPr>
              <w:t>身份证或委托代理人持授权委托书及代理人身份证</w:t>
            </w:r>
            <w:r>
              <w:rPr>
                <w:rFonts w:hint="eastAsia" w:asciiTheme="minorEastAsia" w:hAnsiTheme="minorEastAsia"/>
                <w:color w:val="000000" w:themeColor="text1"/>
                <w:sz w:val="24"/>
                <w:szCs w:val="24"/>
                <w:highlight w:val="none"/>
                <w:lang w:val="en-US" w:eastAsia="zh-CN"/>
              </w:rPr>
              <w:t>原</w:t>
            </w:r>
            <w:r>
              <w:rPr>
                <w:rFonts w:hint="eastAsia" w:asciiTheme="minorEastAsia" w:hAnsiTheme="minorEastAsia"/>
                <w:color w:val="000000" w:themeColor="text1"/>
                <w:sz w:val="24"/>
                <w:szCs w:val="24"/>
                <w:highlight w:val="none"/>
              </w:rPr>
              <w:t xml:space="preserve">件； </w:t>
            </w:r>
          </w:p>
          <w:p>
            <w:pPr>
              <w:keepNext w:val="0"/>
              <w:keepLines w:val="0"/>
              <w:pageBreakBefore w:val="0"/>
              <w:widowControl w:val="0"/>
              <w:kinsoku/>
              <w:wordWrap/>
              <w:overflowPunct/>
              <w:topLinePunct w:val="0"/>
              <w:autoSpaceDE w:val="0"/>
              <w:autoSpaceDN w:val="0"/>
              <w:bidi w:val="0"/>
              <w:adjustRightInd w:val="0"/>
              <w:snapToGrid/>
              <w:spacing w:line="420" w:lineRule="exact"/>
              <w:ind w:right="-158" w:firstLine="240" w:firstLineChars="100"/>
              <w:jc w:val="both"/>
              <w:textAlignment w:val="auto"/>
              <w:rPr>
                <w:sz w:val="24"/>
                <w:highlight w:val="none"/>
              </w:rPr>
            </w:pPr>
            <w:r>
              <w:rPr>
                <w:rFonts w:hint="eastAsia" w:eastAsia="宋体" w:cs="宋体" w:asciiTheme="minorEastAsia" w:hAnsiTheme="minorEastAsia"/>
                <w:color w:val="000000" w:themeColor="text1"/>
                <w:sz w:val="24"/>
                <w:szCs w:val="24"/>
                <w:highlight w:val="none"/>
                <w:lang w:val="en-US" w:eastAsia="zh-CN" w:bidi="ar-SA"/>
              </w:rPr>
              <w:t>3</w:t>
            </w:r>
            <w:r>
              <w:rPr>
                <w:rFonts w:hint="eastAsia" w:eastAsia="宋体" w:cs="宋体" w:asciiTheme="minorEastAsia" w:hAnsiTheme="minorEastAsia"/>
                <w:color w:val="000000" w:themeColor="text1"/>
                <w:sz w:val="24"/>
                <w:szCs w:val="24"/>
                <w:highlight w:val="none"/>
                <w:lang w:val="en-US" w:eastAsia="en-US" w:bidi="ar-SA"/>
              </w:rPr>
              <w:t>、</w:t>
            </w:r>
            <w:r>
              <w:rPr>
                <w:rFonts w:hint="eastAsia" w:ascii="Calibri" w:hAnsi="Calibri" w:eastAsia="宋体" w:cs="宋体"/>
                <w:kern w:val="0"/>
                <w:sz w:val="24"/>
                <w:highlight w:val="none"/>
              </w:rPr>
              <w:t>保证金缴纳凭证；（</w:t>
            </w:r>
            <w:r>
              <w:rPr>
                <w:rFonts w:hint="eastAsia" w:ascii="Calibri" w:hAnsi="Calibri" w:eastAsia="宋体" w:cs="宋体"/>
                <w:sz w:val="24"/>
                <w:highlight w:val="none"/>
              </w:rPr>
              <w:t>在电子交易系统中缴纳凭证</w:t>
            </w:r>
            <w:r>
              <w:rPr>
                <w:rFonts w:hint="eastAsia" w:ascii="Calibri" w:hAnsi="Calibri" w:eastAsia="宋体" w:cs="宋体"/>
                <w:kern w:val="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42"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rFonts w:ascii="Times New Roman"/>
                <w:sz w:val="24"/>
                <w:highlight w:val="none"/>
              </w:rPr>
            </w:pPr>
          </w:p>
        </w:tc>
        <w:tc>
          <w:tcPr>
            <w:tcW w:w="8398"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b/>
                <w:sz w:val="24"/>
                <w:highlight w:val="none"/>
              </w:rPr>
            </w:pPr>
            <w:r>
              <w:rPr>
                <w:b/>
                <w:w w:val="95"/>
                <w:sz w:val="24"/>
                <w:highlight w:val="none"/>
              </w:rPr>
              <w:t>符合性要求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942"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sz w:val="24"/>
                <w:highlight w:val="none"/>
              </w:rPr>
            </w:pPr>
            <w:r>
              <w:rPr>
                <w:sz w:val="24"/>
                <w:highlight w:val="none"/>
              </w:rPr>
              <w:t>序号</w:t>
            </w:r>
          </w:p>
        </w:tc>
        <w:tc>
          <w:tcPr>
            <w:tcW w:w="8398"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sz w:val="24"/>
                <w:highlight w:val="none"/>
              </w:rPr>
            </w:pPr>
            <w:r>
              <w:rPr>
                <w:sz w:val="24"/>
                <w:highlight w:val="none"/>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42"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rFonts w:hint="eastAsia" w:ascii="宋体" w:hAnsi="宋体" w:eastAsia="宋体" w:cs="宋体"/>
                <w:sz w:val="28"/>
                <w:szCs w:val="28"/>
                <w:highlight w:val="none"/>
                <w:lang w:val="en-US" w:eastAsia="zh-CN"/>
              </w:rPr>
            </w:pPr>
            <w:r>
              <w:rPr>
                <w:rFonts w:hint="eastAsia" w:cs="宋体"/>
                <w:sz w:val="28"/>
                <w:szCs w:val="28"/>
                <w:highlight w:val="none"/>
                <w:lang w:val="en-US" w:eastAsia="zh-CN"/>
              </w:rPr>
              <w:t>1</w:t>
            </w:r>
          </w:p>
        </w:tc>
        <w:tc>
          <w:tcPr>
            <w:tcW w:w="8398"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right="220" w:rightChars="100" w:firstLine="720" w:firstLineChars="300"/>
              <w:jc w:val="both"/>
              <w:textAlignment w:val="auto"/>
              <w:rPr>
                <w:sz w:val="24"/>
                <w:highlight w:val="none"/>
              </w:rPr>
            </w:pPr>
            <w:r>
              <w:rPr>
                <w:sz w:val="24"/>
                <w:highlight w:val="none"/>
              </w:rPr>
              <w:t>磋商响应供应商存在下列情形之一的，将被认定为串通响应行为并作无效响应处理：</w:t>
            </w:r>
          </w:p>
          <w:p>
            <w:pPr>
              <w:pStyle w:val="19"/>
              <w:keepNext w:val="0"/>
              <w:keepLines w:val="0"/>
              <w:pageBreakBefore w:val="0"/>
              <w:widowControl w:val="0"/>
              <w:numPr>
                <w:ilvl w:val="0"/>
                <w:numId w:val="2"/>
              </w:numPr>
              <w:kinsoku/>
              <w:wordWrap/>
              <w:overflowPunct/>
              <w:topLinePunct w:val="0"/>
              <w:autoSpaceDE w:val="0"/>
              <w:autoSpaceDN w:val="0"/>
              <w:bidi w:val="0"/>
              <w:adjustRightInd/>
              <w:snapToGrid/>
              <w:spacing w:before="0" w:after="0" w:line="440" w:lineRule="exact"/>
              <w:ind w:left="220" w:leftChars="100" w:right="220" w:rightChars="100" w:firstLine="480" w:firstLineChars="200"/>
              <w:jc w:val="both"/>
              <w:textAlignment w:val="auto"/>
              <w:rPr>
                <w:sz w:val="24"/>
                <w:highlight w:val="none"/>
              </w:rPr>
            </w:pPr>
            <w:r>
              <w:rPr>
                <w:sz w:val="24"/>
                <w:highlight w:val="none"/>
              </w:rPr>
              <w:t>磋商响应供应商之间协商磋商报价等磋商文件的实质性内容；</w:t>
            </w:r>
          </w:p>
          <w:p>
            <w:pPr>
              <w:pStyle w:val="19"/>
              <w:keepNext w:val="0"/>
              <w:keepLines w:val="0"/>
              <w:pageBreakBefore w:val="0"/>
              <w:widowControl w:val="0"/>
              <w:numPr>
                <w:ilvl w:val="0"/>
                <w:numId w:val="2"/>
              </w:numPr>
              <w:kinsoku/>
              <w:wordWrap/>
              <w:overflowPunct/>
              <w:topLinePunct w:val="0"/>
              <w:autoSpaceDE w:val="0"/>
              <w:autoSpaceDN w:val="0"/>
              <w:bidi w:val="0"/>
              <w:adjustRightInd/>
              <w:snapToGrid/>
              <w:spacing w:before="0" w:after="0" w:line="440" w:lineRule="exact"/>
              <w:ind w:left="220" w:leftChars="100" w:right="220" w:rightChars="100" w:firstLine="480" w:firstLineChars="200"/>
              <w:jc w:val="both"/>
              <w:textAlignment w:val="auto"/>
              <w:rPr>
                <w:sz w:val="24"/>
                <w:highlight w:val="none"/>
              </w:rPr>
            </w:pPr>
            <w:r>
              <w:rPr>
                <w:sz w:val="24"/>
                <w:highlight w:val="none"/>
              </w:rPr>
              <w:t>磋商响应供应商之间约定成交供应商；</w:t>
            </w:r>
          </w:p>
          <w:p>
            <w:pPr>
              <w:pStyle w:val="19"/>
              <w:keepNext w:val="0"/>
              <w:keepLines w:val="0"/>
              <w:pageBreakBefore w:val="0"/>
              <w:widowControl w:val="0"/>
              <w:numPr>
                <w:ilvl w:val="0"/>
                <w:numId w:val="2"/>
              </w:numPr>
              <w:kinsoku/>
              <w:wordWrap/>
              <w:overflowPunct/>
              <w:topLinePunct w:val="0"/>
              <w:autoSpaceDE w:val="0"/>
              <w:autoSpaceDN w:val="0"/>
              <w:bidi w:val="0"/>
              <w:adjustRightInd/>
              <w:snapToGrid/>
              <w:spacing w:before="0" w:after="0" w:line="440" w:lineRule="exact"/>
              <w:ind w:left="220" w:leftChars="100" w:right="220" w:rightChars="100" w:firstLine="480" w:firstLineChars="200"/>
              <w:jc w:val="both"/>
              <w:textAlignment w:val="auto"/>
              <w:rPr>
                <w:sz w:val="24"/>
                <w:highlight w:val="none"/>
              </w:rPr>
            </w:pPr>
            <w:r>
              <w:rPr>
                <w:sz w:val="24"/>
                <w:highlight w:val="none"/>
              </w:rPr>
              <w:t>磋商响应供应商之间约定部分磋商响应供应商放弃磋商响应或者成交；</w:t>
            </w:r>
          </w:p>
          <w:p>
            <w:pPr>
              <w:pStyle w:val="19"/>
              <w:keepNext w:val="0"/>
              <w:keepLines w:val="0"/>
              <w:pageBreakBefore w:val="0"/>
              <w:widowControl w:val="0"/>
              <w:numPr>
                <w:ilvl w:val="0"/>
                <w:numId w:val="2"/>
              </w:numPr>
              <w:kinsoku/>
              <w:wordWrap/>
              <w:overflowPunct/>
              <w:topLinePunct w:val="0"/>
              <w:autoSpaceDE w:val="0"/>
              <w:autoSpaceDN w:val="0"/>
              <w:bidi w:val="0"/>
              <w:adjustRightInd/>
              <w:snapToGrid/>
              <w:spacing w:before="0" w:after="0" w:line="440" w:lineRule="exact"/>
              <w:ind w:left="220" w:leftChars="100" w:right="220" w:rightChars="100" w:firstLine="448" w:firstLineChars="200"/>
              <w:jc w:val="both"/>
              <w:textAlignment w:val="auto"/>
              <w:rPr>
                <w:sz w:val="24"/>
                <w:highlight w:val="none"/>
              </w:rPr>
            </w:pPr>
            <w:r>
              <w:rPr>
                <w:spacing w:val="-8"/>
                <w:sz w:val="24"/>
                <w:highlight w:val="none"/>
              </w:rPr>
              <w:t>属于同一集团、协会、商会等组织成员的磋商响应供应商按照该组织要求协同磋商响应；</w:t>
            </w:r>
          </w:p>
          <w:p>
            <w:pPr>
              <w:pStyle w:val="19"/>
              <w:keepNext w:val="0"/>
              <w:keepLines w:val="0"/>
              <w:pageBreakBefore w:val="0"/>
              <w:widowControl w:val="0"/>
              <w:numPr>
                <w:ilvl w:val="0"/>
                <w:numId w:val="2"/>
              </w:numPr>
              <w:kinsoku/>
              <w:wordWrap/>
              <w:overflowPunct/>
              <w:topLinePunct w:val="0"/>
              <w:autoSpaceDE w:val="0"/>
              <w:autoSpaceDN w:val="0"/>
              <w:bidi w:val="0"/>
              <w:adjustRightInd/>
              <w:snapToGrid/>
              <w:spacing w:before="0" w:after="0" w:line="440" w:lineRule="exact"/>
              <w:ind w:left="220" w:leftChars="100" w:right="220" w:rightChars="100" w:firstLine="480" w:firstLineChars="200"/>
              <w:jc w:val="both"/>
              <w:textAlignment w:val="auto"/>
              <w:rPr>
                <w:sz w:val="24"/>
                <w:highlight w:val="none"/>
              </w:rPr>
            </w:pPr>
            <w:r>
              <w:rPr>
                <w:sz w:val="24"/>
                <w:highlight w:val="none"/>
              </w:rPr>
              <w:t>磋商响应供应商之间为谋取成交或者排斥特定磋商响应供应商而采取的其他联合行动；</w:t>
            </w:r>
          </w:p>
          <w:p>
            <w:pPr>
              <w:pStyle w:val="19"/>
              <w:keepNext w:val="0"/>
              <w:keepLines w:val="0"/>
              <w:pageBreakBefore w:val="0"/>
              <w:widowControl w:val="0"/>
              <w:numPr>
                <w:ilvl w:val="0"/>
                <w:numId w:val="2"/>
              </w:numPr>
              <w:kinsoku/>
              <w:wordWrap/>
              <w:overflowPunct/>
              <w:topLinePunct w:val="0"/>
              <w:autoSpaceDE w:val="0"/>
              <w:autoSpaceDN w:val="0"/>
              <w:bidi w:val="0"/>
              <w:adjustRightInd/>
              <w:snapToGrid/>
              <w:spacing w:before="0" w:after="0" w:line="440" w:lineRule="exact"/>
              <w:ind w:left="220" w:leftChars="100" w:right="220" w:rightChars="100" w:firstLine="480" w:firstLineChars="200"/>
              <w:jc w:val="both"/>
              <w:textAlignment w:val="auto"/>
              <w:rPr>
                <w:sz w:val="24"/>
                <w:highlight w:val="none"/>
              </w:rPr>
            </w:pPr>
            <w:r>
              <w:rPr>
                <w:sz w:val="24"/>
                <w:highlight w:val="none"/>
              </w:rPr>
              <w:t>不同磋商响应供应商的响应文件由同一单位或者个人编制；</w:t>
            </w:r>
          </w:p>
          <w:p>
            <w:pPr>
              <w:pStyle w:val="19"/>
              <w:keepNext w:val="0"/>
              <w:keepLines w:val="0"/>
              <w:pageBreakBefore w:val="0"/>
              <w:widowControl w:val="0"/>
              <w:numPr>
                <w:ilvl w:val="0"/>
                <w:numId w:val="2"/>
              </w:numPr>
              <w:kinsoku/>
              <w:wordWrap/>
              <w:overflowPunct/>
              <w:topLinePunct w:val="0"/>
              <w:autoSpaceDE w:val="0"/>
              <w:autoSpaceDN w:val="0"/>
              <w:bidi w:val="0"/>
              <w:adjustRightInd/>
              <w:snapToGrid/>
              <w:spacing w:before="0" w:after="0" w:line="440" w:lineRule="exact"/>
              <w:ind w:left="220" w:leftChars="100" w:right="220" w:rightChars="100" w:firstLine="480" w:firstLineChars="200"/>
              <w:jc w:val="both"/>
              <w:textAlignment w:val="auto"/>
              <w:rPr>
                <w:sz w:val="24"/>
                <w:highlight w:val="none"/>
              </w:rPr>
            </w:pPr>
            <w:r>
              <w:rPr>
                <w:sz w:val="24"/>
                <w:highlight w:val="none"/>
              </w:rPr>
              <w:t>不同磋商响应供应商委托同一单位或者个人办理磋商响应事宜；</w:t>
            </w:r>
          </w:p>
          <w:p>
            <w:pPr>
              <w:pStyle w:val="19"/>
              <w:keepNext w:val="0"/>
              <w:keepLines w:val="0"/>
              <w:pageBreakBefore w:val="0"/>
              <w:widowControl w:val="0"/>
              <w:numPr>
                <w:ilvl w:val="0"/>
                <w:numId w:val="2"/>
              </w:numPr>
              <w:kinsoku/>
              <w:wordWrap/>
              <w:overflowPunct/>
              <w:topLinePunct w:val="0"/>
              <w:autoSpaceDE w:val="0"/>
              <w:autoSpaceDN w:val="0"/>
              <w:bidi w:val="0"/>
              <w:adjustRightInd/>
              <w:snapToGrid/>
              <w:spacing w:before="0" w:after="0" w:line="440" w:lineRule="exact"/>
              <w:ind w:left="220" w:leftChars="100" w:right="220" w:rightChars="100" w:firstLine="480" w:firstLineChars="200"/>
              <w:jc w:val="both"/>
              <w:textAlignment w:val="auto"/>
              <w:rPr>
                <w:sz w:val="24"/>
                <w:highlight w:val="none"/>
              </w:rPr>
            </w:pPr>
            <w:r>
              <w:rPr>
                <w:sz w:val="24"/>
                <w:highlight w:val="none"/>
              </w:rPr>
              <w:t>不同磋商响应供应商的响应文件载明的项目管理成员为同一人；</w:t>
            </w:r>
          </w:p>
          <w:p>
            <w:pPr>
              <w:pStyle w:val="19"/>
              <w:keepNext w:val="0"/>
              <w:keepLines w:val="0"/>
              <w:pageBreakBefore w:val="0"/>
              <w:widowControl w:val="0"/>
              <w:numPr>
                <w:ilvl w:val="0"/>
                <w:numId w:val="2"/>
              </w:numPr>
              <w:kinsoku/>
              <w:wordWrap/>
              <w:overflowPunct/>
              <w:topLinePunct w:val="0"/>
              <w:autoSpaceDE w:val="0"/>
              <w:autoSpaceDN w:val="0"/>
              <w:bidi w:val="0"/>
              <w:adjustRightInd/>
              <w:snapToGrid/>
              <w:spacing w:before="0" w:after="0" w:line="440" w:lineRule="exact"/>
              <w:ind w:left="220" w:leftChars="100" w:right="220" w:rightChars="100" w:firstLine="480" w:firstLineChars="200"/>
              <w:jc w:val="both"/>
              <w:textAlignment w:val="auto"/>
              <w:rPr>
                <w:sz w:val="24"/>
                <w:highlight w:val="none"/>
              </w:rPr>
            </w:pPr>
            <w:r>
              <w:rPr>
                <w:sz w:val="24"/>
                <w:highlight w:val="none"/>
              </w:rPr>
              <w:t>不同磋商响应供应商的响应文件异常一致或者报价呈规律性差异；</w:t>
            </w:r>
          </w:p>
          <w:p>
            <w:pPr>
              <w:pStyle w:val="19"/>
              <w:keepNext w:val="0"/>
              <w:keepLines w:val="0"/>
              <w:pageBreakBefore w:val="0"/>
              <w:widowControl w:val="0"/>
              <w:numPr>
                <w:ilvl w:val="0"/>
                <w:numId w:val="2"/>
              </w:numPr>
              <w:kinsoku/>
              <w:wordWrap/>
              <w:overflowPunct/>
              <w:topLinePunct w:val="0"/>
              <w:autoSpaceDE w:val="0"/>
              <w:autoSpaceDN w:val="0"/>
              <w:bidi w:val="0"/>
              <w:adjustRightInd/>
              <w:snapToGrid/>
              <w:spacing w:before="0" w:after="0" w:line="440" w:lineRule="exact"/>
              <w:ind w:left="220" w:leftChars="100" w:right="220" w:rightChars="100" w:firstLine="480" w:firstLineChars="200"/>
              <w:jc w:val="both"/>
              <w:textAlignment w:val="auto"/>
              <w:rPr>
                <w:sz w:val="24"/>
                <w:highlight w:val="none"/>
              </w:rPr>
            </w:pPr>
            <w:r>
              <w:rPr>
                <w:sz w:val="24"/>
                <w:highlight w:val="none"/>
              </w:rPr>
              <w:t>不同磋商响应供应商的响应文件相互混装；</w:t>
            </w:r>
          </w:p>
          <w:p>
            <w:pPr>
              <w:pStyle w:val="19"/>
              <w:keepNext w:val="0"/>
              <w:keepLines w:val="0"/>
              <w:pageBreakBefore w:val="0"/>
              <w:widowControl w:val="0"/>
              <w:numPr>
                <w:ilvl w:val="0"/>
                <w:numId w:val="2"/>
              </w:numPr>
              <w:kinsoku/>
              <w:wordWrap/>
              <w:overflowPunct/>
              <w:topLinePunct w:val="0"/>
              <w:autoSpaceDE w:val="0"/>
              <w:autoSpaceDN w:val="0"/>
              <w:bidi w:val="0"/>
              <w:adjustRightInd/>
              <w:snapToGrid/>
              <w:spacing w:before="0" w:after="0" w:line="440" w:lineRule="exact"/>
              <w:ind w:left="220" w:leftChars="100" w:right="220" w:rightChars="100" w:firstLine="480" w:firstLineChars="200"/>
              <w:jc w:val="both"/>
              <w:textAlignment w:val="auto"/>
              <w:rPr>
                <w:sz w:val="24"/>
                <w:highlight w:val="none"/>
              </w:rPr>
            </w:pPr>
            <w:r>
              <w:rPr>
                <w:sz w:val="24"/>
                <w:highlight w:val="none"/>
              </w:rPr>
              <w:t>不同磋商响应供应商的磋商保证金从同一单位或者个人的账户转出。</w:t>
            </w:r>
          </w:p>
          <w:p>
            <w:pPr>
              <w:pStyle w:val="19"/>
              <w:keepNext w:val="0"/>
              <w:keepLines w:val="0"/>
              <w:pageBreakBefore w:val="0"/>
              <w:widowControl w:val="0"/>
              <w:numPr>
                <w:ilvl w:val="0"/>
                <w:numId w:val="2"/>
              </w:numPr>
              <w:kinsoku/>
              <w:wordWrap/>
              <w:overflowPunct/>
              <w:topLinePunct w:val="0"/>
              <w:autoSpaceDE w:val="0"/>
              <w:autoSpaceDN w:val="0"/>
              <w:bidi w:val="0"/>
              <w:adjustRightInd/>
              <w:snapToGrid/>
              <w:spacing w:before="0" w:after="0" w:line="440" w:lineRule="exact"/>
              <w:ind w:left="220" w:leftChars="100" w:right="220" w:rightChars="100" w:firstLine="464" w:firstLineChars="200"/>
              <w:jc w:val="both"/>
              <w:textAlignment w:val="auto"/>
              <w:rPr>
                <w:sz w:val="24"/>
                <w:highlight w:val="none"/>
              </w:rPr>
            </w:pPr>
            <w:r>
              <w:rPr>
                <w:spacing w:val="-4"/>
                <w:sz w:val="24"/>
                <w:highlight w:val="none"/>
              </w:rPr>
              <w:t>不同磋商响应供应商的响应文件错、漏之处一致或雷同， 且不能合理解释的；</w:t>
            </w:r>
          </w:p>
          <w:p>
            <w:pPr>
              <w:pStyle w:val="19"/>
              <w:keepNext w:val="0"/>
              <w:keepLines w:val="0"/>
              <w:pageBreakBefore w:val="0"/>
              <w:widowControl w:val="0"/>
              <w:numPr>
                <w:ilvl w:val="0"/>
                <w:numId w:val="2"/>
              </w:numPr>
              <w:kinsoku/>
              <w:wordWrap/>
              <w:overflowPunct/>
              <w:topLinePunct w:val="0"/>
              <w:autoSpaceDE w:val="0"/>
              <w:autoSpaceDN w:val="0"/>
              <w:bidi w:val="0"/>
              <w:adjustRightInd/>
              <w:snapToGrid/>
              <w:spacing w:before="0" w:after="0" w:line="440" w:lineRule="exact"/>
              <w:ind w:left="220" w:leftChars="100" w:right="220" w:rightChars="100" w:firstLine="480" w:firstLineChars="200"/>
              <w:jc w:val="both"/>
              <w:textAlignment w:val="auto"/>
              <w:rPr>
                <w:sz w:val="24"/>
                <w:highlight w:val="none"/>
              </w:rPr>
            </w:pPr>
            <w:r>
              <w:rPr>
                <w:sz w:val="24"/>
                <w:highlight w:val="none"/>
              </w:rPr>
              <w:t>不同的磋商响应供应商的法定代表人、委托代理人等由同一个单位缴纳社会保险的：</w:t>
            </w:r>
          </w:p>
          <w:p>
            <w:pPr>
              <w:pStyle w:val="19"/>
              <w:keepNext w:val="0"/>
              <w:keepLines w:val="0"/>
              <w:pageBreakBefore w:val="0"/>
              <w:widowControl w:val="0"/>
              <w:numPr>
                <w:ilvl w:val="0"/>
                <w:numId w:val="2"/>
              </w:numPr>
              <w:kinsoku/>
              <w:wordWrap/>
              <w:overflowPunct/>
              <w:topLinePunct w:val="0"/>
              <w:autoSpaceDE w:val="0"/>
              <w:autoSpaceDN w:val="0"/>
              <w:bidi w:val="0"/>
              <w:adjustRightInd/>
              <w:snapToGrid/>
              <w:spacing w:before="0" w:after="0" w:line="440" w:lineRule="exact"/>
              <w:ind w:left="220" w:leftChars="100" w:right="220" w:rightChars="100" w:firstLine="480" w:firstLineChars="200"/>
              <w:jc w:val="both"/>
              <w:textAlignment w:val="auto"/>
              <w:rPr>
                <w:sz w:val="24"/>
                <w:highlight w:val="none"/>
              </w:rPr>
            </w:pPr>
            <w:r>
              <w:rPr>
                <w:sz w:val="24"/>
                <w:highlight w:val="none"/>
              </w:rPr>
              <w:t>由同一人或分别由几个有利害关系的人携带两个以上（含两个）磋商响应供应商的企业资料参与资格审查、领取采购资料，或代表两个以上（含两个</w:t>
            </w:r>
            <w:r>
              <w:rPr>
                <w:spacing w:val="-34"/>
                <w:sz w:val="24"/>
                <w:highlight w:val="none"/>
              </w:rPr>
              <w:t>）</w:t>
            </w:r>
            <w:r>
              <w:rPr>
                <w:spacing w:val="-5"/>
                <w:sz w:val="24"/>
                <w:highlight w:val="none"/>
              </w:rPr>
              <w:t>磋商响应供应商参加项目答疑会、交纳或退还磋商保证金、参加磋商的；</w:t>
            </w:r>
          </w:p>
          <w:p>
            <w:pPr>
              <w:pStyle w:val="19"/>
              <w:keepNext w:val="0"/>
              <w:keepLines w:val="0"/>
              <w:pageBreakBefore w:val="0"/>
              <w:widowControl w:val="0"/>
              <w:numPr>
                <w:ilvl w:val="0"/>
                <w:numId w:val="2"/>
              </w:numPr>
              <w:kinsoku/>
              <w:wordWrap/>
              <w:overflowPunct/>
              <w:topLinePunct w:val="0"/>
              <w:autoSpaceDE w:val="0"/>
              <w:autoSpaceDN w:val="0"/>
              <w:bidi w:val="0"/>
              <w:adjustRightInd/>
              <w:snapToGrid/>
              <w:spacing w:before="0" w:after="0" w:line="440" w:lineRule="exact"/>
              <w:ind w:left="220" w:leftChars="100" w:right="220" w:rightChars="100" w:firstLine="480" w:firstLineChars="200"/>
              <w:jc w:val="both"/>
              <w:textAlignment w:val="auto"/>
              <w:rPr>
                <w:sz w:val="24"/>
                <w:highlight w:val="none"/>
              </w:rPr>
            </w:pPr>
            <w:r>
              <w:rPr>
                <w:sz w:val="24"/>
                <w:highlight w:val="none"/>
              </w:rPr>
              <w:t>有关法律、法规或规章规定的其他串通行为。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42"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rFonts w:hint="eastAsia" w:ascii="宋体" w:hAnsi="宋体" w:eastAsia="宋体" w:cs="宋体"/>
                <w:sz w:val="28"/>
                <w:szCs w:val="28"/>
                <w:highlight w:val="none"/>
                <w:lang w:val="en-US" w:eastAsia="zh-CN"/>
              </w:rPr>
            </w:pPr>
            <w:r>
              <w:rPr>
                <w:rFonts w:hint="eastAsia" w:cs="宋体"/>
                <w:sz w:val="28"/>
                <w:szCs w:val="28"/>
                <w:highlight w:val="none"/>
                <w:lang w:val="en-US" w:eastAsia="zh-CN"/>
              </w:rPr>
              <w:t>2</w:t>
            </w:r>
          </w:p>
        </w:tc>
        <w:tc>
          <w:tcPr>
            <w:tcW w:w="8398"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both"/>
              <w:textAlignment w:val="auto"/>
              <w:rPr>
                <w:sz w:val="24"/>
                <w:highlight w:val="none"/>
              </w:rPr>
            </w:pPr>
            <w:r>
              <w:rPr>
                <w:sz w:val="24"/>
                <w:highlight w:val="none"/>
              </w:rPr>
              <w:t xml:space="preserve">响应文件有效期：响应文件提交截止之日起 </w:t>
            </w:r>
            <w:r>
              <w:rPr>
                <w:rFonts w:ascii="Times New Roman" w:eastAsia="Times New Roman"/>
                <w:sz w:val="24"/>
                <w:highlight w:val="none"/>
              </w:rPr>
              <w:t xml:space="preserve">60 </w:t>
            </w:r>
            <w:r>
              <w:rPr>
                <w:sz w:val="24"/>
                <w:highlight w:val="none"/>
              </w:rPr>
              <w:t>日历天。有效期不足将导致其响应文件被拒绝。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942"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rFonts w:hint="eastAsia" w:ascii="宋体" w:hAnsi="宋体" w:eastAsia="宋体" w:cs="宋体"/>
                <w:sz w:val="28"/>
                <w:szCs w:val="28"/>
                <w:highlight w:val="none"/>
                <w:lang w:eastAsia="zh-CN"/>
              </w:rPr>
            </w:pPr>
            <w:r>
              <w:rPr>
                <w:rFonts w:hint="eastAsia" w:cs="宋体"/>
                <w:sz w:val="28"/>
                <w:szCs w:val="28"/>
                <w:highlight w:val="none"/>
                <w:lang w:val="en-US" w:eastAsia="zh-CN"/>
              </w:rPr>
              <w:t>3</w:t>
            </w:r>
          </w:p>
        </w:tc>
        <w:tc>
          <w:tcPr>
            <w:tcW w:w="8398"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both"/>
              <w:textAlignment w:val="auto"/>
              <w:rPr>
                <w:sz w:val="24"/>
                <w:highlight w:val="none"/>
              </w:rPr>
            </w:pPr>
            <w:r>
              <w:rPr>
                <w:sz w:val="24"/>
                <w:highlight w:val="none"/>
              </w:rPr>
              <w:t>未按规定提交磋商保证金，将被视为未响应磋商文件要求，取消其磋商资格。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0" w:hRule="atLeast"/>
        </w:trPr>
        <w:tc>
          <w:tcPr>
            <w:tcW w:w="942"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rFonts w:hint="eastAsia" w:ascii="宋体" w:hAnsi="宋体" w:eastAsia="宋体" w:cs="宋体"/>
                <w:sz w:val="28"/>
                <w:szCs w:val="28"/>
                <w:highlight w:val="none"/>
                <w:lang w:eastAsia="zh-CN"/>
              </w:rPr>
            </w:pPr>
            <w:r>
              <w:rPr>
                <w:rFonts w:hint="eastAsia" w:cs="宋体"/>
                <w:sz w:val="28"/>
                <w:szCs w:val="28"/>
                <w:highlight w:val="none"/>
                <w:lang w:val="en-US" w:eastAsia="zh-CN"/>
              </w:rPr>
              <w:t>4</w:t>
            </w:r>
          </w:p>
        </w:tc>
        <w:tc>
          <w:tcPr>
            <w:tcW w:w="8398"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both"/>
              <w:textAlignment w:val="auto"/>
              <w:rPr>
                <w:sz w:val="24"/>
                <w:highlight w:val="none"/>
              </w:rPr>
            </w:pPr>
            <w:r>
              <w:rPr>
                <w:sz w:val="24"/>
                <w:highlight w:val="none"/>
              </w:rPr>
              <w:t>实质性偏离是指：</w:t>
            </w:r>
          </w:p>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both"/>
              <w:textAlignment w:val="auto"/>
              <w:rPr>
                <w:sz w:val="24"/>
                <w:highlight w:val="none"/>
              </w:rPr>
            </w:pPr>
            <w:r>
              <w:rPr>
                <w:sz w:val="24"/>
                <w:highlight w:val="none"/>
              </w:rPr>
              <w:t>（1）实质性影响合同的范围、质量和履行；</w:t>
            </w:r>
          </w:p>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both"/>
              <w:textAlignment w:val="auto"/>
              <w:rPr>
                <w:sz w:val="24"/>
                <w:highlight w:val="none"/>
              </w:rPr>
            </w:pPr>
            <w:r>
              <w:rPr>
                <w:spacing w:val="-16"/>
                <w:sz w:val="24"/>
                <w:highlight w:val="none"/>
              </w:rPr>
              <w:t>（2）</w:t>
            </w:r>
            <w:r>
              <w:rPr>
                <w:spacing w:val="-6"/>
                <w:sz w:val="24"/>
                <w:highlight w:val="none"/>
              </w:rPr>
              <w:t>实质性违背磋商文件，限制了采购人的权利和成交供应商合同项下的义务；</w:t>
            </w:r>
          </w:p>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both"/>
              <w:textAlignment w:val="auto"/>
              <w:rPr>
                <w:sz w:val="24"/>
                <w:highlight w:val="none"/>
              </w:rPr>
            </w:pPr>
            <w:r>
              <w:rPr>
                <w:sz w:val="24"/>
                <w:highlight w:val="none"/>
              </w:rPr>
              <w:t>（3）不公正地影响了其他作出实质性响应的磋商供应商的竞 争地位。对没有实质性响应的磋商文件将不进行评审，其报价将被拒绝。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0" w:hRule="atLeast"/>
        </w:trPr>
        <w:tc>
          <w:tcPr>
            <w:tcW w:w="942"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rFonts w:hint="eastAsia" w:ascii="宋体" w:hAnsi="宋体" w:eastAsia="宋体" w:cs="宋体"/>
                <w:sz w:val="28"/>
                <w:szCs w:val="28"/>
                <w:highlight w:val="none"/>
                <w:lang w:eastAsia="zh-CN"/>
              </w:rPr>
            </w:pPr>
            <w:r>
              <w:rPr>
                <w:rFonts w:hint="eastAsia" w:cs="宋体"/>
                <w:w w:val="99"/>
                <w:sz w:val="28"/>
                <w:szCs w:val="28"/>
                <w:highlight w:val="none"/>
                <w:lang w:val="en-US" w:eastAsia="zh-CN"/>
              </w:rPr>
              <w:t>5</w:t>
            </w:r>
          </w:p>
        </w:tc>
        <w:tc>
          <w:tcPr>
            <w:tcW w:w="8398"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both"/>
              <w:textAlignment w:val="auto"/>
              <w:rPr>
                <w:sz w:val="24"/>
                <w:highlight w:val="none"/>
              </w:rPr>
            </w:pPr>
            <w:r>
              <w:rPr>
                <w:sz w:val="24"/>
                <w:highlight w:val="none"/>
              </w:rPr>
              <w:t>凡有下列情况之一者，响应文件也将被视为未实质性响应磋商文件要求：</w:t>
            </w:r>
          </w:p>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right="220" w:rightChars="100"/>
              <w:jc w:val="both"/>
              <w:textAlignment w:val="auto"/>
              <w:rPr>
                <w:spacing w:val="-4"/>
                <w:sz w:val="24"/>
                <w:highlight w:val="none"/>
              </w:rPr>
            </w:pPr>
            <w:r>
              <w:rPr>
                <w:spacing w:val="-4"/>
                <w:sz w:val="24"/>
                <w:highlight w:val="none"/>
              </w:rPr>
              <w:t>(</w:t>
            </w:r>
            <w:r>
              <w:rPr>
                <w:rFonts w:hint="eastAsia"/>
                <w:spacing w:val="-4"/>
                <w:sz w:val="24"/>
                <w:highlight w:val="none"/>
                <w:lang w:val="en-US" w:eastAsia="zh-CN"/>
              </w:rPr>
              <w:t>1</w:t>
            </w:r>
            <w:r>
              <w:rPr>
                <w:spacing w:val="-4"/>
                <w:sz w:val="24"/>
                <w:highlight w:val="none"/>
              </w:rPr>
              <w:t>)响应文件未按照本须知规定进行密封、标记的；</w:t>
            </w:r>
          </w:p>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right="220" w:rightChars="100"/>
              <w:jc w:val="both"/>
              <w:textAlignment w:val="auto"/>
              <w:rPr>
                <w:spacing w:val="-4"/>
                <w:sz w:val="24"/>
                <w:highlight w:val="none"/>
              </w:rPr>
            </w:pPr>
            <w:r>
              <w:rPr>
                <w:spacing w:val="-4"/>
                <w:sz w:val="24"/>
                <w:highlight w:val="none"/>
              </w:rPr>
              <w:t>(2)未按规定由磋商响应供应商的法定代表人或其授权代表签字；或未加盖公章的；或授权代表未提供法定代表人有效授权委托书的；</w:t>
            </w:r>
          </w:p>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right="220" w:rightChars="100"/>
              <w:jc w:val="both"/>
              <w:textAlignment w:val="auto"/>
              <w:rPr>
                <w:spacing w:val="-4"/>
                <w:sz w:val="24"/>
                <w:highlight w:val="none"/>
              </w:rPr>
            </w:pPr>
            <w:r>
              <w:rPr>
                <w:spacing w:val="-4"/>
                <w:sz w:val="24"/>
                <w:highlight w:val="none"/>
              </w:rPr>
              <w:t>(3)磋商保证金未在磋商响应截止时间前到账的；</w:t>
            </w:r>
          </w:p>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right="220" w:rightChars="100"/>
              <w:jc w:val="both"/>
              <w:textAlignment w:val="auto"/>
              <w:rPr>
                <w:spacing w:val="-4"/>
                <w:sz w:val="24"/>
                <w:highlight w:val="none"/>
              </w:rPr>
            </w:pPr>
            <w:r>
              <w:rPr>
                <w:spacing w:val="-4"/>
                <w:sz w:val="24"/>
                <w:highlight w:val="none"/>
              </w:rPr>
              <w:t>(4)响应文件有效期不满足磋商文件要求的；</w:t>
            </w:r>
          </w:p>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right="220" w:rightChars="100"/>
              <w:jc w:val="both"/>
              <w:textAlignment w:val="auto"/>
              <w:rPr>
                <w:spacing w:val="-4"/>
                <w:sz w:val="24"/>
                <w:highlight w:val="none"/>
              </w:rPr>
            </w:pPr>
            <w:r>
              <w:rPr>
                <w:spacing w:val="-4"/>
                <w:sz w:val="24"/>
                <w:highlight w:val="none"/>
              </w:rPr>
              <w:t>(5)响应文件内容与采购内容及要求有重大偏离或保留的；</w:t>
            </w:r>
          </w:p>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right="220" w:rightChars="100"/>
              <w:jc w:val="both"/>
              <w:textAlignment w:val="auto"/>
              <w:rPr>
                <w:spacing w:val="-4"/>
                <w:sz w:val="24"/>
                <w:highlight w:val="none"/>
              </w:rPr>
            </w:pPr>
            <w:r>
              <w:rPr>
                <w:spacing w:val="-4"/>
                <w:sz w:val="24"/>
                <w:highlight w:val="none"/>
              </w:rPr>
              <w:t>(6)响应供应商提交的是可选择的报价；</w:t>
            </w:r>
          </w:p>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right="220" w:rightChars="100"/>
              <w:jc w:val="both"/>
              <w:textAlignment w:val="auto"/>
              <w:rPr>
                <w:spacing w:val="-4"/>
                <w:sz w:val="24"/>
                <w:highlight w:val="none"/>
              </w:rPr>
            </w:pPr>
            <w:r>
              <w:rPr>
                <w:spacing w:val="-4"/>
                <w:sz w:val="24"/>
                <w:highlight w:val="none"/>
              </w:rPr>
              <w:t>(7)响应供应商未按磋商文件要求进行分项报价；</w:t>
            </w:r>
          </w:p>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right="220" w:rightChars="100"/>
              <w:jc w:val="both"/>
              <w:textAlignment w:val="auto"/>
              <w:rPr>
                <w:spacing w:val="-4"/>
                <w:sz w:val="24"/>
                <w:highlight w:val="none"/>
              </w:rPr>
            </w:pPr>
            <w:r>
              <w:rPr>
                <w:spacing w:val="-4"/>
                <w:sz w:val="24"/>
                <w:highlight w:val="none"/>
              </w:rPr>
              <w:t>(8)响应文件中提供虚假或失实资料的；</w:t>
            </w:r>
          </w:p>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right="220" w:rightChars="100"/>
              <w:jc w:val="both"/>
              <w:textAlignment w:val="auto"/>
              <w:rPr>
                <w:spacing w:val="-4"/>
                <w:sz w:val="24"/>
                <w:highlight w:val="none"/>
              </w:rPr>
            </w:pPr>
            <w:r>
              <w:rPr>
                <w:spacing w:val="-4"/>
                <w:sz w:val="24"/>
                <w:highlight w:val="none"/>
              </w:rPr>
              <w:t>(9)不符合磋商文件中规定的其它实质性条款。</w:t>
            </w:r>
          </w:p>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right="220" w:rightChars="100"/>
              <w:jc w:val="both"/>
              <w:textAlignment w:val="auto"/>
              <w:rPr>
                <w:sz w:val="24"/>
                <w:highlight w:val="none"/>
              </w:rPr>
            </w:pPr>
            <w:r>
              <w:rPr>
                <w:spacing w:val="-4"/>
                <w:sz w:val="24"/>
                <w:highlight w:val="none"/>
              </w:rPr>
              <w:t>磋商小组决定磋商响应供应商的响应性只根据响应文件本身的内容，而不寻求其他的外部证据。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942"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rFonts w:hint="eastAsia" w:ascii="宋体" w:hAnsi="宋体" w:eastAsia="宋体" w:cs="宋体"/>
                <w:sz w:val="28"/>
                <w:szCs w:val="28"/>
                <w:highlight w:val="none"/>
                <w:lang w:eastAsia="zh-CN"/>
              </w:rPr>
            </w:pPr>
            <w:r>
              <w:rPr>
                <w:rFonts w:hint="eastAsia" w:cs="宋体"/>
                <w:w w:val="99"/>
                <w:sz w:val="28"/>
                <w:szCs w:val="28"/>
                <w:highlight w:val="none"/>
                <w:lang w:val="en-US" w:eastAsia="zh-CN"/>
              </w:rPr>
              <w:t>6</w:t>
            </w:r>
          </w:p>
        </w:tc>
        <w:tc>
          <w:tcPr>
            <w:tcW w:w="8398" w:type="dxa"/>
          </w:tcPr>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firstLine="480"/>
              <w:jc w:val="both"/>
              <w:textAlignment w:val="auto"/>
              <w:rPr>
                <w:sz w:val="24"/>
                <w:highlight w:val="none"/>
              </w:rPr>
            </w:pPr>
            <w:r>
              <w:rPr>
                <w:sz w:val="24"/>
                <w:highlight w:val="none"/>
              </w:rPr>
              <w:t>若磋商供应商的报价明显低于其他报价，使得其报价可能低于其个别成本的，有可能影响商品质量或不能诚信履约的，磋商供应商应按磋商小组要求作出书面说明并提供相关证明材料，不能合理说明或不能提供相关证明材料的， 可作无效报价处理。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42"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rFonts w:hint="eastAsia" w:ascii="宋体" w:hAnsi="宋体" w:eastAsia="宋体" w:cs="宋体"/>
                <w:sz w:val="28"/>
                <w:szCs w:val="28"/>
                <w:highlight w:val="none"/>
                <w:lang w:eastAsia="zh-CN"/>
              </w:rPr>
            </w:pPr>
            <w:r>
              <w:rPr>
                <w:rFonts w:hint="eastAsia" w:cs="宋体"/>
                <w:w w:val="99"/>
                <w:sz w:val="28"/>
                <w:szCs w:val="28"/>
                <w:highlight w:val="none"/>
                <w:lang w:val="en-US" w:eastAsia="zh-CN"/>
              </w:rPr>
              <w:t>7</w:t>
            </w:r>
          </w:p>
        </w:tc>
        <w:tc>
          <w:tcPr>
            <w:tcW w:w="8398" w:type="dxa"/>
          </w:tcPr>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firstLine="480"/>
              <w:jc w:val="both"/>
              <w:textAlignment w:val="auto"/>
              <w:rPr>
                <w:sz w:val="24"/>
                <w:highlight w:val="none"/>
              </w:rPr>
            </w:pPr>
            <w:r>
              <w:rPr>
                <w:sz w:val="24"/>
                <w:highlight w:val="none"/>
              </w:rPr>
              <w:t>磋商小组将对磋商文件中列明的合格磋商方应符合“资格性要求”部分做资格审查，没有提供相关证明文件或文件未按规定签署盖章者以无效磋商论。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942"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rFonts w:hint="eastAsia" w:ascii="宋体" w:hAnsi="宋体" w:eastAsia="宋体" w:cs="宋体"/>
                <w:sz w:val="28"/>
                <w:szCs w:val="28"/>
                <w:highlight w:val="none"/>
                <w:lang w:eastAsia="zh-CN"/>
              </w:rPr>
            </w:pPr>
            <w:r>
              <w:rPr>
                <w:rFonts w:hint="eastAsia" w:cs="宋体"/>
                <w:w w:val="99"/>
                <w:sz w:val="28"/>
                <w:szCs w:val="28"/>
                <w:highlight w:val="none"/>
                <w:lang w:val="en-US" w:eastAsia="zh-CN"/>
              </w:rPr>
              <w:t>8</w:t>
            </w:r>
          </w:p>
        </w:tc>
        <w:tc>
          <w:tcPr>
            <w:tcW w:w="8398" w:type="dxa"/>
          </w:tcPr>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right="220" w:rightChars="100" w:firstLine="458" w:firstLineChars="200"/>
              <w:jc w:val="both"/>
              <w:textAlignment w:val="auto"/>
              <w:rPr>
                <w:b/>
                <w:sz w:val="24"/>
                <w:highlight w:val="none"/>
              </w:rPr>
            </w:pPr>
            <w:r>
              <w:rPr>
                <w:b/>
                <w:w w:val="95"/>
                <w:sz w:val="24"/>
                <w:highlight w:val="none"/>
              </w:rPr>
              <w:t>全文中带有“</w:t>
            </w:r>
            <w:r>
              <w:rPr>
                <w:rFonts w:ascii="Segoe Print" w:hAnsi="Segoe Print" w:eastAsia="Segoe Print"/>
                <w:b/>
                <w:w w:val="95"/>
                <w:sz w:val="24"/>
                <w:highlight w:val="none"/>
              </w:rPr>
              <w:t>*</w:t>
            </w:r>
            <w:r>
              <w:rPr>
                <w:b/>
                <w:w w:val="95"/>
                <w:sz w:val="24"/>
                <w:highlight w:val="none"/>
              </w:rPr>
              <w:t>”的条款为关键性条款，如磋商供应商对这些关键性条款还存在任何负偏离或不满足将导致报价无效。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942"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440" w:lineRule="exact"/>
              <w:ind w:left="220" w:leftChars="100" w:right="220" w:rightChars="100"/>
              <w:jc w:val="center"/>
              <w:textAlignment w:val="auto"/>
              <w:rPr>
                <w:rFonts w:hint="eastAsia" w:ascii="宋体" w:hAnsi="宋体" w:eastAsia="宋体" w:cs="宋体"/>
                <w:sz w:val="28"/>
                <w:szCs w:val="28"/>
                <w:highlight w:val="none"/>
                <w:lang w:eastAsia="zh-CN"/>
              </w:rPr>
            </w:pPr>
            <w:r>
              <w:rPr>
                <w:rFonts w:hint="eastAsia" w:cs="宋体"/>
                <w:sz w:val="28"/>
                <w:szCs w:val="28"/>
                <w:highlight w:val="none"/>
                <w:lang w:val="en-US" w:eastAsia="zh-CN"/>
              </w:rPr>
              <w:t>9</w:t>
            </w:r>
          </w:p>
        </w:tc>
        <w:tc>
          <w:tcPr>
            <w:tcW w:w="8398" w:type="dxa"/>
          </w:tcPr>
          <w:p>
            <w:pPr>
              <w:pStyle w:val="19"/>
              <w:tabs>
                <w:tab w:val="left" w:pos="2140"/>
                <w:tab w:val="left" w:pos="3700"/>
                <w:tab w:val="left" w:pos="6100"/>
              </w:tabs>
              <w:spacing w:line="305" w:lineRule="auto"/>
              <w:ind w:firstLine="480" w:firstLineChars="200"/>
              <w:rPr>
                <w:sz w:val="24"/>
                <w:highlight w:val="none"/>
              </w:rPr>
            </w:pPr>
            <w:r>
              <w:rPr>
                <w:b w:val="0"/>
                <w:bCs w:val="0"/>
                <w:sz w:val="24"/>
                <w:highlight w:val="none"/>
              </w:rPr>
              <w:t>供应商应响应文件份数：</w:t>
            </w:r>
            <w:r>
              <w:rPr>
                <w:rFonts w:hint="eastAsia"/>
                <w:b w:val="0"/>
                <w:bCs w:val="0"/>
                <w:sz w:val="24"/>
                <w:highlight w:val="none"/>
              </w:rPr>
              <w:t>加密的电子投标文件</w:t>
            </w:r>
            <w:r>
              <w:rPr>
                <w:b w:val="0"/>
                <w:bCs w:val="0"/>
                <w:sz w:val="24"/>
                <w:highlight w:val="none"/>
                <w:u w:val="single"/>
              </w:rPr>
              <w:t xml:space="preserve"> </w:t>
            </w:r>
            <w:r>
              <w:rPr>
                <w:rFonts w:hint="eastAsia"/>
                <w:b w:val="0"/>
                <w:bCs w:val="0"/>
                <w:sz w:val="24"/>
                <w:highlight w:val="none"/>
                <w:u w:val="single"/>
              </w:rPr>
              <w:t>1</w:t>
            </w:r>
            <w:r>
              <w:rPr>
                <w:b w:val="0"/>
                <w:bCs w:val="0"/>
                <w:sz w:val="24"/>
                <w:highlight w:val="none"/>
                <w:u w:val="single"/>
              </w:rPr>
              <w:t xml:space="preserve"> </w:t>
            </w:r>
            <w:r>
              <w:rPr>
                <w:b w:val="0"/>
                <w:bCs w:val="0"/>
                <w:sz w:val="24"/>
                <w:highlight w:val="none"/>
              </w:rPr>
              <w:t>份</w:t>
            </w:r>
            <w:r>
              <w:rPr>
                <w:rFonts w:hint="eastAsia"/>
                <w:b w:val="0"/>
                <w:bCs w:val="0"/>
                <w:sz w:val="24"/>
                <w:highlight w:val="none"/>
              </w:rPr>
              <w:t>（T</w:t>
            </w:r>
            <w:r>
              <w:rPr>
                <w:b w:val="0"/>
                <w:bCs w:val="0"/>
                <w:sz w:val="24"/>
                <w:highlight w:val="none"/>
              </w:rPr>
              <w:t>RTF</w:t>
            </w:r>
            <w:r>
              <w:rPr>
                <w:rFonts w:hint="eastAsia"/>
                <w:b w:val="0"/>
                <w:bCs w:val="0"/>
                <w:sz w:val="24"/>
                <w:highlight w:val="none"/>
              </w:rPr>
              <w:t>格式文件，在全国公共资源交易平台（贵州省·铜仁市）（jyzx.trs.gov.cn）指定位置上传）</w:t>
            </w:r>
            <w:r>
              <w:rPr>
                <w:rFonts w:hint="eastAsia"/>
                <w:b w:val="0"/>
                <w:bCs w:val="0"/>
                <w:sz w:val="24"/>
                <w:highlight w:val="none"/>
                <w:lang w:eastAsia="zh-CN"/>
              </w:rPr>
              <w:t>；</w:t>
            </w:r>
            <w:r>
              <w:rPr>
                <w:rFonts w:hint="eastAsia"/>
                <w:b w:val="0"/>
                <w:bCs w:val="0"/>
                <w:sz w:val="24"/>
                <w:highlight w:val="none"/>
              </w:rPr>
              <w:t>纸质投标文件：</w:t>
            </w:r>
            <w:r>
              <w:rPr>
                <w:b w:val="0"/>
                <w:bCs w:val="0"/>
                <w:sz w:val="24"/>
                <w:highlight w:val="none"/>
              </w:rPr>
              <w:t>响应文件正本</w:t>
            </w:r>
            <w:r>
              <w:rPr>
                <w:b w:val="0"/>
                <w:bCs w:val="0"/>
                <w:sz w:val="24"/>
                <w:highlight w:val="none"/>
                <w:u w:val="single"/>
              </w:rPr>
              <w:t xml:space="preserve">  </w:t>
            </w:r>
            <w:r>
              <w:rPr>
                <w:rFonts w:hint="eastAsia"/>
                <w:b w:val="0"/>
                <w:bCs w:val="0"/>
                <w:sz w:val="24"/>
                <w:highlight w:val="none"/>
                <w:u w:val="single"/>
              </w:rPr>
              <w:t>1</w:t>
            </w:r>
            <w:r>
              <w:rPr>
                <w:b w:val="0"/>
                <w:bCs w:val="0"/>
                <w:sz w:val="24"/>
                <w:highlight w:val="none"/>
                <w:u w:val="single"/>
              </w:rPr>
              <w:t xml:space="preserve"> </w:t>
            </w:r>
            <w:r>
              <w:rPr>
                <w:b w:val="0"/>
                <w:bCs w:val="0"/>
                <w:sz w:val="24"/>
                <w:highlight w:val="none"/>
              </w:rPr>
              <w:t>份，副本</w:t>
            </w:r>
            <w:r>
              <w:rPr>
                <w:b w:val="0"/>
                <w:bCs w:val="0"/>
                <w:spacing w:val="118"/>
                <w:sz w:val="24"/>
                <w:highlight w:val="none"/>
                <w:u w:val="single"/>
              </w:rPr>
              <w:t xml:space="preserve"> </w:t>
            </w:r>
            <w:r>
              <w:rPr>
                <w:rFonts w:hint="eastAsia"/>
                <w:b w:val="0"/>
                <w:bCs w:val="0"/>
                <w:sz w:val="24"/>
                <w:highlight w:val="none"/>
                <w:u w:val="single"/>
              </w:rPr>
              <w:t xml:space="preserve">3  </w:t>
            </w:r>
            <w:r>
              <w:rPr>
                <w:b w:val="0"/>
                <w:bCs w:val="0"/>
                <w:sz w:val="24"/>
                <w:highlight w:val="none"/>
              </w:rPr>
              <w:t>份,</w:t>
            </w:r>
            <w:r>
              <w:rPr>
                <w:rFonts w:hint="eastAsia"/>
                <w:b w:val="0"/>
                <w:bCs w:val="0"/>
                <w:sz w:val="24"/>
                <w:highlight w:val="none"/>
              </w:rPr>
              <w:t xml:space="preserve"> 非加密的电子投标文件（.n</w:t>
            </w:r>
            <w:r>
              <w:rPr>
                <w:b w:val="0"/>
                <w:bCs w:val="0"/>
                <w:sz w:val="24"/>
                <w:highlight w:val="none"/>
              </w:rPr>
              <w:t xml:space="preserve"> TRTF</w:t>
            </w:r>
            <w:r>
              <w:rPr>
                <w:rFonts w:hint="eastAsia"/>
                <w:b w:val="0"/>
                <w:bCs w:val="0"/>
                <w:sz w:val="24"/>
                <w:highlight w:val="none"/>
              </w:rPr>
              <w:t>格式）</w:t>
            </w:r>
            <w:r>
              <w:rPr>
                <w:b w:val="0"/>
                <w:bCs w:val="0"/>
                <w:sz w:val="24"/>
              </w:rPr>
              <w:t>U</w:t>
            </w:r>
            <w:r>
              <w:rPr>
                <w:b w:val="0"/>
                <w:bCs w:val="0"/>
                <w:spacing w:val="-61"/>
                <w:sz w:val="24"/>
              </w:rPr>
              <w:t xml:space="preserve"> </w:t>
            </w:r>
            <w:r>
              <w:rPr>
                <w:b w:val="0"/>
                <w:bCs w:val="0"/>
                <w:sz w:val="24"/>
              </w:rPr>
              <w:t>盘文件</w:t>
            </w:r>
            <w:r>
              <w:rPr>
                <w:b w:val="0"/>
                <w:bCs w:val="0"/>
                <w:sz w:val="24"/>
                <w:u w:val="single"/>
              </w:rPr>
              <w:t>1</w:t>
            </w:r>
            <w:r>
              <w:rPr>
                <w:b w:val="0"/>
                <w:bCs w:val="0"/>
                <w:sz w:val="24"/>
              </w:rPr>
              <w:t>份</w:t>
            </w:r>
            <w:r>
              <w:rPr>
                <w:rFonts w:hint="eastAsia"/>
                <w:b w:val="0"/>
                <w:bCs w:val="0"/>
                <w:sz w:val="24"/>
              </w:rPr>
              <w:t>；</w:t>
            </w:r>
            <w:r>
              <w:rPr>
                <w:b w:val="0"/>
                <w:bCs w:val="0"/>
                <w:sz w:val="24"/>
                <w:highlight w:val="none"/>
              </w:rPr>
              <w:t>响应文件包装、密封、盖章：正本和副本用一个密封袋包装，</w:t>
            </w:r>
            <w:r>
              <w:rPr>
                <w:rFonts w:hint="eastAsia"/>
                <w:b w:val="0"/>
                <w:bCs w:val="0"/>
                <w:sz w:val="24"/>
                <w:highlight w:val="none"/>
                <w:lang w:eastAsia="zh-CN"/>
              </w:rPr>
              <w:t>按</w:t>
            </w:r>
            <w:r>
              <w:rPr>
                <w:b w:val="0"/>
                <w:bCs w:val="0"/>
                <w:sz w:val="24"/>
                <w:highlight w:val="none"/>
              </w:rPr>
              <w:t>第</w:t>
            </w:r>
            <w:r>
              <w:rPr>
                <w:rFonts w:hint="eastAsia"/>
                <w:b w:val="0"/>
                <w:bCs w:val="0"/>
                <w:sz w:val="24"/>
                <w:highlight w:val="none"/>
                <w:lang w:val="en-US" w:eastAsia="zh-CN"/>
              </w:rPr>
              <w:t xml:space="preserve">六章 </w:t>
            </w:r>
            <w:r>
              <w:rPr>
                <w:b w:val="0"/>
                <w:bCs w:val="0"/>
                <w:sz w:val="24"/>
                <w:highlight w:val="none"/>
              </w:rPr>
              <w:t>投标文件（格式）包装；封口处加盖供应商单位公章及法定代表人印章，响应文件未按要求提供的可导致其磋商文件被拒绝。</w:t>
            </w:r>
          </w:p>
        </w:tc>
      </w:tr>
    </w:tbl>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0"/>
          <w:highlight w:val="none"/>
        </w:rPr>
      </w:pPr>
    </w:p>
    <w:p>
      <w:pPr>
        <w:pStyle w:val="5"/>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磋商供应商须知前附表 3：磋商规则、评审标准</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0"/>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86" w:type="dxa"/>
          </w:tcPr>
          <w:p>
            <w:pPr>
              <w:keepNext w:val="0"/>
              <w:keepLines w:val="0"/>
              <w:pageBreakBefore w:val="0"/>
              <w:widowControl w:val="0"/>
              <w:kinsoku/>
              <w:wordWrap/>
              <w:overflowPunct/>
              <w:topLinePunct w:val="0"/>
              <w:autoSpaceDE w:val="0"/>
              <w:autoSpaceDN w:val="0"/>
              <w:bidi w:val="0"/>
              <w:adjustRightInd/>
              <w:snapToGrid/>
              <w:spacing w:before="0" w:line="500" w:lineRule="exact"/>
              <w:ind w:left="103" w:right="0" w:firstLine="0"/>
              <w:jc w:val="left"/>
              <w:textAlignment w:val="auto"/>
              <w:rPr>
                <w:b/>
                <w:sz w:val="24"/>
                <w:highlight w:val="none"/>
              </w:rPr>
            </w:pPr>
            <w:r>
              <w:rPr>
                <w:b/>
                <w:w w:val="95"/>
                <w:sz w:val="24"/>
                <w:highlight w:val="none"/>
              </w:rPr>
              <w:t>一、磋商规则（参考）</w:t>
            </w:r>
          </w:p>
          <w:p>
            <w:pPr>
              <w:pStyle w:val="9"/>
              <w:keepNext w:val="0"/>
              <w:keepLines w:val="0"/>
              <w:pageBreakBefore w:val="0"/>
              <w:widowControl w:val="0"/>
              <w:kinsoku/>
              <w:wordWrap/>
              <w:overflowPunct/>
              <w:topLinePunct w:val="0"/>
              <w:autoSpaceDE w:val="0"/>
              <w:autoSpaceDN w:val="0"/>
              <w:bidi w:val="0"/>
              <w:adjustRightInd/>
              <w:snapToGrid/>
              <w:spacing w:before="2" w:line="500" w:lineRule="exact"/>
              <w:ind w:left="103" w:right="101" w:firstLine="480"/>
              <w:jc w:val="both"/>
              <w:textAlignment w:val="auto"/>
              <w:rPr>
                <w:highlight w:val="none"/>
              </w:rPr>
            </w:pPr>
            <w:r>
              <w:rPr>
                <w:highlight w:val="none"/>
              </w:rPr>
              <w:t>1.</w:t>
            </w:r>
            <w:r>
              <w:rPr>
                <w:spacing w:val="-5"/>
                <w:highlight w:val="none"/>
              </w:rPr>
              <w:t>采购代理机构按有关规定编制磋商文件，组建磋商小组。供应商按照磋商文件规定提交响应文件。</w:t>
            </w:r>
          </w:p>
          <w:p>
            <w:pPr>
              <w:pStyle w:val="9"/>
              <w:keepNext w:val="0"/>
              <w:keepLines w:val="0"/>
              <w:pageBreakBefore w:val="0"/>
              <w:widowControl w:val="0"/>
              <w:kinsoku/>
              <w:wordWrap/>
              <w:overflowPunct/>
              <w:topLinePunct w:val="0"/>
              <w:autoSpaceDE w:val="0"/>
              <w:autoSpaceDN w:val="0"/>
              <w:bidi w:val="0"/>
              <w:adjustRightInd/>
              <w:snapToGrid/>
              <w:spacing w:before="1" w:line="500" w:lineRule="exact"/>
              <w:ind w:left="103" w:leftChars="0" w:right="101" w:firstLine="337" w:firstLineChars="0"/>
              <w:jc w:val="both"/>
              <w:textAlignment w:val="auto"/>
              <w:rPr>
                <w:highlight w:val="none"/>
              </w:rPr>
            </w:pPr>
            <w:r>
              <w:rPr>
                <w:highlight w:val="none"/>
              </w:rPr>
              <w:t>2.</w:t>
            </w:r>
            <w:r>
              <w:rPr>
                <w:spacing w:val="-4"/>
                <w:highlight w:val="none"/>
              </w:rPr>
              <w:t>磋商小组审对磋商响应供应商进行资格性和符合性审查，磋商响应供应商不符合资格性及符合性条款和“*”条款要求，不进入磋商程序；磋商小组在对</w:t>
            </w:r>
            <w:r>
              <w:rPr>
                <w:spacing w:val="-11"/>
                <w:highlight w:val="none"/>
              </w:rPr>
              <w:t>响应文件的有效性、完整性和响应程度进行审查时，可以要求磋商响应供应商对</w:t>
            </w:r>
            <w:r>
              <w:rPr>
                <w:spacing w:val="-15"/>
                <w:highlight w:val="none"/>
              </w:rPr>
              <w:t>响应文件中含义不明确、同类问题表述不一致或者有明显文字和计算错误的内容等作出必要的澄清、说明或者更正。磋商响应供应商需以书面形式作出澄清、说</w:t>
            </w:r>
            <w:r>
              <w:rPr>
                <w:spacing w:val="-14"/>
                <w:highlight w:val="none"/>
              </w:rPr>
              <w:t>明或者更正，但澄清、说明或者更正不得超出响应文件的范围或者改变响应文件的实质性内容，同时也不接受磋商响应供应商主动澄清。符合实质性响应要求的磋商响应供应商进入磋商程序。</w:t>
            </w:r>
          </w:p>
          <w:p>
            <w:pPr>
              <w:pStyle w:val="9"/>
              <w:keepNext w:val="0"/>
              <w:keepLines w:val="0"/>
              <w:pageBreakBefore w:val="0"/>
              <w:widowControl w:val="0"/>
              <w:kinsoku/>
              <w:wordWrap/>
              <w:overflowPunct/>
              <w:topLinePunct w:val="0"/>
              <w:autoSpaceDE w:val="0"/>
              <w:autoSpaceDN w:val="0"/>
              <w:bidi w:val="0"/>
              <w:adjustRightInd/>
              <w:snapToGrid/>
              <w:spacing w:before="1" w:line="500" w:lineRule="exact"/>
              <w:ind w:left="103" w:leftChars="0" w:right="132" w:firstLine="337" w:firstLineChars="0"/>
              <w:jc w:val="both"/>
              <w:textAlignment w:val="auto"/>
              <w:rPr>
                <w:highlight w:val="none"/>
              </w:rPr>
            </w:pPr>
            <w:r>
              <w:rPr>
                <w:highlight w:val="none"/>
              </w:rPr>
              <w:t>3.磋商小组所有成员应当集中与单一磋商响应供应商分别进行磋商，磋商顺序采用随机抽取的方法确认。</w:t>
            </w:r>
          </w:p>
          <w:p>
            <w:pPr>
              <w:pStyle w:val="9"/>
              <w:keepNext w:val="0"/>
              <w:keepLines w:val="0"/>
              <w:pageBreakBefore w:val="0"/>
              <w:widowControl w:val="0"/>
              <w:kinsoku/>
              <w:wordWrap/>
              <w:overflowPunct/>
              <w:topLinePunct w:val="0"/>
              <w:autoSpaceDE w:val="0"/>
              <w:autoSpaceDN w:val="0"/>
              <w:bidi w:val="0"/>
              <w:adjustRightInd/>
              <w:snapToGrid/>
              <w:spacing w:before="1" w:line="500" w:lineRule="exact"/>
              <w:ind w:left="103" w:leftChars="0" w:right="101" w:firstLine="337" w:firstLineChars="0"/>
              <w:jc w:val="both"/>
              <w:textAlignment w:val="auto"/>
              <w:rPr>
                <w:highlight w:val="none"/>
              </w:rPr>
            </w:pPr>
            <w:r>
              <w:rPr>
                <w:highlight w:val="none"/>
              </w:rPr>
              <w:t>4.</w:t>
            </w:r>
            <w:r>
              <w:rPr>
                <w:spacing w:val="-4"/>
                <w:highlight w:val="none"/>
              </w:rPr>
              <w:t>磋商小组对磋商文件和响应文件提出重点的磋商内容，根据磋商文件及有关规定，磋商小组与进入磋商程序的磋商响应供应商进行一轮或多轮磋商。</w:t>
            </w:r>
          </w:p>
          <w:p>
            <w:pPr>
              <w:pStyle w:val="9"/>
              <w:keepNext w:val="0"/>
              <w:keepLines w:val="0"/>
              <w:pageBreakBefore w:val="0"/>
              <w:widowControl w:val="0"/>
              <w:kinsoku/>
              <w:wordWrap/>
              <w:overflowPunct/>
              <w:topLinePunct w:val="0"/>
              <w:autoSpaceDE w:val="0"/>
              <w:autoSpaceDN w:val="0"/>
              <w:bidi w:val="0"/>
              <w:adjustRightInd/>
              <w:snapToGrid/>
              <w:spacing w:before="1" w:line="500" w:lineRule="exact"/>
              <w:ind w:left="103" w:leftChars="0" w:right="101" w:firstLine="337" w:firstLineChars="0"/>
              <w:jc w:val="both"/>
              <w:textAlignment w:val="auto"/>
              <w:rPr>
                <w:highlight w:val="none"/>
              </w:rPr>
            </w:pPr>
            <w:r>
              <w:rPr>
                <w:highlight w:val="none"/>
              </w:rPr>
              <w:t>5.</w:t>
            </w:r>
            <w:r>
              <w:rPr>
                <w:spacing w:val="-4"/>
                <w:highlight w:val="none"/>
              </w:rPr>
              <w:t>每轮磋商结束前由磋商小组决定是否需要进行下一轮磋商，如需要进行下一轮磋商，采购代理机构提前告知磋商响应供应商下一轮磋商时间。</w:t>
            </w:r>
          </w:p>
          <w:p>
            <w:pPr>
              <w:pStyle w:val="9"/>
              <w:keepNext w:val="0"/>
              <w:keepLines w:val="0"/>
              <w:pageBreakBefore w:val="0"/>
              <w:widowControl w:val="0"/>
              <w:kinsoku/>
              <w:wordWrap/>
              <w:overflowPunct/>
              <w:topLinePunct w:val="0"/>
              <w:autoSpaceDE w:val="0"/>
              <w:autoSpaceDN w:val="0"/>
              <w:bidi w:val="0"/>
              <w:adjustRightInd/>
              <w:snapToGrid/>
              <w:spacing w:before="1" w:line="500" w:lineRule="exact"/>
              <w:ind w:left="103" w:leftChars="0" w:right="101" w:firstLine="337" w:firstLineChars="0"/>
              <w:jc w:val="both"/>
              <w:textAlignment w:val="auto"/>
              <w:rPr>
                <w:rFonts w:ascii="宋体" w:hAnsi="宋体" w:eastAsia="宋体" w:cs="宋体"/>
                <w:spacing w:val="-5"/>
                <w:sz w:val="24"/>
                <w:szCs w:val="22"/>
                <w:highlight w:val="none"/>
                <w:lang w:val="en-US" w:eastAsia="en-US" w:bidi="ar-SA"/>
              </w:rPr>
            </w:pPr>
            <w:r>
              <w:rPr>
                <w:highlight w:val="none"/>
              </w:rPr>
              <w:t>6.</w:t>
            </w:r>
            <w:r>
              <w:rPr>
                <w:spacing w:val="-10"/>
                <w:highlight w:val="none"/>
              </w:rPr>
              <w:t>在磋商过程中，磋商小组可以根据磋商文件明确规定的可能实质性变动内</w:t>
            </w:r>
            <w:r>
              <w:rPr>
                <w:spacing w:val="-14"/>
                <w:highlight w:val="none"/>
              </w:rPr>
              <w:t>容变动磋商文</w:t>
            </w:r>
            <w:r>
              <w:rPr>
                <w:rFonts w:ascii="宋体" w:hAnsi="宋体" w:eastAsia="宋体" w:cs="宋体"/>
                <w:spacing w:val="-5"/>
                <w:sz w:val="24"/>
                <w:szCs w:val="22"/>
                <w:highlight w:val="none"/>
                <w:lang w:val="en-US" w:eastAsia="en-US" w:bidi="ar-SA"/>
              </w:rPr>
              <w:t>件；有实质性变动的，磋商小组应当以书面形式通知所有参加磋商的磋商响应供应商。</w:t>
            </w:r>
          </w:p>
          <w:p>
            <w:pPr>
              <w:pStyle w:val="1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firstLine="460" w:firstLineChars="200"/>
              <w:jc w:val="both"/>
              <w:textAlignment w:val="auto"/>
              <w:rPr>
                <w:rFonts w:ascii="宋体" w:hAnsi="宋体" w:eastAsia="宋体" w:cs="宋体"/>
                <w:spacing w:val="-5"/>
                <w:sz w:val="24"/>
                <w:szCs w:val="22"/>
                <w:highlight w:val="none"/>
                <w:lang w:val="en-US" w:eastAsia="en-US" w:bidi="ar-SA"/>
              </w:rPr>
            </w:pPr>
            <w:r>
              <w:rPr>
                <w:rFonts w:ascii="宋体" w:hAnsi="宋体" w:eastAsia="宋体" w:cs="宋体"/>
                <w:spacing w:val="-5"/>
                <w:sz w:val="24"/>
                <w:szCs w:val="22"/>
                <w:highlight w:val="none"/>
                <w:lang w:val="en-US" w:eastAsia="en-US" w:bidi="ar-SA"/>
              </w:rPr>
              <w:t>7.除非磋商文件的采购需求中的技术、服务要求以及合同草案条款有实质性变动的，否则后一次的报价不得高于前一次的报价。若出现后一次的报价高于前一次报价的，则后一次的报价无效，以前一次的报价为准。</w:t>
            </w:r>
          </w:p>
          <w:p>
            <w:pPr>
              <w:pStyle w:val="1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firstLine="480"/>
              <w:jc w:val="both"/>
              <w:textAlignment w:val="auto"/>
              <w:rPr>
                <w:sz w:val="24"/>
                <w:highlight w:val="none"/>
              </w:rPr>
            </w:pPr>
            <w:r>
              <w:rPr>
                <w:sz w:val="24"/>
                <w:highlight w:val="none"/>
              </w:rPr>
              <w:t>8.</w:t>
            </w:r>
            <w:r>
              <w:rPr>
                <w:spacing w:val="-5"/>
                <w:sz w:val="24"/>
                <w:highlight w:val="none"/>
              </w:rPr>
              <w:t>磋商响应供应商递交的响应文件澄清、更正等文件、最终报价应予密封并</w:t>
            </w:r>
            <w:r>
              <w:rPr>
                <w:spacing w:val="-11"/>
                <w:sz w:val="24"/>
                <w:highlight w:val="none"/>
              </w:rPr>
              <w:t>交至采购代理机构指定人员，报价部分单独密封。采购代理机构工作人员在收齐全部响应供应商材料后，统一送达磋商小组。</w:t>
            </w:r>
          </w:p>
          <w:p>
            <w:pPr>
              <w:pStyle w:val="1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firstLine="480"/>
              <w:jc w:val="both"/>
              <w:textAlignment w:val="auto"/>
              <w:rPr>
                <w:sz w:val="24"/>
                <w:highlight w:val="none"/>
              </w:rPr>
            </w:pPr>
            <w:r>
              <w:rPr>
                <w:sz w:val="24"/>
                <w:highlight w:val="none"/>
              </w:rPr>
              <w:t>9.</w:t>
            </w:r>
            <w:r>
              <w:rPr>
                <w:spacing w:val="-4"/>
                <w:sz w:val="24"/>
                <w:highlight w:val="none"/>
              </w:rPr>
              <w:t>经磋商确定最终采购需求和提交最后报价的磋商响应供应商后，由磋商小组采用综合评分法对提交最后报价的磋商响应供应商的响应文件和最后报价进行综合评分。</w:t>
            </w:r>
          </w:p>
          <w:p>
            <w:pPr>
              <w:pStyle w:val="1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firstLine="480"/>
              <w:jc w:val="both"/>
              <w:textAlignment w:val="auto"/>
              <w:rPr>
                <w:sz w:val="24"/>
                <w:highlight w:val="none"/>
              </w:rPr>
            </w:pPr>
            <w:r>
              <w:rPr>
                <w:sz w:val="24"/>
                <w:highlight w:val="none"/>
              </w:rPr>
              <w:t>10.参加磋商并代表磋商响应供应商签署响应文件的应该是磋商文件要求的响应供应商代表，磋商时应出示身份证原件。</w:t>
            </w:r>
          </w:p>
          <w:p>
            <w:pPr>
              <w:pStyle w:val="1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firstLine="480"/>
              <w:jc w:val="both"/>
              <w:textAlignment w:val="auto"/>
              <w:rPr>
                <w:sz w:val="24"/>
                <w:highlight w:val="none"/>
              </w:rPr>
            </w:pPr>
            <w:r>
              <w:rPr>
                <w:sz w:val="24"/>
                <w:highlight w:val="none"/>
              </w:rPr>
              <w:t>11.在磋商活动中，有关人员不得透露与磋商有关的一切技术资料、价格和其它信息给其他磋商响应供应商。</w:t>
            </w:r>
          </w:p>
          <w:p>
            <w:pPr>
              <w:pStyle w:val="1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jc w:val="both"/>
              <w:textAlignment w:val="auto"/>
              <w:rPr>
                <w:sz w:val="24"/>
                <w:highlight w:val="none"/>
              </w:rPr>
            </w:pPr>
            <w:r>
              <w:rPr>
                <w:b/>
                <w:w w:val="95"/>
                <w:sz w:val="24"/>
                <w:highlight w:val="none"/>
              </w:rPr>
              <w:t>确定候选供应商原则</w:t>
            </w:r>
            <w:r>
              <w:rPr>
                <w:w w:val="95"/>
                <w:sz w:val="24"/>
                <w:highlight w:val="none"/>
              </w:rPr>
              <w:t>：</w:t>
            </w:r>
          </w:p>
          <w:p>
            <w:pPr>
              <w:pStyle w:val="1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firstLine="480"/>
              <w:jc w:val="both"/>
              <w:textAlignment w:val="auto"/>
              <w:rPr>
                <w:sz w:val="24"/>
                <w:highlight w:val="none"/>
              </w:rPr>
            </w:pPr>
            <w:r>
              <w:rPr>
                <w:sz w:val="24"/>
                <w:highlight w:val="none"/>
              </w:rPr>
              <w:t>A. 磋商小组采用综合评分的方法确定成交候选供应商，磋商小组按照：综</w:t>
            </w:r>
            <w:r>
              <w:rPr>
                <w:spacing w:val="-16"/>
                <w:sz w:val="24"/>
                <w:highlight w:val="none"/>
              </w:rPr>
              <w:t>合得分相同的，按照最后报价由低到高的顺序推荐；综合得分且最后报价相同的， 按照技术评分得分高低的顺序推荐；综合得分且最后报价及技术评分得分相同 的，按照商务评分得分优劣顺序推荐。</w:t>
            </w:r>
          </w:p>
          <w:p>
            <w:pPr>
              <w:pStyle w:val="1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firstLine="480"/>
              <w:jc w:val="both"/>
              <w:textAlignment w:val="auto"/>
              <w:rPr>
                <w:sz w:val="24"/>
                <w:highlight w:val="none"/>
              </w:rPr>
            </w:pPr>
            <w:r>
              <w:rPr>
                <w:spacing w:val="-12"/>
                <w:sz w:val="24"/>
                <w:highlight w:val="none"/>
              </w:rPr>
              <w:t>B.（□</w:t>
            </w:r>
            <w:r>
              <w:rPr>
                <w:sz w:val="24"/>
                <w:highlight w:val="none"/>
              </w:rPr>
              <w:t>是/否</w:t>
            </w:r>
            <w:r>
              <w:rPr>
                <w:spacing w:val="-44"/>
                <w:sz w:val="24"/>
                <w:highlight w:val="none"/>
              </w:rPr>
              <w:t>）</w:t>
            </w:r>
            <w:r>
              <w:rPr>
                <w:sz w:val="24"/>
                <w:highlight w:val="none"/>
              </w:rPr>
              <w:t>属于市场竞争不充分的科研项目以及需要扶持的科成果转化项目，成交候选供应商可以为 2 家；</w:t>
            </w:r>
          </w:p>
          <w:p>
            <w:pPr>
              <w:pStyle w:val="19"/>
              <w:keepNext w:val="0"/>
              <w:keepLines w:val="0"/>
              <w:pageBreakBefore w:val="0"/>
              <w:widowControl w:val="0"/>
              <w:kinsoku/>
              <w:wordWrap/>
              <w:overflowPunct/>
              <w:topLinePunct w:val="0"/>
              <w:autoSpaceDE w:val="0"/>
              <w:autoSpaceDN w:val="0"/>
              <w:bidi w:val="0"/>
              <w:adjustRightInd/>
              <w:snapToGrid/>
              <w:spacing w:before="0" w:after="0" w:line="500" w:lineRule="exact"/>
              <w:ind w:right="0" w:firstLine="480" w:firstLineChars="200"/>
              <w:jc w:val="both"/>
              <w:textAlignment w:val="auto"/>
              <w:rPr>
                <w:sz w:val="24"/>
                <w:highlight w:val="none"/>
              </w:rPr>
            </w:pPr>
            <w:r>
              <w:rPr>
                <w:sz w:val="24"/>
                <w:highlight w:val="none"/>
              </w:rPr>
              <w:t>C.</w:t>
            </w:r>
            <w:r>
              <w:rPr>
                <w:spacing w:val="-5"/>
                <w:sz w:val="24"/>
                <w:highlight w:val="none"/>
              </w:rPr>
              <w:t>采用竞争性磋商采购方式的政府购买服务项目，在采购过程中符合要求的供应商只有2家的，竞争性磋商采购活动可以继续进行。采购过程中符合要</w:t>
            </w:r>
            <w:r>
              <w:rPr>
                <w:sz w:val="24"/>
                <w:highlight w:val="none"/>
              </w:rPr>
              <w:t>求的供应商只有1</w:t>
            </w:r>
            <w:r>
              <w:rPr>
                <w:spacing w:val="-10"/>
                <w:sz w:val="24"/>
                <w:highlight w:val="none"/>
              </w:rPr>
              <w:t>家的，应当终止竞争性采购活动，发布终止公告并说明原因，</w:t>
            </w:r>
            <w:r>
              <w:rPr>
                <w:spacing w:val="-13"/>
                <w:sz w:val="24"/>
                <w:highlight w:val="none"/>
              </w:rPr>
              <w:t>重新开展采购活动。在响应文件提交截止时间后至评审前，代理机构将先行查询</w:t>
            </w:r>
            <w:r>
              <w:rPr>
                <w:spacing w:val="-14"/>
                <w:sz w:val="24"/>
                <w:highlight w:val="none"/>
              </w:rPr>
              <w:t>供应商信用记录。查询渠道包括但不限于：中国政采购网：</w:t>
            </w:r>
            <w:r>
              <w:rPr>
                <w:sz w:val="24"/>
                <w:highlight w:val="none"/>
              </w:rPr>
              <w:t>http:</w:t>
            </w:r>
            <w:r>
              <w:rPr>
                <w:highlight w:val="none"/>
              </w:rPr>
              <w:fldChar w:fldCharType="begin"/>
            </w:r>
            <w:r>
              <w:rPr>
                <w:highlight w:val="none"/>
              </w:rPr>
              <w:instrText xml:space="preserve"> HYPERLINK "http://www.ccgp.gov.cn/" \h </w:instrText>
            </w:r>
            <w:r>
              <w:rPr>
                <w:highlight w:val="none"/>
              </w:rPr>
              <w:fldChar w:fldCharType="separate"/>
            </w:r>
            <w:r>
              <w:rPr>
                <w:sz w:val="24"/>
                <w:highlight w:val="none"/>
              </w:rPr>
              <w:t>//www.ccgp.gov.cn</w:t>
            </w:r>
            <w:r>
              <w:rPr>
                <w:sz w:val="24"/>
                <w:highlight w:val="none"/>
              </w:rPr>
              <w:fldChar w:fldCharType="end"/>
            </w:r>
            <w:r>
              <w:rPr>
                <w:sz w:val="24"/>
                <w:highlight w:val="none"/>
              </w:rPr>
              <w:t xml:space="preserve"> 、信用中国：</w:t>
            </w:r>
            <w:r>
              <w:rPr>
                <w:highlight w:val="none"/>
              </w:rPr>
              <w:fldChar w:fldCharType="begin"/>
            </w:r>
            <w:r>
              <w:rPr>
                <w:highlight w:val="none"/>
              </w:rPr>
              <w:instrText xml:space="preserve"> HYPERLINK "http://www.creditchina.gov.cn/" \h </w:instrText>
            </w:r>
            <w:r>
              <w:rPr>
                <w:highlight w:val="none"/>
              </w:rPr>
              <w:fldChar w:fldCharType="separate"/>
            </w:r>
            <w:r>
              <w:rPr>
                <w:sz w:val="24"/>
                <w:highlight w:val="none"/>
              </w:rPr>
              <w:t>http://www.creditchina.gov.cn/</w:t>
            </w:r>
            <w:r>
              <w:rPr>
                <w:sz w:val="24"/>
                <w:highlight w:val="none"/>
              </w:rPr>
              <w:fldChar w:fldCharType="end"/>
            </w:r>
            <w:r>
              <w:rPr>
                <w:sz w:val="24"/>
                <w:highlight w:val="none"/>
              </w:rPr>
              <w:t>、贵州省政府采购网：</w:t>
            </w:r>
            <w:r>
              <w:rPr>
                <w:highlight w:val="none"/>
              </w:rPr>
              <w:fldChar w:fldCharType="begin"/>
            </w:r>
            <w:r>
              <w:rPr>
                <w:highlight w:val="none"/>
              </w:rPr>
              <w:instrText xml:space="preserve"> HYPERLINK "http://www.ccgp-guizhou.gov.cn/" \h </w:instrText>
            </w:r>
            <w:r>
              <w:rPr>
                <w:highlight w:val="none"/>
              </w:rPr>
              <w:fldChar w:fldCharType="separate"/>
            </w:r>
            <w:r>
              <w:rPr>
                <w:sz w:val="24"/>
                <w:highlight w:val="none"/>
              </w:rPr>
              <w:t>http://www.ccgp-guizhou.gov.cn/</w:t>
            </w:r>
            <w:r>
              <w:rPr>
                <w:sz w:val="24"/>
                <w:highlight w:val="none"/>
              </w:rPr>
              <w:fldChar w:fldCharType="end"/>
            </w:r>
            <w:r>
              <w:rPr>
                <w:spacing w:val="-10"/>
                <w:sz w:val="24"/>
                <w:highlight w:val="none"/>
              </w:rPr>
              <w:t xml:space="preserve"> 等。对参加政府采购活动</w:t>
            </w:r>
            <w:r>
              <w:rPr>
                <w:spacing w:val="-15"/>
                <w:sz w:val="24"/>
                <w:highlight w:val="none"/>
              </w:rPr>
              <w:t>前三年内被列入失信被执行人、重大税收违法案件当事人名单、政府采购严重违</w:t>
            </w:r>
            <w:r>
              <w:rPr>
                <w:spacing w:val="-16"/>
                <w:sz w:val="24"/>
                <w:highlight w:val="none"/>
              </w:rPr>
              <w:t>法失信行为记录名单、“信用中国”警示警告名单，受到政府采购行政处罚或者</w:t>
            </w:r>
            <w:r>
              <w:rPr>
                <w:spacing w:val="-15"/>
                <w:sz w:val="24"/>
                <w:highlight w:val="none"/>
              </w:rPr>
              <w:t>存在行贿犯罪记录，且相关信用惩戒期限未满，以及其他不符合《中华人民共和</w:t>
            </w:r>
            <w:r>
              <w:rPr>
                <w:spacing w:val="-14"/>
                <w:sz w:val="24"/>
                <w:highlight w:val="none"/>
              </w:rPr>
              <w:t>国政府采购法》第二十二条规定条件的供应商，将查询结果提供给磋商小组，磋商小组将拒绝邀请该供应商进行磋商和报价。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6" w:type="dxa"/>
          </w:tcPr>
          <w:p>
            <w:pPr>
              <w:pStyle w:val="19"/>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jc w:val="both"/>
              <w:textAlignment w:val="auto"/>
              <w:rPr>
                <w:b/>
                <w:sz w:val="24"/>
                <w:highlight w:val="none"/>
              </w:rPr>
            </w:pPr>
            <w:r>
              <w:rPr>
                <w:b/>
                <w:w w:val="95"/>
                <w:sz w:val="24"/>
                <w:highlight w:val="none"/>
              </w:rPr>
              <w:t>二、磋商可能实质性变动的内容：</w:t>
            </w:r>
          </w:p>
          <w:p>
            <w:pPr>
              <w:pStyle w:val="19"/>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jc w:val="both"/>
              <w:textAlignment w:val="auto"/>
              <w:rPr>
                <w:rFonts w:hint="eastAsia" w:eastAsia="宋体"/>
                <w:sz w:val="24"/>
                <w:highlight w:val="none"/>
                <w:lang w:val="en-US" w:eastAsia="zh-CN"/>
              </w:rPr>
            </w:pPr>
            <w:r>
              <w:rPr>
                <w:sz w:val="24"/>
                <w:highlight w:val="none"/>
              </w:rPr>
              <w:t>1.采购需求技术内容：</w:t>
            </w:r>
          </w:p>
          <w:p>
            <w:pPr>
              <w:pStyle w:val="19"/>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jc w:val="both"/>
              <w:textAlignment w:val="auto"/>
              <w:rPr>
                <w:rFonts w:hint="eastAsia" w:eastAsia="宋体"/>
                <w:sz w:val="24"/>
                <w:highlight w:val="none"/>
                <w:lang w:val="en-US" w:eastAsia="zh-CN"/>
              </w:rPr>
            </w:pPr>
            <w:r>
              <w:rPr>
                <w:sz w:val="24"/>
                <w:highlight w:val="none"/>
              </w:rPr>
              <w:t>2.采购需求服务内容：</w:t>
            </w:r>
          </w:p>
          <w:p>
            <w:pPr>
              <w:pStyle w:val="19"/>
              <w:keepNext w:val="0"/>
              <w:keepLines w:val="0"/>
              <w:pageBreakBefore w:val="0"/>
              <w:widowControl w:val="0"/>
              <w:kinsoku/>
              <w:wordWrap/>
              <w:overflowPunct/>
              <w:topLinePunct w:val="0"/>
              <w:autoSpaceDE w:val="0"/>
              <w:autoSpaceDN w:val="0"/>
              <w:bidi w:val="0"/>
              <w:adjustRightInd/>
              <w:snapToGrid/>
              <w:spacing w:before="0" w:after="0" w:line="500" w:lineRule="exact"/>
              <w:ind w:right="0"/>
              <w:jc w:val="both"/>
              <w:textAlignment w:val="auto"/>
              <w:rPr>
                <w:sz w:val="24"/>
                <w:highlight w:val="none"/>
              </w:rPr>
            </w:pPr>
            <w:r>
              <w:rPr>
                <w:sz w:val="24"/>
                <w:highlight w:val="none"/>
              </w:rPr>
              <w:t>3. 合同草案条款：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6" w:type="dxa"/>
          </w:tcPr>
          <w:p>
            <w:pPr>
              <w:pStyle w:val="19"/>
              <w:keepNext w:val="0"/>
              <w:keepLines w:val="0"/>
              <w:pageBreakBefore w:val="0"/>
              <w:widowControl w:val="0"/>
              <w:kinsoku/>
              <w:wordWrap/>
              <w:overflowPunct/>
              <w:topLinePunct w:val="0"/>
              <w:autoSpaceDE w:val="0"/>
              <w:autoSpaceDN w:val="0"/>
              <w:bidi w:val="0"/>
              <w:adjustRightInd/>
              <w:snapToGrid/>
              <w:spacing w:before="0" w:after="0" w:line="460" w:lineRule="exact"/>
              <w:ind w:right="220" w:rightChars="100"/>
              <w:jc w:val="both"/>
              <w:textAlignment w:val="auto"/>
              <w:rPr>
                <w:b/>
                <w:sz w:val="24"/>
                <w:highlight w:val="none"/>
              </w:rPr>
            </w:pPr>
            <w:r>
              <w:rPr>
                <w:b/>
                <w:w w:val="95"/>
                <w:sz w:val="24"/>
                <w:highlight w:val="none"/>
              </w:rPr>
              <w:t>三、磋商评审标准</w:t>
            </w:r>
          </w:p>
          <w:p>
            <w:pPr>
              <w:pStyle w:val="19"/>
              <w:keepNext w:val="0"/>
              <w:keepLines w:val="0"/>
              <w:pageBreakBefore w:val="0"/>
              <w:widowControl w:val="0"/>
              <w:kinsoku/>
              <w:wordWrap/>
              <w:overflowPunct/>
              <w:topLinePunct w:val="0"/>
              <w:autoSpaceDE w:val="0"/>
              <w:autoSpaceDN w:val="0"/>
              <w:bidi w:val="0"/>
              <w:adjustRightInd/>
              <w:snapToGrid/>
              <w:spacing w:before="0" w:after="0" w:line="460" w:lineRule="exact"/>
              <w:ind w:left="220" w:leftChars="100" w:right="220" w:rightChars="100"/>
              <w:jc w:val="both"/>
              <w:textAlignment w:val="auto"/>
              <w:rPr>
                <w:sz w:val="24"/>
                <w:highlight w:val="none"/>
              </w:rPr>
            </w:pPr>
            <w:r>
              <w:rPr>
                <w:b/>
                <w:sz w:val="24"/>
                <w:highlight w:val="none"/>
              </w:rPr>
              <w:t>综合评分法：</w:t>
            </w:r>
            <w:r>
              <w:rPr>
                <w:sz w:val="24"/>
                <w:highlight w:val="none"/>
              </w:rPr>
              <w:t>本项目采用综合评分法进行评审。</w:t>
            </w:r>
          </w:p>
          <w:p>
            <w:pPr>
              <w:pStyle w:val="19"/>
              <w:keepNext w:val="0"/>
              <w:keepLines w:val="0"/>
              <w:pageBreakBefore w:val="0"/>
              <w:widowControl w:val="0"/>
              <w:kinsoku/>
              <w:wordWrap/>
              <w:overflowPunct/>
              <w:topLinePunct w:val="0"/>
              <w:autoSpaceDE w:val="0"/>
              <w:autoSpaceDN w:val="0"/>
              <w:bidi w:val="0"/>
              <w:adjustRightInd/>
              <w:snapToGrid/>
              <w:spacing w:before="0" w:after="0" w:line="460" w:lineRule="exact"/>
              <w:ind w:left="220" w:leftChars="100" w:right="220" w:rightChars="100"/>
              <w:jc w:val="both"/>
              <w:textAlignment w:val="auto"/>
              <w:rPr>
                <w:sz w:val="24"/>
                <w:highlight w:val="none"/>
              </w:rPr>
            </w:pPr>
            <w:r>
              <w:rPr>
                <w:sz w:val="24"/>
                <w:highlight w:val="none"/>
              </w:rPr>
              <w:t>（一）每位评委独立逐栏打分，每栏分值不得超出本栏规定的分值范围。</w:t>
            </w:r>
          </w:p>
          <w:p>
            <w:pPr>
              <w:pStyle w:val="19"/>
              <w:keepNext w:val="0"/>
              <w:keepLines w:val="0"/>
              <w:pageBreakBefore w:val="0"/>
              <w:widowControl w:val="0"/>
              <w:kinsoku/>
              <w:wordWrap/>
              <w:overflowPunct/>
              <w:topLinePunct w:val="0"/>
              <w:autoSpaceDE w:val="0"/>
              <w:autoSpaceDN w:val="0"/>
              <w:bidi w:val="0"/>
              <w:adjustRightInd/>
              <w:snapToGrid/>
              <w:spacing w:before="0" w:after="0" w:line="460" w:lineRule="exact"/>
              <w:ind w:left="220" w:leftChars="100" w:right="220" w:rightChars="100"/>
              <w:jc w:val="both"/>
              <w:textAlignment w:val="auto"/>
              <w:rPr>
                <w:spacing w:val="-8"/>
                <w:sz w:val="24"/>
                <w:highlight w:val="none"/>
              </w:rPr>
            </w:pPr>
            <w:r>
              <w:rPr>
                <w:sz w:val="24"/>
                <w:highlight w:val="none"/>
              </w:rPr>
              <w:t>（二）在贵州省发改委《贵州省综合评标专家库》中抽取相关专业专家</w:t>
            </w:r>
            <w:r>
              <w:rPr>
                <w:sz w:val="24"/>
                <w:highlight w:val="none"/>
                <w:u w:val="single"/>
              </w:rPr>
              <w:t xml:space="preserve"> 2 </w:t>
            </w:r>
            <w:r>
              <w:rPr>
                <w:spacing w:val="-4"/>
                <w:sz w:val="24"/>
                <w:highlight w:val="none"/>
              </w:rPr>
              <w:t>人、采购人委派熟悉相关业务的代表</w:t>
            </w:r>
            <w:r>
              <w:rPr>
                <w:spacing w:val="-4"/>
                <w:sz w:val="24"/>
                <w:highlight w:val="none"/>
                <w:u w:val="single"/>
              </w:rPr>
              <w:t xml:space="preserve"> </w:t>
            </w:r>
            <w:r>
              <w:rPr>
                <w:sz w:val="24"/>
                <w:highlight w:val="none"/>
                <w:u w:val="single"/>
              </w:rPr>
              <w:t>1</w:t>
            </w:r>
            <w:r>
              <w:rPr>
                <w:spacing w:val="-24"/>
                <w:sz w:val="24"/>
                <w:highlight w:val="none"/>
                <w:u w:val="single"/>
              </w:rPr>
              <w:t xml:space="preserve"> </w:t>
            </w:r>
            <w:r>
              <w:rPr>
                <w:spacing w:val="-24"/>
                <w:sz w:val="24"/>
                <w:highlight w:val="none"/>
              </w:rPr>
              <w:t>人，共</w:t>
            </w:r>
            <w:r>
              <w:rPr>
                <w:spacing w:val="-24"/>
                <w:sz w:val="24"/>
                <w:highlight w:val="none"/>
                <w:u w:val="single"/>
              </w:rPr>
              <w:t xml:space="preserve"> </w:t>
            </w:r>
            <w:r>
              <w:rPr>
                <w:sz w:val="24"/>
                <w:highlight w:val="none"/>
                <w:u w:val="single"/>
              </w:rPr>
              <w:t xml:space="preserve">3 </w:t>
            </w:r>
            <w:r>
              <w:rPr>
                <w:spacing w:val="-8"/>
                <w:sz w:val="24"/>
                <w:highlight w:val="none"/>
              </w:rPr>
              <w:t>人组成磋商小组。</w:t>
            </w:r>
          </w:p>
          <w:p>
            <w:pPr>
              <w:pStyle w:val="19"/>
              <w:keepNext w:val="0"/>
              <w:keepLines w:val="0"/>
              <w:pageBreakBefore w:val="0"/>
              <w:widowControl w:val="0"/>
              <w:kinsoku/>
              <w:wordWrap/>
              <w:overflowPunct/>
              <w:topLinePunct w:val="0"/>
              <w:autoSpaceDE w:val="0"/>
              <w:autoSpaceDN w:val="0"/>
              <w:bidi w:val="0"/>
              <w:adjustRightInd/>
              <w:snapToGrid/>
              <w:spacing w:before="0" w:after="0" w:line="460" w:lineRule="exact"/>
              <w:ind w:right="220" w:rightChars="100"/>
              <w:jc w:val="both"/>
              <w:textAlignment w:val="auto"/>
              <w:rPr>
                <w:spacing w:val="-8"/>
                <w:sz w:val="24"/>
                <w:highlight w:val="none"/>
              </w:rPr>
            </w:pPr>
            <w:r>
              <w:rPr>
                <w:spacing w:val="-8"/>
                <w:sz w:val="24"/>
                <w:highlight w:val="none"/>
              </w:rPr>
              <w:t>一、磋商小组</w:t>
            </w:r>
          </w:p>
          <w:p>
            <w:pPr>
              <w:pStyle w:val="19"/>
              <w:keepNext w:val="0"/>
              <w:keepLines w:val="0"/>
              <w:pageBreakBefore w:val="0"/>
              <w:widowControl w:val="0"/>
              <w:kinsoku/>
              <w:wordWrap/>
              <w:overflowPunct/>
              <w:topLinePunct w:val="0"/>
              <w:autoSpaceDE w:val="0"/>
              <w:autoSpaceDN w:val="0"/>
              <w:bidi w:val="0"/>
              <w:adjustRightInd/>
              <w:snapToGrid/>
              <w:spacing w:before="0" w:after="0" w:line="460" w:lineRule="exact"/>
              <w:ind w:left="220" w:leftChars="100" w:right="220" w:rightChars="100"/>
              <w:jc w:val="both"/>
              <w:textAlignment w:val="auto"/>
              <w:rPr>
                <w:sz w:val="24"/>
                <w:highlight w:val="none"/>
              </w:rPr>
            </w:pPr>
            <w:r>
              <w:rPr>
                <w:rFonts w:hint="eastAsia"/>
                <w:sz w:val="24"/>
                <w:highlight w:val="none"/>
                <w:lang w:val="en-US" w:eastAsia="zh-CN"/>
              </w:rPr>
              <w:t>1.</w:t>
            </w:r>
            <w:r>
              <w:rPr>
                <w:sz w:val="24"/>
                <w:highlight w:val="none"/>
              </w:rPr>
              <w:t>评标由磋商小组负责，与投标人有利害关系的人不得进入磋商小组。</w:t>
            </w:r>
          </w:p>
          <w:p>
            <w:pPr>
              <w:pStyle w:val="19"/>
              <w:keepNext w:val="0"/>
              <w:keepLines w:val="0"/>
              <w:pageBreakBefore w:val="0"/>
              <w:widowControl w:val="0"/>
              <w:numPr>
                <w:ilvl w:val="0"/>
                <w:numId w:val="0"/>
              </w:numPr>
              <w:tabs>
                <w:tab w:val="left" w:pos="824"/>
              </w:tabs>
              <w:kinsoku/>
              <w:wordWrap/>
              <w:overflowPunct/>
              <w:topLinePunct w:val="0"/>
              <w:autoSpaceDE w:val="0"/>
              <w:autoSpaceDN w:val="0"/>
              <w:bidi w:val="0"/>
              <w:adjustRightInd/>
              <w:snapToGrid/>
              <w:spacing w:before="0" w:after="0" w:line="460" w:lineRule="exact"/>
              <w:ind w:left="220" w:leftChars="100" w:right="220" w:rightChars="100"/>
              <w:jc w:val="both"/>
              <w:textAlignment w:val="auto"/>
              <w:rPr>
                <w:sz w:val="24"/>
                <w:highlight w:val="none"/>
              </w:rPr>
            </w:pPr>
            <w:r>
              <w:rPr>
                <w:rFonts w:hint="eastAsia"/>
                <w:sz w:val="24"/>
                <w:highlight w:val="none"/>
                <w:lang w:val="en-US" w:eastAsia="zh-CN"/>
              </w:rPr>
              <w:t>2.</w:t>
            </w:r>
            <w:r>
              <w:rPr>
                <w:sz w:val="24"/>
                <w:highlight w:val="none"/>
              </w:rPr>
              <w:t>磋商小组成员名单在成交结果确定前保密。</w:t>
            </w:r>
          </w:p>
          <w:p>
            <w:pPr>
              <w:pStyle w:val="9"/>
              <w:keepNext w:val="0"/>
              <w:keepLines w:val="0"/>
              <w:pageBreakBefore w:val="0"/>
              <w:widowControl w:val="0"/>
              <w:kinsoku/>
              <w:wordWrap/>
              <w:overflowPunct/>
              <w:topLinePunct w:val="0"/>
              <w:autoSpaceDE w:val="0"/>
              <w:autoSpaceDN w:val="0"/>
              <w:bidi w:val="0"/>
              <w:adjustRightInd/>
              <w:snapToGrid/>
              <w:spacing w:before="0" w:after="0" w:line="460" w:lineRule="exact"/>
              <w:ind w:left="0" w:leftChars="0" w:right="220" w:rightChars="100" w:firstLine="0" w:firstLineChars="0"/>
              <w:jc w:val="both"/>
              <w:textAlignment w:val="auto"/>
              <w:rPr>
                <w:highlight w:val="none"/>
              </w:rPr>
            </w:pPr>
            <w:r>
              <w:rPr>
                <w:rFonts w:hint="eastAsia"/>
                <w:sz w:val="24"/>
                <w:highlight w:val="none"/>
                <w:lang w:val="en-US" w:eastAsia="zh-CN"/>
              </w:rPr>
              <w:t>二、</w:t>
            </w:r>
            <w:r>
              <w:rPr>
                <w:sz w:val="24"/>
                <w:highlight w:val="none"/>
              </w:rPr>
              <w:t>磋商方法：</w:t>
            </w:r>
            <w:r>
              <w:rPr>
                <w:spacing w:val="-6"/>
                <w:highlight w:val="none"/>
              </w:rPr>
              <w:t>磋商小组在对响应文件的有效性、完整性和响应程度进行审查时，可以要求投标人对响应文件中含义不明确、同类问题表述不一致或者有明显文字和计算</w:t>
            </w:r>
            <w:r>
              <w:rPr>
                <w:spacing w:val="-10"/>
                <w:highlight w:val="none"/>
              </w:rPr>
              <w:t>错误的内容等作出必要的澄清、说明或者更正。磋商小组要求投标人澄清、说明</w:t>
            </w:r>
            <w:r>
              <w:rPr>
                <w:spacing w:val="-14"/>
                <w:highlight w:val="none"/>
              </w:rPr>
              <w:t>或者更正响应文件应当以书面形式作出。投标人的澄清、说明或者更正应当由法</w:t>
            </w:r>
            <w:r>
              <w:rPr>
                <w:spacing w:val="-17"/>
                <w:highlight w:val="none"/>
              </w:rPr>
              <w:t>定代表人或其授权代表签字或者加盖公章。由授权代表签字的，应当附法定代表</w:t>
            </w:r>
            <w:r>
              <w:rPr>
                <w:spacing w:val="-14"/>
                <w:highlight w:val="none"/>
              </w:rPr>
              <w:t>人授权书。投标人为自然人的，应当由本人签字并附身份证明。磋商小组所有成</w:t>
            </w:r>
            <w:r>
              <w:rPr>
                <w:spacing w:val="-18"/>
                <w:highlight w:val="none"/>
              </w:rPr>
              <w:t>员应当集中与单一投标人分别进行磋商，并给予所有参加磋商的投标人平等的磋</w:t>
            </w:r>
            <w:r>
              <w:rPr>
                <w:spacing w:val="-13"/>
                <w:highlight w:val="none"/>
              </w:rPr>
              <w:t>商机会。在磋商过程中，磋商小组可以根据磋商文件和磋商情况实质性变动采购</w:t>
            </w:r>
            <w:r>
              <w:rPr>
                <w:spacing w:val="-20"/>
                <w:highlight w:val="none"/>
              </w:rPr>
              <w:t>需求中的技术、服务要求以及合同草案条款，但不得变动磋商文件中的其他内容。</w:t>
            </w:r>
            <w:r>
              <w:rPr>
                <w:spacing w:val="-23"/>
                <w:highlight w:val="none"/>
              </w:rPr>
              <w:t>对磋商文件作出的实质性变动是磋商文件的有效组成部分，磋商小组应当及时以书面形式同时通知所有参加磋商的投标人。 投标人应当按照磋商文件的变动情</w:t>
            </w:r>
            <w:r>
              <w:rPr>
                <w:spacing w:val="-22"/>
                <w:highlight w:val="none"/>
              </w:rPr>
              <w:t>况和磋商小组的要求重新提交响应文件，并由其法定代表人或授权代表签字或者加盖公章。 磋商结束后，实质性响应的投标人须提交最后报价（以书面形式确</w:t>
            </w:r>
            <w:r>
              <w:rPr>
                <w:spacing w:val="-8"/>
                <w:highlight w:val="none"/>
              </w:rPr>
              <w:t>认，并由磋商投标人授权代表签署</w:t>
            </w:r>
            <w:r>
              <w:rPr>
                <w:spacing w:val="-29"/>
                <w:highlight w:val="none"/>
              </w:rPr>
              <w:t>）</w:t>
            </w:r>
            <w:r>
              <w:rPr>
                <w:spacing w:val="-6"/>
                <w:highlight w:val="none"/>
              </w:rPr>
              <w:t>。被磋商小组认定为未实质性响应磋商文件</w:t>
            </w:r>
            <w:r>
              <w:rPr>
                <w:spacing w:val="-11"/>
                <w:highlight w:val="none"/>
              </w:rPr>
              <w:t>的响应文件，投标人不再进入下一轮磋商报价。磋商确定最终采购需求和提交最</w:t>
            </w:r>
            <w:r>
              <w:rPr>
                <w:spacing w:val="-14"/>
                <w:highlight w:val="none"/>
              </w:rPr>
              <w:t>后报价的投标人后，由磋商小组采用综合评分法对提交最后报价的投标人的响应</w:t>
            </w:r>
            <w:r>
              <w:rPr>
                <w:spacing w:val="-16"/>
                <w:highlight w:val="none"/>
              </w:rPr>
              <w:t>文件和最后报价进行综合评分。磋商小组应当根据综合评分情况，按照评审得分由高到低顺序推荐 3 名成交候选投标人，并编写评审报告。评审得分且最后报价相同的，按照技术指标优劣顺序推荐。</w:t>
            </w:r>
          </w:p>
          <w:p>
            <w:pPr>
              <w:pStyle w:val="9"/>
              <w:keepNext w:val="0"/>
              <w:keepLines w:val="0"/>
              <w:pageBreakBefore w:val="0"/>
              <w:widowControl w:val="0"/>
              <w:kinsoku/>
              <w:wordWrap/>
              <w:overflowPunct/>
              <w:topLinePunct w:val="0"/>
              <w:autoSpaceDE w:val="0"/>
              <w:autoSpaceDN w:val="0"/>
              <w:bidi w:val="0"/>
              <w:adjustRightInd/>
              <w:snapToGrid/>
              <w:spacing w:before="0" w:after="0" w:line="460" w:lineRule="exact"/>
              <w:ind w:left="0" w:leftChars="0" w:right="220" w:rightChars="100" w:firstLine="0" w:firstLineChars="0"/>
              <w:jc w:val="both"/>
              <w:textAlignment w:val="auto"/>
              <w:rPr>
                <w:highlight w:val="none"/>
              </w:rPr>
            </w:pPr>
            <w:r>
              <w:rPr>
                <w:highlight w:val="none"/>
              </w:rPr>
              <w:t>三、评分因素</w:t>
            </w:r>
          </w:p>
          <w:p>
            <w:pPr>
              <w:pStyle w:val="9"/>
              <w:keepNext w:val="0"/>
              <w:keepLines w:val="0"/>
              <w:pageBreakBefore w:val="0"/>
              <w:widowControl w:val="0"/>
              <w:kinsoku/>
              <w:wordWrap/>
              <w:overflowPunct/>
              <w:topLinePunct w:val="0"/>
              <w:autoSpaceDE w:val="0"/>
              <w:autoSpaceDN w:val="0"/>
              <w:bidi w:val="0"/>
              <w:adjustRightInd/>
              <w:snapToGrid/>
              <w:spacing w:before="0" w:after="0" w:line="460" w:lineRule="exact"/>
              <w:ind w:right="220" w:rightChars="100"/>
              <w:jc w:val="both"/>
              <w:textAlignment w:val="auto"/>
              <w:rPr>
                <w:highlight w:val="none"/>
              </w:rPr>
            </w:pPr>
            <w:r>
              <w:rPr>
                <w:rFonts w:hint="eastAsia"/>
                <w:highlight w:val="none"/>
                <w:lang w:val="en-US" w:eastAsia="zh-CN"/>
              </w:rPr>
              <w:t>（一</w:t>
            </w:r>
            <w:r>
              <w:rPr>
                <w:highlight w:val="none"/>
              </w:rPr>
              <w:t>）评分细则及各项评标因素分值如下：详见《评分标准》。</w:t>
            </w:r>
          </w:p>
          <w:p>
            <w:pPr>
              <w:pStyle w:val="9"/>
              <w:keepNext w:val="0"/>
              <w:keepLines w:val="0"/>
              <w:pageBreakBefore w:val="0"/>
              <w:widowControl w:val="0"/>
              <w:kinsoku/>
              <w:wordWrap/>
              <w:overflowPunct/>
              <w:topLinePunct w:val="0"/>
              <w:autoSpaceDE w:val="0"/>
              <w:autoSpaceDN w:val="0"/>
              <w:bidi w:val="0"/>
              <w:adjustRightInd/>
              <w:snapToGrid/>
              <w:spacing w:before="0" w:after="0" w:line="460" w:lineRule="exact"/>
              <w:ind w:left="220" w:leftChars="100" w:right="220" w:rightChars="100"/>
              <w:jc w:val="both"/>
              <w:textAlignment w:val="auto"/>
              <w:rPr>
                <w:highlight w:val="none"/>
              </w:rPr>
            </w:pPr>
            <w:r>
              <w:rPr>
                <w:highlight w:val="none"/>
              </w:rPr>
              <w:t>注：计算最终得分保留小数两位。</w:t>
            </w:r>
          </w:p>
          <w:p>
            <w:pPr>
              <w:pStyle w:val="9"/>
              <w:keepNext w:val="0"/>
              <w:keepLines w:val="0"/>
              <w:pageBreakBefore w:val="0"/>
              <w:widowControl w:val="0"/>
              <w:numPr>
                <w:ilvl w:val="0"/>
                <w:numId w:val="3"/>
              </w:numPr>
              <w:kinsoku/>
              <w:wordWrap/>
              <w:overflowPunct/>
              <w:topLinePunct w:val="0"/>
              <w:autoSpaceDE w:val="0"/>
              <w:autoSpaceDN w:val="0"/>
              <w:bidi w:val="0"/>
              <w:adjustRightInd/>
              <w:snapToGrid/>
              <w:spacing w:before="0" w:after="0" w:line="460" w:lineRule="exact"/>
              <w:ind w:right="220" w:rightChars="100"/>
              <w:jc w:val="both"/>
              <w:textAlignment w:val="auto"/>
              <w:rPr>
                <w:spacing w:val="-7"/>
                <w:highlight w:val="none"/>
              </w:rPr>
            </w:pPr>
            <w:r>
              <w:rPr>
                <w:spacing w:val="-7"/>
                <w:highlight w:val="none"/>
              </w:rPr>
              <w:t>排序原则：按评审得分由高到低顺序排序。得分相同的，按投标报价由低到高顺序排列。得分且投标报价相同的，按技术指标优劣顺序排列。</w:t>
            </w:r>
          </w:p>
          <w:p>
            <w:pPr>
              <w:pStyle w:val="9"/>
              <w:keepNext w:val="0"/>
              <w:keepLines w:val="0"/>
              <w:pageBreakBefore w:val="0"/>
              <w:widowControl w:val="0"/>
              <w:kinsoku/>
              <w:wordWrap/>
              <w:overflowPunct/>
              <w:topLinePunct w:val="0"/>
              <w:autoSpaceDE w:val="0"/>
              <w:autoSpaceDN w:val="0"/>
              <w:bidi w:val="0"/>
              <w:adjustRightInd/>
              <w:snapToGrid/>
              <w:spacing w:before="0" w:after="0" w:line="460" w:lineRule="exact"/>
              <w:ind w:left="0" w:leftChars="0" w:right="220" w:rightChars="100" w:firstLine="0" w:firstLineChars="0"/>
              <w:jc w:val="both"/>
              <w:textAlignment w:val="auto"/>
              <w:rPr>
                <w:highlight w:val="none"/>
              </w:rPr>
            </w:pPr>
            <w:r>
              <w:rPr>
                <w:rFonts w:hint="eastAsia"/>
                <w:highlight w:val="none"/>
                <w:lang w:val="en-US" w:eastAsia="zh-CN"/>
              </w:rPr>
              <w:t>四</w:t>
            </w:r>
            <w:r>
              <w:rPr>
                <w:highlight w:val="none"/>
              </w:rPr>
              <w:t>、评分标准</w:t>
            </w:r>
          </w:p>
          <w:p>
            <w:pPr>
              <w:pStyle w:val="9"/>
              <w:keepNext w:val="0"/>
              <w:keepLines w:val="0"/>
              <w:pageBreakBefore w:val="0"/>
              <w:widowControl w:val="0"/>
              <w:kinsoku/>
              <w:wordWrap/>
              <w:overflowPunct/>
              <w:topLinePunct w:val="0"/>
              <w:autoSpaceDE w:val="0"/>
              <w:autoSpaceDN w:val="0"/>
              <w:bidi w:val="0"/>
              <w:adjustRightInd/>
              <w:snapToGrid/>
              <w:spacing w:before="0" w:after="0" w:line="460" w:lineRule="exact"/>
              <w:ind w:left="220" w:leftChars="100" w:right="220" w:rightChars="100"/>
              <w:jc w:val="both"/>
              <w:textAlignment w:val="auto"/>
              <w:rPr>
                <w:highlight w:val="none"/>
              </w:rPr>
            </w:pPr>
            <w:r>
              <w:rPr>
                <w:highlight w:val="none"/>
              </w:rPr>
              <w:t>1、评分因素</w:t>
            </w:r>
          </w:p>
          <w:p>
            <w:pPr>
              <w:pStyle w:val="9"/>
              <w:keepNext w:val="0"/>
              <w:keepLines w:val="0"/>
              <w:pageBreakBefore w:val="0"/>
              <w:widowControl w:val="0"/>
              <w:kinsoku/>
              <w:wordWrap/>
              <w:overflowPunct/>
              <w:topLinePunct w:val="0"/>
              <w:autoSpaceDE w:val="0"/>
              <w:autoSpaceDN w:val="0"/>
              <w:bidi w:val="0"/>
              <w:adjustRightInd/>
              <w:snapToGrid/>
              <w:spacing w:before="0" w:after="0" w:line="460" w:lineRule="exact"/>
              <w:ind w:left="220" w:leftChars="100" w:right="220" w:rightChars="100" w:firstLine="480"/>
              <w:jc w:val="both"/>
              <w:textAlignment w:val="auto"/>
              <w:rPr>
                <w:highlight w:val="none"/>
              </w:rPr>
            </w:pPr>
            <w:r>
              <w:rPr>
                <w:spacing w:val="-4"/>
                <w:highlight w:val="none"/>
              </w:rPr>
              <w:t>评分的主要因素分为价格因素、技术因素</w:t>
            </w:r>
            <w:r>
              <w:rPr>
                <w:highlight w:val="none"/>
              </w:rPr>
              <w:t>（</w:t>
            </w:r>
            <w:r>
              <w:rPr>
                <w:spacing w:val="-6"/>
                <w:highlight w:val="none"/>
              </w:rPr>
              <w:t>如技术参数、备品备件要求、产品质量等）和商务因素（如信誉、业绩、服务期、质保期、优惠条件等）。评</w:t>
            </w:r>
            <w:r>
              <w:rPr>
                <w:spacing w:val="-11"/>
                <w:highlight w:val="none"/>
              </w:rPr>
              <w:t>分因素详见评分表。评标分值保留至两位小数。评标时，评标专家依照评分表对每个有效供应商的投标文件进行独立评价、打分。</w:t>
            </w:r>
          </w:p>
          <w:p>
            <w:pPr>
              <w:pStyle w:val="9"/>
              <w:keepNext w:val="0"/>
              <w:keepLines w:val="0"/>
              <w:pageBreakBefore w:val="0"/>
              <w:widowControl w:val="0"/>
              <w:kinsoku/>
              <w:wordWrap/>
              <w:overflowPunct/>
              <w:topLinePunct w:val="0"/>
              <w:autoSpaceDE w:val="0"/>
              <w:autoSpaceDN w:val="0"/>
              <w:bidi w:val="0"/>
              <w:adjustRightInd/>
              <w:snapToGrid/>
              <w:spacing w:before="0" w:after="0" w:line="460" w:lineRule="exact"/>
              <w:ind w:left="220" w:leftChars="100" w:right="220" w:rightChars="100"/>
              <w:jc w:val="both"/>
              <w:textAlignment w:val="auto"/>
              <w:rPr>
                <w:highlight w:val="none"/>
              </w:rPr>
            </w:pPr>
            <w:r>
              <w:rPr>
                <w:highlight w:val="none"/>
              </w:rPr>
              <w:t>（见评分表）</w:t>
            </w:r>
          </w:p>
          <w:p>
            <w:pPr>
              <w:pStyle w:val="9"/>
              <w:keepNext w:val="0"/>
              <w:keepLines w:val="0"/>
              <w:pageBreakBefore w:val="0"/>
              <w:widowControl w:val="0"/>
              <w:kinsoku/>
              <w:wordWrap/>
              <w:overflowPunct/>
              <w:topLinePunct w:val="0"/>
              <w:autoSpaceDE w:val="0"/>
              <w:autoSpaceDN w:val="0"/>
              <w:bidi w:val="0"/>
              <w:adjustRightInd/>
              <w:snapToGrid/>
              <w:spacing w:before="0" w:after="0" w:line="460" w:lineRule="exact"/>
              <w:ind w:left="220" w:leftChars="100" w:right="220" w:rightChars="100" w:firstLine="480"/>
              <w:jc w:val="both"/>
              <w:textAlignment w:val="auto"/>
              <w:rPr>
                <w:highlight w:val="none"/>
              </w:rPr>
            </w:pPr>
            <w:r>
              <w:rPr>
                <w:spacing w:val="-5"/>
                <w:highlight w:val="none"/>
              </w:rPr>
              <w:t>采购人在收到评审报告后五个工作日内，根据成交候选供应商排列顺序确定第一名成交候选供应商为成交供应商。</w:t>
            </w:r>
          </w:p>
          <w:p>
            <w:pPr>
              <w:pStyle w:val="19"/>
              <w:keepNext w:val="0"/>
              <w:keepLines w:val="0"/>
              <w:pageBreakBefore w:val="0"/>
              <w:widowControl w:val="0"/>
              <w:kinsoku/>
              <w:wordWrap/>
              <w:overflowPunct/>
              <w:topLinePunct w:val="0"/>
              <w:autoSpaceDE w:val="0"/>
              <w:autoSpaceDN w:val="0"/>
              <w:bidi w:val="0"/>
              <w:adjustRightInd/>
              <w:snapToGrid/>
              <w:spacing w:before="0" w:after="0" w:line="500" w:lineRule="exact"/>
              <w:ind w:right="0"/>
              <w:jc w:val="both"/>
              <w:textAlignment w:val="auto"/>
              <w:rPr>
                <w:sz w:val="24"/>
                <w:highlight w:val="none"/>
              </w:rPr>
            </w:pPr>
            <w:r>
              <w:rPr>
                <w:rFonts w:ascii="宋体" w:hAnsi="宋体" w:eastAsia="宋体" w:cs="宋体"/>
                <w:spacing w:val="-5"/>
                <w:sz w:val="24"/>
                <w:szCs w:val="24"/>
                <w:highlight w:val="none"/>
                <w:lang w:val="en-US" w:eastAsia="en-US" w:bidi="ar-SA"/>
              </w:rPr>
              <w:t>成交供应商拒绝签订政府采购合同的，采购人可以按照成交候选供应商的排序顺序由高到低原则确定其他候选供应商作为成交供应商并签订政府采购合同，也可以重新开展采购活动。无正当理由拒绝签订政府采购合同的成交供应商不得参加对该项目重新开展的采购活动，将被没收磋商保证金，依法追究并承担相应的法律责任。</w:t>
            </w:r>
          </w:p>
        </w:tc>
      </w:tr>
    </w:tbl>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0"/>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237" w:lineRule="auto"/>
        <w:ind w:left="0" w:right="0"/>
        <w:jc w:val="both"/>
        <w:textAlignment w:val="auto"/>
        <w:rPr>
          <w:highlight w:val="none"/>
        </w:rPr>
        <w:sectPr>
          <w:footerReference r:id="rId4" w:type="default"/>
          <w:pgSz w:w="11910" w:h="16840"/>
          <w:pgMar w:top="1380" w:right="1560" w:bottom="820" w:left="1560" w:header="0" w:footer="964" w:gutter="0"/>
          <w:pgBorders>
            <w:top w:val="none" w:sz="0" w:space="0"/>
            <w:left w:val="none" w:sz="0" w:space="0"/>
            <w:bottom w:val="none" w:sz="0" w:space="0"/>
            <w:right w:val="none" w:sz="0" w:space="0"/>
          </w:pgBorders>
          <w:pgNumType w:fmt="decimal"/>
        </w:sect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0"/>
          <w:highlight w:val="none"/>
        </w:rPr>
      </w:pPr>
    </w:p>
    <w:tbl>
      <w:tblPr>
        <w:tblStyle w:val="13"/>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5"/>
        <w:gridCol w:w="1545"/>
        <w:gridCol w:w="6150"/>
        <w:gridCol w:w="1350"/>
        <w:gridCol w:w="1365"/>
        <w:gridCol w:w="1335"/>
        <w:gridCol w:w="1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blHeader/>
        </w:trPr>
        <w:tc>
          <w:tcPr>
            <w:tcW w:w="14000" w:type="dxa"/>
            <w:gridSpan w:val="7"/>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b/>
                <w:sz w:val="31"/>
                <w:highlight w:val="none"/>
              </w:rPr>
            </w:pPr>
            <w:r>
              <w:rPr>
                <w:b/>
                <w:w w:val="95"/>
                <w:sz w:val="31"/>
                <w:highlight w:val="none"/>
              </w:rPr>
              <w:t>资格、符合性审查表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blHeader/>
        </w:trPr>
        <w:tc>
          <w:tcPr>
            <w:tcW w:w="14000" w:type="dxa"/>
            <w:gridSpan w:val="7"/>
          </w:tcPr>
          <w:p>
            <w:pPr>
              <w:pStyle w:val="19"/>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jc w:val="both"/>
              <w:textAlignment w:val="auto"/>
              <w:rPr>
                <w:sz w:val="24"/>
                <w:highlight w:val="none"/>
              </w:rPr>
            </w:pPr>
            <w:r>
              <w:rPr>
                <w:sz w:val="24"/>
                <w:highlight w:val="none"/>
              </w:rPr>
              <w:t>项目名称：</w:t>
            </w:r>
            <w:r>
              <w:rPr>
                <w:rFonts w:hint="eastAsia"/>
                <w:sz w:val="24"/>
                <w:highlight w:val="none"/>
                <w:lang w:val="en-US" w:eastAsia="zh-CN"/>
              </w:rPr>
              <w:t>江口县2018年农村“厕所革命”省级奖补资金工程项目采购</w:t>
            </w:r>
          </w:p>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4"/>
                <w:highlight w:val="none"/>
              </w:rPr>
            </w:pPr>
            <w:r>
              <w:rPr>
                <w:sz w:val="24"/>
                <w:highlight w:val="none"/>
              </w:rPr>
              <w:t>项目编号：</w:t>
            </w:r>
            <w:r>
              <w:rPr>
                <w:rFonts w:hint="eastAsia"/>
                <w:sz w:val="24"/>
                <w:highlight w:val="none"/>
                <w:lang w:val="en-US" w:eastAsia="zh-CN"/>
              </w:rPr>
              <w:t>GZZY-CG-2020100(-10)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blHeader/>
        </w:trPr>
        <w:tc>
          <w:tcPr>
            <w:tcW w:w="14000" w:type="dxa"/>
            <w:gridSpan w:val="7"/>
            <w:tcBorders>
              <w:bottom w:val="single" w:color="000000" w:sz="6" w:space="0"/>
            </w:tcBorders>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jc w:val="both"/>
              <w:textAlignment w:val="auto"/>
              <w:rPr>
                <w:sz w:val="24"/>
                <w:highlight w:val="none"/>
              </w:rPr>
            </w:pPr>
            <w:r>
              <w:rPr>
                <w:sz w:val="24"/>
                <w:highlight w:val="none"/>
              </w:rPr>
              <w:t>评标地点：铜仁市公共资源交易中心</w:t>
            </w:r>
            <w:r>
              <w:rPr>
                <w:rFonts w:hint="eastAsia"/>
                <w:sz w:val="24"/>
                <w:highlight w:val="none"/>
                <w:lang w:eastAsia="zh-CN"/>
              </w:rPr>
              <w:t>江口</w:t>
            </w:r>
            <w:r>
              <w:rPr>
                <w:sz w:val="24"/>
                <w:highlight w:val="none"/>
              </w:rPr>
              <w:t>分中心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blHeader/>
        </w:trPr>
        <w:tc>
          <w:tcPr>
            <w:tcW w:w="1005"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79" w:lineRule="exact"/>
              <w:ind w:left="0" w:right="0"/>
              <w:jc w:val="center"/>
              <w:textAlignment w:val="auto"/>
              <w:rPr>
                <w:sz w:val="24"/>
                <w:highlight w:val="none"/>
              </w:rPr>
            </w:pPr>
            <w:r>
              <w:rPr>
                <w:sz w:val="24"/>
                <w:highlight w:val="none"/>
              </w:rPr>
              <w:t>序号</w:t>
            </w:r>
          </w:p>
        </w:tc>
        <w:tc>
          <w:tcPr>
            <w:tcW w:w="7695" w:type="dxa"/>
            <w:gridSpan w:val="2"/>
            <w:tcBorders>
              <w:tl2br w:val="single" w:color="000000" w:sz="4" w:space="0"/>
            </w:tcBorders>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eastAsia"/>
                <w:sz w:val="24"/>
                <w:highlight w:val="none"/>
                <w:lang w:eastAsia="zh-CN"/>
              </w:rPr>
            </w:pPr>
            <w:r>
              <w:rPr>
                <w:rFonts w:hint="eastAsia"/>
                <w:sz w:val="24"/>
                <w:highlight w:val="none"/>
                <w:lang w:val="en-US" w:eastAsia="zh-CN"/>
              </w:rPr>
              <w:t xml:space="preserve">           </w:t>
            </w:r>
            <w:r>
              <w:rPr>
                <w:rFonts w:hint="eastAsia"/>
                <w:sz w:val="24"/>
                <w:highlight w:val="none"/>
                <w:lang w:eastAsia="zh-CN"/>
              </w:rPr>
              <w:t>供应商名称</w:t>
            </w:r>
          </w:p>
          <w:p>
            <w:pPr>
              <w:pStyle w:val="19"/>
              <w:keepNext w:val="0"/>
              <w:keepLines w:val="0"/>
              <w:pageBreakBefore w:val="0"/>
              <w:widowControl w:val="0"/>
              <w:kinsoku/>
              <w:wordWrap/>
              <w:overflowPunct/>
              <w:topLinePunct w:val="0"/>
              <w:autoSpaceDE w:val="0"/>
              <w:autoSpaceDN w:val="0"/>
              <w:bidi w:val="0"/>
              <w:adjustRightInd/>
              <w:snapToGrid/>
              <w:spacing w:before="0" w:after="0"/>
              <w:ind w:left="0" w:right="0" w:firstLine="960" w:firstLineChars="400"/>
              <w:jc w:val="both"/>
              <w:textAlignment w:val="auto"/>
              <w:rPr>
                <w:rFonts w:hint="eastAsia"/>
                <w:sz w:val="24"/>
                <w:highlight w:val="none"/>
                <w:lang w:eastAsia="zh-CN"/>
              </w:rPr>
            </w:pPr>
            <w:r>
              <w:rPr>
                <w:rFonts w:hint="eastAsia"/>
                <w:sz w:val="24"/>
                <w:highlight w:val="none"/>
                <w:lang w:eastAsia="zh-CN"/>
              </w:rPr>
              <w:t>资格审查项目</w:t>
            </w:r>
          </w:p>
        </w:tc>
        <w:tc>
          <w:tcPr>
            <w:tcW w:w="1350"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79" w:lineRule="exact"/>
              <w:ind w:left="0" w:right="0"/>
              <w:jc w:val="center"/>
              <w:textAlignment w:val="auto"/>
              <w:rPr>
                <w:b/>
                <w:sz w:val="24"/>
                <w:highlight w:val="none"/>
              </w:rPr>
            </w:pPr>
            <w:r>
              <w:rPr>
                <w:b/>
                <w:sz w:val="24"/>
                <w:highlight w:val="none"/>
              </w:rPr>
              <w:t>供应商 1</w:t>
            </w:r>
          </w:p>
        </w:tc>
        <w:tc>
          <w:tcPr>
            <w:tcW w:w="1365"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79" w:lineRule="exact"/>
              <w:ind w:left="0" w:right="0"/>
              <w:jc w:val="center"/>
              <w:textAlignment w:val="auto"/>
              <w:rPr>
                <w:b/>
                <w:sz w:val="24"/>
                <w:highlight w:val="none"/>
              </w:rPr>
            </w:pPr>
            <w:r>
              <w:rPr>
                <w:b/>
                <w:sz w:val="24"/>
                <w:highlight w:val="none"/>
              </w:rPr>
              <w:t>供应商 2</w:t>
            </w:r>
          </w:p>
        </w:tc>
        <w:tc>
          <w:tcPr>
            <w:tcW w:w="1335"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79" w:lineRule="exact"/>
              <w:ind w:left="0" w:right="0"/>
              <w:jc w:val="center"/>
              <w:textAlignment w:val="auto"/>
              <w:rPr>
                <w:b/>
                <w:sz w:val="24"/>
                <w:highlight w:val="none"/>
              </w:rPr>
            </w:pPr>
            <w:r>
              <w:rPr>
                <w:b/>
                <w:sz w:val="24"/>
                <w:highlight w:val="none"/>
              </w:rPr>
              <w:t>供应商 3</w:t>
            </w:r>
          </w:p>
        </w:tc>
        <w:tc>
          <w:tcPr>
            <w:tcW w:w="1250"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79" w:lineRule="exact"/>
              <w:ind w:left="0" w:right="0"/>
              <w:jc w:val="center"/>
              <w:textAlignment w:val="auto"/>
              <w:rPr>
                <w:b/>
                <w:sz w:val="24"/>
                <w:highlight w:val="none"/>
              </w:rPr>
            </w:pPr>
            <w:r>
              <w:rPr>
                <w:b/>
                <w:sz w:val="24"/>
                <w:highlight w:val="none"/>
              </w:rPr>
              <w:t>供应商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005"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jc w:val="center"/>
              <w:textAlignment w:val="auto"/>
              <w:rPr>
                <w:sz w:val="24"/>
                <w:highlight w:val="none"/>
              </w:rPr>
            </w:pPr>
            <w:r>
              <w:rPr>
                <w:sz w:val="24"/>
                <w:highlight w:val="none"/>
              </w:rPr>
              <w:t>1</w:t>
            </w:r>
          </w:p>
        </w:tc>
        <w:tc>
          <w:tcPr>
            <w:tcW w:w="1545"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jc w:val="center"/>
              <w:textAlignment w:val="auto"/>
              <w:rPr>
                <w:sz w:val="24"/>
                <w:highlight w:val="none"/>
              </w:rPr>
            </w:pPr>
            <w:r>
              <w:rPr>
                <w:sz w:val="24"/>
                <w:highlight w:val="none"/>
              </w:rPr>
              <w:t>资格性要求</w:t>
            </w:r>
          </w:p>
        </w:tc>
        <w:tc>
          <w:tcPr>
            <w:tcW w:w="6150" w:type="dxa"/>
          </w:tcPr>
          <w:p>
            <w:pPr>
              <w:pStyle w:val="1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both"/>
              <w:textAlignment w:val="auto"/>
              <w:rPr>
                <w:sz w:val="21"/>
                <w:szCs w:val="21"/>
                <w:highlight w:val="none"/>
              </w:rPr>
            </w:pPr>
            <w:r>
              <w:rPr>
                <w:sz w:val="21"/>
                <w:szCs w:val="21"/>
                <w:highlight w:val="none"/>
              </w:rPr>
              <w:t>合格的磋商供应商一般资格要求：</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leftChars="0" w:right="0" w:firstLine="480" w:firstLineChars="200"/>
              <w:jc w:val="both"/>
              <w:textAlignment w:val="auto"/>
              <w:rPr>
                <w:highlight w:val="none"/>
              </w:rPr>
            </w:pPr>
            <w:r>
              <w:rPr>
                <w:color w:val="333333"/>
                <w:highlight w:val="none"/>
              </w:rPr>
              <w:t>1</w:t>
            </w:r>
            <w:r>
              <w:rPr>
                <w:rFonts w:hint="eastAsia"/>
                <w:color w:val="333333"/>
                <w:highlight w:val="none"/>
                <w:lang w:val="en-US" w:eastAsia="zh-CN"/>
              </w:rPr>
              <w:t>.</w:t>
            </w:r>
            <w:r>
              <w:rPr>
                <w:color w:val="333333"/>
                <w:spacing w:val="-4"/>
                <w:highlight w:val="none"/>
              </w:rPr>
              <w:t xml:space="preserve">符合《中华人民共和国政府采购法》第 </w:t>
            </w:r>
            <w:r>
              <w:rPr>
                <w:color w:val="333333"/>
                <w:highlight w:val="none"/>
              </w:rPr>
              <w:t>22</w:t>
            </w:r>
            <w:r>
              <w:rPr>
                <w:color w:val="333333"/>
                <w:spacing w:val="-10"/>
                <w:highlight w:val="none"/>
              </w:rPr>
              <w:t xml:space="preserve"> 条的条件；</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firstLine="480" w:firstLineChars="200"/>
              <w:jc w:val="both"/>
              <w:textAlignment w:val="auto"/>
              <w:rPr>
                <w:rFonts w:hint="eastAsia"/>
                <w:color w:val="333333"/>
                <w:highlight w:val="none"/>
              </w:rPr>
            </w:pPr>
            <w:r>
              <w:rPr>
                <w:rFonts w:hint="eastAsia"/>
                <w:color w:val="333333"/>
                <w:highlight w:val="none"/>
                <w:lang w:val="en-US" w:eastAsia="zh-CN"/>
              </w:rPr>
              <w:t>1</w:t>
            </w:r>
            <w:r>
              <w:rPr>
                <w:color w:val="333333"/>
                <w:highlight w:val="none"/>
              </w:rPr>
              <w:t>）</w:t>
            </w:r>
            <w:r>
              <w:rPr>
                <w:rFonts w:hint="eastAsia"/>
                <w:color w:val="333333"/>
                <w:highlight w:val="none"/>
              </w:rPr>
              <w:t>具有独立承担民事责任的能力；具备有效的工商营业执照副本（三证合一）复印件加盖鲜章（或营业执照、税务登记证、组织机构代码证）；</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firstLine="480" w:firstLineChars="200"/>
              <w:jc w:val="both"/>
              <w:textAlignment w:val="auto"/>
              <w:rPr>
                <w:color w:val="333333"/>
                <w:highlight w:val="none"/>
              </w:rPr>
            </w:pPr>
            <w:r>
              <w:rPr>
                <w:color w:val="333333"/>
                <w:highlight w:val="none"/>
              </w:rPr>
              <w:t>2）具有良好的商业信誉和健全的财务会计制度：</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firstLine="480" w:firstLineChars="200"/>
              <w:jc w:val="both"/>
              <w:textAlignment w:val="auto"/>
              <w:rPr>
                <w:highlight w:val="none"/>
              </w:rPr>
            </w:pPr>
            <w:r>
              <w:rPr>
                <w:rFonts w:hint="eastAsia" w:hAnsi="宋体" w:cs="宋体"/>
                <w:color w:val="000000"/>
                <w:sz w:val="24"/>
                <w:szCs w:val="24"/>
              </w:rPr>
              <w:t>具体要求：应提供2019年度经审计的财务报告或基本开户银行出具的资信证明。新成立未满一年、部分其他组织和自然人，没有经审计的财务报告，可以提供银行出具的资信证明；</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20" w:lineRule="exact"/>
              <w:ind w:leftChars="200" w:right="0" w:rightChars="0"/>
              <w:jc w:val="both"/>
              <w:textAlignment w:val="auto"/>
              <w:rPr>
                <w:color w:val="333333"/>
                <w:highlight w:val="none"/>
              </w:rPr>
            </w:pPr>
            <w:r>
              <w:rPr>
                <w:rFonts w:hint="eastAsia"/>
                <w:color w:val="333333"/>
                <w:highlight w:val="none"/>
                <w:lang w:val="en-US" w:eastAsia="zh-CN"/>
              </w:rPr>
              <w:t>3）</w:t>
            </w:r>
            <w:r>
              <w:rPr>
                <w:color w:val="333333"/>
                <w:highlight w:val="none"/>
              </w:rPr>
              <w:t>具有依法缴纳税收和社会保障资金的良好记录：</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20" w:lineRule="exact"/>
              <w:ind w:left="0" w:leftChars="0" w:right="0" w:rightChars="0" w:firstLine="439" w:firstLineChars="183"/>
              <w:jc w:val="both"/>
              <w:textAlignment w:val="auto"/>
              <w:rPr>
                <w:color w:val="333333"/>
                <w:highlight w:val="none"/>
              </w:rPr>
            </w:pPr>
            <w:r>
              <w:rPr>
                <w:rFonts w:hint="eastAsia"/>
                <w:color w:val="333333"/>
              </w:rPr>
              <w:t>具体要求：</w:t>
            </w:r>
            <w:r>
              <w:rPr>
                <w:color w:val="333333"/>
                <w:highlight w:val="none"/>
              </w:rPr>
              <w:t>供应商</w:t>
            </w:r>
            <w:r>
              <w:rPr>
                <w:rFonts w:hint="eastAsia"/>
                <w:color w:val="333333"/>
                <w:highlight w:val="none"/>
                <w:lang w:val="en-US" w:eastAsia="zh-CN"/>
              </w:rPr>
              <w:t>自行</w:t>
            </w:r>
            <w:r>
              <w:rPr>
                <w:color w:val="333333"/>
                <w:highlight w:val="none"/>
              </w:rPr>
              <w:t>提供的承诺作为证明材料）</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firstLine="480" w:firstLineChars="200"/>
              <w:jc w:val="both"/>
              <w:textAlignment w:val="auto"/>
              <w:rPr>
                <w:color w:val="333333"/>
                <w:highlight w:val="none"/>
              </w:rPr>
            </w:pPr>
            <w:r>
              <w:rPr>
                <w:color w:val="333333"/>
                <w:highlight w:val="none"/>
              </w:rPr>
              <w:t>4)参加本次政府采购活动前三年内，在经营活动中没有违法违规记录：提供参加政府采购活动前 3 年内在经营活动中没有重大违法记录的书面声明；</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firstLine="480" w:firstLineChars="200"/>
              <w:jc w:val="both"/>
              <w:textAlignment w:val="auto"/>
              <w:rPr>
                <w:rFonts w:hint="eastAsia"/>
                <w:color w:val="333333"/>
                <w:spacing w:val="2"/>
                <w:highlight w:val="none"/>
              </w:rPr>
            </w:pPr>
            <w:r>
              <w:rPr>
                <w:color w:val="333333"/>
                <w:highlight w:val="none"/>
              </w:rPr>
              <w:t>5)法律、行政法规规定的其他条件：提供诚信资格证明材料：对列入失信被执行人、重大税收违法案件当事人名单、政府采购严重违法失信行为记录名单及其他不符合《中华人民共和国政府采购法》第二十二条规定</w:t>
            </w:r>
            <w:r>
              <w:rPr>
                <w:color w:val="333333"/>
                <w:spacing w:val="-12"/>
                <w:highlight w:val="none"/>
              </w:rPr>
              <w:t>条件的供应商，拒绝其</w:t>
            </w:r>
            <w:r>
              <w:rPr>
                <w:color w:val="333333"/>
                <w:spacing w:val="2"/>
                <w:highlight w:val="none"/>
              </w:rPr>
              <w:t>参与投标。在</w:t>
            </w:r>
            <w:r>
              <w:rPr>
                <w:rFonts w:hint="eastAsia"/>
                <w:color w:val="333333"/>
                <w:spacing w:val="2"/>
                <w:highlight w:val="none"/>
              </w:rPr>
              <w:t>“信用中国”网站（www.creditchina.gov.cn）和政府采购严重违法失信行为记录名单（http://www.ccgp.gov.cn/search/cr/）查询的信用记录情况（对列入失信被执行人、重大税收违法案件当事人名单、政府采购严重违法失信行为记录名单的投标人，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p>
          <w:p>
            <w:pPr>
              <w:pStyle w:val="9"/>
              <w:keepNext w:val="0"/>
              <w:keepLines w:val="0"/>
              <w:pageBreakBefore w:val="0"/>
              <w:widowControl w:val="0"/>
              <w:kinsoku/>
              <w:wordWrap/>
              <w:overflowPunct/>
              <w:topLinePunct w:val="0"/>
              <w:autoSpaceDE w:val="0"/>
              <w:autoSpaceDN w:val="0"/>
              <w:bidi w:val="0"/>
              <w:adjustRightInd/>
              <w:snapToGrid/>
              <w:spacing w:before="0" w:after="0" w:line="420" w:lineRule="exact"/>
              <w:ind w:left="0" w:right="0"/>
              <w:jc w:val="both"/>
              <w:textAlignment w:val="auto"/>
              <w:rPr>
                <w:highlight w:val="none"/>
              </w:rPr>
            </w:pPr>
            <w:r>
              <w:rPr>
                <w:color w:val="333333"/>
                <w:highlight w:val="none"/>
              </w:rPr>
              <w:t>（2）本项目不接受联合体；</w:t>
            </w:r>
          </w:p>
          <w:p>
            <w:pPr>
              <w:keepNext w:val="0"/>
              <w:keepLines w:val="0"/>
              <w:pageBreakBefore w:val="0"/>
              <w:widowControl w:val="0"/>
              <w:kinsoku/>
              <w:wordWrap/>
              <w:overflowPunct/>
              <w:topLinePunct w:val="0"/>
              <w:autoSpaceDE w:val="0"/>
              <w:autoSpaceDN w:val="0"/>
              <w:bidi w:val="0"/>
              <w:adjustRightInd w:val="0"/>
              <w:snapToGrid/>
              <w:spacing w:line="420" w:lineRule="exact"/>
              <w:ind w:right="-158"/>
              <w:jc w:val="both"/>
              <w:textAlignment w:val="auto"/>
              <w:rPr>
                <w:sz w:val="24"/>
                <w:highlight w:val="none"/>
              </w:rPr>
            </w:pPr>
            <w:r>
              <w:rPr>
                <w:color w:val="333333"/>
                <w:highlight w:val="none"/>
              </w:rPr>
              <w:t>（3）</w:t>
            </w:r>
            <w:r>
              <w:rPr>
                <w:b/>
                <w:color w:val="333333"/>
                <w:highlight w:val="none"/>
              </w:rPr>
              <w:t>特殊资格要求：</w:t>
            </w:r>
            <w:r>
              <w:rPr>
                <w:rFonts w:hint="eastAsia" w:ascii="Calibri" w:hAnsi="Calibri" w:cs="宋体"/>
                <w:kern w:val="0"/>
                <w:sz w:val="24"/>
                <w:highlight w:val="none"/>
                <w:lang w:val="en-US" w:eastAsia="zh-CN"/>
              </w:rPr>
              <w:t>市政公用</w:t>
            </w:r>
            <w:r>
              <w:rPr>
                <w:rFonts w:hint="eastAsia" w:ascii="Calibri" w:hAnsi="Calibri" w:eastAsia="宋体" w:cs="宋体"/>
                <w:kern w:val="0"/>
                <w:sz w:val="24"/>
                <w:highlight w:val="none"/>
              </w:rPr>
              <w:t>工程施工</w:t>
            </w:r>
            <w:r>
              <w:rPr>
                <w:rFonts w:hint="eastAsia" w:ascii="Calibri" w:hAnsi="Calibri" w:cs="宋体"/>
                <w:kern w:val="0"/>
                <w:sz w:val="24"/>
                <w:highlight w:val="none"/>
                <w:lang w:eastAsia="zh-CN"/>
              </w:rPr>
              <w:t>总承包</w:t>
            </w:r>
            <w:r>
              <w:rPr>
                <w:rFonts w:hint="eastAsia" w:ascii="Calibri" w:hAnsi="Calibri" w:eastAsia="宋体" w:cs="宋体"/>
                <w:kern w:val="0"/>
                <w:sz w:val="24"/>
                <w:highlight w:val="none"/>
              </w:rPr>
              <w:t>三级及以上资质</w:t>
            </w:r>
            <w:r>
              <w:rPr>
                <w:rFonts w:hint="eastAsia" w:ascii="Calibri" w:hAnsi="Calibri" w:cs="宋体"/>
                <w:kern w:val="0"/>
                <w:sz w:val="24"/>
                <w:highlight w:val="none"/>
                <w:lang w:eastAsia="zh-CN"/>
              </w:rPr>
              <w:t>、</w:t>
            </w:r>
            <w:r>
              <w:rPr>
                <w:rFonts w:hint="eastAsia" w:ascii="Calibri" w:hAnsi="Calibri" w:eastAsia="宋体" w:cs="宋体"/>
                <w:kern w:val="0"/>
                <w:sz w:val="24"/>
                <w:highlight w:val="none"/>
              </w:rPr>
              <w:t>有效期内的安全生产许可证；</w:t>
            </w:r>
            <w:r>
              <w:rPr>
                <w:rFonts w:hint="eastAsia" w:ascii="Calibri" w:hAnsi="Calibri" w:cs="宋体"/>
                <w:kern w:val="0"/>
                <w:sz w:val="24"/>
                <w:highlight w:val="none"/>
                <w:lang w:val="en-US" w:eastAsia="zh-CN"/>
              </w:rPr>
              <w:t>项目经理需具备市政工程专业二级及以上注册建造师，并在人员、设备、资金上等方面具备相应的能力。</w:t>
            </w:r>
          </w:p>
        </w:tc>
        <w:tc>
          <w:tcPr>
            <w:tcW w:w="1350"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65"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35"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250"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1005"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80" w:lineRule="exact"/>
              <w:ind w:left="0" w:leftChars="0" w:right="0" w:rightChars="0"/>
              <w:jc w:val="center"/>
              <w:textAlignment w:val="auto"/>
              <w:rPr>
                <w:sz w:val="24"/>
                <w:highlight w:val="none"/>
              </w:rPr>
            </w:pPr>
            <w:r>
              <w:rPr>
                <w:sz w:val="24"/>
                <w:highlight w:val="none"/>
              </w:rPr>
              <w:t>2</w:t>
            </w:r>
          </w:p>
        </w:tc>
        <w:tc>
          <w:tcPr>
            <w:tcW w:w="1545" w:type="dxa"/>
            <w:vMerge w:val="restart"/>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80" w:lineRule="exact"/>
              <w:ind w:left="0" w:leftChars="0" w:right="0" w:rightChars="0"/>
              <w:jc w:val="center"/>
              <w:textAlignment w:val="auto"/>
              <w:rPr>
                <w:sz w:val="23"/>
                <w:highlight w:val="none"/>
              </w:rPr>
            </w:pPr>
            <w:r>
              <w:rPr>
                <w:sz w:val="23"/>
                <w:highlight w:val="none"/>
              </w:rPr>
              <w:t>符合性要求</w:t>
            </w:r>
          </w:p>
        </w:tc>
        <w:tc>
          <w:tcPr>
            <w:tcW w:w="6150"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81" w:lineRule="exact"/>
              <w:ind w:left="0" w:leftChars="0" w:right="0" w:rightChars="0"/>
              <w:jc w:val="both"/>
              <w:textAlignment w:val="auto"/>
              <w:rPr>
                <w:spacing w:val="-7"/>
                <w:sz w:val="21"/>
                <w:szCs w:val="21"/>
                <w:highlight w:val="none"/>
              </w:rPr>
            </w:pPr>
            <w:r>
              <w:rPr>
                <w:sz w:val="24"/>
                <w:highlight w:val="none"/>
              </w:rPr>
              <w:t>磋商代表若不是法定代表人，则必须提供法定代表人对磋商代表的授权书原件及磋商代表的身份证复印件（正反面均需复印）。</w:t>
            </w:r>
          </w:p>
        </w:tc>
        <w:tc>
          <w:tcPr>
            <w:tcW w:w="1350"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65"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35"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250"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005"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80" w:lineRule="exact"/>
              <w:ind w:left="0" w:leftChars="0" w:right="0" w:rightChars="0"/>
              <w:jc w:val="center"/>
              <w:textAlignment w:val="auto"/>
              <w:rPr>
                <w:sz w:val="24"/>
                <w:highlight w:val="none"/>
              </w:rPr>
            </w:pPr>
            <w:r>
              <w:rPr>
                <w:rFonts w:hint="eastAsia"/>
                <w:sz w:val="24"/>
                <w:highlight w:val="none"/>
                <w:lang w:val="en-US" w:eastAsia="zh-CN"/>
              </w:rPr>
              <w:t>3</w:t>
            </w:r>
          </w:p>
        </w:tc>
        <w:tc>
          <w:tcPr>
            <w:tcW w:w="1545" w:type="dxa"/>
            <w:vMerge w:val="continue"/>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80" w:lineRule="exact"/>
              <w:ind w:left="0" w:leftChars="0" w:right="0" w:rightChars="0"/>
              <w:jc w:val="center"/>
              <w:textAlignment w:val="auto"/>
              <w:rPr>
                <w:sz w:val="23"/>
                <w:highlight w:val="none"/>
              </w:rPr>
            </w:pPr>
          </w:p>
        </w:tc>
        <w:tc>
          <w:tcPr>
            <w:tcW w:w="6150" w:type="dxa"/>
            <w:vAlign w:val="top"/>
          </w:tcPr>
          <w:p>
            <w:pPr>
              <w:pStyle w:val="19"/>
              <w:keepNext w:val="0"/>
              <w:keepLines w:val="0"/>
              <w:pageBreakBefore w:val="0"/>
              <w:widowControl w:val="0"/>
              <w:kinsoku/>
              <w:wordWrap/>
              <w:overflowPunct/>
              <w:topLinePunct w:val="0"/>
              <w:autoSpaceDE w:val="0"/>
              <w:autoSpaceDN w:val="0"/>
              <w:bidi w:val="0"/>
              <w:adjustRightInd/>
              <w:snapToGrid/>
              <w:spacing w:before="0" w:after="0" w:line="279" w:lineRule="exact"/>
              <w:ind w:left="0" w:right="0"/>
              <w:jc w:val="both"/>
              <w:textAlignment w:val="auto"/>
              <w:rPr>
                <w:spacing w:val="-7"/>
                <w:sz w:val="21"/>
                <w:szCs w:val="21"/>
                <w:highlight w:val="none"/>
              </w:rPr>
            </w:pPr>
            <w:r>
              <w:rPr>
                <w:sz w:val="24"/>
                <w:highlight w:val="none"/>
              </w:rPr>
              <w:t>参加政府采购活动的磋商供应商应当具备《中华人民共和国政府采购法》。</w:t>
            </w:r>
          </w:p>
        </w:tc>
        <w:tc>
          <w:tcPr>
            <w:tcW w:w="1350"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65"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35"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250"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005"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80" w:lineRule="exact"/>
              <w:ind w:left="0" w:leftChars="0" w:right="0" w:rightChars="0"/>
              <w:jc w:val="center"/>
              <w:textAlignment w:val="auto"/>
              <w:rPr>
                <w:sz w:val="24"/>
                <w:highlight w:val="none"/>
              </w:rPr>
            </w:pPr>
            <w:r>
              <w:rPr>
                <w:rFonts w:hint="eastAsia"/>
                <w:sz w:val="24"/>
                <w:highlight w:val="none"/>
                <w:lang w:val="en-US" w:eastAsia="zh-CN"/>
              </w:rPr>
              <w:t>4</w:t>
            </w:r>
          </w:p>
        </w:tc>
        <w:tc>
          <w:tcPr>
            <w:tcW w:w="1545" w:type="dxa"/>
            <w:vMerge w:val="continue"/>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80" w:lineRule="exact"/>
              <w:ind w:left="0" w:leftChars="0" w:right="0" w:rightChars="0"/>
              <w:jc w:val="center"/>
              <w:textAlignment w:val="auto"/>
              <w:rPr>
                <w:sz w:val="23"/>
                <w:highlight w:val="none"/>
              </w:rPr>
            </w:pPr>
          </w:p>
        </w:tc>
        <w:tc>
          <w:tcPr>
            <w:tcW w:w="6150" w:type="dxa"/>
            <w:vAlign w:val="top"/>
          </w:tcPr>
          <w:p>
            <w:pPr>
              <w:pStyle w:val="19"/>
              <w:keepNext w:val="0"/>
              <w:keepLines w:val="0"/>
              <w:pageBreakBefore w:val="0"/>
              <w:widowControl w:val="0"/>
              <w:kinsoku/>
              <w:wordWrap/>
              <w:overflowPunct/>
              <w:topLinePunct w:val="0"/>
              <w:autoSpaceDE w:val="0"/>
              <w:autoSpaceDN w:val="0"/>
              <w:bidi w:val="0"/>
              <w:adjustRightInd/>
              <w:snapToGrid/>
              <w:spacing w:before="0" w:after="0" w:line="279" w:lineRule="exact"/>
              <w:ind w:left="0" w:leftChars="0" w:right="0" w:rightChars="0"/>
              <w:jc w:val="both"/>
              <w:textAlignment w:val="auto"/>
              <w:rPr>
                <w:spacing w:val="-7"/>
                <w:sz w:val="21"/>
                <w:szCs w:val="21"/>
                <w:highlight w:val="none"/>
              </w:rPr>
            </w:pPr>
            <w:r>
              <w:rPr>
                <w:sz w:val="24"/>
                <w:highlight w:val="none"/>
              </w:rPr>
              <w:t>磋商供应商的响应文件未按规定的响应截止时间之前提交的，其响应将被拒绝。</w:t>
            </w:r>
          </w:p>
        </w:tc>
        <w:tc>
          <w:tcPr>
            <w:tcW w:w="1350"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65"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35"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250"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005"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80" w:lineRule="exact"/>
              <w:ind w:left="0" w:leftChars="0" w:right="0" w:rightChars="0"/>
              <w:jc w:val="center"/>
              <w:textAlignment w:val="auto"/>
              <w:rPr>
                <w:rFonts w:hint="eastAsia"/>
                <w:sz w:val="24"/>
                <w:highlight w:val="none"/>
                <w:lang w:val="en-US" w:eastAsia="zh-CN"/>
              </w:rPr>
            </w:pPr>
            <w:r>
              <w:rPr>
                <w:sz w:val="24"/>
                <w:highlight w:val="none"/>
              </w:rPr>
              <w:t>5</w:t>
            </w:r>
          </w:p>
        </w:tc>
        <w:tc>
          <w:tcPr>
            <w:tcW w:w="1545" w:type="dxa"/>
            <w:vMerge w:val="continue"/>
            <w:vAlign w:val="top"/>
          </w:tcPr>
          <w:p>
            <w:pPr>
              <w:pStyle w:val="19"/>
              <w:keepNext w:val="0"/>
              <w:keepLines w:val="0"/>
              <w:pageBreakBefore w:val="0"/>
              <w:widowControl w:val="0"/>
              <w:kinsoku/>
              <w:wordWrap/>
              <w:overflowPunct/>
              <w:topLinePunct w:val="0"/>
              <w:autoSpaceDE w:val="0"/>
              <w:autoSpaceDN w:val="0"/>
              <w:bidi w:val="0"/>
              <w:adjustRightInd/>
              <w:snapToGrid/>
              <w:spacing w:before="0" w:after="0" w:line="276" w:lineRule="exact"/>
              <w:ind w:left="0" w:leftChars="0" w:right="0" w:rightChars="0"/>
              <w:jc w:val="both"/>
              <w:textAlignment w:val="auto"/>
              <w:rPr>
                <w:sz w:val="23"/>
                <w:highlight w:val="none"/>
              </w:rPr>
            </w:pPr>
          </w:p>
        </w:tc>
        <w:tc>
          <w:tcPr>
            <w:tcW w:w="6150" w:type="dxa"/>
            <w:vAlign w:val="top"/>
          </w:tcPr>
          <w:p>
            <w:pPr>
              <w:pStyle w:val="1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both"/>
              <w:textAlignment w:val="auto"/>
              <w:rPr>
                <w:sz w:val="24"/>
                <w:highlight w:val="none"/>
              </w:rPr>
            </w:pPr>
            <w:r>
              <w:rPr>
                <w:sz w:val="24"/>
                <w:highlight w:val="none"/>
              </w:rPr>
              <w:t>磋商供应商存在下列情形之一的，将被认定为串通响应行</w:t>
            </w:r>
          </w:p>
          <w:p>
            <w:pPr>
              <w:pStyle w:val="1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both"/>
              <w:textAlignment w:val="auto"/>
              <w:rPr>
                <w:sz w:val="24"/>
                <w:highlight w:val="none"/>
              </w:rPr>
            </w:pPr>
            <w:r>
              <w:rPr>
                <w:sz w:val="24"/>
                <w:highlight w:val="none"/>
              </w:rPr>
              <w:t>为并作无效响应处理：</w:t>
            </w:r>
          </w:p>
          <w:p>
            <w:pPr>
              <w:pStyle w:val="19"/>
              <w:keepNext w:val="0"/>
              <w:keepLines w:val="0"/>
              <w:pageBreakBefore w:val="0"/>
              <w:widowControl w:val="0"/>
              <w:kinsoku/>
              <w:wordWrap/>
              <w:overflowPunct/>
              <w:topLinePunct w:val="0"/>
              <w:autoSpaceDE w:val="0"/>
              <w:autoSpaceDN w:val="0"/>
              <w:bidi w:val="0"/>
              <w:adjustRightInd/>
              <w:snapToGrid/>
              <w:spacing w:before="0" w:after="0" w:line="360" w:lineRule="exact"/>
              <w:ind w:right="0"/>
              <w:jc w:val="both"/>
              <w:textAlignment w:val="auto"/>
              <w:rPr>
                <w:sz w:val="24"/>
                <w:highlight w:val="none"/>
              </w:rPr>
            </w:pPr>
            <w:r>
              <w:rPr>
                <w:sz w:val="24"/>
                <w:highlight w:val="none"/>
              </w:rPr>
              <w:t>（1）磋商响应供应商之间协商磋商报价等磋商响应文件的实质性内容；</w:t>
            </w:r>
          </w:p>
          <w:p>
            <w:pPr>
              <w:pStyle w:val="1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both"/>
              <w:textAlignment w:val="auto"/>
              <w:rPr>
                <w:sz w:val="24"/>
                <w:highlight w:val="none"/>
              </w:rPr>
            </w:pPr>
            <w:r>
              <w:rPr>
                <w:sz w:val="24"/>
                <w:highlight w:val="none"/>
              </w:rPr>
              <w:t>（2）磋商响应供应商之间约定成交供应商；</w:t>
            </w:r>
          </w:p>
          <w:p>
            <w:pPr>
              <w:pStyle w:val="1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both"/>
              <w:textAlignment w:val="auto"/>
              <w:rPr>
                <w:sz w:val="24"/>
                <w:highlight w:val="none"/>
              </w:rPr>
            </w:pPr>
            <w:r>
              <w:rPr>
                <w:sz w:val="24"/>
                <w:highlight w:val="none"/>
              </w:rPr>
              <w:t>（3）磋商响应供应商之间约定部分磋商响应供应商放弃磋商响应或者成交；</w:t>
            </w:r>
          </w:p>
          <w:p>
            <w:pPr>
              <w:pStyle w:val="19"/>
              <w:keepNext w:val="0"/>
              <w:keepLines w:val="0"/>
              <w:pageBreakBefore w:val="0"/>
              <w:widowControl w:val="0"/>
              <w:kinsoku/>
              <w:wordWrap/>
              <w:overflowPunct/>
              <w:topLinePunct w:val="0"/>
              <w:autoSpaceDE w:val="0"/>
              <w:autoSpaceDN w:val="0"/>
              <w:bidi w:val="0"/>
              <w:adjustRightInd/>
              <w:snapToGrid/>
              <w:spacing w:before="0" w:after="0" w:line="360" w:lineRule="exact"/>
              <w:ind w:right="0"/>
              <w:jc w:val="both"/>
              <w:textAlignment w:val="auto"/>
              <w:rPr>
                <w:sz w:val="24"/>
                <w:highlight w:val="none"/>
              </w:rPr>
            </w:pPr>
            <w:r>
              <w:rPr>
                <w:sz w:val="24"/>
                <w:highlight w:val="none"/>
              </w:rPr>
              <w:t>（4）属于同一集团、协会、商会等组织成员的磋商响应商按照该组织要求协同磋商响应；</w:t>
            </w:r>
          </w:p>
          <w:p>
            <w:pPr>
              <w:pStyle w:val="19"/>
              <w:keepNext w:val="0"/>
              <w:keepLines w:val="0"/>
              <w:pageBreakBefore w:val="0"/>
              <w:widowControl w:val="0"/>
              <w:kinsoku/>
              <w:wordWrap/>
              <w:overflowPunct/>
              <w:topLinePunct w:val="0"/>
              <w:autoSpaceDE w:val="0"/>
              <w:autoSpaceDN w:val="0"/>
              <w:bidi w:val="0"/>
              <w:adjustRightInd/>
              <w:snapToGrid/>
              <w:spacing w:before="0" w:after="0" w:line="360" w:lineRule="exact"/>
              <w:ind w:right="0"/>
              <w:jc w:val="both"/>
              <w:textAlignment w:val="auto"/>
              <w:rPr>
                <w:sz w:val="24"/>
                <w:highlight w:val="none"/>
              </w:rPr>
            </w:pPr>
            <w:r>
              <w:rPr>
                <w:sz w:val="24"/>
                <w:highlight w:val="none"/>
              </w:rPr>
              <w:t>（5）磋商响应供应商之间为谋取成交或者排斥特定磋商响应供应商而采取的其他联合行动；</w:t>
            </w:r>
          </w:p>
          <w:p>
            <w:pPr>
              <w:pStyle w:val="19"/>
              <w:keepNext w:val="0"/>
              <w:keepLines w:val="0"/>
              <w:pageBreakBefore w:val="0"/>
              <w:widowControl w:val="0"/>
              <w:kinsoku/>
              <w:wordWrap/>
              <w:overflowPunct/>
              <w:topLinePunct w:val="0"/>
              <w:autoSpaceDE w:val="0"/>
              <w:autoSpaceDN w:val="0"/>
              <w:bidi w:val="0"/>
              <w:adjustRightInd/>
              <w:snapToGrid/>
              <w:spacing w:before="0" w:after="0" w:line="360" w:lineRule="exact"/>
              <w:ind w:right="0"/>
              <w:jc w:val="both"/>
              <w:textAlignment w:val="auto"/>
              <w:rPr>
                <w:sz w:val="24"/>
                <w:highlight w:val="none"/>
              </w:rPr>
            </w:pPr>
            <w:r>
              <w:rPr>
                <w:sz w:val="24"/>
                <w:highlight w:val="none"/>
              </w:rPr>
              <w:t>（6）不同磋商响应供应商的响应文件由同一单位或者个人编制；</w:t>
            </w:r>
          </w:p>
          <w:p>
            <w:pPr>
              <w:pStyle w:val="19"/>
              <w:keepNext w:val="0"/>
              <w:keepLines w:val="0"/>
              <w:pageBreakBefore w:val="0"/>
              <w:widowControl w:val="0"/>
              <w:kinsoku/>
              <w:wordWrap/>
              <w:overflowPunct/>
              <w:topLinePunct w:val="0"/>
              <w:autoSpaceDE w:val="0"/>
              <w:autoSpaceDN w:val="0"/>
              <w:bidi w:val="0"/>
              <w:adjustRightInd/>
              <w:snapToGrid/>
              <w:spacing w:before="0" w:after="0" w:line="360" w:lineRule="exact"/>
              <w:ind w:right="0"/>
              <w:jc w:val="both"/>
              <w:textAlignment w:val="auto"/>
              <w:rPr>
                <w:sz w:val="24"/>
                <w:highlight w:val="none"/>
              </w:rPr>
            </w:pPr>
            <w:r>
              <w:rPr>
                <w:sz w:val="24"/>
                <w:highlight w:val="none"/>
              </w:rPr>
              <w:t>（7）不同磋商响应供应商委托同一单位或者个人办理磋商响应事宜；</w:t>
            </w:r>
          </w:p>
          <w:p>
            <w:pPr>
              <w:pStyle w:val="19"/>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rightChars="0"/>
              <w:jc w:val="both"/>
              <w:textAlignment w:val="auto"/>
              <w:rPr>
                <w:sz w:val="24"/>
                <w:highlight w:val="none"/>
              </w:rPr>
            </w:pPr>
            <w:r>
              <w:rPr>
                <w:sz w:val="24"/>
                <w:highlight w:val="none"/>
              </w:rPr>
              <w:t>（8）不同磋商响应供应商的响应文件载明的项目管理成员为同一人；</w:t>
            </w:r>
          </w:p>
          <w:p>
            <w:pPr>
              <w:pStyle w:val="1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both"/>
              <w:textAlignment w:val="auto"/>
              <w:rPr>
                <w:sz w:val="24"/>
                <w:highlight w:val="none"/>
              </w:rPr>
            </w:pPr>
            <w:r>
              <w:rPr>
                <w:sz w:val="24"/>
                <w:highlight w:val="none"/>
              </w:rPr>
              <w:t>（9）不同磋商响应供应商的响应文件异常一致或者报</w:t>
            </w:r>
          </w:p>
          <w:p>
            <w:pPr>
              <w:pStyle w:val="1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both"/>
              <w:textAlignment w:val="auto"/>
              <w:rPr>
                <w:sz w:val="24"/>
                <w:highlight w:val="none"/>
              </w:rPr>
            </w:pPr>
            <w:r>
              <w:rPr>
                <w:sz w:val="24"/>
                <w:highlight w:val="none"/>
              </w:rPr>
              <w:t>价呈规律性差异；</w:t>
            </w:r>
          </w:p>
          <w:p>
            <w:pPr>
              <w:pStyle w:val="1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both"/>
              <w:textAlignment w:val="auto"/>
              <w:rPr>
                <w:sz w:val="24"/>
                <w:highlight w:val="none"/>
              </w:rPr>
            </w:pPr>
            <w:r>
              <w:rPr>
                <w:sz w:val="24"/>
                <w:highlight w:val="none"/>
              </w:rPr>
              <w:t>（10）不同磋商响应供应商的响应文件相互混装；</w:t>
            </w:r>
          </w:p>
          <w:p>
            <w:pPr>
              <w:pStyle w:val="19"/>
              <w:keepNext w:val="0"/>
              <w:keepLines w:val="0"/>
              <w:pageBreakBefore w:val="0"/>
              <w:widowControl w:val="0"/>
              <w:kinsoku/>
              <w:wordWrap/>
              <w:overflowPunct/>
              <w:topLinePunct w:val="0"/>
              <w:autoSpaceDE w:val="0"/>
              <w:autoSpaceDN w:val="0"/>
              <w:bidi w:val="0"/>
              <w:adjustRightInd/>
              <w:snapToGrid/>
              <w:spacing w:before="0" w:after="0" w:line="360" w:lineRule="exact"/>
              <w:ind w:right="0"/>
              <w:jc w:val="both"/>
              <w:textAlignment w:val="auto"/>
              <w:rPr>
                <w:sz w:val="24"/>
                <w:highlight w:val="none"/>
              </w:rPr>
            </w:pPr>
            <w:r>
              <w:rPr>
                <w:sz w:val="24"/>
                <w:highlight w:val="none"/>
              </w:rPr>
              <w:t>（11）不同磋商响应供应商的磋商保证金从同一单位或者个人的账户转出。</w:t>
            </w:r>
          </w:p>
          <w:p>
            <w:pPr>
              <w:pStyle w:val="1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both"/>
              <w:textAlignment w:val="auto"/>
              <w:rPr>
                <w:sz w:val="24"/>
                <w:highlight w:val="none"/>
              </w:rPr>
            </w:pPr>
            <w:r>
              <w:rPr>
                <w:sz w:val="24"/>
                <w:highlight w:val="none"/>
              </w:rPr>
              <w:t>（12）不同磋商响应供应商的响应文件错、漏之处一致或雷同，且不能合理解释的；</w:t>
            </w:r>
          </w:p>
          <w:p>
            <w:pPr>
              <w:pStyle w:val="19"/>
              <w:keepNext w:val="0"/>
              <w:keepLines w:val="0"/>
              <w:pageBreakBefore w:val="0"/>
              <w:widowControl w:val="0"/>
              <w:kinsoku/>
              <w:wordWrap/>
              <w:overflowPunct/>
              <w:topLinePunct w:val="0"/>
              <w:autoSpaceDE w:val="0"/>
              <w:autoSpaceDN w:val="0"/>
              <w:bidi w:val="0"/>
              <w:adjustRightInd/>
              <w:snapToGrid/>
              <w:spacing w:before="0" w:after="0" w:line="360" w:lineRule="exact"/>
              <w:ind w:right="0"/>
              <w:jc w:val="both"/>
              <w:textAlignment w:val="auto"/>
              <w:rPr>
                <w:sz w:val="24"/>
                <w:highlight w:val="none"/>
              </w:rPr>
            </w:pPr>
            <w:r>
              <w:rPr>
                <w:sz w:val="24"/>
                <w:highlight w:val="none"/>
              </w:rPr>
              <w:t>（13）不同的磋商响应供应商的法定代表人、委托代理人等由同一个单位缴纳社会保险的；</w:t>
            </w:r>
          </w:p>
          <w:p>
            <w:pPr>
              <w:pStyle w:val="19"/>
              <w:keepNext w:val="0"/>
              <w:keepLines w:val="0"/>
              <w:pageBreakBefore w:val="0"/>
              <w:widowControl w:val="0"/>
              <w:kinsoku/>
              <w:wordWrap/>
              <w:overflowPunct/>
              <w:topLinePunct w:val="0"/>
              <w:autoSpaceDE w:val="0"/>
              <w:autoSpaceDN w:val="0"/>
              <w:bidi w:val="0"/>
              <w:adjustRightInd/>
              <w:snapToGrid/>
              <w:spacing w:before="0" w:after="0" w:line="360" w:lineRule="exact"/>
              <w:ind w:right="0"/>
              <w:jc w:val="both"/>
              <w:textAlignment w:val="auto"/>
              <w:rPr>
                <w:sz w:val="24"/>
                <w:highlight w:val="none"/>
              </w:rPr>
            </w:pPr>
            <w:r>
              <w:rPr>
                <w:sz w:val="24"/>
                <w:highlight w:val="none"/>
              </w:rPr>
              <w:t>（14）由同一人或分别由几个有利害关系的人携带两个以上（含两个）磋商响应供应商的企业资料参与资格审查、领取采购资料，或代表两个以上（含两个）磋商响应供应商参加项目答疑会、交纳或退还磋商保证金、参加磋商的；</w:t>
            </w:r>
          </w:p>
          <w:p>
            <w:pPr>
              <w:pStyle w:val="19"/>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rightChars="0"/>
              <w:jc w:val="both"/>
              <w:textAlignment w:val="auto"/>
              <w:rPr>
                <w:sz w:val="24"/>
                <w:highlight w:val="none"/>
              </w:rPr>
            </w:pPr>
            <w:r>
              <w:rPr>
                <w:sz w:val="24"/>
                <w:highlight w:val="none"/>
              </w:rPr>
              <w:t>（15）有关法律、法规或规章规定的其他串通行为。</w:t>
            </w:r>
          </w:p>
        </w:tc>
        <w:tc>
          <w:tcPr>
            <w:tcW w:w="1350"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65"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35"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250"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005"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80" w:lineRule="exact"/>
              <w:ind w:left="0" w:leftChars="0" w:right="0" w:rightChars="0"/>
              <w:jc w:val="center"/>
              <w:textAlignment w:val="auto"/>
              <w:rPr>
                <w:sz w:val="24"/>
                <w:highlight w:val="none"/>
              </w:rPr>
            </w:pPr>
            <w:r>
              <w:rPr>
                <w:sz w:val="24"/>
                <w:highlight w:val="none"/>
              </w:rPr>
              <w:t>6</w:t>
            </w:r>
          </w:p>
        </w:tc>
        <w:tc>
          <w:tcPr>
            <w:tcW w:w="1545" w:type="dxa"/>
            <w:vMerge w:val="restart"/>
            <w:vAlign w:val="top"/>
          </w:tcPr>
          <w:p>
            <w:pPr>
              <w:pStyle w:val="1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z w:val="23"/>
                <w:highlight w:val="none"/>
              </w:rPr>
            </w:pPr>
          </w:p>
          <w:p>
            <w:pPr>
              <w:pStyle w:val="1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z w:val="23"/>
                <w:highlight w:val="none"/>
              </w:rPr>
            </w:pPr>
          </w:p>
          <w:p>
            <w:pPr>
              <w:pStyle w:val="1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z w:val="23"/>
                <w:highlight w:val="none"/>
              </w:rPr>
            </w:pPr>
          </w:p>
          <w:p>
            <w:pPr>
              <w:pStyle w:val="1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z w:val="23"/>
                <w:highlight w:val="none"/>
              </w:rPr>
            </w:pPr>
          </w:p>
          <w:p>
            <w:pPr>
              <w:pStyle w:val="1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z w:val="23"/>
                <w:highlight w:val="none"/>
              </w:rPr>
            </w:pPr>
            <w:r>
              <w:rPr>
                <w:sz w:val="23"/>
                <w:highlight w:val="none"/>
              </w:rPr>
              <w:t>符合性要求</w:t>
            </w:r>
          </w:p>
        </w:tc>
        <w:tc>
          <w:tcPr>
            <w:tcW w:w="6150" w:type="dxa"/>
            <w:vAlign w:val="top"/>
          </w:tcPr>
          <w:p>
            <w:pPr>
              <w:pStyle w:val="1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both"/>
              <w:textAlignment w:val="auto"/>
              <w:rPr>
                <w:sz w:val="24"/>
                <w:highlight w:val="none"/>
              </w:rPr>
            </w:pPr>
            <w:r>
              <w:rPr>
                <w:sz w:val="24"/>
                <w:highlight w:val="none"/>
              </w:rPr>
              <w:t>响应文件有效期：响应文件提交截止之日起60日历天。有效期不足将导致其响应文件被拒绝。</w:t>
            </w:r>
          </w:p>
        </w:tc>
        <w:tc>
          <w:tcPr>
            <w:tcW w:w="1350"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65"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35"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250"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005"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80" w:lineRule="exact"/>
              <w:ind w:left="0" w:leftChars="0" w:right="0" w:rightChars="0"/>
              <w:jc w:val="center"/>
              <w:textAlignment w:val="auto"/>
              <w:rPr>
                <w:sz w:val="24"/>
                <w:highlight w:val="none"/>
              </w:rPr>
            </w:pPr>
            <w:r>
              <w:rPr>
                <w:sz w:val="24"/>
                <w:highlight w:val="none"/>
              </w:rPr>
              <w:t>7</w:t>
            </w:r>
          </w:p>
        </w:tc>
        <w:tc>
          <w:tcPr>
            <w:tcW w:w="1545" w:type="dxa"/>
            <w:vMerge w:val="continue"/>
            <w:vAlign w:val="top"/>
          </w:tcPr>
          <w:p>
            <w:pPr>
              <w:pStyle w:val="1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both"/>
              <w:textAlignment w:val="auto"/>
              <w:rPr>
                <w:sz w:val="23"/>
                <w:highlight w:val="none"/>
              </w:rPr>
            </w:pPr>
          </w:p>
        </w:tc>
        <w:tc>
          <w:tcPr>
            <w:tcW w:w="6150" w:type="dxa"/>
            <w:vAlign w:val="top"/>
          </w:tcPr>
          <w:p>
            <w:pPr>
              <w:pStyle w:val="1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both"/>
              <w:textAlignment w:val="auto"/>
              <w:rPr>
                <w:sz w:val="24"/>
                <w:highlight w:val="none"/>
              </w:rPr>
            </w:pPr>
            <w:r>
              <w:rPr>
                <w:sz w:val="24"/>
                <w:highlight w:val="none"/>
              </w:rPr>
              <w:t>未按规定提交磋商保证金，将被视为未响应磋商文件要求，取消其磋商资格。</w:t>
            </w:r>
          </w:p>
        </w:tc>
        <w:tc>
          <w:tcPr>
            <w:tcW w:w="1350"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65"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35"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250"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005"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80" w:lineRule="exact"/>
              <w:ind w:left="0" w:leftChars="0" w:right="0" w:rightChars="0"/>
              <w:jc w:val="center"/>
              <w:textAlignment w:val="auto"/>
              <w:rPr>
                <w:sz w:val="24"/>
                <w:highlight w:val="none"/>
              </w:rPr>
            </w:pPr>
            <w:r>
              <w:rPr>
                <w:sz w:val="24"/>
                <w:highlight w:val="none"/>
              </w:rPr>
              <w:t>8</w:t>
            </w:r>
          </w:p>
        </w:tc>
        <w:tc>
          <w:tcPr>
            <w:tcW w:w="1545" w:type="dxa"/>
            <w:vMerge w:val="continue"/>
            <w:vAlign w:val="top"/>
          </w:tcPr>
          <w:p>
            <w:pPr>
              <w:pStyle w:val="1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both"/>
              <w:textAlignment w:val="auto"/>
              <w:rPr>
                <w:sz w:val="23"/>
                <w:highlight w:val="none"/>
              </w:rPr>
            </w:pPr>
          </w:p>
        </w:tc>
        <w:tc>
          <w:tcPr>
            <w:tcW w:w="6150" w:type="dxa"/>
            <w:vAlign w:val="top"/>
          </w:tcPr>
          <w:p>
            <w:pPr>
              <w:pStyle w:val="1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both"/>
              <w:textAlignment w:val="auto"/>
              <w:rPr>
                <w:sz w:val="24"/>
                <w:highlight w:val="none"/>
              </w:rPr>
            </w:pPr>
            <w:r>
              <w:rPr>
                <w:sz w:val="24"/>
                <w:highlight w:val="none"/>
              </w:rPr>
              <w:t>实质性偏离是指：</w:t>
            </w:r>
          </w:p>
          <w:p>
            <w:pPr>
              <w:pStyle w:val="1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both"/>
              <w:textAlignment w:val="auto"/>
              <w:rPr>
                <w:sz w:val="24"/>
                <w:highlight w:val="none"/>
              </w:rPr>
            </w:pPr>
            <w:r>
              <w:rPr>
                <w:rFonts w:hint="eastAsia"/>
                <w:sz w:val="24"/>
                <w:highlight w:val="none"/>
                <w:lang w:eastAsia="zh-CN"/>
              </w:rPr>
              <w:t>（</w:t>
            </w:r>
            <w:r>
              <w:rPr>
                <w:rFonts w:hint="eastAsia"/>
                <w:sz w:val="24"/>
                <w:highlight w:val="none"/>
                <w:lang w:val="en-US" w:eastAsia="zh-CN"/>
              </w:rPr>
              <w:t>1</w:t>
            </w:r>
            <w:r>
              <w:rPr>
                <w:rFonts w:hint="eastAsia"/>
                <w:sz w:val="24"/>
                <w:highlight w:val="none"/>
                <w:lang w:eastAsia="zh-CN"/>
              </w:rPr>
              <w:t>）</w:t>
            </w:r>
            <w:r>
              <w:rPr>
                <w:sz w:val="24"/>
                <w:highlight w:val="none"/>
              </w:rPr>
              <w:t>实质性影响合同的范围、质量和履行；</w:t>
            </w:r>
          </w:p>
          <w:p>
            <w:pPr>
              <w:pStyle w:val="1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both"/>
              <w:textAlignment w:val="auto"/>
              <w:rPr>
                <w:sz w:val="24"/>
                <w:highlight w:val="none"/>
              </w:rPr>
            </w:pPr>
            <w:r>
              <w:rPr>
                <w:rFonts w:hint="eastAsia"/>
                <w:spacing w:val="-6"/>
                <w:sz w:val="24"/>
                <w:highlight w:val="none"/>
                <w:lang w:eastAsia="zh-CN"/>
              </w:rPr>
              <w:t>（</w:t>
            </w:r>
            <w:r>
              <w:rPr>
                <w:rFonts w:hint="eastAsia"/>
                <w:spacing w:val="-6"/>
                <w:sz w:val="24"/>
                <w:highlight w:val="none"/>
                <w:lang w:val="en-US" w:eastAsia="zh-CN"/>
              </w:rPr>
              <w:t>2</w:t>
            </w:r>
            <w:r>
              <w:rPr>
                <w:rFonts w:hint="eastAsia"/>
                <w:spacing w:val="-6"/>
                <w:sz w:val="24"/>
                <w:highlight w:val="none"/>
                <w:lang w:eastAsia="zh-CN"/>
              </w:rPr>
              <w:t>）</w:t>
            </w:r>
            <w:r>
              <w:rPr>
                <w:spacing w:val="-6"/>
                <w:sz w:val="24"/>
                <w:highlight w:val="none"/>
              </w:rPr>
              <w:t>实质性违背磋商文件，限制了采购人的权利和成交</w:t>
            </w:r>
          </w:p>
          <w:p>
            <w:pPr>
              <w:pStyle w:val="1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both"/>
              <w:textAlignment w:val="auto"/>
              <w:rPr>
                <w:sz w:val="24"/>
                <w:highlight w:val="none"/>
              </w:rPr>
            </w:pPr>
            <w:r>
              <w:rPr>
                <w:sz w:val="24"/>
                <w:highlight w:val="none"/>
              </w:rPr>
              <w:t>供应商合同项下的义务；</w:t>
            </w:r>
          </w:p>
          <w:p>
            <w:pPr>
              <w:pStyle w:val="1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both"/>
              <w:textAlignment w:val="auto"/>
              <w:rPr>
                <w:sz w:val="24"/>
                <w:highlight w:val="none"/>
              </w:rPr>
            </w:pPr>
            <w:r>
              <w:rPr>
                <w:rFonts w:hint="eastAsia"/>
                <w:sz w:val="24"/>
                <w:highlight w:val="none"/>
                <w:lang w:eastAsia="zh-CN"/>
              </w:rPr>
              <w:t>（</w:t>
            </w:r>
            <w:r>
              <w:rPr>
                <w:rFonts w:hint="eastAsia"/>
                <w:sz w:val="24"/>
                <w:highlight w:val="none"/>
                <w:lang w:val="en-US" w:eastAsia="zh-CN"/>
              </w:rPr>
              <w:t>3</w:t>
            </w:r>
            <w:r>
              <w:rPr>
                <w:rFonts w:hint="eastAsia"/>
                <w:sz w:val="24"/>
                <w:highlight w:val="none"/>
                <w:lang w:eastAsia="zh-CN"/>
              </w:rPr>
              <w:t>）</w:t>
            </w:r>
            <w:r>
              <w:rPr>
                <w:sz w:val="24"/>
                <w:highlight w:val="none"/>
              </w:rPr>
              <w:t>不公正地影响了其他作出实质性响应的磋商供应商的竞争地位。对没有实质性响应的磋商文件将不进行评审， 其报价将被拒绝。</w:t>
            </w:r>
          </w:p>
        </w:tc>
        <w:tc>
          <w:tcPr>
            <w:tcW w:w="1350"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65"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35"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250"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05"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80" w:lineRule="exact"/>
              <w:ind w:left="0" w:leftChars="0" w:right="0" w:rightChars="0"/>
              <w:jc w:val="center"/>
              <w:textAlignment w:val="auto"/>
              <w:rPr>
                <w:rFonts w:hint="eastAsia" w:eastAsia="宋体"/>
                <w:sz w:val="24"/>
                <w:highlight w:val="none"/>
                <w:lang w:val="en-US" w:eastAsia="zh-CN"/>
              </w:rPr>
            </w:pPr>
            <w:r>
              <w:rPr>
                <w:rFonts w:hint="eastAsia"/>
                <w:sz w:val="24"/>
                <w:highlight w:val="none"/>
                <w:lang w:val="en-US" w:eastAsia="zh-CN"/>
              </w:rPr>
              <w:t>9</w:t>
            </w:r>
          </w:p>
        </w:tc>
        <w:tc>
          <w:tcPr>
            <w:tcW w:w="1545" w:type="dxa"/>
            <w:vAlign w:val="top"/>
          </w:tcPr>
          <w:p>
            <w:pPr>
              <w:pStyle w:val="19"/>
              <w:keepNext w:val="0"/>
              <w:keepLines w:val="0"/>
              <w:pageBreakBefore w:val="0"/>
              <w:widowControl w:val="0"/>
              <w:kinsoku/>
              <w:wordWrap/>
              <w:overflowPunct/>
              <w:topLinePunct w:val="0"/>
              <w:autoSpaceDE w:val="0"/>
              <w:autoSpaceDN w:val="0"/>
              <w:bidi w:val="0"/>
              <w:adjustRightInd/>
              <w:snapToGrid/>
              <w:spacing w:before="0" w:after="0" w:line="276" w:lineRule="exact"/>
              <w:ind w:left="0" w:leftChars="0" w:right="0" w:rightChars="0"/>
              <w:jc w:val="both"/>
              <w:textAlignment w:val="auto"/>
            </w:pPr>
          </w:p>
          <w:p>
            <w:pPr>
              <w:bidi w:val="0"/>
            </w:pPr>
          </w:p>
          <w:p>
            <w:pPr>
              <w:bidi w:val="0"/>
            </w:pPr>
          </w:p>
          <w:p>
            <w:pPr>
              <w:bidi w:val="0"/>
            </w:pPr>
          </w:p>
          <w:p>
            <w:pPr>
              <w:bidi w:val="0"/>
            </w:pPr>
          </w:p>
          <w:p>
            <w:pPr>
              <w:bidi w:val="0"/>
            </w:pPr>
          </w:p>
          <w:p>
            <w:pPr>
              <w:bidi w:val="0"/>
            </w:pPr>
          </w:p>
          <w:p>
            <w:pPr>
              <w:bidi w:val="0"/>
            </w:pPr>
          </w:p>
          <w:p>
            <w:pPr>
              <w:bidi w:val="0"/>
            </w:pPr>
          </w:p>
          <w:p>
            <w:pPr>
              <w:bidi w:val="0"/>
              <w:jc w:val="center"/>
            </w:pPr>
            <w:r>
              <w:rPr>
                <w:sz w:val="23"/>
                <w:highlight w:val="none"/>
              </w:rPr>
              <w:t>符合性要求</w:t>
            </w:r>
          </w:p>
        </w:tc>
        <w:tc>
          <w:tcPr>
            <w:tcW w:w="6150" w:type="dxa"/>
            <w:vAlign w:val="top"/>
          </w:tcPr>
          <w:p>
            <w:pPr>
              <w:pStyle w:val="1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both"/>
              <w:textAlignment w:val="auto"/>
              <w:rPr>
                <w:sz w:val="24"/>
                <w:highlight w:val="none"/>
              </w:rPr>
            </w:pPr>
            <w:r>
              <w:rPr>
                <w:sz w:val="24"/>
                <w:highlight w:val="none"/>
              </w:rPr>
              <w:t>凡有下列情况之一者，响应文件也将被视为未实质性响应磋商文件要求：</w:t>
            </w:r>
          </w:p>
          <w:p>
            <w:pPr>
              <w:pStyle w:val="1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both"/>
              <w:textAlignment w:val="auto"/>
              <w:rPr>
                <w:sz w:val="24"/>
                <w:highlight w:val="none"/>
              </w:rPr>
            </w:pPr>
            <w:r>
              <w:rPr>
                <w:rFonts w:hint="eastAsia"/>
                <w:sz w:val="24"/>
                <w:highlight w:val="none"/>
                <w:lang w:eastAsia="zh-CN"/>
              </w:rPr>
              <w:t>（</w:t>
            </w:r>
            <w:r>
              <w:rPr>
                <w:rFonts w:hint="eastAsia"/>
                <w:sz w:val="24"/>
                <w:highlight w:val="none"/>
                <w:lang w:val="en-US" w:eastAsia="zh-CN"/>
              </w:rPr>
              <w:t>1</w:t>
            </w:r>
            <w:r>
              <w:rPr>
                <w:rFonts w:hint="eastAsia"/>
                <w:sz w:val="24"/>
                <w:highlight w:val="none"/>
                <w:lang w:eastAsia="zh-CN"/>
              </w:rPr>
              <w:t>）</w:t>
            </w:r>
            <w:r>
              <w:rPr>
                <w:sz w:val="24"/>
                <w:highlight w:val="none"/>
              </w:rPr>
              <w:t>响应文件未按照本须知规定进行密封、标记的；</w:t>
            </w:r>
          </w:p>
          <w:p>
            <w:pPr>
              <w:pStyle w:val="1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both"/>
              <w:textAlignment w:val="auto"/>
              <w:rPr>
                <w:sz w:val="24"/>
                <w:highlight w:val="none"/>
              </w:rPr>
            </w:pPr>
            <w:r>
              <w:rPr>
                <w:rFonts w:hint="eastAsia"/>
                <w:sz w:val="24"/>
                <w:highlight w:val="none"/>
                <w:lang w:eastAsia="zh-CN"/>
              </w:rPr>
              <w:t>（</w:t>
            </w:r>
            <w:r>
              <w:rPr>
                <w:rFonts w:hint="eastAsia"/>
                <w:sz w:val="24"/>
                <w:highlight w:val="none"/>
                <w:lang w:val="en-US" w:eastAsia="zh-CN"/>
              </w:rPr>
              <w:t>2</w:t>
            </w:r>
            <w:r>
              <w:rPr>
                <w:rFonts w:hint="eastAsia"/>
                <w:sz w:val="24"/>
                <w:highlight w:val="none"/>
                <w:lang w:eastAsia="zh-CN"/>
              </w:rPr>
              <w:t>）未</w:t>
            </w:r>
            <w:r>
              <w:rPr>
                <w:sz w:val="24"/>
                <w:highlight w:val="none"/>
              </w:rPr>
              <w:t>按规定由磋商响应供应商的法定代表人或其授权代表签章；或未加盖公章的；或授权代表未提供法定代表人有效授权委托书的；</w:t>
            </w:r>
          </w:p>
          <w:p>
            <w:pPr>
              <w:pStyle w:val="1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both"/>
              <w:textAlignment w:val="auto"/>
              <w:rPr>
                <w:sz w:val="24"/>
                <w:highlight w:val="none"/>
              </w:rPr>
            </w:pPr>
            <w:r>
              <w:rPr>
                <w:rFonts w:hint="eastAsia"/>
                <w:sz w:val="24"/>
                <w:highlight w:val="none"/>
                <w:lang w:eastAsia="zh-CN"/>
              </w:rPr>
              <w:t>（</w:t>
            </w:r>
            <w:r>
              <w:rPr>
                <w:rFonts w:hint="eastAsia"/>
                <w:sz w:val="24"/>
                <w:highlight w:val="none"/>
                <w:lang w:val="en-US" w:eastAsia="zh-CN"/>
              </w:rPr>
              <w:t>3</w:t>
            </w:r>
            <w:r>
              <w:rPr>
                <w:rFonts w:hint="eastAsia"/>
                <w:sz w:val="24"/>
                <w:highlight w:val="none"/>
                <w:lang w:eastAsia="zh-CN"/>
              </w:rPr>
              <w:t>）</w:t>
            </w:r>
            <w:r>
              <w:rPr>
                <w:sz w:val="24"/>
                <w:highlight w:val="none"/>
              </w:rPr>
              <w:t>磋商保证金未在磋商响应截止时间前到账的；</w:t>
            </w:r>
          </w:p>
          <w:p>
            <w:pPr>
              <w:pStyle w:val="1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both"/>
              <w:textAlignment w:val="auto"/>
              <w:rPr>
                <w:sz w:val="24"/>
                <w:highlight w:val="none"/>
              </w:rPr>
            </w:pPr>
            <w:r>
              <w:rPr>
                <w:rFonts w:hint="eastAsia"/>
                <w:sz w:val="24"/>
                <w:highlight w:val="none"/>
                <w:lang w:eastAsia="zh-CN"/>
              </w:rPr>
              <w:t>（</w:t>
            </w:r>
            <w:r>
              <w:rPr>
                <w:rFonts w:hint="eastAsia"/>
                <w:sz w:val="24"/>
                <w:highlight w:val="none"/>
                <w:lang w:val="en-US" w:eastAsia="zh-CN"/>
              </w:rPr>
              <w:t>4</w:t>
            </w:r>
            <w:r>
              <w:rPr>
                <w:rFonts w:hint="eastAsia"/>
                <w:sz w:val="24"/>
                <w:highlight w:val="none"/>
                <w:lang w:eastAsia="zh-CN"/>
              </w:rPr>
              <w:t>）</w:t>
            </w:r>
            <w:r>
              <w:rPr>
                <w:sz w:val="24"/>
                <w:highlight w:val="none"/>
              </w:rPr>
              <w:t>响应文件有效期不满足磋商文件要求的；</w:t>
            </w:r>
          </w:p>
          <w:p>
            <w:pPr>
              <w:pStyle w:val="1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both"/>
              <w:textAlignment w:val="auto"/>
              <w:rPr>
                <w:sz w:val="24"/>
                <w:highlight w:val="none"/>
              </w:rPr>
            </w:pPr>
            <w:r>
              <w:rPr>
                <w:rFonts w:hint="eastAsia"/>
                <w:sz w:val="24"/>
                <w:highlight w:val="none"/>
                <w:lang w:eastAsia="zh-CN"/>
              </w:rPr>
              <w:t>（</w:t>
            </w:r>
            <w:r>
              <w:rPr>
                <w:rFonts w:hint="eastAsia"/>
                <w:sz w:val="24"/>
                <w:highlight w:val="none"/>
                <w:lang w:val="en-US" w:eastAsia="zh-CN"/>
              </w:rPr>
              <w:t>5</w:t>
            </w:r>
            <w:r>
              <w:rPr>
                <w:rFonts w:hint="eastAsia"/>
                <w:sz w:val="24"/>
                <w:highlight w:val="none"/>
                <w:lang w:eastAsia="zh-CN"/>
              </w:rPr>
              <w:t>）</w:t>
            </w:r>
            <w:r>
              <w:rPr>
                <w:sz w:val="24"/>
                <w:highlight w:val="none"/>
              </w:rPr>
              <w:t>响应文件内容与采购内容及要求有重大偏离或保留的；</w:t>
            </w:r>
          </w:p>
          <w:p>
            <w:pPr>
              <w:pStyle w:val="1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both"/>
              <w:textAlignment w:val="auto"/>
              <w:rPr>
                <w:sz w:val="24"/>
                <w:highlight w:val="none"/>
              </w:rPr>
            </w:pPr>
            <w:r>
              <w:rPr>
                <w:rFonts w:hint="eastAsia"/>
                <w:sz w:val="24"/>
                <w:highlight w:val="none"/>
                <w:lang w:eastAsia="zh-CN"/>
              </w:rPr>
              <w:t>（</w:t>
            </w:r>
            <w:r>
              <w:rPr>
                <w:rFonts w:hint="eastAsia"/>
                <w:sz w:val="24"/>
                <w:highlight w:val="none"/>
                <w:lang w:val="en-US" w:eastAsia="zh-CN"/>
              </w:rPr>
              <w:t>6</w:t>
            </w:r>
            <w:r>
              <w:rPr>
                <w:rFonts w:hint="eastAsia"/>
                <w:sz w:val="24"/>
                <w:highlight w:val="none"/>
                <w:lang w:eastAsia="zh-CN"/>
              </w:rPr>
              <w:t>）</w:t>
            </w:r>
            <w:r>
              <w:rPr>
                <w:sz w:val="24"/>
                <w:highlight w:val="none"/>
              </w:rPr>
              <w:t>响应供应商提交的是可选择的报价；</w:t>
            </w:r>
          </w:p>
          <w:p>
            <w:pPr>
              <w:pStyle w:val="1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both"/>
              <w:textAlignment w:val="auto"/>
              <w:rPr>
                <w:sz w:val="24"/>
                <w:highlight w:val="none"/>
              </w:rPr>
            </w:pPr>
            <w:r>
              <w:rPr>
                <w:rFonts w:hint="eastAsia"/>
                <w:sz w:val="24"/>
                <w:highlight w:val="none"/>
                <w:lang w:eastAsia="zh-CN"/>
              </w:rPr>
              <w:t>（</w:t>
            </w:r>
            <w:r>
              <w:rPr>
                <w:rFonts w:hint="eastAsia"/>
                <w:sz w:val="24"/>
                <w:highlight w:val="none"/>
                <w:lang w:val="en-US" w:eastAsia="zh-CN"/>
              </w:rPr>
              <w:t>7</w:t>
            </w:r>
            <w:r>
              <w:rPr>
                <w:rFonts w:hint="eastAsia"/>
                <w:sz w:val="24"/>
                <w:highlight w:val="none"/>
                <w:lang w:eastAsia="zh-CN"/>
              </w:rPr>
              <w:t>）</w:t>
            </w:r>
            <w:r>
              <w:rPr>
                <w:sz w:val="24"/>
                <w:highlight w:val="none"/>
              </w:rPr>
              <w:t>响应供应商未按磋商文件要求进行分项报价；</w:t>
            </w:r>
          </w:p>
          <w:p>
            <w:pPr>
              <w:pStyle w:val="1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both"/>
              <w:textAlignment w:val="auto"/>
              <w:rPr>
                <w:sz w:val="24"/>
                <w:highlight w:val="none"/>
              </w:rPr>
            </w:pPr>
            <w:r>
              <w:rPr>
                <w:rFonts w:hint="eastAsia"/>
                <w:sz w:val="24"/>
                <w:highlight w:val="none"/>
                <w:lang w:eastAsia="zh-CN"/>
              </w:rPr>
              <w:t>（</w:t>
            </w:r>
            <w:r>
              <w:rPr>
                <w:rFonts w:hint="eastAsia"/>
                <w:sz w:val="24"/>
                <w:highlight w:val="none"/>
                <w:lang w:val="en-US" w:eastAsia="zh-CN"/>
              </w:rPr>
              <w:t>8</w:t>
            </w:r>
            <w:r>
              <w:rPr>
                <w:rFonts w:hint="eastAsia"/>
                <w:sz w:val="24"/>
                <w:highlight w:val="none"/>
                <w:lang w:eastAsia="zh-CN"/>
              </w:rPr>
              <w:t>）</w:t>
            </w:r>
            <w:r>
              <w:rPr>
                <w:sz w:val="24"/>
                <w:highlight w:val="none"/>
              </w:rPr>
              <w:t>响应文件中提供虚假或失实资料的；</w:t>
            </w:r>
          </w:p>
          <w:p>
            <w:pPr>
              <w:pStyle w:val="1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both"/>
              <w:textAlignment w:val="auto"/>
              <w:rPr>
                <w:sz w:val="24"/>
                <w:highlight w:val="none"/>
              </w:rPr>
            </w:pPr>
            <w:r>
              <w:rPr>
                <w:rFonts w:hint="eastAsia"/>
                <w:sz w:val="24"/>
                <w:highlight w:val="none"/>
                <w:lang w:eastAsia="zh-CN"/>
              </w:rPr>
              <w:t>（</w:t>
            </w:r>
            <w:r>
              <w:rPr>
                <w:rFonts w:hint="eastAsia"/>
                <w:sz w:val="24"/>
                <w:highlight w:val="none"/>
                <w:lang w:val="en-US" w:eastAsia="zh-CN"/>
              </w:rPr>
              <w:t>9</w:t>
            </w:r>
            <w:r>
              <w:rPr>
                <w:rFonts w:hint="eastAsia"/>
                <w:sz w:val="24"/>
                <w:highlight w:val="none"/>
                <w:lang w:eastAsia="zh-CN"/>
              </w:rPr>
              <w:t>）</w:t>
            </w:r>
            <w:r>
              <w:rPr>
                <w:sz w:val="24"/>
                <w:highlight w:val="none"/>
              </w:rPr>
              <w:t>不符合磋商文件中规定的其它实质性条款。磋商小组决定磋商响应供应商的响应性只根据响应文件本身的内容，而不寻求其他的外部证据。</w:t>
            </w:r>
          </w:p>
        </w:tc>
        <w:tc>
          <w:tcPr>
            <w:tcW w:w="1350"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65"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35"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250"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005"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80" w:lineRule="exact"/>
              <w:ind w:left="0" w:leftChars="0" w:right="0" w:rightChars="0"/>
              <w:jc w:val="center"/>
              <w:textAlignment w:val="auto"/>
              <w:rPr>
                <w:rFonts w:hint="default"/>
                <w:sz w:val="24"/>
                <w:highlight w:val="none"/>
                <w:lang w:val="en-US" w:eastAsia="zh-CN"/>
              </w:rPr>
            </w:pPr>
            <w:r>
              <w:rPr>
                <w:rFonts w:hint="eastAsia"/>
                <w:sz w:val="24"/>
                <w:highlight w:val="none"/>
                <w:lang w:val="en-US" w:eastAsia="zh-CN"/>
              </w:rPr>
              <w:t>10</w:t>
            </w:r>
          </w:p>
        </w:tc>
        <w:tc>
          <w:tcPr>
            <w:tcW w:w="1545" w:type="dxa"/>
            <w:vMerge w:val="restart"/>
            <w:vAlign w:val="top"/>
          </w:tcPr>
          <w:p>
            <w:pPr>
              <w:pStyle w:val="19"/>
              <w:keepNext w:val="0"/>
              <w:keepLines w:val="0"/>
              <w:pageBreakBefore w:val="0"/>
              <w:widowControl w:val="0"/>
              <w:kinsoku/>
              <w:wordWrap/>
              <w:overflowPunct/>
              <w:topLinePunct w:val="0"/>
              <w:autoSpaceDE w:val="0"/>
              <w:autoSpaceDN w:val="0"/>
              <w:bidi w:val="0"/>
              <w:adjustRightInd/>
              <w:snapToGrid/>
              <w:spacing w:before="0" w:after="0" w:line="276" w:lineRule="exact"/>
              <w:ind w:left="0" w:leftChars="0" w:right="0" w:rightChars="0"/>
              <w:jc w:val="both"/>
              <w:textAlignment w:val="auto"/>
            </w:pPr>
          </w:p>
          <w:p>
            <w:pPr>
              <w:bidi w:val="0"/>
            </w:pPr>
          </w:p>
          <w:p>
            <w:pPr>
              <w:bidi w:val="0"/>
            </w:pPr>
          </w:p>
          <w:p>
            <w:pPr>
              <w:bidi w:val="0"/>
            </w:pPr>
          </w:p>
          <w:p>
            <w:pPr>
              <w:bidi w:val="0"/>
            </w:pPr>
          </w:p>
          <w:p>
            <w:pPr>
              <w:bidi w:val="0"/>
            </w:pPr>
          </w:p>
          <w:p>
            <w:pPr>
              <w:bidi w:val="0"/>
            </w:pPr>
          </w:p>
          <w:p>
            <w:pPr>
              <w:bidi w:val="0"/>
              <w:ind w:firstLine="230" w:firstLineChars="100"/>
              <w:jc w:val="left"/>
            </w:pPr>
            <w:r>
              <w:rPr>
                <w:sz w:val="23"/>
                <w:highlight w:val="none"/>
              </w:rPr>
              <w:t>符合性要求</w:t>
            </w:r>
          </w:p>
        </w:tc>
        <w:tc>
          <w:tcPr>
            <w:tcW w:w="6150" w:type="dxa"/>
            <w:vAlign w:val="top"/>
          </w:tcPr>
          <w:p>
            <w:pPr>
              <w:pStyle w:val="19"/>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480"/>
              <w:jc w:val="both"/>
              <w:textAlignment w:val="auto"/>
              <w:rPr>
                <w:rFonts w:hint="eastAsia"/>
                <w:sz w:val="24"/>
                <w:highlight w:val="none"/>
                <w:lang w:eastAsia="zh-CN"/>
              </w:rPr>
            </w:pPr>
            <w:r>
              <w:rPr>
                <w:sz w:val="24"/>
                <w:highlight w:val="none"/>
              </w:rPr>
              <w:t>若磋商供应商的报价明显低于</w:t>
            </w:r>
            <w:r>
              <w:rPr>
                <w:rFonts w:hint="eastAsia"/>
                <w:sz w:val="24"/>
                <w:highlight w:val="none"/>
                <w:lang w:val="en-US" w:eastAsia="zh-CN"/>
              </w:rPr>
              <w:t>成本</w:t>
            </w:r>
            <w:r>
              <w:rPr>
                <w:sz w:val="24"/>
                <w:highlight w:val="none"/>
              </w:rPr>
              <w:t>报价，其报价可</w:t>
            </w:r>
            <w:r>
              <w:rPr>
                <w:spacing w:val="-11"/>
                <w:sz w:val="24"/>
                <w:highlight w:val="none"/>
              </w:rPr>
              <w:t>能低于成本的，有可能影响商品质量或不能诚信履约</w:t>
            </w:r>
            <w:r>
              <w:rPr>
                <w:spacing w:val="-12"/>
                <w:sz w:val="24"/>
                <w:highlight w:val="none"/>
              </w:rPr>
              <w:t>的，磋商供应商应按磋商小组要求作出书面说明并提供相关</w:t>
            </w:r>
            <w:r>
              <w:rPr>
                <w:spacing w:val="-14"/>
                <w:sz w:val="24"/>
                <w:highlight w:val="none"/>
              </w:rPr>
              <w:t>证明材料，不能合理说明或不能提供相关证明材料的，可作无效报价处理。</w:t>
            </w:r>
          </w:p>
        </w:tc>
        <w:tc>
          <w:tcPr>
            <w:tcW w:w="1350"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65"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35"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250"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005"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81" w:lineRule="exact"/>
              <w:ind w:left="0" w:leftChars="0" w:right="0" w:rightChars="0"/>
              <w:jc w:val="center"/>
              <w:textAlignment w:val="auto"/>
              <w:rPr>
                <w:rFonts w:hint="eastAsia"/>
                <w:sz w:val="24"/>
                <w:highlight w:val="none"/>
                <w:lang w:val="en-US" w:eastAsia="zh-CN"/>
              </w:rPr>
            </w:pPr>
            <w:r>
              <w:rPr>
                <w:sz w:val="24"/>
                <w:highlight w:val="none"/>
              </w:rPr>
              <w:t>11</w:t>
            </w:r>
          </w:p>
        </w:tc>
        <w:tc>
          <w:tcPr>
            <w:tcW w:w="1545" w:type="dxa"/>
            <w:vMerge w:val="continue"/>
            <w:vAlign w:val="top"/>
          </w:tcPr>
          <w:p>
            <w:pPr>
              <w:pStyle w:val="1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both"/>
              <w:textAlignment w:val="auto"/>
              <w:rPr>
                <w:sz w:val="23"/>
                <w:highlight w:val="none"/>
              </w:rPr>
            </w:pPr>
          </w:p>
        </w:tc>
        <w:tc>
          <w:tcPr>
            <w:tcW w:w="6150" w:type="dxa"/>
            <w:vAlign w:val="top"/>
          </w:tcPr>
          <w:p>
            <w:pPr>
              <w:pStyle w:val="19"/>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rightChars="0" w:firstLine="480" w:firstLineChars="200"/>
              <w:jc w:val="both"/>
              <w:textAlignment w:val="auto"/>
              <w:rPr>
                <w:sz w:val="24"/>
                <w:highlight w:val="none"/>
              </w:rPr>
            </w:pPr>
            <w:r>
              <w:rPr>
                <w:sz w:val="24"/>
                <w:highlight w:val="none"/>
              </w:rPr>
              <w:t>磋商小组将对磋商文件中列明的合格磋商供应商应符合“资格性要求”部分做资格审查，没有提供相关证明文件或文件未按规定签署盖章者将导致响应无效。</w:t>
            </w:r>
          </w:p>
        </w:tc>
        <w:tc>
          <w:tcPr>
            <w:tcW w:w="1350"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65"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35"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250"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005"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81" w:lineRule="exact"/>
              <w:ind w:left="0" w:leftChars="0" w:right="0" w:rightChars="0"/>
              <w:jc w:val="center"/>
              <w:textAlignment w:val="auto"/>
              <w:rPr>
                <w:rFonts w:hint="eastAsia"/>
                <w:sz w:val="24"/>
                <w:highlight w:val="none"/>
                <w:lang w:val="en-US" w:eastAsia="zh-CN"/>
              </w:rPr>
            </w:pPr>
            <w:r>
              <w:rPr>
                <w:sz w:val="24"/>
                <w:highlight w:val="none"/>
              </w:rPr>
              <w:t>12</w:t>
            </w:r>
          </w:p>
        </w:tc>
        <w:tc>
          <w:tcPr>
            <w:tcW w:w="1545" w:type="dxa"/>
            <w:vMerge w:val="continue"/>
            <w:vAlign w:val="top"/>
          </w:tcPr>
          <w:p>
            <w:pPr>
              <w:pStyle w:val="1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both"/>
              <w:textAlignment w:val="auto"/>
              <w:rPr>
                <w:sz w:val="23"/>
                <w:highlight w:val="none"/>
              </w:rPr>
            </w:pPr>
          </w:p>
        </w:tc>
        <w:tc>
          <w:tcPr>
            <w:tcW w:w="6150" w:type="dxa"/>
            <w:vAlign w:val="top"/>
          </w:tcPr>
          <w:p>
            <w:pPr>
              <w:pStyle w:val="19"/>
              <w:keepNext w:val="0"/>
              <w:keepLines w:val="0"/>
              <w:pageBreakBefore w:val="0"/>
              <w:widowControl w:val="0"/>
              <w:kinsoku/>
              <w:wordWrap/>
              <w:overflowPunct/>
              <w:topLinePunct w:val="0"/>
              <w:autoSpaceDE w:val="0"/>
              <w:autoSpaceDN w:val="0"/>
              <w:bidi w:val="0"/>
              <w:adjustRightInd/>
              <w:snapToGrid/>
              <w:spacing w:before="0" w:after="0" w:line="281" w:lineRule="exact"/>
              <w:ind w:left="0" w:right="0"/>
              <w:jc w:val="both"/>
              <w:textAlignment w:val="auto"/>
              <w:rPr>
                <w:sz w:val="24"/>
                <w:highlight w:val="none"/>
              </w:rPr>
            </w:pPr>
            <w:r>
              <w:rPr>
                <w:spacing w:val="-8"/>
                <w:sz w:val="24"/>
                <w:highlight w:val="none"/>
              </w:rPr>
              <w:t>全文中带有</w:t>
            </w:r>
            <w:r>
              <w:rPr>
                <w:spacing w:val="-12"/>
                <w:sz w:val="24"/>
                <w:highlight w:val="none"/>
              </w:rPr>
              <w:t>“*</w:t>
            </w:r>
            <w:r>
              <w:rPr>
                <w:spacing w:val="-7"/>
                <w:sz w:val="24"/>
                <w:highlight w:val="none"/>
              </w:rPr>
              <w:t>”的条款为关键性条款，如磋商供应商对</w:t>
            </w:r>
            <w:r>
              <w:rPr>
                <w:sz w:val="24"/>
                <w:highlight w:val="none"/>
              </w:rPr>
              <w:t>这些关键性条款还存在任何负偏离或不满足将导致报价无效。</w:t>
            </w:r>
          </w:p>
        </w:tc>
        <w:tc>
          <w:tcPr>
            <w:tcW w:w="1350"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65"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35"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250"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005"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79" w:lineRule="exact"/>
              <w:ind w:left="0" w:leftChars="0" w:right="0" w:rightChars="0"/>
              <w:jc w:val="center"/>
              <w:textAlignment w:val="auto"/>
              <w:rPr>
                <w:rFonts w:hint="eastAsia"/>
                <w:sz w:val="24"/>
                <w:highlight w:val="none"/>
                <w:lang w:val="en-US" w:eastAsia="zh-CN"/>
              </w:rPr>
            </w:pPr>
            <w:r>
              <w:rPr>
                <w:sz w:val="24"/>
                <w:highlight w:val="none"/>
              </w:rPr>
              <w:t>13</w:t>
            </w:r>
          </w:p>
        </w:tc>
        <w:tc>
          <w:tcPr>
            <w:tcW w:w="1545" w:type="dxa"/>
            <w:vMerge w:val="continue"/>
            <w:vAlign w:val="top"/>
          </w:tcPr>
          <w:p>
            <w:pPr>
              <w:pStyle w:val="1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both"/>
              <w:textAlignment w:val="auto"/>
              <w:rPr>
                <w:sz w:val="23"/>
                <w:highlight w:val="none"/>
              </w:rPr>
            </w:pPr>
          </w:p>
        </w:tc>
        <w:tc>
          <w:tcPr>
            <w:tcW w:w="6150" w:type="dxa"/>
            <w:vAlign w:val="top"/>
          </w:tcPr>
          <w:p>
            <w:pPr>
              <w:pStyle w:val="19"/>
              <w:keepNext w:val="0"/>
              <w:keepLines w:val="0"/>
              <w:pageBreakBefore w:val="0"/>
              <w:widowControl w:val="0"/>
              <w:kinsoku/>
              <w:wordWrap/>
              <w:overflowPunct/>
              <w:topLinePunct w:val="0"/>
              <w:autoSpaceDE w:val="0"/>
              <w:autoSpaceDN w:val="0"/>
              <w:bidi w:val="0"/>
              <w:adjustRightInd/>
              <w:snapToGrid/>
              <w:spacing w:before="0" w:after="0" w:line="279" w:lineRule="exact"/>
              <w:ind w:right="0"/>
              <w:jc w:val="both"/>
              <w:textAlignment w:val="auto"/>
              <w:rPr>
                <w:sz w:val="24"/>
                <w:highlight w:val="none"/>
              </w:rPr>
            </w:pPr>
            <w:r>
              <w:rPr>
                <w:b w:val="0"/>
                <w:bCs w:val="0"/>
                <w:sz w:val="24"/>
                <w:highlight w:val="none"/>
              </w:rPr>
              <w:t>供应商应响应文件份数：</w:t>
            </w:r>
            <w:r>
              <w:rPr>
                <w:rFonts w:hint="eastAsia"/>
                <w:b w:val="0"/>
                <w:bCs w:val="0"/>
                <w:sz w:val="24"/>
                <w:highlight w:val="none"/>
              </w:rPr>
              <w:t>加密的电子投标文件</w:t>
            </w:r>
            <w:r>
              <w:rPr>
                <w:b w:val="0"/>
                <w:bCs w:val="0"/>
                <w:sz w:val="24"/>
                <w:highlight w:val="none"/>
                <w:u w:val="single"/>
              </w:rPr>
              <w:t xml:space="preserve"> </w:t>
            </w:r>
            <w:r>
              <w:rPr>
                <w:rFonts w:hint="eastAsia"/>
                <w:b w:val="0"/>
                <w:bCs w:val="0"/>
                <w:sz w:val="24"/>
                <w:highlight w:val="none"/>
                <w:u w:val="single"/>
              </w:rPr>
              <w:t>1</w:t>
            </w:r>
            <w:r>
              <w:rPr>
                <w:b w:val="0"/>
                <w:bCs w:val="0"/>
                <w:sz w:val="24"/>
                <w:highlight w:val="none"/>
                <w:u w:val="single"/>
              </w:rPr>
              <w:t xml:space="preserve"> </w:t>
            </w:r>
            <w:r>
              <w:rPr>
                <w:b w:val="0"/>
                <w:bCs w:val="0"/>
                <w:sz w:val="24"/>
                <w:highlight w:val="none"/>
              </w:rPr>
              <w:t>份</w:t>
            </w:r>
            <w:r>
              <w:rPr>
                <w:rFonts w:hint="eastAsia"/>
                <w:b w:val="0"/>
                <w:bCs w:val="0"/>
                <w:sz w:val="24"/>
                <w:highlight w:val="none"/>
              </w:rPr>
              <w:t>（T</w:t>
            </w:r>
            <w:r>
              <w:rPr>
                <w:b w:val="0"/>
                <w:bCs w:val="0"/>
                <w:sz w:val="24"/>
                <w:highlight w:val="none"/>
              </w:rPr>
              <w:t>RTF</w:t>
            </w:r>
            <w:r>
              <w:rPr>
                <w:rFonts w:hint="eastAsia"/>
                <w:b w:val="0"/>
                <w:bCs w:val="0"/>
                <w:sz w:val="24"/>
                <w:highlight w:val="none"/>
              </w:rPr>
              <w:t>格式文件，在全国公共资源交易平台（贵州省·铜仁市）（jyzx.trs.gov.cn）指定位置上传）</w:t>
            </w:r>
            <w:r>
              <w:rPr>
                <w:rFonts w:hint="eastAsia"/>
                <w:b w:val="0"/>
                <w:bCs w:val="0"/>
                <w:sz w:val="24"/>
                <w:highlight w:val="none"/>
                <w:lang w:eastAsia="zh-CN"/>
              </w:rPr>
              <w:t>；</w:t>
            </w:r>
            <w:r>
              <w:rPr>
                <w:rFonts w:hint="eastAsia"/>
                <w:b w:val="0"/>
                <w:bCs w:val="0"/>
                <w:sz w:val="24"/>
                <w:highlight w:val="none"/>
              </w:rPr>
              <w:t>纸质投标文件：</w:t>
            </w:r>
            <w:r>
              <w:rPr>
                <w:b w:val="0"/>
                <w:bCs w:val="0"/>
                <w:sz w:val="24"/>
                <w:highlight w:val="none"/>
              </w:rPr>
              <w:t>响应文件正本</w:t>
            </w:r>
            <w:r>
              <w:rPr>
                <w:b w:val="0"/>
                <w:bCs w:val="0"/>
                <w:sz w:val="24"/>
                <w:highlight w:val="none"/>
                <w:u w:val="single"/>
              </w:rPr>
              <w:t xml:space="preserve">  </w:t>
            </w:r>
            <w:r>
              <w:rPr>
                <w:rFonts w:hint="eastAsia"/>
                <w:b w:val="0"/>
                <w:bCs w:val="0"/>
                <w:sz w:val="24"/>
                <w:highlight w:val="none"/>
                <w:u w:val="single"/>
              </w:rPr>
              <w:t>1</w:t>
            </w:r>
            <w:r>
              <w:rPr>
                <w:b w:val="0"/>
                <w:bCs w:val="0"/>
                <w:sz w:val="24"/>
                <w:highlight w:val="none"/>
                <w:u w:val="single"/>
              </w:rPr>
              <w:t xml:space="preserve"> </w:t>
            </w:r>
            <w:r>
              <w:rPr>
                <w:b w:val="0"/>
                <w:bCs w:val="0"/>
                <w:sz w:val="24"/>
                <w:highlight w:val="none"/>
              </w:rPr>
              <w:t>份，副本</w:t>
            </w:r>
            <w:r>
              <w:rPr>
                <w:b w:val="0"/>
                <w:bCs w:val="0"/>
                <w:spacing w:val="118"/>
                <w:sz w:val="24"/>
                <w:highlight w:val="none"/>
                <w:u w:val="single"/>
              </w:rPr>
              <w:t xml:space="preserve"> </w:t>
            </w:r>
            <w:r>
              <w:rPr>
                <w:rFonts w:hint="eastAsia"/>
                <w:b w:val="0"/>
                <w:bCs w:val="0"/>
                <w:sz w:val="24"/>
                <w:highlight w:val="none"/>
                <w:u w:val="single"/>
              </w:rPr>
              <w:t xml:space="preserve">3  </w:t>
            </w:r>
            <w:r>
              <w:rPr>
                <w:b w:val="0"/>
                <w:bCs w:val="0"/>
                <w:sz w:val="24"/>
                <w:highlight w:val="none"/>
              </w:rPr>
              <w:t>份,</w:t>
            </w:r>
            <w:r>
              <w:rPr>
                <w:rFonts w:hint="eastAsia"/>
                <w:b w:val="0"/>
                <w:bCs w:val="0"/>
                <w:sz w:val="24"/>
                <w:highlight w:val="none"/>
              </w:rPr>
              <w:t xml:space="preserve"> 非加密的电子投标文件（.n</w:t>
            </w:r>
            <w:r>
              <w:rPr>
                <w:b w:val="0"/>
                <w:bCs w:val="0"/>
                <w:sz w:val="24"/>
                <w:highlight w:val="none"/>
              </w:rPr>
              <w:t xml:space="preserve"> TRTF</w:t>
            </w:r>
            <w:r>
              <w:rPr>
                <w:rFonts w:hint="eastAsia"/>
                <w:b w:val="0"/>
                <w:bCs w:val="0"/>
                <w:sz w:val="24"/>
                <w:highlight w:val="none"/>
              </w:rPr>
              <w:t>格式）</w:t>
            </w:r>
            <w:r>
              <w:rPr>
                <w:b w:val="0"/>
                <w:bCs w:val="0"/>
                <w:sz w:val="24"/>
              </w:rPr>
              <w:t>U</w:t>
            </w:r>
            <w:r>
              <w:rPr>
                <w:b w:val="0"/>
                <w:bCs w:val="0"/>
                <w:spacing w:val="-61"/>
                <w:sz w:val="24"/>
              </w:rPr>
              <w:t xml:space="preserve"> </w:t>
            </w:r>
            <w:r>
              <w:rPr>
                <w:b w:val="0"/>
                <w:bCs w:val="0"/>
                <w:sz w:val="24"/>
              </w:rPr>
              <w:t>盘文件</w:t>
            </w:r>
            <w:r>
              <w:rPr>
                <w:b w:val="0"/>
                <w:bCs w:val="0"/>
                <w:sz w:val="24"/>
                <w:u w:val="single"/>
              </w:rPr>
              <w:t>1</w:t>
            </w:r>
            <w:r>
              <w:rPr>
                <w:b w:val="0"/>
                <w:bCs w:val="0"/>
                <w:sz w:val="24"/>
              </w:rPr>
              <w:t>份</w:t>
            </w:r>
            <w:r>
              <w:rPr>
                <w:rFonts w:hint="eastAsia"/>
                <w:b w:val="0"/>
                <w:bCs w:val="0"/>
                <w:sz w:val="24"/>
              </w:rPr>
              <w:t>；</w:t>
            </w:r>
            <w:r>
              <w:rPr>
                <w:b w:val="0"/>
                <w:bCs w:val="0"/>
                <w:sz w:val="24"/>
                <w:highlight w:val="none"/>
              </w:rPr>
              <w:t>响应文件包装、密封、盖章：正本和副本用一个密封袋包装，</w:t>
            </w:r>
            <w:r>
              <w:rPr>
                <w:rFonts w:hint="eastAsia"/>
                <w:b w:val="0"/>
                <w:bCs w:val="0"/>
                <w:sz w:val="24"/>
                <w:highlight w:val="none"/>
                <w:lang w:eastAsia="zh-CN"/>
              </w:rPr>
              <w:t>按</w:t>
            </w:r>
            <w:r>
              <w:rPr>
                <w:b w:val="0"/>
                <w:bCs w:val="0"/>
                <w:sz w:val="24"/>
                <w:highlight w:val="none"/>
              </w:rPr>
              <w:t>第</w:t>
            </w:r>
            <w:r>
              <w:rPr>
                <w:rFonts w:hint="eastAsia"/>
                <w:b w:val="0"/>
                <w:bCs w:val="0"/>
                <w:sz w:val="24"/>
                <w:highlight w:val="none"/>
                <w:lang w:val="en-US" w:eastAsia="zh-CN"/>
              </w:rPr>
              <w:t xml:space="preserve">六章 </w:t>
            </w:r>
            <w:r>
              <w:rPr>
                <w:b w:val="0"/>
                <w:bCs w:val="0"/>
                <w:sz w:val="24"/>
                <w:highlight w:val="none"/>
              </w:rPr>
              <w:t>投标文件（格式）包装；封口处加盖供应商单位公章及法定代表人印章，响应文件未按要求提供的可导致其磋商文件被拒绝。</w:t>
            </w:r>
          </w:p>
        </w:tc>
        <w:tc>
          <w:tcPr>
            <w:tcW w:w="1350"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65"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35"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250"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005"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79" w:lineRule="exact"/>
              <w:ind w:left="0" w:leftChars="0" w:right="0" w:rightChars="0"/>
              <w:jc w:val="center"/>
              <w:textAlignment w:val="auto"/>
              <w:rPr>
                <w:sz w:val="24"/>
                <w:highlight w:val="none"/>
              </w:rPr>
            </w:pPr>
          </w:p>
        </w:tc>
        <w:tc>
          <w:tcPr>
            <w:tcW w:w="1545" w:type="dxa"/>
            <w:vAlign w:val="top"/>
          </w:tcPr>
          <w:p>
            <w:pPr>
              <w:pStyle w:val="1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both"/>
              <w:textAlignment w:val="auto"/>
              <w:rPr>
                <w:sz w:val="23"/>
                <w:highlight w:val="none"/>
              </w:rPr>
            </w:pPr>
          </w:p>
        </w:tc>
        <w:tc>
          <w:tcPr>
            <w:tcW w:w="6150"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79" w:lineRule="exact"/>
              <w:ind w:left="0" w:right="0" w:firstLine="360"/>
              <w:jc w:val="center"/>
              <w:textAlignment w:val="auto"/>
              <w:rPr>
                <w:spacing w:val="-7"/>
                <w:sz w:val="24"/>
                <w:highlight w:val="none"/>
              </w:rPr>
            </w:pPr>
            <w:r>
              <w:rPr>
                <w:b/>
                <w:w w:val="95"/>
                <w:sz w:val="24"/>
                <w:highlight w:val="none"/>
              </w:rPr>
              <w:t>审查结论（通过</w:t>
            </w:r>
            <w:r>
              <w:rPr>
                <w:rFonts w:hint="eastAsia"/>
                <w:b/>
                <w:w w:val="95"/>
                <w:sz w:val="24"/>
                <w:highlight w:val="none"/>
                <w:lang w:eastAsia="zh-CN"/>
              </w:rPr>
              <w:t>打“</w:t>
            </w:r>
            <w:r>
              <w:rPr>
                <w:rFonts w:hint="default" w:ascii="Arial" w:hAnsi="Arial" w:cs="Arial"/>
                <w:b/>
                <w:w w:val="95"/>
                <w:sz w:val="24"/>
                <w:highlight w:val="none"/>
              </w:rPr>
              <w:t>√</w:t>
            </w:r>
            <w:r>
              <w:rPr>
                <w:rFonts w:hint="eastAsia"/>
                <w:b/>
                <w:w w:val="95"/>
                <w:sz w:val="24"/>
                <w:highlight w:val="none"/>
                <w:lang w:eastAsia="zh-CN"/>
              </w:rPr>
              <w:t>”</w:t>
            </w:r>
            <w:r>
              <w:rPr>
                <w:b/>
                <w:w w:val="95"/>
                <w:sz w:val="24"/>
                <w:highlight w:val="none"/>
              </w:rPr>
              <w:t>或不通过</w:t>
            </w:r>
            <w:r>
              <w:rPr>
                <w:rFonts w:hint="eastAsia"/>
                <w:b/>
                <w:w w:val="95"/>
                <w:sz w:val="24"/>
                <w:highlight w:val="none"/>
                <w:lang w:eastAsia="zh-CN"/>
              </w:rPr>
              <w:t>“</w:t>
            </w:r>
            <w:r>
              <w:rPr>
                <w:rFonts w:hint="default" w:ascii="Arial" w:hAnsi="Arial" w:cs="Arial"/>
                <w:b w:val="0"/>
                <w:bCs/>
                <w:w w:val="95"/>
                <w:sz w:val="32"/>
                <w:szCs w:val="28"/>
                <w:highlight w:val="none"/>
              </w:rPr>
              <w:t>×</w:t>
            </w:r>
            <w:r>
              <w:rPr>
                <w:rFonts w:hint="eastAsia"/>
                <w:b/>
                <w:w w:val="95"/>
                <w:sz w:val="24"/>
                <w:highlight w:val="none"/>
                <w:lang w:eastAsia="zh-CN"/>
              </w:rPr>
              <w:t>”</w:t>
            </w:r>
            <w:r>
              <w:rPr>
                <w:b/>
                <w:w w:val="95"/>
                <w:sz w:val="24"/>
                <w:highlight w:val="none"/>
              </w:rPr>
              <w:t>）</w:t>
            </w:r>
          </w:p>
        </w:tc>
        <w:tc>
          <w:tcPr>
            <w:tcW w:w="1350"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65"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335"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250"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r>
    </w:tbl>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0"/>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2"/>
          <w:highlight w:val="none"/>
        </w:rPr>
        <w:sectPr>
          <w:footerReference r:id="rId5" w:type="default"/>
          <w:pgSz w:w="16840" w:h="11910" w:orient="landscape"/>
          <w:pgMar w:top="1100" w:right="1380" w:bottom="1134" w:left="1220" w:header="0" w:footer="737" w:gutter="0"/>
          <w:pgBorders>
            <w:top w:val="none" w:sz="0" w:space="0"/>
            <w:left w:val="none" w:sz="0" w:space="0"/>
            <w:bottom w:val="none" w:sz="0" w:space="0"/>
            <w:right w:val="none" w:sz="0" w:space="0"/>
          </w:pgBorders>
          <w:pgNumType w:fmt="decimal"/>
        </w:sectPr>
      </w:pPr>
    </w:p>
    <w:p>
      <w:pPr>
        <w:pStyle w:val="4"/>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highlight w:val="none"/>
        </w:rPr>
      </w:pPr>
      <w:r>
        <w:rPr>
          <w:highlight w:val="none"/>
        </w:rPr>
        <w:t>评 分 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889"/>
        <w:gridCol w:w="2634"/>
        <w:gridCol w:w="1264"/>
        <w:gridCol w:w="844"/>
        <w:gridCol w:w="874"/>
        <w:gridCol w:w="857"/>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845" w:type="dxa"/>
            <w:gridSpan w:val="4"/>
            <w:tcBorders>
              <w:tl2br w:val="single" w:color="auto" w:sz="4" w:space="0"/>
            </w:tcBorders>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firstLine="3840" w:firstLineChars="1600"/>
              <w:jc w:val="both"/>
              <w:textAlignment w:val="auto"/>
              <w:rPr>
                <w:sz w:val="24"/>
                <w:highlight w:val="none"/>
              </w:rPr>
            </w:pPr>
            <w:r>
              <w:rPr>
                <w:sz w:val="24"/>
                <w:highlight w:val="none"/>
              </w:rPr>
              <w:t>供应商名称</w:t>
            </w:r>
          </w:p>
          <w:p>
            <w:pPr>
              <w:pStyle w:val="9"/>
              <w:keepNext w:val="0"/>
              <w:keepLines w:val="0"/>
              <w:pageBreakBefore w:val="0"/>
              <w:widowControl w:val="0"/>
              <w:kinsoku/>
              <w:wordWrap/>
              <w:overflowPunct/>
              <w:topLinePunct w:val="0"/>
              <w:autoSpaceDE w:val="0"/>
              <w:autoSpaceDN w:val="0"/>
              <w:bidi w:val="0"/>
              <w:adjustRightInd/>
              <w:snapToGrid/>
              <w:spacing w:before="0" w:after="0"/>
              <w:ind w:left="0" w:leftChars="0" w:right="0" w:firstLine="0" w:firstLineChars="0"/>
              <w:jc w:val="both"/>
              <w:textAlignment w:val="auto"/>
              <w:rPr>
                <w:b/>
                <w:sz w:val="24"/>
                <w:szCs w:val="24"/>
                <w:highlight w:val="none"/>
                <w:vertAlign w:val="baseline"/>
              </w:rPr>
            </w:pPr>
            <w:r>
              <w:rPr>
                <w:sz w:val="24"/>
                <w:highlight w:val="none"/>
              </w:rPr>
              <w:t>评分项及分值</w:t>
            </w:r>
          </w:p>
        </w:tc>
        <w:tc>
          <w:tcPr>
            <w:tcW w:w="844"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center"/>
              <w:textAlignment w:val="auto"/>
              <w:rPr>
                <w:b/>
                <w:sz w:val="24"/>
                <w:szCs w:val="24"/>
                <w:highlight w:val="none"/>
                <w:vertAlign w:val="baseline"/>
              </w:rPr>
            </w:pPr>
            <w:r>
              <w:rPr>
                <w:sz w:val="24"/>
                <w:highlight w:val="none"/>
              </w:rPr>
              <w:t>供应商1</w:t>
            </w:r>
          </w:p>
        </w:tc>
        <w:tc>
          <w:tcPr>
            <w:tcW w:w="874"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79" w:lineRule="exact"/>
              <w:ind w:left="0" w:right="0"/>
              <w:jc w:val="center"/>
              <w:textAlignment w:val="auto"/>
              <w:rPr>
                <w:sz w:val="24"/>
                <w:highlight w:val="none"/>
              </w:rPr>
            </w:pPr>
            <w:r>
              <w:rPr>
                <w:sz w:val="24"/>
                <w:highlight w:val="none"/>
              </w:rPr>
              <w:t>供应</w:t>
            </w:r>
          </w:p>
          <w:p>
            <w:pPr>
              <w:pStyle w:val="1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b/>
                <w:sz w:val="24"/>
                <w:szCs w:val="24"/>
                <w:highlight w:val="none"/>
                <w:vertAlign w:val="baseline"/>
              </w:rPr>
            </w:pPr>
            <w:r>
              <w:rPr>
                <w:sz w:val="24"/>
                <w:highlight w:val="none"/>
              </w:rPr>
              <w:t>商2</w:t>
            </w:r>
          </w:p>
        </w:tc>
        <w:tc>
          <w:tcPr>
            <w:tcW w:w="857"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79" w:lineRule="exact"/>
              <w:ind w:left="0" w:right="0"/>
              <w:jc w:val="center"/>
              <w:textAlignment w:val="auto"/>
              <w:rPr>
                <w:b/>
                <w:sz w:val="24"/>
                <w:szCs w:val="24"/>
                <w:highlight w:val="none"/>
                <w:vertAlign w:val="baseline"/>
              </w:rPr>
            </w:pPr>
            <w:r>
              <w:rPr>
                <w:sz w:val="24"/>
                <w:highlight w:val="none"/>
              </w:rPr>
              <w:t>供应商3</w:t>
            </w:r>
          </w:p>
        </w:tc>
        <w:tc>
          <w:tcPr>
            <w:tcW w:w="868"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79" w:lineRule="exact"/>
              <w:ind w:left="0" w:right="0"/>
              <w:jc w:val="center"/>
              <w:textAlignment w:val="auto"/>
              <w:rPr>
                <w:sz w:val="24"/>
                <w:highlight w:val="none"/>
              </w:rPr>
            </w:pPr>
            <w:r>
              <w:rPr>
                <w:sz w:val="24"/>
                <w:highlight w:val="none"/>
              </w:rPr>
              <w:t>供应</w:t>
            </w:r>
          </w:p>
          <w:p>
            <w:pPr>
              <w:pStyle w:val="1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b/>
                <w:sz w:val="24"/>
                <w:szCs w:val="24"/>
                <w:highlight w:val="none"/>
                <w:vertAlign w:val="baseline"/>
              </w:rPr>
            </w:pPr>
            <w:r>
              <w:rPr>
                <w:sz w:val="24"/>
                <w:highlight w:val="none"/>
              </w:rPr>
              <w:t>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blHeader/>
        </w:trPr>
        <w:tc>
          <w:tcPr>
            <w:tcW w:w="4581" w:type="dxa"/>
            <w:gridSpan w:val="3"/>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4"/>
                <w:szCs w:val="24"/>
                <w:highlight w:val="none"/>
                <w:vertAlign w:val="baseline"/>
              </w:rPr>
            </w:pPr>
            <w:r>
              <w:rPr>
                <w:sz w:val="24"/>
                <w:highlight w:val="none"/>
              </w:rPr>
              <w:t>评分项</w:t>
            </w:r>
          </w:p>
        </w:tc>
        <w:tc>
          <w:tcPr>
            <w:tcW w:w="1264" w:type="dxa"/>
          </w:tcPr>
          <w:p>
            <w:pPr>
              <w:pStyle w:val="19"/>
              <w:keepNext w:val="0"/>
              <w:keepLines w:val="0"/>
              <w:pageBreakBefore w:val="0"/>
              <w:widowControl w:val="0"/>
              <w:kinsoku/>
              <w:wordWrap/>
              <w:overflowPunct/>
              <w:topLinePunct w:val="0"/>
              <w:autoSpaceDE w:val="0"/>
              <w:autoSpaceDN w:val="0"/>
              <w:bidi w:val="0"/>
              <w:adjustRightInd/>
              <w:snapToGrid/>
              <w:spacing w:before="0" w:after="0" w:line="281" w:lineRule="exact"/>
              <w:ind w:left="0" w:right="0"/>
              <w:jc w:val="both"/>
              <w:textAlignment w:val="auto"/>
              <w:rPr>
                <w:b/>
                <w:sz w:val="24"/>
                <w:szCs w:val="24"/>
                <w:highlight w:val="none"/>
                <w:vertAlign w:val="baseline"/>
              </w:rPr>
            </w:pPr>
            <w:r>
              <w:rPr>
                <w:sz w:val="24"/>
                <w:highlight w:val="none"/>
              </w:rPr>
              <w:t>分值标准</w:t>
            </w:r>
          </w:p>
        </w:tc>
        <w:tc>
          <w:tcPr>
            <w:tcW w:w="84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4"/>
                <w:szCs w:val="24"/>
                <w:highlight w:val="none"/>
                <w:vertAlign w:val="baseline"/>
              </w:rPr>
            </w:pPr>
          </w:p>
        </w:tc>
        <w:tc>
          <w:tcPr>
            <w:tcW w:w="87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4"/>
                <w:szCs w:val="24"/>
                <w:highlight w:val="none"/>
                <w:vertAlign w:val="baseline"/>
              </w:rPr>
            </w:pPr>
          </w:p>
        </w:tc>
        <w:tc>
          <w:tcPr>
            <w:tcW w:w="857"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4"/>
                <w:szCs w:val="24"/>
                <w:highlight w:val="none"/>
                <w:vertAlign w:val="baseline"/>
              </w:rPr>
            </w:pPr>
          </w:p>
        </w:tc>
        <w:tc>
          <w:tcPr>
            <w:tcW w:w="868"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1"/>
                <w:szCs w:val="21"/>
                <w:highlight w:val="none"/>
              </w:rPr>
            </w:pPr>
            <w:r>
              <w:rPr>
                <w:sz w:val="21"/>
                <w:szCs w:val="21"/>
                <w:highlight w:val="none"/>
              </w:rPr>
              <w:t>价格分</w:t>
            </w:r>
          </w:p>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b/>
                <w:sz w:val="21"/>
                <w:szCs w:val="21"/>
                <w:highlight w:val="none"/>
                <w:vertAlign w:val="baseline"/>
              </w:rPr>
            </w:pPr>
            <w:r>
              <w:rPr>
                <w:sz w:val="21"/>
                <w:szCs w:val="21"/>
                <w:highlight w:val="none"/>
              </w:rPr>
              <w:t>（30分）</w:t>
            </w:r>
          </w:p>
        </w:tc>
        <w:tc>
          <w:tcPr>
            <w:tcW w:w="3523" w:type="dxa"/>
            <w:gridSpan w:val="2"/>
          </w:tcPr>
          <w:p>
            <w:pPr>
              <w:pStyle w:val="19"/>
              <w:keepNext w:val="0"/>
              <w:keepLines w:val="0"/>
              <w:pageBreakBefore w:val="0"/>
              <w:widowControl w:val="0"/>
              <w:kinsoku/>
              <w:wordWrap/>
              <w:overflowPunct/>
              <w:topLinePunct w:val="0"/>
              <w:autoSpaceDE w:val="0"/>
              <w:autoSpaceDN w:val="0"/>
              <w:bidi w:val="0"/>
              <w:adjustRightInd/>
              <w:snapToGrid/>
              <w:spacing w:before="0" w:after="0" w:line="281" w:lineRule="exact"/>
              <w:ind w:left="0" w:right="0"/>
              <w:jc w:val="both"/>
              <w:textAlignment w:val="auto"/>
              <w:rPr>
                <w:sz w:val="21"/>
                <w:szCs w:val="21"/>
                <w:highlight w:val="none"/>
              </w:rPr>
            </w:pPr>
            <w:r>
              <w:rPr>
                <w:rFonts w:hint="eastAsia"/>
                <w:sz w:val="21"/>
                <w:szCs w:val="21"/>
                <w:highlight w:val="none"/>
              </w:rPr>
              <w:t>价格分的计算方法：投标报价得分=（评标基准价）/（投标报价） ×价格权值（30）×100%。</w:t>
            </w:r>
          </w:p>
          <w:p>
            <w:pPr>
              <w:pStyle w:val="19"/>
              <w:keepNext w:val="0"/>
              <w:keepLines w:val="0"/>
              <w:pageBreakBefore w:val="0"/>
              <w:widowControl w:val="0"/>
              <w:kinsoku/>
              <w:wordWrap/>
              <w:overflowPunct/>
              <w:topLinePunct w:val="0"/>
              <w:autoSpaceDE w:val="0"/>
              <w:autoSpaceDN w:val="0"/>
              <w:bidi w:val="0"/>
              <w:adjustRightInd/>
              <w:snapToGrid/>
              <w:spacing w:before="0" w:after="0" w:line="281" w:lineRule="exact"/>
              <w:ind w:left="0" w:right="0"/>
              <w:jc w:val="both"/>
              <w:textAlignment w:val="auto"/>
              <w:rPr>
                <w:rFonts w:hint="eastAsia" w:eastAsia="宋体"/>
                <w:b/>
                <w:sz w:val="21"/>
                <w:szCs w:val="21"/>
                <w:highlight w:val="none"/>
                <w:vertAlign w:val="baseline"/>
                <w:lang w:eastAsia="zh-CN"/>
              </w:rPr>
            </w:pPr>
            <w:r>
              <w:rPr>
                <w:rFonts w:hint="eastAsia"/>
                <w:sz w:val="21"/>
                <w:szCs w:val="21"/>
                <w:highlight w:val="none"/>
              </w:rPr>
              <w:t xml:space="preserve"> 注：评标基准价为满足招标文件要求且投标价格最低的为投标基准价。</w:t>
            </w:r>
            <w:r>
              <w:rPr>
                <w:sz w:val="21"/>
                <w:szCs w:val="21"/>
                <w:highlight w:val="none"/>
              </w:rPr>
              <w:t>评分分值计算保留小数</w:t>
            </w:r>
            <w:r>
              <w:rPr>
                <w:spacing w:val="-7"/>
                <w:sz w:val="21"/>
                <w:szCs w:val="21"/>
                <w:highlight w:val="none"/>
              </w:rPr>
              <w:t>点后两位，小数点后第三位“四舍五入”</w:t>
            </w:r>
            <w:r>
              <w:rPr>
                <w:rFonts w:hint="eastAsia"/>
                <w:spacing w:val="-7"/>
                <w:sz w:val="21"/>
                <w:szCs w:val="21"/>
                <w:highlight w:val="none"/>
                <w:lang w:eastAsia="zh-CN"/>
              </w:rPr>
              <w:t>。</w:t>
            </w:r>
          </w:p>
        </w:tc>
        <w:tc>
          <w:tcPr>
            <w:tcW w:w="1264" w:type="dxa"/>
            <w:vAlign w:val="center"/>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center"/>
              <w:textAlignment w:val="auto"/>
              <w:rPr>
                <w:b w:val="0"/>
                <w:bCs w:val="0"/>
                <w:sz w:val="21"/>
                <w:szCs w:val="21"/>
                <w:highlight w:val="none"/>
                <w:vertAlign w:val="baseline"/>
              </w:rPr>
            </w:pPr>
            <w:r>
              <w:rPr>
                <w:b w:val="0"/>
                <w:bCs w:val="0"/>
                <w:sz w:val="21"/>
                <w:szCs w:val="21"/>
                <w:highlight w:val="none"/>
              </w:rPr>
              <w:t>30分</w:t>
            </w:r>
          </w:p>
        </w:tc>
        <w:tc>
          <w:tcPr>
            <w:tcW w:w="84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7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57"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68"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058" w:type="dxa"/>
            <w:vMerge w:val="restart"/>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sz w:val="21"/>
                <w:szCs w:val="21"/>
                <w:highlight w:val="none"/>
              </w:rPr>
            </w:pPr>
            <w:r>
              <w:rPr>
                <w:rFonts w:hint="eastAsia"/>
                <w:sz w:val="21"/>
                <w:szCs w:val="21"/>
                <w:highlight w:val="none"/>
                <w:lang w:val="en-US" w:eastAsia="zh-CN"/>
              </w:rPr>
              <w:t>技术部分</w:t>
            </w:r>
          </w:p>
          <w:p>
            <w:pPr>
              <w:pStyle w:val="1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sz w:val="21"/>
                <w:szCs w:val="21"/>
                <w:highlight w:val="none"/>
              </w:rPr>
            </w:pPr>
            <w:r>
              <w:rPr>
                <w:rFonts w:hint="eastAsia"/>
                <w:sz w:val="21"/>
                <w:szCs w:val="21"/>
                <w:highlight w:val="none"/>
              </w:rPr>
              <w:t>（</w:t>
            </w:r>
            <w:r>
              <w:rPr>
                <w:rFonts w:hint="eastAsia"/>
                <w:sz w:val="21"/>
                <w:szCs w:val="21"/>
                <w:highlight w:val="none"/>
                <w:lang w:val="en-US" w:eastAsia="zh-CN"/>
              </w:rPr>
              <w:t>40</w:t>
            </w:r>
            <w:r>
              <w:rPr>
                <w:rFonts w:hint="eastAsia"/>
                <w:sz w:val="21"/>
                <w:szCs w:val="21"/>
                <w:highlight w:val="none"/>
              </w:rPr>
              <w:t>分）</w:t>
            </w:r>
          </w:p>
        </w:tc>
        <w:tc>
          <w:tcPr>
            <w:tcW w:w="889" w:type="dxa"/>
            <w:vMerge w:val="restart"/>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center"/>
              <w:textAlignment w:val="auto"/>
              <w:rPr>
                <w:rFonts w:hint="eastAsia"/>
                <w:sz w:val="21"/>
                <w:szCs w:val="21"/>
                <w:highlight w:val="none"/>
                <w:lang w:val="en-US" w:eastAsia="zh-CN"/>
              </w:rPr>
            </w:pPr>
            <w:r>
              <w:rPr>
                <w:rFonts w:hint="eastAsia"/>
                <w:sz w:val="21"/>
                <w:szCs w:val="21"/>
                <w:highlight w:val="none"/>
                <w:lang w:val="en-US" w:eastAsia="zh-CN"/>
              </w:rPr>
              <w:t>（1）施工组织设计方案</w:t>
            </w:r>
          </w:p>
        </w:tc>
        <w:tc>
          <w:tcPr>
            <w:tcW w:w="2634" w:type="dxa"/>
            <w:vAlign w:val="top"/>
          </w:tcPr>
          <w:p>
            <w:pPr>
              <w:pStyle w:val="1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4" w:lineRule="auto"/>
              <w:ind w:right="0" w:rightChars="0"/>
              <w:jc w:val="both"/>
              <w:textAlignment w:val="auto"/>
              <w:rPr>
                <w:rFonts w:hint="eastAsia" w:ascii="宋体" w:hAnsi="宋体" w:eastAsia="宋体" w:cs="宋体"/>
                <w:sz w:val="21"/>
                <w:szCs w:val="21"/>
                <w:highlight w:val="none"/>
                <w:lang w:val="en-US" w:eastAsia="zh-CN" w:bidi="ar-SA"/>
              </w:rPr>
            </w:pPr>
            <w:r>
              <w:rPr>
                <w:rFonts w:hint="eastAsia"/>
                <w:sz w:val="21"/>
                <w:szCs w:val="21"/>
                <w:highlight w:val="none"/>
                <w:lang w:val="en-US" w:eastAsia="zh-CN"/>
              </w:rPr>
              <w:t>施工方案与技术措施；0—4分</w:t>
            </w:r>
          </w:p>
        </w:tc>
        <w:tc>
          <w:tcPr>
            <w:tcW w:w="1264" w:type="dxa"/>
            <w:vAlign w:val="center"/>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center"/>
              <w:textAlignment w:val="auto"/>
              <w:rPr>
                <w:b w:val="0"/>
                <w:bCs w:val="0"/>
                <w:sz w:val="21"/>
                <w:szCs w:val="21"/>
                <w:highlight w:val="none"/>
                <w:vertAlign w:val="baseline"/>
              </w:rPr>
            </w:pPr>
            <w:r>
              <w:rPr>
                <w:rFonts w:hint="eastAsia"/>
                <w:b w:val="0"/>
                <w:bCs w:val="0"/>
                <w:sz w:val="21"/>
                <w:szCs w:val="21"/>
                <w:highlight w:val="none"/>
                <w:lang w:val="en-US" w:eastAsia="zh-CN"/>
              </w:rPr>
              <w:t>4</w:t>
            </w:r>
            <w:r>
              <w:rPr>
                <w:b w:val="0"/>
                <w:bCs w:val="0"/>
                <w:sz w:val="21"/>
                <w:szCs w:val="21"/>
                <w:highlight w:val="none"/>
              </w:rPr>
              <w:t>分</w:t>
            </w:r>
          </w:p>
        </w:tc>
        <w:tc>
          <w:tcPr>
            <w:tcW w:w="84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7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57"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68"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58" w:type="dxa"/>
            <w:vMerge w:val="continue"/>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sz w:val="21"/>
                <w:szCs w:val="21"/>
                <w:highlight w:val="none"/>
              </w:rPr>
            </w:pPr>
          </w:p>
        </w:tc>
        <w:tc>
          <w:tcPr>
            <w:tcW w:w="889" w:type="dxa"/>
            <w:vMerge w:val="continue"/>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center"/>
              <w:textAlignment w:val="auto"/>
              <w:rPr>
                <w:rFonts w:hint="eastAsia"/>
                <w:sz w:val="21"/>
                <w:szCs w:val="21"/>
                <w:highlight w:val="none"/>
                <w:lang w:val="en-US" w:eastAsia="zh-CN"/>
              </w:rPr>
            </w:pPr>
          </w:p>
        </w:tc>
        <w:tc>
          <w:tcPr>
            <w:tcW w:w="2634" w:type="dxa"/>
            <w:vAlign w:val="top"/>
          </w:tcPr>
          <w:p>
            <w:pPr>
              <w:pStyle w:val="1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4" w:lineRule="auto"/>
              <w:ind w:right="0" w:rightChars="0"/>
              <w:jc w:val="both"/>
              <w:textAlignment w:val="auto"/>
              <w:rPr>
                <w:rFonts w:hint="eastAsia"/>
                <w:sz w:val="21"/>
                <w:szCs w:val="21"/>
                <w:highlight w:val="none"/>
                <w:lang w:val="en-US" w:eastAsia="zh-CN"/>
              </w:rPr>
            </w:pPr>
            <w:r>
              <w:rPr>
                <w:rFonts w:hint="eastAsia"/>
                <w:sz w:val="21"/>
                <w:szCs w:val="21"/>
                <w:highlight w:val="none"/>
                <w:lang w:val="en-US" w:eastAsia="zh-CN"/>
              </w:rPr>
              <w:t>施工总进度（包括施工进度计划横道图、网络图）及保证措施；0—4分</w:t>
            </w:r>
          </w:p>
        </w:tc>
        <w:tc>
          <w:tcPr>
            <w:tcW w:w="1264" w:type="dxa"/>
            <w:vAlign w:val="center"/>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center"/>
              <w:textAlignment w:val="auto"/>
              <w:rPr>
                <w:rFonts w:hint="default"/>
                <w:b w:val="0"/>
                <w:bCs w:val="0"/>
                <w:sz w:val="21"/>
                <w:szCs w:val="21"/>
                <w:highlight w:val="none"/>
                <w:lang w:val="en-US" w:eastAsia="zh-CN"/>
              </w:rPr>
            </w:pPr>
            <w:r>
              <w:rPr>
                <w:rFonts w:hint="eastAsia"/>
                <w:b w:val="0"/>
                <w:bCs w:val="0"/>
                <w:sz w:val="21"/>
                <w:szCs w:val="21"/>
                <w:highlight w:val="none"/>
                <w:lang w:val="en-US" w:eastAsia="zh-CN"/>
              </w:rPr>
              <w:t>4分</w:t>
            </w:r>
          </w:p>
        </w:tc>
        <w:tc>
          <w:tcPr>
            <w:tcW w:w="84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7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57"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68"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58" w:type="dxa"/>
            <w:vMerge w:val="continue"/>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sz w:val="21"/>
                <w:szCs w:val="21"/>
                <w:highlight w:val="none"/>
              </w:rPr>
            </w:pPr>
          </w:p>
        </w:tc>
        <w:tc>
          <w:tcPr>
            <w:tcW w:w="889" w:type="dxa"/>
            <w:vMerge w:val="continue"/>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center"/>
              <w:textAlignment w:val="auto"/>
              <w:rPr>
                <w:rFonts w:hint="eastAsia"/>
                <w:sz w:val="21"/>
                <w:szCs w:val="21"/>
                <w:highlight w:val="none"/>
                <w:lang w:val="en-US" w:eastAsia="zh-CN"/>
              </w:rPr>
            </w:pPr>
          </w:p>
        </w:tc>
        <w:tc>
          <w:tcPr>
            <w:tcW w:w="2634" w:type="dxa"/>
            <w:vAlign w:val="top"/>
          </w:tcPr>
          <w:p>
            <w:pPr>
              <w:pStyle w:val="1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sz w:val="21"/>
                <w:szCs w:val="21"/>
                <w:highlight w:val="none"/>
                <w:lang w:val="en-US" w:eastAsia="zh-CN"/>
              </w:rPr>
            </w:pPr>
            <w:r>
              <w:rPr>
                <w:rFonts w:hint="eastAsia"/>
                <w:sz w:val="21"/>
                <w:szCs w:val="21"/>
                <w:highlight w:val="none"/>
                <w:lang w:val="en-US" w:eastAsia="zh-CN"/>
              </w:rPr>
              <w:t>施工安全措施；0—4分</w:t>
            </w:r>
          </w:p>
        </w:tc>
        <w:tc>
          <w:tcPr>
            <w:tcW w:w="1264" w:type="dxa"/>
            <w:vAlign w:val="center"/>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center"/>
              <w:textAlignment w:val="auto"/>
              <w:rPr>
                <w:rFonts w:hint="eastAsia"/>
                <w:b w:val="0"/>
                <w:bCs w:val="0"/>
                <w:sz w:val="21"/>
                <w:szCs w:val="21"/>
                <w:highlight w:val="none"/>
                <w:lang w:val="en-US" w:eastAsia="zh-CN"/>
              </w:rPr>
            </w:pPr>
            <w:r>
              <w:rPr>
                <w:rFonts w:hint="eastAsia"/>
                <w:b w:val="0"/>
                <w:bCs w:val="0"/>
                <w:sz w:val="21"/>
                <w:szCs w:val="21"/>
                <w:highlight w:val="none"/>
                <w:lang w:val="en-US" w:eastAsia="zh-CN"/>
              </w:rPr>
              <w:t>4分</w:t>
            </w:r>
          </w:p>
        </w:tc>
        <w:tc>
          <w:tcPr>
            <w:tcW w:w="84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7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57"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68"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058" w:type="dxa"/>
            <w:vMerge w:val="continue"/>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sz w:val="21"/>
                <w:szCs w:val="21"/>
                <w:highlight w:val="none"/>
              </w:rPr>
            </w:pPr>
          </w:p>
        </w:tc>
        <w:tc>
          <w:tcPr>
            <w:tcW w:w="889" w:type="dxa"/>
            <w:vMerge w:val="continue"/>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center"/>
              <w:textAlignment w:val="auto"/>
              <w:rPr>
                <w:rFonts w:hint="eastAsia"/>
                <w:sz w:val="21"/>
                <w:szCs w:val="21"/>
                <w:highlight w:val="none"/>
                <w:lang w:val="en-US" w:eastAsia="zh-CN"/>
              </w:rPr>
            </w:pPr>
          </w:p>
        </w:tc>
        <w:tc>
          <w:tcPr>
            <w:tcW w:w="2634" w:type="dxa"/>
            <w:vAlign w:val="top"/>
          </w:tcPr>
          <w:p>
            <w:pPr>
              <w:pStyle w:val="1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sz w:val="21"/>
                <w:szCs w:val="21"/>
                <w:highlight w:val="none"/>
                <w:lang w:val="en-US" w:eastAsia="zh-CN"/>
              </w:rPr>
            </w:pPr>
            <w:r>
              <w:rPr>
                <w:rFonts w:hint="eastAsia"/>
                <w:sz w:val="21"/>
                <w:szCs w:val="21"/>
                <w:highlight w:val="none"/>
                <w:lang w:val="en-US" w:eastAsia="zh-CN"/>
              </w:rPr>
              <w:t>文明施工措施；0—4分</w:t>
            </w:r>
          </w:p>
        </w:tc>
        <w:tc>
          <w:tcPr>
            <w:tcW w:w="1264" w:type="dxa"/>
            <w:vAlign w:val="center"/>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center"/>
              <w:textAlignment w:val="auto"/>
              <w:rPr>
                <w:rFonts w:hint="eastAsia"/>
                <w:b w:val="0"/>
                <w:bCs w:val="0"/>
                <w:sz w:val="21"/>
                <w:szCs w:val="21"/>
                <w:highlight w:val="none"/>
                <w:lang w:val="en-US" w:eastAsia="zh-CN"/>
              </w:rPr>
            </w:pPr>
            <w:r>
              <w:rPr>
                <w:rFonts w:hint="eastAsia"/>
                <w:b w:val="0"/>
                <w:bCs w:val="0"/>
                <w:sz w:val="21"/>
                <w:szCs w:val="21"/>
                <w:highlight w:val="none"/>
                <w:lang w:val="en-US" w:eastAsia="zh-CN"/>
              </w:rPr>
              <w:t>4分</w:t>
            </w:r>
          </w:p>
        </w:tc>
        <w:tc>
          <w:tcPr>
            <w:tcW w:w="84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7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57"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68"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 w:hRule="atLeast"/>
        </w:trPr>
        <w:tc>
          <w:tcPr>
            <w:tcW w:w="1058" w:type="dxa"/>
            <w:vMerge w:val="continue"/>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sz w:val="21"/>
                <w:szCs w:val="21"/>
                <w:highlight w:val="none"/>
              </w:rPr>
            </w:pPr>
          </w:p>
        </w:tc>
        <w:tc>
          <w:tcPr>
            <w:tcW w:w="889" w:type="dxa"/>
            <w:vMerge w:val="continue"/>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center"/>
              <w:textAlignment w:val="auto"/>
              <w:rPr>
                <w:rFonts w:hint="eastAsia"/>
                <w:sz w:val="21"/>
                <w:szCs w:val="21"/>
                <w:highlight w:val="none"/>
                <w:lang w:val="en-US" w:eastAsia="zh-CN"/>
              </w:rPr>
            </w:pPr>
          </w:p>
        </w:tc>
        <w:tc>
          <w:tcPr>
            <w:tcW w:w="2634" w:type="dxa"/>
            <w:vAlign w:val="top"/>
          </w:tcPr>
          <w:p>
            <w:pPr>
              <w:pStyle w:val="1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sz w:val="21"/>
                <w:szCs w:val="21"/>
                <w:highlight w:val="none"/>
                <w:lang w:val="en-US" w:eastAsia="zh-CN"/>
              </w:rPr>
            </w:pPr>
            <w:r>
              <w:rPr>
                <w:rFonts w:hint="eastAsia"/>
                <w:sz w:val="21"/>
                <w:szCs w:val="21"/>
                <w:highlight w:val="none"/>
                <w:lang w:val="en-US" w:eastAsia="zh-CN"/>
              </w:rPr>
              <w:t>施工环保措施；0—4分</w:t>
            </w:r>
          </w:p>
        </w:tc>
        <w:tc>
          <w:tcPr>
            <w:tcW w:w="1264" w:type="dxa"/>
            <w:vAlign w:val="center"/>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center"/>
              <w:textAlignment w:val="auto"/>
              <w:rPr>
                <w:rFonts w:hint="eastAsia"/>
                <w:b w:val="0"/>
                <w:bCs w:val="0"/>
                <w:sz w:val="21"/>
                <w:szCs w:val="21"/>
                <w:highlight w:val="none"/>
                <w:lang w:val="en-US" w:eastAsia="zh-CN"/>
              </w:rPr>
            </w:pPr>
            <w:r>
              <w:rPr>
                <w:rFonts w:hint="eastAsia"/>
                <w:b w:val="0"/>
                <w:bCs w:val="0"/>
                <w:sz w:val="21"/>
                <w:szCs w:val="21"/>
                <w:highlight w:val="none"/>
                <w:lang w:val="en-US" w:eastAsia="zh-CN"/>
              </w:rPr>
              <w:t>4分</w:t>
            </w:r>
          </w:p>
        </w:tc>
        <w:tc>
          <w:tcPr>
            <w:tcW w:w="84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7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57"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68"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58" w:type="dxa"/>
            <w:vMerge w:val="continue"/>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sz w:val="21"/>
                <w:szCs w:val="21"/>
                <w:highlight w:val="none"/>
              </w:rPr>
            </w:pPr>
          </w:p>
        </w:tc>
        <w:tc>
          <w:tcPr>
            <w:tcW w:w="889" w:type="dxa"/>
            <w:vMerge w:val="continue"/>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center"/>
              <w:textAlignment w:val="auto"/>
              <w:rPr>
                <w:rFonts w:hint="eastAsia"/>
                <w:sz w:val="21"/>
                <w:szCs w:val="21"/>
                <w:highlight w:val="none"/>
                <w:lang w:val="en-US" w:eastAsia="zh-CN"/>
              </w:rPr>
            </w:pPr>
          </w:p>
        </w:tc>
        <w:tc>
          <w:tcPr>
            <w:tcW w:w="2634" w:type="dxa"/>
            <w:vAlign w:val="top"/>
          </w:tcPr>
          <w:p>
            <w:pPr>
              <w:pStyle w:val="1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sz w:val="21"/>
                <w:szCs w:val="21"/>
                <w:highlight w:val="none"/>
                <w:lang w:val="en-US" w:eastAsia="zh-CN"/>
              </w:rPr>
            </w:pPr>
            <w:r>
              <w:rPr>
                <w:rFonts w:hint="eastAsia"/>
                <w:sz w:val="21"/>
                <w:szCs w:val="21"/>
                <w:highlight w:val="none"/>
                <w:lang w:val="en-US" w:eastAsia="zh-CN"/>
              </w:rPr>
              <w:t>现场组织管理机构；0—5分</w:t>
            </w:r>
          </w:p>
        </w:tc>
        <w:tc>
          <w:tcPr>
            <w:tcW w:w="1264" w:type="dxa"/>
            <w:vAlign w:val="center"/>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center"/>
              <w:textAlignment w:val="auto"/>
              <w:rPr>
                <w:rFonts w:hint="eastAsia"/>
                <w:b w:val="0"/>
                <w:bCs w:val="0"/>
                <w:sz w:val="21"/>
                <w:szCs w:val="21"/>
                <w:highlight w:val="none"/>
                <w:lang w:val="en-US" w:eastAsia="zh-CN"/>
              </w:rPr>
            </w:pPr>
            <w:r>
              <w:rPr>
                <w:rFonts w:hint="eastAsia"/>
                <w:b w:val="0"/>
                <w:bCs w:val="0"/>
                <w:sz w:val="21"/>
                <w:szCs w:val="21"/>
                <w:highlight w:val="none"/>
                <w:lang w:val="en-US" w:eastAsia="zh-CN"/>
              </w:rPr>
              <w:t>5分</w:t>
            </w:r>
          </w:p>
        </w:tc>
        <w:tc>
          <w:tcPr>
            <w:tcW w:w="84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7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57"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68"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058" w:type="dxa"/>
            <w:vMerge w:val="continue"/>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sz w:val="21"/>
                <w:szCs w:val="21"/>
                <w:highlight w:val="none"/>
              </w:rPr>
            </w:pPr>
          </w:p>
        </w:tc>
        <w:tc>
          <w:tcPr>
            <w:tcW w:w="889" w:type="dxa"/>
            <w:vMerge w:val="continue"/>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center"/>
              <w:textAlignment w:val="auto"/>
              <w:rPr>
                <w:rFonts w:hint="eastAsia"/>
                <w:sz w:val="21"/>
                <w:szCs w:val="21"/>
                <w:highlight w:val="none"/>
                <w:lang w:val="en-US" w:eastAsia="zh-CN"/>
              </w:rPr>
            </w:pPr>
          </w:p>
        </w:tc>
        <w:tc>
          <w:tcPr>
            <w:tcW w:w="2634" w:type="dxa"/>
            <w:vAlign w:val="top"/>
          </w:tcPr>
          <w:p>
            <w:pPr>
              <w:pStyle w:val="1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sz w:val="21"/>
                <w:szCs w:val="21"/>
                <w:highlight w:val="none"/>
                <w:lang w:val="en-US" w:eastAsia="zh-CN"/>
              </w:rPr>
            </w:pPr>
            <w:r>
              <w:rPr>
                <w:rFonts w:hint="eastAsia"/>
                <w:sz w:val="21"/>
                <w:szCs w:val="21"/>
                <w:highlight w:val="none"/>
                <w:lang w:val="en-US" w:eastAsia="zh-CN"/>
              </w:rPr>
              <w:t>与发包人及设计单位的配合；0—5分</w:t>
            </w:r>
          </w:p>
        </w:tc>
        <w:tc>
          <w:tcPr>
            <w:tcW w:w="1264" w:type="dxa"/>
            <w:vAlign w:val="center"/>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center"/>
              <w:textAlignment w:val="auto"/>
              <w:rPr>
                <w:rFonts w:hint="eastAsia"/>
                <w:b w:val="0"/>
                <w:bCs w:val="0"/>
                <w:sz w:val="21"/>
                <w:szCs w:val="21"/>
                <w:highlight w:val="none"/>
                <w:lang w:val="en-US" w:eastAsia="zh-CN"/>
              </w:rPr>
            </w:pPr>
            <w:r>
              <w:rPr>
                <w:rFonts w:hint="eastAsia"/>
                <w:b w:val="0"/>
                <w:bCs w:val="0"/>
                <w:sz w:val="21"/>
                <w:szCs w:val="21"/>
                <w:highlight w:val="none"/>
                <w:lang w:val="en-US" w:eastAsia="zh-CN"/>
              </w:rPr>
              <w:t>5分</w:t>
            </w:r>
          </w:p>
        </w:tc>
        <w:tc>
          <w:tcPr>
            <w:tcW w:w="84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7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57"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68"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058"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sz w:val="21"/>
                <w:szCs w:val="21"/>
                <w:highlight w:val="none"/>
              </w:rPr>
            </w:pPr>
          </w:p>
        </w:tc>
        <w:tc>
          <w:tcPr>
            <w:tcW w:w="889"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center"/>
              <w:textAlignment w:val="auto"/>
              <w:rPr>
                <w:rFonts w:hint="default"/>
                <w:sz w:val="21"/>
                <w:szCs w:val="21"/>
                <w:highlight w:val="none"/>
                <w:lang w:val="en-US" w:eastAsia="zh-CN"/>
              </w:rPr>
            </w:pPr>
            <w:r>
              <w:rPr>
                <w:rFonts w:hint="eastAsia"/>
                <w:sz w:val="21"/>
                <w:szCs w:val="21"/>
                <w:highlight w:val="none"/>
                <w:lang w:val="en-US" w:eastAsia="zh-CN"/>
              </w:rPr>
              <w:t>（2）采购需求</w:t>
            </w:r>
          </w:p>
        </w:tc>
        <w:tc>
          <w:tcPr>
            <w:tcW w:w="2634" w:type="dxa"/>
            <w:vAlign w:val="top"/>
          </w:tcPr>
          <w:p>
            <w:pPr>
              <w:pStyle w:val="1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default"/>
                <w:sz w:val="21"/>
                <w:szCs w:val="21"/>
                <w:highlight w:val="none"/>
                <w:lang w:val="en-US" w:eastAsia="zh-CN"/>
              </w:rPr>
            </w:pPr>
            <w:r>
              <w:rPr>
                <w:rFonts w:hint="eastAsia"/>
                <w:sz w:val="21"/>
                <w:szCs w:val="21"/>
                <w:highlight w:val="none"/>
                <w:lang w:val="en-US" w:eastAsia="zh-CN"/>
              </w:rPr>
              <w:t>符合采购需求的得10分，负偏离一次扣1分，扣完为止</w:t>
            </w:r>
          </w:p>
        </w:tc>
        <w:tc>
          <w:tcPr>
            <w:tcW w:w="1264" w:type="dxa"/>
            <w:vAlign w:val="center"/>
          </w:tcPr>
          <w:p>
            <w:pPr>
              <w:ind w:firstLine="440" w:firstLineChars="200"/>
              <w:rPr>
                <w:rFonts w:hint="default"/>
                <w:lang w:val="en-US" w:eastAsia="zh-CN"/>
              </w:rPr>
            </w:pPr>
            <w:r>
              <w:rPr>
                <w:rFonts w:hint="eastAsia"/>
                <w:lang w:val="en-US" w:eastAsia="zh-CN"/>
              </w:rPr>
              <w:t>10分</w:t>
            </w:r>
          </w:p>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rFonts w:hint="default"/>
                <w:b w:val="0"/>
                <w:bCs w:val="0"/>
                <w:sz w:val="21"/>
                <w:szCs w:val="21"/>
                <w:highlight w:val="none"/>
                <w:lang w:val="en-US" w:eastAsia="zh-CN"/>
              </w:rPr>
            </w:pPr>
          </w:p>
        </w:tc>
        <w:tc>
          <w:tcPr>
            <w:tcW w:w="84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7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57"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68"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8" w:type="dxa"/>
            <w:vMerge w:val="restart"/>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1"/>
                <w:szCs w:val="21"/>
                <w:highlight w:val="none"/>
              </w:rPr>
            </w:pPr>
            <w:r>
              <w:rPr>
                <w:rFonts w:hint="eastAsia"/>
                <w:sz w:val="21"/>
                <w:szCs w:val="21"/>
                <w:highlight w:val="none"/>
                <w:lang w:eastAsia="zh-CN"/>
              </w:rPr>
              <w:t>商务部分</w:t>
            </w:r>
          </w:p>
          <w:p>
            <w:pPr>
              <w:pStyle w:val="1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z w:val="21"/>
                <w:szCs w:val="21"/>
                <w:highlight w:val="none"/>
              </w:rPr>
            </w:pPr>
            <w:r>
              <w:rPr>
                <w:sz w:val="21"/>
                <w:szCs w:val="21"/>
                <w:highlight w:val="none"/>
              </w:rPr>
              <w:t>（</w:t>
            </w:r>
            <w:r>
              <w:rPr>
                <w:rFonts w:hint="eastAsia"/>
                <w:sz w:val="21"/>
                <w:szCs w:val="21"/>
                <w:highlight w:val="none"/>
                <w:lang w:val="en-US" w:eastAsia="zh-CN"/>
              </w:rPr>
              <w:t>40</w:t>
            </w:r>
            <w:r>
              <w:rPr>
                <w:sz w:val="21"/>
                <w:szCs w:val="21"/>
                <w:highlight w:val="none"/>
              </w:rPr>
              <w:t>分）</w:t>
            </w:r>
          </w:p>
        </w:tc>
        <w:tc>
          <w:tcPr>
            <w:tcW w:w="889"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center"/>
              <w:textAlignment w:val="auto"/>
              <w:rPr>
                <w:sz w:val="21"/>
                <w:szCs w:val="21"/>
                <w:highlight w:val="none"/>
              </w:rPr>
            </w:pPr>
            <w:r>
              <w:rPr>
                <w:rFonts w:hint="eastAsia"/>
                <w:sz w:val="21"/>
                <w:szCs w:val="21"/>
                <w:highlight w:val="none"/>
              </w:rPr>
              <w:t>质量体系认证</w:t>
            </w:r>
          </w:p>
        </w:tc>
        <w:tc>
          <w:tcPr>
            <w:tcW w:w="2634" w:type="dxa"/>
            <w:vAlign w:val="top"/>
          </w:tcPr>
          <w:p>
            <w:pPr>
              <w:pStyle w:val="1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sz w:val="21"/>
                <w:szCs w:val="21"/>
                <w:highlight w:val="none"/>
              </w:rPr>
            </w:pPr>
          </w:p>
          <w:p>
            <w:pPr>
              <w:pStyle w:val="1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ascii="宋体" w:hAnsi="宋体" w:eastAsia="宋体" w:cs="宋体"/>
                <w:sz w:val="21"/>
                <w:szCs w:val="21"/>
                <w:highlight w:val="none"/>
                <w:lang w:val="en-US" w:eastAsia="en-US" w:bidi="ar-SA"/>
              </w:rPr>
            </w:pPr>
            <w:r>
              <w:rPr>
                <w:rFonts w:hint="eastAsia"/>
                <w:sz w:val="21"/>
                <w:szCs w:val="21"/>
                <w:highlight w:val="none"/>
              </w:rPr>
              <w:t>环境管理体系；职业健康安全管理体系；质量管理体系，</w:t>
            </w:r>
            <w:r>
              <w:rPr>
                <w:rFonts w:hint="eastAsia"/>
                <w:sz w:val="21"/>
                <w:szCs w:val="21"/>
                <w:highlight w:val="none"/>
                <w:lang w:val="en-US" w:eastAsia="zh-CN"/>
              </w:rPr>
              <w:t>提供一个得1分，满分</w:t>
            </w:r>
            <w:r>
              <w:rPr>
                <w:rFonts w:hint="eastAsia"/>
                <w:sz w:val="21"/>
                <w:szCs w:val="21"/>
                <w:highlight w:val="none"/>
              </w:rPr>
              <w:t>得</w:t>
            </w:r>
            <w:r>
              <w:rPr>
                <w:rFonts w:hint="eastAsia"/>
                <w:sz w:val="21"/>
                <w:szCs w:val="21"/>
                <w:highlight w:val="none"/>
                <w:lang w:val="en-US" w:eastAsia="zh-CN"/>
              </w:rPr>
              <w:t>3</w:t>
            </w:r>
            <w:r>
              <w:rPr>
                <w:rFonts w:hint="eastAsia"/>
                <w:sz w:val="21"/>
                <w:szCs w:val="21"/>
                <w:highlight w:val="none"/>
              </w:rPr>
              <w:t>分，不提供，不得分。（</w:t>
            </w:r>
            <w:r>
              <w:rPr>
                <w:rFonts w:hint="eastAsia"/>
                <w:sz w:val="21"/>
                <w:szCs w:val="21"/>
                <w:highlight w:val="none"/>
                <w:lang w:val="en-US" w:eastAsia="zh-CN"/>
              </w:rPr>
              <w:t>提供证书</w:t>
            </w:r>
            <w:r>
              <w:rPr>
                <w:rFonts w:hint="eastAsia"/>
                <w:sz w:val="21"/>
                <w:szCs w:val="21"/>
                <w:highlight w:val="none"/>
              </w:rPr>
              <w:t>复印件）</w:t>
            </w:r>
          </w:p>
        </w:tc>
        <w:tc>
          <w:tcPr>
            <w:tcW w:w="1264"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z w:val="21"/>
                <w:szCs w:val="21"/>
                <w:highlight w:val="none"/>
              </w:rPr>
            </w:pPr>
            <w:r>
              <w:rPr>
                <w:rFonts w:hint="eastAsia"/>
                <w:sz w:val="21"/>
                <w:szCs w:val="21"/>
                <w:highlight w:val="none"/>
                <w:lang w:val="en-US" w:eastAsia="zh-CN"/>
              </w:rPr>
              <w:t>3</w:t>
            </w:r>
            <w:r>
              <w:rPr>
                <w:sz w:val="21"/>
                <w:szCs w:val="21"/>
                <w:highlight w:val="none"/>
              </w:rPr>
              <w:t>分</w:t>
            </w:r>
          </w:p>
        </w:tc>
        <w:tc>
          <w:tcPr>
            <w:tcW w:w="84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7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57"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68"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1058" w:type="dxa"/>
            <w:vMerge w:val="continue"/>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z w:val="21"/>
                <w:szCs w:val="21"/>
                <w:highlight w:val="none"/>
              </w:rPr>
            </w:pPr>
          </w:p>
        </w:tc>
        <w:tc>
          <w:tcPr>
            <w:tcW w:w="889"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center"/>
              <w:textAlignment w:val="auto"/>
              <w:rPr>
                <w:rFonts w:hint="eastAsia"/>
                <w:sz w:val="21"/>
                <w:szCs w:val="21"/>
                <w:highlight w:val="none"/>
              </w:rPr>
            </w:pPr>
            <w:r>
              <w:rPr>
                <w:rFonts w:hint="eastAsia"/>
                <w:sz w:val="21"/>
                <w:szCs w:val="21"/>
                <w:highlight w:val="none"/>
              </w:rPr>
              <w:t>农民工工资支付保障措施</w:t>
            </w:r>
          </w:p>
        </w:tc>
        <w:tc>
          <w:tcPr>
            <w:tcW w:w="2634" w:type="dxa"/>
            <w:vAlign w:val="top"/>
          </w:tcPr>
          <w:p>
            <w:pPr>
              <w:pStyle w:val="1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sz w:val="21"/>
                <w:szCs w:val="21"/>
                <w:highlight w:val="none"/>
              </w:rPr>
            </w:pPr>
            <w:r>
              <w:rPr>
                <w:rFonts w:hint="eastAsia"/>
                <w:sz w:val="21"/>
                <w:szCs w:val="21"/>
                <w:highlight w:val="none"/>
              </w:rPr>
              <w:t>按时足额支付、不拖欠农民工工资。（提供公司法人签署的承诺书及劳动监察部门出具的近一年来无拖欠农民工上访记录证明，得</w:t>
            </w:r>
            <w:r>
              <w:rPr>
                <w:rFonts w:hint="eastAsia"/>
                <w:sz w:val="21"/>
                <w:szCs w:val="21"/>
                <w:highlight w:val="none"/>
                <w:lang w:val="en-US" w:eastAsia="zh-CN"/>
              </w:rPr>
              <w:t>1</w:t>
            </w:r>
            <w:r>
              <w:rPr>
                <w:rFonts w:hint="eastAsia"/>
                <w:sz w:val="21"/>
                <w:szCs w:val="21"/>
                <w:highlight w:val="none"/>
              </w:rPr>
              <w:t>分）</w:t>
            </w:r>
          </w:p>
          <w:p>
            <w:pPr>
              <w:pStyle w:val="1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sz w:val="21"/>
                <w:szCs w:val="21"/>
                <w:highlight w:val="none"/>
              </w:rPr>
            </w:pPr>
            <w:r>
              <w:rPr>
                <w:rFonts w:hint="eastAsia"/>
                <w:sz w:val="21"/>
                <w:szCs w:val="21"/>
                <w:highlight w:val="none"/>
              </w:rPr>
              <w:t>2. 落实用工实名制管理及银行代发农民工工资。（提供公司实名制管理可行性方案，已落实实名制管理的企业提供合同及银行证明；得</w:t>
            </w:r>
            <w:r>
              <w:rPr>
                <w:rFonts w:hint="eastAsia"/>
                <w:sz w:val="21"/>
                <w:szCs w:val="21"/>
                <w:highlight w:val="none"/>
                <w:lang w:val="en-US" w:eastAsia="zh-CN"/>
              </w:rPr>
              <w:t>1</w:t>
            </w:r>
            <w:r>
              <w:rPr>
                <w:rFonts w:hint="eastAsia"/>
                <w:sz w:val="21"/>
                <w:szCs w:val="21"/>
                <w:highlight w:val="none"/>
              </w:rPr>
              <w:t>分）</w:t>
            </w:r>
            <w:r>
              <w:rPr>
                <w:rFonts w:hint="eastAsia"/>
                <w:sz w:val="21"/>
                <w:szCs w:val="21"/>
                <w:highlight w:val="none"/>
              </w:rPr>
              <w:br w:type="textWrapping"/>
            </w:r>
            <w:r>
              <w:rPr>
                <w:rFonts w:hint="eastAsia"/>
                <w:sz w:val="21"/>
                <w:szCs w:val="21"/>
                <w:highlight w:val="none"/>
              </w:rPr>
              <w:t>3. 投标企业必须优先使用精准扶贫户农民工。(出具投标企业法人签署的承诺。)得</w:t>
            </w:r>
            <w:r>
              <w:rPr>
                <w:rFonts w:hint="eastAsia"/>
                <w:sz w:val="21"/>
                <w:szCs w:val="21"/>
                <w:highlight w:val="none"/>
                <w:lang w:val="en-US" w:eastAsia="zh-CN"/>
              </w:rPr>
              <w:t>1</w:t>
            </w:r>
            <w:r>
              <w:rPr>
                <w:rFonts w:hint="eastAsia"/>
                <w:sz w:val="21"/>
                <w:szCs w:val="21"/>
                <w:highlight w:val="none"/>
              </w:rPr>
              <w:t>分</w:t>
            </w:r>
          </w:p>
        </w:tc>
        <w:tc>
          <w:tcPr>
            <w:tcW w:w="1264"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rFonts w:hint="eastAsia"/>
                <w:sz w:val="21"/>
                <w:szCs w:val="21"/>
                <w:highlight w:val="none"/>
                <w:lang w:val="en-US" w:eastAsia="zh-CN"/>
              </w:rPr>
            </w:pPr>
            <w:r>
              <w:rPr>
                <w:rFonts w:hint="eastAsia"/>
                <w:sz w:val="21"/>
                <w:szCs w:val="21"/>
                <w:highlight w:val="none"/>
                <w:lang w:val="en-US" w:eastAsia="zh-CN"/>
              </w:rPr>
              <w:t>3分</w:t>
            </w:r>
          </w:p>
        </w:tc>
        <w:tc>
          <w:tcPr>
            <w:tcW w:w="84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7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57"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68"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8" w:type="dxa"/>
            <w:vMerge w:val="continue"/>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z w:val="21"/>
                <w:szCs w:val="21"/>
                <w:highlight w:val="none"/>
              </w:rPr>
            </w:pPr>
          </w:p>
        </w:tc>
        <w:tc>
          <w:tcPr>
            <w:tcW w:w="889" w:type="dxa"/>
            <w:vMerge w:val="restart"/>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center"/>
              <w:textAlignment w:val="auto"/>
              <w:rPr>
                <w:rFonts w:hint="eastAsia"/>
                <w:sz w:val="21"/>
                <w:szCs w:val="21"/>
                <w:highlight w:val="none"/>
              </w:rPr>
            </w:pPr>
            <w:r>
              <w:rPr>
                <w:rFonts w:hint="eastAsia"/>
                <w:sz w:val="21"/>
                <w:szCs w:val="21"/>
                <w:highlight w:val="none"/>
                <w:lang w:eastAsia="zh-CN"/>
              </w:rPr>
              <w:t>管理机构</w:t>
            </w:r>
          </w:p>
        </w:tc>
        <w:tc>
          <w:tcPr>
            <w:tcW w:w="2634" w:type="dxa"/>
            <w:vAlign w:val="top"/>
          </w:tcPr>
          <w:p>
            <w:pPr>
              <w:pStyle w:val="1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default"/>
                <w:sz w:val="21"/>
                <w:szCs w:val="21"/>
                <w:highlight w:val="none"/>
                <w:lang w:val="en-US"/>
              </w:rPr>
            </w:pPr>
            <w:r>
              <w:rPr>
                <w:rFonts w:hint="eastAsia"/>
                <w:sz w:val="21"/>
                <w:szCs w:val="21"/>
                <w:highlight w:val="none"/>
                <w:lang w:val="en-US" w:eastAsia="zh-CN"/>
              </w:rPr>
              <w:t>项目经理：具备中级及以上职称，得2分。</w:t>
            </w:r>
          </w:p>
        </w:tc>
        <w:tc>
          <w:tcPr>
            <w:tcW w:w="1264"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rFonts w:hint="eastAsia"/>
                <w:sz w:val="21"/>
                <w:szCs w:val="21"/>
                <w:highlight w:val="none"/>
                <w:lang w:val="en-US" w:eastAsia="zh-CN"/>
              </w:rPr>
            </w:pPr>
            <w:r>
              <w:rPr>
                <w:rFonts w:hint="eastAsia"/>
                <w:sz w:val="21"/>
                <w:szCs w:val="21"/>
                <w:highlight w:val="none"/>
                <w:lang w:val="en-US" w:eastAsia="zh-CN"/>
              </w:rPr>
              <w:t>2分</w:t>
            </w:r>
          </w:p>
        </w:tc>
        <w:tc>
          <w:tcPr>
            <w:tcW w:w="84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7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57"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68"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8" w:type="dxa"/>
            <w:vMerge w:val="continue"/>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z w:val="21"/>
                <w:szCs w:val="21"/>
                <w:highlight w:val="none"/>
              </w:rPr>
            </w:pPr>
          </w:p>
        </w:tc>
        <w:tc>
          <w:tcPr>
            <w:tcW w:w="889" w:type="dxa"/>
            <w:vMerge w:val="continue"/>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center"/>
              <w:textAlignment w:val="auto"/>
              <w:rPr>
                <w:rFonts w:hint="eastAsia"/>
                <w:sz w:val="21"/>
                <w:szCs w:val="21"/>
                <w:highlight w:val="none"/>
                <w:lang w:eastAsia="zh-CN"/>
              </w:rPr>
            </w:pPr>
          </w:p>
        </w:tc>
        <w:tc>
          <w:tcPr>
            <w:tcW w:w="2634" w:type="dxa"/>
            <w:vAlign w:val="top"/>
          </w:tcPr>
          <w:p>
            <w:pPr>
              <w:pStyle w:val="1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sz w:val="21"/>
                <w:szCs w:val="21"/>
                <w:highlight w:val="none"/>
                <w:lang w:val="en-US" w:eastAsia="zh-CN"/>
              </w:rPr>
            </w:pPr>
            <w:r>
              <w:rPr>
                <w:rFonts w:hint="eastAsia"/>
                <w:sz w:val="21"/>
                <w:szCs w:val="21"/>
                <w:highlight w:val="none"/>
                <w:lang w:val="en-US" w:eastAsia="zh-CN"/>
              </w:rPr>
              <w:t>技术负责人需具备中级职称得2分。</w:t>
            </w:r>
          </w:p>
        </w:tc>
        <w:tc>
          <w:tcPr>
            <w:tcW w:w="1264"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rFonts w:hint="eastAsia"/>
                <w:sz w:val="21"/>
                <w:szCs w:val="21"/>
                <w:highlight w:val="none"/>
                <w:lang w:val="en-US" w:eastAsia="zh-CN"/>
              </w:rPr>
            </w:pPr>
            <w:r>
              <w:rPr>
                <w:rFonts w:hint="eastAsia"/>
                <w:sz w:val="21"/>
                <w:szCs w:val="21"/>
                <w:highlight w:val="none"/>
                <w:lang w:val="en-US" w:eastAsia="zh-CN"/>
              </w:rPr>
              <w:t>2分</w:t>
            </w:r>
          </w:p>
        </w:tc>
        <w:tc>
          <w:tcPr>
            <w:tcW w:w="84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7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57"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68"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8" w:type="dxa"/>
            <w:vMerge w:val="continue"/>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z w:val="21"/>
                <w:szCs w:val="21"/>
                <w:highlight w:val="none"/>
              </w:rPr>
            </w:pPr>
          </w:p>
        </w:tc>
        <w:tc>
          <w:tcPr>
            <w:tcW w:w="889" w:type="dxa"/>
            <w:vMerge w:val="continue"/>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center"/>
              <w:textAlignment w:val="auto"/>
              <w:rPr>
                <w:rFonts w:hint="eastAsia"/>
                <w:sz w:val="21"/>
                <w:szCs w:val="21"/>
                <w:highlight w:val="none"/>
                <w:lang w:eastAsia="zh-CN"/>
              </w:rPr>
            </w:pPr>
          </w:p>
        </w:tc>
        <w:tc>
          <w:tcPr>
            <w:tcW w:w="2634" w:type="dxa"/>
            <w:vAlign w:val="top"/>
          </w:tcPr>
          <w:p>
            <w:pPr>
              <w:pStyle w:val="1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sz w:val="21"/>
                <w:szCs w:val="21"/>
                <w:highlight w:val="none"/>
                <w:lang w:val="en-US" w:eastAsia="zh-CN"/>
              </w:rPr>
            </w:pPr>
            <w:r>
              <w:rPr>
                <w:rFonts w:hint="eastAsia"/>
                <w:sz w:val="21"/>
                <w:szCs w:val="21"/>
                <w:highlight w:val="none"/>
                <w:lang w:val="en-US" w:eastAsia="zh-CN"/>
              </w:rPr>
              <w:t>施工员、质量员、安全员、材料员、资料员，满足招标文件要求得5分。</w:t>
            </w:r>
          </w:p>
        </w:tc>
        <w:tc>
          <w:tcPr>
            <w:tcW w:w="1264"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rFonts w:hint="eastAsia"/>
                <w:sz w:val="21"/>
                <w:szCs w:val="21"/>
                <w:highlight w:val="none"/>
                <w:lang w:val="en-US" w:eastAsia="zh-CN"/>
              </w:rPr>
            </w:pPr>
            <w:r>
              <w:rPr>
                <w:rFonts w:hint="eastAsia"/>
                <w:sz w:val="21"/>
                <w:szCs w:val="21"/>
                <w:highlight w:val="none"/>
                <w:lang w:val="en-US" w:eastAsia="zh-CN"/>
              </w:rPr>
              <w:t>5分</w:t>
            </w:r>
          </w:p>
        </w:tc>
        <w:tc>
          <w:tcPr>
            <w:tcW w:w="84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7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57"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68"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058" w:type="dxa"/>
            <w:vMerge w:val="continue"/>
            <w:tcBorders>
              <w:bottom w:val="nil"/>
            </w:tcBorders>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z w:val="21"/>
                <w:szCs w:val="21"/>
                <w:highlight w:val="none"/>
              </w:rPr>
            </w:pPr>
          </w:p>
        </w:tc>
        <w:tc>
          <w:tcPr>
            <w:tcW w:w="889"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center"/>
              <w:textAlignment w:val="auto"/>
              <w:rPr>
                <w:sz w:val="21"/>
                <w:szCs w:val="21"/>
                <w:highlight w:val="none"/>
              </w:rPr>
            </w:pPr>
            <w:r>
              <w:rPr>
                <w:rFonts w:hint="eastAsia" w:ascii="宋体" w:hAnsi="宋体" w:eastAsia="宋体" w:cs="宋体"/>
                <w:color w:val="000000"/>
                <w:kern w:val="0"/>
                <w:sz w:val="24"/>
                <w:szCs w:val="24"/>
                <w:highlight w:val="none"/>
                <w:lang w:val="en-US" w:eastAsia="zh-CN" w:bidi="ar"/>
              </w:rPr>
              <w:t>质量保证措施</w:t>
            </w:r>
            <w:r>
              <w:rPr>
                <w:rFonts w:hint="eastAsia" w:cs="宋体"/>
                <w:color w:val="000000"/>
                <w:kern w:val="0"/>
                <w:sz w:val="24"/>
                <w:szCs w:val="24"/>
                <w:highlight w:val="none"/>
                <w:lang w:val="en-US" w:eastAsia="zh-CN" w:bidi="ar"/>
              </w:rPr>
              <w:t>及</w:t>
            </w:r>
            <w:r>
              <w:rPr>
                <w:rFonts w:hint="eastAsia" w:ascii="宋体" w:hAnsi="宋体" w:eastAsia="宋体" w:cs="宋体"/>
                <w:color w:val="000000"/>
                <w:kern w:val="0"/>
                <w:sz w:val="24"/>
                <w:szCs w:val="24"/>
                <w:highlight w:val="none"/>
                <w:lang w:val="en-US" w:eastAsia="zh-CN" w:bidi="ar"/>
              </w:rPr>
              <w:t>售后服务</w:t>
            </w:r>
          </w:p>
        </w:tc>
        <w:tc>
          <w:tcPr>
            <w:tcW w:w="2634" w:type="dxa"/>
            <w:vAlign w:val="top"/>
          </w:tcPr>
          <w:p>
            <w:pPr>
              <w:keepNext w:val="0"/>
              <w:keepLines w:val="0"/>
              <w:widowControl/>
              <w:suppressLineNumbers w:val="0"/>
              <w:jc w:val="both"/>
              <w:rPr>
                <w:rFonts w:hint="default" w:ascii="宋体" w:hAnsi="宋体" w:eastAsia="宋体" w:cs="宋体"/>
                <w:color w:val="000000"/>
                <w:kern w:val="0"/>
                <w:sz w:val="21"/>
                <w:szCs w:val="21"/>
                <w:highlight w:val="none"/>
                <w:lang w:val="en-US" w:eastAsia="zh-CN" w:bidi="ar"/>
              </w:rPr>
            </w:pPr>
            <w:r>
              <w:rPr>
                <w:rFonts w:hint="eastAsia"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val="en-US" w:eastAsia="zh-CN" w:bidi="ar"/>
              </w:rPr>
              <w:t>质量保证措施合理可行，后期服务计划及保障措施全面、可行，且人员配置合理的得</w:t>
            </w:r>
            <w:r>
              <w:rPr>
                <w:rFonts w:hint="eastAsia" w:cs="宋体"/>
                <w:color w:val="000000"/>
                <w:kern w:val="0"/>
                <w:sz w:val="21"/>
                <w:szCs w:val="21"/>
                <w:highlight w:val="none"/>
                <w:lang w:val="en-US" w:eastAsia="zh-CN" w:bidi="ar"/>
              </w:rPr>
              <w:t>0</w:t>
            </w:r>
            <w:r>
              <w:rPr>
                <w:rFonts w:hint="eastAsia" w:ascii="宋体" w:hAnsi="宋体" w:eastAsia="宋体" w:cs="宋体"/>
                <w:color w:val="000000"/>
                <w:kern w:val="0"/>
                <w:sz w:val="21"/>
                <w:szCs w:val="21"/>
                <w:highlight w:val="none"/>
                <w:lang w:val="en-US" w:eastAsia="zh-CN" w:bidi="ar"/>
              </w:rPr>
              <w:t>—</w:t>
            </w:r>
            <w:r>
              <w:rPr>
                <w:rFonts w:hint="eastAsia" w:cs="宋体"/>
                <w:color w:val="000000"/>
                <w:kern w:val="0"/>
                <w:sz w:val="21"/>
                <w:szCs w:val="21"/>
                <w:highlight w:val="none"/>
                <w:lang w:val="en-US" w:eastAsia="zh-CN" w:bidi="ar"/>
              </w:rPr>
              <w:t>10，评审与综合打分。</w:t>
            </w:r>
          </w:p>
          <w:p>
            <w:pPr>
              <w:pStyle w:val="19"/>
              <w:keepNext w:val="0"/>
              <w:keepLines w:val="0"/>
              <w:pageBreakBefore w:val="0"/>
              <w:widowControl w:val="0"/>
              <w:kinsoku/>
              <w:wordWrap/>
              <w:overflowPunct/>
              <w:topLinePunct w:val="0"/>
              <w:autoSpaceDE w:val="0"/>
              <w:autoSpaceDN w:val="0"/>
              <w:bidi w:val="0"/>
              <w:adjustRightInd/>
              <w:snapToGrid/>
              <w:spacing w:before="0" w:after="0" w:line="244" w:lineRule="auto"/>
              <w:ind w:left="0" w:leftChars="0" w:right="0" w:rightChars="0"/>
              <w:jc w:val="both"/>
              <w:textAlignment w:val="auto"/>
              <w:rPr>
                <w:rFonts w:hint="eastAsia" w:ascii="宋体" w:hAnsi="宋体" w:eastAsia="宋体" w:cs="宋体"/>
                <w:color w:val="000000"/>
                <w:kern w:val="0"/>
                <w:sz w:val="21"/>
                <w:szCs w:val="21"/>
                <w:highlight w:val="none"/>
                <w:lang w:val="en-US" w:eastAsia="zh-CN" w:bidi="ar"/>
              </w:rPr>
            </w:pPr>
          </w:p>
        </w:tc>
        <w:tc>
          <w:tcPr>
            <w:tcW w:w="1264"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rFonts w:hint="default"/>
                <w:sz w:val="21"/>
                <w:szCs w:val="21"/>
                <w:highlight w:val="none"/>
                <w:lang w:val="en-US" w:eastAsia="zh-CN"/>
              </w:rPr>
            </w:pPr>
            <w:r>
              <w:rPr>
                <w:rFonts w:hint="eastAsia"/>
                <w:sz w:val="21"/>
                <w:szCs w:val="21"/>
                <w:highlight w:val="none"/>
                <w:lang w:val="en-US" w:eastAsia="zh-CN"/>
              </w:rPr>
              <w:t>10分</w:t>
            </w:r>
          </w:p>
        </w:tc>
        <w:tc>
          <w:tcPr>
            <w:tcW w:w="84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7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57"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68"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Borders>
              <w:top w:val="nil"/>
            </w:tcBorders>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z w:val="21"/>
                <w:szCs w:val="21"/>
                <w:highlight w:val="none"/>
              </w:rPr>
            </w:pPr>
          </w:p>
        </w:tc>
        <w:tc>
          <w:tcPr>
            <w:tcW w:w="889" w:type="dxa"/>
            <w:vAlign w:val="top"/>
          </w:tcPr>
          <w:p>
            <w:pPr>
              <w:pStyle w:val="1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z w:val="21"/>
                <w:szCs w:val="21"/>
                <w:highlight w:val="none"/>
              </w:rPr>
            </w:pPr>
            <w:r>
              <w:rPr>
                <w:sz w:val="21"/>
                <w:szCs w:val="21"/>
                <w:highlight w:val="none"/>
              </w:rPr>
              <w:t>标书</w:t>
            </w:r>
          </w:p>
          <w:p>
            <w:pPr>
              <w:pStyle w:val="1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z w:val="21"/>
                <w:szCs w:val="21"/>
                <w:highlight w:val="none"/>
              </w:rPr>
            </w:pPr>
            <w:r>
              <w:rPr>
                <w:sz w:val="21"/>
                <w:szCs w:val="21"/>
                <w:highlight w:val="none"/>
              </w:rPr>
              <w:t>制作</w:t>
            </w:r>
          </w:p>
          <w:p>
            <w:pPr>
              <w:pStyle w:val="19"/>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jc w:val="both"/>
              <w:textAlignment w:val="auto"/>
              <w:rPr>
                <w:rFonts w:hint="default" w:eastAsia="宋体"/>
                <w:sz w:val="21"/>
                <w:szCs w:val="21"/>
                <w:highlight w:val="none"/>
                <w:lang w:val="en-US" w:eastAsia="zh-CN"/>
              </w:rPr>
            </w:pPr>
          </w:p>
        </w:tc>
        <w:tc>
          <w:tcPr>
            <w:tcW w:w="2634" w:type="dxa"/>
            <w:vAlign w:val="top"/>
          </w:tcPr>
          <w:p>
            <w:pPr>
              <w:pStyle w:val="19"/>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jc w:val="both"/>
              <w:textAlignment w:val="auto"/>
              <w:rPr>
                <w:sz w:val="21"/>
                <w:szCs w:val="21"/>
                <w:highlight w:val="none"/>
              </w:rPr>
            </w:pPr>
            <w:r>
              <w:rPr>
                <w:sz w:val="21"/>
                <w:szCs w:val="21"/>
                <w:highlight w:val="none"/>
              </w:rPr>
              <w:t>投标文件编制内容清晰、目录页码准确、复印清晰、资料无杂乱、</w:t>
            </w:r>
            <w:r>
              <w:rPr>
                <w:spacing w:val="-4"/>
                <w:sz w:val="21"/>
                <w:szCs w:val="21"/>
                <w:highlight w:val="none"/>
              </w:rPr>
              <w:t>装订规范整齐。</w:t>
            </w:r>
            <w:r>
              <w:rPr>
                <w:rFonts w:hint="eastAsia"/>
                <w:spacing w:val="-4"/>
                <w:sz w:val="21"/>
                <w:szCs w:val="21"/>
                <w:highlight w:val="none"/>
                <w:lang w:val="en-US" w:eastAsia="zh-CN"/>
              </w:rPr>
              <w:t>0—5分。</w:t>
            </w:r>
          </w:p>
        </w:tc>
        <w:tc>
          <w:tcPr>
            <w:tcW w:w="1264" w:type="dxa"/>
            <w:vAlign w:val="top"/>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1"/>
                <w:szCs w:val="21"/>
                <w:highlight w:val="none"/>
              </w:rPr>
            </w:pPr>
          </w:p>
          <w:p>
            <w:pPr>
              <w:pStyle w:val="1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z w:val="21"/>
                <w:szCs w:val="21"/>
                <w:highlight w:val="none"/>
              </w:rPr>
            </w:pPr>
            <w:r>
              <w:rPr>
                <w:rFonts w:hint="eastAsia"/>
                <w:sz w:val="21"/>
                <w:szCs w:val="21"/>
                <w:highlight w:val="none"/>
                <w:lang w:val="en-US" w:eastAsia="zh-CN"/>
              </w:rPr>
              <w:t>5</w:t>
            </w:r>
            <w:r>
              <w:rPr>
                <w:sz w:val="21"/>
                <w:szCs w:val="21"/>
                <w:highlight w:val="none"/>
              </w:rPr>
              <w:t>分</w:t>
            </w:r>
          </w:p>
        </w:tc>
        <w:tc>
          <w:tcPr>
            <w:tcW w:w="84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74"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57"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c>
          <w:tcPr>
            <w:tcW w:w="868" w:type="dxa"/>
          </w:tcPr>
          <w:p>
            <w:pPr>
              <w:pStyle w:val="9"/>
              <w:keepNext w:val="0"/>
              <w:keepLines w:val="0"/>
              <w:pageBreakBefore w:val="0"/>
              <w:widowControl w:val="0"/>
              <w:kinsoku/>
              <w:wordWrap/>
              <w:overflowPunct/>
              <w:topLinePunct w:val="0"/>
              <w:autoSpaceDE w:val="0"/>
              <w:autoSpaceDN w:val="0"/>
              <w:bidi w:val="0"/>
              <w:adjustRightInd/>
              <w:snapToGrid/>
              <w:spacing w:before="0" w:after="0"/>
              <w:ind w:right="0"/>
              <w:jc w:val="both"/>
              <w:textAlignment w:val="auto"/>
              <w:rPr>
                <w:b/>
                <w:sz w:val="21"/>
                <w:szCs w:val="21"/>
                <w:highlight w:val="none"/>
                <w:vertAlign w:val="baseline"/>
              </w:rPr>
            </w:pPr>
          </w:p>
        </w:tc>
      </w:tr>
    </w:tbl>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6"/>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jc w:val="both"/>
        <w:textAlignment w:val="auto"/>
        <w:rPr>
          <w:highlight w:val="none"/>
        </w:rPr>
      </w:pPr>
      <w:r>
        <w:rPr>
          <w:highlight w:val="none"/>
        </w:rPr>
        <w:t>3.价格分的计算</w:t>
      </w:r>
    </w:p>
    <w:p>
      <w:pPr>
        <w:pStyle w:val="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jc w:val="both"/>
        <w:textAlignment w:val="auto"/>
        <w:rPr>
          <w:highlight w:val="none"/>
        </w:rPr>
      </w:pPr>
      <w:r>
        <w:rPr>
          <w:highlight w:val="none"/>
        </w:rPr>
        <w:t>投标报价得分＝（评标基准价／投标报价）×价格权值×100 有效的最低报价作为评标基准价。</w:t>
      </w:r>
    </w:p>
    <w:p>
      <w:pPr>
        <w:pStyle w:val="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jc w:val="both"/>
        <w:textAlignment w:val="auto"/>
        <w:rPr>
          <w:highlight w:val="none"/>
        </w:rPr>
      </w:pPr>
      <w:r>
        <w:rPr>
          <w:highlight w:val="none"/>
        </w:rPr>
        <w:t>（1）中小企业价格扣除</w:t>
      </w:r>
    </w:p>
    <w:p>
      <w:pPr>
        <w:pStyle w:val="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jc w:val="both"/>
        <w:textAlignment w:val="auto"/>
        <w:rPr>
          <w:highlight w:val="none"/>
        </w:rPr>
      </w:pPr>
      <w:r>
        <w:rPr>
          <w:highlight w:val="none"/>
        </w:rPr>
        <w:t>（2）根据《政府招标促进中小企业发展暂行办法》（财库〔2011〕181 号）及</w:t>
      </w:r>
      <w:r>
        <w:rPr>
          <w:spacing w:val="-10"/>
          <w:highlight w:val="none"/>
        </w:rPr>
        <w:t>相关规定，在技术、商务等均满足采购需求的前提下，本项目对小型和微型企业产 品给予 6% 的价格扣除，用扣除后的价格参与评审。中小企业须提供中小企业声 明函且声明函所载内容必须真实，如有虚假，将依法承担相应责任，包括</w:t>
      </w:r>
      <w:r>
        <w:rPr>
          <w:spacing w:val="-18"/>
          <w:highlight w:val="none"/>
        </w:rPr>
        <w:t>取消中标资格、投标保证金不予退还等。中小企业划分标准依照工业和信息化部、</w:t>
      </w:r>
      <w:r>
        <w:rPr>
          <w:spacing w:val="-14"/>
          <w:highlight w:val="none"/>
        </w:rPr>
        <w:t>国家统计局、国家发展和改革委员会、财政部联合下发的《关于印发中小企业划</w:t>
      </w:r>
      <w:r>
        <w:rPr>
          <w:spacing w:val="-16"/>
          <w:highlight w:val="none"/>
        </w:rPr>
        <w:t>型标准规定的通知》</w:t>
      </w:r>
      <w:r>
        <w:rPr>
          <w:spacing w:val="-3"/>
          <w:highlight w:val="none"/>
        </w:rPr>
        <w:t>（工信部联企业《</w:t>
      </w:r>
      <w:r>
        <w:rPr>
          <w:highlight w:val="none"/>
        </w:rPr>
        <w:t>2011</w:t>
      </w:r>
      <w:r>
        <w:rPr>
          <w:spacing w:val="-15"/>
          <w:highlight w:val="none"/>
        </w:rPr>
        <w:t>》</w:t>
      </w:r>
      <w:r>
        <w:rPr>
          <w:highlight w:val="none"/>
        </w:rPr>
        <w:t>300 号</w:t>
      </w:r>
      <w:r>
        <w:rPr>
          <w:spacing w:val="-17"/>
          <w:highlight w:val="none"/>
        </w:rPr>
        <w:t>）</w:t>
      </w:r>
      <w:r>
        <w:rPr>
          <w:spacing w:val="-4"/>
          <w:highlight w:val="none"/>
        </w:rPr>
        <w:t>执行。价格扣除只针对投标报价未超过财政控制值的供应商有效。</w:t>
      </w:r>
    </w:p>
    <w:p>
      <w:pPr>
        <w:pStyle w:val="9"/>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jc w:val="both"/>
        <w:textAlignment w:val="auto"/>
        <w:rPr>
          <w:highlight w:val="none"/>
        </w:rPr>
      </w:pPr>
      <w:r>
        <w:rPr>
          <w:highlight w:val="none"/>
        </w:rPr>
        <w:t>（2）货物类采购项目的价格分值占总分值的比重(即权值)为 30％至 60％；服务类项目的价格分值占总分值的比重(即权值)为 10％至 30％。执行统一价标准的服务项目，其价格不列为评分因素。</w:t>
      </w:r>
    </w:p>
    <w:p>
      <w:pPr>
        <w:pStyle w:val="16"/>
        <w:rPr>
          <w:sz w:val="28"/>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both"/>
        <w:textAlignment w:val="auto"/>
        <w:rPr>
          <w:sz w:val="28"/>
          <w:highlight w:val="none"/>
        </w:rPr>
      </w:pPr>
      <w:r>
        <w:rPr>
          <w:sz w:val="28"/>
          <w:highlight w:val="none"/>
        </w:rPr>
        <w:t>（2）价格分值计算表：</w:t>
      </w: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b/>
          <w:sz w:val="36"/>
          <w:highlight w:val="none"/>
        </w:rPr>
      </w:pPr>
      <w:r>
        <w:rPr>
          <w:b/>
          <w:sz w:val="36"/>
          <w:highlight w:val="none"/>
        </w:rPr>
        <w:t>价格分值计算表</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14"/>
          <w:highlight w:val="none"/>
        </w:rPr>
      </w:pPr>
    </w:p>
    <w:tbl>
      <w:tblPr>
        <w:tblStyle w:val="13"/>
        <w:tblW w:w="98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1400"/>
        <w:gridCol w:w="1754"/>
        <w:gridCol w:w="2453"/>
        <w:gridCol w:w="1282"/>
        <w:gridCol w:w="1225"/>
        <w:gridCol w:w="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9860" w:type="dxa"/>
            <w:gridSpan w:val="7"/>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4"/>
                <w:highlight w:val="none"/>
              </w:rPr>
            </w:pPr>
            <w:r>
              <w:rPr>
                <w:sz w:val="24"/>
                <w:highlight w:val="none"/>
              </w:rPr>
              <w:t>项目名称：</w:t>
            </w:r>
            <w:r>
              <w:rPr>
                <w:rFonts w:hint="eastAsia"/>
                <w:sz w:val="24"/>
                <w:highlight w:val="none"/>
                <w:lang w:val="en-US" w:eastAsia="zh-CN"/>
              </w:rPr>
              <w:t>江口县2018年农村“厕所革命”省级奖补资金工程项目采购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9860" w:type="dxa"/>
            <w:gridSpan w:val="7"/>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hint="default"/>
                <w:sz w:val="24"/>
                <w:highlight w:val="none"/>
                <w:lang w:val="en-US"/>
              </w:rPr>
            </w:pPr>
            <w:r>
              <w:rPr>
                <w:sz w:val="24"/>
                <w:highlight w:val="none"/>
              </w:rPr>
              <w:t>项目编号：</w:t>
            </w:r>
            <w:r>
              <w:rPr>
                <w:rFonts w:hint="eastAsia"/>
                <w:sz w:val="24"/>
                <w:highlight w:val="none"/>
                <w:lang w:val="en-US" w:eastAsia="zh-CN"/>
              </w:rPr>
              <w:t>GZZY-CG-2020100(-10)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9860" w:type="dxa"/>
            <w:gridSpan w:val="7"/>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4"/>
                <w:highlight w:val="none"/>
              </w:rPr>
            </w:pPr>
            <w:r>
              <w:rPr>
                <w:spacing w:val="-8"/>
                <w:sz w:val="24"/>
                <w:highlight w:val="none"/>
              </w:rPr>
              <w:t>评标地点：</w:t>
            </w:r>
            <w:r>
              <w:rPr>
                <w:rFonts w:hint="eastAsia"/>
                <w:spacing w:val="-8"/>
                <w:sz w:val="24"/>
                <w:highlight w:val="none"/>
                <w:lang w:val="en-US" w:eastAsia="zh-CN"/>
              </w:rPr>
              <w:t xml:space="preserve">         </w:t>
            </w:r>
            <w:r>
              <w:rPr>
                <w:spacing w:val="-8"/>
                <w:sz w:val="24"/>
                <w:highlight w:val="none"/>
              </w:rPr>
              <w:t xml:space="preserve"> 开标时间</w:t>
            </w:r>
            <w:r>
              <w:rPr>
                <w:rFonts w:ascii="Times New Roman" w:eastAsia="Times New Roman"/>
                <w:sz w:val="24"/>
                <w:highlight w:val="none"/>
              </w:rPr>
              <w:t>:</w:t>
            </w:r>
            <w:r>
              <w:rPr>
                <w:rFonts w:hint="eastAsia" w:ascii="Times New Roman"/>
                <w:sz w:val="24"/>
                <w:highlight w:val="none"/>
                <w:lang w:val="en-US" w:eastAsia="zh-CN"/>
              </w:rPr>
              <w:t xml:space="preserve">     </w:t>
            </w:r>
            <w:r>
              <w:rPr>
                <w:sz w:val="24"/>
                <w:highlight w:val="none"/>
              </w:rPr>
              <w:t>年</w:t>
            </w:r>
            <w:r>
              <w:rPr>
                <w:rFonts w:hint="eastAsia"/>
                <w:sz w:val="24"/>
                <w:highlight w:val="none"/>
                <w:lang w:val="en-US" w:eastAsia="zh-CN"/>
              </w:rPr>
              <w:t xml:space="preserve">  </w:t>
            </w:r>
            <w:r>
              <w:rPr>
                <w:sz w:val="24"/>
                <w:highlight w:val="none"/>
              </w:rPr>
              <w:t xml:space="preserve"> 月</w:t>
            </w:r>
            <w:r>
              <w:rPr>
                <w:rFonts w:hint="eastAsia"/>
                <w:sz w:val="24"/>
                <w:highlight w:val="none"/>
                <w:lang w:val="en-US" w:eastAsia="zh-CN"/>
              </w:rPr>
              <w:t xml:space="preserve">  </w:t>
            </w:r>
            <w:r>
              <w:rPr>
                <w:sz w:val="24"/>
                <w:highlight w:val="none"/>
              </w:rPr>
              <w:t xml:space="preserve"> 日</w:t>
            </w:r>
            <w:r>
              <w:rPr>
                <w:rFonts w:hint="eastAsia"/>
                <w:sz w:val="24"/>
                <w:highlight w:val="none"/>
                <w:lang w:val="en-US" w:eastAsia="zh-CN"/>
              </w:rPr>
              <w:t xml:space="preserve">   </w:t>
            </w:r>
            <w:r>
              <w:rPr>
                <w:rFonts w:hint="eastAsia"/>
                <w:sz w:val="24"/>
                <w:highlight w:val="none"/>
                <w:lang w:eastAsia="zh-CN"/>
              </w:rPr>
              <w:t>时</w:t>
            </w:r>
            <w:r>
              <w:rPr>
                <w:rFonts w:ascii="Times New Roman" w:eastAsia="Times New Roman"/>
                <w:sz w:val="24"/>
                <w:highlight w:val="none"/>
              </w:rPr>
              <w:t xml:space="preserve"> </w:t>
            </w:r>
            <w:r>
              <w:rPr>
                <w:rFonts w:hint="eastAsia" w:ascii="Times New Roman"/>
                <w:sz w:val="24"/>
                <w:highlight w:val="none"/>
                <w:lang w:val="en-US" w:eastAsia="zh-CN"/>
              </w:rPr>
              <w:t xml:space="preserve">  </w:t>
            </w:r>
            <w:r>
              <w:rPr>
                <w:sz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817"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4"/>
                <w:highlight w:val="none"/>
              </w:rPr>
            </w:pPr>
            <w:r>
              <w:rPr>
                <w:sz w:val="24"/>
                <w:highlight w:val="none"/>
              </w:rPr>
              <w:t>序号</w:t>
            </w:r>
          </w:p>
        </w:tc>
        <w:tc>
          <w:tcPr>
            <w:tcW w:w="1400"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44" w:lineRule="auto"/>
              <w:ind w:left="0" w:right="0"/>
              <w:jc w:val="center"/>
              <w:textAlignment w:val="auto"/>
              <w:rPr>
                <w:sz w:val="24"/>
                <w:highlight w:val="none"/>
              </w:rPr>
            </w:pPr>
            <w:r>
              <w:rPr>
                <w:sz w:val="24"/>
                <w:highlight w:val="none"/>
              </w:rPr>
              <w:t>供应商名称</w:t>
            </w:r>
          </w:p>
        </w:tc>
        <w:tc>
          <w:tcPr>
            <w:tcW w:w="1754"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4"/>
                <w:highlight w:val="none"/>
              </w:rPr>
            </w:pPr>
            <w:r>
              <w:rPr>
                <w:sz w:val="24"/>
                <w:highlight w:val="none"/>
              </w:rPr>
              <w:t>磋商报价（元）</w:t>
            </w:r>
          </w:p>
        </w:tc>
        <w:tc>
          <w:tcPr>
            <w:tcW w:w="2453"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r>
              <w:rPr>
                <w:sz w:val="24"/>
                <w:highlight w:val="none"/>
              </w:rPr>
              <w:t>中小企业给予6%</w:t>
            </w:r>
          </w:p>
          <w:p>
            <w:pPr>
              <w:pStyle w:val="19"/>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r>
              <w:rPr>
                <w:sz w:val="24"/>
                <w:highlight w:val="none"/>
              </w:rPr>
              <w:t>价格扣除后报价（元）</w:t>
            </w:r>
          </w:p>
        </w:tc>
        <w:tc>
          <w:tcPr>
            <w:tcW w:w="1282"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r>
              <w:rPr>
                <w:sz w:val="24"/>
                <w:highlight w:val="none"/>
              </w:rPr>
              <w:t>评</w:t>
            </w:r>
            <w:r>
              <w:rPr>
                <w:rFonts w:hint="eastAsia"/>
                <w:sz w:val="24"/>
                <w:highlight w:val="none"/>
                <w:lang w:eastAsia="zh-CN"/>
              </w:rPr>
              <w:t>标</w:t>
            </w:r>
            <w:r>
              <w:rPr>
                <w:sz w:val="24"/>
                <w:highlight w:val="none"/>
              </w:rPr>
              <w:t>基准价（元）</w:t>
            </w:r>
          </w:p>
        </w:tc>
        <w:tc>
          <w:tcPr>
            <w:tcW w:w="1225"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4"/>
                <w:highlight w:val="none"/>
              </w:rPr>
            </w:pPr>
            <w:r>
              <w:rPr>
                <w:sz w:val="24"/>
                <w:highlight w:val="none"/>
              </w:rPr>
              <w:t>价格分值</w:t>
            </w:r>
          </w:p>
        </w:tc>
        <w:tc>
          <w:tcPr>
            <w:tcW w:w="929"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4"/>
                <w:highlight w:val="none"/>
              </w:rPr>
            </w:pPr>
            <w:r>
              <w:rPr>
                <w:sz w:val="24"/>
                <w:highlight w:val="none"/>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817" w:type="dxa"/>
          </w:tcPr>
          <w:p>
            <w:pPr>
              <w:pStyle w:val="19"/>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c>
          <w:tcPr>
            <w:tcW w:w="1400" w:type="dxa"/>
          </w:tcPr>
          <w:p>
            <w:pPr>
              <w:pStyle w:val="19"/>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c>
          <w:tcPr>
            <w:tcW w:w="1754" w:type="dxa"/>
          </w:tcPr>
          <w:p>
            <w:pPr>
              <w:pStyle w:val="19"/>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c>
          <w:tcPr>
            <w:tcW w:w="2453" w:type="dxa"/>
          </w:tcPr>
          <w:p>
            <w:pPr>
              <w:pStyle w:val="19"/>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c>
          <w:tcPr>
            <w:tcW w:w="1282" w:type="dxa"/>
            <w:vMerge w:val="restart"/>
          </w:tcPr>
          <w:p>
            <w:pPr>
              <w:pStyle w:val="19"/>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c>
          <w:tcPr>
            <w:tcW w:w="1225" w:type="dxa"/>
            <w:vMerge w:val="restart"/>
          </w:tcPr>
          <w:p>
            <w:pPr>
              <w:pStyle w:val="19"/>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c>
          <w:tcPr>
            <w:tcW w:w="929" w:type="dxa"/>
          </w:tcPr>
          <w:p>
            <w:pPr>
              <w:pStyle w:val="19"/>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817" w:type="dxa"/>
          </w:tcPr>
          <w:p>
            <w:pPr>
              <w:pStyle w:val="19"/>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c>
          <w:tcPr>
            <w:tcW w:w="1400" w:type="dxa"/>
          </w:tcPr>
          <w:p>
            <w:pPr>
              <w:pStyle w:val="19"/>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c>
          <w:tcPr>
            <w:tcW w:w="1754" w:type="dxa"/>
          </w:tcPr>
          <w:p>
            <w:pPr>
              <w:pStyle w:val="19"/>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c>
          <w:tcPr>
            <w:tcW w:w="2453" w:type="dxa"/>
          </w:tcPr>
          <w:p>
            <w:pPr>
              <w:pStyle w:val="19"/>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c>
          <w:tcPr>
            <w:tcW w:w="1282" w:type="dxa"/>
            <w:vMerge w:val="continue"/>
            <w:tcBorders>
              <w:top w:val="nil"/>
            </w:tcBorders>
          </w:tcPr>
          <w:p>
            <w:pPr>
              <w:pStyle w:val="19"/>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c>
          <w:tcPr>
            <w:tcW w:w="1225" w:type="dxa"/>
            <w:vMerge w:val="continue"/>
            <w:tcBorders>
              <w:top w:val="nil"/>
            </w:tcBorders>
          </w:tcPr>
          <w:p>
            <w:pPr>
              <w:pStyle w:val="19"/>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c>
          <w:tcPr>
            <w:tcW w:w="929" w:type="dxa"/>
          </w:tcPr>
          <w:p>
            <w:pPr>
              <w:pStyle w:val="19"/>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5" w:hRule="atLeast"/>
          <w:jc w:val="center"/>
        </w:trPr>
        <w:tc>
          <w:tcPr>
            <w:tcW w:w="817" w:type="dxa"/>
          </w:tcPr>
          <w:p>
            <w:pPr>
              <w:pStyle w:val="19"/>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c>
          <w:tcPr>
            <w:tcW w:w="1400" w:type="dxa"/>
          </w:tcPr>
          <w:p>
            <w:pPr>
              <w:pStyle w:val="19"/>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c>
          <w:tcPr>
            <w:tcW w:w="1754" w:type="dxa"/>
          </w:tcPr>
          <w:p>
            <w:pPr>
              <w:pStyle w:val="19"/>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c>
          <w:tcPr>
            <w:tcW w:w="2453" w:type="dxa"/>
          </w:tcPr>
          <w:p>
            <w:pPr>
              <w:pStyle w:val="19"/>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c>
          <w:tcPr>
            <w:tcW w:w="1282" w:type="dxa"/>
            <w:vMerge w:val="continue"/>
            <w:tcBorders>
              <w:top w:val="nil"/>
            </w:tcBorders>
          </w:tcPr>
          <w:p>
            <w:pPr>
              <w:pStyle w:val="19"/>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c>
          <w:tcPr>
            <w:tcW w:w="1225" w:type="dxa"/>
            <w:vMerge w:val="continue"/>
            <w:tcBorders>
              <w:top w:val="nil"/>
            </w:tcBorders>
          </w:tcPr>
          <w:p>
            <w:pPr>
              <w:pStyle w:val="19"/>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c>
          <w:tcPr>
            <w:tcW w:w="929" w:type="dxa"/>
          </w:tcPr>
          <w:p>
            <w:pPr>
              <w:pStyle w:val="19"/>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817" w:type="dxa"/>
          </w:tcPr>
          <w:p>
            <w:pPr>
              <w:pStyle w:val="19"/>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c>
          <w:tcPr>
            <w:tcW w:w="1400" w:type="dxa"/>
          </w:tcPr>
          <w:p>
            <w:pPr>
              <w:pStyle w:val="19"/>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c>
          <w:tcPr>
            <w:tcW w:w="1754" w:type="dxa"/>
          </w:tcPr>
          <w:p>
            <w:pPr>
              <w:pStyle w:val="19"/>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c>
          <w:tcPr>
            <w:tcW w:w="2453" w:type="dxa"/>
          </w:tcPr>
          <w:p>
            <w:pPr>
              <w:pStyle w:val="19"/>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c>
          <w:tcPr>
            <w:tcW w:w="1282" w:type="dxa"/>
            <w:vMerge w:val="continue"/>
            <w:tcBorders>
              <w:top w:val="nil"/>
            </w:tcBorders>
          </w:tcPr>
          <w:p>
            <w:pPr>
              <w:pStyle w:val="19"/>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c>
          <w:tcPr>
            <w:tcW w:w="1225" w:type="dxa"/>
            <w:vMerge w:val="continue"/>
            <w:tcBorders>
              <w:top w:val="nil"/>
            </w:tcBorders>
          </w:tcPr>
          <w:p>
            <w:pPr>
              <w:pStyle w:val="19"/>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c>
          <w:tcPr>
            <w:tcW w:w="929" w:type="dxa"/>
          </w:tcPr>
          <w:p>
            <w:pPr>
              <w:pStyle w:val="19"/>
              <w:keepNext w:val="0"/>
              <w:keepLines w:val="0"/>
              <w:pageBreakBefore w:val="0"/>
              <w:widowControl w:val="0"/>
              <w:kinsoku/>
              <w:wordWrap/>
              <w:overflowPunct/>
              <w:topLinePunct w:val="0"/>
              <w:autoSpaceDE w:val="0"/>
              <w:autoSpaceDN w:val="0"/>
              <w:bidi w:val="0"/>
              <w:adjustRightInd/>
              <w:snapToGrid/>
              <w:spacing w:before="0" w:after="0" w:line="326" w:lineRule="exact"/>
              <w:ind w:left="0" w:right="0"/>
              <w:jc w:val="center"/>
              <w:textAlignment w:val="auto"/>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5" w:hRule="atLeast"/>
          <w:jc w:val="center"/>
        </w:trPr>
        <w:tc>
          <w:tcPr>
            <w:tcW w:w="9860" w:type="dxa"/>
            <w:gridSpan w:val="7"/>
          </w:tcPr>
          <w:p>
            <w:pPr>
              <w:pStyle w:val="19"/>
              <w:keepNext w:val="0"/>
              <w:keepLines w:val="0"/>
              <w:pageBreakBefore w:val="0"/>
              <w:widowControl w:val="0"/>
              <w:kinsoku/>
              <w:wordWrap/>
              <w:overflowPunct/>
              <w:topLinePunct w:val="0"/>
              <w:autoSpaceDE w:val="0"/>
              <w:autoSpaceDN w:val="0"/>
              <w:bidi w:val="0"/>
              <w:adjustRightInd/>
              <w:snapToGrid/>
              <w:spacing w:before="0" w:after="0" w:line="244" w:lineRule="auto"/>
              <w:ind w:left="0" w:right="0"/>
              <w:jc w:val="both"/>
              <w:textAlignment w:val="auto"/>
              <w:rPr>
                <w:sz w:val="24"/>
                <w:highlight w:val="none"/>
              </w:rPr>
            </w:pPr>
            <w:r>
              <w:rPr>
                <w:sz w:val="24"/>
                <w:highlight w:val="none"/>
              </w:rPr>
              <w:t>注，中小企业价格扣除仅对磋商报价未超过采购预算价的供应商有效。</w:t>
            </w:r>
          </w:p>
          <w:p>
            <w:pPr>
              <w:pStyle w:val="19"/>
              <w:keepNext w:val="0"/>
              <w:keepLines w:val="0"/>
              <w:pageBreakBefore w:val="0"/>
              <w:widowControl w:val="0"/>
              <w:kinsoku/>
              <w:wordWrap/>
              <w:overflowPunct/>
              <w:topLinePunct w:val="0"/>
              <w:autoSpaceDE w:val="0"/>
              <w:autoSpaceDN w:val="0"/>
              <w:bidi w:val="0"/>
              <w:adjustRightInd/>
              <w:snapToGrid/>
              <w:spacing w:before="0" w:after="0" w:line="244" w:lineRule="auto"/>
              <w:ind w:left="0" w:right="0"/>
              <w:jc w:val="both"/>
              <w:textAlignment w:val="auto"/>
              <w:rPr>
                <w:sz w:val="24"/>
                <w:highlight w:val="none"/>
              </w:rPr>
            </w:pPr>
            <w:r>
              <w:rPr>
                <w:sz w:val="24"/>
                <w:highlight w:val="none"/>
              </w:rPr>
              <w:t>评审专家（签字）：</w:t>
            </w:r>
          </w:p>
        </w:tc>
      </w:tr>
    </w:tbl>
    <w:p>
      <w:pPr>
        <w:keepNext w:val="0"/>
        <w:keepLines w:val="0"/>
        <w:pageBreakBefore w:val="0"/>
        <w:widowControl w:val="0"/>
        <w:kinsoku/>
        <w:wordWrap/>
        <w:overflowPunct/>
        <w:topLinePunct w:val="0"/>
        <w:autoSpaceDE w:val="0"/>
        <w:autoSpaceDN w:val="0"/>
        <w:bidi w:val="0"/>
        <w:adjustRightInd/>
        <w:snapToGrid/>
        <w:spacing w:before="0" w:after="0" w:line="244" w:lineRule="auto"/>
        <w:ind w:left="0" w:right="0"/>
        <w:jc w:val="both"/>
        <w:textAlignment w:val="auto"/>
        <w:rPr>
          <w:sz w:val="24"/>
          <w:highlight w:val="none"/>
        </w:rPr>
        <w:sectPr>
          <w:footerReference r:id="rId6" w:type="default"/>
          <w:pgSz w:w="11910" w:h="16840"/>
          <w:pgMar w:top="1380" w:right="1134" w:bottom="1134" w:left="1580" w:header="0" w:footer="626" w:gutter="0"/>
          <w:pgBorders>
            <w:top w:val="none" w:sz="0" w:space="0"/>
            <w:left w:val="none" w:sz="0" w:space="0"/>
            <w:bottom w:val="none" w:sz="0" w:space="0"/>
            <w:right w:val="none" w:sz="0" w:space="0"/>
          </w:pgBorders>
          <w:pgNumType w:fmt="decimal"/>
        </w:sect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0" w:right="0" w:firstLine="0"/>
        <w:jc w:val="center"/>
        <w:textAlignment w:val="auto"/>
        <w:rPr>
          <w:b/>
          <w:sz w:val="32"/>
          <w:highlight w:val="none"/>
        </w:rPr>
      </w:pPr>
      <w:r>
        <w:rPr>
          <w:b/>
          <w:w w:val="95"/>
          <w:sz w:val="32"/>
          <w:highlight w:val="none"/>
        </w:rPr>
        <w:t>评分汇总表</w:t>
      </w:r>
    </w:p>
    <w:p>
      <w:pPr>
        <w:pStyle w:val="19"/>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jc w:val="both"/>
        <w:textAlignment w:val="auto"/>
        <w:rPr>
          <w:rFonts w:ascii="宋体" w:hAnsi="宋体" w:eastAsia="宋体" w:cs="宋体"/>
          <w:sz w:val="24"/>
          <w:szCs w:val="24"/>
          <w:highlight w:val="none"/>
          <w:lang w:val="en-US" w:eastAsia="en-US" w:bidi="ar-SA"/>
        </w:rPr>
      </w:pPr>
      <w:r>
        <w:rPr>
          <w:rFonts w:ascii="宋体" w:hAnsi="宋体" w:eastAsia="宋体" w:cs="宋体"/>
          <w:sz w:val="24"/>
          <w:szCs w:val="24"/>
          <w:highlight w:val="none"/>
          <w:lang w:val="en-US" w:eastAsia="en-US" w:bidi="ar-SA"/>
        </w:rPr>
        <w:t>项目名称：</w:t>
      </w:r>
      <w:r>
        <w:rPr>
          <w:rFonts w:hint="eastAsia"/>
          <w:sz w:val="24"/>
          <w:highlight w:val="none"/>
          <w:lang w:val="en-US" w:eastAsia="zh-CN"/>
        </w:rPr>
        <w:t>江口县2018年农村“厕所革命”省级奖补资金工程项目采购</w:t>
      </w:r>
    </w:p>
    <w:p>
      <w:pPr>
        <w:pStyle w:val="9"/>
        <w:keepNext w:val="0"/>
        <w:keepLines w:val="0"/>
        <w:pageBreakBefore w:val="0"/>
        <w:widowControl w:val="0"/>
        <w:kinsoku/>
        <w:wordWrap/>
        <w:overflowPunct/>
        <w:topLinePunct w:val="0"/>
        <w:autoSpaceDE w:val="0"/>
        <w:autoSpaceDN w:val="0"/>
        <w:bidi w:val="0"/>
        <w:adjustRightInd/>
        <w:snapToGrid/>
        <w:spacing w:before="0" w:after="0" w:line="244" w:lineRule="auto"/>
        <w:ind w:left="0" w:right="0"/>
        <w:jc w:val="both"/>
        <w:textAlignment w:val="auto"/>
        <w:rPr>
          <w:highlight w:val="none"/>
        </w:rPr>
      </w:pPr>
      <w:r>
        <w:rPr>
          <w:highlight w:val="none"/>
        </w:rPr>
        <w:t>项目编号：</w:t>
      </w:r>
      <w:r>
        <w:rPr>
          <w:rFonts w:hint="eastAsia"/>
          <w:sz w:val="24"/>
          <w:highlight w:val="none"/>
          <w:lang w:val="en-US" w:eastAsia="zh-CN"/>
        </w:rPr>
        <w:t>GZZY-CG-2020100(-10)</w:t>
      </w:r>
    </w:p>
    <w:tbl>
      <w:tblPr>
        <w:tblStyle w:val="13"/>
        <w:tblW w:w="0" w:type="auto"/>
        <w:tblInd w:w="1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3"/>
        <w:gridCol w:w="1563"/>
        <w:gridCol w:w="1563"/>
        <w:gridCol w:w="1564"/>
        <w:gridCol w:w="1562"/>
        <w:gridCol w:w="15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563"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4"/>
                <w:highlight w:val="none"/>
              </w:rPr>
            </w:pPr>
            <w:r>
              <w:rPr>
                <w:sz w:val="24"/>
                <w:highlight w:val="none"/>
              </w:rPr>
              <w:t>专家</w:t>
            </w:r>
          </w:p>
        </w:tc>
        <w:tc>
          <w:tcPr>
            <w:tcW w:w="1563"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4"/>
                <w:highlight w:val="none"/>
              </w:rPr>
            </w:pPr>
            <w:r>
              <w:rPr>
                <w:sz w:val="24"/>
                <w:highlight w:val="none"/>
              </w:rPr>
              <w:t>专家姓名</w:t>
            </w:r>
          </w:p>
        </w:tc>
        <w:tc>
          <w:tcPr>
            <w:tcW w:w="1563"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eastAsia="Times New Roman"/>
                <w:sz w:val="24"/>
                <w:highlight w:val="none"/>
              </w:rPr>
            </w:pPr>
            <w:r>
              <w:rPr>
                <w:sz w:val="24"/>
                <w:highlight w:val="none"/>
              </w:rPr>
              <w:t>供应商</w:t>
            </w:r>
            <w:r>
              <w:rPr>
                <w:rFonts w:ascii="Times New Roman" w:eastAsia="Times New Roman"/>
                <w:sz w:val="24"/>
                <w:highlight w:val="none"/>
              </w:rPr>
              <w:t>1</w:t>
            </w:r>
          </w:p>
        </w:tc>
        <w:tc>
          <w:tcPr>
            <w:tcW w:w="1564"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eastAsia="Times New Roman"/>
                <w:sz w:val="24"/>
                <w:highlight w:val="none"/>
              </w:rPr>
            </w:pPr>
            <w:r>
              <w:rPr>
                <w:sz w:val="24"/>
                <w:highlight w:val="none"/>
              </w:rPr>
              <w:t>供应商</w:t>
            </w:r>
            <w:r>
              <w:rPr>
                <w:rFonts w:ascii="Times New Roman" w:eastAsia="Times New Roman"/>
                <w:sz w:val="24"/>
                <w:highlight w:val="none"/>
              </w:rPr>
              <w:t>2</w:t>
            </w:r>
          </w:p>
        </w:tc>
        <w:tc>
          <w:tcPr>
            <w:tcW w:w="1562"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eastAsia="Times New Roman"/>
                <w:sz w:val="24"/>
                <w:highlight w:val="none"/>
              </w:rPr>
            </w:pPr>
            <w:r>
              <w:rPr>
                <w:sz w:val="24"/>
                <w:highlight w:val="none"/>
              </w:rPr>
              <w:t>供应商</w:t>
            </w:r>
            <w:r>
              <w:rPr>
                <w:rFonts w:ascii="Times New Roman" w:eastAsia="Times New Roman"/>
                <w:sz w:val="24"/>
                <w:highlight w:val="none"/>
              </w:rPr>
              <w:t>3</w:t>
            </w:r>
          </w:p>
        </w:tc>
        <w:tc>
          <w:tcPr>
            <w:tcW w:w="1565"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eastAsia="Times New Roman"/>
                <w:sz w:val="24"/>
                <w:highlight w:val="none"/>
              </w:rPr>
            </w:pPr>
            <w:r>
              <w:rPr>
                <w:sz w:val="24"/>
                <w:highlight w:val="none"/>
              </w:rPr>
              <w:t>供应商</w:t>
            </w:r>
            <w:r>
              <w:rPr>
                <w:rFonts w:ascii="Times New Roman" w:eastAsia="Times New Roman"/>
                <w:sz w:val="24"/>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563" w:type="dxa"/>
            <w:vMerge w:val="restart"/>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4"/>
                <w:highlight w:val="none"/>
              </w:rPr>
            </w:pPr>
          </w:p>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17"/>
                <w:highlight w:val="none"/>
              </w:rPr>
            </w:pPr>
          </w:p>
          <w:p>
            <w:pPr>
              <w:pStyle w:val="19"/>
              <w:keepNext w:val="0"/>
              <w:keepLines w:val="0"/>
              <w:pageBreakBefore w:val="0"/>
              <w:widowControl w:val="0"/>
              <w:kinsoku/>
              <w:wordWrap/>
              <w:overflowPunct/>
              <w:topLinePunct w:val="0"/>
              <w:autoSpaceDE w:val="0"/>
              <w:autoSpaceDN w:val="0"/>
              <w:bidi w:val="0"/>
              <w:adjustRightInd/>
              <w:snapToGrid/>
              <w:spacing w:before="0" w:after="0" w:line="244" w:lineRule="auto"/>
              <w:ind w:left="0" w:right="0"/>
              <w:jc w:val="center"/>
              <w:textAlignment w:val="auto"/>
              <w:rPr>
                <w:sz w:val="24"/>
                <w:highlight w:val="none"/>
              </w:rPr>
            </w:pPr>
            <w:r>
              <w:rPr>
                <w:sz w:val="24"/>
                <w:highlight w:val="none"/>
              </w:rPr>
              <w:t>贵州省综合评标专家库专家</w:t>
            </w:r>
          </w:p>
        </w:tc>
        <w:tc>
          <w:tcPr>
            <w:tcW w:w="1563"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z w:val="24"/>
                <w:highlight w:val="none"/>
              </w:rPr>
            </w:pPr>
          </w:p>
        </w:tc>
        <w:tc>
          <w:tcPr>
            <w:tcW w:w="1563"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564"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562"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565"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56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
                <w:szCs w:val="2"/>
                <w:highlight w:val="none"/>
              </w:rPr>
            </w:pPr>
          </w:p>
        </w:tc>
        <w:tc>
          <w:tcPr>
            <w:tcW w:w="1563"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z w:val="24"/>
                <w:highlight w:val="none"/>
              </w:rPr>
            </w:pPr>
          </w:p>
        </w:tc>
        <w:tc>
          <w:tcPr>
            <w:tcW w:w="1563"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564"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562"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565"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56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
                <w:szCs w:val="2"/>
                <w:highlight w:val="none"/>
              </w:rPr>
            </w:pPr>
          </w:p>
        </w:tc>
        <w:tc>
          <w:tcPr>
            <w:tcW w:w="1563"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z w:val="24"/>
                <w:highlight w:val="none"/>
              </w:rPr>
            </w:pPr>
          </w:p>
        </w:tc>
        <w:tc>
          <w:tcPr>
            <w:tcW w:w="1563"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564"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562"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565"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56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
                <w:szCs w:val="2"/>
                <w:highlight w:val="none"/>
              </w:rPr>
            </w:pPr>
          </w:p>
        </w:tc>
        <w:tc>
          <w:tcPr>
            <w:tcW w:w="1563"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z w:val="24"/>
                <w:highlight w:val="none"/>
              </w:rPr>
            </w:pPr>
          </w:p>
        </w:tc>
        <w:tc>
          <w:tcPr>
            <w:tcW w:w="1563"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564"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562"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565"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563"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4"/>
                <w:highlight w:val="none"/>
              </w:rPr>
            </w:pPr>
            <w:r>
              <w:rPr>
                <w:sz w:val="24"/>
                <w:highlight w:val="none"/>
              </w:rPr>
              <w:t>采购人代表</w:t>
            </w:r>
          </w:p>
        </w:tc>
        <w:tc>
          <w:tcPr>
            <w:tcW w:w="1563"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z w:val="24"/>
                <w:highlight w:val="none"/>
              </w:rPr>
            </w:pPr>
          </w:p>
        </w:tc>
        <w:tc>
          <w:tcPr>
            <w:tcW w:w="1563"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564"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562"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565"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3126" w:type="dxa"/>
            <w:gridSpan w:val="2"/>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4"/>
                <w:highlight w:val="none"/>
              </w:rPr>
            </w:pPr>
            <w:r>
              <w:rPr>
                <w:sz w:val="24"/>
                <w:highlight w:val="none"/>
              </w:rPr>
              <w:t>总分</w:t>
            </w:r>
          </w:p>
        </w:tc>
        <w:tc>
          <w:tcPr>
            <w:tcW w:w="1563"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564"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562"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565"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3126" w:type="dxa"/>
            <w:gridSpan w:val="2"/>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4"/>
                <w:highlight w:val="none"/>
              </w:rPr>
            </w:pPr>
            <w:r>
              <w:rPr>
                <w:sz w:val="24"/>
                <w:highlight w:val="none"/>
              </w:rPr>
              <w:t>平均分</w:t>
            </w:r>
          </w:p>
        </w:tc>
        <w:tc>
          <w:tcPr>
            <w:tcW w:w="1563"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564"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562"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565"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3126" w:type="dxa"/>
            <w:gridSpan w:val="2"/>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4"/>
                <w:highlight w:val="none"/>
              </w:rPr>
            </w:pPr>
            <w:r>
              <w:rPr>
                <w:sz w:val="24"/>
                <w:highlight w:val="none"/>
              </w:rPr>
              <w:t>排序</w:t>
            </w:r>
          </w:p>
        </w:tc>
        <w:tc>
          <w:tcPr>
            <w:tcW w:w="1563"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564"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562"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c>
          <w:tcPr>
            <w:tcW w:w="1565" w:type="dxa"/>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4"/>
                <w:highlight w:val="none"/>
              </w:rPr>
            </w:pPr>
          </w:p>
        </w:tc>
      </w:tr>
    </w:tbl>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磋商供应商须知前附表 4：中小企业及监狱企业优惠办法</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7"/>
          <w:highlight w:val="none"/>
        </w:rPr>
      </w:pPr>
    </w:p>
    <w:tbl>
      <w:tblPr>
        <w:tblStyle w:val="13"/>
        <w:tblW w:w="92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7"/>
        <w:gridCol w:w="2595"/>
        <w:gridCol w:w="59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747"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jc w:val="center"/>
              <w:textAlignment w:val="auto"/>
              <w:rPr>
                <w:sz w:val="24"/>
                <w:highlight w:val="none"/>
              </w:rPr>
            </w:pPr>
            <w:r>
              <w:rPr>
                <w:sz w:val="24"/>
                <w:highlight w:val="none"/>
              </w:rPr>
              <w:t>序号</w:t>
            </w:r>
          </w:p>
        </w:tc>
        <w:tc>
          <w:tcPr>
            <w:tcW w:w="2595"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jc w:val="center"/>
              <w:textAlignment w:val="auto"/>
              <w:rPr>
                <w:sz w:val="24"/>
                <w:highlight w:val="none"/>
              </w:rPr>
            </w:pPr>
            <w:r>
              <w:rPr>
                <w:sz w:val="24"/>
                <w:highlight w:val="none"/>
              </w:rPr>
              <w:t>项目</w:t>
            </w:r>
          </w:p>
        </w:tc>
        <w:tc>
          <w:tcPr>
            <w:tcW w:w="5956"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jc w:val="center"/>
              <w:textAlignment w:val="auto"/>
              <w:rPr>
                <w:sz w:val="24"/>
                <w:highlight w:val="none"/>
              </w:rPr>
            </w:pPr>
            <w:r>
              <w:rPr>
                <w:sz w:val="24"/>
                <w:highlight w:val="none"/>
              </w:rPr>
              <w:t>具体内容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5" w:hRule="atLeast"/>
        </w:trPr>
        <w:tc>
          <w:tcPr>
            <w:tcW w:w="747" w:type="dxa"/>
            <w:tcBorders>
              <w:bottom w:val="nil"/>
            </w:tcBorders>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jc w:val="center"/>
              <w:textAlignment w:val="auto"/>
              <w:rPr>
                <w:b/>
                <w:sz w:val="24"/>
                <w:highlight w:val="none"/>
              </w:rPr>
            </w:pPr>
            <w:r>
              <w:rPr>
                <w:b/>
                <w:w w:val="99"/>
                <w:sz w:val="24"/>
                <w:highlight w:val="none"/>
              </w:rPr>
              <w:t>1</w:t>
            </w:r>
          </w:p>
        </w:tc>
        <w:tc>
          <w:tcPr>
            <w:tcW w:w="2595" w:type="dxa"/>
            <w:tcBorders>
              <w:bottom w:val="nil"/>
            </w:tcBorders>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jc w:val="both"/>
              <w:textAlignment w:val="auto"/>
              <w:rPr>
                <w:b/>
                <w:sz w:val="24"/>
                <w:highlight w:val="none"/>
              </w:rPr>
            </w:pPr>
            <w:r>
              <w:rPr>
                <w:b/>
                <w:sz w:val="24"/>
                <w:highlight w:val="none"/>
              </w:rPr>
              <w:t>本项目是否属于专门面 向中小企业和监</w:t>
            </w:r>
            <w:r>
              <w:rPr>
                <w:b/>
                <w:w w:val="95"/>
                <w:sz w:val="24"/>
                <w:highlight w:val="none"/>
              </w:rPr>
              <w:t>狱企业的政府采购活动：</w:t>
            </w:r>
          </w:p>
        </w:tc>
        <w:tc>
          <w:tcPr>
            <w:tcW w:w="5956" w:type="dxa"/>
            <w:tcBorders>
              <w:bottom w:val="nil"/>
            </w:tcBorders>
          </w:tcPr>
          <w:p>
            <w:pPr>
              <w:pStyle w:val="19"/>
              <w:keepNext w:val="0"/>
              <w:keepLines w:val="0"/>
              <w:pageBreakBefore w:val="0"/>
              <w:widowControl w:val="0"/>
              <w:tabs>
                <w:tab w:val="left" w:pos="942"/>
              </w:tabs>
              <w:kinsoku/>
              <w:wordWrap/>
              <w:overflowPunct/>
              <w:topLinePunct w:val="0"/>
              <w:autoSpaceDE w:val="0"/>
              <w:autoSpaceDN w:val="0"/>
              <w:bidi w:val="0"/>
              <w:adjustRightInd/>
              <w:snapToGrid/>
              <w:spacing w:before="0" w:after="0"/>
              <w:ind w:left="0" w:right="0" w:firstLine="240" w:firstLineChars="100"/>
              <w:jc w:val="both"/>
              <w:textAlignment w:val="auto"/>
              <w:rPr>
                <w:sz w:val="24"/>
                <w:highlight w:val="none"/>
              </w:rPr>
            </w:pPr>
            <w:r>
              <w:rPr>
                <w:b w:val="0"/>
                <w:bCs/>
                <w:sz w:val="24"/>
                <w:highlight w:val="none"/>
              </w:rPr>
              <w:sym w:font="Wingdings 2" w:char="00A3"/>
            </w:r>
            <w:r>
              <w:rPr>
                <w:sz w:val="24"/>
                <w:highlight w:val="none"/>
              </w:rPr>
              <w:t>是/</w:t>
            </w:r>
            <w:r>
              <w:rPr>
                <w:rFonts w:ascii="Arial" w:hAnsi="Arial" w:eastAsia="Arial"/>
                <w:sz w:val="24"/>
                <w:highlight w:val="none"/>
              </w:rPr>
              <w:t>√</w:t>
            </w:r>
            <w:r>
              <w:rPr>
                <w:rFonts w:ascii="Arial" w:hAnsi="Arial" w:eastAsia="Arial"/>
                <w:spacing w:val="51"/>
                <w:sz w:val="24"/>
                <w:highlight w:val="none"/>
              </w:rPr>
              <w:t xml:space="preserve"> </w:t>
            </w:r>
            <w:r>
              <w:rPr>
                <w:sz w:val="24"/>
                <w:highlight w:val="none"/>
              </w:rPr>
              <w:t>否</w:t>
            </w:r>
          </w:p>
          <w:p>
            <w:pPr>
              <w:pStyle w:val="19"/>
              <w:keepNext w:val="0"/>
              <w:keepLines w:val="0"/>
              <w:pageBreakBefore w:val="0"/>
              <w:widowControl w:val="0"/>
              <w:tabs>
                <w:tab w:val="left" w:pos="942"/>
              </w:tabs>
              <w:kinsoku/>
              <w:wordWrap/>
              <w:overflowPunct/>
              <w:topLinePunct w:val="0"/>
              <w:autoSpaceDE w:val="0"/>
              <w:autoSpaceDN w:val="0"/>
              <w:bidi w:val="0"/>
              <w:adjustRightInd/>
              <w:snapToGrid/>
              <w:spacing w:before="0" w:after="0"/>
              <w:ind w:left="0" w:right="0"/>
              <w:jc w:val="both"/>
              <w:textAlignment w:val="auto"/>
              <w:rPr>
                <w:sz w:val="24"/>
                <w:highlight w:val="none"/>
              </w:rPr>
            </w:pPr>
          </w:p>
          <w:p>
            <w:pPr>
              <w:pStyle w:val="19"/>
              <w:keepNext w:val="0"/>
              <w:keepLines w:val="0"/>
              <w:pageBreakBefore w:val="0"/>
              <w:widowControl w:val="0"/>
              <w:tabs>
                <w:tab w:val="left" w:pos="942"/>
              </w:tabs>
              <w:kinsoku/>
              <w:wordWrap/>
              <w:overflowPunct/>
              <w:topLinePunct w:val="0"/>
              <w:autoSpaceDE w:val="0"/>
              <w:autoSpaceDN w:val="0"/>
              <w:bidi w:val="0"/>
              <w:adjustRightInd/>
              <w:snapToGrid/>
              <w:spacing w:before="0" w:after="0"/>
              <w:ind w:left="0" w:right="0" w:firstLine="480" w:firstLineChars="200"/>
              <w:jc w:val="both"/>
              <w:textAlignment w:val="auto"/>
              <w:rPr>
                <w:sz w:val="24"/>
                <w:highlight w:val="none"/>
              </w:rPr>
            </w:pPr>
            <w:r>
              <w:rPr>
                <w:sz w:val="24"/>
                <w:highlight w:val="none"/>
              </w:rPr>
              <w:t>（监狱企业视同小型、微型企业）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5" w:hRule="atLeast"/>
        </w:trPr>
        <w:tc>
          <w:tcPr>
            <w:tcW w:w="747"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jc w:val="center"/>
              <w:textAlignment w:val="auto"/>
              <w:rPr>
                <w:b/>
                <w:sz w:val="24"/>
                <w:highlight w:val="none"/>
              </w:rPr>
            </w:pPr>
            <w:r>
              <w:rPr>
                <w:b/>
                <w:w w:val="99"/>
                <w:sz w:val="24"/>
                <w:highlight w:val="none"/>
              </w:rPr>
              <w:t>2</w:t>
            </w:r>
          </w:p>
        </w:tc>
        <w:tc>
          <w:tcPr>
            <w:tcW w:w="2595"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jc w:val="center"/>
              <w:textAlignment w:val="auto"/>
              <w:rPr>
                <w:b/>
                <w:sz w:val="24"/>
                <w:highlight w:val="none"/>
              </w:rPr>
            </w:pPr>
            <w:r>
              <w:rPr>
                <w:b/>
                <w:w w:val="95"/>
                <w:sz w:val="24"/>
                <w:highlight w:val="none"/>
              </w:rPr>
              <w:t>中小企业的认定标准</w:t>
            </w:r>
          </w:p>
        </w:tc>
        <w:tc>
          <w:tcPr>
            <w:tcW w:w="5956" w:type="dxa"/>
          </w:tcPr>
          <w:p>
            <w:pPr>
              <w:pStyle w:val="1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sz w:val="24"/>
                <w:highlight w:val="none"/>
              </w:rPr>
            </w:pPr>
            <w:r>
              <w:rPr>
                <w:sz w:val="24"/>
                <w:highlight w:val="none"/>
              </w:rPr>
              <w:t>磋商供应商须同时满足以下两个条件，才能认定</w:t>
            </w:r>
          </w:p>
          <w:p>
            <w:pPr>
              <w:pStyle w:val="1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sz w:val="24"/>
                <w:highlight w:val="none"/>
              </w:rPr>
            </w:pPr>
            <w:r>
              <w:rPr>
                <w:spacing w:val="-11"/>
                <w:sz w:val="24"/>
                <w:highlight w:val="none"/>
              </w:rPr>
              <w:t>为中小企业</w:t>
            </w:r>
            <w:r>
              <w:rPr>
                <w:b/>
                <w:w w:val="99"/>
                <w:sz w:val="24"/>
                <w:highlight w:val="none"/>
              </w:rPr>
              <w:t>（</w:t>
            </w:r>
            <w:r>
              <w:rPr>
                <w:b/>
                <w:spacing w:val="-11"/>
                <w:w w:val="99"/>
                <w:sz w:val="24"/>
                <w:highlight w:val="none"/>
              </w:rPr>
              <w:t>含中型、小</w:t>
            </w:r>
            <w:r>
              <w:rPr>
                <w:b/>
                <w:spacing w:val="0"/>
                <w:sz w:val="24"/>
                <w:highlight w:val="none"/>
              </w:rPr>
              <w:t xml:space="preserve"> </w:t>
            </w:r>
            <w:r>
              <w:rPr>
                <w:b/>
                <w:spacing w:val="-13"/>
                <w:w w:val="99"/>
                <w:sz w:val="24"/>
                <w:highlight w:val="none"/>
              </w:rPr>
              <w:t>型、微型企业，下同</w:t>
            </w:r>
            <w:r>
              <w:rPr>
                <w:b/>
                <w:spacing w:val="-130"/>
                <w:w w:val="99"/>
                <w:sz w:val="24"/>
                <w:highlight w:val="none"/>
              </w:rPr>
              <w:t>）</w:t>
            </w:r>
            <w:r>
              <w:rPr>
                <w:spacing w:val="-12"/>
                <w:sz w:val="24"/>
                <w:highlight w:val="none"/>
              </w:rPr>
              <w:t>：</w:t>
            </w:r>
          </w:p>
          <w:p>
            <w:pPr>
              <w:pStyle w:val="1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120"/>
              <w:jc w:val="both"/>
              <w:textAlignment w:val="auto"/>
              <w:rPr>
                <w:sz w:val="24"/>
                <w:highlight w:val="none"/>
              </w:rPr>
            </w:pPr>
            <w:r>
              <w:rPr>
                <w:spacing w:val="-6"/>
                <w:sz w:val="24"/>
                <w:highlight w:val="none"/>
              </w:rPr>
              <w:t>（1）</w:t>
            </w:r>
            <w:r>
              <w:rPr>
                <w:spacing w:val="-8"/>
                <w:sz w:val="24"/>
                <w:highlight w:val="none"/>
              </w:rPr>
              <w:t>符合《工业和信息化部、国家统计局、国</w:t>
            </w:r>
            <w:r>
              <w:rPr>
                <w:spacing w:val="-12"/>
                <w:sz w:val="24"/>
                <w:highlight w:val="none"/>
              </w:rPr>
              <w:t>家发展和改革委员会、财政部关于印发中小企业</w:t>
            </w:r>
            <w:r>
              <w:rPr>
                <w:spacing w:val="-1"/>
                <w:sz w:val="24"/>
                <w:highlight w:val="none"/>
              </w:rPr>
              <w:t>划型标准规定的通知》</w:t>
            </w:r>
            <w:r>
              <w:rPr>
                <w:sz w:val="24"/>
                <w:highlight w:val="none"/>
              </w:rPr>
              <w:t>（工信部联企业〔2011〕</w:t>
            </w:r>
          </w:p>
          <w:p>
            <w:pPr>
              <w:pStyle w:val="1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sz w:val="24"/>
                <w:highlight w:val="none"/>
              </w:rPr>
            </w:pPr>
            <w:r>
              <w:rPr>
                <w:sz w:val="24"/>
                <w:highlight w:val="none"/>
              </w:rPr>
              <w:t>300 号）规定的中小企业划分标准；</w:t>
            </w:r>
          </w:p>
          <w:p>
            <w:pPr>
              <w:pStyle w:val="1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sz w:val="24"/>
                <w:highlight w:val="none"/>
              </w:rPr>
            </w:pPr>
            <w:r>
              <w:rPr>
                <w:sz w:val="24"/>
                <w:highlight w:val="none"/>
              </w:rPr>
              <w:t>注： 联合体参与磋商响应的的，以联合体中划</w:t>
            </w:r>
            <w:r>
              <w:rPr>
                <w:spacing w:val="-8"/>
                <w:sz w:val="24"/>
                <w:highlight w:val="none"/>
              </w:rPr>
              <w:t>型标准较高的一方，作为该联合体的企业划型标准。</w:t>
            </w:r>
          </w:p>
          <w:p>
            <w:pPr>
              <w:pStyle w:val="1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sz w:val="24"/>
                <w:highlight w:val="none"/>
              </w:rPr>
            </w:pPr>
            <w:r>
              <w:rPr>
                <w:sz w:val="24"/>
                <w:highlight w:val="none"/>
              </w:rPr>
              <w:t>（2）提供本企业制造的货物、承担的工程或者服务，或者提供其他中小企业制造的货物。本项</w:t>
            </w:r>
          </w:p>
          <w:p>
            <w:pPr>
              <w:pStyle w:val="1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sz w:val="24"/>
                <w:highlight w:val="none"/>
              </w:rPr>
            </w:pPr>
            <w:r>
              <w:rPr>
                <w:sz w:val="24"/>
                <w:highlight w:val="none"/>
              </w:rPr>
              <w:t xml:space="preserve">所称货物不包括使用大型企业注册商标的货物；注：小型、微型企业提供中型企业制造的货物 </w:t>
            </w:r>
            <w:r>
              <w:rPr>
                <w:spacing w:val="-8"/>
                <w:sz w:val="24"/>
                <w:highlight w:val="none"/>
              </w:rPr>
              <w:t>的，视同为中型企业；中型企业提供小型、微型</w:t>
            </w:r>
            <w:r>
              <w:rPr>
                <w:spacing w:val="-12"/>
                <w:sz w:val="24"/>
                <w:highlight w:val="none"/>
              </w:rPr>
              <w:t>企业制造的货物的，视同为中型企业；中小企业</w:t>
            </w:r>
            <w:r>
              <w:rPr>
                <w:spacing w:val="-1"/>
                <w:sz w:val="24"/>
                <w:highlight w:val="none"/>
              </w:rPr>
              <w:t>提供大型企业制造的货物的，视同为大型企业。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747"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jc w:val="center"/>
              <w:textAlignment w:val="auto"/>
              <w:rPr>
                <w:b/>
                <w:sz w:val="24"/>
                <w:highlight w:val="none"/>
              </w:rPr>
            </w:pPr>
            <w:r>
              <w:rPr>
                <w:b/>
                <w:w w:val="99"/>
                <w:sz w:val="24"/>
                <w:highlight w:val="none"/>
              </w:rPr>
              <w:t>3</w:t>
            </w:r>
          </w:p>
        </w:tc>
        <w:tc>
          <w:tcPr>
            <w:tcW w:w="2595"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jc w:val="center"/>
              <w:textAlignment w:val="auto"/>
              <w:rPr>
                <w:b/>
                <w:sz w:val="24"/>
                <w:highlight w:val="none"/>
              </w:rPr>
            </w:pPr>
            <w:r>
              <w:rPr>
                <w:b/>
                <w:w w:val="95"/>
                <w:sz w:val="24"/>
                <w:highlight w:val="none"/>
              </w:rPr>
              <w:t>监狱企业的认定标准</w:t>
            </w:r>
          </w:p>
        </w:tc>
        <w:tc>
          <w:tcPr>
            <w:tcW w:w="5956" w:type="dxa"/>
          </w:tcPr>
          <w:p>
            <w:pPr>
              <w:pStyle w:val="19"/>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jc w:val="both"/>
              <w:textAlignment w:val="auto"/>
              <w:rPr>
                <w:sz w:val="24"/>
                <w:highlight w:val="none"/>
              </w:rPr>
            </w:pPr>
            <w:r>
              <w:rPr>
                <w:sz w:val="24"/>
                <w:highlight w:val="none"/>
              </w:rPr>
              <w:t>需提供由省级以上监狱管理局、戒毒管理局</w:t>
            </w:r>
          </w:p>
          <w:p>
            <w:pPr>
              <w:pStyle w:val="19"/>
              <w:keepNext w:val="0"/>
              <w:keepLines w:val="0"/>
              <w:pageBreakBefore w:val="0"/>
              <w:widowControl w:val="0"/>
              <w:kinsoku/>
              <w:wordWrap/>
              <w:overflowPunct/>
              <w:topLinePunct w:val="0"/>
              <w:autoSpaceDE w:val="0"/>
              <w:autoSpaceDN w:val="0"/>
              <w:bidi w:val="0"/>
              <w:adjustRightInd/>
              <w:snapToGrid/>
              <w:spacing w:before="0" w:after="0" w:line="244" w:lineRule="auto"/>
              <w:ind w:left="0" w:right="0"/>
              <w:jc w:val="both"/>
              <w:textAlignment w:val="auto"/>
              <w:rPr>
                <w:sz w:val="24"/>
                <w:highlight w:val="none"/>
              </w:rPr>
            </w:pPr>
            <w:r>
              <w:rPr>
                <w:sz w:val="24"/>
                <w:highlight w:val="none"/>
              </w:rPr>
              <w:t>（含新疆生产建设兵团</w:t>
            </w:r>
            <w:r>
              <w:rPr>
                <w:spacing w:val="-70"/>
                <w:sz w:val="24"/>
                <w:highlight w:val="none"/>
              </w:rPr>
              <w:t>）</w:t>
            </w:r>
            <w:r>
              <w:rPr>
                <w:sz w:val="24"/>
                <w:highlight w:val="none"/>
              </w:rPr>
              <w:t>出具的属于监狱企业的证明文件的企业。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7" w:hRule="atLeast"/>
        </w:trPr>
        <w:tc>
          <w:tcPr>
            <w:tcW w:w="747"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81" w:lineRule="exact"/>
              <w:ind w:left="0" w:right="0"/>
              <w:jc w:val="center"/>
              <w:textAlignment w:val="auto"/>
              <w:rPr>
                <w:b/>
                <w:sz w:val="24"/>
                <w:highlight w:val="none"/>
              </w:rPr>
            </w:pPr>
            <w:r>
              <w:rPr>
                <w:b/>
                <w:w w:val="99"/>
                <w:sz w:val="24"/>
                <w:highlight w:val="none"/>
              </w:rPr>
              <w:t>4</w:t>
            </w:r>
          </w:p>
        </w:tc>
        <w:tc>
          <w:tcPr>
            <w:tcW w:w="2595"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81" w:lineRule="exact"/>
              <w:ind w:left="0" w:right="0"/>
              <w:jc w:val="center"/>
              <w:textAlignment w:val="auto"/>
              <w:rPr>
                <w:b/>
                <w:sz w:val="24"/>
                <w:highlight w:val="none"/>
              </w:rPr>
            </w:pPr>
            <w:r>
              <w:rPr>
                <w:b/>
                <w:w w:val="95"/>
                <w:sz w:val="24"/>
                <w:highlight w:val="none"/>
              </w:rPr>
              <w:t>优惠办法：</w:t>
            </w:r>
          </w:p>
        </w:tc>
        <w:tc>
          <w:tcPr>
            <w:tcW w:w="5956" w:type="dxa"/>
          </w:tcPr>
          <w:p>
            <w:pPr>
              <w:pStyle w:val="19"/>
              <w:keepNext w:val="0"/>
              <w:keepLines w:val="0"/>
              <w:pageBreakBefore w:val="0"/>
              <w:widowControl w:val="0"/>
              <w:kinsoku/>
              <w:wordWrap/>
              <w:overflowPunct/>
              <w:topLinePunct w:val="0"/>
              <w:autoSpaceDE w:val="0"/>
              <w:autoSpaceDN w:val="0"/>
              <w:bidi w:val="0"/>
              <w:adjustRightInd/>
              <w:snapToGrid/>
              <w:spacing w:before="0" w:after="0" w:line="281" w:lineRule="exact"/>
              <w:ind w:left="0" w:right="0"/>
              <w:jc w:val="both"/>
              <w:textAlignment w:val="auto"/>
              <w:rPr>
                <w:b/>
                <w:w w:val="95"/>
                <w:sz w:val="24"/>
                <w:highlight w:val="none"/>
              </w:rPr>
            </w:pPr>
            <w:r>
              <w:rPr>
                <w:b/>
                <w:w w:val="95"/>
                <w:sz w:val="24"/>
                <w:highlight w:val="none"/>
              </w:rPr>
              <w:t>小型企业或微型企业：</w:t>
            </w:r>
          </w:p>
          <w:p>
            <w:pPr>
              <w:pStyle w:val="19"/>
              <w:keepNext w:val="0"/>
              <w:keepLines w:val="0"/>
              <w:pageBreakBefore w:val="0"/>
              <w:widowControl w:val="0"/>
              <w:kinsoku/>
              <w:wordWrap/>
              <w:overflowPunct/>
              <w:topLinePunct w:val="0"/>
              <w:autoSpaceDE w:val="0"/>
              <w:autoSpaceDN w:val="0"/>
              <w:bidi w:val="0"/>
              <w:adjustRightInd/>
              <w:snapToGrid/>
              <w:spacing w:before="0" w:after="0" w:line="281" w:lineRule="exact"/>
              <w:ind w:left="0" w:right="0" w:firstLine="240" w:firstLineChars="100"/>
              <w:jc w:val="both"/>
              <w:textAlignment w:val="auto"/>
              <w:rPr>
                <w:sz w:val="24"/>
                <w:highlight w:val="none"/>
              </w:rPr>
            </w:pPr>
            <w:r>
              <w:rPr>
                <w:sz w:val="24"/>
                <w:highlight w:val="none"/>
              </w:rPr>
              <w:t>价格扣除：按报价的（94%）计算评审价</w:t>
            </w:r>
          </w:p>
          <w:p>
            <w:pPr>
              <w:pStyle w:val="19"/>
              <w:keepNext w:val="0"/>
              <w:keepLines w:val="0"/>
              <w:pageBreakBefore w:val="0"/>
              <w:widowControl w:val="0"/>
              <w:kinsoku/>
              <w:wordWrap/>
              <w:overflowPunct/>
              <w:topLinePunct w:val="0"/>
              <w:autoSpaceDE w:val="0"/>
              <w:autoSpaceDN w:val="0"/>
              <w:bidi w:val="0"/>
              <w:adjustRightInd/>
              <w:snapToGrid/>
              <w:spacing w:before="0" w:after="0" w:line="281" w:lineRule="exact"/>
              <w:ind w:right="0"/>
              <w:jc w:val="both"/>
              <w:textAlignment w:val="auto"/>
              <w:rPr>
                <w:b/>
                <w:sz w:val="24"/>
                <w:highlight w:val="none"/>
              </w:rPr>
            </w:pPr>
            <w:r>
              <w:rPr>
                <w:b/>
                <w:w w:val="95"/>
                <w:sz w:val="24"/>
                <w:highlight w:val="none"/>
              </w:rPr>
              <w:t>中型企业：</w:t>
            </w:r>
          </w:p>
          <w:p>
            <w:pPr>
              <w:pStyle w:val="19"/>
              <w:keepNext w:val="0"/>
              <w:keepLines w:val="0"/>
              <w:pageBreakBefore w:val="0"/>
              <w:widowControl w:val="0"/>
              <w:kinsoku/>
              <w:wordWrap/>
              <w:overflowPunct/>
              <w:topLinePunct w:val="0"/>
              <w:autoSpaceDE w:val="0"/>
              <w:autoSpaceDN w:val="0"/>
              <w:bidi w:val="0"/>
              <w:adjustRightInd/>
              <w:snapToGrid/>
              <w:spacing w:before="0" w:after="0" w:line="244" w:lineRule="auto"/>
              <w:ind w:left="0" w:right="0" w:firstLine="480"/>
              <w:jc w:val="both"/>
              <w:textAlignment w:val="auto"/>
              <w:rPr>
                <w:sz w:val="24"/>
                <w:highlight w:val="none"/>
              </w:rPr>
            </w:pPr>
            <w:r>
              <w:rPr>
                <w:sz w:val="24"/>
                <w:highlight w:val="none"/>
              </w:rPr>
              <w:t>大、中型企业与小型、微型企业组成联合体共同参加非专门面向中小企业的政府采购活动的，不视为中小企业。但联合协议中若约定，小型、微型企业的协议合同金额占到联合体协议合同总金额30％以上的，可给予联合体 2％-3%的价格扣除，用扣除后的价格参与评审（包括价格因素得分的计算）。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0" w:hRule="atLeast"/>
        </w:trPr>
        <w:tc>
          <w:tcPr>
            <w:tcW w:w="747"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jc w:val="center"/>
              <w:textAlignment w:val="auto"/>
              <w:rPr>
                <w:b/>
                <w:sz w:val="24"/>
                <w:highlight w:val="none"/>
              </w:rPr>
            </w:pPr>
            <w:r>
              <w:rPr>
                <w:b/>
                <w:w w:val="99"/>
                <w:sz w:val="24"/>
                <w:highlight w:val="none"/>
              </w:rPr>
              <w:t>5</w:t>
            </w:r>
          </w:p>
        </w:tc>
        <w:tc>
          <w:tcPr>
            <w:tcW w:w="2595"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jc w:val="center"/>
              <w:textAlignment w:val="auto"/>
              <w:rPr>
                <w:b/>
                <w:sz w:val="24"/>
                <w:highlight w:val="none"/>
              </w:rPr>
            </w:pPr>
            <w:r>
              <w:rPr>
                <w:b/>
                <w:w w:val="95"/>
                <w:sz w:val="24"/>
                <w:highlight w:val="none"/>
              </w:rPr>
              <w:t>证明材料</w:t>
            </w:r>
          </w:p>
        </w:tc>
        <w:tc>
          <w:tcPr>
            <w:tcW w:w="5956" w:type="dxa"/>
          </w:tcPr>
          <w:p>
            <w:pPr>
              <w:pStyle w:val="19"/>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480"/>
              <w:jc w:val="both"/>
              <w:textAlignment w:val="auto"/>
              <w:rPr>
                <w:sz w:val="24"/>
                <w:highlight w:val="none"/>
              </w:rPr>
            </w:pPr>
            <w:r>
              <w:rPr>
                <w:sz w:val="24"/>
                <w:highlight w:val="none"/>
              </w:rPr>
              <w:t>供应商参与磋商响应时须对照《中小企业划</w:t>
            </w:r>
          </w:p>
          <w:p>
            <w:pPr>
              <w:pStyle w:val="19"/>
              <w:keepNext w:val="0"/>
              <w:keepLines w:val="0"/>
              <w:pageBreakBefore w:val="0"/>
              <w:widowControl w:val="0"/>
              <w:kinsoku/>
              <w:wordWrap/>
              <w:overflowPunct/>
              <w:topLinePunct w:val="0"/>
              <w:autoSpaceDE w:val="0"/>
              <w:autoSpaceDN w:val="0"/>
              <w:bidi w:val="0"/>
              <w:adjustRightInd/>
              <w:snapToGrid/>
              <w:spacing w:before="0" w:after="0" w:line="242" w:lineRule="auto"/>
              <w:ind w:left="0" w:right="0"/>
              <w:jc w:val="both"/>
              <w:textAlignment w:val="auto"/>
              <w:rPr>
                <w:sz w:val="24"/>
                <w:highlight w:val="none"/>
              </w:rPr>
            </w:pPr>
            <w:r>
              <w:rPr>
                <w:sz w:val="24"/>
                <w:highlight w:val="none"/>
              </w:rPr>
              <w:t>型标准规定》（工信部联企 业[2011]300 号） 文件规定，提供《中小企业声明函》。 符合监狱企业政策的供应商参与磋商时需提供省级以上监狱管理局、戒 毒管理局（含新疆生产建设兵团）出具的属于监狱企业的证明文件。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0" w:hRule="atLeast"/>
        </w:trPr>
        <w:tc>
          <w:tcPr>
            <w:tcW w:w="747"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81" w:lineRule="exact"/>
              <w:ind w:left="0" w:right="0"/>
              <w:jc w:val="center"/>
              <w:textAlignment w:val="auto"/>
              <w:rPr>
                <w:b/>
                <w:sz w:val="24"/>
                <w:highlight w:val="none"/>
              </w:rPr>
            </w:pPr>
            <w:r>
              <w:rPr>
                <w:b/>
                <w:w w:val="99"/>
                <w:sz w:val="24"/>
                <w:highlight w:val="none"/>
              </w:rPr>
              <w:t>6</w:t>
            </w:r>
          </w:p>
        </w:tc>
        <w:tc>
          <w:tcPr>
            <w:tcW w:w="2595"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81" w:lineRule="exact"/>
              <w:ind w:left="0" w:right="0"/>
              <w:jc w:val="center"/>
              <w:textAlignment w:val="auto"/>
              <w:rPr>
                <w:b/>
                <w:sz w:val="24"/>
                <w:highlight w:val="none"/>
              </w:rPr>
            </w:pPr>
            <w:r>
              <w:rPr>
                <w:b/>
                <w:w w:val="95"/>
                <w:sz w:val="24"/>
                <w:highlight w:val="none"/>
              </w:rPr>
              <w:t>相关风险</w:t>
            </w:r>
          </w:p>
        </w:tc>
        <w:tc>
          <w:tcPr>
            <w:tcW w:w="5956" w:type="dxa"/>
          </w:tcPr>
          <w:p>
            <w:pPr>
              <w:pStyle w:val="19"/>
              <w:keepNext w:val="0"/>
              <w:keepLines w:val="0"/>
              <w:pageBreakBefore w:val="0"/>
              <w:widowControl w:val="0"/>
              <w:kinsoku/>
              <w:wordWrap/>
              <w:overflowPunct/>
              <w:topLinePunct w:val="0"/>
              <w:autoSpaceDE w:val="0"/>
              <w:autoSpaceDN w:val="0"/>
              <w:bidi w:val="0"/>
              <w:adjustRightInd/>
              <w:snapToGrid/>
              <w:spacing w:before="0" w:after="0" w:line="281" w:lineRule="exact"/>
              <w:ind w:left="0" w:right="0"/>
              <w:jc w:val="both"/>
              <w:textAlignment w:val="auto"/>
              <w:rPr>
                <w:b/>
                <w:sz w:val="24"/>
                <w:highlight w:val="none"/>
              </w:rPr>
            </w:pPr>
            <w:r>
              <w:rPr>
                <w:b/>
                <w:w w:val="95"/>
                <w:sz w:val="24"/>
                <w:highlight w:val="none"/>
              </w:rPr>
              <w:t>一、经评审委员会评审，存在下列任一情况的，</w:t>
            </w:r>
          </w:p>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4"/>
                <w:highlight w:val="none"/>
              </w:rPr>
            </w:pPr>
            <w:r>
              <w:rPr>
                <w:b/>
                <w:w w:val="95"/>
                <w:sz w:val="24"/>
                <w:highlight w:val="none"/>
              </w:rPr>
              <w:t>磋商供应商将不被视为中小企业：</w:t>
            </w:r>
          </w:p>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4"/>
                <w:highlight w:val="none"/>
              </w:rPr>
            </w:pPr>
            <w:r>
              <w:rPr>
                <w:sz w:val="24"/>
                <w:highlight w:val="none"/>
              </w:rPr>
              <w:t>1. 磋商供应商不符合“工信部联企业[2011]300 号”规定的中小企业标准的；</w:t>
            </w:r>
          </w:p>
          <w:p>
            <w:pPr>
              <w:pStyle w:val="19"/>
              <w:keepNext w:val="0"/>
              <w:keepLines w:val="0"/>
              <w:pageBreakBefore w:val="0"/>
              <w:widowControl w:val="0"/>
              <w:kinsoku/>
              <w:wordWrap/>
              <w:overflowPunct/>
              <w:topLinePunct w:val="0"/>
              <w:autoSpaceDE w:val="0"/>
              <w:autoSpaceDN w:val="0"/>
              <w:bidi w:val="0"/>
              <w:adjustRightInd/>
              <w:snapToGrid/>
              <w:spacing w:before="0" w:after="0" w:line="244" w:lineRule="auto"/>
              <w:ind w:left="0" w:right="0" w:firstLine="480"/>
              <w:jc w:val="both"/>
              <w:textAlignment w:val="auto"/>
              <w:rPr>
                <w:sz w:val="24"/>
                <w:highlight w:val="none"/>
              </w:rPr>
            </w:pPr>
            <w:r>
              <w:rPr>
                <w:sz w:val="24"/>
                <w:highlight w:val="none"/>
              </w:rPr>
              <w:t>2.响应货物全部或部分为使用大型企业注册商标的货物的；</w:t>
            </w:r>
          </w:p>
          <w:p>
            <w:pPr>
              <w:pStyle w:val="19"/>
              <w:keepNext w:val="0"/>
              <w:keepLines w:val="0"/>
              <w:pageBreakBefore w:val="0"/>
              <w:widowControl w:val="0"/>
              <w:kinsoku/>
              <w:wordWrap/>
              <w:overflowPunct/>
              <w:topLinePunct w:val="0"/>
              <w:autoSpaceDE w:val="0"/>
              <w:autoSpaceDN w:val="0"/>
              <w:bidi w:val="0"/>
              <w:adjustRightInd/>
              <w:snapToGrid/>
              <w:spacing w:before="0" w:after="0" w:line="244" w:lineRule="auto"/>
              <w:ind w:left="0" w:right="0" w:firstLine="480"/>
              <w:jc w:val="both"/>
              <w:textAlignment w:val="auto"/>
              <w:rPr>
                <w:spacing w:val="-11"/>
                <w:sz w:val="24"/>
                <w:highlight w:val="none"/>
              </w:rPr>
            </w:pPr>
            <w:r>
              <w:rPr>
                <w:sz w:val="24"/>
                <w:highlight w:val="none"/>
              </w:rPr>
              <w:t>3. 响应文件中标明的中小企业产品的制造</w:t>
            </w:r>
            <w:r>
              <w:rPr>
                <w:spacing w:val="-6"/>
                <w:sz w:val="24"/>
                <w:highlight w:val="none"/>
              </w:rPr>
              <w:t>商不符合“工信部联企业</w:t>
            </w:r>
            <w:r>
              <w:rPr>
                <w:sz w:val="24"/>
                <w:highlight w:val="none"/>
              </w:rPr>
              <w:t>[2011]300</w:t>
            </w:r>
            <w:r>
              <w:rPr>
                <w:spacing w:val="-7"/>
                <w:sz w:val="24"/>
                <w:highlight w:val="none"/>
              </w:rPr>
              <w:t xml:space="preserve"> 号”规定的</w:t>
            </w:r>
            <w:r>
              <w:rPr>
                <w:spacing w:val="-11"/>
                <w:sz w:val="24"/>
                <w:highlight w:val="none"/>
              </w:rPr>
              <w:t xml:space="preserve">中小企业标准的； </w:t>
            </w:r>
          </w:p>
          <w:p>
            <w:pPr>
              <w:pStyle w:val="19"/>
              <w:keepNext w:val="0"/>
              <w:keepLines w:val="0"/>
              <w:pageBreakBefore w:val="0"/>
              <w:widowControl w:val="0"/>
              <w:kinsoku/>
              <w:wordWrap/>
              <w:overflowPunct/>
              <w:topLinePunct w:val="0"/>
              <w:autoSpaceDE w:val="0"/>
              <w:autoSpaceDN w:val="0"/>
              <w:bidi w:val="0"/>
              <w:adjustRightInd/>
              <w:snapToGrid/>
              <w:spacing w:before="0" w:after="0" w:line="244" w:lineRule="auto"/>
              <w:ind w:left="0" w:right="0" w:firstLine="480"/>
              <w:jc w:val="both"/>
              <w:textAlignment w:val="auto"/>
              <w:rPr>
                <w:sz w:val="24"/>
                <w:highlight w:val="none"/>
              </w:rPr>
            </w:pPr>
            <w:r>
              <w:rPr>
                <w:sz w:val="24"/>
                <w:highlight w:val="none"/>
              </w:rPr>
              <w:t>4.</w:t>
            </w:r>
            <w:r>
              <w:rPr>
                <w:spacing w:val="-6"/>
                <w:sz w:val="24"/>
                <w:highlight w:val="none"/>
              </w:rPr>
              <w:t xml:space="preserve">未按本附表第 </w:t>
            </w:r>
            <w:r>
              <w:rPr>
                <w:sz w:val="24"/>
                <w:highlight w:val="none"/>
              </w:rPr>
              <w:t>5 项要求提供合法、有效、完整资料的。</w:t>
            </w:r>
          </w:p>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4"/>
                <w:highlight w:val="none"/>
              </w:rPr>
            </w:pPr>
            <w:r>
              <w:rPr>
                <w:b/>
                <w:w w:val="95"/>
                <w:sz w:val="24"/>
                <w:highlight w:val="none"/>
              </w:rPr>
              <w:t>二、提供虚假证明材料后果：</w:t>
            </w:r>
          </w:p>
          <w:p>
            <w:pPr>
              <w:pStyle w:val="19"/>
              <w:keepNext w:val="0"/>
              <w:keepLines w:val="0"/>
              <w:pageBreakBefore w:val="0"/>
              <w:widowControl w:val="0"/>
              <w:kinsoku/>
              <w:wordWrap/>
              <w:overflowPunct/>
              <w:topLinePunct w:val="0"/>
              <w:autoSpaceDE w:val="0"/>
              <w:autoSpaceDN w:val="0"/>
              <w:bidi w:val="0"/>
              <w:adjustRightInd/>
              <w:snapToGrid/>
              <w:spacing w:before="0" w:after="0" w:line="279" w:lineRule="exact"/>
              <w:ind w:left="0" w:right="0"/>
              <w:jc w:val="both"/>
              <w:textAlignment w:val="auto"/>
              <w:rPr>
                <w:sz w:val="24"/>
                <w:highlight w:val="none"/>
              </w:rPr>
            </w:pPr>
            <w:r>
              <w:rPr>
                <w:sz w:val="24"/>
                <w:highlight w:val="none"/>
              </w:rPr>
              <w:t xml:space="preserve">供应商为取得中小企业身份而提供虚假证 </w:t>
            </w:r>
            <w:r>
              <w:rPr>
                <w:spacing w:val="-15"/>
                <w:sz w:val="24"/>
                <w:highlight w:val="none"/>
              </w:rPr>
              <w:t>明材料，在评审过程中发现的，按无效响应处理，</w:t>
            </w:r>
            <w:r>
              <w:rPr>
                <w:spacing w:val="-16"/>
                <w:sz w:val="24"/>
                <w:highlight w:val="none"/>
              </w:rPr>
              <w:t>磋商保证金不予退还；已取得成交资格的，无论</w:t>
            </w:r>
            <w:r>
              <w:rPr>
                <w:spacing w:val="-7"/>
                <w:sz w:val="24"/>
                <w:highlight w:val="none"/>
              </w:rPr>
              <w:t>该行为是否影响成交，均取消其成交资格，磋商</w:t>
            </w:r>
            <w:r>
              <w:rPr>
                <w:sz w:val="24"/>
                <w:highlight w:val="none"/>
              </w:rPr>
              <w:t>保证金、采购代理服务费不予退还，该供应商还</w:t>
            </w:r>
          </w:p>
          <w:p>
            <w:pPr>
              <w:pStyle w:val="19"/>
              <w:keepNext w:val="0"/>
              <w:keepLines w:val="0"/>
              <w:pageBreakBefore w:val="0"/>
              <w:widowControl w:val="0"/>
              <w:kinsoku/>
              <w:wordWrap/>
              <w:overflowPunct/>
              <w:topLinePunct w:val="0"/>
              <w:autoSpaceDE w:val="0"/>
              <w:autoSpaceDN w:val="0"/>
              <w:bidi w:val="0"/>
              <w:adjustRightInd/>
              <w:snapToGrid/>
              <w:spacing w:before="0" w:after="0" w:line="242" w:lineRule="auto"/>
              <w:ind w:left="0" w:right="0" w:firstLine="480"/>
              <w:jc w:val="both"/>
              <w:textAlignment w:val="auto"/>
              <w:rPr>
                <w:sz w:val="24"/>
                <w:highlight w:val="none"/>
              </w:rPr>
            </w:pPr>
            <w:r>
              <w:rPr>
                <w:spacing w:val="-5"/>
                <w:sz w:val="24"/>
                <w:highlight w:val="none"/>
              </w:rPr>
              <w:t>应承担由此引起的其他经济、法律责任。出现此</w:t>
            </w:r>
            <w:r>
              <w:rPr>
                <w:spacing w:val="-10"/>
                <w:sz w:val="24"/>
                <w:highlight w:val="none"/>
              </w:rPr>
              <w:t>种情形时，采购人、采购代理机构将有关情况上</w:t>
            </w:r>
            <w:r>
              <w:rPr>
                <w:spacing w:val="-13"/>
                <w:sz w:val="24"/>
                <w:highlight w:val="none"/>
              </w:rPr>
              <w:t>报政府采购监管部门，由监管部门按有关规定对其进行相应处罚。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9298" w:type="dxa"/>
            <w:gridSpan w:val="3"/>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jc w:val="both"/>
              <w:textAlignment w:val="auto"/>
              <w:rPr>
                <w:spacing w:val="-5"/>
                <w:sz w:val="24"/>
                <w:highlight w:val="none"/>
              </w:rPr>
            </w:pPr>
            <w:r>
              <w:rPr>
                <w:b/>
                <w:w w:val="95"/>
                <w:sz w:val="24"/>
                <w:highlight w:val="none"/>
              </w:rPr>
              <w:t>提醒事项：成交供应商必须凭成交通知书的原件与采购人签订《政府采购合同》。</w:t>
            </w:r>
          </w:p>
        </w:tc>
      </w:tr>
    </w:tbl>
    <w:p>
      <w:pPr>
        <w:keepNext w:val="0"/>
        <w:keepLines w:val="0"/>
        <w:pageBreakBefore w:val="0"/>
        <w:widowControl w:val="0"/>
        <w:kinsoku/>
        <w:wordWrap/>
        <w:overflowPunct/>
        <w:topLinePunct w:val="0"/>
        <w:autoSpaceDE w:val="0"/>
        <w:autoSpaceDN w:val="0"/>
        <w:bidi w:val="0"/>
        <w:adjustRightInd/>
        <w:snapToGrid/>
        <w:spacing w:before="0" w:after="0" w:line="242" w:lineRule="auto"/>
        <w:ind w:left="0" w:right="0"/>
        <w:jc w:val="both"/>
        <w:textAlignment w:val="auto"/>
        <w:rPr>
          <w:sz w:val="24"/>
          <w:highlight w:val="none"/>
        </w:rPr>
        <w:sectPr>
          <w:pgSz w:w="11910" w:h="16840"/>
          <w:pgMar w:top="1420" w:right="1560" w:bottom="820" w:left="1580" w:header="0" w:footer="626" w:gutter="0"/>
          <w:pgBorders>
            <w:top w:val="none" w:sz="0" w:space="0"/>
            <w:left w:val="none" w:sz="0" w:space="0"/>
            <w:bottom w:val="none" w:sz="0" w:space="0"/>
            <w:right w:val="none" w:sz="0" w:space="0"/>
          </w:pgBorders>
          <w:pgNumType w:fmt="decimal"/>
        </w:sect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0"/>
        <w:jc w:val="center"/>
        <w:textAlignment w:val="auto"/>
        <w:rPr>
          <w:rFonts w:ascii="宋体" w:hAnsi="宋体" w:eastAsia="宋体" w:cs="宋体"/>
          <w:b/>
          <w:sz w:val="36"/>
          <w:szCs w:val="22"/>
          <w:highlight w:val="none"/>
          <w:lang w:val="en-US" w:eastAsia="en-US" w:bidi="ar-SA"/>
        </w:rPr>
      </w:pPr>
      <w:r>
        <w:rPr>
          <w:rFonts w:ascii="宋体" w:hAnsi="宋体" w:eastAsia="宋体" w:cs="宋体"/>
          <w:b/>
          <w:sz w:val="36"/>
          <w:szCs w:val="22"/>
          <w:highlight w:val="none"/>
          <w:lang w:val="en-US" w:eastAsia="en-US" w:bidi="ar-SA"/>
        </w:rPr>
        <w:t>第三章 磋商响应供应商须知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1446" w:firstLineChars="400"/>
        <w:jc w:val="both"/>
        <w:textAlignment w:val="auto"/>
        <w:rPr>
          <w:rFonts w:ascii="宋体" w:hAnsi="宋体" w:eastAsia="宋体" w:cs="宋体"/>
          <w:b/>
          <w:sz w:val="36"/>
          <w:szCs w:val="22"/>
          <w:highlight w:val="none"/>
          <w:lang w:val="en-US" w:eastAsia="en-US"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exact"/>
        <w:ind w:left="0" w:leftChars="0" w:right="0" w:rightChars="0" w:firstLine="0" w:firstLineChars="0"/>
        <w:jc w:val="center"/>
        <w:textAlignment w:val="auto"/>
        <w:rPr>
          <w:rFonts w:ascii="宋体" w:hAnsi="宋体" w:eastAsia="宋体" w:cs="宋体"/>
          <w:b/>
          <w:sz w:val="36"/>
          <w:szCs w:val="22"/>
          <w:highlight w:val="none"/>
          <w:lang w:val="en-US" w:eastAsia="en-US" w:bidi="ar-SA"/>
        </w:rPr>
      </w:pPr>
      <w:r>
        <w:rPr>
          <w:rFonts w:hint="eastAsia" w:cs="宋体"/>
          <w:b/>
          <w:sz w:val="36"/>
          <w:szCs w:val="22"/>
          <w:highlight w:val="none"/>
          <w:lang w:val="en-US" w:eastAsia="zh-CN" w:bidi="ar-SA"/>
        </w:rPr>
        <w:t>一、</w:t>
      </w:r>
      <w:r>
        <w:rPr>
          <w:rFonts w:ascii="宋体" w:hAnsi="宋体" w:eastAsia="宋体" w:cs="宋体"/>
          <w:b/>
          <w:sz w:val="36"/>
          <w:szCs w:val="22"/>
          <w:highlight w:val="none"/>
          <w:lang w:val="en-US" w:eastAsia="en-US" w:bidi="ar-SA"/>
        </w:rPr>
        <w:t>说明</w:t>
      </w: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ascii="宋体" w:hAnsi="宋体" w:eastAsia="宋体" w:cs="宋体"/>
          <w:b w:val="0"/>
          <w:bCs/>
          <w:sz w:val="24"/>
          <w:szCs w:val="18"/>
          <w:highlight w:val="none"/>
          <w:lang w:val="en-US" w:eastAsia="en-US" w:bidi="ar-SA"/>
        </w:rPr>
      </w:pPr>
      <w:r>
        <w:rPr>
          <w:rFonts w:ascii="宋体" w:hAnsi="宋体" w:eastAsia="宋体" w:cs="宋体"/>
          <w:b w:val="0"/>
          <w:bCs/>
          <w:sz w:val="24"/>
          <w:szCs w:val="18"/>
          <w:highlight w:val="none"/>
          <w:lang w:val="en-US" w:eastAsia="en-US" w:bidi="ar-SA"/>
        </w:rPr>
        <w:t>1.适用范围</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1.1 本磋商文件仅适用于邀请中所叙述项目的货物、服务及工程采购。</w:t>
      </w:r>
    </w:p>
    <w:p>
      <w:pPr>
        <w:pStyle w:val="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w w:val="95"/>
          <w:highlight w:val="none"/>
        </w:rPr>
        <w:t>2.定义</w:t>
      </w:r>
    </w:p>
    <w:p>
      <w:pPr>
        <w:pStyle w:val="18"/>
        <w:keepNext w:val="0"/>
        <w:keepLines w:val="0"/>
        <w:pageBreakBefore w:val="0"/>
        <w:widowControl w:val="0"/>
        <w:numPr>
          <w:ilvl w:val="0"/>
          <w:numId w:val="0"/>
        </w:numPr>
        <w:tabs>
          <w:tab w:val="left" w:pos="576"/>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pacing w:val="-5"/>
          <w:sz w:val="24"/>
          <w:highlight w:val="none"/>
          <w:lang w:val="en-US" w:eastAsia="zh-CN"/>
        </w:rPr>
        <w:t>2.1</w:t>
      </w:r>
      <w:r>
        <w:rPr>
          <w:spacing w:val="-5"/>
          <w:sz w:val="24"/>
          <w:highlight w:val="none"/>
        </w:rPr>
        <w:t xml:space="preserve">“采购人”系指 </w:t>
      </w:r>
      <w:r>
        <w:rPr>
          <w:sz w:val="24"/>
          <w:highlight w:val="none"/>
        </w:rPr>
        <w:t>xxx</w:t>
      </w:r>
      <w:r>
        <w:rPr>
          <w:spacing w:val="-7"/>
          <w:sz w:val="24"/>
          <w:highlight w:val="none"/>
        </w:rPr>
        <w:t xml:space="preserve"> 单位。是采购活动当事人之一，负责项目的整体规划、技术方案可行性设计论证与实施，作为合同采购方(用户)的主体承担质疑回复、履行合同、验收等义务。</w:t>
      </w:r>
    </w:p>
    <w:p>
      <w:pPr>
        <w:pStyle w:val="18"/>
        <w:keepNext w:val="0"/>
        <w:keepLines w:val="0"/>
        <w:pageBreakBefore w:val="0"/>
        <w:widowControl w:val="0"/>
        <w:numPr>
          <w:ilvl w:val="0"/>
          <w:numId w:val="0"/>
        </w:numPr>
        <w:tabs>
          <w:tab w:val="left" w:pos="598"/>
        </w:tabs>
        <w:kinsoku/>
        <w:wordWrap/>
        <w:overflowPunct/>
        <w:topLinePunct w:val="0"/>
        <w:autoSpaceDE w:val="0"/>
        <w:autoSpaceDN w:val="0"/>
        <w:bidi w:val="0"/>
        <w:adjustRightInd/>
        <w:snapToGrid/>
        <w:spacing w:before="0" w:after="0" w:line="400" w:lineRule="exact"/>
        <w:ind w:left="-480" w:leftChars="0" w:right="0" w:rightChars="0" w:firstLine="480" w:firstLineChars="200"/>
        <w:jc w:val="both"/>
        <w:textAlignment w:val="auto"/>
        <w:rPr>
          <w:sz w:val="24"/>
          <w:highlight w:val="none"/>
        </w:rPr>
      </w:pPr>
      <w:r>
        <w:rPr>
          <w:rFonts w:hint="eastAsia"/>
          <w:sz w:val="24"/>
          <w:highlight w:val="none"/>
          <w:lang w:val="en-US" w:eastAsia="zh-CN"/>
        </w:rPr>
        <w:t>2.2</w:t>
      </w:r>
      <w:r>
        <w:rPr>
          <w:sz w:val="24"/>
          <w:highlight w:val="none"/>
        </w:rPr>
        <w:t>“采购单位”系指组织本次采购活动的采购人或采购代理机构。</w:t>
      </w:r>
    </w:p>
    <w:p>
      <w:pPr>
        <w:pStyle w:val="18"/>
        <w:keepNext w:val="0"/>
        <w:keepLines w:val="0"/>
        <w:pageBreakBefore w:val="0"/>
        <w:widowControl w:val="0"/>
        <w:numPr>
          <w:ilvl w:val="0"/>
          <w:numId w:val="0"/>
        </w:numPr>
        <w:tabs>
          <w:tab w:val="left" w:pos="569"/>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pacing w:val="-7"/>
          <w:sz w:val="24"/>
          <w:highlight w:val="none"/>
          <w:lang w:val="en-US" w:eastAsia="zh-CN"/>
        </w:rPr>
        <w:t>2.3</w:t>
      </w:r>
      <w:r>
        <w:rPr>
          <w:spacing w:val="-7"/>
          <w:sz w:val="24"/>
          <w:highlight w:val="none"/>
        </w:rPr>
        <w:t>“采购代理机构”系指</w:t>
      </w:r>
      <w:r>
        <w:rPr>
          <w:rFonts w:hint="eastAsia"/>
          <w:spacing w:val="-7"/>
          <w:sz w:val="24"/>
          <w:highlight w:val="none"/>
          <w:lang w:eastAsia="zh-CN"/>
        </w:rPr>
        <w:t>贵州聚力项目管理咨询有限公司</w:t>
      </w:r>
      <w:r>
        <w:rPr>
          <w:spacing w:val="-7"/>
          <w:sz w:val="24"/>
          <w:highlight w:val="none"/>
        </w:rPr>
        <w:t>。</w:t>
      </w:r>
      <w:r>
        <w:rPr>
          <w:rFonts w:hint="eastAsia"/>
          <w:spacing w:val="-7"/>
          <w:sz w:val="24"/>
          <w:highlight w:val="none"/>
          <w:lang w:eastAsia="zh-CN"/>
        </w:rPr>
        <w:t>贵州聚力项目管理咨询有限公司</w:t>
      </w:r>
      <w:r>
        <w:rPr>
          <w:spacing w:val="-12"/>
          <w:sz w:val="24"/>
          <w:highlight w:val="none"/>
        </w:rPr>
        <w:t>是整个采购活动的组织者，依法负责编制和发布招标文件，对招标</w:t>
      </w:r>
      <w:r>
        <w:rPr>
          <w:spacing w:val="-15"/>
          <w:sz w:val="24"/>
          <w:highlight w:val="none"/>
        </w:rPr>
        <w:t>文件拥有最终的解释权。</w:t>
      </w:r>
      <w:r>
        <w:rPr>
          <w:rFonts w:hint="eastAsia"/>
          <w:spacing w:val="-15"/>
          <w:sz w:val="24"/>
          <w:highlight w:val="none"/>
          <w:lang w:eastAsia="zh-CN"/>
        </w:rPr>
        <w:t>贵州聚力项目管理咨询有限公司</w:t>
      </w:r>
      <w:r>
        <w:rPr>
          <w:spacing w:val="-15"/>
          <w:sz w:val="24"/>
          <w:highlight w:val="none"/>
        </w:rPr>
        <w:t>不以任何身份出任评委会成员。</w:t>
      </w:r>
    </w:p>
    <w:p>
      <w:pPr>
        <w:pStyle w:val="18"/>
        <w:keepNext w:val="0"/>
        <w:keepLines w:val="0"/>
        <w:pageBreakBefore w:val="0"/>
        <w:widowControl w:val="0"/>
        <w:numPr>
          <w:ilvl w:val="0"/>
          <w:numId w:val="0"/>
        </w:numPr>
        <w:tabs>
          <w:tab w:val="left" w:pos="569"/>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pacing w:val="-7"/>
          <w:sz w:val="24"/>
          <w:highlight w:val="none"/>
          <w:lang w:val="en-US" w:eastAsia="zh-CN"/>
        </w:rPr>
        <w:t>2.4</w:t>
      </w:r>
      <w:r>
        <w:rPr>
          <w:spacing w:val="-7"/>
          <w:sz w:val="24"/>
          <w:highlight w:val="none"/>
        </w:rPr>
        <w:t>“磋商响应供应商”系指购买了本磋商文件，且已经提交或准备提交响应文件的供货商、服务商或承包商。</w:t>
      </w:r>
    </w:p>
    <w:p>
      <w:pPr>
        <w:pStyle w:val="18"/>
        <w:keepNext w:val="0"/>
        <w:keepLines w:val="0"/>
        <w:pageBreakBefore w:val="0"/>
        <w:widowControl w:val="0"/>
        <w:numPr>
          <w:ilvl w:val="0"/>
          <w:numId w:val="0"/>
        </w:numPr>
        <w:tabs>
          <w:tab w:val="left" w:pos="584"/>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pacing w:val="-9"/>
          <w:sz w:val="24"/>
          <w:highlight w:val="none"/>
          <w:lang w:val="en-US" w:eastAsia="zh-CN"/>
        </w:rPr>
        <w:t>2.5</w:t>
      </w:r>
      <w:r>
        <w:rPr>
          <w:spacing w:val="-9"/>
          <w:sz w:val="24"/>
          <w:highlight w:val="none"/>
        </w:rPr>
        <w:t>“货物”系指指各种形态和和种类的物品，包括原材料、燃料、设备、产品等。</w:t>
      </w:r>
    </w:p>
    <w:p>
      <w:pPr>
        <w:pStyle w:val="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w w:val="95"/>
          <w:highlight w:val="none"/>
        </w:rPr>
        <w:t>3.合格的磋商响应供应商</w:t>
      </w:r>
    </w:p>
    <w:p>
      <w:pPr>
        <w:pStyle w:val="18"/>
        <w:keepNext w:val="0"/>
        <w:keepLines w:val="0"/>
        <w:pageBreakBefore w:val="0"/>
        <w:widowControl w:val="0"/>
        <w:numPr>
          <w:ilvl w:val="0"/>
          <w:numId w:val="0"/>
        </w:numPr>
        <w:tabs>
          <w:tab w:val="left" w:pos="59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pacing w:val="-5"/>
          <w:sz w:val="24"/>
          <w:highlight w:val="none"/>
          <w:lang w:val="en-US" w:eastAsia="zh-CN"/>
        </w:rPr>
        <w:t>3.1</w:t>
      </w:r>
      <w:r>
        <w:rPr>
          <w:spacing w:val="-5"/>
          <w:sz w:val="24"/>
          <w:highlight w:val="none"/>
        </w:rPr>
        <w:t>凡有能力提供本磋商文件所述货物、服务及工程的，符合本磋商文件规定资格要求的供应商均可能成为合格的磋商响应供应商。</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spacing w:val="-8"/>
          <w:highlight w:val="none"/>
        </w:rPr>
        <w:t>磋商响应供应商具备《中华人民共和国政府采购法》第二十二条第一款规定的条件，应提供以下材料：</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（1）法人或者其他组织的营业执照等证明文件，自然人的身份证明；</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（2）财务状况报告，依法缴纳税收和社会保障资金的相关材料；</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（3）具备履行合同所必需的设备和专业技术能力的证明材料或承诺；</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（4）参加政府采购活动前 3 年内在经营活动中没有重大违法记录的书面声明；</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（5）具备法律、行政法规规定的其他条件的证明材料。</w:t>
      </w:r>
    </w:p>
    <w:p>
      <w:pPr>
        <w:pStyle w:val="18"/>
        <w:keepNext w:val="0"/>
        <w:keepLines w:val="0"/>
        <w:pageBreakBefore w:val="0"/>
        <w:widowControl w:val="0"/>
        <w:numPr>
          <w:ilvl w:val="0"/>
          <w:numId w:val="0"/>
        </w:numPr>
        <w:tabs>
          <w:tab w:val="left" w:pos="59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pacing w:val="-6"/>
          <w:sz w:val="24"/>
          <w:highlight w:val="none"/>
          <w:lang w:val="en-US" w:eastAsia="zh-CN"/>
        </w:rPr>
        <w:t>3.2</w:t>
      </w:r>
      <w:r>
        <w:rPr>
          <w:spacing w:val="-6"/>
          <w:sz w:val="24"/>
          <w:highlight w:val="none"/>
        </w:rPr>
        <w:t>磋商响应供应商应遵守有关法律、法规和规章的规定，同时其响应货物或服务也应符合有关法律、法规和规章的规定。</w:t>
      </w:r>
    </w:p>
    <w:p>
      <w:pPr>
        <w:pStyle w:val="18"/>
        <w:keepNext w:val="0"/>
        <w:keepLines w:val="0"/>
        <w:pageBreakBefore w:val="0"/>
        <w:widowControl w:val="0"/>
        <w:numPr>
          <w:ilvl w:val="0"/>
          <w:numId w:val="0"/>
        </w:numPr>
        <w:tabs>
          <w:tab w:val="left" w:pos="59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pacing w:val="-6"/>
          <w:sz w:val="24"/>
          <w:highlight w:val="none"/>
          <w:lang w:val="en-US" w:eastAsia="zh-CN"/>
        </w:rPr>
        <w:t>3.3</w:t>
      </w:r>
      <w:r>
        <w:rPr>
          <w:spacing w:val="-6"/>
          <w:sz w:val="24"/>
          <w:highlight w:val="none"/>
        </w:rPr>
        <w:t>经中国政府采购网失信信息查询，有失信信息记录且在禁止参加政府采购活动处罚期间内的供应商不能成为合格响应供应商。</w:t>
      </w:r>
    </w:p>
    <w:p>
      <w:pPr>
        <w:pStyle w:val="18"/>
        <w:keepNext w:val="0"/>
        <w:keepLines w:val="0"/>
        <w:pageBreakBefore w:val="0"/>
        <w:widowControl w:val="0"/>
        <w:numPr>
          <w:ilvl w:val="0"/>
          <w:numId w:val="0"/>
        </w:numPr>
        <w:tabs>
          <w:tab w:val="left" w:pos="59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pacing w:val="-5"/>
          <w:sz w:val="24"/>
          <w:highlight w:val="none"/>
          <w:lang w:val="en-US" w:eastAsia="zh-CN"/>
        </w:rPr>
        <w:t>3.4</w:t>
      </w:r>
      <w:r>
        <w:rPr>
          <w:spacing w:val="-5"/>
          <w:sz w:val="24"/>
          <w:highlight w:val="none"/>
        </w:rPr>
        <w:t>一个磋商响应供应商只能提交一个响应文件。如果磋商响应供应商之间存在下列互为关联关系的情形之一的，不得同时参加本项目同一合同包响应：</w:t>
      </w:r>
    </w:p>
    <w:p>
      <w:pPr>
        <w:pStyle w:val="18"/>
        <w:keepNext w:val="0"/>
        <w:keepLines w:val="0"/>
        <w:pageBreakBefore w:val="0"/>
        <w:widowControl w:val="0"/>
        <w:numPr>
          <w:ilvl w:val="0"/>
          <w:numId w:val="0"/>
        </w:numPr>
        <w:tabs>
          <w:tab w:val="left" w:pos="598"/>
        </w:tabs>
        <w:kinsoku/>
        <w:wordWrap/>
        <w:overflowPunct/>
        <w:topLinePunct w:val="0"/>
        <w:autoSpaceDE w:val="0"/>
        <w:autoSpaceDN w:val="0"/>
        <w:bidi w:val="0"/>
        <w:adjustRightInd/>
        <w:snapToGrid/>
        <w:spacing w:before="0" w:after="0" w:line="400" w:lineRule="exact"/>
        <w:ind w:left="-480" w:leftChars="0" w:right="0" w:rightChars="0" w:firstLine="480" w:firstLineChars="200"/>
        <w:jc w:val="both"/>
        <w:textAlignment w:val="auto"/>
        <w:rPr>
          <w:sz w:val="24"/>
          <w:highlight w:val="none"/>
        </w:rPr>
      </w:pPr>
      <w:r>
        <w:rPr>
          <w:rFonts w:hint="eastAsia"/>
          <w:sz w:val="24"/>
          <w:highlight w:val="none"/>
          <w:lang w:eastAsia="zh-CN"/>
        </w:rPr>
        <w:t>（</w:t>
      </w:r>
      <w:r>
        <w:rPr>
          <w:rFonts w:hint="eastAsia"/>
          <w:sz w:val="24"/>
          <w:highlight w:val="none"/>
          <w:lang w:val="en-US" w:eastAsia="zh-CN"/>
        </w:rPr>
        <w:t>1</w:t>
      </w:r>
      <w:r>
        <w:rPr>
          <w:rFonts w:hint="eastAsia"/>
          <w:sz w:val="24"/>
          <w:highlight w:val="none"/>
          <w:lang w:eastAsia="zh-CN"/>
        </w:rPr>
        <w:t>）</w:t>
      </w:r>
      <w:r>
        <w:rPr>
          <w:sz w:val="24"/>
          <w:highlight w:val="none"/>
        </w:rPr>
        <w:t>法定代表人、单位负责人为同一人或夫妻关系的不同供应商；</w:t>
      </w:r>
    </w:p>
    <w:p>
      <w:pPr>
        <w:pStyle w:val="18"/>
        <w:keepNext w:val="0"/>
        <w:keepLines w:val="0"/>
        <w:pageBreakBefore w:val="0"/>
        <w:widowControl w:val="0"/>
        <w:numPr>
          <w:ilvl w:val="0"/>
          <w:numId w:val="0"/>
        </w:numPr>
        <w:tabs>
          <w:tab w:val="left" w:pos="598"/>
        </w:tabs>
        <w:kinsoku/>
        <w:wordWrap/>
        <w:overflowPunct/>
        <w:topLinePunct w:val="0"/>
        <w:autoSpaceDE w:val="0"/>
        <w:autoSpaceDN w:val="0"/>
        <w:bidi w:val="0"/>
        <w:adjustRightInd/>
        <w:snapToGrid/>
        <w:spacing w:before="0" w:after="0" w:line="400" w:lineRule="exact"/>
        <w:ind w:left="-480" w:leftChars="0" w:right="0" w:rightChars="0" w:firstLine="480" w:firstLineChars="200"/>
        <w:jc w:val="both"/>
        <w:textAlignment w:val="auto"/>
        <w:rPr>
          <w:sz w:val="24"/>
          <w:highlight w:val="none"/>
        </w:rPr>
      </w:pPr>
      <w:r>
        <w:rPr>
          <w:rFonts w:hint="eastAsia"/>
          <w:sz w:val="24"/>
          <w:highlight w:val="none"/>
          <w:lang w:eastAsia="zh-CN"/>
        </w:rPr>
        <w:t>（</w:t>
      </w:r>
      <w:r>
        <w:rPr>
          <w:rFonts w:hint="eastAsia"/>
          <w:sz w:val="24"/>
          <w:highlight w:val="none"/>
          <w:lang w:val="en-US" w:eastAsia="zh-CN"/>
        </w:rPr>
        <w:t>2</w:t>
      </w:r>
      <w:r>
        <w:rPr>
          <w:rFonts w:hint="eastAsia"/>
          <w:sz w:val="24"/>
          <w:highlight w:val="none"/>
          <w:lang w:eastAsia="zh-CN"/>
        </w:rPr>
        <w:t>）</w:t>
      </w:r>
      <w:r>
        <w:rPr>
          <w:sz w:val="24"/>
          <w:highlight w:val="none"/>
        </w:rPr>
        <w:t>存在直接控股、管理关系的不同供应商；</w:t>
      </w:r>
    </w:p>
    <w:p>
      <w:pPr>
        <w:pStyle w:val="18"/>
        <w:keepNext w:val="0"/>
        <w:keepLines w:val="0"/>
        <w:pageBreakBefore w:val="0"/>
        <w:widowControl w:val="0"/>
        <w:numPr>
          <w:ilvl w:val="0"/>
          <w:numId w:val="0"/>
        </w:numPr>
        <w:tabs>
          <w:tab w:val="left" w:pos="598"/>
        </w:tabs>
        <w:kinsoku/>
        <w:wordWrap/>
        <w:overflowPunct/>
        <w:topLinePunct w:val="0"/>
        <w:autoSpaceDE w:val="0"/>
        <w:autoSpaceDN w:val="0"/>
        <w:bidi w:val="0"/>
        <w:adjustRightInd/>
        <w:snapToGrid/>
        <w:spacing w:before="0" w:after="0" w:line="400" w:lineRule="exact"/>
        <w:ind w:left="-480" w:leftChars="0" w:right="0" w:rightChars="0" w:firstLine="480" w:firstLineChars="200"/>
        <w:jc w:val="both"/>
        <w:textAlignment w:val="auto"/>
        <w:rPr>
          <w:sz w:val="24"/>
          <w:highlight w:val="none"/>
        </w:rPr>
      </w:pPr>
      <w:r>
        <w:rPr>
          <w:rFonts w:hint="eastAsia"/>
          <w:sz w:val="24"/>
          <w:highlight w:val="none"/>
          <w:lang w:eastAsia="zh-CN"/>
        </w:rPr>
        <w:t>（</w:t>
      </w:r>
      <w:r>
        <w:rPr>
          <w:rFonts w:hint="eastAsia"/>
          <w:sz w:val="24"/>
          <w:highlight w:val="none"/>
          <w:lang w:val="en-US" w:eastAsia="zh-CN"/>
        </w:rPr>
        <w:t>3</w:t>
      </w:r>
      <w:r>
        <w:rPr>
          <w:rFonts w:hint="eastAsia"/>
          <w:sz w:val="24"/>
          <w:highlight w:val="none"/>
          <w:lang w:eastAsia="zh-CN"/>
        </w:rPr>
        <w:t>）</w:t>
      </w:r>
      <w:r>
        <w:rPr>
          <w:sz w:val="24"/>
          <w:highlight w:val="none"/>
        </w:rPr>
        <w:t>均为同一家母公司直接或间接持股50％及以上的被投资公司。</w:t>
      </w:r>
    </w:p>
    <w:p>
      <w:pPr>
        <w:pStyle w:val="18"/>
        <w:keepNext w:val="0"/>
        <w:keepLines w:val="0"/>
        <w:pageBreakBefore w:val="0"/>
        <w:widowControl w:val="0"/>
        <w:numPr>
          <w:ilvl w:val="0"/>
          <w:numId w:val="0"/>
        </w:numPr>
        <w:tabs>
          <w:tab w:val="left" w:pos="59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pacing w:val="-5"/>
          <w:sz w:val="24"/>
          <w:highlight w:val="none"/>
          <w:lang w:val="en-US" w:eastAsia="zh-CN"/>
        </w:rPr>
        <w:t>3.5</w:t>
      </w:r>
      <w:r>
        <w:rPr>
          <w:spacing w:val="-5"/>
          <w:sz w:val="24"/>
          <w:highlight w:val="none"/>
        </w:rPr>
        <w:t>磋商响应供应商不得与本次磋商项下设计、编制技术规格和其他文件的公司或提供咨询服务的公司包括其附属机构有任何关联。</w:t>
      </w:r>
    </w:p>
    <w:p>
      <w:pPr>
        <w:pStyle w:val="18"/>
        <w:keepNext w:val="0"/>
        <w:keepLines w:val="0"/>
        <w:pageBreakBefore w:val="0"/>
        <w:widowControl w:val="0"/>
        <w:numPr>
          <w:ilvl w:val="0"/>
          <w:numId w:val="0"/>
        </w:numPr>
        <w:tabs>
          <w:tab w:val="left" w:pos="59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pacing w:val="-9"/>
          <w:sz w:val="24"/>
          <w:highlight w:val="none"/>
          <w:lang w:val="en-US" w:eastAsia="zh-CN"/>
        </w:rPr>
        <w:t>3.6</w:t>
      </w:r>
      <w:r>
        <w:rPr>
          <w:spacing w:val="-9"/>
          <w:sz w:val="24"/>
          <w:highlight w:val="none"/>
        </w:rPr>
        <w:t>若接受联合体磋商，则两个或者两个以上磋商响应供应商可以组成一个响应联合体，以一个磋商响应供应商的身份响应。</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(1)以联合体形式参加磋商的，联合体各方均应当符合合格的磋商响应供应商相</w:t>
      </w:r>
      <w:r>
        <w:rPr>
          <w:spacing w:val="-9"/>
          <w:highlight w:val="none"/>
        </w:rPr>
        <w:t>关规定。采购人根据采购项目的特殊要求规定磋商响应供应商特定条件的，联合</w:t>
      </w:r>
      <w:r>
        <w:rPr>
          <w:spacing w:val="-13"/>
          <w:highlight w:val="none"/>
        </w:rPr>
        <w:t>体各方中至少应当有一方符合采购人规定的全部特定条件，如联合体各方中没有一方符合全部特定条件的，该联合体响应无效。</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(2)联合体各方之间应当签订共同响应协议，明确约定联合体各方承担的工作和</w:t>
      </w:r>
      <w:r>
        <w:rPr>
          <w:spacing w:val="-9"/>
          <w:highlight w:val="none"/>
        </w:rPr>
        <w:t>相应的责任，并将共同响应协议连同响应文件一并提交采购代理机构。联合体各</w:t>
      </w:r>
      <w:r>
        <w:rPr>
          <w:spacing w:val="-14"/>
          <w:highlight w:val="none"/>
        </w:rPr>
        <w:t>方签订共同磋商协议后，不得再以自己名义单独在同一项目中响应，也不得组成</w:t>
      </w:r>
      <w:r>
        <w:rPr>
          <w:spacing w:val="-17"/>
          <w:highlight w:val="none"/>
        </w:rPr>
        <w:t>新的联合体参加同一项目响应。以联合体形式响应的，除本竞争性磋商采购文件</w:t>
      </w:r>
      <w:r>
        <w:rPr>
          <w:spacing w:val="-21"/>
          <w:highlight w:val="none"/>
        </w:rPr>
        <w:t>其他章节或本须知其他条款另有规定或要求外，响应文件中仅加盖联合体一方公章的相关文件，对联合体各方均具有约束力。</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（3）项目如涉及资质要求，该部分内容应由联合体中具有该资质要求的供应商承担。联合体协议及签订的采购合同应包含此项内容。</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(4)联合体中有同类资质的供应商按照联合体分工承担相同工作的，应当按照资质等级较低的供应商确定资质等级。</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sz w:val="24"/>
          <w:highlight w:val="none"/>
        </w:rPr>
      </w:pPr>
      <w:r>
        <w:rPr>
          <w:rFonts w:hint="eastAsia"/>
          <w:sz w:val="24"/>
          <w:highlight w:val="none"/>
          <w:lang w:val="en-US" w:eastAsia="zh-CN"/>
        </w:rPr>
        <w:t>3.1</w:t>
      </w:r>
      <w:r>
        <w:rPr>
          <w:sz w:val="24"/>
          <w:highlight w:val="none"/>
        </w:rPr>
        <w:t>磋商代理人在同一个项目中只能接受一个磋商响应供应商的委托参加磋商响应。</w:t>
      </w:r>
    </w:p>
    <w:p>
      <w:pPr>
        <w:pStyle w:val="18"/>
        <w:keepNext w:val="0"/>
        <w:keepLines w:val="0"/>
        <w:pageBreakBefore w:val="0"/>
        <w:widowControl w:val="0"/>
        <w:numPr>
          <w:ilvl w:val="0"/>
          <w:numId w:val="0"/>
        </w:numPr>
        <w:tabs>
          <w:tab w:val="left" w:pos="59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pacing w:val="-6"/>
          <w:sz w:val="24"/>
          <w:highlight w:val="none"/>
          <w:lang w:val="en-US" w:eastAsia="zh-CN"/>
        </w:rPr>
        <w:t>3.2</w:t>
      </w:r>
      <w:r>
        <w:rPr>
          <w:spacing w:val="-6"/>
          <w:sz w:val="24"/>
          <w:highlight w:val="none"/>
        </w:rPr>
        <w:t>磋商响应供应商存在下列情形之一的，将被认定为串通响应行为并作无效响应处理：</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（1）磋商响应供应商之间协商磋商报价等磋商文件的实质性内容；</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（2）磋商响应供应商之间约定成交供应商；</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（3）磋商响应供应商之间约定部分磋商响应供应商放弃磋商响应或者成交；</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（4）属于同一集团、协会、商会等组织成员的磋商响应供应商按照该组织要求协同磋商响应；</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（5）磋商响应供应商之间为谋取成交或者排斥特定磋商响应供应商而采取的其他联合行动；</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（6）不同磋商响应供应商的响应文件由同一单位或者个人编制；</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（7）不同磋商响应供应商委托同一单位或者个人办理磋商响应事宜；</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（8）不同磋商响应供应商的响应文件载明的项目管理成员为同一人；</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（9）不同磋商响应供应商的响应文件异常一致或者报价呈规律性差异；</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（10）不同磋商响应供应商的响应文件相互混装；</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（11）不同磋商响应供应商的磋商保证金从同一单位或者个人的账户转出。</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spacing w:val="-8"/>
          <w:highlight w:val="none"/>
        </w:rPr>
        <w:t>（12）</w:t>
      </w:r>
      <w:r>
        <w:rPr>
          <w:spacing w:val="-4"/>
          <w:highlight w:val="none"/>
        </w:rPr>
        <w:t>不同磋商响应供应商的响应文件错、漏之处一致或雷同，且不能合理解释的；</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spacing w:val="-12"/>
          <w:highlight w:val="none"/>
        </w:rPr>
        <w:t>（13）</w:t>
      </w:r>
      <w:r>
        <w:rPr>
          <w:spacing w:val="-3"/>
          <w:highlight w:val="none"/>
        </w:rPr>
        <w:t>不同的磋商响应供应商的法定代表人、委托代理人等由同一个单位缴纳社会保险的；</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spacing w:val="-8"/>
          <w:highlight w:val="none"/>
        </w:rPr>
        <w:t>（14）</w:t>
      </w:r>
      <w:r>
        <w:rPr>
          <w:spacing w:val="-2"/>
          <w:highlight w:val="none"/>
        </w:rPr>
        <w:t>由同一人或分别由几个有利害关系的人携带两个以上</w:t>
      </w:r>
      <w:r>
        <w:rPr>
          <w:highlight w:val="none"/>
        </w:rPr>
        <w:t>（含两个</w:t>
      </w:r>
      <w:r>
        <w:rPr>
          <w:spacing w:val="-32"/>
          <w:highlight w:val="none"/>
        </w:rPr>
        <w:t>）</w:t>
      </w:r>
      <w:r>
        <w:rPr>
          <w:highlight w:val="none"/>
        </w:rPr>
        <w:t>磋商响应</w:t>
      </w:r>
      <w:r>
        <w:rPr>
          <w:spacing w:val="-4"/>
          <w:highlight w:val="none"/>
        </w:rPr>
        <w:t>供应商的企业资料参与资格审查、领取采购资料，或代表两个以上</w:t>
      </w:r>
      <w:r>
        <w:rPr>
          <w:highlight w:val="none"/>
        </w:rPr>
        <w:t>（含两个</w:t>
      </w:r>
      <w:r>
        <w:rPr>
          <w:spacing w:val="-22"/>
          <w:highlight w:val="none"/>
        </w:rPr>
        <w:t>）</w:t>
      </w:r>
      <w:r>
        <w:rPr>
          <w:highlight w:val="none"/>
        </w:rPr>
        <w:t>磋商响应供应商参加项目答疑会、交纳或退还磋商保证金、参加磋商的；</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（15）有关法律、法规或规章规定的其他串通行为。</w:t>
      </w:r>
    </w:p>
    <w:p>
      <w:pPr>
        <w:pStyle w:val="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w w:val="95"/>
          <w:highlight w:val="none"/>
        </w:rPr>
        <w:t>4.磋商费用</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4.1 磋商响应供应商应承担其准备与参加磋商所涉及的一切费用。</w:t>
      </w:r>
    </w:p>
    <w:p>
      <w:pPr>
        <w:pStyle w:val="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w w:val="95"/>
          <w:highlight w:val="none"/>
        </w:rPr>
        <w:t>5.知识产权</w:t>
      </w:r>
    </w:p>
    <w:p>
      <w:pPr>
        <w:pStyle w:val="18"/>
        <w:keepNext w:val="0"/>
        <w:keepLines w:val="0"/>
        <w:pageBreakBefore w:val="0"/>
        <w:widowControl w:val="0"/>
        <w:numPr>
          <w:ilvl w:val="0"/>
          <w:numId w:val="0"/>
        </w:numPr>
        <w:tabs>
          <w:tab w:val="left" w:pos="598"/>
        </w:tabs>
        <w:kinsoku/>
        <w:wordWrap/>
        <w:overflowPunct/>
        <w:topLinePunct w:val="0"/>
        <w:autoSpaceDE w:val="0"/>
        <w:autoSpaceDN w:val="0"/>
        <w:bidi w:val="0"/>
        <w:adjustRightInd/>
        <w:snapToGrid/>
        <w:spacing w:before="0" w:after="0" w:line="400" w:lineRule="exact"/>
        <w:ind w:leftChars="0" w:right="0" w:rightChars="0"/>
        <w:jc w:val="both"/>
        <w:textAlignment w:val="auto"/>
        <w:rPr>
          <w:highlight w:val="none"/>
        </w:rPr>
      </w:pPr>
      <w:r>
        <w:rPr>
          <w:rFonts w:hint="eastAsia"/>
          <w:sz w:val="24"/>
          <w:highlight w:val="none"/>
          <w:lang w:val="en-US" w:eastAsia="zh-CN"/>
        </w:rPr>
        <w:t>5.1</w:t>
      </w:r>
      <w:r>
        <w:rPr>
          <w:sz w:val="24"/>
          <w:highlight w:val="none"/>
        </w:rPr>
        <w:t>磋商响应供应商应保证在本项目使用任何产品或其任何一部分时，不会</w:t>
      </w:r>
      <w:r>
        <w:rPr>
          <w:spacing w:val="-6"/>
          <w:highlight w:val="none"/>
        </w:rPr>
        <w:t>产生因第三方提出侵犯其专利权、商标权或其它知识产权而引起的法律和经济责任。因此产生的法律和经济责任由磋商响应供应商承担。</w:t>
      </w:r>
    </w:p>
    <w:p>
      <w:pPr>
        <w:pStyle w:val="18"/>
        <w:keepNext w:val="0"/>
        <w:keepLines w:val="0"/>
        <w:pageBreakBefore w:val="0"/>
        <w:widowControl w:val="0"/>
        <w:numPr>
          <w:ilvl w:val="0"/>
          <w:numId w:val="0"/>
        </w:numPr>
        <w:tabs>
          <w:tab w:val="left" w:pos="59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pacing w:val="-6"/>
          <w:sz w:val="24"/>
          <w:highlight w:val="none"/>
          <w:lang w:val="en-US" w:eastAsia="zh-CN"/>
        </w:rPr>
        <w:t>5.2</w:t>
      </w:r>
      <w:r>
        <w:rPr>
          <w:spacing w:val="-6"/>
          <w:sz w:val="24"/>
          <w:highlight w:val="none"/>
        </w:rPr>
        <w:t>如响应供应商不拥有相应的知识产权，则在报价中必须包括合法获取该知识产权的相关费用。</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exact"/>
        <w:ind w:left="0" w:leftChars="0" w:right="0" w:rightChars="0" w:firstLine="0" w:firstLineChars="0"/>
        <w:jc w:val="center"/>
        <w:textAlignment w:val="auto"/>
        <w:rPr>
          <w:rFonts w:hint="eastAsia" w:cs="宋体"/>
          <w:b/>
          <w:sz w:val="36"/>
          <w:szCs w:val="22"/>
          <w:highlight w:val="none"/>
          <w:lang w:val="en-US" w:eastAsia="en-US" w:bidi="ar-SA"/>
        </w:rPr>
      </w:pPr>
      <w:r>
        <w:rPr>
          <w:rFonts w:hint="eastAsia" w:cs="宋体"/>
          <w:b/>
          <w:sz w:val="36"/>
          <w:szCs w:val="22"/>
          <w:highlight w:val="none"/>
          <w:lang w:val="en-US" w:eastAsia="en-US" w:bidi="ar-SA"/>
        </w:rPr>
        <w:t>二、磋商文件</w:t>
      </w:r>
    </w:p>
    <w:p>
      <w:pPr>
        <w:pStyle w:val="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w w:val="95"/>
          <w:highlight w:val="none"/>
        </w:rPr>
        <w:t>6.磋商文件的组成</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6.1</w:t>
      </w:r>
      <w:r>
        <w:rPr>
          <w:spacing w:val="-5"/>
          <w:highlight w:val="none"/>
        </w:rPr>
        <w:t xml:space="preserve"> 磋商文件用以阐明所需货物及服务、磋商程序和合同格式及条款。磋商文件由下述部分组成：</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（1）投标函</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（2）磋商响应供应商须知</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w:t>
      </w:r>
      <w:r>
        <w:rPr>
          <w:rFonts w:hint="eastAsia"/>
          <w:highlight w:val="none"/>
          <w:lang w:val="en-US" w:eastAsia="zh-CN"/>
        </w:rPr>
        <w:t>3</w:t>
      </w:r>
      <w:r>
        <w:rPr>
          <w:highlight w:val="none"/>
        </w:rPr>
        <w:t>）磋商响应供应商须知正文部分</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（4）采购内容及要求</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（5）政府采购合同</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（6）磋商响应文件格式</w:t>
      </w:r>
    </w:p>
    <w:p>
      <w:pPr>
        <w:pStyle w:val="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w w:val="95"/>
          <w:highlight w:val="none"/>
        </w:rPr>
        <w:t>7.磋商文件的澄清与修改</w:t>
      </w:r>
    </w:p>
    <w:p>
      <w:pPr>
        <w:pStyle w:val="18"/>
        <w:keepNext w:val="0"/>
        <w:keepLines w:val="0"/>
        <w:pageBreakBefore w:val="0"/>
        <w:widowControl w:val="0"/>
        <w:numPr>
          <w:ilvl w:val="0"/>
          <w:numId w:val="0"/>
        </w:numPr>
        <w:tabs>
          <w:tab w:val="left" w:pos="598"/>
        </w:tabs>
        <w:kinsoku/>
        <w:wordWrap/>
        <w:overflowPunct/>
        <w:topLinePunct w:val="0"/>
        <w:autoSpaceDE w:val="0"/>
        <w:autoSpaceDN w:val="0"/>
        <w:bidi w:val="0"/>
        <w:adjustRightInd/>
        <w:snapToGrid/>
        <w:spacing w:before="0" w:after="0" w:line="400" w:lineRule="exact"/>
        <w:ind w:leftChars="0" w:right="0" w:rightChars="0"/>
        <w:jc w:val="both"/>
        <w:textAlignment w:val="auto"/>
        <w:rPr>
          <w:highlight w:val="none"/>
        </w:rPr>
      </w:pPr>
      <w:r>
        <w:rPr>
          <w:rFonts w:hint="eastAsia"/>
          <w:sz w:val="24"/>
          <w:highlight w:val="none"/>
          <w:lang w:val="en-US" w:eastAsia="zh-CN"/>
        </w:rPr>
        <w:t>7.1</w:t>
      </w:r>
      <w:r>
        <w:rPr>
          <w:sz w:val="24"/>
          <w:highlight w:val="none"/>
        </w:rPr>
        <w:t>至磋商响应截止时间5日（如至原定截止时间不足5日，则需延长截止时间</w:t>
      </w:r>
      <w:r>
        <w:rPr>
          <w:spacing w:val="-46"/>
          <w:sz w:val="24"/>
          <w:highlight w:val="none"/>
        </w:rPr>
        <w:t>）</w:t>
      </w:r>
      <w:r>
        <w:rPr>
          <w:spacing w:val="-7"/>
          <w:sz w:val="24"/>
          <w:highlight w:val="none"/>
        </w:rPr>
        <w:t>前，采购代理代理机构可主动或依供应商要求澄清的问题修改磋商文件但应当在原信息发布媒体上发布更正公告，并以书面形式通知所有磋商文件收人，</w:t>
      </w:r>
      <w:r>
        <w:rPr>
          <w:spacing w:val="-9"/>
          <w:sz w:val="24"/>
          <w:highlight w:val="none"/>
        </w:rPr>
        <w:t>供应商在收到该通知后应当立即以传真形式予以确认</w:t>
      </w:r>
      <w:r>
        <w:rPr>
          <w:sz w:val="24"/>
          <w:highlight w:val="none"/>
        </w:rPr>
        <w:t>（</w:t>
      </w:r>
      <w:r>
        <w:rPr>
          <w:spacing w:val="-5"/>
          <w:sz w:val="24"/>
          <w:highlight w:val="none"/>
        </w:rPr>
        <w:t>如属网上采购项目，在采</w:t>
      </w:r>
      <w:r>
        <w:rPr>
          <w:spacing w:val="-7"/>
          <w:sz w:val="24"/>
          <w:highlight w:val="none"/>
        </w:rPr>
        <w:t>购公告原发布媒体及实施网上采购的网站发布更正公告，不再书面答复</w:t>
      </w:r>
      <w:r>
        <w:rPr>
          <w:spacing w:val="-29"/>
          <w:sz w:val="24"/>
          <w:highlight w:val="none"/>
        </w:rPr>
        <w:t>）</w:t>
      </w:r>
      <w:r>
        <w:rPr>
          <w:spacing w:val="-10"/>
          <w:sz w:val="24"/>
          <w:highlight w:val="none"/>
        </w:rPr>
        <w:t>。该修改内容为磋商文件的组成部分，对供应商具有约束力。但本磋商文件第 7.2</w:t>
      </w:r>
      <w:r>
        <w:rPr>
          <w:highlight w:val="none"/>
        </w:rPr>
        <w:t>条规定的推迟响应截止时间情形不受本条约束。</w:t>
      </w:r>
    </w:p>
    <w:p>
      <w:pPr>
        <w:pStyle w:val="18"/>
        <w:keepNext w:val="0"/>
        <w:keepLines w:val="0"/>
        <w:pageBreakBefore w:val="0"/>
        <w:widowControl w:val="0"/>
        <w:numPr>
          <w:ilvl w:val="0"/>
          <w:numId w:val="0"/>
        </w:numPr>
        <w:tabs>
          <w:tab w:val="left" w:pos="598"/>
        </w:tabs>
        <w:kinsoku/>
        <w:wordWrap/>
        <w:overflowPunct/>
        <w:topLinePunct w:val="0"/>
        <w:autoSpaceDE w:val="0"/>
        <w:autoSpaceDN w:val="0"/>
        <w:bidi w:val="0"/>
        <w:adjustRightInd/>
        <w:snapToGrid/>
        <w:spacing w:before="0" w:after="0" w:line="400" w:lineRule="exact"/>
        <w:ind w:leftChars="0" w:right="0" w:rightChars="0"/>
        <w:jc w:val="both"/>
        <w:textAlignment w:val="auto"/>
        <w:rPr>
          <w:highlight w:val="none"/>
        </w:rPr>
      </w:pPr>
      <w:r>
        <w:rPr>
          <w:rFonts w:hint="eastAsia"/>
          <w:sz w:val="24"/>
          <w:highlight w:val="none"/>
          <w:lang w:val="en-US" w:eastAsia="zh-CN"/>
        </w:rPr>
        <w:t>7.2</w:t>
      </w:r>
      <w:r>
        <w:rPr>
          <w:sz w:val="24"/>
          <w:highlight w:val="none"/>
        </w:rPr>
        <w:t>为使供应商在准备响应文件时有合理的时间考虑响应文件的修改，采购</w:t>
      </w:r>
      <w:r>
        <w:rPr>
          <w:highlight w:val="none"/>
        </w:rPr>
        <w:t>代理机构可酌情推迟磋商响应截止时间，但应当至少在截止时间 3 个工作日前</w:t>
      </w:r>
      <w:r>
        <w:rPr>
          <w:spacing w:val="-4"/>
          <w:highlight w:val="none"/>
        </w:rPr>
        <w:t>将变更时间以书面形式通知所有获取磋商文件的供应商，该修改内容为磋商文件</w:t>
      </w:r>
      <w:r>
        <w:rPr>
          <w:spacing w:val="-11"/>
          <w:highlight w:val="none"/>
        </w:rPr>
        <w:t>的组成部分。在此情况下，采购人和供应商受磋商响应截止期制约的所有权利和义务均应延长至新的截止日期。</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exact"/>
        <w:ind w:left="0" w:leftChars="0" w:right="0" w:rightChars="0" w:firstLine="0" w:firstLineChars="0"/>
        <w:jc w:val="center"/>
        <w:textAlignment w:val="auto"/>
        <w:rPr>
          <w:rFonts w:hint="eastAsia" w:cs="宋体"/>
          <w:b/>
          <w:sz w:val="36"/>
          <w:szCs w:val="22"/>
          <w:highlight w:val="none"/>
          <w:lang w:val="en-US" w:eastAsia="en-US" w:bidi="ar-SA"/>
        </w:rPr>
      </w:pPr>
      <w:r>
        <w:rPr>
          <w:rFonts w:hint="eastAsia" w:cs="宋体"/>
          <w:b/>
          <w:sz w:val="36"/>
          <w:szCs w:val="22"/>
          <w:highlight w:val="none"/>
          <w:lang w:val="en-US" w:eastAsia="en-US" w:bidi="ar-SA"/>
        </w:rPr>
        <w:t>三、响应文件的编写</w:t>
      </w: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b/>
          <w:sz w:val="24"/>
          <w:highlight w:val="none"/>
        </w:rPr>
      </w:pPr>
      <w:r>
        <w:rPr>
          <w:b/>
          <w:w w:val="95"/>
          <w:sz w:val="24"/>
          <w:highlight w:val="none"/>
        </w:rPr>
        <w:t>8.要求</w:t>
      </w:r>
    </w:p>
    <w:p>
      <w:pPr>
        <w:pStyle w:val="18"/>
        <w:keepNext w:val="0"/>
        <w:keepLines w:val="0"/>
        <w:pageBreakBefore w:val="0"/>
        <w:widowControl w:val="0"/>
        <w:numPr>
          <w:ilvl w:val="0"/>
          <w:numId w:val="0"/>
        </w:numPr>
        <w:tabs>
          <w:tab w:val="left" w:pos="598"/>
        </w:tabs>
        <w:kinsoku/>
        <w:wordWrap/>
        <w:overflowPunct/>
        <w:topLinePunct w:val="0"/>
        <w:autoSpaceDE w:val="0"/>
        <w:autoSpaceDN w:val="0"/>
        <w:bidi w:val="0"/>
        <w:adjustRightInd/>
        <w:snapToGrid/>
        <w:spacing w:before="0" w:after="0" w:line="400" w:lineRule="exact"/>
        <w:ind w:leftChars="0" w:right="0" w:rightChars="0" w:firstLine="230" w:firstLineChars="100"/>
        <w:jc w:val="both"/>
        <w:textAlignment w:val="auto"/>
        <w:rPr>
          <w:sz w:val="24"/>
          <w:highlight w:val="none"/>
        </w:rPr>
      </w:pPr>
      <w:r>
        <w:rPr>
          <w:rFonts w:hint="eastAsia"/>
          <w:spacing w:val="-5"/>
          <w:sz w:val="24"/>
          <w:highlight w:val="none"/>
          <w:lang w:val="en-US" w:eastAsia="zh-CN"/>
        </w:rPr>
        <w:t>8.1</w:t>
      </w:r>
      <w:r>
        <w:rPr>
          <w:spacing w:val="-5"/>
          <w:sz w:val="24"/>
          <w:highlight w:val="none"/>
        </w:rPr>
        <w:t>磋商响应供应商应仔细阅读磋商文件的所有内容，按磋商文件的要求提供响</w:t>
      </w:r>
      <w:r>
        <w:rPr>
          <w:spacing w:val="-10"/>
          <w:sz w:val="24"/>
          <w:highlight w:val="none"/>
        </w:rPr>
        <w:t>应文件，响应文件应对磋商文件的要求作出实质性响应，并保证所提供的部资料的真实性，否则其响应文件可被作响应无效处理。</w:t>
      </w:r>
    </w:p>
    <w:p>
      <w:pPr>
        <w:pStyle w:val="18"/>
        <w:keepNext w:val="0"/>
        <w:keepLines w:val="0"/>
        <w:pageBreakBefore w:val="0"/>
        <w:widowControl w:val="0"/>
        <w:numPr>
          <w:ilvl w:val="0"/>
          <w:numId w:val="0"/>
        </w:numPr>
        <w:tabs>
          <w:tab w:val="left" w:pos="598"/>
        </w:tabs>
        <w:kinsoku/>
        <w:wordWrap/>
        <w:overflowPunct/>
        <w:topLinePunct w:val="0"/>
        <w:autoSpaceDE w:val="0"/>
        <w:autoSpaceDN w:val="0"/>
        <w:bidi w:val="0"/>
        <w:adjustRightInd/>
        <w:snapToGrid/>
        <w:spacing w:before="0" w:after="0" w:line="400" w:lineRule="exact"/>
        <w:ind w:leftChars="0" w:right="0" w:rightChars="0" w:firstLine="240" w:firstLineChars="100"/>
        <w:jc w:val="both"/>
        <w:textAlignment w:val="auto"/>
        <w:rPr>
          <w:sz w:val="24"/>
          <w:highlight w:val="none"/>
        </w:rPr>
      </w:pPr>
      <w:r>
        <w:rPr>
          <w:rFonts w:hint="eastAsia"/>
          <w:sz w:val="24"/>
          <w:highlight w:val="none"/>
          <w:lang w:val="en-US" w:eastAsia="zh-CN"/>
        </w:rPr>
        <w:t>8.2</w:t>
      </w:r>
      <w:r>
        <w:rPr>
          <w:sz w:val="24"/>
          <w:highlight w:val="none"/>
        </w:rPr>
        <w:t>除非有另外的规定，磋商响应供应商应按被邀请参加响应的合同包进行报价，同时，应对所报价合同包下的所有品目号进行报价。采购人不接受有任何可选择性的报价，每一种货物、服务、工程只能有一个报价。</w:t>
      </w:r>
    </w:p>
    <w:p>
      <w:pPr>
        <w:pStyle w:val="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w w:val="95"/>
          <w:highlight w:val="none"/>
        </w:rPr>
        <w:t>9.磋商响应文件语言及报价要求</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240" w:firstLineChars="100"/>
        <w:jc w:val="both"/>
        <w:textAlignment w:val="auto"/>
        <w:rPr>
          <w:highlight w:val="none"/>
        </w:rPr>
      </w:pPr>
      <w:r>
        <w:rPr>
          <w:highlight w:val="none"/>
        </w:rPr>
        <w:t>9.1 磋商响应文件应用中文书写。响应文件中所附或所引用的原件不是中文</w:t>
      </w:r>
      <w:r>
        <w:rPr>
          <w:spacing w:val="-10"/>
          <w:highlight w:val="none"/>
        </w:rPr>
        <w:t>时，应附中文译文。各种计量单位及符号应采用国际上统一使用的公制计量单位和符号。</w:t>
      </w:r>
    </w:p>
    <w:p>
      <w:pPr>
        <w:pStyle w:val="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w w:val="95"/>
          <w:highlight w:val="none"/>
        </w:rPr>
        <w:t>10.磋商响应文件的组成</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10.1 磋商响应文件应包括下列部分：</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(1)磋商响应声明函</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(2)磋商报价一览表</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(3)磋商分项报价表</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(4)商务条款偏离表</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(5)技术规格偏离表</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(6)资格的声明函</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(7)法定代表人授权书</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(8)资质声明函</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(9)售后服务承诺及方案</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(10)中小企业声明函（如有）</w:t>
      </w:r>
    </w:p>
    <w:p>
      <w:pPr>
        <w:pStyle w:val="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w w:val="95"/>
          <w:highlight w:val="none"/>
        </w:rPr>
        <w:t>11.磋商响应有效期</w:t>
      </w:r>
    </w:p>
    <w:p>
      <w:pPr>
        <w:pStyle w:val="18"/>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11.1</w:t>
      </w:r>
      <w:r>
        <w:rPr>
          <w:sz w:val="24"/>
          <w:highlight w:val="none"/>
        </w:rPr>
        <w:t>响应文件从磋商响应供应商须知前附表 1 所规定的磋商响应截止期之日开始生效，在磋商响应供应商须知前附表所规定的期限内保持有效。有效期不足将导致其响应文件被拒绝。</w:t>
      </w:r>
    </w:p>
    <w:p>
      <w:pPr>
        <w:pStyle w:val="18"/>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11.2</w:t>
      </w:r>
      <w:r>
        <w:rPr>
          <w:sz w:val="24"/>
          <w:highlight w:val="none"/>
        </w:rPr>
        <w:t>特殊情况下采购代理机构可于磋商有效期满之前书面要求磋商响应供应商</w:t>
      </w:r>
      <w:r>
        <w:rPr>
          <w:spacing w:val="-10"/>
          <w:sz w:val="24"/>
          <w:highlight w:val="none"/>
        </w:rPr>
        <w:t>同意延长有效期，磋商响应供应商应在采购代理机构规定的期限内以书面形式予以答复。磋商响应供应商可以拒绝上述要求而其磋商保证金可按规定予以退还。</w:t>
      </w:r>
      <w:r>
        <w:rPr>
          <w:spacing w:val="-14"/>
          <w:sz w:val="24"/>
          <w:highlight w:val="none"/>
        </w:rPr>
        <w:t>磋商响应供应商答复不明确或者逾期未答复的，均视为拒绝上述要求。对于接受</w:t>
      </w:r>
      <w:r>
        <w:rPr>
          <w:spacing w:val="-16"/>
          <w:sz w:val="24"/>
          <w:highlight w:val="none"/>
        </w:rPr>
        <w:t>该要求的磋商响应供应商，既不要求也不允许其修改响应文件，但将要求其相应</w:t>
      </w:r>
      <w:r>
        <w:rPr>
          <w:spacing w:val="-17"/>
          <w:sz w:val="24"/>
          <w:highlight w:val="none"/>
        </w:rPr>
        <w:t>延长磋商保证金有效期，有关退还和不予退还磋商保证金的规定在报价有效期延长期内继续有效。</w:t>
      </w:r>
    </w:p>
    <w:p>
      <w:pPr>
        <w:pStyle w:val="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w w:val="95"/>
          <w:highlight w:val="none"/>
        </w:rPr>
        <w:t>12.磋商保证金</w:t>
      </w:r>
    </w:p>
    <w:p>
      <w:pPr>
        <w:pStyle w:val="18"/>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12.1</w:t>
      </w:r>
      <w:r>
        <w:rPr>
          <w:sz w:val="24"/>
          <w:highlight w:val="none"/>
        </w:rPr>
        <w:t>磋商保证金为响应文件的组成部分之一。</w:t>
      </w:r>
    </w:p>
    <w:p>
      <w:pPr>
        <w:pStyle w:val="18"/>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12.2</w:t>
      </w:r>
      <w:r>
        <w:rPr>
          <w:sz w:val="24"/>
          <w:highlight w:val="none"/>
        </w:rPr>
        <w:t>磋商响应供应商应在提交响应文件之前向采购代理机构指定的政府采购保证金专户缴交磋商响应供应商须知前附表要求的磋商保证金。联合体参加磋商的，可以由联合体中的一方或者共同提交磋商保证金，以一方名义提交磋商保证金的，对联合体各方均具有约束力。</w:t>
      </w:r>
    </w:p>
    <w:p>
      <w:pPr>
        <w:pStyle w:val="18"/>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12.3</w:t>
      </w:r>
      <w:r>
        <w:rPr>
          <w:sz w:val="24"/>
          <w:highlight w:val="none"/>
        </w:rPr>
        <w:t>磋商保证金用于保护本次磋商活动免受磋商响应供应商的行为而引起的风险。</w:t>
      </w:r>
    </w:p>
    <w:p>
      <w:pPr>
        <w:pStyle w:val="18"/>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12.4</w:t>
      </w:r>
      <w:r>
        <w:rPr>
          <w:sz w:val="24"/>
          <w:highlight w:val="none"/>
        </w:rPr>
        <w:t>磋商保证金交纳方式及其它：</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spacing w:val="-6"/>
          <w:highlight w:val="none"/>
        </w:rPr>
        <w:t>①磋商保证金以保证金应当采用支票、汇票、本票、网上银行支付等非现金形式交纳：且应在磋商响应截止时间前到账，否则视为未提交磋商保证金；磋商 保</w:t>
      </w:r>
      <w:r>
        <w:rPr>
          <w:spacing w:val="-10"/>
          <w:highlight w:val="none"/>
        </w:rPr>
        <w:t>证金到账以到截止时间时保证金系统显示为标准，未显示到账的一律视为未提交磋商保证金）。</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②若项目存在分包的，则磋商保证金应按不同的合同包号分别提交。</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spacing w:val="-6"/>
          <w:highlight w:val="none"/>
        </w:rPr>
        <w:t>③磋商响应供应商为中小企业的，其磋商保证金减半交纳。减半交纳磋商保证金的磋商响应供应商未按照磋商文件格式要求在响应文件中提供《中小企业声明函》的，其磋商响应作无效响应处理。</w:t>
      </w:r>
    </w:p>
    <w:p>
      <w:pPr>
        <w:pStyle w:val="18"/>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12.5</w:t>
      </w:r>
      <w:r>
        <w:rPr>
          <w:sz w:val="24"/>
          <w:highlight w:val="none"/>
        </w:rPr>
        <w:t>未按要求提交磋商保证金的磋商响应，将被视为无效响应。</w:t>
      </w:r>
    </w:p>
    <w:p>
      <w:pPr>
        <w:pStyle w:val="18"/>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12.6</w:t>
      </w:r>
      <w:r>
        <w:rPr>
          <w:sz w:val="24"/>
          <w:highlight w:val="none"/>
        </w:rPr>
        <w:t>采购代理机构将在成交通知书发出之日起 5 个工作日内予以原额无息退还未成交供应商的磋商保证金。</w:t>
      </w:r>
    </w:p>
    <w:p>
      <w:pPr>
        <w:pStyle w:val="18"/>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12.7</w:t>
      </w:r>
      <w:r>
        <w:rPr>
          <w:sz w:val="24"/>
          <w:highlight w:val="none"/>
        </w:rPr>
        <w:t>在成交供应商支付所有采购代理服务费并签订合同后 5</w:t>
      </w:r>
      <w:r>
        <w:rPr>
          <w:spacing w:val="-11"/>
          <w:sz w:val="24"/>
          <w:highlight w:val="none"/>
        </w:rPr>
        <w:t xml:space="preserve"> 个工作日内，采购代理机构对成交供应商的磋商保证金予以原额无息退还。</w:t>
      </w:r>
    </w:p>
    <w:p>
      <w:pPr>
        <w:pStyle w:val="18"/>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12.8</w:t>
      </w:r>
      <w:r>
        <w:rPr>
          <w:sz w:val="24"/>
          <w:highlight w:val="none"/>
        </w:rPr>
        <w:t>发生以下情况之一的，磋商保证金将不予退还，由采购代理机构上缴财政部门：</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（1）磋商响应供应商在提交最后报价后，撤回磋商响应；</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（2）除因不可抗力或磋商文件认可的情形外，成交供应商未能做到按本须知规定签订合同的；</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（3） 以他人名义参与磋商响应或者以其他方式弄虚作假，骗取成交的；</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（4）磋商响应供应商在响应文件中提供虚假材料的；</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（5）在禁止参加政府采购活动的处罚期内，仍参加政府采购活动的；</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（6）以不正当手段诋毁、损失的，相关责任人还应当承担赔偿责任。 排挤其他供应商的；</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（7）因本项目政府采购过程中的违法行为，受到行政处罚的；</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（8）与采购人、其他供应商或者采购代理机构恶意串通的；</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（9）法律、法规、规章及本磋商文件中规定的其他没收磋商保证金的情形。上述不予退还磋商保证金的情形给采购单位造成</w:t>
      </w:r>
    </w:p>
    <w:p>
      <w:pPr>
        <w:pStyle w:val="18"/>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12.9</w:t>
      </w:r>
      <w:r>
        <w:rPr>
          <w:sz w:val="24"/>
          <w:highlight w:val="none"/>
        </w:rPr>
        <w:t>保证金缴纳流程如下：</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1.线上报名获取缴纳随机码</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fldChar w:fldCharType="begin"/>
      </w:r>
      <w:r>
        <w:rPr>
          <w:highlight w:val="none"/>
        </w:rPr>
        <w:instrText xml:space="preserve"> HYPERLINK "http://www.trizy.cn/" \h </w:instrText>
      </w:r>
      <w:r>
        <w:rPr>
          <w:highlight w:val="none"/>
        </w:rPr>
        <w:fldChar w:fldCharType="separate"/>
      </w:r>
      <w:r>
        <w:rPr>
          <w:highlight w:val="none"/>
        </w:rPr>
        <w:t>·登录公共资源电子交易系统（</w:t>
      </w:r>
      <w:r>
        <w:rPr>
          <w:rFonts w:hint="eastAsia"/>
          <w:b w:val="0"/>
          <w:bCs w:val="0"/>
          <w:sz w:val="24"/>
          <w:lang w:val="en-US" w:eastAsia="zh-CN"/>
        </w:rPr>
        <w:t>jyzx.trs.gov.cn</w:t>
      </w:r>
      <w:r>
        <w:rPr>
          <w:highlight w:val="none"/>
        </w:rPr>
        <w:fldChar w:fldCharType="end"/>
      </w:r>
      <w:r>
        <w:rPr>
          <w:highlight w:val="none"/>
        </w:rPr>
        <w:t>）</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spacing w:val="-32"/>
          <w:highlight w:val="none"/>
        </w:rPr>
        <w:t>·</w:t>
      </w:r>
      <w:r>
        <w:rPr>
          <w:spacing w:val="-15"/>
          <w:highlight w:val="none"/>
        </w:rPr>
        <w:t>进入【业务管理】-【填写投标信息】 搜索或直接找到拟报名项目，点【操作】按钮，进入该项目报名页面。</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hanging="120"/>
        <w:jc w:val="both"/>
        <w:textAlignment w:val="auto"/>
        <w:rPr>
          <w:highlight w:val="none"/>
        </w:rPr>
      </w:pPr>
      <w:r>
        <w:rPr>
          <w:highlight w:val="none"/>
        </w:rPr>
        <w:t>·进入报名页面 填写完报名信息后（带*号为必填项），点左上角【保存修改】按钮。</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hanging="120"/>
        <w:jc w:val="both"/>
        <w:textAlignment w:val="auto"/>
        <w:rPr>
          <w:sz w:val="24"/>
          <w:highlight w:val="none"/>
        </w:rPr>
      </w:pPr>
      <w:r>
        <w:rPr>
          <w:highlight w:val="none"/>
        </w:rPr>
        <w:t>·</w:t>
      </w:r>
      <w:r>
        <w:rPr>
          <w:spacing w:val="-5"/>
          <w:sz w:val="24"/>
          <w:highlight w:val="none"/>
        </w:rPr>
        <w:t>报名成功后在该页面会生成【保证金缴纳随机码】，务必记录留存备用。该随机码一旦生成，即使修改报名信息，也不可更改。</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2.缴纳保证金</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spacing w:val="-46"/>
          <w:highlight w:val="none"/>
        </w:rPr>
        <w:t>·</w:t>
      </w:r>
      <w:r>
        <w:rPr>
          <w:spacing w:val="-2"/>
          <w:highlight w:val="none"/>
        </w:rPr>
        <w:t>按照招标文件要求将投标保证金缴纳到交易中心保证金账户，打款账户必须与</w:t>
      </w:r>
      <w:r>
        <w:rPr>
          <w:spacing w:val="-4"/>
          <w:highlight w:val="none"/>
        </w:rPr>
        <w:t>交易系统中登记的账户信息一致</w:t>
      </w:r>
      <w:r>
        <w:rPr>
          <w:spacing w:val="-3"/>
          <w:highlight w:val="none"/>
        </w:rPr>
        <w:t>（</w:t>
      </w:r>
      <w:r>
        <w:rPr>
          <w:highlight w:val="none"/>
        </w:rPr>
        <w:t>要求从登记的基本户打款</w:t>
      </w:r>
      <w:r>
        <w:rPr>
          <w:spacing w:val="-22"/>
          <w:highlight w:val="none"/>
        </w:rPr>
        <w:t>），</w:t>
      </w:r>
      <w:r>
        <w:rPr>
          <w:spacing w:val="-5"/>
          <w:highlight w:val="none"/>
        </w:rPr>
        <w:t>即与【诚信库管理】-【基本信息】中的 基本户开户银行、基本户开户账号、基本账户名称保持一致。</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hanging="120"/>
        <w:jc w:val="both"/>
        <w:textAlignment w:val="auto"/>
        <w:rPr>
          <w:highlight w:val="none"/>
        </w:rPr>
      </w:pPr>
      <w:r>
        <w:rPr>
          <w:spacing w:val="-17"/>
          <w:highlight w:val="none"/>
        </w:rPr>
        <w:t>·</w:t>
      </w:r>
      <w:r>
        <w:rPr>
          <w:spacing w:val="-2"/>
          <w:highlight w:val="none"/>
        </w:rPr>
        <w:t>不论何种渠道转款</w:t>
      </w:r>
      <w:r>
        <w:rPr>
          <w:spacing w:val="-3"/>
          <w:highlight w:val="none"/>
        </w:rPr>
        <w:t>（</w:t>
      </w:r>
      <w:r>
        <w:rPr>
          <w:highlight w:val="none"/>
        </w:rPr>
        <w:t>不可用现金转账</w:t>
      </w:r>
      <w:r>
        <w:rPr>
          <w:spacing w:val="-15"/>
          <w:highlight w:val="none"/>
        </w:rPr>
        <w:t>），</w:t>
      </w:r>
      <w:r>
        <w:rPr>
          <w:spacing w:val="-4"/>
          <w:highlight w:val="none"/>
        </w:rPr>
        <w:t>转款备注</w:t>
      </w:r>
      <w:r>
        <w:rPr>
          <w:spacing w:val="-3"/>
          <w:highlight w:val="none"/>
        </w:rPr>
        <w:t>（</w:t>
      </w:r>
      <w:r>
        <w:rPr>
          <w:highlight w:val="none"/>
        </w:rPr>
        <w:t>用途</w:t>
      </w:r>
      <w:r>
        <w:rPr>
          <w:spacing w:val="-15"/>
          <w:highlight w:val="none"/>
        </w:rPr>
        <w:t>）</w:t>
      </w:r>
      <w:r>
        <w:rPr>
          <w:highlight w:val="none"/>
        </w:rPr>
        <w:t>栏唯一必填报名时生成获取的【保证金缴纳随机码】；</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spacing w:val="-24"/>
          <w:highlight w:val="none"/>
        </w:rPr>
        <w:t>·</w:t>
      </w:r>
      <w:r>
        <w:rPr>
          <w:spacing w:val="-4"/>
          <w:highlight w:val="none"/>
        </w:rPr>
        <w:t>打款账户信息与中心注册不一致、备注栏为空、书写其他</w:t>
      </w:r>
      <w:r>
        <w:rPr>
          <w:highlight w:val="none"/>
        </w:rPr>
        <w:t>（XX 项目保证金之类）、随机码填写错误，均会造成保证金无法匹配进交易系统。</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3.打印回执</w:t>
      </w:r>
    </w:p>
    <w:p>
      <w:pPr>
        <w:pStyle w:val="18"/>
        <w:keepNext w:val="0"/>
        <w:keepLines w:val="0"/>
        <w:pageBreakBefore w:val="0"/>
        <w:widowControl w:val="0"/>
        <w:numPr>
          <w:ilvl w:val="0"/>
          <w:numId w:val="0"/>
        </w:numPr>
        <w:tabs>
          <w:tab w:val="left" w:pos="461"/>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highlight w:val="none"/>
        </w:rPr>
        <w:t>·</w:t>
      </w:r>
      <w:r>
        <w:rPr>
          <w:spacing w:val="-9"/>
          <w:sz w:val="24"/>
          <w:highlight w:val="none"/>
        </w:rPr>
        <w:t>进入【业务管理】-【查询投标保证金缴纳情况】 搜索或直接找到项目，查看【缴纳状态】，如支付成功，将显示“已缴纳保证金” 。</w:t>
      </w:r>
    </w:p>
    <w:p>
      <w:pPr>
        <w:pStyle w:val="18"/>
        <w:keepNext w:val="0"/>
        <w:keepLines w:val="0"/>
        <w:pageBreakBefore w:val="0"/>
        <w:widowControl w:val="0"/>
        <w:numPr>
          <w:ilvl w:val="0"/>
          <w:numId w:val="0"/>
        </w:numPr>
        <w:tabs>
          <w:tab w:val="left" w:pos="478"/>
        </w:tabs>
        <w:kinsoku/>
        <w:wordWrap/>
        <w:overflowPunct/>
        <w:topLinePunct w:val="0"/>
        <w:autoSpaceDE w:val="0"/>
        <w:autoSpaceDN w:val="0"/>
        <w:bidi w:val="0"/>
        <w:adjustRightInd/>
        <w:snapToGrid/>
        <w:spacing w:before="0" w:after="0" w:line="400" w:lineRule="exact"/>
        <w:ind w:left="-360" w:leftChars="0" w:right="0" w:rightChars="0" w:firstLine="440" w:firstLineChars="200"/>
        <w:jc w:val="both"/>
        <w:textAlignment w:val="auto"/>
        <w:rPr>
          <w:sz w:val="24"/>
          <w:highlight w:val="none"/>
        </w:rPr>
      </w:pPr>
      <w:r>
        <w:rPr>
          <w:highlight w:val="none"/>
        </w:rPr>
        <w:t>·</w:t>
      </w:r>
      <w:r>
        <w:rPr>
          <w:sz w:val="24"/>
          <w:highlight w:val="none"/>
        </w:rPr>
        <w:t>点【打印保证金回执单】按钮，查看确认到账回执信息，打印留存备用。</w:t>
      </w:r>
    </w:p>
    <w:p>
      <w:pPr>
        <w:pStyle w:val="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w w:val="95"/>
          <w:highlight w:val="none"/>
        </w:rPr>
        <w:t>13.磋商响应文件的格式</w:t>
      </w:r>
    </w:p>
    <w:p>
      <w:pPr>
        <w:pStyle w:val="18"/>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13.1</w:t>
      </w:r>
      <w:r>
        <w:rPr>
          <w:sz w:val="24"/>
          <w:highlight w:val="none"/>
        </w:rPr>
        <w:t>投标人应将投标文件用密封袋密封，正本和副本用一个密封袋包装，投标文件密封袋</w:t>
      </w:r>
      <w:r>
        <w:rPr>
          <w:spacing w:val="-8"/>
          <w:sz w:val="24"/>
          <w:highlight w:val="none"/>
        </w:rPr>
        <w:t>及正文封面均应注明“正本”“副本”。正副本信封及投标文件封面均应写明项</w:t>
      </w:r>
      <w:r>
        <w:rPr>
          <w:spacing w:val="-12"/>
          <w:sz w:val="24"/>
          <w:highlight w:val="none"/>
        </w:rPr>
        <w:t>目名称、招标编号、</w:t>
      </w:r>
      <w:r>
        <w:rPr>
          <w:rFonts w:hint="eastAsia"/>
          <w:spacing w:val="-12"/>
          <w:sz w:val="24"/>
          <w:highlight w:val="none"/>
          <w:lang w:val="en-US" w:eastAsia="zh-CN"/>
        </w:rPr>
        <w:t>供应商</w:t>
      </w:r>
      <w:r>
        <w:rPr>
          <w:spacing w:val="-12"/>
          <w:sz w:val="24"/>
          <w:highlight w:val="none"/>
        </w:rPr>
        <w:t>名称</w:t>
      </w:r>
      <w:r>
        <w:rPr>
          <w:rFonts w:hint="eastAsia"/>
          <w:spacing w:val="-12"/>
          <w:sz w:val="24"/>
          <w:highlight w:val="none"/>
          <w:lang w:eastAsia="zh-CN"/>
        </w:rPr>
        <w:t>、</w:t>
      </w:r>
      <w:r>
        <w:rPr>
          <w:rFonts w:hint="eastAsia"/>
          <w:spacing w:val="-12"/>
          <w:sz w:val="24"/>
          <w:highlight w:val="none"/>
          <w:lang w:val="en-US" w:eastAsia="zh-CN"/>
        </w:rPr>
        <w:t>法定代表人</w:t>
      </w:r>
      <w:r>
        <w:rPr>
          <w:spacing w:val="-12"/>
          <w:sz w:val="24"/>
          <w:highlight w:val="none"/>
        </w:rPr>
        <w:t>、地址、联系人及联系人电话，并加盖投标单位公章和法定代表人印章。</w:t>
      </w:r>
    </w:p>
    <w:p>
      <w:pPr>
        <w:pStyle w:val="18"/>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13.2</w:t>
      </w:r>
      <w:r>
        <w:rPr>
          <w:sz w:val="24"/>
          <w:highlight w:val="none"/>
        </w:rPr>
        <w:t>响应文件应由磋商响应供应商的法定代表人或其授权代表签字并加盖公章，如由后者签字，应提供“法定代表人授权委托书”。</w:t>
      </w:r>
    </w:p>
    <w:p>
      <w:pPr>
        <w:pStyle w:val="18"/>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13.3</w:t>
      </w:r>
      <w:r>
        <w:rPr>
          <w:sz w:val="24"/>
          <w:highlight w:val="none"/>
        </w:rPr>
        <w:t>除非另有规定或许可，磋商响应使用货币为人民币。</w:t>
      </w:r>
    </w:p>
    <w:p>
      <w:pPr>
        <w:pStyle w:val="18"/>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13.4</w:t>
      </w:r>
      <w:r>
        <w:rPr>
          <w:sz w:val="24"/>
          <w:highlight w:val="none"/>
        </w:rPr>
        <w:t>磋商响应供应商应提交证明其拟供货物、服务、工程符合磋商文件要求的</w:t>
      </w:r>
      <w:r>
        <w:rPr>
          <w:spacing w:val="-7"/>
          <w:sz w:val="24"/>
          <w:highlight w:val="none"/>
        </w:rPr>
        <w:t>技术响应文件，该文件可以是文字资料、图纸和数据，并须提供货物、服务、工程主要技术性能的详细描述。</w:t>
      </w:r>
    </w:p>
    <w:p>
      <w:pPr>
        <w:pStyle w:val="18"/>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13.5</w:t>
      </w:r>
      <w:r>
        <w:rPr>
          <w:sz w:val="24"/>
          <w:highlight w:val="none"/>
        </w:rPr>
        <w:t>磋商文件的正本和全部副本均应使用不能擦去的墨料或墨水打印、书写或复印，并由法定代表人或其授权代表签署，盖磋商响应供应商公章。</w:t>
      </w:r>
    </w:p>
    <w:p>
      <w:pPr>
        <w:pStyle w:val="18"/>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13.6</w:t>
      </w:r>
      <w:r>
        <w:rPr>
          <w:sz w:val="24"/>
          <w:highlight w:val="none"/>
        </w:rPr>
        <w:t>全套响应文件应无涂改和行间插字，除非这些改动是根据采购代理机构的</w:t>
      </w:r>
      <w:r>
        <w:rPr>
          <w:spacing w:val="-9"/>
          <w:sz w:val="24"/>
          <w:highlight w:val="none"/>
        </w:rPr>
        <w:t>指示进行的，或者是为改正磋商响应供应商造成的必须修改的错误而进行的。有改动时，修改处应由法定代表人或授权代表签字证明或加盖磋商响应供应商公章。</w:t>
      </w:r>
    </w:p>
    <w:p>
      <w:pPr>
        <w:pStyle w:val="18"/>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13.7</w:t>
      </w:r>
      <w:r>
        <w:rPr>
          <w:sz w:val="24"/>
          <w:highlight w:val="none"/>
        </w:rPr>
        <w:t>未按本须知规定的格式填写响应文件、响应文件字迹模糊不清的，其磋商响应将被拒绝。</w:t>
      </w:r>
    </w:p>
    <w:p>
      <w:pPr>
        <w:pStyle w:val="18"/>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13.8</w:t>
      </w:r>
      <w:r>
        <w:rPr>
          <w:sz w:val="24"/>
          <w:highlight w:val="none"/>
        </w:rPr>
        <w:t>所有资格证明文件复印件须加盖磋商响应供应商公章。</w:t>
      </w:r>
    </w:p>
    <w:p>
      <w:pPr>
        <w:pStyle w:val="18"/>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13.9</w:t>
      </w:r>
      <w:r>
        <w:rPr>
          <w:sz w:val="24"/>
          <w:highlight w:val="none"/>
        </w:rPr>
        <w:t>磋商响应供应商应将上述文件按顺序装订成册、打印页码，并编列响应文</w:t>
      </w:r>
      <w:r>
        <w:rPr>
          <w:spacing w:val="-10"/>
          <w:sz w:val="24"/>
          <w:highlight w:val="none"/>
        </w:rPr>
        <w:t>件目录、资料清单，由于装订不规范或编排顺序混乱而导致响应文件被误读或漏读，该磋商响应可能被视为无效响应或承担不利的评审结果。</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exact"/>
        <w:ind w:left="0" w:leftChars="0" w:right="0" w:rightChars="0" w:firstLine="0" w:firstLineChars="0"/>
        <w:jc w:val="center"/>
        <w:textAlignment w:val="auto"/>
        <w:rPr>
          <w:rFonts w:hint="eastAsia" w:cs="宋体"/>
          <w:b/>
          <w:sz w:val="36"/>
          <w:szCs w:val="22"/>
          <w:highlight w:val="none"/>
          <w:lang w:val="en-US" w:eastAsia="en-US" w:bidi="ar-SA"/>
        </w:rPr>
      </w:pPr>
      <w:r>
        <w:rPr>
          <w:rFonts w:hint="eastAsia" w:cs="宋体"/>
          <w:b/>
          <w:sz w:val="36"/>
          <w:szCs w:val="22"/>
          <w:highlight w:val="none"/>
          <w:lang w:val="en-US" w:eastAsia="en-US" w:bidi="ar-SA"/>
        </w:rPr>
        <w:t>四、响应文件的提交</w:t>
      </w: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b/>
          <w:sz w:val="24"/>
          <w:highlight w:val="none"/>
        </w:rPr>
      </w:pPr>
      <w:r>
        <w:rPr>
          <w:b/>
          <w:w w:val="95"/>
          <w:sz w:val="24"/>
          <w:highlight w:val="none"/>
        </w:rPr>
        <w:t>14.响应文件的密封、标记和递交</w:t>
      </w:r>
    </w:p>
    <w:p>
      <w:pPr>
        <w:pStyle w:val="18"/>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14.1</w:t>
      </w:r>
      <w:r>
        <w:rPr>
          <w:sz w:val="24"/>
          <w:highlight w:val="none"/>
        </w:rPr>
        <w:t>供应商应响应文件份数：正本壹份、副本叁份；响应文件包装、密封、盖章：正本和副本用一个密封袋包装，</w:t>
      </w:r>
      <w:r>
        <w:rPr>
          <w:rFonts w:hint="eastAsia"/>
          <w:sz w:val="24"/>
          <w:highlight w:val="none"/>
          <w:lang w:eastAsia="zh-CN"/>
        </w:rPr>
        <w:t>按</w:t>
      </w:r>
      <w:r>
        <w:rPr>
          <w:sz w:val="24"/>
          <w:highlight w:val="none"/>
        </w:rPr>
        <w:t>第</w:t>
      </w:r>
      <w:r>
        <w:rPr>
          <w:rFonts w:hint="eastAsia"/>
          <w:sz w:val="24"/>
          <w:highlight w:val="none"/>
          <w:lang w:val="en-US" w:eastAsia="zh-CN"/>
        </w:rPr>
        <w:t xml:space="preserve">六章 </w:t>
      </w:r>
      <w:r>
        <w:rPr>
          <w:sz w:val="24"/>
          <w:highlight w:val="none"/>
        </w:rPr>
        <w:t>投标文件（格式）包装；封口处加盖供应商单位公章及法定代表人印章，响应文件未按要求提供的可导致其磋商文件被拒绝。</w:t>
      </w:r>
    </w:p>
    <w:p>
      <w:pPr>
        <w:pStyle w:val="18"/>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14.2</w:t>
      </w:r>
      <w:r>
        <w:rPr>
          <w:sz w:val="24"/>
          <w:highlight w:val="none"/>
        </w:rPr>
        <w:t>如果未按上述规定进行密封和标记，采购代理机构将不承担由此造成的对响应文件的误投或提前拆封的责任。</w:t>
      </w:r>
    </w:p>
    <w:p>
      <w:pPr>
        <w:pStyle w:val="18"/>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14.3</w:t>
      </w:r>
      <w:r>
        <w:rPr>
          <w:sz w:val="24"/>
          <w:highlight w:val="none"/>
        </w:rPr>
        <w:t>响应文件应在磋商邀请中规定的截止时间前送达，迟到的响应文件为无效响应文件，将被拒绝。</w:t>
      </w:r>
    </w:p>
    <w:p>
      <w:pPr>
        <w:pStyle w:val="18"/>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14.4</w:t>
      </w:r>
      <w:r>
        <w:rPr>
          <w:sz w:val="24"/>
          <w:highlight w:val="none"/>
        </w:rPr>
        <w:t>磋商响应供应商在磋商响应截止时间前，可以对所提交的磋商文件进行修</w:t>
      </w:r>
      <w:r>
        <w:rPr>
          <w:spacing w:val="-10"/>
          <w:sz w:val="24"/>
          <w:highlight w:val="none"/>
        </w:rPr>
        <w:t>改或者撤回，并书面通知采购代理机构。修改的内容和撤回通知应当按本须知要求签署、盖章、密封，并作为响应文件的组成部分。</w:t>
      </w:r>
    </w:p>
    <w:p>
      <w:pPr>
        <w:pStyle w:val="18"/>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14.5</w:t>
      </w:r>
      <w:r>
        <w:rPr>
          <w:sz w:val="24"/>
          <w:highlight w:val="none"/>
        </w:rPr>
        <w:t>磋商响应供应商在磋商响应截止期后不得修改、撤回响应文件。磋商响应供应商在报价截止期后修改响应文件的，其磋商响应将被拒绝。</w:t>
      </w:r>
    </w:p>
    <w:p>
      <w:pPr>
        <w:pStyle w:val="18"/>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14.6</w:t>
      </w:r>
      <w:r>
        <w:rPr>
          <w:sz w:val="24"/>
          <w:highlight w:val="none"/>
        </w:rPr>
        <w:t>属于市场竞争不充分的科研项目，以及需要扶持的科技成果转化项目，符</w:t>
      </w:r>
      <w:r>
        <w:rPr>
          <w:spacing w:val="-6"/>
          <w:sz w:val="24"/>
          <w:highlight w:val="none"/>
        </w:rPr>
        <w:t xml:space="preserve">合实质性响应要求，提交最后报价的供应商可以为 </w:t>
      </w:r>
      <w:r>
        <w:rPr>
          <w:sz w:val="24"/>
          <w:highlight w:val="none"/>
        </w:rPr>
        <w:t>2</w:t>
      </w:r>
      <w:r>
        <w:rPr>
          <w:spacing w:val="-7"/>
          <w:sz w:val="24"/>
          <w:highlight w:val="none"/>
        </w:rPr>
        <w:t xml:space="preserve"> 家。属于政府购买服务项目的，在采购过程中符合要求的供应商只有 2 家的，竞争性磋商采购活动可以继续进行，采购过程中符合要求的供应商只有 1 家的，应当终止采购活动，发布项目终止公告并说明原因，重新开展采购活动。</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exact"/>
        <w:ind w:left="0" w:leftChars="0" w:right="0" w:rightChars="0" w:firstLine="0" w:firstLineChars="0"/>
        <w:jc w:val="center"/>
        <w:textAlignment w:val="auto"/>
        <w:rPr>
          <w:rFonts w:hint="eastAsia" w:cs="宋体"/>
          <w:b/>
          <w:sz w:val="36"/>
          <w:szCs w:val="22"/>
          <w:highlight w:val="none"/>
          <w:lang w:val="en-US" w:eastAsia="en-US" w:bidi="ar-SA"/>
        </w:rPr>
      </w:pPr>
      <w:r>
        <w:rPr>
          <w:rFonts w:hint="eastAsia" w:cs="宋体"/>
          <w:b/>
          <w:sz w:val="36"/>
          <w:szCs w:val="22"/>
          <w:highlight w:val="none"/>
          <w:lang w:val="en-US" w:eastAsia="en-US" w:bidi="ar-SA"/>
        </w:rPr>
        <w:t>五、响应文件的评估和比较</w:t>
      </w:r>
    </w:p>
    <w:p>
      <w:pPr>
        <w:pStyle w:val="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w w:val="95"/>
          <w:highlight w:val="none"/>
        </w:rPr>
      </w:pPr>
      <w:r>
        <w:rPr>
          <w:w w:val="95"/>
          <w:highlight w:val="none"/>
        </w:rPr>
        <w:t>15.磋商时间</w:t>
      </w:r>
    </w:p>
    <w:p>
      <w:pPr>
        <w:pStyle w:val="18"/>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pacing w:val="-5"/>
          <w:sz w:val="24"/>
          <w:highlight w:val="none"/>
          <w:lang w:val="en-US" w:eastAsia="zh-CN"/>
        </w:rPr>
        <w:t>15.1</w:t>
      </w:r>
      <w:r>
        <w:rPr>
          <w:spacing w:val="-5"/>
          <w:sz w:val="24"/>
          <w:highlight w:val="none"/>
        </w:rPr>
        <w:t>在磋商响应供应商须知前附表中所规定的时间、地点磋商</w:t>
      </w:r>
      <w:r>
        <w:rPr>
          <w:sz w:val="24"/>
          <w:highlight w:val="none"/>
        </w:rPr>
        <w:t>（如有推迟情形， 以推迟后的时间、地点为准）。</w:t>
      </w:r>
    </w:p>
    <w:p>
      <w:pPr>
        <w:pStyle w:val="18"/>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15.2</w:t>
      </w:r>
      <w:r>
        <w:rPr>
          <w:sz w:val="24"/>
          <w:highlight w:val="none"/>
        </w:rPr>
        <w:t>磋商由采购代理机构主持，邀请采购人、磋商响应供应商和有关方面代表参加。磋商响应供应商一般应派授权代表参加磋商，并办理签到手续。</w:t>
      </w:r>
    </w:p>
    <w:p>
      <w:pPr>
        <w:pStyle w:val="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w w:val="95"/>
          <w:highlight w:val="none"/>
        </w:rPr>
        <w:t>16.磋商小组</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480" w:firstLineChars="200"/>
        <w:jc w:val="both"/>
        <w:textAlignment w:val="auto"/>
        <w:rPr>
          <w:highlight w:val="none"/>
        </w:rPr>
      </w:pPr>
      <w:r>
        <w:rPr>
          <w:highlight w:val="none"/>
        </w:rPr>
        <w:t>磋商小组由采购人代表评审专家组成，成员人数应当为 3 人以上单数，其中评审专家不得少于成员总数的三分之二。</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采购项目符合下列情形之一的，评标委员会成员人数应当为 7 人以上单数：</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(一)采购预算金额在 1000 万元以上;</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(二)技术复杂;</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(三)社会影响较大。</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spacing w:val="-4"/>
          <w:highlight w:val="none"/>
        </w:rPr>
        <w:t>评审专家对本单位的采购项目只能作为采购人代表参与评标，本办法第四十八条</w:t>
      </w:r>
      <w:r>
        <w:rPr>
          <w:spacing w:val="-11"/>
          <w:highlight w:val="none"/>
        </w:rPr>
        <w:t>第二款规定情形除外。采购代理机构工作人员不得参加由本机构代理的政府采购项目的评标。</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磋商小组成员名单在评标结果公告前应当保密。</w:t>
      </w:r>
    </w:p>
    <w:p>
      <w:pPr>
        <w:pStyle w:val="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w w:val="95"/>
          <w:highlight w:val="none"/>
        </w:rPr>
        <w:t>17.响应文件的初审</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456" w:firstLineChars="200"/>
        <w:jc w:val="both"/>
        <w:textAlignment w:val="auto"/>
        <w:rPr>
          <w:highlight w:val="none"/>
        </w:rPr>
      </w:pPr>
      <w:r>
        <w:rPr>
          <w:spacing w:val="-6"/>
          <w:highlight w:val="none"/>
        </w:rPr>
        <w:t>对所有磋商响应供应商的评估，都采用相同的程序和标准。评议过程将严格按照</w:t>
      </w:r>
      <w:r>
        <w:rPr>
          <w:spacing w:val="-10"/>
          <w:highlight w:val="none"/>
        </w:rPr>
        <w:t>磋商文件的要求和条件进行。有关响应文件的审查、澄清、评估和比较以及推荐成交候选人的一切情况都不得透露给任一磋商响应供应商或与上诉磋商工作无</w:t>
      </w:r>
      <w:r>
        <w:rPr>
          <w:spacing w:val="-12"/>
          <w:highlight w:val="none"/>
        </w:rPr>
        <w:t>关的人员。磋商响应供应商任何试图影响磋商小组对响应文件的评审、比较或者推荐候选人的行为，都将导致其磋商响应被拒绝，并被没收磋商保证金。</w:t>
      </w:r>
    </w:p>
    <w:p>
      <w:pPr>
        <w:pStyle w:val="18"/>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sz w:val="24"/>
          <w:highlight w:val="none"/>
        </w:rPr>
      </w:pPr>
      <w:r>
        <w:rPr>
          <w:rFonts w:hint="eastAsia"/>
          <w:sz w:val="24"/>
          <w:highlight w:val="none"/>
          <w:lang w:val="en-US" w:eastAsia="zh-CN"/>
        </w:rPr>
        <w:t>17.1</w:t>
      </w:r>
      <w:r>
        <w:rPr>
          <w:sz w:val="24"/>
          <w:highlight w:val="none"/>
        </w:rPr>
        <w:t>磋商小组将对响应文件进行审查，以确定响应文件是否完整、有无计算上的错误、是否提交了磋商保证金、文件是否已正确签署。</w:t>
      </w:r>
    </w:p>
    <w:p>
      <w:pPr>
        <w:pStyle w:val="18"/>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sz w:val="24"/>
          <w:highlight w:val="none"/>
        </w:rPr>
      </w:pPr>
      <w:r>
        <w:rPr>
          <w:rFonts w:hint="eastAsia"/>
          <w:sz w:val="24"/>
          <w:highlight w:val="none"/>
          <w:lang w:val="en-US" w:eastAsia="zh-CN"/>
        </w:rPr>
        <w:t>17.2</w:t>
      </w:r>
      <w:r>
        <w:rPr>
          <w:sz w:val="24"/>
          <w:highlight w:val="none"/>
        </w:rPr>
        <w:t>算术错误将按以下方法更正：</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480" w:firstLineChars="200"/>
        <w:jc w:val="both"/>
        <w:textAlignment w:val="auto"/>
        <w:rPr>
          <w:highlight w:val="none"/>
        </w:rPr>
      </w:pPr>
      <w:r>
        <w:rPr>
          <w:highlight w:val="none"/>
        </w:rPr>
        <w:t>(1)响应文件中报价一览表内容与响应文件中明细表内容不一致的，以报价一览表为准。</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480" w:firstLineChars="200"/>
        <w:jc w:val="both"/>
        <w:textAlignment w:val="auto"/>
        <w:rPr>
          <w:highlight w:val="none"/>
        </w:rPr>
      </w:pPr>
      <w:r>
        <w:rPr>
          <w:highlight w:val="none"/>
        </w:rPr>
        <w:t>(2)响应文件的大写金额和小写金额不一致的，以大写金额为准；总价金额与按</w:t>
      </w:r>
      <w:r>
        <w:rPr>
          <w:spacing w:val="-7"/>
          <w:highlight w:val="none"/>
        </w:rPr>
        <w:t xml:space="preserve">单价汇总金额不一致的，以单价金额计算结果为准；单价金额小数点有明显错位的，应以总价为准，并修改单价；对不同文字文本响应文件的解释发生异议的， </w:t>
      </w:r>
      <w:r>
        <w:rPr>
          <w:spacing w:val="-12"/>
          <w:highlight w:val="none"/>
        </w:rPr>
        <w:t>以中文文本为准。如果磋商响应供应商不接受按上述方法对响应文件中的算术错误进行更正，其响应将被拒绝并没收其磋商保证金。</w:t>
      </w:r>
    </w:p>
    <w:p>
      <w:pPr>
        <w:pStyle w:val="18"/>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sz w:val="24"/>
          <w:highlight w:val="none"/>
        </w:rPr>
      </w:pPr>
      <w:r>
        <w:rPr>
          <w:rFonts w:hint="eastAsia"/>
          <w:sz w:val="24"/>
          <w:highlight w:val="none"/>
          <w:lang w:val="en-US" w:eastAsia="zh-CN"/>
        </w:rPr>
        <w:t>17.3</w:t>
      </w:r>
      <w:r>
        <w:rPr>
          <w:sz w:val="24"/>
          <w:highlight w:val="none"/>
        </w:rPr>
        <w:t>资格性检查和符合性检查</w:t>
      </w:r>
    </w:p>
    <w:p>
      <w:pPr>
        <w:pStyle w:val="18"/>
        <w:keepNext w:val="0"/>
        <w:keepLines w:val="0"/>
        <w:pageBreakBefore w:val="0"/>
        <w:widowControl w:val="0"/>
        <w:numPr>
          <w:ilvl w:val="0"/>
          <w:numId w:val="0"/>
        </w:numPr>
        <w:tabs>
          <w:tab w:val="left" w:pos="958"/>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sz w:val="24"/>
          <w:highlight w:val="none"/>
        </w:rPr>
      </w:pPr>
      <w:r>
        <w:rPr>
          <w:rFonts w:hint="eastAsia"/>
          <w:sz w:val="24"/>
          <w:highlight w:val="none"/>
          <w:lang w:val="en-US" w:eastAsia="zh-CN"/>
        </w:rPr>
        <w:t>17.4</w:t>
      </w:r>
      <w:r>
        <w:rPr>
          <w:sz w:val="24"/>
          <w:highlight w:val="none"/>
        </w:rPr>
        <w:t>资格性检查。依据法律法规和磋商文件的规定，在对响应文件详细评估</w:t>
      </w:r>
      <w:r>
        <w:rPr>
          <w:spacing w:val="-10"/>
          <w:sz w:val="24"/>
          <w:highlight w:val="none"/>
        </w:rPr>
        <w:t>之前，磋商小组将依据磋商响应供应商提交的响应文件按磋商响应供应商须知前附表 2 所述的资格性要求对磋商响应供应商进行资格审查, 以确定其是否具备</w:t>
      </w:r>
      <w:r>
        <w:rPr>
          <w:spacing w:val="-12"/>
          <w:sz w:val="24"/>
          <w:highlight w:val="none"/>
        </w:rPr>
        <w:t>磋商资格。如果磋商响应供应商不具备磋商资格，不满足磋商文件所规定的资格标准或提供资格证明文件不全的, 其磋商响应将被拒绝。</w:t>
      </w:r>
    </w:p>
    <w:p>
      <w:pPr>
        <w:pStyle w:val="18"/>
        <w:keepNext w:val="0"/>
        <w:keepLines w:val="0"/>
        <w:pageBreakBefore w:val="0"/>
        <w:widowControl w:val="0"/>
        <w:numPr>
          <w:ilvl w:val="0"/>
          <w:numId w:val="0"/>
        </w:numPr>
        <w:tabs>
          <w:tab w:val="left" w:pos="958"/>
        </w:tabs>
        <w:kinsoku/>
        <w:wordWrap/>
        <w:overflowPunct/>
        <w:topLinePunct w:val="0"/>
        <w:autoSpaceDE w:val="0"/>
        <w:autoSpaceDN w:val="0"/>
        <w:bidi w:val="0"/>
        <w:adjustRightInd/>
        <w:snapToGrid/>
        <w:spacing w:before="0" w:after="0" w:line="400" w:lineRule="exact"/>
        <w:ind w:leftChars="0" w:right="0" w:rightChars="0" w:firstLine="440" w:firstLineChars="200"/>
        <w:jc w:val="both"/>
        <w:textAlignment w:val="auto"/>
        <w:rPr>
          <w:sz w:val="24"/>
          <w:highlight w:val="none"/>
        </w:rPr>
      </w:pPr>
      <w:r>
        <w:rPr>
          <w:rFonts w:hint="eastAsia"/>
          <w:spacing w:val="-10"/>
          <w:sz w:val="24"/>
          <w:highlight w:val="none"/>
          <w:lang w:val="en-US" w:eastAsia="zh-CN"/>
        </w:rPr>
        <w:t>17.5</w:t>
      </w:r>
      <w:r>
        <w:rPr>
          <w:spacing w:val="-10"/>
          <w:sz w:val="24"/>
          <w:highlight w:val="none"/>
        </w:rPr>
        <w:t>符合性检查。依据磋商文件的规定，磋商小组还将从响应文件的有效性、</w:t>
      </w:r>
      <w:r>
        <w:rPr>
          <w:spacing w:val="-15"/>
          <w:sz w:val="24"/>
          <w:highlight w:val="none"/>
        </w:rPr>
        <w:t>完整性和对磋商文件的响应程度进行审查，以确定其是否符合对磋商文件的实质</w:t>
      </w:r>
      <w:r>
        <w:rPr>
          <w:spacing w:val="-24"/>
          <w:sz w:val="24"/>
          <w:highlight w:val="none"/>
        </w:rPr>
        <w:t>性要求作出响应。</w:t>
      </w:r>
      <w:r>
        <w:rPr>
          <w:sz w:val="24"/>
          <w:highlight w:val="none"/>
        </w:rPr>
        <w:t>（</w:t>
      </w:r>
      <w:r>
        <w:rPr>
          <w:spacing w:val="-2"/>
          <w:sz w:val="24"/>
          <w:highlight w:val="none"/>
        </w:rPr>
        <w:t>采购人可根据具体项目的情况对实质性要求作特别的规定。</w:t>
      </w:r>
      <w:r>
        <w:rPr>
          <w:sz w:val="24"/>
          <w:highlight w:val="none"/>
        </w:rPr>
        <w:t xml:space="preserve">） </w:t>
      </w:r>
      <w:r>
        <w:rPr>
          <w:spacing w:val="-1"/>
          <w:sz w:val="24"/>
          <w:highlight w:val="none"/>
        </w:rPr>
        <w:t>实质性偏离是指：</w:t>
      </w:r>
      <w:r>
        <w:rPr>
          <w:spacing w:val="-8"/>
          <w:sz w:val="24"/>
          <w:highlight w:val="none"/>
        </w:rPr>
        <w:t>(1)</w:t>
      </w:r>
      <w:r>
        <w:rPr>
          <w:spacing w:val="-4"/>
          <w:sz w:val="24"/>
          <w:highlight w:val="none"/>
        </w:rPr>
        <w:t>实质性影响合同的范围、质量和履行；</w:t>
      </w:r>
      <w:r>
        <w:rPr>
          <w:spacing w:val="-8"/>
          <w:sz w:val="24"/>
          <w:highlight w:val="none"/>
        </w:rPr>
        <w:t>(2)</w:t>
      </w:r>
      <w:r>
        <w:rPr>
          <w:sz w:val="24"/>
          <w:highlight w:val="none"/>
        </w:rPr>
        <w:t>实质性违背磋商</w:t>
      </w:r>
      <w:r>
        <w:rPr>
          <w:spacing w:val="-8"/>
          <w:sz w:val="24"/>
          <w:highlight w:val="none"/>
        </w:rPr>
        <w:t>文件，限制了采购人的权利和成交供应商合同项下的义务；</w:t>
      </w:r>
      <w:r>
        <w:rPr>
          <w:spacing w:val="-9"/>
          <w:sz w:val="24"/>
          <w:highlight w:val="none"/>
        </w:rPr>
        <w:t>((3)</w:t>
      </w:r>
      <w:r>
        <w:rPr>
          <w:sz w:val="24"/>
          <w:highlight w:val="none"/>
        </w:rPr>
        <w:t>不公正地影响了</w:t>
      </w:r>
      <w:r>
        <w:rPr>
          <w:spacing w:val="-4"/>
          <w:sz w:val="24"/>
          <w:highlight w:val="none"/>
        </w:rPr>
        <w:t>其它作出实质性响应的磋商响应供应商的竞争地位。对没有实质性响应的响应文</w:t>
      </w:r>
      <w:r>
        <w:rPr>
          <w:spacing w:val="-10"/>
          <w:sz w:val="24"/>
          <w:highlight w:val="none"/>
        </w:rPr>
        <w:t>件将不进行评估，其响应将按照无效响应处理。凡有下列情况之一者，响应文件也将被视为未实质性响应磋商文件要求：</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(1)磋商响应文件未按照本须知规定进行密封、标记的；</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(2)未按规定由磋商响应供应商的法定代表人或其授权代表签字；或未加盖磋商响应供应商公章的；或签字人未提供法定代表人有效授权委托书的；</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(3)未按规定提交磋商保证金的；</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(4)磋商响应有效期不满足磋商文件要求的；</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(5)响应文件内容与磋商文件内容及要求有重大偏离或保留的；</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(6)磋商响应供应商提交的是可选择的报价；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(7)磋商响应供应商未按磋商文件要求进行分项报价；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(8)响应文件中提供虚假或失实资料的；</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(9)不符合磋商文件中规定的其它实质性条款。</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spacing w:val="-4"/>
          <w:highlight w:val="none"/>
        </w:rPr>
        <w:t>磋商小组决定报价的响应性只根据响应文件本身的内容，而不寻求其他的外部证据。</w:t>
      </w:r>
    </w:p>
    <w:p>
      <w:pPr>
        <w:pStyle w:val="18"/>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sz w:val="24"/>
          <w:highlight w:val="none"/>
        </w:rPr>
      </w:pPr>
      <w:r>
        <w:rPr>
          <w:rFonts w:hint="eastAsia"/>
          <w:sz w:val="24"/>
          <w:highlight w:val="none"/>
          <w:lang w:val="en-US" w:eastAsia="zh-CN"/>
        </w:rPr>
        <w:t>17.5</w:t>
      </w:r>
      <w:r>
        <w:rPr>
          <w:sz w:val="24"/>
          <w:highlight w:val="none"/>
        </w:rPr>
        <w:t>磋商响应供应商提交的响应文件将给予保密，但不予退回。</w:t>
      </w:r>
    </w:p>
    <w:p>
      <w:pPr>
        <w:pStyle w:val="18"/>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sz w:val="24"/>
          <w:highlight w:val="none"/>
        </w:rPr>
      </w:pPr>
      <w:r>
        <w:rPr>
          <w:rFonts w:hint="eastAsia"/>
          <w:sz w:val="24"/>
          <w:highlight w:val="none"/>
          <w:lang w:val="en-US" w:eastAsia="zh-CN"/>
        </w:rPr>
        <w:t>17.6</w:t>
      </w:r>
      <w:r>
        <w:rPr>
          <w:sz w:val="24"/>
          <w:highlight w:val="none"/>
        </w:rPr>
        <w:t>磋商响应供应商资格和报价产品均必须满足中华人民共和国相关法律法规及行业的强制性要求，否则将作无效响应处理。</w:t>
      </w:r>
    </w:p>
    <w:p>
      <w:pPr>
        <w:pStyle w:val="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w w:val="95"/>
          <w:highlight w:val="none"/>
        </w:rPr>
        <w:t>18.磋商相应文件的澄清</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18.1 对磋商文件中含义不明确、同类问题表述不一致或者有明显文字和计算错</w:t>
      </w:r>
      <w:r>
        <w:rPr>
          <w:spacing w:val="-9"/>
          <w:highlight w:val="none"/>
        </w:rPr>
        <w:t>误的内容，磋商小组可以书面形式要求磋商响应供应商作出必要的澄清、说明或</w:t>
      </w:r>
      <w:r>
        <w:rPr>
          <w:spacing w:val="-12"/>
          <w:highlight w:val="none"/>
        </w:rPr>
        <w:t>者纠正。磋商响应供应商的澄清、说明或者补正应当在磋商小组规定的时间内以</w:t>
      </w:r>
      <w:r>
        <w:rPr>
          <w:spacing w:val="-13"/>
          <w:highlight w:val="none"/>
        </w:rPr>
        <w:t>书面形式作出，由其法定代表人或者授权代表签字，并不得超出响应文件的范围或者改变响应文件的实质性内容。</w:t>
      </w:r>
    </w:p>
    <w:p>
      <w:pPr>
        <w:pStyle w:val="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w w:val="95"/>
          <w:highlight w:val="none"/>
        </w:rPr>
        <w:t>19.比较与评价</w:t>
      </w:r>
    </w:p>
    <w:p>
      <w:pPr>
        <w:pStyle w:val="18"/>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spacing w:val="-3"/>
          <w:sz w:val="24"/>
          <w:highlight w:val="none"/>
        </w:rPr>
      </w:pPr>
      <w:r>
        <w:rPr>
          <w:rFonts w:hint="eastAsia"/>
          <w:sz w:val="24"/>
          <w:highlight w:val="none"/>
          <w:lang w:val="en-US" w:eastAsia="zh-CN"/>
        </w:rPr>
        <w:t>19.1</w:t>
      </w:r>
      <w:r>
        <w:rPr>
          <w:sz w:val="24"/>
          <w:highlight w:val="none"/>
        </w:rPr>
        <w:t>磋商小组将按磋商响应供应商须知前附表 3</w:t>
      </w:r>
      <w:r>
        <w:rPr>
          <w:spacing w:val="-9"/>
          <w:sz w:val="24"/>
          <w:highlight w:val="none"/>
        </w:rPr>
        <w:t xml:space="preserve"> 所诉评审方法与标准，对资格性检</w:t>
      </w:r>
      <w:r>
        <w:rPr>
          <w:spacing w:val="-3"/>
          <w:sz w:val="24"/>
          <w:highlight w:val="none"/>
        </w:rPr>
        <w:t>查和符合性检查合格的磋商文件进行商务和技术评估，综合比较与评价。</w:t>
      </w:r>
    </w:p>
    <w:p>
      <w:pPr>
        <w:pStyle w:val="18"/>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firstLine="468" w:firstLineChars="200"/>
        <w:jc w:val="both"/>
        <w:textAlignment w:val="auto"/>
        <w:rPr>
          <w:sz w:val="24"/>
          <w:highlight w:val="none"/>
        </w:rPr>
      </w:pPr>
      <w:r>
        <w:rPr>
          <w:rFonts w:hint="eastAsia"/>
          <w:spacing w:val="-3"/>
          <w:sz w:val="24"/>
          <w:highlight w:val="none"/>
          <w:lang w:val="en-US" w:eastAsia="zh-CN"/>
        </w:rPr>
        <w:t>19.2</w:t>
      </w:r>
      <w:r>
        <w:rPr>
          <w:spacing w:val="-3"/>
          <w:sz w:val="24"/>
          <w:highlight w:val="none"/>
        </w:rPr>
        <w:t>对漏（缺）报项的处理：磋商文件中要求列入报价的费用（含配置、功能），漏（缺）报的视同已含在报价总价中。但在评审时取有效磋商响应供应商该项最</w:t>
      </w:r>
      <w:r>
        <w:rPr>
          <w:spacing w:val="-8"/>
          <w:sz w:val="24"/>
          <w:highlight w:val="none"/>
        </w:rPr>
        <w:t>高报价加入漏</w:t>
      </w:r>
      <w:r>
        <w:rPr>
          <w:spacing w:val="-3"/>
          <w:sz w:val="24"/>
          <w:highlight w:val="none"/>
        </w:rPr>
        <w:t>（</w:t>
      </w:r>
      <w:r>
        <w:rPr>
          <w:sz w:val="24"/>
          <w:highlight w:val="none"/>
        </w:rPr>
        <w:t>缺</w:t>
      </w:r>
      <w:r>
        <w:rPr>
          <w:spacing w:val="-29"/>
          <w:sz w:val="24"/>
          <w:highlight w:val="none"/>
        </w:rPr>
        <w:t>）</w:t>
      </w:r>
      <w:r>
        <w:rPr>
          <w:spacing w:val="-3"/>
          <w:sz w:val="24"/>
          <w:highlight w:val="none"/>
        </w:rPr>
        <w:t>报人的磋商响应报价进行评审。对多报及赠送项的价格评审时不予核减，全部进入评审价评议。</w:t>
      </w:r>
    </w:p>
    <w:p>
      <w:pPr>
        <w:pStyle w:val="18"/>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sz w:val="24"/>
          <w:highlight w:val="none"/>
        </w:rPr>
      </w:pPr>
      <w:r>
        <w:rPr>
          <w:rFonts w:hint="eastAsia"/>
          <w:sz w:val="24"/>
          <w:highlight w:val="none"/>
          <w:lang w:val="en-US" w:eastAsia="zh-CN"/>
        </w:rPr>
        <w:t>19.3</w:t>
      </w:r>
      <w:r>
        <w:rPr>
          <w:sz w:val="24"/>
          <w:highlight w:val="none"/>
        </w:rPr>
        <w:t>若磋商响应供应商的报价明显低于其他报价，使得其报价可能低于其个别</w:t>
      </w:r>
      <w:r>
        <w:rPr>
          <w:spacing w:val="-9"/>
          <w:sz w:val="24"/>
          <w:highlight w:val="none"/>
        </w:rPr>
        <w:t>成本的，有可能影响商品质量或不能诚信履约的，磋商相应供应商应按磋商小组</w:t>
      </w:r>
      <w:r>
        <w:rPr>
          <w:spacing w:val="-14"/>
          <w:sz w:val="24"/>
          <w:highlight w:val="none"/>
        </w:rPr>
        <w:t>要求作出书面说明并提供相关证明材料，不能合理说明或不能提供相关证明材料的，可作无效报价处理。</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exact"/>
        <w:ind w:left="0" w:leftChars="0" w:right="0" w:rightChars="0" w:firstLine="0" w:firstLineChars="0"/>
        <w:jc w:val="center"/>
        <w:textAlignment w:val="auto"/>
        <w:rPr>
          <w:rFonts w:hint="eastAsia" w:cs="宋体"/>
          <w:b/>
          <w:sz w:val="36"/>
          <w:szCs w:val="22"/>
          <w:highlight w:val="none"/>
          <w:lang w:val="en-US" w:eastAsia="en-US" w:bidi="ar-SA"/>
        </w:rPr>
      </w:pPr>
      <w:r>
        <w:rPr>
          <w:rFonts w:hint="eastAsia" w:cs="宋体"/>
          <w:b/>
          <w:sz w:val="36"/>
          <w:szCs w:val="22"/>
          <w:highlight w:val="none"/>
          <w:lang w:val="en-US" w:eastAsia="en-US" w:bidi="ar-SA"/>
        </w:rPr>
        <w:t>六、成交与签订合同</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20.成交准则</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20.1</w:t>
      </w:r>
      <w:r>
        <w:rPr>
          <w:spacing w:val="-5"/>
          <w:highlight w:val="none"/>
        </w:rPr>
        <w:t xml:space="preserve"> 磋商响应供应商的响应文件符合磋商文件要求，按磋商文件确定评审方法、标准，经磋商小组评审并推荐成交候选人。</w:t>
      </w:r>
    </w:p>
    <w:p>
      <w:pPr>
        <w:pStyle w:val="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w w:val="95"/>
          <w:highlight w:val="none"/>
        </w:rPr>
        <w:t>21.成交通知</w:t>
      </w:r>
    </w:p>
    <w:p>
      <w:pPr>
        <w:pStyle w:val="18"/>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highlight w:val="none"/>
        </w:rPr>
      </w:pPr>
      <w:r>
        <w:rPr>
          <w:rFonts w:hint="eastAsia"/>
          <w:sz w:val="24"/>
          <w:highlight w:val="none"/>
          <w:lang w:val="en-US" w:eastAsia="zh-CN"/>
        </w:rPr>
        <w:t>21.1</w:t>
      </w:r>
      <w:r>
        <w:rPr>
          <w:sz w:val="24"/>
          <w:highlight w:val="none"/>
        </w:rPr>
        <w:t>磋商结束后，磋商结果经采购人确认后，采购代理机构应自成交人确</w:t>
      </w:r>
      <w:r>
        <w:rPr>
          <w:highlight w:val="none"/>
        </w:rPr>
        <w:t>定之日起 2 个工作日内在铜仁市公共资源交易中心网、贵州省政府采购网上对</w:t>
      </w:r>
      <w:r>
        <w:rPr>
          <w:spacing w:val="-8"/>
          <w:highlight w:val="none"/>
        </w:rPr>
        <w:t>成交结果进行公告，同时采购代理机构向成交供应商发出成交通知书。成交通知</w:t>
      </w:r>
      <w:r>
        <w:rPr>
          <w:spacing w:val="-12"/>
          <w:highlight w:val="none"/>
        </w:rPr>
        <w:t>书对采购人和成交供应商具有同等法律效力。成交通知书发出后，采购人改变成交结果或者成交供应商放弃成交，应承担相应的法律责任。</w:t>
      </w:r>
    </w:p>
    <w:p>
      <w:pPr>
        <w:pStyle w:val="18"/>
        <w:keepNext w:val="0"/>
        <w:keepLines w:val="0"/>
        <w:pageBreakBefore w:val="0"/>
        <w:widowControl w:val="0"/>
        <w:numPr>
          <w:ilvl w:val="0"/>
          <w:numId w:val="0"/>
        </w:numPr>
        <w:tabs>
          <w:tab w:val="left" w:pos="599"/>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21.2</w:t>
      </w:r>
      <w:r>
        <w:rPr>
          <w:sz w:val="24"/>
          <w:highlight w:val="none"/>
        </w:rPr>
        <w:t>《成交通知书》将作为签订合同的依据。采购合同签订后，《成交通知书》成为合同的一部分。</w:t>
      </w:r>
    </w:p>
    <w:p>
      <w:pPr>
        <w:pStyle w:val="18"/>
        <w:keepNext w:val="0"/>
        <w:keepLines w:val="0"/>
        <w:pageBreakBefore w:val="0"/>
        <w:widowControl w:val="0"/>
        <w:numPr>
          <w:ilvl w:val="0"/>
          <w:numId w:val="0"/>
        </w:numPr>
        <w:tabs>
          <w:tab w:val="left" w:pos="599"/>
        </w:tabs>
        <w:kinsoku/>
        <w:wordWrap/>
        <w:overflowPunct/>
        <w:topLinePunct w:val="0"/>
        <w:autoSpaceDE w:val="0"/>
        <w:autoSpaceDN w:val="0"/>
        <w:bidi w:val="0"/>
        <w:adjustRightInd/>
        <w:snapToGrid/>
        <w:spacing w:before="0" w:after="0" w:line="400" w:lineRule="exact"/>
        <w:ind w:right="0" w:rightChars="0"/>
        <w:jc w:val="both"/>
        <w:textAlignment w:val="auto"/>
        <w:rPr>
          <w:highlight w:val="none"/>
        </w:rPr>
      </w:pPr>
      <w:r>
        <w:rPr>
          <w:rFonts w:hint="eastAsia"/>
          <w:sz w:val="24"/>
          <w:highlight w:val="none"/>
          <w:lang w:val="en-US" w:eastAsia="zh-CN"/>
        </w:rPr>
        <w:t>21.3</w:t>
      </w:r>
      <w:r>
        <w:rPr>
          <w:sz w:val="24"/>
          <w:highlight w:val="none"/>
        </w:rPr>
        <w:t>《成交通知书》发出后 5 个工作日内，采购代理机构以原缴交方式向未成</w:t>
      </w:r>
      <w:r>
        <w:rPr>
          <w:highlight w:val="none"/>
        </w:rPr>
        <w:t>交的磋商响应供应商退还其磋商保证金（含保函）。在合同签订后 5 个工作日内，以原缴交方式退还成交供应商的磋商保证金。</w:t>
      </w:r>
    </w:p>
    <w:p>
      <w:pPr>
        <w:pStyle w:val="8"/>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w w:val="95"/>
          <w:highlight w:val="none"/>
        </w:rPr>
        <w:t>22.签订合同</w:t>
      </w:r>
    </w:p>
    <w:p>
      <w:pPr>
        <w:pStyle w:val="18"/>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22.1</w:t>
      </w:r>
      <w:r>
        <w:rPr>
          <w:sz w:val="24"/>
          <w:highlight w:val="none"/>
        </w:rPr>
        <w:t>采购人、成交供应商在《成交通知书》发出之日起 30 日内，根据磋商文</w:t>
      </w:r>
      <w:r>
        <w:rPr>
          <w:spacing w:val="-4"/>
          <w:sz w:val="24"/>
          <w:highlight w:val="none"/>
        </w:rPr>
        <w:t>件确定的事项和成交供应商响应文件，参照本磋商文件第四章的《合同》文本签订合同。双方所签订的合同不得对磋商文件和成交供应商响应文件作实质性改。</w:t>
      </w:r>
      <w:r>
        <w:rPr>
          <w:spacing w:val="-16"/>
          <w:sz w:val="24"/>
          <w:highlight w:val="none"/>
        </w:rPr>
        <w:t xml:space="preserve">逾期未签订合同，按照有关法律规定承担相应的法律责任；属成交供应商责任的， </w:t>
      </w:r>
      <w:r>
        <w:rPr>
          <w:spacing w:val="-17"/>
          <w:sz w:val="24"/>
          <w:highlight w:val="none"/>
        </w:rPr>
        <w:t>采购代理机构将没收磋商保证金，以抵偿对采购人造成的损失。采购人逾期不与成交供应商签订合同的，按政府采购的有关规定处理。</w:t>
      </w:r>
    </w:p>
    <w:p>
      <w:pPr>
        <w:pStyle w:val="18"/>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22.2</w:t>
      </w:r>
      <w:r>
        <w:rPr>
          <w:sz w:val="24"/>
          <w:highlight w:val="none"/>
        </w:rPr>
        <w:t>磋商文件、磋商文件的修改文件、成交供应商的响应文件、补充或修改的</w:t>
      </w:r>
      <w:r>
        <w:rPr>
          <w:spacing w:val="-6"/>
          <w:sz w:val="24"/>
          <w:highlight w:val="none"/>
        </w:rPr>
        <w:t>文件及澄清或承诺文件等，均为双方签订合同的组成部分，并与合同一并作为本磋商文件所列采购项目的互补性法律文件，与合同具有同等法律效力。</w:t>
      </w:r>
    </w:p>
    <w:p>
      <w:pPr>
        <w:pStyle w:val="18"/>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22.3</w:t>
      </w:r>
      <w:r>
        <w:rPr>
          <w:sz w:val="24"/>
          <w:highlight w:val="none"/>
        </w:rPr>
        <w:t>采购人在合同履行中，需追加与合同标的相同的货物或者服务的，在不改</w:t>
      </w:r>
      <w:r>
        <w:rPr>
          <w:spacing w:val="-6"/>
          <w:sz w:val="24"/>
          <w:highlight w:val="none"/>
        </w:rPr>
        <w:t>变合同其他条款的前提下，可与供应商协商签订补充合同，但所有补充合同的采购金额不得超过原合同采购金额的10%。</w:t>
      </w:r>
    </w:p>
    <w:p>
      <w:pPr>
        <w:pStyle w:val="18"/>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22.4</w:t>
      </w:r>
      <w:r>
        <w:rPr>
          <w:sz w:val="24"/>
          <w:highlight w:val="none"/>
        </w:rPr>
        <w:t>成交供应商因不可抗力或者自身原因不能履行政府采购合同的，采购人可</w:t>
      </w:r>
      <w:r>
        <w:rPr>
          <w:spacing w:val="-3"/>
          <w:sz w:val="24"/>
          <w:highlight w:val="none"/>
        </w:rPr>
        <w:t>以与排位在成交供应商之后第一位的成交备选供应商签订政府采购合同，以此类</w:t>
      </w:r>
      <w:r>
        <w:rPr>
          <w:spacing w:val="-10"/>
          <w:sz w:val="24"/>
          <w:highlight w:val="none"/>
        </w:rPr>
        <w:t>推。且在此情况下，作为成交供应商之后第一位的成交候选人应同意与采购人按不高于其最终报价签订采购合同。</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w w:val="95"/>
          <w:highlight w:val="none"/>
        </w:rPr>
        <w:t>23.成交服务费</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firstLine="240" w:firstLineChars="100"/>
        <w:jc w:val="both"/>
        <w:textAlignment w:val="auto"/>
        <w:rPr>
          <w:highlight w:val="none"/>
        </w:rPr>
      </w:pPr>
      <w:r>
        <w:rPr>
          <w:highlight w:val="none"/>
        </w:rPr>
        <w:t>代理机构</w:t>
      </w:r>
      <w:r>
        <w:rPr>
          <w:rFonts w:hint="eastAsia"/>
          <w:highlight w:val="none"/>
          <w:lang w:val="en-US" w:eastAsia="zh-CN"/>
        </w:rPr>
        <w:t>与采购方签订代理协议为准</w:t>
      </w:r>
      <w:r>
        <w:rPr>
          <w:highlight w:val="none"/>
        </w:rPr>
        <w:t>。</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jc w:val="both"/>
        <w:textAlignment w:val="auto"/>
        <w:rPr>
          <w:sz w:val="24"/>
          <w:highlight w:val="none"/>
        </w:rPr>
      </w:pPr>
    </w:p>
    <w:p>
      <w:pPr>
        <w:pStyle w:val="4"/>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highlight w:val="none"/>
        </w:rPr>
      </w:pPr>
    </w:p>
    <w:p>
      <w:pPr>
        <w:pStyle w:val="4"/>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highlight w:val="none"/>
        </w:rPr>
      </w:pPr>
    </w:p>
    <w:p>
      <w:pPr>
        <w:pStyle w:val="4"/>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highlight w:val="none"/>
        </w:rPr>
      </w:pPr>
    </w:p>
    <w:p>
      <w:pPr>
        <w:pStyle w:val="4"/>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highlight w:val="none"/>
        </w:rPr>
      </w:pPr>
    </w:p>
    <w:p>
      <w:pPr>
        <w:pStyle w:val="4"/>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highlight w:val="none"/>
        </w:rPr>
      </w:pPr>
    </w:p>
    <w:p>
      <w:pPr>
        <w:pStyle w:val="4"/>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highlight w:val="none"/>
        </w:rPr>
      </w:pPr>
      <w:r>
        <w:rPr>
          <w:highlight w:val="none"/>
        </w:rPr>
        <w:t>第四章 磋商内容及要求</w:t>
      </w:r>
    </w:p>
    <w:p>
      <w:pPr>
        <w:pStyle w:val="16"/>
        <w:keepNext w:val="0"/>
        <w:keepLines w:val="0"/>
        <w:pageBreakBefore w:val="0"/>
        <w:widowControl w:val="0"/>
        <w:kinsoku/>
        <w:wordWrap/>
        <w:overflowPunct/>
        <w:topLinePunct w:val="0"/>
        <w:autoSpaceDE w:val="0"/>
        <w:autoSpaceDN w:val="0"/>
        <w:bidi w:val="0"/>
        <w:adjustRightInd/>
        <w:snapToGrid/>
        <w:ind w:firstLine="480" w:firstLineChars="200"/>
        <w:jc w:val="both"/>
        <w:textAlignment w:val="auto"/>
        <w:rPr>
          <w:rFonts w:hint="eastAsia" w:ascii="宋体" w:hAnsi="宋体" w:eastAsia="宋体" w:cs="宋体"/>
          <w:b w:val="0"/>
          <w:bCs/>
          <w:i w:val="0"/>
          <w:color w:val="000000"/>
          <w:kern w:val="0"/>
          <w:sz w:val="24"/>
          <w:szCs w:val="24"/>
          <w:u w:val="none"/>
          <w:lang w:val="en-US" w:eastAsia="zh-CN" w:bidi="ar"/>
        </w:rPr>
      </w:pPr>
    </w:p>
    <w:p>
      <w:pPr>
        <w:pStyle w:val="16"/>
        <w:keepNext w:val="0"/>
        <w:keepLines w:val="0"/>
        <w:pageBreakBefore w:val="0"/>
        <w:widowControl w:val="0"/>
        <w:kinsoku/>
        <w:wordWrap/>
        <w:overflowPunct/>
        <w:topLinePunct w:val="0"/>
        <w:autoSpaceDE w:val="0"/>
        <w:autoSpaceDN w:val="0"/>
        <w:bidi w:val="0"/>
        <w:adjustRightInd/>
        <w:snapToGrid/>
        <w:ind w:firstLine="480" w:firstLineChars="200"/>
        <w:jc w:val="both"/>
        <w:textAlignment w:val="auto"/>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根据工程具体情况，合理组织，抓住重点，加强项目组织管理，强化工程质量管理，加强计划财务管理与监督，已达到确保质量、缩短工期、控制造价、保证安全，特别是要协调好施工与周围环境保护的要求。工程施工任务必须注重专业化，加强监理。施工过程中应尽量采用流水作业，连续均衡施工，缩短工期，加快建设速度。充分利用当地资源，减少物资运输量，尽量避免二次搬运，降低运输成本，节省工程投资，做好安全防范措施，杜绝工程事故的发生。</w:t>
      </w:r>
    </w:p>
    <w:p>
      <w:pPr>
        <w:pStyle w:val="16"/>
        <w:rPr>
          <w:rFonts w:hint="eastAsia" w:ascii="宋体" w:hAnsi="宋体" w:eastAsia="宋体" w:cs="宋体"/>
          <w:b/>
          <w:i w:val="0"/>
          <w:color w:val="000000"/>
          <w:kern w:val="0"/>
          <w:sz w:val="28"/>
          <w:szCs w:val="28"/>
          <w:u w:val="none"/>
          <w:lang w:val="en-US" w:eastAsia="zh-CN" w:bidi="ar"/>
        </w:rPr>
      </w:pPr>
    </w:p>
    <w:p>
      <w:pPr>
        <w:pStyle w:val="16"/>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江口县2018年农村“厕所革命”省级奖补资金工程项目采购</w:t>
      </w:r>
    </w:p>
    <w:p>
      <w:pPr>
        <w:pStyle w:val="16"/>
      </w:pPr>
      <w:r>
        <w:rPr>
          <w:rFonts w:hint="eastAsia" w:ascii="宋体" w:hAnsi="宋体" w:eastAsia="宋体" w:cs="宋体"/>
          <w:b/>
          <w:i w:val="0"/>
          <w:color w:val="000000"/>
          <w:kern w:val="0"/>
          <w:sz w:val="28"/>
          <w:szCs w:val="28"/>
          <w:u w:val="none"/>
          <w:lang w:val="en-US" w:eastAsia="zh-CN" w:bidi="ar"/>
        </w:rPr>
        <w:t>工程量清单</w:t>
      </w:r>
    </w:p>
    <w:tbl>
      <w:tblPr>
        <w:tblStyle w:val="13"/>
        <w:tblW w:w="9771" w:type="dxa"/>
        <w:tblInd w:w="0" w:type="dxa"/>
        <w:shd w:val="clear" w:color="auto" w:fill="auto"/>
        <w:tblLayout w:type="autofit"/>
        <w:tblCellMar>
          <w:top w:w="0" w:type="dxa"/>
          <w:left w:w="0" w:type="dxa"/>
          <w:bottom w:w="0" w:type="dxa"/>
          <w:right w:w="0" w:type="dxa"/>
        </w:tblCellMar>
      </w:tblPr>
      <w:tblGrid>
        <w:gridCol w:w="705"/>
        <w:gridCol w:w="1200"/>
        <w:gridCol w:w="1396"/>
        <w:gridCol w:w="1214"/>
        <w:gridCol w:w="990"/>
        <w:gridCol w:w="600"/>
        <w:gridCol w:w="796"/>
        <w:gridCol w:w="989"/>
        <w:gridCol w:w="225"/>
        <w:gridCol w:w="1020"/>
        <w:gridCol w:w="636"/>
      </w:tblGrid>
      <w:tr>
        <w:tblPrEx>
          <w:tblCellMar>
            <w:top w:w="0" w:type="dxa"/>
            <w:left w:w="0" w:type="dxa"/>
            <w:bottom w:w="0" w:type="dxa"/>
            <w:right w:w="0" w:type="dxa"/>
          </w:tblCellMar>
        </w:tblPrEx>
        <w:trPr>
          <w:trHeight w:val="300" w:hRule="atLeast"/>
        </w:trPr>
        <w:tc>
          <w:tcPr>
            <w:tcW w:w="9771" w:type="dxa"/>
            <w:gridSpan w:val="11"/>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50" w:hRule="atLeast"/>
        </w:trPr>
        <w:tc>
          <w:tcPr>
            <w:tcW w:w="9771" w:type="dxa"/>
            <w:gridSpan w:val="1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分部分项工程和单价措施项目清单与计价表</w:t>
            </w:r>
          </w:p>
        </w:tc>
      </w:tr>
      <w:tr>
        <w:tblPrEx>
          <w:tblCellMar>
            <w:top w:w="0" w:type="dxa"/>
            <w:left w:w="0" w:type="dxa"/>
            <w:bottom w:w="0" w:type="dxa"/>
            <w:right w:w="0" w:type="dxa"/>
          </w:tblCellMar>
        </w:tblPrEx>
        <w:trPr>
          <w:trHeight w:val="750" w:hRule="atLeast"/>
        </w:trPr>
        <w:tc>
          <w:tcPr>
            <w:tcW w:w="4515" w:type="dxa"/>
            <w:gridSpan w:val="4"/>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工程名称：污水管网工程</w:t>
            </w:r>
          </w:p>
        </w:tc>
        <w:tc>
          <w:tcPr>
            <w:tcW w:w="3375" w:type="dxa"/>
            <w:gridSpan w:val="4"/>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标段：江口县2018年农村“厕所革命”省级奖补资金工程项目</w:t>
            </w:r>
            <w:r>
              <w:rPr>
                <w:rFonts w:hint="eastAsia" w:cs="宋体"/>
                <w:i w:val="0"/>
                <w:color w:val="000000"/>
                <w:kern w:val="0"/>
                <w:sz w:val="18"/>
                <w:szCs w:val="18"/>
                <w:u w:val="none"/>
                <w:lang w:val="en-US" w:eastAsia="zh-CN" w:bidi="ar"/>
              </w:rPr>
              <w:t>采购</w:t>
            </w:r>
          </w:p>
        </w:tc>
        <w:tc>
          <w:tcPr>
            <w:tcW w:w="1881" w:type="dxa"/>
            <w:gridSpan w:val="3"/>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  1  页  共  3  页</w:t>
            </w:r>
          </w:p>
        </w:tc>
      </w:tr>
      <w:tr>
        <w:tblPrEx>
          <w:shd w:val="clear" w:color="auto" w:fill="auto"/>
          <w:tblCellMar>
            <w:top w:w="0" w:type="dxa"/>
            <w:left w:w="0" w:type="dxa"/>
            <w:bottom w:w="0" w:type="dxa"/>
            <w:right w:w="0" w:type="dxa"/>
          </w:tblCellMar>
        </w:tblPrEx>
        <w:trPr>
          <w:trHeight w:val="465" w:hRule="atLeast"/>
        </w:trPr>
        <w:tc>
          <w:tcPr>
            <w:tcW w:w="705"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20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项目编码</w:t>
            </w:r>
          </w:p>
        </w:tc>
        <w:tc>
          <w:tcPr>
            <w:tcW w:w="1396"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2204"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项目特征描述</w:t>
            </w:r>
          </w:p>
        </w:tc>
        <w:tc>
          <w:tcPr>
            <w:tcW w:w="60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796"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工程量</w:t>
            </w:r>
          </w:p>
        </w:tc>
        <w:tc>
          <w:tcPr>
            <w:tcW w:w="2870" w:type="dxa"/>
            <w:gridSpan w:val="4"/>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金额（元）</w:t>
            </w:r>
          </w:p>
        </w:tc>
      </w:tr>
      <w:tr>
        <w:tblPrEx>
          <w:shd w:val="clear" w:color="auto" w:fill="auto"/>
          <w:tblCellMar>
            <w:top w:w="0" w:type="dxa"/>
            <w:left w:w="0" w:type="dxa"/>
            <w:bottom w:w="0" w:type="dxa"/>
            <w:right w:w="0" w:type="dxa"/>
          </w:tblCellMar>
        </w:tblPrEx>
        <w:trPr>
          <w:trHeight w:val="465" w:hRule="atLeast"/>
        </w:trPr>
        <w:tc>
          <w:tcPr>
            <w:tcW w:w="705"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96"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04"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6"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4"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综合单价</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合价</w:t>
            </w:r>
          </w:p>
        </w:tc>
        <w:tc>
          <w:tcPr>
            <w:tcW w:w="6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w:t>
            </w:r>
          </w:p>
        </w:tc>
      </w:tr>
      <w:tr>
        <w:tblPrEx>
          <w:shd w:val="clear" w:color="auto" w:fill="auto"/>
          <w:tblCellMar>
            <w:top w:w="0" w:type="dxa"/>
            <w:left w:w="0" w:type="dxa"/>
            <w:bottom w:w="0" w:type="dxa"/>
            <w:right w:w="0" w:type="dxa"/>
          </w:tblCellMar>
        </w:tblPrEx>
        <w:trPr>
          <w:trHeight w:val="465" w:hRule="atLeast"/>
        </w:trPr>
        <w:tc>
          <w:tcPr>
            <w:tcW w:w="705"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96"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04"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6"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4"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暂估价</w:t>
            </w:r>
          </w:p>
        </w:tc>
      </w:tr>
      <w:tr>
        <w:tblPrEx>
          <w:tblCellMar>
            <w:top w:w="0" w:type="dxa"/>
            <w:left w:w="0" w:type="dxa"/>
            <w:bottom w:w="0" w:type="dxa"/>
            <w:right w:w="0" w:type="dxa"/>
          </w:tblCellMar>
        </w:tblPrEx>
        <w:trPr>
          <w:trHeight w:val="46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污水管网</w:t>
            </w:r>
          </w:p>
        </w:tc>
        <w:tc>
          <w:tcPr>
            <w:tcW w:w="22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7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040101002001</w:t>
            </w:r>
          </w:p>
        </w:tc>
        <w:tc>
          <w:tcPr>
            <w:tcW w:w="13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挖沟槽土方</w:t>
            </w:r>
          </w:p>
        </w:tc>
        <w:tc>
          <w:tcPr>
            <w:tcW w:w="22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1.土壤类别:三、四类土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2.挖土深度:2米内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3.土石比:暂按7：3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4.开挖方式:机械开挖</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996.71</w:t>
            </w:r>
          </w:p>
        </w:tc>
        <w:tc>
          <w:tcPr>
            <w:tcW w:w="121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5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040102002001</w:t>
            </w:r>
          </w:p>
        </w:tc>
        <w:tc>
          <w:tcPr>
            <w:tcW w:w="13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挖沟槽石方</w:t>
            </w:r>
          </w:p>
        </w:tc>
        <w:tc>
          <w:tcPr>
            <w:tcW w:w="22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1.岩石类别:普坚石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2.开凿深度:2m内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3.土石比:暂按7：3</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427.16</w:t>
            </w:r>
          </w:p>
        </w:tc>
        <w:tc>
          <w:tcPr>
            <w:tcW w:w="121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5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040305001001</w:t>
            </w:r>
          </w:p>
        </w:tc>
        <w:tc>
          <w:tcPr>
            <w:tcW w:w="13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垫层</w:t>
            </w:r>
          </w:p>
        </w:tc>
        <w:tc>
          <w:tcPr>
            <w:tcW w:w="22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1.材料品种、规格:砂、砾石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2.厚度:200mm厚</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289.72</w:t>
            </w:r>
          </w:p>
        </w:tc>
        <w:tc>
          <w:tcPr>
            <w:tcW w:w="121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5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040103001001</w:t>
            </w:r>
          </w:p>
        </w:tc>
        <w:tc>
          <w:tcPr>
            <w:tcW w:w="13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回填方</w:t>
            </w:r>
          </w:p>
        </w:tc>
        <w:tc>
          <w:tcPr>
            <w:tcW w:w="22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1.密实度要求:93%以上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2.填方材料品种:粗砂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3.填方来源、运距:外购</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424.61</w:t>
            </w:r>
          </w:p>
        </w:tc>
        <w:tc>
          <w:tcPr>
            <w:tcW w:w="121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7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040103001002</w:t>
            </w:r>
          </w:p>
        </w:tc>
        <w:tc>
          <w:tcPr>
            <w:tcW w:w="13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回填方</w:t>
            </w:r>
          </w:p>
        </w:tc>
        <w:tc>
          <w:tcPr>
            <w:tcW w:w="22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1.填方材料品种:开挖土方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2.填方粒径要求:按设计要求</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724.31</w:t>
            </w:r>
          </w:p>
        </w:tc>
        <w:tc>
          <w:tcPr>
            <w:tcW w:w="121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040103002001</w:t>
            </w:r>
          </w:p>
        </w:tc>
        <w:tc>
          <w:tcPr>
            <w:tcW w:w="13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余方弃置</w:t>
            </w:r>
          </w:p>
        </w:tc>
        <w:tc>
          <w:tcPr>
            <w:tcW w:w="22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1.废弃料品种:废弃土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2.运距:3km以内</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272.4</w:t>
            </w:r>
          </w:p>
        </w:tc>
        <w:tc>
          <w:tcPr>
            <w:tcW w:w="121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040103002002</w:t>
            </w:r>
          </w:p>
        </w:tc>
        <w:tc>
          <w:tcPr>
            <w:tcW w:w="13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余方弃置</w:t>
            </w:r>
          </w:p>
        </w:tc>
        <w:tc>
          <w:tcPr>
            <w:tcW w:w="22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1.废弃料品种:废弃石碴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2.运距:3km以内</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427.16</w:t>
            </w:r>
          </w:p>
        </w:tc>
        <w:tc>
          <w:tcPr>
            <w:tcW w:w="121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20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040501004001</w:t>
            </w:r>
          </w:p>
        </w:tc>
        <w:tc>
          <w:tcPr>
            <w:tcW w:w="13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污水管</w:t>
            </w:r>
          </w:p>
        </w:tc>
        <w:tc>
          <w:tcPr>
            <w:tcW w:w="22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1.材质及规格:  DN300双壁波纹管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2.连接形式:橡胶圈连接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3.管道检验及试验要求:按设计要求</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1818.93</w:t>
            </w:r>
          </w:p>
        </w:tc>
        <w:tc>
          <w:tcPr>
            <w:tcW w:w="121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20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040501004002</w:t>
            </w:r>
          </w:p>
        </w:tc>
        <w:tc>
          <w:tcPr>
            <w:tcW w:w="13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污水管</w:t>
            </w:r>
          </w:p>
        </w:tc>
        <w:tc>
          <w:tcPr>
            <w:tcW w:w="22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1.材质及规格: DN200双壁波纹管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2.连接形式:橡胶圈连接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3.管道检验及试验要求:按设计要求</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430.26</w:t>
            </w:r>
          </w:p>
        </w:tc>
        <w:tc>
          <w:tcPr>
            <w:tcW w:w="121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20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040501004003</w:t>
            </w:r>
          </w:p>
        </w:tc>
        <w:tc>
          <w:tcPr>
            <w:tcW w:w="13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污水管</w:t>
            </w:r>
          </w:p>
        </w:tc>
        <w:tc>
          <w:tcPr>
            <w:tcW w:w="22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1.材质及规格: De150pvc塑料管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2.连接形式:管件连接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3.管道检验及试验要求:按设计要求</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w:t>
            </w:r>
          </w:p>
        </w:tc>
        <w:tc>
          <w:tcPr>
            <w:tcW w:w="121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30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040504001001</w:t>
            </w:r>
          </w:p>
        </w:tc>
        <w:tc>
          <w:tcPr>
            <w:tcW w:w="13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砌筑井</w:t>
            </w:r>
          </w:p>
        </w:tc>
        <w:tc>
          <w:tcPr>
            <w:tcW w:w="22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1.检查井类型:直筒式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2.垫层材质及厚度:100厚C15混凝土垫层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3.砌筑材料品种、规格、强度等级:M10水</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座</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121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trPr>
        <w:tc>
          <w:tcPr>
            <w:tcW w:w="8115" w:type="dxa"/>
            <w:gridSpan w:val="9"/>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本页小计</w:t>
            </w:r>
          </w:p>
        </w:tc>
        <w:tc>
          <w:tcPr>
            <w:tcW w:w="1020"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9771" w:type="dxa"/>
            <w:gridSpan w:val="11"/>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注：为记取规费等的使用，可在表中增设其中：“定额人工费”。</w:t>
            </w:r>
          </w:p>
        </w:tc>
      </w:tr>
      <w:tr>
        <w:tblPrEx>
          <w:shd w:val="clear" w:color="auto" w:fill="auto"/>
          <w:tblCellMar>
            <w:top w:w="0" w:type="dxa"/>
            <w:left w:w="0" w:type="dxa"/>
            <w:bottom w:w="0" w:type="dxa"/>
            <w:right w:w="0" w:type="dxa"/>
          </w:tblCellMar>
        </w:tblPrEx>
        <w:trPr>
          <w:trHeight w:val="315" w:hRule="atLeast"/>
        </w:trPr>
        <w:tc>
          <w:tcPr>
            <w:tcW w:w="4515" w:type="dxa"/>
            <w:gridSpan w:val="4"/>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3375" w:type="dxa"/>
            <w:gridSpan w:val="4"/>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81" w:type="dxa"/>
            <w:gridSpan w:val="3"/>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表-08</w:t>
            </w:r>
          </w:p>
        </w:tc>
      </w:tr>
      <w:tr>
        <w:tblPrEx>
          <w:shd w:val="clear" w:color="auto" w:fill="auto"/>
          <w:tblCellMar>
            <w:top w:w="0" w:type="dxa"/>
            <w:left w:w="0" w:type="dxa"/>
            <w:bottom w:w="0" w:type="dxa"/>
            <w:right w:w="0" w:type="dxa"/>
          </w:tblCellMar>
        </w:tblPrEx>
        <w:trPr>
          <w:trHeight w:val="300" w:hRule="atLeast"/>
        </w:trPr>
        <w:tc>
          <w:tcPr>
            <w:tcW w:w="9771" w:type="dxa"/>
            <w:gridSpan w:val="11"/>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50" w:hRule="atLeast"/>
        </w:trPr>
        <w:tc>
          <w:tcPr>
            <w:tcW w:w="9771" w:type="dxa"/>
            <w:gridSpan w:val="1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分部分项工程和单价措施项目清单与计价表</w:t>
            </w:r>
          </w:p>
        </w:tc>
      </w:tr>
      <w:tr>
        <w:tblPrEx>
          <w:shd w:val="clear" w:color="auto" w:fill="auto"/>
          <w:tblCellMar>
            <w:top w:w="0" w:type="dxa"/>
            <w:left w:w="0" w:type="dxa"/>
            <w:bottom w:w="0" w:type="dxa"/>
            <w:right w:w="0" w:type="dxa"/>
          </w:tblCellMar>
        </w:tblPrEx>
        <w:trPr>
          <w:trHeight w:val="750" w:hRule="atLeast"/>
        </w:trPr>
        <w:tc>
          <w:tcPr>
            <w:tcW w:w="4515" w:type="dxa"/>
            <w:gridSpan w:val="4"/>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工程名称：污水管网工程</w:t>
            </w:r>
          </w:p>
        </w:tc>
        <w:tc>
          <w:tcPr>
            <w:tcW w:w="3375" w:type="dxa"/>
            <w:gridSpan w:val="4"/>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标段：江口县2018年农村“厕所革命”省级奖补资金工程项目</w:t>
            </w:r>
            <w:r>
              <w:rPr>
                <w:rFonts w:hint="eastAsia" w:cs="宋体"/>
                <w:i w:val="0"/>
                <w:color w:val="000000"/>
                <w:kern w:val="0"/>
                <w:sz w:val="18"/>
                <w:szCs w:val="18"/>
                <w:u w:val="none"/>
                <w:lang w:val="en-US" w:eastAsia="zh-CN" w:bidi="ar"/>
              </w:rPr>
              <w:t>采购</w:t>
            </w:r>
          </w:p>
        </w:tc>
        <w:tc>
          <w:tcPr>
            <w:tcW w:w="1881" w:type="dxa"/>
            <w:gridSpan w:val="3"/>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  2  页  共  3  页</w:t>
            </w:r>
          </w:p>
        </w:tc>
      </w:tr>
      <w:tr>
        <w:tblPrEx>
          <w:tblCellMar>
            <w:top w:w="0" w:type="dxa"/>
            <w:left w:w="0" w:type="dxa"/>
            <w:bottom w:w="0" w:type="dxa"/>
            <w:right w:w="0" w:type="dxa"/>
          </w:tblCellMar>
        </w:tblPrEx>
        <w:trPr>
          <w:trHeight w:val="465" w:hRule="atLeast"/>
        </w:trPr>
        <w:tc>
          <w:tcPr>
            <w:tcW w:w="705"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20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项目编码</w:t>
            </w:r>
          </w:p>
        </w:tc>
        <w:tc>
          <w:tcPr>
            <w:tcW w:w="1396"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2204"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项目特征描述</w:t>
            </w:r>
          </w:p>
        </w:tc>
        <w:tc>
          <w:tcPr>
            <w:tcW w:w="60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796"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工程量</w:t>
            </w:r>
          </w:p>
        </w:tc>
        <w:tc>
          <w:tcPr>
            <w:tcW w:w="2870" w:type="dxa"/>
            <w:gridSpan w:val="4"/>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金额（元）</w:t>
            </w:r>
          </w:p>
        </w:tc>
      </w:tr>
      <w:tr>
        <w:tblPrEx>
          <w:tblCellMar>
            <w:top w:w="0" w:type="dxa"/>
            <w:left w:w="0" w:type="dxa"/>
            <w:bottom w:w="0" w:type="dxa"/>
            <w:right w:w="0" w:type="dxa"/>
          </w:tblCellMar>
        </w:tblPrEx>
        <w:trPr>
          <w:trHeight w:val="465" w:hRule="atLeast"/>
        </w:trPr>
        <w:tc>
          <w:tcPr>
            <w:tcW w:w="705"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96"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04"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6"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4"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综合单价</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合价</w:t>
            </w:r>
          </w:p>
        </w:tc>
        <w:tc>
          <w:tcPr>
            <w:tcW w:w="6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w:t>
            </w:r>
          </w:p>
        </w:tc>
      </w:tr>
      <w:tr>
        <w:tblPrEx>
          <w:tblCellMar>
            <w:top w:w="0" w:type="dxa"/>
            <w:left w:w="0" w:type="dxa"/>
            <w:bottom w:w="0" w:type="dxa"/>
            <w:right w:w="0" w:type="dxa"/>
          </w:tblCellMar>
        </w:tblPrEx>
        <w:trPr>
          <w:trHeight w:val="525" w:hRule="atLeast"/>
        </w:trPr>
        <w:tc>
          <w:tcPr>
            <w:tcW w:w="705"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96"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04"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6"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4"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暂估价</w:t>
            </w:r>
          </w:p>
        </w:tc>
      </w:tr>
      <w:tr>
        <w:tblPrEx>
          <w:tblCellMar>
            <w:top w:w="0" w:type="dxa"/>
            <w:left w:w="0" w:type="dxa"/>
            <w:bottom w:w="0" w:type="dxa"/>
            <w:right w:w="0" w:type="dxa"/>
          </w:tblCellMar>
        </w:tblPrEx>
        <w:trPr>
          <w:trHeight w:val="126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泥砂浆砌MU15水泥标砖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4.勾缝、抹面要求:1：2防水砂浆抹灰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5.盖板材质、规格:φ700球墨铸铁型井盖</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32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040504001002</w:t>
            </w:r>
          </w:p>
        </w:tc>
        <w:tc>
          <w:tcPr>
            <w:tcW w:w="13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砌筑井</w:t>
            </w:r>
          </w:p>
        </w:tc>
        <w:tc>
          <w:tcPr>
            <w:tcW w:w="22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1.检查井类型:收口式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2.垫层材质及厚度:100厚C15混凝土垫层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3.砌筑材料品种、规格、强度等级:M10水泥砂浆砌MU15水泥标砖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4.勾缝、抹面要求:1：2防水砂浆抹灰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5.盖板材质、规格:φ700球墨铸铁型井盖</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座</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21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生态池</w:t>
            </w:r>
          </w:p>
        </w:tc>
        <w:tc>
          <w:tcPr>
            <w:tcW w:w="22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7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040101003001</w:t>
            </w:r>
          </w:p>
        </w:tc>
        <w:tc>
          <w:tcPr>
            <w:tcW w:w="13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挖基坑土方</w:t>
            </w:r>
          </w:p>
        </w:tc>
        <w:tc>
          <w:tcPr>
            <w:tcW w:w="22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1.土壤类别:三、四类土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2.挖土深度:4米内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3.土石比:暂按7：3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4.开挖方式:机械开挖</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74.34</w:t>
            </w:r>
          </w:p>
        </w:tc>
        <w:tc>
          <w:tcPr>
            <w:tcW w:w="121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5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040102002002</w:t>
            </w:r>
          </w:p>
        </w:tc>
        <w:tc>
          <w:tcPr>
            <w:tcW w:w="13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挖沟槽石方</w:t>
            </w:r>
          </w:p>
        </w:tc>
        <w:tc>
          <w:tcPr>
            <w:tcW w:w="22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1.岩石类别:普坚石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2.开凿深度:2m内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3.土石比:暂按7：3</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31.86</w:t>
            </w:r>
          </w:p>
        </w:tc>
        <w:tc>
          <w:tcPr>
            <w:tcW w:w="121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040103002003</w:t>
            </w:r>
          </w:p>
        </w:tc>
        <w:tc>
          <w:tcPr>
            <w:tcW w:w="13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余方弃置</w:t>
            </w:r>
          </w:p>
        </w:tc>
        <w:tc>
          <w:tcPr>
            <w:tcW w:w="22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1.废弃料品种:废弃土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2.运距:3km以内</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74.34</w:t>
            </w:r>
          </w:p>
        </w:tc>
        <w:tc>
          <w:tcPr>
            <w:tcW w:w="121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040103002004</w:t>
            </w:r>
          </w:p>
        </w:tc>
        <w:tc>
          <w:tcPr>
            <w:tcW w:w="13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余方弃置</w:t>
            </w:r>
          </w:p>
        </w:tc>
        <w:tc>
          <w:tcPr>
            <w:tcW w:w="22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1.废弃料品种:废弃石碴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2.运距:3km以内</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31.86</w:t>
            </w:r>
          </w:p>
        </w:tc>
        <w:tc>
          <w:tcPr>
            <w:tcW w:w="121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5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040305001002</w:t>
            </w:r>
          </w:p>
        </w:tc>
        <w:tc>
          <w:tcPr>
            <w:tcW w:w="13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垫层</w:t>
            </w:r>
          </w:p>
        </w:tc>
        <w:tc>
          <w:tcPr>
            <w:tcW w:w="22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1.材料品种、规格:普通C15混凝土垫层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2.厚度:100mm</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3.97</w:t>
            </w:r>
          </w:p>
        </w:tc>
        <w:tc>
          <w:tcPr>
            <w:tcW w:w="121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7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040406002001</w:t>
            </w:r>
          </w:p>
        </w:tc>
        <w:tc>
          <w:tcPr>
            <w:tcW w:w="13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混凝土底板</w:t>
            </w:r>
          </w:p>
        </w:tc>
        <w:tc>
          <w:tcPr>
            <w:tcW w:w="22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1.类别、部位:隔油池、生态滤池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2.混凝土强度等级:c25钢筋混凝土底板</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121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7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010515001001</w:t>
            </w:r>
          </w:p>
        </w:tc>
        <w:tc>
          <w:tcPr>
            <w:tcW w:w="13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现浇构件钢筋</w:t>
            </w:r>
          </w:p>
        </w:tc>
        <w:tc>
          <w:tcPr>
            <w:tcW w:w="22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1.钢筋种类、规格:现浇构件带肋钢筋 带肋钢筋，直径12≤HRB400 直径≤18mm</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21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3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010401003001</w:t>
            </w:r>
          </w:p>
        </w:tc>
        <w:tc>
          <w:tcPr>
            <w:tcW w:w="13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实心砖墙</w:t>
            </w:r>
          </w:p>
        </w:tc>
        <w:tc>
          <w:tcPr>
            <w:tcW w:w="22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1.砖品种、规格、强度等级:MU10标砖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2.墙体类型:池体墙</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40.37</w:t>
            </w:r>
          </w:p>
        </w:tc>
        <w:tc>
          <w:tcPr>
            <w:tcW w:w="121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75" w:hRule="atLeast"/>
        </w:trPr>
        <w:tc>
          <w:tcPr>
            <w:tcW w:w="8115" w:type="dxa"/>
            <w:gridSpan w:val="9"/>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本页小计</w:t>
            </w:r>
          </w:p>
        </w:tc>
        <w:tc>
          <w:tcPr>
            <w:tcW w:w="1020"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55" w:hRule="atLeast"/>
        </w:trPr>
        <w:tc>
          <w:tcPr>
            <w:tcW w:w="9771" w:type="dxa"/>
            <w:gridSpan w:val="11"/>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注：为记取规费等的使用，可在表中增设其中：“定额人工费”。</w:t>
            </w:r>
          </w:p>
        </w:tc>
      </w:tr>
      <w:tr>
        <w:tblPrEx>
          <w:tblCellMar>
            <w:top w:w="0" w:type="dxa"/>
            <w:left w:w="0" w:type="dxa"/>
            <w:bottom w:w="0" w:type="dxa"/>
            <w:right w:w="0" w:type="dxa"/>
          </w:tblCellMar>
        </w:tblPrEx>
        <w:trPr>
          <w:trHeight w:val="315" w:hRule="atLeast"/>
        </w:trPr>
        <w:tc>
          <w:tcPr>
            <w:tcW w:w="4515" w:type="dxa"/>
            <w:gridSpan w:val="4"/>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3375" w:type="dxa"/>
            <w:gridSpan w:val="4"/>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81" w:type="dxa"/>
            <w:gridSpan w:val="3"/>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表-08</w:t>
            </w:r>
          </w:p>
        </w:tc>
      </w:tr>
      <w:tr>
        <w:tblPrEx>
          <w:tblCellMar>
            <w:top w:w="0" w:type="dxa"/>
            <w:left w:w="0" w:type="dxa"/>
            <w:bottom w:w="0" w:type="dxa"/>
            <w:right w:w="0" w:type="dxa"/>
          </w:tblCellMar>
        </w:tblPrEx>
        <w:trPr>
          <w:trHeight w:val="300" w:hRule="atLeast"/>
        </w:trPr>
        <w:tc>
          <w:tcPr>
            <w:tcW w:w="9771" w:type="dxa"/>
            <w:gridSpan w:val="11"/>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50" w:hRule="atLeast"/>
        </w:trPr>
        <w:tc>
          <w:tcPr>
            <w:tcW w:w="9771" w:type="dxa"/>
            <w:gridSpan w:val="1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分部分项工程和单价措施项目清单与计价表</w:t>
            </w:r>
          </w:p>
        </w:tc>
      </w:tr>
      <w:tr>
        <w:tblPrEx>
          <w:shd w:val="clear" w:color="auto" w:fill="auto"/>
          <w:tblCellMar>
            <w:top w:w="0" w:type="dxa"/>
            <w:left w:w="0" w:type="dxa"/>
            <w:bottom w:w="0" w:type="dxa"/>
            <w:right w:w="0" w:type="dxa"/>
          </w:tblCellMar>
        </w:tblPrEx>
        <w:trPr>
          <w:trHeight w:val="750" w:hRule="atLeast"/>
        </w:trPr>
        <w:tc>
          <w:tcPr>
            <w:tcW w:w="4515" w:type="dxa"/>
            <w:gridSpan w:val="4"/>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工程名称：污水管网工程</w:t>
            </w:r>
          </w:p>
        </w:tc>
        <w:tc>
          <w:tcPr>
            <w:tcW w:w="3375" w:type="dxa"/>
            <w:gridSpan w:val="4"/>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标段：江口县2018年农村“厕所革命”省级奖补资金工程项目</w:t>
            </w:r>
            <w:r>
              <w:rPr>
                <w:rFonts w:hint="eastAsia" w:cs="宋体"/>
                <w:i w:val="0"/>
                <w:color w:val="000000"/>
                <w:kern w:val="0"/>
                <w:sz w:val="18"/>
                <w:szCs w:val="18"/>
                <w:u w:val="none"/>
                <w:lang w:val="en-US" w:eastAsia="zh-CN" w:bidi="ar"/>
              </w:rPr>
              <w:t>采购</w:t>
            </w:r>
          </w:p>
        </w:tc>
        <w:tc>
          <w:tcPr>
            <w:tcW w:w="1881" w:type="dxa"/>
            <w:gridSpan w:val="3"/>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  3  页  共  3  页</w:t>
            </w:r>
          </w:p>
        </w:tc>
      </w:tr>
      <w:tr>
        <w:tblPrEx>
          <w:shd w:val="clear" w:color="auto" w:fill="auto"/>
          <w:tblCellMar>
            <w:top w:w="0" w:type="dxa"/>
            <w:left w:w="0" w:type="dxa"/>
            <w:bottom w:w="0" w:type="dxa"/>
            <w:right w:w="0" w:type="dxa"/>
          </w:tblCellMar>
        </w:tblPrEx>
        <w:trPr>
          <w:trHeight w:val="465" w:hRule="atLeast"/>
        </w:trPr>
        <w:tc>
          <w:tcPr>
            <w:tcW w:w="705"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20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项目编码</w:t>
            </w:r>
          </w:p>
        </w:tc>
        <w:tc>
          <w:tcPr>
            <w:tcW w:w="1396"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2204"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项目特征描述</w:t>
            </w:r>
          </w:p>
        </w:tc>
        <w:tc>
          <w:tcPr>
            <w:tcW w:w="60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796"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工程量</w:t>
            </w:r>
          </w:p>
        </w:tc>
        <w:tc>
          <w:tcPr>
            <w:tcW w:w="2870" w:type="dxa"/>
            <w:gridSpan w:val="4"/>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金额（元）</w:t>
            </w:r>
          </w:p>
        </w:tc>
      </w:tr>
      <w:tr>
        <w:tblPrEx>
          <w:shd w:val="clear" w:color="auto" w:fill="auto"/>
          <w:tblCellMar>
            <w:top w:w="0" w:type="dxa"/>
            <w:left w:w="0" w:type="dxa"/>
            <w:bottom w:w="0" w:type="dxa"/>
            <w:right w:w="0" w:type="dxa"/>
          </w:tblCellMar>
        </w:tblPrEx>
        <w:trPr>
          <w:trHeight w:val="465" w:hRule="atLeast"/>
        </w:trPr>
        <w:tc>
          <w:tcPr>
            <w:tcW w:w="705"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96"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04"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6"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4"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综合单价</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合价</w:t>
            </w:r>
          </w:p>
        </w:tc>
        <w:tc>
          <w:tcPr>
            <w:tcW w:w="6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w:t>
            </w:r>
          </w:p>
        </w:tc>
      </w:tr>
      <w:tr>
        <w:tblPrEx>
          <w:shd w:val="clear" w:color="auto" w:fill="auto"/>
          <w:tblCellMar>
            <w:top w:w="0" w:type="dxa"/>
            <w:left w:w="0" w:type="dxa"/>
            <w:bottom w:w="0" w:type="dxa"/>
            <w:right w:w="0" w:type="dxa"/>
          </w:tblCellMar>
        </w:tblPrEx>
        <w:trPr>
          <w:trHeight w:val="525" w:hRule="atLeast"/>
        </w:trPr>
        <w:tc>
          <w:tcPr>
            <w:tcW w:w="705"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96"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04"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6"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4"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暂估价</w:t>
            </w:r>
          </w:p>
        </w:tc>
      </w:tr>
      <w:tr>
        <w:tblPrEx>
          <w:shd w:val="clear" w:color="auto" w:fill="auto"/>
          <w:tblCellMar>
            <w:top w:w="0" w:type="dxa"/>
            <w:left w:w="0" w:type="dxa"/>
            <w:bottom w:w="0" w:type="dxa"/>
            <w:right w:w="0" w:type="dxa"/>
          </w:tblCellMar>
        </w:tblPrEx>
        <w:trPr>
          <w:trHeight w:val="58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3.砂浆强度等级、配合比:M7.5砌筑砂浆</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5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010502002001</w:t>
            </w:r>
          </w:p>
        </w:tc>
        <w:tc>
          <w:tcPr>
            <w:tcW w:w="13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构造柱</w:t>
            </w:r>
          </w:p>
        </w:tc>
        <w:tc>
          <w:tcPr>
            <w:tcW w:w="22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1.混凝土种类:预拌混凝土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2.混凝土强度等级:C25</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1.63</w:t>
            </w:r>
          </w:p>
        </w:tc>
        <w:tc>
          <w:tcPr>
            <w:tcW w:w="121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5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010503004001</w:t>
            </w:r>
          </w:p>
        </w:tc>
        <w:tc>
          <w:tcPr>
            <w:tcW w:w="13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圈梁</w:t>
            </w:r>
          </w:p>
        </w:tc>
        <w:tc>
          <w:tcPr>
            <w:tcW w:w="22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1.混凝土种类:预拌混凝土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2.混凝土强度等级:C25</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0.54</w:t>
            </w:r>
          </w:p>
        </w:tc>
        <w:tc>
          <w:tcPr>
            <w:tcW w:w="121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5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010505003001</w:t>
            </w:r>
          </w:p>
        </w:tc>
        <w:tc>
          <w:tcPr>
            <w:tcW w:w="13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平板</w:t>
            </w:r>
          </w:p>
        </w:tc>
        <w:tc>
          <w:tcPr>
            <w:tcW w:w="22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1.混凝土种类:预拌混凝土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2.混凝土强度等级:C25</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121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010512008001</w:t>
            </w:r>
          </w:p>
        </w:tc>
        <w:tc>
          <w:tcPr>
            <w:tcW w:w="13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沟盖板、井盖板、井圈</w:t>
            </w:r>
          </w:p>
        </w:tc>
        <w:tc>
          <w:tcPr>
            <w:tcW w:w="22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1.材质:直径940复合井盖</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21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031001006001</w:t>
            </w:r>
          </w:p>
        </w:tc>
        <w:tc>
          <w:tcPr>
            <w:tcW w:w="13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塑料管</w:t>
            </w:r>
          </w:p>
        </w:tc>
        <w:tc>
          <w:tcPr>
            <w:tcW w:w="22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1.安装部位:进水管</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21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50"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04B001</w:t>
            </w:r>
          </w:p>
        </w:tc>
        <w:tc>
          <w:tcPr>
            <w:tcW w:w="13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挂网膜</w:t>
            </w:r>
          </w:p>
        </w:tc>
        <w:tc>
          <w:tcPr>
            <w:tcW w:w="22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1.φ150立体弹性填料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2.φ12三级钢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3.详见施工图</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21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7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04B002</w:t>
            </w:r>
          </w:p>
        </w:tc>
        <w:tc>
          <w:tcPr>
            <w:tcW w:w="13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钢爬梯</w:t>
            </w:r>
          </w:p>
        </w:tc>
        <w:tc>
          <w:tcPr>
            <w:tcW w:w="22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1.详见施工图</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21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7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04B003</w:t>
            </w:r>
          </w:p>
        </w:tc>
        <w:tc>
          <w:tcPr>
            <w:tcW w:w="13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生态池填料</w:t>
            </w:r>
          </w:p>
        </w:tc>
        <w:tc>
          <w:tcPr>
            <w:tcW w:w="22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1.生态池填料</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1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7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04B004</w:t>
            </w:r>
          </w:p>
        </w:tc>
        <w:tc>
          <w:tcPr>
            <w:tcW w:w="13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生态池绿化</w:t>
            </w:r>
          </w:p>
        </w:tc>
        <w:tc>
          <w:tcPr>
            <w:tcW w:w="22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1.生态池绿化</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1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3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单价措施项目费</w:t>
            </w:r>
          </w:p>
        </w:tc>
        <w:tc>
          <w:tcPr>
            <w:tcW w:w="22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041106001003</w:t>
            </w:r>
          </w:p>
        </w:tc>
        <w:tc>
          <w:tcPr>
            <w:tcW w:w="13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大型机械设备进出场及安拆</w:t>
            </w:r>
          </w:p>
        </w:tc>
        <w:tc>
          <w:tcPr>
            <w:tcW w:w="22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1.履带式挖掘机</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台．次</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1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7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011702003001</w:t>
            </w:r>
          </w:p>
        </w:tc>
        <w:tc>
          <w:tcPr>
            <w:tcW w:w="13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构造柱</w:t>
            </w:r>
          </w:p>
        </w:tc>
        <w:tc>
          <w:tcPr>
            <w:tcW w:w="22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1.构造柱模板</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12.67</w:t>
            </w:r>
          </w:p>
        </w:tc>
        <w:tc>
          <w:tcPr>
            <w:tcW w:w="121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7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011702008001</w:t>
            </w:r>
          </w:p>
        </w:tc>
        <w:tc>
          <w:tcPr>
            <w:tcW w:w="13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圈梁</w:t>
            </w:r>
          </w:p>
        </w:tc>
        <w:tc>
          <w:tcPr>
            <w:tcW w:w="22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1.圈梁模板</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21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7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011702016001</w:t>
            </w:r>
          </w:p>
        </w:tc>
        <w:tc>
          <w:tcPr>
            <w:tcW w:w="13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平板</w:t>
            </w:r>
          </w:p>
        </w:tc>
        <w:tc>
          <w:tcPr>
            <w:tcW w:w="22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1.现浇混凝土板平板</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21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041106001002</w:t>
            </w:r>
          </w:p>
        </w:tc>
        <w:tc>
          <w:tcPr>
            <w:tcW w:w="13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大型机械设备进出场及安拆</w:t>
            </w:r>
          </w:p>
        </w:tc>
        <w:tc>
          <w:tcPr>
            <w:tcW w:w="22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1.履带式挖掘机</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台．次</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1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7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75"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5" w:hRule="atLeast"/>
        </w:trPr>
        <w:tc>
          <w:tcPr>
            <w:tcW w:w="8115" w:type="dxa"/>
            <w:gridSpan w:val="9"/>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本页小计</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75" w:hRule="atLeast"/>
        </w:trPr>
        <w:tc>
          <w:tcPr>
            <w:tcW w:w="8115" w:type="dxa"/>
            <w:gridSpan w:val="9"/>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    计</w:t>
            </w:r>
          </w:p>
        </w:tc>
        <w:tc>
          <w:tcPr>
            <w:tcW w:w="1020"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6" w:type="dxa"/>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9771" w:type="dxa"/>
            <w:gridSpan w:val="11"/>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注：为记取规费等的使用，可在表中增设其中：“定额人工费”。</w:t>
            </w:r>
          </w:p>
        </w:tc>
      </w:tr>
      <w:tr>
        <w:tblPrEx>
          <w:shd w:val="clear" w:color="auto" w:fill="auto"/>
          <w:tblCellMar>
            <w:top w:w="0" w:type="dxa"/>
            <w:left w:w="0" w:type="dxa"/>
            <w:bottom w:w="0" w:type="dxa"/>
            <w:right w:w="0" w:type="dxa"/>
          </w:tblCellMar>
        </w:tblPrEx>
        <w:trPr>
          <w:trHeight w:val="315" w:hRule="atLeast"/>
        </w:trPr>
        <w:tc>
          <w:tcPr>
            <w:tcW w:w="4515" w:type="dxa"/>
            <w:gridSpan w:val="4"/>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3375" w:type="dxa"/>
            <w:gridSpan w:val="4"/>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81" w:type="dxa"/>
            <w:gridSpan w:val="3"/>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表-08</w:t>
            </w:r>
          </w:p>
        </w:tc>
      </w:tr>
    </w:tbl>
    <w:p>
      <w:pPr>
        <w:pStyle w:val="16"/>
        <w:jc w:val="both"/>
      </w:pPr>
    </w:p>
    <w:p>
      <w:pPr>
        <w:pStyle w:val="16"/>
        <w:jc w:val="both"/>
      </w:pPr>
    </w:p>
    <w:p>
      <w:pPr>
        <w:pStyle w:val="16"/>
        <w:jc w:val="both"/>
      </w:pPr>
    </w:p>
    <w:p>
      <w:pPr>
        <w:pStyle w:val="16"/>
        <w:jc w:val="both"/>
      </w:pPr>
    </w:p>
    <w:p>
      <w:pPr>
        <w:pStyle w:val="16"/>
        <w:jc w:val="both"/>
      </w:pPr>
    </w:p>
    <w:p>
      <w:pPr>
        <w:pStyle w:val="16"/>
        <w:jc w:val="both"/>
      </w:pPr>
    </w:p>
    <w:p>
      <w:pPr>
        <w:pStyle w:val="16"/>
        <w:jc w:val="both"/>
      </w:pPr>
    </w:p>
    <w:p>
      <w:pPr>
        <w:pStyle w:val="16"/>
        <w:jc w:val="both"/>
      </w:pPr>
    </w:p>
    <w:p>
      <w:pPr>
        <w:pStyle w:val="16"/>
        <w:jc w:val="both"/>
      </w:pPr>
    </w:p>
    <w:p>
      <w:pPr>
        <w:pStyle w:val="16"/>
        <w:jc w:val="both"/>
      </w:pPr>
    </w:p>
    <w:p>
      <w:pPr>
        <w:pStyle w:val="16"/>
        <w:jc w:val="both"/>
      </w:pPr>
    </w:p>
    <w:p>
      <w:pPr>
        <w:pStyle w:val="16"/>
        <w:jc w:val="both"/>
      </w:pPr>
    </w:p>
    <w:p>
      <w:pPr>
        <w:pStyle w:val="16"/>
        <w:jc w:val="both"/>
      </w:pPr>
    </w:p>
    <w:p>
      <w:pPr>
        <w:pStyle w:val="16"/>
        <w:jc w:val="both"/>
      </w:pPr>
    </w:p>
    <w:p>
      <w:pPr>
        <w:pStyle w:val="16"/>
        <w:jc w:val="both"/>
      </w:pPr>
    </w:p>
    <w:p>
      <w:pPr>
        <w:pStyle w:val="16"/>
        <w:jc w:val="both"/>
      </w:pPr>
    </w:p>
    <w:p>
      <w:pPr>
        <w:pStyle w:val="16"/>
        <w:jc w:val="both"/>
      </w:pPr>
    </w:p>
    <w:tbl>
      <w:tblPr>
        <w:tblStyle w:val="13"/>
        <w:tblW w:w="9771" w:type="dxa"/>
        <w:tblInd w:w="0" w:type="dxa"/>
        <w:shd w:val="clear" w:color="auto" w:fill="auto"/>
        <w:tblLayout w:type="fixed"/>
        <w:tblCellMar>
          <w:top w:w="0" w:type="dxa"/>
          <w:left w:w="0" w:type="dxa"/>
          <w:bottom w:w="0" w:type="dxa"/>
          <w:right w:w="0" w:type="dxa"/>
        </w:tblCellMar>
      </w:tblPr>
      <w:tblGrid>
        <w:gridCol w:w="498"/>
        <w:gridCol w:w="463"/>
        <w:gridCol w:w="599"/>
        <w:gridCol w:w="1033"/>
        <w:gridCol w:w="729"/>
        <w:gridCol w:w="825"/>
        <w:gridCol w:w="524"/>
        <w:gridCol w:w="688"/>
        <w:gridCol w:w="534"/>
        <w:gridCol w:w="245"/>
        <w:gridCol w:w="960"/>
        <w:gridCol w:w="252"/>
        <w:gridCol w:w="720"/>
        <w:gridCol w:w="1701"/>
      </w:tblGrid>
      <w:tr>
        <w:tblPrEx>
          <w:shd w:val="clear" w:color="auto" w:fill="auto"/>
          <w:tblCellMar>
            <w:top w:w="0" w:type="dxa"/>
            <w:left w:w="0" w:type="dxa"/>
            <w:bottom w:w="0" w:type="dxa"/>
            <w:right w:w="0" w:type="dxa"/>
          </w:tblCellMar>
        </w:tblPrEx>
        <w:trPr>
          <w:trHeight w:val="600" w:hRule="atLeast"/>
        </w:trPr>
        <w:tc>
          <w:tcPr>
            <w:tcW w:w="9771" w:type="dxa"/>
            <w:gridSpan w:val="14"/>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总价措施项目清单与计价表</w:t>
            </w:r>
          </w:p>
        </w:tc>
      </w:tr>
      <w:tr>
        <w:tblPrEx>
          <w:shd w:val="clear" w:color="auto" w:fill="auto"/>
          <w:tblCellMar>
            <w:top w:w="0" w:type="dxa"/>
            <w:left w:w="0" w:type="dxa"/>
            <w:bottom w:w="0" w:type="dxa"/>
            <w:right w:w="0" w:type="dxa"/>
          </w:tblCellMar>
        </w:tblPrEx>
        <w:trPr>
          <w:trHeight w:val="750" w:hRule="atLeast"/>
        </w:trPr>
        <w:tc>
          <w:tcPr>
            <w:tcW w:w="4147" w:type="dxa"/>
            <w:gridSpan w:val="6"/>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工程名称：污水管网工程</w:t>
            </w:r>
          </w:p>
        </w:tc>
        <w:tc>
          <w:tcPr>
            <w:tcW w:w="3203" w:type="dxa"/>
            <w:gridSpan w:val="6"/>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标段：江口县2018年农村“厕所革命”省级奖补资金工程项目</w:t>
            </w:r>
            <w:r>
              <w:rPr>
                <w:rFonts w:hint="eastAsia" w:cs="宋体"/>
                <w:i w:val="0"/>
                <w:color w:val="000000"/>
                <w:kern w:val="0"/>
                <w:sz w:val="18"/>
                <w:szCs w:val="18"/>
                <w:u w:val="none"/>
                <w:lang w:val="en-US" w:eastAsia="zh-CN" w:bidi="ar"/>
              </w:rPr>
              <w:t>采购</w:t>
            </w:r>
          </w:p>
        </w:tc>
        <w:tc>
          <w:tcPr>
            <w:tcW w:w="2421" w:type="dxa"/>
            <w:gridSpan w:val="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  1  页  共  1  页</w:t>
            </w:r>
          </w:p>
        </w:tc>
      </w:tr>
      <w:tr>
        <w:tblPrEx>
          <w:tblCellMar>
            <w:top w:w="0" w:type="dxa"/>
            <w:left w:w="0" w:type="dxa"/>
            <w:bottom w:w="0" w:type="dxa"/>
            <w:right w:w="0" w:type="dxa"/>
          </w:tblCellMar>
        </w:tblPrEx>
        <w:trPr>
          <w:trHeight w:val="525" w:hRule="atLeast"/>
        </w:trPr>
        <w:tc>
          <w:tcPr>
            <w:tcW w:w="498" w:type="dxa"/>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062"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项目编码</w:t>
            </w:r>
          </w:p>
        </w:tc>
        <w:tc>
          <w:tcPr>
            <w:tcW w:w="1762"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349"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计算基础</w:t>
            </w:r>
          </w:p>
        </w:tc>
        <w:tc>
          <w:tcPr>
            <w:tcW w:w="688"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费率(%)</w:t>
            </w:r>
          </w:p>
        </w:tc>
        <w:tc>
          <w:tcPr>
            <w:tcW w:w="779"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金额(元)</w:t>
            </w:r>
          </w:p>
        </w:tc>
        <w:tc>
          <w:tcPr>
            <w:tcW w:w="960"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调整费率(%)</w:t>
            </w:r>
          </w:p>
        </w:tc>
        <w:tc>
          <w:tcPr>
            <w:tcW w:w="972"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调整后金额(元)</w:t>
            </w:r>
          </w:p>
        </w:tc>
        <w:tc>
          <w:tcPr>
            <w:tcW w:w="1701" w:type="dxa"/>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525" w:hRule="atLeast"/>
        </w:trPr>
        <w:tc>
          <w:tcPr>
            <w:tcW w:w="49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6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安全文明施工费</w:t>
            </w:r>
          </w:p>
        </w:tc>
        <w:tc>
          <w:tcPr>
            <w:tcW w:w="134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7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1.1.1+1.1.2+1.1.3+1.1.4</w:t>
            </w:r>
          </w:p>
        </w:tc>
      </w:tr>
      <w:tr>
        <w:tblPrEx>
          <w:shd w:val="clear" w:color="auto" w:fill="auto"/>
          <w:tblCellMar>
            <w:top w:w="0" w:type="dxa"/>
            <w:left w:w="0" w:type="dxa"/>
            <w:bottom w:w="0" w:type="dxa"/>
            <w:right w:w="0" w:type="dxa"/>
          </w:tblCellMar>
        </w:tblPrEx>
        <w:trPr>
          <w:trHeight w:val="750" w:hRule="atLeast"/>
        </w:trPr>
        <w:tc>
          <w:tcPr>
            <w:tcW w:w="49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6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环境保护费</w:t>
            </w:r>
          </w:p>
        </w:tc>
        <w:tc>
          <w:tcPr>
            <w:tcW w:w="134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c>
          <w:tcPr>
            <w:tcW w:w="6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0.67</w:t>
            </w:r>
          </w:p>
        </w:tc>
        <w:tc>
          <w:tcPr>
            <w:tcW w:w="77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r>
      <w:tr>
        <w:tblPrEx>
          <w:shd w:val="clear" w:color="auto" w:fill="auto"/>
          <w:tblCellMar>
            <w:top w:w="0" w:type="dxa"/>
            <w:left w:w="0" w:type="dxa"/>
            <w:bottom w:w="0" w:type="dxa"/>
            <w:right w:w="0" w:type="dxa"/>
          </w:tblCellMar>
        </w:tblPrEx>
        <w:trPr>
          <w:trHeight w:val="750" w:hRule="atLeast"/>
        </w:trPr>
        <w:tc>
          <w:tcPr>
            <w:tcW w:w="49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6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文明施工费</w:t>
            </w:r>
          </w:p>
        </w:tc>
        <w:tc>
          <w:tcPr>
            <w:tcW w:w="134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c>
          <w:tcPr>
            <w:tcW w:w="6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7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r>
      <w:tr>
        <w:tblPrEx>
          <w:tblCellMar>
            <w:top w:w="0" w:type="dxa"/>
            <w:left w:w="0" w:type="dxa"/>
            <w:bottom w:w="0" w:type="dxa"/>
            <w:right w:w="0" w:type="dxa"/>
          </w:tblCellMar>
        </w:tblPrEx>
        <w:trPr>
          <w:trHeight w:val="750" w:hRule="atLeast"/>
        </w:trPr>
        <w:tc>
          <w:tcPr>
            <w:tcW w:w="49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06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安全施工费</w:t>
            </w:r>
          </w:p>
        </w:tc>
        <w:tc>
          <w:tcPr>
            <w:tcW w:w="134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c>
          <w:tcPr>
            <w:tcW w:w="6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77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r>
      <w:tr>
        <w:tblPrEx>
          <w:shd w:val="clear" w:color="auto" w:fill="auto"/>
          <w:tblCellMar>
            <w:top w:w="0" w:type="dxa"/>
            <w:left w:w="0" w:type="dxa"/>
            <w:bottom w:w="0" w:type="dxa"/>
            <w:right w:w="0" w:type="dxa"/>
          </w:tblCellMar>
        </w:tblPrEx>
        <w:trPr>
          <w:trHeight w:val="750" w:hRule="atLeast"/>
        </w:trPr>
        <w:tc>
          <w:tcPr>
            <w:tcW w:w="49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6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临时设施费</w:t>
            </w:r>
          </w:p>
        </w:tc>
        <w:tc>
          <w:tcPr>
            <w:tcW w:w="134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c>
          <w:tcPr>
            <w:tcW w:w="6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77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r>
      <w:tr>
        <w:tblPrEx>
          <w:shd w:val="clear" w:color="auto" w:fill="auto"/>
          <w:tblCellMar>
            <w:top w:w="0" w:type="dxa"/>
            <w:left w:w="0" w:type="dxa"/>
            <w:bottom w:w="0" w:type="dxa"/>
            <w:right w:w="0" w:type="dxa"/>
          </w:tblCellMar>
        </w:tblPrEx>
        <w:trPr>
          <w:trHeight w:val="750" w:hRule="atLeast"/>
        </w:trPr>
        <w:tc>
          <w:tcPr>
            <w:tcW w:w="49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06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夜间施工增加费</w:t>
            </w:r>
          </w:p>
        </w:tc>
        <w:tc>
          <w:tcPr>
            <w:tcW w:w="134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c>
          <w:tcPr>
            <w:tcW w:w="6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0.69</w:t>
            </w:r>
          </w:p>
        </w:tc>
        <w:tc>
          <w:tcPr>
            <w:tcW w:w="77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r>
      <w:tr>
        <w:tblPrEx>
          <w:tblCellMar>
            <w:top w:w="0" w:type="dxa"/>
            <w:left w:w="0" w:type="dxa"/>
            <w:bottom w:w="0" w:type="dxa"/>
            <w:right w:w="0" w:type="dxa"/>
          </w:tblCellMar>
        </w:tblPrEx>
        <w:trPr>
          <w:trHeight w:val="750" w:hRule="atLeast"/>
        </w:trPr>
        <w:tc>
          <w:tcPr>
            <w:tcW w:w="49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06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市政工程施工干扰费</w:t>
            </w:r>
          </w:p>
        </w:tc>
        <w:tc>
          <w:tcPr>
            <w:tcW w:w="134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c>
          <w:tcPr>
            <w:tcW w:w="6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0.85</w:t>
            </w:r>
          </w:p>
        </w:tc>
        <w:tc>
          <w:tcPr>
            <w:tcW w:w="77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r>
      <w:tr>
        <w:tblPrEx>
          <w:shd w:val="clear" w:color="auto" w:fill="auto"/>
          <w:tblCellMar>
            <w:top w:w="0" w:type="dxa"/>
            <w:left w:w="0" w:type="dxa"/>
            <w:bottom w:w="0" w:type="dxa"/>
            <w:right w:w="0" w:type="dxa"/>
          </w:tblCellMar>
        </w:tblPrEx>
        <w:trPr>
          <w:trHeight w:val="750" w:hRule="atLeast"/>
        </w:trPr>
        <w:tc>
          <w:tcPr>
            <w:tcW w:w="49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06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冬雨季施工增加费、场地清理、雨水排除、道路维修</w:t>
            </w:r>
          </w:p>
        </w:tc>
        <w:tc>
          <w:tcPr>
            <w:tcW w:w="134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c>
          <w:tcPr>
            <w:tcW w:w="6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0.42</w:t>
            </w:r>
          </w:p>
        </w:tc>
        <w:tc>
          <w:tcPr>
            <w:tcW w:w="77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r>
      <w:tr>
        <w:tblPrEx>
          <w:shd w:val="clear" w:color="auto" w:fill="auto"/>
          <w:tblCellMar>
            <w:top w:w="0" w:type="dxa"/>
            <w:left w:w="0" w:type="dxa"/>
            <w:bottom w:w="0" w:type="dxa"/>
            <w:right w:w="0" w:type="dxa"/>
          </w:tblCellMar>
        </w:tblPrEx>
        <w:trPr>
          <w:trHeight w:val="750" w:hRule="atLeast"/>
        </w:trPr>
        <w:tc>
          <w:tcPr>
            <w:tcW w:w="49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06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工程及设备保护费</w:t>
            </w:r>
          </w:p>
        </w:tc>
        <w:tc>
          <w:tcPr>
            <w:tcW w:w="134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c>
          <w:tcPr>
            <w:tcW w:w="6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0.38</w:t>
            </w:r>
          </w:p>
        </w:tc>
        <w:tc>
          <w:tcPr>
            <w:tcW w:w="77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r>
      <w:tr>
        <w:tblPrEx>
          <w:shd w:val="clear" w:color="auto" w:fill="auto"/>
          <w:tblCellMar>
            <w:top w:w="0" w:type="dxa"/>
            <w:left w:w="0" w:type="dxa"/>
            <w:bottom w:w="0" w:type="dxa"/>
            <w:right w:w="0" w:type="dxa"/>
          </w:tblCellMar>
        </w:tblPrEx>
        <w:trPr>
          <w:trHeight w:val="750" w:hRule="atLeast"/>
        </w:trPr>
        <w:tc>
          <w:tcPr>
            <w:tcW w:w="49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6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工程定位复测费</w:t>
            </w:r>
          </w:p>
        </w:tc>
        <w:tc>
          <w:tcPr>
            <w:tcW w:w="134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c>
          <w:tcPr>
            <w:tcW w:w="6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0.17</w:t>
            </w:r>
          </w:p>
        </w:tc>
        <w:tc>
          <w:tcPr>
            <w:tcW w:w="77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r>
      <w:tr>
        <w:tblPrEx>
          <w:tblCellMar>
            <w:top w:w="0" w:type="dxa"/>
            <w:left w:w="0" w:type="dxa"/>
            <w:bottom w:w="0" w:type="dxa"/>
            <w:right w:w="0" w:type="dxa"/>
          </w:tblCellMar>
        </w:tblPrEx>
        <w:trPr>
          <w:trHeight w:val="330" w:hRule="atLeast"/>
        </w:trPr>
        <w:tc>
          <w:tcPr>
            <w:tcW w:w="49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4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7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30" w:hRule="atLeast"/>
        </w:trPr>
        <w:tc>
          <w:tcPr>
            <w:tcW w:w="49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4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7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30" w:hRule="atLeast"/>
        </w:trPr>
        <w:tc>
          <w:tcPr>
            <w:tcW w:w="49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4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7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30" w:hRule="atLeast"/>
        </w:trPr>
        <w:tc>
          <w:tcPr>
            <w:tcW w:w="49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4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7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30" w:hRule="atLeast"/>
        </w:trPr>
        <w:tc>
          <w:tcPr>
            <w:tcW w:w="49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4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7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30" w:hRule="atLeast"/>
        </w:trPr>
        <w:tc>
          <w:tcPr>
            <w:tcW w:w="49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4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7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30" w:hRule="atLeast"/>
        </w:trPr>
        <w:tc>
          <w:tcPr>
            <w:tcW w:w="49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4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7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2"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0" w:hRule="atLeast"/>
        </w:trPr>
        <w:tc>
          <w:tcPr>
            <w:tcW w:w="5359" w:type="dxa"/>
            <w:gridSpan w:val="8"/>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    计</w:t>
            </w:r>
          </w:p>
        </w:tc>
        <w:tc>
          <w:tcPr>
            <w:tcW w:w="779" w:type="dxa"/>
            <w:gridSpan w:val="2"/>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2" w:type="dxa"/>
            <w:gridSpan w:val="2"/>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01" w:type="dxa"/>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2593" w:type="dxa"/>
            <w:gridSpan w:val="4"/>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编制人（造价人员）：</w:t>
            </w:r>
          </w:p>
        </w:tc>
        <w:tc>
          <w:tcPr>
            <w:tcW w:w="1554" w:type="dxa"/>
            <w:gridSpan w:val="2"/>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1746" w:type="dxa"/>
            <w:gridSpan w:val="3"/>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3878" w:type="dxa"/>
            <w:gridSpan w:val="5"/>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复核人（造价工程师）：</w:t>
            </w:r>
          </w:p>
        </w:tc>
      </w:tr>
      <w:tr>
        <w:tblPrEx>
          <w:shd w:val="clear" w:color="auto" w:fill="auto"/>
          <w:tblCellMar>
            <w:top w:w="0" w:type="dxa"/>
            <w:left w:w="0" w:type="dxa"/>
            <w:bottom w:w="0" w:type="dxa"/>
            <w:right w:w="0" w:type="dxa"/>
          </w:tblCellMar>
        </w:tblPrEx>
        <w:trPr>
          <w:trHeight w:val="975" w:hRule="atLeast"/>
        </w:trPr>
        <w:tc>
          <w:tcPr>
            <w:tcW w:w="9771" w:type="dxa"/>
            <w:gridSpan w:val="14"/>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注：1.“计算基础”中安全文明施工费可为“定额基价”、“定额人工费”或“定额人工费+定额机械费”，其他项目可为“定额人工费”或“定额人工费+定额机械费”。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2.按施工方案计算的措施费，若无“计算基础”和“费率”的数值，也可只填“金额”数值，但应在备注栏说明施工方案出处或计算方法。</w:t>
            </w:r>
          </w:p>
        </w:tc>
      </w:tr>
      <w:tr>
        <w:tblPrEx>
          <w:shd w:val="clear" w:color="auto" w:fill="auto"/>
          <w:tblCellMar>
            <w:top w:w="0" w:type="dxa"/>
            <w:left w:w="0" w:type="dxa"/>
            <w:bottom w:w="0" w:type="dxa"/>
            <w:right w:w="0" w:type="dxa"/>
          </w:tblCellMar>
        </w:tblPrEx>
        <w:trPr>
          <w:trHeight w:val="300" w:hRule="atLeast"/>
        </w:trPr>
        <w:tc>
          <w:tcPr>
            <w:tcW w:w="961" w:type="dxa"/>
            <w:gridSpan w:val="2"/>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1632" w:type="dxa"/>
            <w:gridSpan w:val="2"/>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single"/>
              </w:rPr>
            </w:pPr>
          </w:p>
        </w:tc>
        <w:tc>
          <w:tcPr>
            <w:tcW w:w="1554" w:type="dxa"/>
            <w:gridSpan w:val="2"/>
            <w:tcBorders>
              <w:top w:val="nil"/>
              <w:left w:val="nil"/>
              <w:bottom w:val="nil"/>
              <w:right w:val="nil"/>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single"/>
              </w:rPr>
            </w:pPr>
          </w:p>
        </w:tc>
        <w:tc>
          <w:tcPr>
            <w:tcW w:w="1746" w:type="dxa"/>
            <w:gridSpan w:val="3"/>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1457" w:type="dxa"/>
            <w:gridSpan w:val="3"/>
            <w:tcBorders>
              <w:top w:val="nil"/>
              <w:left w:val="nil"/>
              <w:bottom w:val="nil"/>
              <w:right w:val="nil"/>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21" w:type="dxa"/>
            <w:gridSpan w:val="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表-11</w:t>
            </w:r>
          </w:p>
        </w:tc>
      </w:tr>
    </w:tbl>
    <w:tbl>
      <w:tblPr>
        <w:tblStyle w:val="13"/>
        <w:tblpPr w:leftFromText="180" w:rightFromText="180" w:vertAnchor="text" w:horzAnchor="page" w:tblpX="1680" w:tblpY="351"/>
        <w:tblOverlap w:val="never"/>
        <w:tblW w:w="9782" w:type="dxa"/>
        <w:tblInd w:w="0" w:type="dxa"/>
        <w:shd w:val="clear" w:color="auto" w:fill="auto"/>
        <w:tblLayout w:type="autofit"/>
        <w:tblCellMar>
          <w:top w:w="0" w:type="dxa"/>
          <w:left w:w="0" w:type="dxa"/>
          <w:bottom w:w="0" w:type="dxa"/>
          <w:right w:w="0" w:type="dxa"/>
        </w:tblCellMar>
      </w:tblPr>
      <w:tblGrid>
        <w:gridCol w:w="1215"/>
        <w:gridCol w:w="3105"/>
        <w:gridCol w:w="405"/>
        <w:gridCol w:w="450"/>
        <w:gridCol w:w="285"/>
        <w:gridCol w:w="930"/>
        <w:gridCol w:w="480"/>
        <w:gridCol w:w="1050"/>
        <w:gridCol w:w="405"/>
        <w:gridCol w:w="1457"/>
      </w:tblGrid>
      <w:tr>
        <w:tblPrEx>
          <w:shd w:val="clear" w:color="auto" w:fill="auto"/>
          <w:tblCellMar>
            <w:top w:w="0" w:type="dxa"/>
            <w:left w:w="0" w:type="dxa"/>
            <w:bottom w:w="0" w:type="dxa"/>
            <w:right w:w="0" w:type="dxa"/>
          </w:tblCellMar>
        </w:tblPrEx>
        <w:trPr>
          <w:trHeight w:val="600" w:hRule="atLeast"/>
        </w:trPr>
        <w:tc>
          <w:tcPr>
            <w:tcW w:w="9782" w:type="dxa"/>
            <w:gridSpan w:val="10"/>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其他项目清单与计价汇总表</w:t>
            </w:r>
          </w:p>
        </w:tc>
      </w:tr>
      <w:tr>
        <w:tblPrEx>
          <w:shd w:val="clear" w:color="auto" w:fill="auto"/>
          <w:tblCellMar>
            <w:top w:w="0" w:type="dxa"/>
            <w:left w:w="0" w:type="dxa"/>
            <w:bottom w:w="0" w:type="dxa"/>
            <w:right w:w="0" w:type="dxa"/>
          </w:tblCellMar>
        </w:tblPrEx>
        <w:trPr>
          <w:trHeight w:val="750" w:hRule="atLeast"/>
        </w:trPr>
        <w:tc>
          <w:tcPr>
            <w:tcW w:w="4320" w:type="dxa"/>
            <w:gridSpan w:val="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工程名称：污水管网工程</w:t>
            </w:r>
          </w:p>
        </w:tc>
        <w:tc>
          <w:tcPr>
            <w:tcW w:w="405" w:type="dxa"/>
            <w:tcBorders>
              <w:top w:val="nil"/>
              <w:left w:val="nil"/>
              <w:bottom w:val="nil"/>
              <w:right w:val="nil"/>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tcBorders>
              <w:top w:val="nil"/>
              <w:left w:val="nil"/>
              <w:bottom w:val="nil"/>
              <w:right w:val="nil"/>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5" w:type="dxa"/>
            <w:gridSpan w:val="4"/>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标段：江口县2018年农村“厕所革命”省级奖补资金工程项目</w:t>
            </w:r>
            <w:r>
              <w:rPr>
                <w:rFonts w:hint="eastAsia" w:cs="宋体"/>
                <w:i w:val="0"/>
                <w:color w:val="000000"/>
                <w:kern w:val="0"/>
                <w:sz w:val="18"/>
                <w:szCs w:val="18"/>
                <w:u w:val="none"/>
                <w:lang w:val="en-US" w:eastAsia="zh-CN" w:bidi="ar"/>
              </w:rPr>
              <w:t>采购</w:t>
            </w:r>
          </w:p>
        </w:tc>
        <w:tc>
          <w:tcPr>
            <w:tcW w:w="1862" w:type="dxa"/>
            <w:gridSpan w:val="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  1  页  共  1  页</w:t>
            </w:r>
          </w:p>
        </w:tc>
      </w:tr>
      <w:tr>
        <w:tblPrEx>
          <w:shd w:val="clear" w:color="auto" w:fill="auto"/>
          <w:tblCellMar>
            <w:top w:w="0" w:type="dxa"/>
            <w:left w:w="0" w:type="dxa"/>
            <w:bottom w:w="0" w:type="dxa"/>
            <w:right w:w="0" w:type="dxa"/>
          </w:tblCellMar>
        </w:tblPrEx>
        <w:trPr>
          <w:trHeight w:val="465" w:hRule="atLeast"/>
        </w:trPr>
        <w:tc>
          <w:tcPr>
            <w:tcW w:w="1215" w:type="dxa"/>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245" w:type="dxa"/>
            <w:gridSpan w:val="4"/>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410"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金额（元）</w:t>
            </w:r>
          </w:p>
        </w:tc>
        <w:tc>
          <w:tcPr>
            <w:tcW w:w="1455"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结算金额（元）</w:t>
            </w:r>
          </w:p>
        </w:tc>
        <w:tc>
          <w:tcPr>
            <w:tcW w:w="1457" w:type="dxa"/>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tblPrEx>
          <w:shd w:val="clear" w:color="auto" w:fill="auto"/>
          <w:tblCellMar>
            <w:top w:w="0" w:type="dxa"/>
            <w:left w:w="0" w:type="dxa"/>
            <w:bottom w:w="0" w:type="dxa"/>
            <w:right w:w="0" w:type="dxa"/>
          </w:tblCellMar>
        </w:tblPrEx>
        <w:trPr>
          <w:trHeight w:val="465" w:hRule="atLeast"/>
        </w:trPr>
        <w:tc>
          <w:tcPr>
            <w:tcW w:w="121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24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暂列金额</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明细详见表-12-1</w:t>
            </w:r>
          </w:p>
        </w:tc>
      </w:tr>
      <w:tr>
        <w:tblPrEx>
          <w:shd w:val="clear" w:color="auto" w:fill="auto"/>
          <w:tblCellMar>
            <w:top w:w="0" w:type="dxa"/>
            <w:left w:w="0" w:type="dxa"/>
            <w:bottom w:w="0" w:type="dxa"/>
            <w:right w:w="0" w:type="dxa"/>
          </w:tblCellMar>
        </w:tblPrEx>
        <w:trPr>
          <w:trHeight w:val="465" w:hRule="atLeast"/>
        </w:trPr>
        <w:tc>
          <w:tcPr>
            <w:tcW w:w="121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24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暂估价</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65" w:hRule="atLeast"/>
        </w:trPr>
        <w:tc>
          <w:tcPr>
            <w:tcW w:w="121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424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材料（工程设备）暂估价</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明细详见表-12-2</w:t>
            </w:r>
          </w:p>
        </w:tc>
      </w:tr>
      <w:tr>
        <w:tblPrEx>
          <w:shd w:val="clear" w:color="auto" w:fill="auto"/>
          <w:tblCellMar>
            <w:top w:w="0" w:type="dxa"/>
            <w:left w:w="0" w:type="dxa"/>
            <w:bottom w:w="0" w:type="dxa"/>
            <w:right w:w="0" w:type="dxa"/>
          </w:tblCellMar>
        </w:tblPrEx>
        <w:trPr>
          <w:trHeight w:val="465" w:hRule="atLeast"/>
        </w:trPr>
        <w:tc>
          <w:tcPr>
            <w:tcW w:w="121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424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专业工程暂估价</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明细详见表-12-3</w:t>
            </w:r>
          </w:p>
        </w:tc>
      </w:tr>
      <w:tr>
        <w:tblPrEx>
          <w:shd w:val="clear" w:color="auto" w:fill="auto"/>
          <w:tblCellMar>
            <w:top w:w="0" w:type="dxa"/>
            <w:left w:w="0" w:type="dxa"/>
            <w:bottom w:w="0" w:type="dxa"/>
            <w:right w:w="0" w:type="dxa"/>
          </w:tblCellMar>
        </w:tblPrEx>
        <w:trPr>
          <w:trHeight w:val="465" w:hRule="atLeast"/>
        </w:trPr>
        <w:tc>
          <w:tcPr>
            <w:tcW w:w="121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24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计日工</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明细详见表-12-4</w:t>
            </w:r>
          </w:p>
        </w:tc>
      </w:tr>
      <w:tr>
        <w:tblPrEx>
          <w:shd w:val="clear" w:color="auto" w:fill="auto"/>
          <w:tblCellMar>
            <w:top w:w="0" w:type="dxa"/>
            <w:left w:w="0" w:type="dxa"/>
            <w:bottom w:w="0" w:type="dxa"/>
            <w:right w:w="0" w:type="dxa"/>
          </w:tblCellMar>
        </w:tblPrEx>
        <w:trPr>
          <w:trHeight w:val="465" w:hRule="atLeast"/>
        </w:trPr>
        <w:tc>
          <w:tcPr>
            <w:tcW w:w="121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24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总承包服务费</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明细详见表-12-5</w:t>
            </w:r>
          </w:p>
        </w:tc>
      </w:tr>
      <w:tr>
        <w:tblPrEx>
          <w:shd w:val="clear" w:color="auto" w:fill="auto"/>
          <w:tblCellMar>
            <w:top w:w="0" w:type="dxa"/>
            <w:left w:w="0" w:type="dxa"/>
            <w:bottom w:w="0" w:type="dxa"/>
            <w:right w:w="0" w:type="dxa"/>
          </w:tblCellMar>
        </w:tblPrEx>
        <w:trPr>
          <w:trHeight w:val="465" w:hRule="atLeast"/>
        </w:trPr>
        <w:tc>
          <w:tcPr>
            <w:tcW w:w="121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24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索赔与现场签证</w:t>
            </w: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明细详见表-12-6</w:t>
            </w:r>
          </w:p>
        </w:tc>
      </w:tr>
      <w:tr>
        <w:tblPrEx>
          <w:shd w:val="clear" w:color="auto" w:fill="auto"/>
          <w:tblCellMar>
            <w:top w:w="0" w:type="dxa"/>
            <w:left w:w="0" w:type="dxa"/>
            <w:bottom w:w="0" w:type="dxa"/>
            <w:right w:w="0" w:type="dxa"/>
          </w:tblCellMar>
        </w:tblPrEx>
        <w:trPr>
          <w:trHeight w:val="465" w:hRule="atLeast"/>
        </w:trPr>
        <w:tc>
          <w:tcPr>
            <w:tcW w:w="121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4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65" w:hRule="atLeast"/>
        </w:trPr>
        <w:tc>
          <w:tcPr>
            <w:tcW w:w="121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4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65" w:hRule="atLeast"/>
        </w:trPr>
        <w:tc>
          <w:tcPr>
            <w:tcW w:w="121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4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65" w:hRule="atLeast"/>
        </w:trPr>
        <w:tc>
          <w:tcPr>
            <w:tcW w:w="121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4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65" w:hRule="atLeast"/>
        </w:trPr>
        <w:tc>
          <w:tcPr>
            <w:tcW w:w="121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4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65" w:hRule="atLeast"/>
        </w:trPr>
        <w:tc>
          <w:tcPr>
            <w:tcW w:w="121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4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65" w:hRule="atLeast"/>
        </w:trPr>
        <w:tc>
          <w:tcPr>
            <w:tcW w:w="121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4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65" w:hRule="atLeast"/>
        </w:trPr>
        <w:tc>
          <w:tcPr>
            <w:tcW w:w="121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4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65" w:hRule="atLeast"/>
        </w:trPr>
        <w:tc>
          <w:tcPr>
            <w:tcW w:w="121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4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65" w:hRule="atLeast"/>
        </w:trPr>
        <w:tc>
          <w:tcPr>
            <w:tcW w:w="121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4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65" w:hRule="atLeast"/>
        </w:trPr>
        <w:tc>
          <w:tcPr>
            <w:tcW w:w="121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4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65" w:hRule="atLeast"/>
        </w:trPr>
        <w:tc>
          <w:tcPr>
            <w:tcW w:w="121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4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65" w:hRule="atLeast"/>
        </w:trPr>
        <w:tc>
          <w:tcPr>
            <w:tcW w:w="121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4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65" w:hRule="atLeast"/>
        </w:trPr>
        <w:tc>
          <w:tcPr>
            <w:tcW w:w="121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4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65" w:hRule="atLeast"/>
        </w:trPr>
        <w:tc>
          <w:tcPr>
            <w:tcW w:w="5460" w:type="dxa"/>
            <w:gridSpan w:val="5"/>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    计</w:t>
            </w:r>
          </w:p>
        </w:tc>
        <w:tc>
          <w:tcPr>
            <w:tcW w:w="1410" w:type="dxa"/>
            <w:gridSpan w:val="2"/>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w:t>
            </w:r>
          </w:p>
        </w:tc>
        <w:tc>
          <w:tcPr>
            <w:tcW w:w="1455" w:type="dxa"/>
            <w:gridSpan w:val="2"/>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7" w:type="dxa"/>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45" w:hRule="atLeast"/>
        </w:trPr>
        <w:tc>
          <w:tcPr>
            <w:tcW w:w="9782" w:type="dxa"/>
            <w:gridSpan w:val="10"/>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注：材料（工程设备）暂估单价进入清单项目综合单价，此处不汇总。</w:t>
            </w:r>
          </w:p>
        </w:tc>
      </w:tr>
      <w:tr>
        <w:tblPrEx>
          <w:shd w:val="clear" w:color="auto" w:fill="auto"/>
          <w:tblCellMar>
            <w:top w:w="0" w:type="dxa"/>
            <w:left w:w="0" w:type="dxa"/>
            <w:bottom w:w="0" w:type="dxa"/>
            <w:right w:w="0" w:type="dxa"/>
          </w:tblCellMar>
        </w:tblPrEx>
        <w:trPr>
          <w:trHeight w:val="390" w:hRule="atLeast"/>
        </w:trPr>
        <w:tc>
          <w:tcPr>
            <w:tcW w:w="4320" w:type="dxa"/>
            <w:gridSpan w:val="2"/>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405" w:type="dxa"/>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single"/>
              </w:rPr>
            </w:pPr>
          </w:p>
        </w:tc>
        <w:tc>
          <w:tcPr>
            <w:tcW w:w="450" w:type="dxa"/>
            <w:tcBorders>
              <w:top w:val="nil"/>
              <w:left w:val="nil"/>
              <w:bottom w:val="nil"/>
              <w:right w:val="nil"/>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single"/>
              </w:rPr>
            </w:pPr>
          </w:p>
        </w:tc>
        <w:tc>
          <w:tcPr>
            <w:tcW w:w="1215" w:type="dxa"/>
            <w:gridSpan w:val="2"/>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1530" w:type="dxa"/>
            <w:gridSpan w:val="2"/>
            <w:tcBorders>
              <w:top w:val="nil"/>
              <w:left w:val="nil"/>
              <w:bottom w:val="nil"/>
              <w:right w:val="nil"/>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62" w:type="dxa"/>
            <w:gridSpan w:val="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表—12</w:t>
            </w:r>
          </w:p>
        </w:tc>
      </w:tr>
    </w:tbl>
    <w:p>
      <w:pPr>
        <w:pStyle w:val="16"/>
        <w:jc w:val="both"/>
      </w:pPr>
    </w:p>
    <w:tbl>
      <w:tblPr>
        <w:tblStyle w:val="13"/>
        <w:tblW w:w="9810" w:type="dxa"/>
        <w:tblInd w:w="0" w:type="dxa"/>
        <w:shd w:val="clear" w:color="auto" w:fill="auto"/>
        <w:tblLayout w:type="autofit"/>
        <w:tblCellMar>
          <w:top w:w="0" w:type="dxa"/>
          <w:left w:w="0" w:type="dxa"/>
          <w:bottom w:w="0" w:type="dxa"/>
          <w:right w:w="0" w:type="dxa"/>
        </w:tblCellMar>
      </w:tblPr>
      <w:tblGrid>
        <w:gridCol w:w="690"/>
        <w:gridCol w:w="210"/>
        <w:gridCol w:w="330"/>
        <w:gridCol w:w="1695"/>
        <w:gridCol w:w="570"/>
        <w:gridCol w:w="135"/>
        <w:gridCol w:w="570"/>
        <w:gridCol w:w="510"/>
        <w:gridCol w:w="285"/>
        <w:gridCol w:w="630"/>
        <w:gridCol w:w="165"/>
        <w:gridCol w:w="375"/>
        <w:gridCol w:w="225"/>
        <w:gridCol w:w="390"/>
        <w:gridCol w:w="705"/>
        <w:gridCol w:w="435"/>
        <w:gridCol w:w="90"/>
        <w:gridCol w:w="240"/>
        <w:gridCol w:w="165"/>
        <w:gridCol w:w="1382"/>
        <w:gridCol w:w="13"/>
      </w:tblGrid>
      <w:tr>
        <w:tblPrEx>
          <w:shd w:val="clear" w:color="auto" w:fill="auto"/>
          <w:tblCellMar>
            <w:top w:w="0" w:type="dxa"/>
            <w:left w:w="0" w:type="dxa"/>
            <w:bottom w:w="0" w:type="dxa"/>
            <w:right w:w="0" w:type="dxa"/>
          </w:tblCellMar>
        </w:tblPrEx>
        <w:trPr>
          <w:gridAfter w:val="1"/>
          <w:wAfter w:w="13" w:type="dxa"/>
          <w:trHeight w:val="600" w:hRule="atLeast"/>
        </w:trPr>
        <w:tc>
          <w:tcPr>
            <w:tcW w:w="9797" w:type="dxa"/>
            <w:gridSpan w:val="20"/>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暂列金额明细表</w:t>
            </w:r>
          </w:p>
        </w:tc>
      </w:tr>
      <w:tr>
        <w:tblPrEx>
          <w:shd w:val="clear" w:color="auto" w:fill="auto"/>
          <w:tblCellMar>
            <w:top w:w="0" w:type="dxa"/>
            <w:left w:w="0" w:type="dxa"/>
            <w:bottom w:w="0" w:type="dxa"/>
            <w:right w:w="0" w:type="dxa"/>
          </w:tblCellMar>
        </w:tblPrEx>
        <w:trPr>
          <w:gridAfter w:val="1"/>
          <w:wAfter w:w="13" w:type="dxa"/>
          <w:trHeight w:val="750" w:hRule="atLeast"/>
        </w:trPr>
        <w:tc>
          <w:tcPr>
            <w:tcW w:w="3630" w:type="dxa"/>
            <w:gridSpan w:val="6"/>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工程名称：污水管网工程</w:t>
            </w:r>
          </w:p>
        </w:tc>
        <w:tc>
          <w:tcPr>
            <w:tcW w:w="4290" w:type="dxa"/>
            <w:gridSpan w:val="10"/>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标段：江口县2018年农村“厕所革命”省级奖补资金工程项目</w:t>
            </w:r>
            <w:r>
              <w:rPr>
                <w:rFonts w:hint="eastAsia" w:cs="宋体"/>
                <w:i w:val="0"/>
                <w:color w:val="000000"/>
                <w:kern w:val="0"/>
                <w:sz w:val="18"/>
                <w:szCs w:val="18"/>
                <w:u w:val="none"/>
                <w:lang w:val="en-US" w:eastAsia="zh-CN" w:bidi="ar"/>
              </w:rPr>
              <w:t>采购</w:t>
            </w:r>
          </w:p>
        </w:tc>
        <w:tc>
          <w:tcPr>
            <w:tcW w:w="1877" w:type="dxa"/>
            <w:gridSpan w:val="4"/>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  1  页  共  1  页</w:t>
            </w:r>
          </w:p>
        </w:tc>
      </w:tr>
      <w:tr>
        <w:tblPrEx>
          <w:shd w:val="clear" w:color="auto" w:fill="auto"/>
          <w:tblCellMar>
            <w:top w:w="0" w:type="dxa"/>
            <w:left w:w="0" w:type="dxa"/>
            <w:bottom w:w="0" w:type="dxa"/>
            <w:right w:w="0" w:type="dxa"/>
          </w:tblCellMar>
        </w:tblPrEx>
        <w:trPr>
          <w:gridAfter w:val="1"/>
          <w:wAfter w:w="13" w:type="dxa"/>
          <w:trHeight w:val="360" w:hRule="atLeast"/>
        </w:trPr>
        <w:tc>
          <w:tcPr>
            <w:tcW w:w="1230" w:type="dxa"/>
            <w:gridSpan w:val="3"/>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395" w:type="dxa"/>
            <w:gridSpan w:val="7"/>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155" w:type="dxa"/>
            <w:gridSpan w:val="4"/>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1470" w:type="dxa"/>
            <w:gridSpan w:val="4"/>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暂定金额</w:t>
            </w:r>
          </w:p>
        </w:tc>
        <w:tc>
          <w:tcPr>
            <w:tcW w:w="1547" w:type="dxa"/>
            <w:gridSpan w:val="2"/>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tblPrEx>
          <w:shd w:val="clear" w:color="auto" w:fill="auto"/>
          <w:tblCellMar>
            <w:top w:w="0" w:type="dxa"/>
            <w:left w:w="0" w:type="dxa"/>
            <w:bottom w:w="0" w:type="dxa"/>
            <w:right w:w="0" w:type="dxa"/>
          </w:tblCellMar>
        </w:tblPrEx>
        <w:trPr>
          <w:gridAfter w:val="1"/>
          <w:wAfter w:w="13" w:type="dxa"/>
          <w:trHeight w:val="330" w:hRule="atLeast"/>
        </w:trPr>
        <w:tc>
          <w:tcPr>
            <w:tcW w:w="123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39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人工湿地</w:t>
            </w:r>
          </w:p>
        </w:tc>
        <w:tc>
          <w:tcPr>
            <w:tcW w:w="115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w:t>
            </w:r>
          </w:p>
        </w:tc>
        <w:tc>
          <w:tcPr>
            <w:tcW w:w="1547"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人工湿地（含征地）</w:t>
            </w:r>
          </w:p>
        </w:tc>
      </w:tr>
      <w:tr>
        <w:tblPrEx>
          <w:shd w:val="clear" w:color="auto" w:fill="auto"/>
          <w:tblCellMar>
            <w:top w:w="0" w:type="dxa"/>
            <w:left w:w="0" w:type="dxa"/>
            <w:bottom w:w="0" w:type="dxa"/>
            <w:right w:w="0" w:type="dxa"/>
          </w:tblCellMar>
        </w:tblPrEx>
        <w:trPr>
          <w:gridAfter w:val="1"/>
          <w:wAfter w:w="13" w:type="dxa"/>
          <w:trHeight w:val="330" w:hRule="atLeast"/>
        </w:trPr>
        <w:tc>
          <w:tcPr>
            <w:tcW w:w="123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7"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13" w:type="dxa"/>
          <w:trHeight w:val="330" w:hRule="atLeast"/>
        </w:trPr>
        <w:tc>
          <w:tcPr>
            <w:tcW w:w="123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7"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13" w:type="dxa"/>
          <w:trHeight w:val="330" w:hRule="atLeast"/>
        </w:trPr>
        <w:tc>
          <w:tcPr>
            <w:tcW w:w="123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7"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13" w:type="dxa"/>
          <w:trHeight w:val="330" w:hRule="atLeast"/>
        </w:trPr>
        <w:tc>
          <w:tcPr>
            <w:tcW w:w="123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7"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13" w:type="dxa"/>
          <w:trHeight w:val="330" w:hRule="atLeast"/>
        </w:trPr>
        <w:tc>
          <w:tcPr>
            <w:tcW w:w="123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7"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13" w:type="dxa"/>
          <w:trHeight w:val="330" w:hRule="atLeast"/>
        </w:trPr>
        <w:tc>
          <w:tcPr>
            <w:tcW w:w="123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7"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13" w:type="dxa"/>
          <w:trHeight w:val="330" w:hRule="atLeast"/>
        </w:trPr>
        <w:tc>
          <w:tcPr>
            <w:tcW w:w="123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7"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13" w:type="dxa"/>
          <w:trHeight w:val="330" w:hRule="atLeast"/>
        </w:trPr>
        <w:tc>
          <w:tcPr>
            <w:tcW w:w="123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7"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13" w:type="dxa"/>
          <w:trHeight w:val="330" w:hRule="atLeast"/>
        </w:trPr>
        <w:tc>
          <w:tcPr>
            <w:tcW w:w="123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7"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13" w:type="dxa"/>
          <w:trHeight w:val="330" w:hRule="atLeast"/>
        </w:trPr>
        <w:tc>
          <w:tcPr>
            <w:tcW w:w="123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7"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13" w:type="dxa"/>
          <w:trHeight w:val="330" w:hRule="atLeast"/>
        </w:trPr>
        <w:tc>
          <w:tcPr>
            <w:tcW w:w="123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7"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13" w:type="dxa"/>
          <w:trHeight w:val="330" w:hRule="atLeast"/>
        </w:trPr>
        <w:tc>
          <w:tcPr>
            <w:tcW w:w="123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7"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13" w:type="dxa"/>
          <w:trHeight w:val="330" w:hRule="atLeast"/>
        </w:trPr>
        <w:tc>
          <w:tcPr>
            <w:tcW w:w="123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7"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13" w:type="dxa"/>
          <w:trHeight w:val="330" w:hRule="atLeast"/>
        </w:trPr>
        <w:tc>
          <w:tcPr>
            <w:tcW w:w="123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7"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13" w:type="dxa"/>
          <w:trHeight w:val="330" w:hRule="atLeast"/>
        </w:trPr>
        <w:tc>
          <w:tcPr>
            <w:tcW w:w="123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7"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13" w:type="dxa"/>
          <w:trHeight w:val="330" w:hRule="atLeast"/>
        </w:trPr>
        <w:tc>
          <w:tcPr>
            <w:tcW w:w="123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7"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13" w:type="dxa"/>
          <w:trHeight w:val="330" w:hRule="atLeast"/>
        </w:trPr>
        <w:tc>
          <w:tcPr>
            <w:tcW w:w="123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7"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13" w:type="dxa"/>
          <w:trHeight w:val="330" w:hRule="atLeast"/>
        </w:trPr>
        <w:tc>
          <w:tcPr>
            <w:tcW w:w="123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7"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13" w:type="dxa"/>
          <w:trHeight w:val="330" w:hRule="atLeast"/>
        </w:trPr>
        <w:tc>
          <w:tcPr>
            <w:tcW w:w="123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7"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13" w:type="dxa"/>
          <w:trHeight w:val="330" w:hRule="atLeast"/>
        </w:trPr>
        <w:tc>
          <w:tcPr>
            <w:tcW w:w="123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7"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13" w:type="dxa"/>
          <w:trHeight w:val="330" w:hRule="atLeast"/>
        </w:trPr>
        <w:tc>
          <w:tcPr>
            <w:tcW w:w="123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7"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13" w:type="dxa"/>
          <w:trHeight w:val="330" w:hRule="atLeast"/>
        </w:trPr>
        <w:tc>
          <w:tcPr>
            <w:tcW w:w="123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7"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13" w:type="dxa"/>
          <w:trHeight w:val="330" w:hRule="atLeast"/>
        </w:trPr>
        <w:tc>
          <w:tcPr>
            <w:tcW w:w="123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7"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13" w:type="dxa"/>
          <w:trHeight w:val="330" w:hRule="atLeast"/>
        </w:trPr>
        <w:tc>
          <w:tcPr>
            <w:tcW w:w="123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7"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13" w:type="dxa"/>
          <w:trHeight w:val="330" w:hRule="atLeast"/>
        </w:trPr>
        <w:tc>
          <w:tcPr>
            <w:tcW w:w="123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7"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13" w:type="dxa"/>
          <w:trHeight w:val="330" w:hRule="atLeast"/>
        </w:trPr>
        <w:tc>
          <w:tcPr>
            <w:tcW w:w="123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7"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13" w:type="dxa"/>
          <w:trHeight w:val="330" w:hRule="atLeast"/>
        </w:trPr>
        <w:tc>
          <w:tcPr>
            <w:tcW w:w="123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7"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13" w:type="dxa"/>
          <w:trHeight w:val="330" w:hRule="atLeast"/>
        </w:trPr>
        <w:tc>
          <w:tcPr>
            <w:tcW w:w="123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7"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13" w:type="dxa"/>
          <w:trHeight w:val="330" w:hRule="atLeast"/>
        </w:trPr>
        <w:tc>
          <w:tcPr>
            <w:tcW w:w="123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7"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13" w:type="dxa"/>
          <w:trHeight w:val="330" w:hRule="atLeast"/>
        </w:trPr>
        <w:tc>
          <w:tcPr>
            <w:tcW w:w="123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7"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13" w:type="dxa"/>
          <w:trHeight w:val="330" w:hRule="atLeast"/>
        </w:trPr>
        <w:tc>
          <w:tcPr>
            <w:tcW w:w="123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47"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13" w:type="dxa"/>
          <w:trHeight w:val="300" w:hRule="atLeast"/>
        </w:trPr>
        <w:tc>
          <w:tcPr>
            <w:tcW w:w="6780" w:type="dxa"/>
            <w:gridSpan w:val="14"/>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    计</w:t>
            </w:r>
          </w:p>
        </w:tc>
        <w:tc>
          <w:tcPr>
            <w:tcW w:w="1470" w:type="dxa"/>
            <w:gridSpan w:val="4"/>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w:t>
            </w:r>
          </w:p>
        </w:tc>
        <w:tc>
          <w:tcPr>
            <w:tcW w:w="1547" w:type="dxa"/>
            <w:gridSpan w:val="2"/>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gridAfter w:val="1"/>
          <w:wAfter w:w="13" w:type="dxa"/>
          <w:trHeight w:val="345" w:hRule="atLeast"/>
        </w:trPr>
        <w:tc>
          <w:tcPr>
            <w:tcW w:w="9797" w:type="dxa"/>
            <w:gridSpan w:val="20"/>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注：此表由招标人填写，如不能详列，也可只列暂列金额总额，投标人应将上述暂列金额计入投标总价中。</w:t>
            </w:r>
          </w:p>
        </w:tc>
      </w:tr>
      <w:tr>
        <w:tblPrEx>
          <w:shd w:val="clear" w:color="auto" w:fill="auto"/>
          <w:tblCellMar>
            <w:top w:w="0" w:type="dxa"/>
            <w:left w:w="0" w:type="dxa"/>
            <w:bottom w:w="0" w:type="dxa"/>
            <w:right w:w="0" w:type="dxa"/>
          </w:tblCellMar>
        </w:tblPrEx>
        <w:trPr>
          <w:gridAfter w:val="1"/>
          <w:wAfter w:w="13" w:type="dxa"/>
          <w:trHeight w:val="390" w:hRule="atLeast"/>
        </w:trPr>
        <w:tc>
          <w:tcPr>
            <w:tcW w:w="900" w:type="dxa"/>
            <w:gridSpan w:val="2"/>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2025" w:type="dxa"/>
            <w:gridSpan w:val="2"/>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single"/>
              </w:rPr>
            </w:pPr>
          </w:p>
        </w:tc>
        <w:tc>
          <w:tcPr>
            <w:tcW w:w="705" w:type="dxa"/>
            <w:gridSpan w:val="2"/>
            <w:tcBorders>
              <w:top w:val="nil"/>
              <w:left w:val="nil"/>
              <w:bottom w:val="nil"/>
              <w:right w:val="nil"/>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single"/>
              </w:rPr>
            </w:pPr>
          </w:p>
        </w:tc>
        <w:tc>
          <w:tcPr>
            <w:tcW w:w="2760" w:type="dxa"/>
            <w:gridSpan w:val="7"/>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1530" w:type="dxa"/>
            <w:gridSpan w:val="3"/>
            <w:tcBorders>
              <w:top w:val="nil"/>
              <w:left w:val="nil"/>
              <w:bottom w:val="nil"/>
              <w:right w:val="nil"/>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77" w:type="dxa"/>
            <w:gridSpan w:val="4"/>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表—12—1</w:t>
            </w:r>
          </w:p>
        </w:tc>
      </w:tr>
      <w:tr>
        <w:tblPrEx>
          <w:shd w:val="clear" w:color="auto" w:fill="auto"/>
          <w:tblCellMar>
            <w:top w:w="0" w:type="dxa"/>
            <w:left w:w="0" w:type="dxa"/>
            <w:bottom w:w="0" w:type="dxa"/>
            <w:right w:w="0" w:type="dxa"/>
          </w:tblCellMar>
        </w:tblPrEx>
        <w:trPr>
          <w:trHeight w:val="600" w:hRule="atLeast"/>
        </w:trPr>
        <w:tc>
          <w:tcPr>
            <w:tcW w:w="9810" w:type="dxa"/>
            <w:gridSpan w:val="2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规费、税金项目计价表</w:t>
            </w:r>
          </w:p>
        </w:tc>
      </w:tr>
      <w:tr>
        <w:tblPrEx>
          <w:shd w:val="clear" w:color="auto" w:fill="auto"/>
          <w:tblCellMar>
            <w:top w:w="0" w:type="dxa"/>
            <w:left w:w="0" w:type="dxa"/>
            <w:bottom w:w="0" w:type="dxa"/>
            <w:right w:w="0" w:type="dxa"/>
          </w:tblCellMar>
        </w:tblPrEx>
        <w:trPr>
          <w:trHeight w:val="750" w:hRule="atLeast"/>
        </w:trPr>
        <w:tc>
          <w:tcPr>
            <w:tcW w:w="4200" w:type="dxa"/>
            <w:gridSpan w:val="7"/>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工程名称：污水管网工程</w:t>
            </w:r>
          </w:p>
        </w:tc>
        <w:tc>
          <w:tcPr>
            <w:tcW w:w="510" w:type="dxa"/>
            <w:tcBorders>
              <w:top w:val="nil"/>
              <w:left w:val="nil"/>
              <w:bottom w:val="nil"/>
              <w:right w:val="nil"/>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5" w:type="dxa"/>
            <w:tcBorders>
              <w:top w:val="nil"/>
              <w:left w:val="nil"/>
              <w:bottom w:val="nil"/>
              <w:right w:val="nil"/>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015" w:type="dxa"/>
            <w:gridSpan w:val="8"/>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标段：江口县2018年农村“厕所革命”省级奖补资金工程项目</w:t>
            </w:r>
            <w:r>
              <w:rPr>
                <w:rFonts w:hint="eastAsia" w:cs="宋体"/>
                <w:i w:val="0"/>
                <w:color w:val="000000"/>
                <w:kern w:val="0"/>
                <w:sz w:val="18"/>
                <w:szCs w:val="18"/>
                <w:u w:val="none"/>
                <w:lang w:val="en-US" w:eastAsia="zh-CN" w:bidi="ar"/>
              </w:rPr>
              <w:t>采购</w:t>
            </w:r>
          </w:p>
        </w:tc>
        <w:tc>
          <w:tcPr>
            <w:tcW w:w="1800" w:type="dxa"/>
            <w:gridSpan w:val="4"/>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 1 页  共 1 页</w:t>
            </w:r>
          </w:p>
        </w:tc>
      </w:tr>
      <w:tr>
        <w:tblPrEx>
          <w:shd w:val="clear" w:color="auto" w:fill="auto"/>
          <w:tblCellMar>
            <w:top w:w="0" w:type="dxa"/>
            <w:left w:w="0" w:type="dxa"/>
            <w:bottom w:w="0" w:type="dxa"/>
            <w:right w:w="0" w:type="dxa"/>
          </w:tblCellMar>
        </w:tblPrEx>
        <w:trPr>
          <w:trHeight w:val="525" w:hRule="atLeast"/>
        </w:trPr>
        <w:tc>
          <w:tcPr>
            <w:tcW w:w="690" w:type="dxa"/>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2805" w:type="dxa"/>
            <w:gridSpan w:val="4"/>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2670" w:type="dxa"/>
            <w:gridSpan w:val="7"/>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计算基础</w:t>
            </w:r>
          </w:p>
        </w:tc>
        <w:tc>
          <w:tcPr>
            <w:tcW w:w="1320" w:type="dxa"/>
            <w:gridSpan w:val="3"/>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计算基数</w:t>
            </w:r>
          </w:p>
        </w:tc>
        <w:tc>
          <w:tcPr>
            <w:tcW w:w="930" w:type="dxa"/>
            <w:gridSpan w:val="4"/>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计算费率(%)</w:t>
            </w:r>
          </w:p>
        </w:tc>
        <w:tc>
          <w:tcPr>
            <w:tcW w:w="1395" w:type="dxa"/>
            <w:gridSpan w:val="2"/>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金额（元）</w:t>
            </w:r>
          </w:p>
        </w:tc>
      </w:tr>
      <w:tr>
        <w:tblPrEx>
          <w:shd w:val="clear" w:color="auto" w:fill="auto"/>
          <w:tblCellMar>
            <w:top w:w="0" w:type="dxa"/>
            <w:left w:w="0" w:type="dxa"/>
            <w:bottom w:w="0" w:type="dxa"/>
            <w:right w:w="0" w:type="dxa"/>
          </w:tblCellMar>
        </w:tblPrEx>
        <w:trPr>
          <w:trHeight w:val="525" w:hRule="atLeast"/>
        </w:trPr>
        <w:tc>
          <w:tcPr>
            <w:tcW w:w="6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80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规费</w:t>
            </w:r>
          </w:p>
        </w:tc>
        <w:tc>
          <w:tcPr>
            <w:tcW w:w="267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社会保障费+住房公积金+工程排污费</w:t>
            </w:r>
          </w:p>
        </w:tc>
        <w:tc>
          <w:tcPr>
            <w:tcW w:w="132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95"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5" w:hRule="atLeast"/>
        </w:trPr>
        <w:tc>
          <w:tcPr>
            <w:tcW w:w="6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80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社会保障费</w:t>
            </w:r>
          </w:p>
        </w:tc>
        <w:tc>
          <w:tcPr>
            <w:tcW w:w="267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养老保险费+失业保险费+医疗保险费+工伤保险费+生育保险费</w:t>
            </w:r>
          </w:p>
        </w:tc>
        <w:tc>
          <w:tcPr>
            <w:tcW w:w="132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95"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5" w:hRule="atLeast"/>
        </w:trPr>
        <w:tc>
          <w:tcPr>
            <w:tcW w:w="6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w:t>
            </w:r>
          </w:p>
        </w:tc>
        <w:tc>
          <w:tcPr>
            <w:tcW w:w="280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养老保险费</w:t>
            </w:r>
          </w:p>
        </w:tc>
        <w:tc>
          <w:tcPr>
            <w:tcW w:w="267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c>
          <w:tcPr>
            <w:tcW w:w="132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22.13</w:t>
            </w:r>
          </w:p>
        </w:tc>
        <w:tc>
          <w:tcPr>
            <w:tcW w:w="1395"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trPr>
        <w:tc>
          <w:tcPr>
            <w:tcW w:w="6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280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失业保险费</w:t>
            </w:r>
          </w:p>
        </w:tc>
        <w:tc>
          <w:tcPr>
            <w:tcW w:w="267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c>
          <w:tcPr>
            <w:tcW w:w="132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w:t>
            </w:r>
          </w:p>
        </w:tc>
        <w:tc>
          <w:tcPr>
            <w:tcW w:w="1395"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5" w:hRule="atLeast"/>
        </w:trPr>
        <w:tc>
          <w:tcPr>
            <w:tcW w:w="6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w:t>
            </w:r>
          </w:p>
        </w:tc>
        <w:tc>
          <w:tcPr>
            <w:tcW w:w="280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医疗保险费</w:t>
            </w:r>
          </w:p>
        </w:tc>
        <w:tc>
          <w:tcPr>
            <w:tcW w:w="267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c>
          <w:tcPr>
            <w:tcW w:w="132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8.73</w:t>
            </w:r>
          </w:p>
        </w:tc>
        <w:tc>
          <w:tcPr>
            <w:tcW w:w="1395"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5" w:hRule="atLeast"/>
        </w:trPr>
        <w:tc>
          <w:tcPr>
            <w:tcW w:w="6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w:t>
            </w:r>
          </w:p>
        </w:tc>
        <w:tc>
          <w:tcPr>
            <w:tcW w:w="280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工伤保险费</w:t>
            </w:r>
          </w:p>
        </w:tc>
        <w:tc>
          <w:tcPr>
            <w:tcW w:w="267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c>
          <w:tcPr>
            <w:tcW w:w="132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w:t>
            </w:r>
          </w:p>
        </w:tc>
        <w:tc>
          <w:tcPr>
            <w:tcW w:w="1395"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5" w:hRule="atLeast"/>
        </w:trPr>
        <w:tc>
          <w:tcPr>
            <w:tcW w:w="6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w:t>
            </w:r>
          </w:p>
        </w:tc>
        <w:tc>
          <w:tcPr>
            <w:tcW w:w="280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生育保险费</w:t>
            </w:r>
          </w:p>
        </w:tc>
        <w:tc>
          <w:tcPr>
            <w:tcW w:w="267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c>
          <w:tcPr>
            <w:tcW w:w="132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0.58</w:t>
            </w:r>
          </w:p>
        </w:tc>
        <w:tc>
          <w:tcPr>
            <w:tcW w:w="1395"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5" w:hRule="atLeast"/>
        </w:trPr>
        <w:tc>
          <w:tcPr>
            <w:tcW w:w="6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80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267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c>
          <w:tcPr>
            <w:tcW w:w="132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5.82</w:t>
            </w:r>
          </w:p>
        </w:tc>
        <w:tc>
          <w:tcPr>
            <w:tcW w:w="1395"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5" w:hRule="atLeast"/>
        </w:trPr>
        <w:tc>
          <w:tcPr>
            <w:tcW w:w="6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80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工程排污费</w:t>
            </w:r>
          </w:p>
        </w:tc>
        <w:tc>
          <w:tcPr>
            <w:tcW w:w="267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2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95"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5" w:hRule="atLeast"/>
        </w:trPr>
        <w:tc>
          <w:tcPr>
            <w:tcW w:w="6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80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增值税</w:t>
            </w:r>
          </w:p>
        </w:tc>
        <w:tc>
          <w:tcPr>
            <w:tcW w:w="267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税前工程造价</w:t>
            </w:r>
          </w:p>
        </w:tc>
        <w:tc>
          <w:tcPr>
            <w:tcW w:w="132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395"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5" w:hRule="atLeast"/>
        </w:trPr>
        <w:tc>
          <w:tcPr>
            <w:tcW w:w="6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0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67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2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95"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5" w:hRule="atLeast"/>
        </w:trPr>
        <w:tc>
          <w:tcPr>
            <w:tcW w:w="6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0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67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2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95"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5" w:hRule="atLeast"/>
        </w:trPr>
        <w:tc>
          <w:tcPr>
            <w:tcW w:w="6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0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67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2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95"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5" w:hRule="atLeast"/>
        </w:trPr>
        <w:tc>
          <w:tcPr>
            <w:tcW w:w="6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0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67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2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95"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5" w:hRule="atLeast"/>
        </w:trPr>
        <w:tc>
          <w:tcPr>
            <w:tcW w:w="6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0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67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2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95"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5" w:hRule="atLeast"/>
        </w:trPr>
        <w:tc>
          <w:tcPr>
            <w:tcW w:w="6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0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67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2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95"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5" w:hRule="atLeast"/>
        </w:trPr>
        <w:tc>
          <w:tcPr>
            <w:tcW w:w="6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0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67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2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95"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5" w:hRule="atLeast"/>
        </w:trPr>
        <w:tc>
          <w:tcPr>
            <w:tcW w:w="6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0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67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2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95"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5" w:hRule="atLeast"/>
        </w:trPr>
        <w:tc>
          <w:tcPr>
            <w:tcW w:w="6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05"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67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2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95"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5" w:hRule="atLeast"/>
        </w:trPr>
        <w:tc>
          <w:tcPr>
            <w:tcW w:w="690" w:type="dxa"/>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05" w:type="dxa"/>
            <w:gridSpan w:val="4"/>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670" w:type="dxa"/>
            <w:gridSpan w:val="7"/>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20" w:type="dxa"/>
            <w:gridSpan w:val="3"/>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gridSpan w:val="4"/>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95" w:type="dxa"/>
            <w:gridSpan w:val="2"/>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35" w:hRule="atLeast"/>
        </w:trPr>
        <w:tc>
          <w:tcPr>
            <w:tcW w:w="4200" w:type="dxa"/>
            <w:gridSpan w:val="7"/>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编制人（造价人员）：</w:t>
            </w:r>
          </w:p>
        </w:tc>
        <w:tc>
          <w:tcPr>
            <w:tcW w:w="510" w:type="dxa"/>
            <w:tcBorders>
              <w:top w:val="nil"/>
              <w:left w:val="nil"/>
              <w:bottom w:val="nil"/>
              <w:right w:val="nil"/>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5" w:type="dxa"/>
            <w:tcBorders>
              <w:top w:val="nil"/>
              <w:left w:val="nil"/>
              <w:bottom w:val="nil"/>
              <w:right w:val="nil"/>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5" w:type="dxa"/>
            <w:gridSpan w:val="2"/>
            <w:tcBorders>
              <w:top w:val="nil"/>
              <w:left w:val="nil"/>
              <w:bottom w:val="nil"/>
              <w:right w:val="nil"/>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20" w:type="dxa"/>
            <w:gridSpan w:val="6"/>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复核人（造价工程师）：</w:t>
            </w:r>
          </w:p>
        </w:tc>
        <w:tc>
          <w:tcPr>
            <w:tcW w:w="1800" w:type="dxa"/>
            <w:gridSpan w:val="4"/>
            <w:tcBorders>
              <w:top w:val="nil"/>
              <w:left w:val="nil"/>
              <w:bottom w:val="nil"/>
              <w:right w:val="nil"/>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0" w:hRule="atLeast"/>
        </w:trPr>
        <w:tc>
          <w:tcPr>
            <w:tcW w:w="4200" w:type="dxa"/>
            <w:gridSpan w:val="7"/>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single"/>
              </w:rPr>
            </w:pPr>
          </w:p>
        </w:tc>
        <w:tc>
          <w:tcPr>
            <w:tcW w:w="285" w:type="dxa"/>
            <w:tcBorders>
              <w:top w:val="nil"/>
              <w:left w:val="nil"/>
              <w:bottom w:val="nil"/>
              <w:right w:val="nil"/>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single"/>
              </w:rPr>
            </w:pPr>
          </w:p>
        </w:tc>
        <w:tc>
          <w:tcPr>
            <w:tcW w:w="795" w:type="dxa"/>
            <w:gridSpan w:val="2"/>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2220" w:type="dxa"/>
            <w:gridSpan w:val="6"/>
            <w:tcBorders>
              <w:top w:val="nil"/>
              <w:left w:val="nil"/>
              <w:bottom w:val="nil"/>
              <w:right w:val="nil"/>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800" w:type="dxa"/>
            <w:gridSpan w:val="4"/>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表—13</w:t>
            </w:r>
          </w:p>
        </w:tc>
      </w:tr>
    </w:tbl>
    <w:p>
      <w:pPr>
        <w:pStyle w:val="16"/>
        <w:jc w:val="both"/>
      </w:pPr>
    </w:p>
    <w:tbl>
      <w:tblPr>
        <w:tblStyle w:val="13"/>
        <w:tblW w:w="9641" w:type="dxa"/>
        <w:tblInd w:w="0" w:type="dxa"/>
        <w:shd w:val="clear" w:color="auto" w:fill="auto"/>
        <w:tblLayout w:type="fixed"/>
        <w:tblCellMar>
          <w:top w:w="0" w:type="dxa"/>
          <w:left w:w="0" w:type="dxa"/>
          <w:bottom w:w="0" w:type="dxa"/>
          <w:right w:w="0" w:type="dxa"/>
        </w:tblCellMar>
      </w:tblPr>
      <w:tblGrid>
        <w:gridCol w:w="486"/>
        <w:gridCol w:w="137"/>
        <w:gridCol w:w="326"/>
        <w:gridCol w:w="266"/>
        <w:gridCol w:w="385"/>
        <w:gridCol w:w="207"/>
        <w:gridCol w:w="829"/>
        <w:gridCol w:w="376"/>
        <w:gridCol w:w="344"/>
        <w:gridCol w:w="745"/>
        <w:gridCol w:w="82"/>
        <w:gridCol w:w="137"/>
        <w:gridCol w:w="405"/>
        <w:gridCol w:w="1"/>
        <w:gridCol w:w="280"/>
        <w:gridCol w:w="169"/>
        <w:gridCol w:w="224"/>
        <w:gridCol w:w="61"/>
        <w:gridCol w:w="82"/>
        <w:gridCol w:w="394"/>
        <w:gridCol w:w="262"/>
        <w:gridCol w:w="106"/>
        <w:gridCol w:w="86"/>
        <w:gridCol w:w="480"/>
        <w:gridCol w:w="256"/>
        <w:gridCol w:w="40"/>
        <w:gridCol w:w="194"/>
        <w:gridCol w:w="560"/>
        <w:gridCol w:w="149"/>
        <w:gridCol w:w="256"/>
        <w:gridCol w:w="94"/>
        <w:gridCol w:w="1217"/>
        <w:gridCol w:w="2"/>
        <w:gridCol w:w="3"/>
      </w:tblGrid>
      <w:tr>
        <w:tblPrEx>
          <w:tblCellMar>
            <w:top w:w="0" w:type="dxa"/>
            <w:left w:w="0" w:type="dxa"/>
            <w:bottom w:w="0" w:type="dxa"/>
            <w:right w:w="0" w:type="dxa"/>
          </w:tblCellMar>
        </w:tblPrEx>
        <w:trPr>
          <w:gridAfter w:val="2"/>
          <w:wAfter w:w="5" w:type="dxa"/>
          <w:trHeight w:val="750" w:hRule="atLeast"/>
        </w:trPr>
        <w:tc>
          <w:tcPr>
            <w:tcW w:w="9636" w:type="dxa"/>
            <w:gridSpan w:val="3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分部分项工程和单价措施项目清单与计价表</w:t>
            </w:r>
          </w:p>
        </w:tc>
      </w:tr>
      <w:tr>
        <w:tblPrEx>
          <w:tblCellMar>
            <w:top w:w="0" w:type="dxa"/>
            <w:left w:w="0" w:type="dxa"/>
            <w:bottom w:w="0" w:type="dxa"/>
            <w:right w:w="0" w:type="dxa"/>
          </w:tblCellMar>
        </w:tblPrEx>
        <w:trPr>
          <w:gridAfter w:val="2"/>
          <w:wAfter w:w="5" w:type="dxa"/>
          <w:trHeight w:val="750" w:hRule="atLeast"/>
        </w:trPr>
        <w:tc>
          <w:tcPr>
            <w:tcW w:w="4101" w:type="dxa"/>
            <w:gridSpan w:val="10"/>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工程名称：户用厕所改造</w:t>
            </w:r>
          </w:p>
        </w:tc>
        <w:tc>
          <w:tcPr>
            <w:tcW w:w="3065" w:type="dxa"/>
            <w:gridSpan w:val="16"/>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 xml:space="preserve">  标段：江口县2018年农村“厕所革命”省级奖补资金工程项目</w:t>
            </w:r>
            <w:r>
              <w:rPr>
                <w:rFonts w:hint="eastAsia" w:cs="宋体"/>
                <w:i w:val="0"/>
                <w:color w:val="000000"/>
                <w:kern w:val="0"/>
                <w:sz w:val="18"/>
                <w:szCs w:val="18"/>
                <w:u w:val="none"/>
                <w:lang w:val="en-US" w:eastAsia="zh-CN" w:bidi="ar"/>
              </w:rPr>
              <w:t>采购</w:t>
            </w:r>
          </w:p>
        </w:tc>
        <w:tc>
          <w:tcPr>
            <w:tcW w:w="2470" w:type="dxa"/>
            <w:gridSpan w:val="6"/>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  1  页  共  2  页</w:t>
            </w:r>
          </w:p>
        </w:tc>
      </w:tr>
      <w:tr>
        <w:tblPrEx>
          <w:tblCellMar>
            <w:top w:w="0" w:type="dxa"/>
            <w:left w:w="0" w:type="dxa"/>
            <w:bottom w:w="0" w:type="dxa"/>
            <w:right w:w="0" w:type="dxa"/>
          </w:tblCellMar>
        </w:tblPrEx>
        <w:trPr>
          <w:gridAfter w:val="2"/>
          <w:wAfter w:w="5" w:type="dxa"/>
          <w:trHeight w:val="465" w:hRule="atLeast"/>
        </w:trPr>
        <w:tc>
          <w:tcPr>
            <w:tcW w:w="623" w:type="dxa"/>
            <w:gridSpan w:val="2"/>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184" w:type="dxa"/>
            <w:gridSpan w:val="4"/>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项目编码</w:t>
            </w:r>
          </w:p>
        </w:tc>
        <w:tc>
          <w:tcPr>
            <w:tcW w:w="120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994" w:type="dxa"/>
            <w:gridSpan w:val="7"/>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项目特征描述</w:t>
            </w:r>
          </w:p>
        </w:tc>
        <w:tc>
          <w:tcPr>
            <w:tcW w:w="536" w:type="dxa"/>
            <w:gridSpan w:val="4"/>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762"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工程量</w:t>
            </w:r>
          </w:p>
        </w:tc>
        <w:tc>
          <w:tcPr>
            <w:tcW w:w="3332" w:type="dxa"/>
            <w:gridSpan w:val="10"/>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金额（元）</w:t>
            </w:r>
          </w:p>
        </w:tc>
      </w:tr>
      <w:tr>
        <w:tblPrEx>
          <w:shd w:val="clear" w:color="auto" w:fill="auto"/>
          <w:tblCellMar>
            <w:top w:w="0" w:type="dxa"/>
            <w:left w:w="0" w:type="dxa"/>
            <w:bottom w:w="0" w:type="dxa"/>
            <w:right w:w="0" w:type="dxa"/>
          </w:tblCellMar>
        </w:tblPrEx>
        <w:trPr>
          <w:gridAfter w:val="2"/>
          <w:wAfter w:w="5" w:type="dxa"/>
          <w:trHeight w:val="465" w:hRule="atLeast"/>
        </w:trPr>
        <w:tc>
          <w:tcPr>
            <w:tcW w:w="623" w:type="dxa"/>
            <w:gridSpan w:val="2"/>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84" w:type="dxa"/>
            <w:gridSpan w:val="4"/>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94" w:type="dxa"/>
            <w:gridSpan w:val="7"/>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6" w:type="dxa"/>
            <w:gridSpan w:val="4"/>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2"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6" w:type="dxa"/>
            <w:gridSpan w:val="5"/>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综合单价</w:t>
            </w:r>
          </w:p>
        </w:tc>
        <w:tc>
          <w:tcPr>
            <w:tcW w:w="1059" w:type="dxa"/>
            <w:gridSpan w:val="4"/>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合价</w:t>
            </w:r>
          </w:p>
        </w:tc>
        <w:tc>
          <w:tcPr>
            <w:tcW w:w="121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w:t>
            </w:r>
          </w:p>
        </w:tc>
      </w:tr>
      <w:tr>
        <w:tblPrEx>
          <w:shd w:val="clear" w:color="auto" w:fill="auto"/>
          <w:tblCellMar>
            <w:top w:w="0" w:type="dxa"/>
            <w:left w:w="0" w:type="dxa"/>
            <w:bottom w:w="0" w:type="dxa"/>
            <w:right w:w="0" w:type="dxa"/>
          </w:tblCellMar>
        </w:tblPrEx>
        <w:trPr>
          <w:gridAfter w:val="2"/>
          <w:wAfter w:w="5" w:type="dxa"/>
          <w:trHeight w:val="465" w:hRule="atLeast"/>
        </w:trPr>
        <w:tc>
          <w:tcPr>
            <w:tcW w:w="623" w:type="dxa"/>
            <w:gridSpan w:val="2"/>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84" w:type="dxa"/>
            <w:gridSpan w:val="4"/>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94" w:type="dxa"/>
            <w:gridSpan w:val="7"/>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6" w:type="dxa"/>
            <w:gridSpan w:val="4"/>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2"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6" w:type="dxa"/>
            <w:gridSpan w:val="5"/>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gridSpan w:val="4"/>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暂估价</w:t>
            </w:r>
          </w:p>
        </w:tc>
      </w:tr>
      <w:tr>
        <w:tblPrEx>
          <w:shd w:val="clear" w:color="auto" w:fill="auto"/>
          <w:tblCellMar>
            <w:top w:w="0" w:type="dxa"/>
            <w:left w:w="0" w:type="dxa"/>
            <w:bottom w:w="0" w:type="dxa"/>
            <w:right w:w="0" w:type="dxa"/>
          </w:tblCellMar>
        </w:tblPrEx>
        <w:trPr>
          <w:gridAfter w:val="2"/>
          <w:wAfter w:w="5" w:type="dxa"/>
          <w:trHeight w:val="750" w:hRule="atLeast"/>
        </w:trPr>
        <w:tc>
          <w:tcPr>
            <w:tcW w:w="623"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84"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011201001001</w:t>
            </w:r>
          </w:p>
        </w:tc>
        <w:tc>
          <w:tcPr>
            <w:tcW w:w="120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内墙面一般抹灰</w:t>
            </w:r>
          </w:p>
        </w:tc>
        <w:tc>
          <w:tcPr>
            <w:tcW w:w="1994"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1.18厚1：3水泥砂浆垫层打底；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2.基层处理</w:t>
            </w:r>
          </w:p>
        </w:tc>
        <w:tc>
          <w:tcPr>
            <w:tcW w:w="53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762"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896.1</w:t>
            </w:r>
          </w:p>
        </w:tc>
        <w:tc>
          <w:tcPr>
            <w:tcW w:w="1056"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59"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2"/>
          <w:wAfter w:w="5" w:type="dxa"/>
          <w:trHeight w:val="1200" w:hRule="atLeast"/>
        </w:trPr>
        <w:tc>
          <w:tcPr>
            <w:tcW w:w="623"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84"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011407001001</w:t>
            </w:r>
          </w:p>
        </w:tc>
        <w:tc>
          <w:tcPr>
            <w:tcW w:w="120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内墙墙面喷刷涂料</w:t>
            </w:r>
          </w:p>
        </w:tc>
        <w:tc>
          <w:tcPr>
            <w:tcW w:w="1994"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1.刷白色内墙乳胶漆二道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2.刮专用腻子；（厚度＜5㎜＝刷白色内墙乳胶漆二道)</w:t>
            </w:r>
          </w:p>
        </w:tc>
        <w:tc>
          <w:tcPr>
            <w:tcW w:w="53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762"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896.1</w:t>
            </w:r>
          </w:p>
        </w:tc>
        <w:tc>
          <w:tcPr>
            <w:tcW w:w="1056"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59"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2"/>
          <w:wAfter w:w="5" w:type="dxa"/>
          <w:trHeight w:val="1650" w:hRule="atLeast"/>
        </w:trPr>
        <w:tc>
          <w:tcPr>
            <w:tcW w:w="623"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184"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011201001002</w:t>
            </w:r>
          </w:p>
        </w:tc>
        <w:tc>
          <w:tcPr>
            <w:tcW w:w="120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外墙面一般抹灰</w:t>
            </w:r>
          </w:p>
        </w:tc>
        <w:tc>
          <w:tcPr>
            <w:tcW w:w="1994"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1.6厚1;2水泥砂浆找平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2.14厚1：3水泥砂浆打底扫毛，两次成活；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3.刷水泥浆一遍(内掺建筑胶)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4.基层清扫，填补缝隙缺损均匀湿润</w:t>
            </w:r>
          </w:p>
        </w:tc>
        <w:tc>
          <w:tcPr>
            <w:tcW w:w="53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762"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2181.54</w:t>
            </w:r>
          </w:p>
        </w:tc>
        <w:tc>
          <w:tcPr>
            <w:tcW w:w="1056"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59"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2"/>
          <w:wAfter w:w="5" w:type="dxa"/>
          <w:trHeight w:val="1200" w:hRule="atLeast"/>
        </w:trPr>
        <w:tc>
          <w:tcPr>
            <w:tcW w:w="623"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184"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011407001002</w:t>
            </w:r>
          </w:p>
        </w:tc>
        <w:tc>
          <w:tcPr>
            <w:tcW w:w="120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外墙面喷刷涂料</w:t>
            </w:r>
          </w:p>
        </w:tc>
        <w:tc>
          <w:tcPr>
            <w:tcW w:w="1994"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1.三遍滚涂弹性涂料面层，涂膜厚＞100μM；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2.三遍油性底漆；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3.专用柔性腻子，厚度≤5㎜；</w:t>
            </w:r>
          </w:p>
        </w:tc>
        <w:tc>
          <w:tcPr>
            <w:tcW w:w="53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762"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2181.54</w:t>
            </w:r>
          </w:p>
        </w:tc>
        <w:tc>
          <w:tcPr>
            <w:tcW w:w="1056"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59"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2"/>
          <w:wAfter w:w="5" w:type="dxa"/>
          <w:trHeight w:val="1200" w:hRule="atLeast"/>
        </w:trPr>
        <w:tc>
          <w:tcPr>
            <w:tcW w:w="623"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84"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011301001001</w:t>
            </w:r>
          </w:p>
        </w:tc>
        <w:tc>
          <w:tcPr>
            <w:tcW w:w="120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天棚抹灰</w:t>
            </w:r>
          </w:p>
        </w:tc>
        <w:tc>
          <w:tcPr>
            <w:tcW w:w="1994"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1.12厚1：2.5水泥砂浆打底扫毛；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2.刷水泥浆一道（加建筑胶适量）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3.基层清理</w:t>
            </w:r>
          </w:p>
        </w:tc>
        <w:tc>
          <w:tcPr>
            <w:tcW w:w="53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762"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556.2</w:t>
            </w:r>
          </w:p>
        </w:tc>
        <w:tc>
          <w:tcPr>
            <w:tcW w:w="1056"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59"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2"/>
          <w:wAfter w:w="5" w:type="dxa"/>
          <w:trHeight w:val="750" w:hRule="atLeast"/>
        </w:trPr>
        <w:tc>
          <w:tcPr>
            <w:tcW w:w="623"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184"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011407002001</w:t>
            </w:r>
          </w:p>
        </w:tc>
        <w:tc>
          <w:tcPr>
            <w:tcW w:w="120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天棚喷刷涂料</w:t>
            </w:r>
          </w:p>
        </w:tc>
        <w:tc>
          <w:tcPr>
            <w:tcW w:w="1994"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1.刷白色乳胶漆二道；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2.刮专用腻子，（厚度＜5㎜）</w:t>
            </w:r>
          </w:p>
        </w:tc>
        <w:tc>
          <w:tcPr>
            <w:tcW w:w="53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762"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501.32</w:t>
            </w:r>
          </w:p>
        </w:tc>
        <w:tc>
          <w:tcPr>
            <w:tcW w:w="1056"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59"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2"/>
          <w:wAfter w:w="5" w:type="dxa"/>
          <w:trHeight w:val="2325" w:hRule="atLeast"/>
        </w:trPr>
        <w:tc>
          <w:tcPr>
            <w:tcW w:w="623"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184"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011204003001</w:t>
            </w:r>
          </w:p>
        </w:tc>
        <w:tc>
          <w:tcPr>
            <w:tcW w:w="120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块料墙面</w:t>
            </w:r>
          </w:p>
        </w:tc>
        <w:tc>
          <w:tcPr>
            <w:tcW w:w="1994"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1.抛光米色300x600釉面砖白水泥浆擦缝，1.5米高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2.10厚1:2水泥砂浆粘接层（加建筑胶适量）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3.10厚1:2水泥砂浆（内掺5%防水剂）粉面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4.12厚1:3水泥砂浆打底;刷界面处理剂一道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5.基层处理</w:t>
            </w:r>
          </w:p>
        </w:tc>
        <w:tc>
          <w:tcPr>
            <w:tcW w:w="53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762"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1297.8</w:t>
            </w:r>
          </w:p>
        </w:tc>
        <w:tc>
          <w:tcPr>
            <w:tcW w:w="1056"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59"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2"/>
          <w:wAfter w:w="5" w:type="dxa"/>
          <w:trHeight w:val="1425" w:hRule="atLeast"/>
        </w:trPr>
        <w:tc>
          <w:tcPr>
            <w:tcW w:w="623"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184"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011102003001</w:t>
            </w:r>
          </w:p>
        </w:tc>
        <w:tc>
          <w:tcPr>
            <w:tcW w:w="120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块料楼地面</w:t>
            </w:r>
          </w:p>
        </w:tc>
        <w:tc>
          <w:tcPr>
            <w:tcW w:w="1994"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1.20厚防滑地砖面层(地砖颜色及规格甲方自定)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2.30厚干硬性水泥砂浆结合层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3.100厚C15混凝土垫层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4.素土夯实</w:t>
            </w:r>
          </w:p>
        </w:tc>
        <w:tc>
          <w:tcPr>
            <w:tcW w:w="53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762"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556.2</w:t>
            </w:r>
          </w:p>
        </w:tc>
        <w:tc>
          <w:tcPr>
            <w:tcW w:w="1056"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59"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2"/>
          <w:wAfter w:w="5" w:type="dxa"/>
          <w:trHeight w:val="375" w:hRule="atLeast"/>
        </w:trPr>
        <w:tc>
          <w:tcPr>
            <w:tcW w:w="7360" w:type="dxa"/>
            <w:gridSpan w:val="27"/>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本页小计</w:t>
            </w:r>
          </w:p>
        </w:tc>
        <w:tc>
          <w:tcPr>
            <w:tcW w:w="1059" w:type="dxa"/>
            <w:gridSpan w:val="4"/>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7" w:type="dxa"/>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2"/>
          <w:wAfter w:w="5" w:type="dxa"/>
          <w:trHeight w:val="555" w:hRule="atLeast"/>
        </w:trPr>
        <w:tc>
          <w:tcPr>
            <w:tcW w:w="9636" w:type="dxa"/>
            <w:gridSpan w:val="32"/>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注：为记取规费等的使用，可在表中增设其中：“定额人工费”。</w:t>
            </w:r>
          </w:p>
        </w:tc>
      </w:tr>
      <w:tr>
        <w:tblPrEx>
          <w:shd w:val="clear" w:color="auto" w:fill="auto"/>
          <w:tblCellMar>
            <w:top w:w="0" w:type="dxa"/>
            <w:left w:w="0" w:type="dxa"/>
            <w:bottom w:w="0" w:type="dxa"/>
            <w:right w:w="0" w:type="dxa"/>
          </w:tblCellMar>
        </w:tblPrEx>
        <w:trPr>
          <w:gridAfter w:val="2"/>
          <w:wAfter w:w="5" w:type="dxa"/>
          <w:trHeight w:val="315" w:hRule="atLeast"/>
        </w:trPr>
        <w:tc>
          <w:tcPr>
            <w:tcW w:w="4101" w:type="dxa"/>
            <w:gridSpan w:val="10"/>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3065" w:type="dxa"/>
            <w:gridSpan w:val="16"/>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70" w:type="dxa"/>
            <w:gridSpan w:val="6"/>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表-08</w:t>
            </w:r>
          </w:p>
        </w:tc>
      </w:tr>
      <w:tr>
        <w:tblPrEx>
          <w:tblCellMar>
            <w:top w:w="0" w:type="dxa"/>
            <w:left w:w="0" w:type="dxa"/>
            <w:bottom w:w="0" w:type="dxa"/>
            <w:right w:w="0" w:type="dxa"/>
          </w:tblCellMar>
        </w:tblPrEx>
        <w:trPr>
          <w:gridAfter w:val="2"/>
          <w:wAfter w:w="5" w:type="dxa"/>
          <w:trHeight w:val="300" w:hRule="atLeast"/>
        </w:trPr>
        <w:tc>
          <w:tcPr>
            <w:tcW w:w="9636" w:type="dxa"/>
            <w:gridSpan w:val="32"/>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2"/>
          <w:wAfter w:w="5" w:type="dxa"/>
          <w:trHeight w:val="750" w:hRule="atLeast"/>
        </w:trPr>
        <w:tc>
          <w:tcPr>
            <w:tcW w:w="9636" w:type="dxa"/>
            <w:gridSpan w:val="3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分部分项工程和单价措施项目清单与计价表</w:t>
            </w:r>
          </w:p>
        </w:tc>
      </w:tr>
      <w:tr>
        <w:tblPrEx>
          <w:tblCellMar>
            <w:top w:w="0" w:type="dxa"/>
            <w:left w:w="0" w:type="dxa"/>
            <w:bottom w:w="0" w:type="dxa"/>
            <w:right w:w="0" w:type="dxa"/>
          </w:tblCellMar>
        </w:tblPrEx>
        <w:trPr>
          <w:gridAfter w:val="2"/>
          <w:wAfter w:w="5" w:type="dxa"/>
          <w:trHeight w:val="750" w:hRule="atLeast"/>
        </w:trPr>
        <w:tc>
          <w:tcPr>
            <w:tcW w:w="4101" w:type="dxa"/>
            <w:gridSpan w:val="10"/>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工程名称：户用厕所改造</w:t>
            </w:r>
          </w:p>
        </w:tc>
        <w:tc>
          <w:tcPr>
            <w:tcW w:w="3065" w:type="dxa"/>
            <w:gridSpan w:val="16"/>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标段：江口县2018年农村“厕所革命”省级奖补资金工程项目</w:t>
            </w:r>
            <w:r>
              <w:rPr>
                <w:rFonts w:hint="eastAsia" w:cs="宋体"/>
                <w:i w:val="0"/>
                <w:color w:val="000000"/>
                <w:kern w:val="0"/>
                <w:sz w:val="18"/>
                <w:szCs w:val="18"/>
                <w:u w:val="none"/>
                <w:lang w:val="en-US" w:eastAsia="zh-CN" w:bidi="ar"/>
              </w:rPr>
              <w:t>采购</w:t>
            </w:r>
          </w:p>
        </w:tc>
        <w:tc>
          <w:tcPr>
            <w:tcW w:w="2470" w:type="dxa"/>
            <w:gridSpan w:val="6"/>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  2  页  共  2  页</w:t>
            </w:r>
          </w:p>
        </w:tc>
      </w:tr>
      <w:tr>
        <w:tblPrEx>
          <w:shd w:val="clear" w:color="auto" w:fill="auto"/>
          <w:tblCellMar>
            <w:top w:w="0" w:type="dxa"/>
            <w:left w:w="0" w:type="dxa"/>
            <w:bottom w:w="0" w:type="dxa"/>
            <w:right w:w="0" w:type="dxa"/>
          </w:tblCellMar>
        </w:tblPrEx>
        <w:trPr>
          <w:gridAfter w:val="2"/>
          <w:wAfter w:w="5" w:type="dxa"/>
          <w:trHeight w:val="465" w:hRule="atLeast"/>
        </w:trPr>
        <w:tc>
          <w:tcPr>
            <w:tcW w:w="623" w:type="dxa"/>
            <w:gridSpan w:val="2"/>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184" w:type="dxa"/>
            <w:gridSpan w:val="4"/>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项目编码</w:t>
            </w:r>
          </w:p>
        </w:tc>
        <w:tc>
          <w:tcPr>
            <w:tcW w:w="120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994" w:type="dxa"/>
            <w:gridSpan w:val="7"/>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项目特征描述</w:t>
            </w:r>
          </w:p>
        </w:tc>
        <w:tc>
          <w:tcPr>
            <w:tcW w:w="536" w:type="dxa"/>
            <w:gridSpan w:val="4"/>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762"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工程量</w:t>
            </w:r>
          </w:p>
        </w:tc>
        <w:tc>
          <w:tcPr>
            <w:tcW w:w="3332" w:type="dxa"/>
            <w:gridSpan w:val="10"/>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金额（元）</w:t>
            </w:r>
          </w:p>
        </w:tc>
      </w:tr>
      <w:tr>
        <w:tblPrEx>
          <w:tblCellMar>
            <w:top w:w="0" w:type="dxa"/>
            <w:left w:w="0" w:type="dxa"/>
            <w:bottom w:w="0" w:type="dxa"/>
            <w:right w:w="0" w:type="dxa"/>
          </w:tblCellMar>
        </w:tblPrEx>
        <w:trPr>
          <w:gridAfter w:val="2"/>
          <w:wAfter w:w="5" w:type="dxa"/>
          <w:trHeight w:val="465" w:hRule="atLeast"/>
        </w:trPr>
        <w:tc>
          <w:tcPr>
            <w:tcW w:w="623" w:type="dxa"/>
            <w:gridSpan w:val="2"/>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84" w:type="dxa"/>
            <w:gridSpan w:val="4"/>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94" w:type="dxa"/>
            <w:gridSpan w:val="7"/>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6" w:type="dxa"/>
            <w:gridSpan w:val="4"/>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2"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6" w:type="dxa"/>
            <w:gridSpan w:val="5"/>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综合单价</w:t>
            </w:r>
          </w:p>
        </w:tc>
        <w:tc>
          <w:tcPr>
            <w:tcW w:w="1059" w:type="dxa"/>
            <w:gridSpan w:val="4"/>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合价</w:t>
            </w:r>
          </w:p>
        </w:tc>
        <w:tc>
          <w:tcPr>
            <w:tcW w:w="121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w:t>
            </w:r>
          </w:p>
        </w:tc>
      </w:tr>
      <w:tr>
        <w:tblPrEx>
          <w:shd w:val="clear" w:color="auto" w:fill="auto"/>
          <w:tblCellMar>
            <w:top w:w="0" w:type="dxa"/>
            <w:left w:w="0" w:type="dxa"/>
            <w:bottom w:w="0" w:type="dxa"/>
            <w:right w:w="0" w:type="dxa"/>
          </w:tblCellMar>
        </w:tblPrEx>
        <w:trPr>
          <w:gridAfter w:val="2"/>
          <w:wAfter w:w="5" w:type="dxa"/>
          <w:trHeight w:val="525" w:hRule="atLeast"/>
        </w:trPr>
        <w:tc>
          <w:tcPr>
            <w:tcW w:w="623" w:type="dxa"/>
            <w:gridSpan w:val="2"/>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84" w:type="dxa"/>
            <w:gridSpan w:val="4"/>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94" w:type="dxa"/>
            <w:gridSpan w:val="7"/>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6" w:type="dxa"/>
            <w:gridSpan w:val="4"/>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2"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6" w:type="dxa"/>
            <w:gridSpan w:val="5"/>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gridSpan w:val="4"/>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暂估价</w:t>
            </w:r>
          </w:p>
        </w:tc>
      </w:tr>
      <w:tr>
        <w:tblPrEx>
          <w:shd w:val="clear" w:color="auto" w:fill="auto"/>
          <w:tblCellMar>
            <w:top w:w="0" w:type="dxa"/>
            <w:left w:w="0" w:type="dxa"/>
            <w:bottom w:w="0" w:type="dxa"/>
            <w:right w:w="0" w:type="dxa"/>
          </w:tblCellMar>
        </w:tblPrEx>
        <w:trPr>
          <w:gridAfter w:val="2"/>
          <w:wAfter w:w="5" w:type="dxa"/>
          <w:trHeight w:val="750" w:hRule="atLeast"/>
        </w:trPr>
        <w:tc>
          <w:tcPr>
            <w:tcW w:w="623"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184"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010807001001</w:t>
            </w:r>
          </w:p>
        </w:tc>
        <w:tc>
          <w:tcPr>
            <w:tcW w:w="120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金属（塑钢、断桥）窗</w:t>
            </w:r>
          </w:p>
        </w:tc>
        <w:tc>
          <w:tcPr>
            <w:tcW w:w="1994"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1.窗代号及洞口尺寸:铝合金窗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2.玻璃品种、厚度:δ=5</w:t>
            </w:r>
          </w:p>
        </w:tc>
        <w:tc>
          <w:tcPr>
            <w:tcW w:w="53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762"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370.8</w:t>
            </w:r>
          </w:p>
        </w:tc>
        <w:tc>
          <w:tcPr>
            <w:tcW w:w="1056"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59"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2"/>
          <w:wAfter w:w="5" w:type="dxa"/>
          <w:trHeight w:val="975" w:hRule="atLeast"/>
        </w:trPr>
        <w:tc>
          <w:tcPr>
            <w:tcW w:w="623"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84"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010802001001</w:t>
            </w:r>
          </w:p>
        </w:tc>
        <w:tc>
          <w:tcPr>
            <w:tcW w:w="120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金属(塑钢）门</w:t>
            </w:r>
          </w:p>
        </w:tc>
        <w:tc>
          <w:tcPr>
            <w:tcW w:w="1994"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1.门代号及洞口尺寸:2.1*0.7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2.门框、扇材质:普通磨砂玻璃</w:t>
            </w:r>
          </w:p>
        </w:tc>
        <w:tc>
          <w:tcPr>
            <w:tcW w:w="53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762"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302.82</w:t>
            </w:r>
          </w:p>
        </w:tc>
        <w:tc>
          <w:tcPr>
            <w:tcW w:w="1056"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59"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2"/>
          <w:wAfter w:w="5" w:type="dxa"/>
          <w:trHeight w:val="750" w:hRule="atLeast"/>
        </w:trPr>
        <w:tc>
          <w:tcPr>
            <w:tcW w:w="623"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184"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031004006001</w:t>
            </w:r>
          </w:p>
        </w:tc>
        <w:tc>
          <w:tcPr>
            <w:tcW w:w="120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大便器及水箱</w:t>
            </w:r>
          </w:p>
        </w:tc>
        <w:tc>
          <w:tcPr>
            <w:tcW w:w="1994"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1.材质:陶瓷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2.组装形式:砖砌蹲便台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3.附件名称、数量:水箱</w:t>
            </w:r>
          </w:p>
        </w:tc>
        <w:tc>
          <w:tcPr>
            <w:tcW w:w="53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762"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256</w:t>
            </w:r>
          </w:p>
        </w:tc>
        <w:tc>
          <w:tcPr>
            <w:tcW w:w="1056"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59"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2"/>
          <w:wAfter w:w="5" w:type="dxa"/>
          <w:trHeight w:val="465" w:hRule="atLeast"/>
        </w:trPr>
        <w:tc>
          <w:tcPr>
            <w:tcW w:w="623"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84"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20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单价措施项目费</w:t>
            </w:r>
          </w:p>
        </w:tc>
        <w:tc>
          <w:tcPr>
            <w:tcW w:w="1994"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2"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6"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9"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2"/>
          <w:wAfter w:w="5" w:type="dxa"/>
          <w:trHeight w:val="375" w:hRule="atLeast"/>
        </w:trPr>
        <w:tc>
          <w:tcPr>
            <w:tcW w:w="623"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184"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20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94"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62"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56"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59"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2"/>
          <w:wAfter w:w="5" w:type="dxa"/>
          <w:trHeight w:val="375" w:hRule="atLeast"/>
        </w:trPr>
        <w:tc>
          <w:tcPr>
            <w:tcW w:w="623"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84"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94"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2"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6"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59"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2"/>
          <w:wAfter w:w="5" w:type="dxa"/>
          <w:trHeight w:val="375" w:hRule="atLeast"/>
        </w:trPr>
        <w:tc>
          <w:tcPr>
            <w:tcW w:w="623"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84"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94"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2"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6"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59"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2"/>
          <w:wAfter w:w="5" w:type="dxa"/>
          <w:trHeight w:val="375" w:hRule="atLeast"/>
        </w:trPr>
        <w:tc>
          <w:tcPr>
            <w:tcW w:w="623"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84"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94"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2"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6"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59"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2"/>
          <w:wAfter w:w="5" w:type="dxa"/>
          <w:trHeight w:val="375" w:hRule="atLeast"/>
        </w:trPr>
        <w:tc>
          <w:tcPr>
            <w:tcW w:w="623"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84"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94"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2"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6"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59"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2"/>
          <w:wAfter w:w="5" w:type="dxa"/>
          <w:trHeight w:val="375" w:hRule="atLeast"/>
        </w:trPr>
        <w:tc>
          <w:tcPr>
            <w:tcW w:w="623"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84"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94"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2"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6"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59"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2"/>
          <w:wAfter w:w="5" w:type="dxa"/>
          <w:trHeight w:val="375" w:hRule="atLeast"/>
        </w:trPr>
        <w:tc>
          <w:tcPr>
            <w:tcW w:w="623"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84"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94"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2"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6"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59"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2"/>
          <w:wAfter w:w="5" w:type="dxa"/>
          <w:trHeight w:val="375" w:hRule="atLeast"/>
        </w:trPr>
        <w:tc>
          <w:tcPr>
            <w:tcW w:w="623"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84"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94"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2"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6"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59"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2"/>
          <w:wAfter w:w="5" w:type="dxa"/>
          <w:trHeight w:val="375" w:hRule="atLeast"/>
        </w:trPr>
        <w:tc>
          <w:tcPr>
            <w:tcW w:w="623"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84"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94"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2"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6"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59"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2"/>
          <w:wAfter w:w="5" w:type="dxa"/>
          <w:trHeight w:val="375" w:hRule="atLeast"/>
        </w:trPr>
        <w:tc>
          <w:tcPr>
            <w:tcW w:w="623"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84"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94"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2"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6"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59"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2"/>
          <w:wAfter w:w="5" w:type="dxa"/>
          <w:trHeight w:val="375" w:hRule="atLeast"/>
        </w:trPr>
        <w:tc>
          <w:tcPr>
            <w:tcW w:w="623"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84"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94"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2"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6"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59"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2"/>
          <w:wAfter w:w="5" w:type="dxa"/>
          <w:trHeight w:val="375" w:hRule="atLeast"/>
        </w:trPr>
        <w:tc>
          <w:tcPr>
            <w:tcW w:w="623"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84"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94"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2"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6"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59"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2"/>
          <w:wAfter w:w="5" w:type="dxa"/>
          <w:trHeight w:val="375" w:hRule="atLeast"/>
        </w:trPr>
        <w:tc>
          <w:tcPr>
            <w:tcW w:w="623"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84"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94"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2"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56"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59"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2"/>
          <w:wAfter w:w="5" w:type="dxa"/>
          <w:trHeight w:val="375" w:hRule="atLeast"/>
        </w:trPr>
        <w:tc>
          <w:tcPr>
            <w:tcW w:w="7360" w:type="dxa"/>
            <w:gridSpan w:val="27"/>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本页小计</w:t>
            </w:r>
          </w:p>
        </w:tc>
        <w:tc>
          <w:tcPr>
            <w:tcW w:w="1059"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2"/>
          <w:wAfter w:w="5" w:type="dxa"/>
          <w:trHeight w:val="375" w:hRule="atLeast"/>
        </w:trPr>
        <w:tc>
          <w:tcPr>
            <w:tcW w:w="7360" w:type="dxa"/>
            <w:gridSpan w:val="27"/>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    计</w:t>
            </w:r>
          </w:p>
        </w:tc>
        <w:tc>
          <w:tcPr>
            <w:tcW w:w="1059" w:type="dxa"/>
            <w:gridSpan w:val="4"/>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7" w:type="dxa"/>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2"/>
          <w:wAfter w:w="5" w:type="dxa"/>
          <w:trHeight w:val="555" w:hRule="atLeast"/>
        </w:trPr>
        <w:tc>
          <w:tcPr>
            <w:tcW w:w="9636" w:type="dxa"/>
            <w:gridSpan w:val="32"/>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注：为记取规费等的使用，可在表中增设其中：“定额人工费”。</w:t>
            </w:r>
          </w:p>
        </w:tc>
      </w:tr>
      <w:tr>
        <w:tblPrEx>
          <w:shd w:val="clear" w:color="auto" w:fill="auto"/>
          <w:tblCellMar>
            <w:top w:w="0" w:type="dxa"/>
            <w:left w:w="0" w:type="dxa"/>
            <w:bottom w:w="0" w:type="dxa"/>
            <w:right w:w="0" w:type="dxa"/>
          </w:tblCellMar>
        </w:tblPrEx>
        <w:trPr>
          <w:gridAfter w:val="1"/>
          <w:wAfter w:w="3" w:type="dxa"/>
          <w:trHeight w:val="600" w:hRule="atLeast"/>
        </w:trPr>
        <w:tc>
          <w:tcPr>
            <w:tcW w:w="9638" w:type="dxa"/>
            <w:gridSpan w:val="33"/>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总价措施项目清单与计价表</w:t>
            </w:r>
          </w:p>
        </w:tc>
      </w:tr>
      <w:tr>
        <w:tblPrEx>
          <w:shd w:val="clear" w:color="auto" w:fill="auto"/>
          <w:tblCellMar>
            <w:top w:w="0" w:type="dxa"/>
            <w:left w:w="0" w:type="dxa"/>
            <w:bottom w:w="0" w:type="dxa"/>
            <w:right w:w="0" w:type="dxa"/>
          </w:tblCellMar>
        </w:tblPrEx>
        <w:trPr>
          <w:gridAfter w:val="1"/>
          <w:wAfter w:w="3" w:type="dxa"/>
          <w:trHeight w:val="750" w:hRule="atLeast"/>
        </w:trPr>
        <w:tc>
          <w:tcPr>
            <w:tcW w:w="4183" w:type="dxa"/>
            <w:gridSpan w:val="1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工程名称：户用厕所改造</w:t>
            </w:r>
          </w:p>
        </w:tc>
        <w:tc>
          <w:tcPr>
            <w:tcW w:w="3177" w:type="dxa"/>
            <w:gridSpan w:val="16"/>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标段：江口县2018年农村“厕所革命”省级奖补资金工程项目</w:t>
            </w:r>
            <w:r>
              <w:rPr>
                <w:rFonts w:hint="eastAsia" w:cs="宋体"/>
                <w:i w:val="0"/>
                <w:color w:val="000000"/>
                <w:kern w:val="0"/>
                <w:sz w:val="18"/>
                <w:szCs w:val="18"/>
                <w:u w:val="none"/>
                <w:lang w:val="en-US" w:eastAsia="zh-CN" w:bidi="ar"/>
              </w:rPr>
              <w:t>采购</w:t>
            </w:r>
          </w:p>
        </w:tc>
        <w:tc>
          <w:tcPr>
            <w:tcW w:w="2278" w:type="dxa"/>
            <w:gridSpan w:val="6"/>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  1  页  共  1  页</w:t>
            </w:r>
          </w:p>
        </w:tc>
      </w:tr>
      <w:tr>
        <w:tblPrEx>
          <w:tblCellMar>
            <w:top w:w="0" w:type="dxa"/>
            <w:left w:w="0" w:type="dxa"/>
            <w:bottom w:w="0" w:type="dxa"/>
            <w:right w:w="0" w:type="dxa"/>
          </w:tblCellMar>
        </w:tblPrEx>
        <w:trPr>
          <w:gridAfter w:val="1"/>
          <w:wAfter w:w="3" w:type="dxa"/>
          <w:trHeight w:val="525" w:hRule="atLeast"/>
        </w:trPr>
        <w:tc>
          <w:tcPr>
            <w:tcW w:w="486" w:type="dxa"/>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114" w:type="dxa"/>
            <w:gridSpan w:val="4"/>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项目编码</w:t>
            </w:r>
          </w:p>
        </w:tc>
        <w:tc>
          <w:tcPr>
            <w:tcW w:w="1756" w:type="dxa"/>
            <w:gridSpan w:val="4"/>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370" w:type="dxa"/>
            <w:gridSpan w:val="5"/>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计算基础</w:t>
            </w:r>
          </w:p>
        </w:tc>
        <w:tc>
          <w:tcPr>
            <w:tcW w:w="673" w:type="dxa"/>
            <w:gridSpan w:val="3"/>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费率(%)</w:t>
            </w:r>
          </w:p>
        </w:tc>
        <w:tc>
          <w:tcPr>
            <w:tcW w:w="799" w:type="dxa"/>
            <w:gridSpan w:val="4"/>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金额(元)</w:t>
            </w:r>
          </w:p>
        </w:tc>
        <w:tc>
          <w:tcPr>
            <w:tcW w:w="928" w:type="dxa"/>
            <w:gridSpan w:val="4"/>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调整费率(%)</w:t>
            </w:r>
          </w:p>
        </w:tc>
        <w:tc>
          <w:tcPr>
            <w:tcW w:w="943" w:type="dxa"/>
            <w:gridSpan w:val="4"/>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调整后金额(元)</w:t>
            </w:r>
          </w:p>
        </w:tc>
        <w:tc>
          <w:tcPr>
            <w:tcW w:w="1569" w:type="dxa"/>
            <w:gridSpan w:val="4"/>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tblPrEx>
          <w:tblCellMar>
            <w:top w:w="0" w:type="dxa"/>
            <w:left w:w="0" w:type="dxa"/>
            <w:bottom w:w="0" w:type="dxa"/>
            <w:right w:w="0" w:type="dxa"/>
          </w:tblCellMar>
        </w:tblPrEx>
        <w:trPr>
          <w:gridAfter w:val="1"/>
          <w:wAfter w:w="3" w:type="dxa"/>
          <w:trHeight w:val="525" w:hRule="atLeast"/>
        </w:trPr>
        <w:tc>
          <w:tcPr>
            <w:tcW w:w="48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14"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75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安全文明施工费</w:t>
            </w:r>
          </w:p>
        </w:tc>
        <w:tc>
          <w:tcPr>
            <w:tcW w:w="13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3"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9"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28"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69"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1.1.1+1.1.2+1.1.3+1.1.4</w:t>
            </w:r>
          </w:p>
        </w:tc>
      </w:tr>
      <w:tr>
        <w:tblPrEx>
          <w:tblCellMar>
            <w:top w:w="0" w:type="dxa"/>
            <w:left w:w="0" w:type="dxa"/>
            <w:bottom w:w="0" w:type="dxa"/>
            <w:right w:w="0" w:type="dxa"/>
          </w:tblCellMar>
        </w:tblPrEx>
        <w:trPr>
          <w:gridAfter w:val="1"/>
          <w:wAfter w:w="3" w:type="dxa"/>
          <w:trHeight w:val="750" w:hRule="atLeast"/>
        </w:trPr>
        <w:tc>
          <w:tcPr>
            <w:tcW w:w="48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14"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w:t>
            </w:r>
          </w:p>
        </w:tc>
        <w:tc>
          <w:tcPr>
            <w:tcW w:w="175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环境保护费</w:t>
            </w:r>
          </w:p>
        </w:tc>
        <w:tc>
          <w:tcPr>
            <w:tcW w:w="13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c>
          <w:tcPr>
            <w:tcW w:w="673"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0.75</w:t>
            </w:r>
          </w:p>
        </w:tc>
        <w:tc>
          <w:tcPr>
            <w:tcW w:w="799"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28"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69"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r>
      <w:tr>
        <w:tblPrEx>
          <w:shd w:val="clear" w:color="auto" w:fill="auto"/>
          <w:tblCellMar>
            <w:top w:w="0" w:type="dxa"/>
            <w:left w:w="0" w:type="dxa"/>
            <w:bottom w:w="0" w:type="dxa"/>
            <w:right w:w="0" w:type="dxa"/>
          </w:tblCellMar>
        </w:tblPrEx>
        <w:trPr>
          <w:gridAfter w:val="1"/>
          <w:wAfter w:w="3" w:type="dxa"/>
          <w:trHeight w:val="750" w:hRule="atLeast"/>
        </w:trPr>
        <w:tc>
          <w:tcPr>
            <w:tcW w:w="48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114"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175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文明施工费</w:t>
            </w:r>
          </w:p>
        </w:tc>
        <w:tc>
          <w:tcPr>
            <w:tcW w:w="13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c>
          <w:tcPr>
            <w:tcW w:w="673"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3.35</w:t>
            </w:r>
          </w:p>
        </w:tc>
        <w:tc>
          <w:tcPr>
            <w:tcW w:w="799"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28"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69"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r>
      <w:tr>
        <w:tblPrEx>
          <w:shd w:val="clear" w:color="auto" w:fill="auto"/>
          <w:tblCellMar>
            <w:top w:w="0" w:type="dxa"/>
            <w:left w:w="0" w:type="dxa"/>
            <w:bottom w:w="0" w:type="dxa"/>
            <w:right w:w="0" w:type="dxa"/>
          </w:tblCellMar>
        </w:tblPrEx>
        <w:trPr>
          <w:gridAfter w:val="1"/>
          <w:wAfter w:w="3" w:type="dxa"/>
          <w:trHeight w:val="750" w:hRule="atLeast"/>
        </w:trPr>
        <w:tc>
          <w:tcPr>
            <w:tcW w:w="48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114"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w:t>
            </w:r>
          </w:p>
        </w:tc>
        <w:tc>
          <w:tcPr>
            <w:tcW w:w="175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安全施工费</w:t>
            </w:r>
          </w:p>
        </w:tc>
        <w:tc>
          <w:tcPr>
            <w:tcW w:w="13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c>
          <w:tcPr>
            <w:tcW w:w="673"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799"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28"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69"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r>
      <w:tr>
        <w:tblPrEx>
          <w:shd w:val="clear" w:color="auto" w:fill="auto"/>
          <w:tblCellMar>
            <w:top w:w="0" w:type="dxa"/>
            <w:left w:w="0" w:type="dxa"/>
            <w:bottom w:w="0" w:type="dxa"/>
            <w:right w:w="0" w:type="dxa"/>
          </w:tblCellMar>
        </w:tblPrEx>
        <w:trPr>
          <w:gridAfter w:val="1"/>
          <w:wAfter w:w="3" w:type="dxa"/>
          <w:trHeight w:val="750" w:hRule="atLeast"/>
        </w:trPr>
        <w:tc>
          <w:tcPr>
            <w:tcW w:w="48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14"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w:t>
            </w:r>
          </w:p>
        </w:tc>
        <w:tc>
          <w:tcPr>
            <w:tcW w:w="175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临时设施费</w:t>
            </w:r>
          </w:p>
        </w:tc>
        <w:tc>
          <w:tcPr>
            <w:tcW w:w="13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c>
          <w:tcPr>
            <w:tcW w:w="673"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4.46</w:t>
            </w:r>
          </w:p>
        </w:tc>
        <w:tc>
          <w:tcPr>
            <w:tcW w:w="799"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28"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69"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r>
      <w:tr>
        <w:tblPrEx>
          <w:tblCellMar>
            <w:top w:w="0" w:type="dxa"/>
            <w:left w:w="0" w:type="dxa"/>
            <w:bottom w:w="0" w:type="dxa"/>
            <w:right w:w="0" w:type="dxa"/>
          </w:tblCellMar>
        </w:tblPrEx>
        <w:trPr>
          <w:gridAfter w:val="1"/>
          <w:wAfter w:w="3" w:type="dxa"/>
          <w:trHeight w:val="750" w:hRule="atLeast"/>
        </w:trPr>
        <w:tc>
          <w:tcPr>
            <w:tcW w:w="48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114"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75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夜间和非夜间施工增加费</w:t>
            </w:r>
          </w:p>
        </w:tc>
        <w:tc>
          <w:tcPr>
            <w:tcW w:w="13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c>
          <w:tcPr>
            <w:tcW w:w="673"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0.77</w:t>
            </w:r>
          </w:p>
        </w:tc>
        <w:tc>
          <w:tcPr>
            <w:tcW w:w="799"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28"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69"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r>
      <w:tr>
        <w:tblPrEx>
          <w:tblCellMar>
            <w:top w:w="0" w:type="dxa"/>
            <w:left w:w="0" w:type="dxa"/>
            <w:bottom w:w="0" w:type="dxa"/>
            <w:right w:w="0" w:type="dxa"/>
          </w:tblCellMar>
        </w:tblPrEx>
        <w:trPr>
          <w:gridAfter w:val="1"/>
          <w:wAfter w:w="3" w:type="dxa"/>
          <w:trHeight w:val="750" w:hRule="atLeast"/>
        </w:trPr>
        <w:tc>
          <w:tcPr>
            <w:tcW w:w="48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114"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75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二次搬运费</w:t>
            </w:r>
          </w:p>
        </w:tc>
        <w:tc>
          <w:tcPr>
            <w:tcW w:w="13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c>
          <w:tcPr>
            <w:tcW w:w="673"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0.95</w:t>
            </w:r>
          </w:p>
        </w:tc>
        <w:tc>
          <w:tcPr>
            <w:tcW w:w="799"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28"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69"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r>
      <w:tr>
        <w:tblPrEx>
          <w:shd w:val="clear" w:color="auto" w:fill="auto"/>
          <w:tblCellMar>
            <w:top w:w="0" w:type="dxa"/>
            <w:left w:w="0" w:type="dxa"/>
            <w:bottom w:w="0" w:type="dxa"/>
            <w:right w:w="0" w:type="dxa"/>
          </w:tblCellMar>
        </w:tblPrEx>
        <w:trPr>
          <w:gridAfter w:val="1"/>
          <w:wAfter w:w="3" w:type="dxa"/>
          <w:trHeight w:val="750" w:hRule="atLeast"/>
        </w:trPr>
        <w:tc>
          <w:tcPr>
            <w:tcW w:w="48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114"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75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冬雨季施工增加费</w:t>
            </w:r>
          </w:p>
        </w:tc>
        <w:tc>
          <w:tcPr>
            <w:tcW w:w="13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c>
          <w:tcPr>
            <w:tcW w:w="673"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0.47</w:t>
            </w:r>
          </w:p>
        </w:tc>
        <w:tc>
          <w:tcPr>
            <w:tcW w:w="799"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28"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69"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r>
      <w:tr>
        <w:tblPrEx>
          <w:shd w:val="clear" w:color="auto" w:fill="auto"/>
          <w:tblCellMar>
            <w:top w:w="0" w:type="dxa"/>
            <w:left w:w="0" w:type="dxa"/>
            <w:bottom w:w="0" w:type="dxa"/>
            <w:right w:w="0" w:type="dxa"/>
          </w:tblCellMar>
        </w:tblPrEx>
        <w:trPr>
          <w:gridAfter w:val="1"/>
          <w:wAfter w:w="3" w:type="dxa"/>
          <w:trHeight w:val="750" w:hRule="atLeast"/>
        </w:trPr>
        <w:tc>
          <w:tcPr>
            <w:tcW w:w="48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114"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75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工程及设备保护费</w:t>
            </w:r>
          </w:p>
        </w:tc>
        <w:tc>
          <w:tcPr>
            <w:tcW w:w="13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c>
          <w:tcPr>
            <w:tcW w:w="673"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0.43</w:t>
            </w:r>
          </w:p>
        </w:tc>
        <w:tc>
          <w:tcPr>
            <w:tcW w:w="799"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28"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69"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r>
      <w:tr>
        <w:tblPrEx>
          <w:shd w:val="clear" w:color="auto" w:fill="auto"/>
          <w:tblCellMar>
            <w:top w:w="0" w:type="dxa"/>
            <w:left w:w="0" w:type="dxa"/>
            <w:bottom w:w="0" w:type="dxa"/>
            <w:right w:w="0" w:type="dxa"/>
          </w:tblCellMar>
        </w:tblPrEx>
        <w:trPr>
          <w:gridAfter w:val="1"/>
          <w:wAfter w:w="3" w:type="dxa"/>
          <w:trHeight w:val="750" w:hRule="atLeast"/>
        </w:trPr>
        <w:tc>
          <w:tcPr>
            <w:tcW w:w="48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14"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75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工程定位复测费</w:t>
            </w:r>
          </w:p>
        </w:tc>
        <w:tc>
          <w:tcPr>
            <w:tcW w:w="13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c>
          <w:tcPr>
            <w:tcW w:w="673"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0.19</w:t>
            </w:r>
          </w:p>
        </w:tc>
        <w:tc>
          <w:tcPr>
            <w:tcW w:w="799"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28"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69"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r>
      <w:tr>
        <w:tblPrEx>
          <w:shd w:val="clear" w:color="auto" w:fill="auto"/>
          <w:tblCellMar>
            <w:top w:w="0" w:type="dxa"/>
            <w:left w:w="0" w:type="dxa"/>
            <w:bottom w:w="0" w:type="dxa"/>
            <w:right w:w="0" w:type="dxa"/>
          </w:tblCellMar>
        </w:tblPrEx>
        <w:trPr>
          <w:gridAfter w:val="1"/>
          <w:wAfter w:w="3" w:type="dxa"/>
          <w:trHeight w:val="330" w:hRule="atLeast"/>
        </w:trPr>
        <w:tc>
          <w:tcPr>
            <w:tcW w:w="48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14"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3"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9"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28"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69"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3" w:type="dxa"/>
          <w:trHeight w:val="330" w:hRule="atLeast"/>
        </w:trPr>
        <w:tc>
          <w:tcPr>
            <w:tcW w:w="48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14"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3"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9"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28"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69"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 w:type="dxa"/>
          <w:trHeight w:val="330" w:hRule="atLeast"/>
        </w:trPr>
        <w:tc>
          <w:tcPr>
            <w:tcW w:w="48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14"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3"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9"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28"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69"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3" w:type="dxa"/>
          <w:trHeight w:val="330" w:hRule="atLeast"/>
        </w:trPr>
        <w:tc>
          <w:tcPr>
            <w:tcW w:w="48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14"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3"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9"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28"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69"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 w:type="dxa"/>
          <w:trHeight w:val="330" w:hRule="atLeast"/>
        </w:trPr>
        <w:tc>
          <w:tcPr>
            <w:tcW w:w="48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14"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3"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9"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28"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69"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3" w:type="dxa"/>
          <w:trHeight w:val="330" w:hRule="atLeast"/>
        </w:trPr>
        <w:tc>
          <w:tcPr>
            <w:tcW w:w="48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14"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3"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9"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28"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69"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wAfter w:w="3" w:type="dxa"/>
          <w:trHeight w:val="330" w:hRule="atLeast"/>
        </w:trPr>
        <w:tc>
          <w:tcPr>
            <w:tcW w:w="48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14"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3"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9"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28"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69"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3" w:type="dxa"/>
          <w:trHeight w:val="330" w:hRule="atLeast"/>
        </w:trPr>
        <w:tc>
          <w:tcPr>
            <w:tcW w:w="486"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14"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56"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3"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99"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28"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69"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3" w:type="dxa"/>
          <w:trHeight w:val="300" w:hRule="atLeast"/>
        </w:trPr>
        <w:tc>
          <w:tcPr>
            <w:tcW w:w="5399" w:type="dxa"/>
            <w:gridSpan w:val="17"/>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    计</w:t>
            </w:r>
          </w:p>
        </w:tc>
        <w:tc>
          <w:tcPr>
            <w:tcW w:w="799" w:type="dxa"/>
            <w:gridSpan w:val="4"/>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28" w:type="dxa"/>
            <w:gridSpan w:val="4"/>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3" w:type="dxa"/>
            <w:gridSpan w:val="4"/>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69" w:type="dxa"/>
            <w:gridSpan w:val="4"/>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After w:val="1"/>
          <w:wAfter w:w="3" w:type="dxa"/>
          <w:trHeight w:val="300" w:hRule="atLeast"/>
        </w:trPr>
        <w:tc>
          <w:tcPr>
            <w:tcW w:w="2636" w:type="dxa"/>
            <w:gridSpan w:val="7"/>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编制人（造价人员）：</w:t>
            </w:r>
          </w:p>
        </w:tc>
        <w:tc>
          <w:tcPr>
            <w:tcW w:w="1547" w:type="dxa"/>
            <w:gridSpan w:val="4"/>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1753" w:type="dxa"/>
            <w:gridSpan w:val="9"/>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3702" w:type="dxa"/>
            <w:gridSpan w:val="13"/>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复核人（造价工程师）：</w:t>
            </w:r>
          </w:p>
        </w:tc>
      </w:tr>
      <w:tr>
        <w:tblPrEx>
          <w:shd w:val="clear" w:color="auto" w:fill="auto"/>
          <w:tblCellMar>
            <w:top w:w="0" w:type="dxa"/>
            <w:left w:w="0" w:type="dxa"/>
            <w:bottom w:w="0" w:type="dxa"/>
            <w:right w:w="0" w:type="dxa"/>
          </w:tblCellMar>
        </w:tblPrEx>
        <w:trPr>
          <w:gridAfter w:val="1"/>
          <w:wAfter w:w="3" w:type="dxa"/>
          <w:trHeight w:val="975" w:hRule="atLeast"/>
        </w:trPr>
        <w:tc>
          <w:tcPr>
            <w:tcW w:w="9638" w:type="dxa"/>
            <w:gridSpan w:val="33"/>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注：1.“计算基础”中安全文明施工费可为“定额基价”、“定额人工费”或“定额人工费+定额机械费”，其他项目可为“定额人工费”或“定额人工费+定额机械费”。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2.按施工方案计算的措施费，若无“计算基础”和“费率”的数值，也可只填“金额”数值，但应在备注栏说明施工方案出处或计算方法。</w:t>
            </w:r>
          </w:p>
        </w:tc>
      </w:tr>
      <w:tr>
        <w:tblPrEx>
          <w:shd w:val="clear" w:color="auto" w:fill="auto"/>
          <w:tblCellMar>
            <w:top w:w="0" w:type="dxa"/>
            <w:left w:w="0" w:type="dxa"/>
            <w:bottom w:w="0" w:type="dxa"/>
            <w:right w:w="0" w:type="dxa"/>
          </w:tblCellMar>
        </w:tblPrEx>
        <w:trPr>
          <w:gridAfter w:val="1"/>
          <w:wAfter w:w="3" w:type="dxa"/>
          <w:trHeight w:val="300" w:hRule="atLeast"/>
        </w:trPr>
        <w:tc>
          <w:tcPr>
            <w:tcW w:w="949" w:type="dxa"/>
            <w:gridSpan w:val="3"/>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1687" w:type="dxa"/>
            <w:gridSpan w:val="4"/>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single"/>
              </w:rPr>
            </w:pPr>
          </w:p>
        </w:tc>
        <w:tc>
          <w:tcPr>
            <w:tcW w:w="1547" w:type="dxa"/>
            <w:gridSpan w:val="4"/>
            <w:tcBorders>
              <w:top w:val="nil"/>
              <w:left w:val="nil"/>
              <w:bottom w:val="nil"/>
              <w:right w:val="nil"/>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single"/>
              </w:rPr>
            </w:pPr>
          </w:p>
        </w:tc>
        <w:tc>
          <w:tcPr>
            <w:tcW w:w="1753" w:type="dxa"/>
            <w:gridSpan w:val="9"/>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1424" w:type="dxa"/>
            <w:gridSpan w:val="7"/>
            <w:tcBorders>
              <w:top w:val="nil"/>
              <w:left w:val="nil"/>
              <w:bottom w:val="nil"/>
              <w:right w:val="nil"/>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278" w:type="dxa"/>
            <w:gridSpan w:val="6"/>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表-11</w:t>
            </w:r>
          </w:p>
        </w:tc>
      </w:tr>
      <w:tr>
        <w:tblPrEx>
          <w:tblCellMar>
            <w:top w:w="0" w:type="dxa"/>
            <w:left w:w="0" w:type="dxa"/>
            <w:bottom w:w="0" w:type="dxa"/>
            <w:right w:w="0" w:type="dxa"/>
          </w:tblCellMar>
        </w:tblPrEx>
        <w:trPr>
          <w:trHeight w:val="600" w:hRule="atLeast"/>
        </w:trPr>
        <w:tc>
          <w:tcPr>
            <w:tcW w:w="9641" w:type="dxa"/>
            <w:gridSpan w:val="34"/>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其他项目清单与计价汇总表</w:t>
            </w:r>
          </w:p>
        </w:tc>
      </w:tr>
      <w:tr>
        <w:tblPrEx>
          <w:shd w:val="clear" w:color="auto" w:fill="auto"/>
          <w:tblCellMar>
            <w:top w:w="0" w:type="dxa"/>
            <w:left w:w="0" w:type="dxa"/>
            <w:bottom w:w="0" w:type="dxa"/>
            <w:right w:w="0" w:type="dxa"/>
          </w:tblCellMar>
        </w:tblPrEx>
        <w:trPr>
          <w:trHeight w:val="750" w:hRule="atLeast"/>
        </w:trPr>
        <w:tc>
          <w:tcPr>
            <w:tcW w:w="4320" w:type="dxa"/>
            <w:gridSpan w:val="1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工程名称：户用厕所改造</w:t>
            </w:r>
          </w:p>
        </w:tc>
        <w:tc>
          <w:tcPr>
            <w:tcW w:w="405" w:type="dxa"/>
            <w:tcBorders>
              <w:top w:val="nil"/>
              <w:left w:val="nil"/>
              <w:bottom w:val="nil"/>
              <w:right w:val="nil"/>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0" w:type="dxa"/>
            <w:gridSpan w:val="3"/>
            <w:tcBorders>
              <w:top w:val="nil"/>
              <w:left w:val="nil"/>
              <w:bottom w:val="nil"/>
              <w:right w:val="nil"/>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45" w:type="dxa"/>
            <w:gridSpan w:val="1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标段：江口县2018年农村“厕所革命”省级奖补资金工程项目</w:t>
            </w:r>
            <w:r>
              <w:rPr>
                <w:rFonts w:hint="eastAsia" w:cs="宋体"/>
                <w:i w:val="0"/>
                <w:color w:val="000000"/>
                <w:kern w:val="0"/>
                <w:sz w:val="18"/>
                <w:szCs w:val="18"/>
                <w:u w:val="none"/>
                <w:lang w:val="en-US" w:eastAsia="zh-CN" w:bidi="ar"/>
              </w:rPr>
              <w:t>采购</w:t>
            </w:r>
          </w:p>
        </w:tc>
        <w:tc>
          <w:tcPr>
            <w:tcW w:w="1721" w:type="dxa"/>
            <w:gridSpan w:val="6"/>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 1 页  共  1  页</w:t>
            </w:r>
          </w:p>
        </w:tc>
      </w:tr>
      <w:tr>
        <w:tblPrEx>
          <w:shd w:val="clear" w:color="auto" w:fill="auto"/>
          <w:tblCellMar>
            <w:top w:w="0" w:type="dxa"/>
            <w:left w:w="0" w:type="dxa"/>
            <w:bottom w:w="0" w:type="dxa"/>
            <w:right w:w="0" w:type="dxa"/>
          </w:tblCellMar>
        </w:tblPrEx>
        <w:trPr>
          <w:trHeight w:val="465" w:hRule="atLeast"/>
        </w:trPr>
        <w:tc>
          <w:tcPr>
            <w:tcW w:w="1215" w:type="dxa"/>
            <w:gridSpan w:val="4"/>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245" w:type="dxa"/>
            <w:gridSpan w:val="14"/>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410" w:type="dxa"/>
            <w:gridSpan w:val="6"/>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金额（元）</w:t>
            </w:r>
          </w:p>
        </w:tc>
        <w:tc>
          <w:tcPr>
            <w:tcW w:w="1455" w:type="dxa"/>
            <w:gridSpan w:val="6"/>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结算金额（元）</w:t>
            </w:r>
          </w:p>
        </w:tc>
        <w:tc>
          <w:tcPr>
            <w:tcW w:w="1316" w:type="dxa"/>
            <w:gridSpan w:val="4"/>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tblPrEx>
          <w:shd w:val="clear" w:color="auto" w:fill="auto"/>
          <w:tblCellMar>
            <w:top w:w="0" w:type="dxa"/>
            <w:left w:w="0" w:type="dxa"/>
            <w:bottom w:w="0" w:type="dxa"/>
            <w:right w:w="0" w:type="dxa"/>
          </w:tblCellMar>
        </w:tblPrEx>
        <w:trPr>
          <w:trHeight w:val="465" w:hRule="atLeast"/>
        </w:trPr>
        <w:tc>
          <w:tcPr>
            <w:tcW w:w="1215"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24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暂列金额</w:t>
            </w:r>
          </w:p>
        </w:tc>
        <w:tc>
          <w:tcPr>
            <w:tcW w:w="1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128000</w:t>
            </w:r>
          </w:p>
        </w:tc>
        <w:tc>
          <w:tcPr>
            <w:tcW w:w="145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6"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明细详见表-12-1</w:t>
            </w:r>
          </w:p>
        </w:tc>
      </w:tr>
      <w:tr>
        <w:tblPrEx>
          <w:tblCellMar>
            <w:top w:w="0" w:type="dxa"/>
            <w:left w:w="0" w:type="dxa"/>
            <w:bottom w:w="0" w:type="dxa"/>
            <w:right w:w="0" w:type="dxa"/>
          </w:tblCellMar>
        </w:tblPrEx>
        <w:trPr>
          <w:trHeight w:val="465" w:hRule="atLeast"/>
        </w:trPr>
        <w:tc>
          <w:tcPr>
            <w:tcW w:w="1215"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24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暂估价</w:t>
            </w:r>
          </w:p>
        </w:tc>
        <w:tc>
          <w:tcPr>
            <w:tcW w:w="1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6"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65" w:hRule="atLeast"/>
        </w:trPr>
        <w:tc>
          <w:tcPr>
            <w:tcW w:w="1215"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424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材料（工程设备）暂估价</w:t>
            </w:r>
          </w:p>
        </w:tc>
        <w:tc>
          <w:tcPr>
            <w:tcW w:w="1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45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6"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明细详见表-12-2</w:t>
            </w:r>
          </w:p>
        </w:tc>
      </w:tr>
      <w:tr>
        <w:tblPrEx>
          <w:tblCellMar>
            <w:top w:w="0" w:type="dxa"/>
            <w:left w:w="0" w:type="dxa"/>
            <w:bottom w:w="0" w:type="dxa"/>
            <w:right w:w="0" w:type="dxa"/>
          </w:tblCellMar>
        </w:tblPrEx>
        <w:trPr>
          <w:trHeight w:val="465" w:hRule="atLeast"/>
        </w:trPr>
        <w:tc>
          <w:tcPr>
            <w:tcW w:w="1215"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424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专业工程暂估价</w:t>
            </w:r>
          </w:p>
        </w:tc>
        <w:tc>
          <w:tcPr>
            <w:tcW w:w="1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6"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明细详见表-12-3</w:t>
            </w:r>
          </w:p>
        </w:tc>
      </w:tr>
      <w:tr>
        <w:tblPrEx>
          <w:shd w:val="clear" w:color="auto" w:fill="auto"/>
          <w:tblCellMar>
            <w:top w:w="0" w:type="dxa"/>
            <w:left w:w="0" w:type="dxa"/>
            <w:bottom w:w="0" w:type="dxa"/>
            <w:right w:w="0" w:type="dxa"/>
          </w:tblCellMar>
        </w:tblPrEx>
        <w:trPr>
          <w:trHeight w:val="465" w:hRule="atLeast"/>
        </w:trPr>
        <w:tc>
          <w:tcPr>
            <w:tcW w:w="1215"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24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计日工</w:t>
            </w:r>
          </w:p>
        </w:tc>
        <w:tc>
          <w:tcPr>
            <w:tcW w:w="1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6"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明细详见表-12-4</w:t>
            </w:r>
          </w:p>
        </w:tc>
      </w:tr>
      <w:tr>
        <w:tblPrEx>
          <w:tblCellMar>
            <w:top w:w="0" w:type="dxa"/>
            <w:left w:w="0" w:type="dxa"/>
            <w:bottom w:w="0" w:type="dxa"/>
            <w:right w:w="0" w:type="dxa"/>
          </w:tblCellMar>
        </w:tblPrEx>
        <w:trPr>
          <w:trHeight w:val="465" w:hRule="atLeast"/>
        </w:trPr>
        <w:tc>
          <w:tcPr>
            <w:tcW w:w="1215"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24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总承包服务费</w:t>
            </w:r>
          </w:p>
        </w:tc>
        <w:tc>
          <w:tcPr>
            <w:tcW w:w="1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6"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明细详见表-12-5</w:t>
            </w:r>
          </w:p>
        </w:tc>
      </w:tr>
      <w:tr>
        <w:tblPrEx>
          <w:shd w:val="clear" w:color="auto" w:fill="auto"/>
          <w:tblCellMar>
            <w:top w:w="0" w:type="dxa"/>
            <w:left w:w="0" w:type="dxa"/>
            <w:bottom w:w="0" w:type="dxa"/>
            <w:right w:w="0" w:type="dxa"/>
          </w:tblCellMar>
        </w:tblPrEx>
        <w:trPr>
          <w:trHeight w:val="465" w:hRule="atLeast"/>
        </w:trPr>
        <w:tc>
          <w:tcPr>
            <w:tcW w:w="1215"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24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索赔与现场签证</w:t>
            </w:r>
          </w:p>
        </w:tc>
        <w:tc>
          <w:tcPr>
            <w:tcW w:w="1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45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6"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明细详见表-12-6</w:t>
            </w:r>
          </w:p>
        </w:tc>
      </w:tr>
      <w:tr>
        <w:tblPrEx>
          <w:tblCellMar>
            <w:top w:w="0" w:type="dxa"/>
            <w:left w:w="0" w:type="dxa"/>
            <w:bottom w:w="0" w:type="dxa"/>
            <w:right w:w="0" w:type="dxa"/>
          </w:tblCellMar>
        </w:tblPrEx>
        <w:trPr>
          <w:trHeight w:val="465" w:hRule="atLeast"/>
        </w:trPr>
        <w:tc>
          <w:tcPr>
            <w:tcW w:w="1215"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4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6"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trPr>
        <w:tc>
          <w:tcPr>
            <w:tcW w:w="1215"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4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6"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trPr>
        <w:tc>
          <w:tcPr>
            <w:tcW w:w="1215"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4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6"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65" w:hRule="atLeast"/>
        </w:trPr>
        <w:tc>
          <w:tcPr>
            <w:tcW w:w="1215"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4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6"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65" w:hRule="atLeast"/>
        </w:trPr>
        <w:tc>
          <w:tcPr>
            <w:tcW w:w="1215"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4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6"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65" w:hRule="atLeast"/>
        </w:trPr>
        <w:tc>
          <w:tcPr>
            <w:tcW w:w="1215"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4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6"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trPr>
        <w:tc>
          <w:tcPr>
            <w:tcW w:w="1215"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4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6"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65" w:hRule="atLeast"/>
        </w:trPr>
        <w:tc>
          <w:tcPr>
            <w:tcW w:w="1215"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4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6"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65" w:hRule="atLeast"/>
        </w:trPr>
        <w:tc>
          <w:tcPr>
            <w:tcW w:w="1215"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4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6"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65" w:hRule="atLeast"/>
        </w:trPr>
        <w:tc>
          <w:tcPr>
            <w:tcW w:w="1215"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4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6"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65" w:hRule="atLeast"/>
        </w:trPr>
        <w:tc>
          <w:tcPr>
            <w:tcW w:w="1215"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4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6"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trPr>
        <w:tc>
          <w:tcPr>
            <w:tcW w:w="1215"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4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6"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65" w:hRule="atLeast"/>
        </w:trPr>
        <w:tc>
          <w:tcPr>
            <w:tcW w:w="1215"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4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6"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65" w:hRule="atLeast"/>
        </w:trPr>
        <w:tc>
          <w:tcPr>
            <w:tcW w:w="1215"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4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6"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65" w:hRule="atLeast"/>
        </w:trPr>
        <w:tc>
          <w:tcPr>
            <w:tcW w:w="5460" w:type="dxa"/>
            <w:gridSpan w:val="18"/>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    计</w:t>
            </w:r>
          </w:p>
        </w:tc>
        <w:tc>
          <w:tcPr>
            <w:tcW w:w="1410" w:type="dxa"/>
            <w:gridSpan w:val="6"/>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128000</w:t>
            </w:r>
          </w:p>
        </w:tc>
        <w:tc>
          <w:tcPr>
            <w:tcW w:w="1455" w:type="dxa"/>
            <w:gridSpan w:val="6"/>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16" w:type="dxa"/>
            <w:gridSpan w:val="4"/>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45" w:hRule="atLeast"/>
        </w:trPr>
        <w:tc>
          <w:tcPr>
            <w:tcW w:w="9641" w:type="dxa"/>
            <w:gridSpan w:val="34"/>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注：材料（工程设备）暂估单价进入清单项目综合单价，此处不汇总。</w:t>
            </w:r>
          </w:p>
        </w:tc>
      </w:tr>
      <w:tr>
        <w:tblPrEx>
          <w:tblCellMar>
            <w:top w:w="0" w:type="dxa"/>
            <w:left w:w="0" w:type="dxa"/>
            <w:bottom w:w="0" w:type="dxa"/>
            <w:right w:w="0" w:type="dxa"/>
          </w:tblCellMar>
        </w:tblPrEx>
        <w:trPr>
          <w:trHeight w:val="390" w:hRule="atLeast"/>
        </w:trPr>
        <w:tc>
          <w:tcPr>
            <w:tcW w:w="4320" w:type="dxa"/>
            <w:gridSpan w:val="12"/>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405" w:type="dxa"/>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single"/>
              </w:rPr>
            </w:pPr>
          </w:p>
        </w:tc>
        <w:tc>
          <w:tcPr>
            <w:tcW w:w="450" w:type="dxa"/>
            <w:gridSpan w:val="3"/>
            <w:tcBorders>
              <w:top w:val="nil"/>
              <w:left w:val="nil"/>
              <w:bottom w:val="nil"/>
              <w:right w:val="nil"/>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single"/>
              </w:rPr>
            </w:pPr>
          </w:p>
        </w:tc>
        <w:tc>
          <w:tcPr>
            <w:tcW w:w="1215" w:type="dxa"/>
            <w:gridSpan w:val="7"/>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1530" w:type="dxa"/>
            <w:gridSpan w:val="5"/>
            <w:tcBorders>
              <w:top w:val="nil"/>
              <w:left w:val="nil"/>
              <w:bottom w:val="nil"/>
              <w:right w:val="nil"/>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21" w:type="dxa"/>
            <w:gridSpan w:val="6"/>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表—12</w:t>
            </w:r>
          </w:p>
        </w:tc>
      </w:tr>
    </w:tbl>
    <w:p>
      <w:pPr>
        <w:pStyle w:val="16"/>
        <w:jc w:val="both"/>
      </w:pPr>
    </w:p>
    <w:p>
      <w:pPr>
        <w:pStyle w:val="16"/>
        <w:jc w:val="both"/>
      </w:pPr>
    </w:p>
    <w:tbl>
      <w:tblPr>
        <w:tblStyle w:val="13"/>
        <w:tblW w:w="9651" w:type="dxa"/>
        <w:tblInd w:w="0" w:type="dxa"/>
        <w:shd w:val="clear" w:color="auto" w:fill="auto"/>
        <w:tblLayout w:type="autofit"/>
        <w:tblCellMar>
          <w:top w:w="0" w:type="dxa"/>
          <w:left w:w="0" w:type="dxa"/>
          <w:bottom w:w="0" w:type="dxa"/>
          <w:right w:w="0" w:type="dxa"/>
        </w:tblCellMar>
      </w:tblPr>
      <w:tblGrid>
        <w:gridCol w:w="900"/>
        <w:gridCol w:w="330"/>
        <w:gridCol w:w="1695"/>
        <w:gridCol w:w="705"/>
        <w:gridCol w:w="1995"/>
        <w:gridCol w:w="765"/>
        <w:gridCol w:w="390"/>
        <w:gridCol w:w="1140"/>
        <w:gridCol w:w="330"/>
        <w:gridCol w:w="1401"/>
      </w:tblGrid>
      <w:tr>
        <w:tblPrEx>
          <w:tblCellMar>
            <w:top w:w="0" w:type="dxa"/>
            <w:left w:w="0" w:type="dxa"/>
            <w:bottom w:w="0" w:type="dxa"/>
            <w:right w:w="0" w:type="dxa"/>
          </w:tblCellMar>
        </w:tblPrEx>
        <w:trPr>
          <w:trHeight w:val="600" w:hRule="atLeast"/>
        </w:trPr>
        <w:tc>
          <w:tcPr>
            <w:tcW w:w="9651" w:type="dxa"/>
            <w:gridSpan w:val="10"/>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暂列金额明细表</w:t>
            </w:r>
          </w:p>
        </w:tc>
      </w:tr>
      <w:tr>
        <w:tblPrEx>
          <w:tblCellMar>
            <w:top w:w="0" w:type="dxa"/>
            <w:left w:w="0" w:type="dxa"/>
            <w:bottom w:w="0" w:type="dxa"/>
            <w:right w:w="0" w:type="dxa"/>
          </w:tblCellMar>
        </w:tblPrEx>
        <w:trPr>
          <w:trHeight w:val="750" w:hRule="atLeast"/>
        </w:trPr>
        <w:tc>
          <w:tcPr>
            <w:tcW w:w="3630" w:type="dxa"/>
            <w:gridSpan w:val="4"/>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工程名称：户用厕所改造</w:t>
            </w:r>
          </w:p>
        </w:tc>
        <w:tc>
          <w:tcPr>
            <w:tcW w:w="4290" w:type="dxa"/>
            <w:gridSpan w:val="4"/>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标段：江口县2018年农村“厕所革命”省级奖补资金工程项目</w:t>
            </w:r>
            <w:r>
              <w:rPr>
                <w:rFonts w:hint="eastAsia" w:cs="宋体"/>
                <w:i w:val="0"/>
                <w:color w:val="000000"/>
                <w:kern w:val="0"/>
                <w:sz w:val="18"/>
                <w:szCs w:val="18"/>
                <w:u w:val="none"/>
                <w:lang w:val="en-US" w:eastAsia="zh-CN" w:bidi="ar"/>
              </w:rPr>
              <w:t>采购</w:t>
            </w:r>
          </w:p>
        </w:tc>
        <w:tc>
          <w:tcPr>
            <w:tcW w:w="1731" w:type="dxa"/>
            <w:gridSpan w:val="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 1 页  共  1  页</w:t>
            </w:r>
          </w:p>
        </w:tc>
      </w:tr>
      <w:tr>
        <w:tblPrEx>
          <w:shd w:val="clear" w:color="auto" w:fill="auto"/>
          <w:tblCellMar>
            <w:top w:w="0" w:type="dxa"/>
            <w:left w:w="0" w:type="dxa"/>
            <w:bottom w:w="0" w:type="dxa"/>
            <w:right w:w="0" w:type="dxa"/>
          </w:tblCellMar>
        </w:tblPrEx>
        <w:trPr>
          <w:trHeight w:val="360" w:hRule="atLeast"/>
        </w:trPr>
        <w:tc>
          <w:tcPr>
            <w:tcW w:w="1230" w:type="dxa"/>
            <w:gridSpan w:val="2"/>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395" w:type="dxa"/>
            <w:gridSpan w:val="3"/>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155"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1470"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暂定金额</w:t>
            </w:r>
          </w:p>
        </w:tc>
        <w:tc>
          <w:tcPr>
            <w:tcW w:w="1401" w:type="dxa"/>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tblPrEx>
          <w:shd w:val="clear" w:color="auto" w:fill="auto"/>
          <w:tblCellMar>
            <w:top w:w="0" w:type="dxa"/>
            <w:left w:w="0" w:type="dxa"/>
            <w:bottom w:w="0" w:type="dxa"/>
            <w:right w:w="0" w:type="dxa"/>
          </w:tblCellMar>
        </w:tblPrEx>
        <w:trPr>
          <w:trHeight w:val="525" w:hRule="atLeast"/>
        </w:trPr>
        <w:tc>
          <w:tcPr>
            <w:tcW w:w="123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39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户用化粪池（2-3m3）</w:t>
            </w:r>
          </w:p>
        </w:tc>
        <w:tc>
          <w:tcPr>
            <w:tcW w:w="11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128000</w:t>
            </w:r>
          </w:p>
        </w:tc>
        <w:tc>
          <w:tcPr>
            <w:tcW w:w="140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256座化粪池（256户每户500元补助）</w:t>
            </w:r>
          </w:p>
        </w:tc>
      </w:tr>
      <w:tr>
        <w:tblPrEx>
          <w:shd w:val="clear" w:color="auto" w:fill="auto"/>
          <w:tblCellMar>
            <w:top w:w="0" w:type="dxa"/>
            <w:left w:w="0" w:type="dxa"/>
            <w:bottom w:w="0" w:type="dxa"/>
            <w:right w:w="0" w:type="dxa"/>
          </w:tblCellMar>
        </w:tblPrEx>
        <w:trPr>
          <w:trHeight w:val="330" w:hRule="atLeast"/>
        </w:trPr>
        <w:tc>
          <w:tcPr>
            <w:tcW w:w="123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0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30" w:hRule="atLeast"/>
        </w:trPr>
        <w:tc>
          <w:tcPr>
            <w:tcW w:w="123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0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30" w:hRule="atLeast"/>
        </w:trPr>
        <w:tc>
          <w:tcPr>
            <w:tcW w:w="123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0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30" w:hRule="atLeast"/>
        </w:trPr>
        <w:tc>
          <w:tcPr>
            <w:tcW w:w="123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0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30" w:hRule="atLeast"/>
        </w:trPr>
        <w:tc>
          <w:tcPr>
            <w:tcW w:w="123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0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30" w:hRule="atLeast"/>
        </w:trPr>
        <w:tc>
          <w:tcPr>
            <w:tcW w:w="123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0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30" w:hRule="atLeast"/>
        </w:trPr>
        <w:tc>
          <w:tcPr>
            <w:tcW w:w="123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0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30" w:hRule="atLeast"/>
        </w:trPr>
        <w:tc>
          <w:tcPr>
            <w:tcW w:w="123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0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30" w:hRule="atLeast"/>
        </w:trPr>
        <w:tc>
          <w:tcPr>
            <w:tcW w:w="123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0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30" w:hRule="atLeast"/>
        </w:trPr>
        <w:tc>
          <w:tcPr>
            <w:tcW w:w="123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0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30" w:hRule="atLeast"/>
        </w:trPr>
        <w:tc>
          <w:tcPr>
            <w:tcW w:w="123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0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30" w:hRule="atLeast"/>
        </w:trPr>
        <w:tc>
          <w:tcPr>
            <w:tcW w:w="123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0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30" w:hRule="atLeast"/>
        </w:trPr>
        <w:tc>
          <w:tcPr>
            <w:tcW w:w="123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0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30" w:hRule="atLeast"/>
        </w:trPr>
        <w:tc>
          <w:tcPr>
            <w:tcW w:w="123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0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30" w:hRule="atLeast"/>
        </w:trPr>
        <w:tc>
          <w:tcPr>
            <w:tcW w:w="123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0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30" w:hRule="atLeast"/>
        </w:trPr>
        <w:tc>
          <w:tcPr>
            <w:tcW w:w="123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0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30" w:hRule="atLeast"/>
        </w:trPr>
        <w:tc>
          <w:tcPr>
            <w:tcW w:w="123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0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30" w:hRule="atLeast"/>
        </w:trPr>
        <w:tc>
          <w:tcPr>
            <w:tcW w:w="123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0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30" w:hRule="atLeast"/>
        </w:trPr>
        <w:tc>
          <w:tcPr>
            <w:tcW w:w="123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0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30" w:hRule="atLeast"/>
        </w:trPr>
        <w:tc>
          <w:tcPr>
            <w:tcW w:w="123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0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30" w:hRule="atLeast"/>
        </w:trPr>
        <w:tc>
          <w:tcPr>
            <w:tcW w:w="123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0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30" w:hRule="atLeast"/>
        </w:trPr>
        <w:tc>
          <w:tcPr>
            <w:tcW w:w="123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0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30" w:hRule="atLeast"/>
        </w:trPr>
        <w:tc>
          <w:tcPr>
            <w:tcW w:w="123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0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30" w:hRule="atLeast"/>
        </w:trPr>
        <w:tc>
          <w:tcPr>
            <w:tcW w:w="123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0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30" w:hRule="atLeast"/>
        </w:trPr>
        <w:tc>
          <w:tcPr>
            <w:tcW w:w="123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0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30" w:hRule="atLeast"/>
        </w:trPr>
        <w:tc>
          <w:tcPr>
            <w:tcW w:w="123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0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30" w:hRule="atLeast"/>
        </w:trPr>
        <w:tc>
          <w:tcPr>
            <w:tcW w:w="123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0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30" w:hRule="atLeast"/>
        </w:trPr>
        <w:tc>
          <w:tcPr>
            <w:tcW w:w="123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01"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0" w:hRule="atLeast"/>
        </w:trPr>
        <w:tc>
          <w:tcPr>
            <w:tcW w:w="6780" w:type="dxa"/>
            <w:gridSpan w:val="7"/>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    计</w:t>
            </w:r>
          </w:p>
        </w:tc>
        <w:tc>
          <w:tcPr>
            <w:tcW w:w="1470" w:type="dxa"/>
            <w:gridSpan w:val="2"/>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128000</w:t>
            </w:r>
          </w:p>
        </w:tc>
        <w:tc>
          <w:tcPr>
            <w:tcW w:w="1401" w:type="dxa"/>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45" w:hRule="atLeast"/>
        </w:trPr>
        <w:tc>
          <w:tcPr>
            <w:tcW w:w="9651" w:type="dxa"/>
            <w:gridSpan w:val="10"/>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注：此表由招标人填写，如不能详列，也可只列暂列金额总额，投标人应将上述暂列金额计入投标总价中。</w:t>
            </w:r>
          </w:p>
        </w:tc>
      </w:tr>
      <w:tr>
        <w:tblPrEx>
          <w:shd w:val="clear" w:color="auto" w:fill="auto"/>
          <w:tblCellMar>
            <w:top w:w="0" w:type="dxa"/>
            <w:left w:w="0" w:type="dxa"/>
            <w:bottom w:w="0" w:type="dxa"/>
            <w:right w:w="0" w:type="dxa"/>
          </w:tblCellMar>
        </w:tblPrEx>
        <w:trPr>
          <w:trHeight w:val="390" w:hRule="atLeast"/>
        </w:trPr>
        <w:tc>
          <w:tcPr>
            <w:tcW w:w="900" w:type="dxa"/>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2025" w:type="dxa"/>
            <w:gridSpan w:val="2"/>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single"/>
              </w:rPr>
            </w:pPr>
          </w:p>
        </w:tc>
        <w:tc>
          <w:tcPr>
            <w:tcW w:w="705" w:type="dxa"/>
            <w:tcBorders>
              <w:top w:val="nil"/>
              <w:left w:val="nil"/>
              <w:bottom w:val="nil"/>
              <w:right w:val="nil"/>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single"/>
              </w:rPr>
            </w:pPr>
          </w:p>
        </w:tc>
        <w:tc>
          <w:tcPr>
            <w:tcW w:w="2760" w:type="dxa"/>
            <w:gridSpan w:val="2"/>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1530" w:type="dxa"/>
            <w:gridSpan w:val="2"/>
            <w:tcBorders>
              <w:top w:val="nil"/>
              <w:left w:val="nil"/>
              <w:bottom w:val="nil"/>
              <w:right w:val="nil"/>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731" w:type="dxa"/>
            <w:gridSpan w:val="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表—12—1</w:t>
            </w:r>
          </w:p>
        </w:tc>
      </w:tr>
    </w:tbl>
    <w:p>
      <w:pPr>
        <w:pStyle w:val="16"/>
        <w:jc w:val="both"/>
      </w:pPr>
    </w:p>
    <w:p>
      <w:pPr>
        <w:pStyle w:val="16"/>
        <w:jc w:val="both"/>
      </w:pPr>
    </w:p>
    <w:tbl>
      <w:tblPr>
        <w:tblStyle w:val="13"/>
        <w:tblW w:w="9627" w:type="dxa"/>
        <w:tblInd w:w="0" w:type="dxa"/>
        <w:shd w:val="clear" w:color="auto" w:fill="auto"/>
        <w:tblLayout w:type="autofit"/>
        <w:tblCellMar>
          <w:top w:w="0" w:type="dxa"/>
          <w:left w:w="0" w:type="dxa"/>
          <w:bottom w:w="0" w:type="dxa"/>
          <w:right w:w="0" w:type="dxa"/>
        </w:tblCellMar>
      </w:tblPr>
      <w:tblGrid>
        <w:gridCol w:w="690"/>
        <w:gridCol w:w="2805"/>
        <w:gridCol w:w="705"/>
        <w:gridCol w:w="510"/>
        <w:gridCol w:w="285"/>
        <w:gridCol w:w="795"/>
        <w:gridCol w:w="375"/>
        <w:gridCol w:w="1320"/>
        <w:gridCol w:w="525"/>
        <w:gridCol w:w="405"/>
        <w:gridCol w:w="1212"/>
      </w:tblGrid>
      <w:tr>
        <w:tblPrEx>
          <w:tblCellMar>
            <w:top w:w="0" w:type="dxa"/>
            <w:left w:w="0" w:type="dxa"/>
            <w:bottom w:w="0" w:type="dxa"/>
            <w:right w:w="0" w:type="dxa"/>
          </w:tblCellMar>
        </w:tblPrEx>
        <w:trPr>
          <w:trHeight w:val="600" w:hRule="atLeast"/>
        </w:trPr>
        <w:tc>
          <w:tcPr>
            <w:tcW w:w="9627" w:type="dxa"/>
            <w:gridSpan w:val="1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规费、税金项目计价表</w:t>
            </w:r>
          </w:p>
        </w:tc>
      </w:tr>
      <w:tr>
        <w:tblPrEx>
          <w:shd w:val="clear" w:color="auto" w:fill="auto"/>
          <w:tblCellMar>
            <w:top w:w="0" w:type="dxa"/>
            <w:left w:w="0" w:type="dxa"/>
            <w:bottom w:w="0" w:type="dxa"/>
            <w:right w:w="0" w:type="dxa"/>
          </w:tblCellMar>
        </w:tblPrEx>
        <w:trPr>
          <w:trHeight w:val="750" w:hRule="atLeast"/>
        </w:trPr>
        <w:tc>
          <w:tcPr>
            <w:tcW w:w="4200" w:type="dxa"/>
            <w:gridSpan w:val="3"/>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工程名称：户用厕所改造</w:t>
            </w:r>
          </w:p>
        </w:tc>
        <w:tc>
          <w:tcPr>
            <w:tcW w:w="510" w:type="dxa"/>
            <w:tcBorders>
              <w:top w:val="nil"/>
              <w:left w:val="nil"/>
              <w:bottom w:val="nil"/>
              <w:right w:val="nil"/>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5" w:type="dxa"/>
            <w:tcBorders>
              <w:top w:val="nil"/>
              <w:left w:val="nil"/>
              <w:bottom w:val="nil"/>
              <w:right w:val="nil"/>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015" w:type="dxa"/>
            <w:gridSpan w:val="4"/>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标段：江口县2018年农村“厕所革命”省级奖补资金工程项目</w:t>
            </w:r>
            <w:r>
              <w:rPr>
                <w:rFonts w:hint="eastAsia" w:cs="宋体"/>
                <w:i w:val="0"/>
                <w:color w:val="000000"/>
                <w:kern w:val="0"/>
                <w:sz w:val="18"/>
                <w:szCs w:val="18"/>
                <w:u w:val="none"/>
                <w:lang w:val="en-US" w:eastAsia="zh-CN" w:bidi="ar"/>
              </w:rPr>
              <w:t>采购</w:t>
            </w:r>
          </w:p>
        </w:tc>
        <w:tc>
          <w:tcPr>
            <w:tcW w:w="1617" w:type="dxa"/>
            <w:gridSpan w:val="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 1 页  共 1 页</w:t>
            </w:r>
          </w:p>
        </w:tc>
      </w:tr>
      <w:tr>
        <w:tblPrEx>
          <w:shd w:val="clear" w:color="auto" w:fill="auto"/>
          <w:tblCellMar>
            <w:top w:w="0" w:type="dxa"/>
            <w:left w:w="0" w:type="dxa"/>
            <w:bottom w:w="0" w:type="dxa"/>
            <w:right w:w="0" w:type="dxa"/>
          </w:tblCellMar>
        </w:tblPrEx>
        <w:trPr>
          <w:trHeight w:val="525" w:hRule="atLeast"/>
        </w:trPr>
        <w:tc>
          <w:tcPr>
            <w:tcW w:w="690" w:type="dxa"/>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2805"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2670" w:type="dxa"/>
            <w:gridSpan w:val="5"/>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计算基础</w:t>
            </w:r>
          </w:p>
        </w:tc>
        <w:tc>
          <w:tcPr>
            <w:tcW w:w="1320"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计算基数</w:t>
            </w:r>
          </w:p>
        </w:tc>
        <w:tc>
          <w:tcPr>
            <w:tcW w:w="930"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计算费率(%)</w:t>
            </w:r>
          </w:p>
        </w:tc>
        <w:tc>
          <w:tcPr>
            <w:tcW w:w="1212" w:type="dxa"/>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金额（元）</w:t>
            </w:r>
          </w:p>
        </w:tc>
      </w:tr>
      <w:tr>
        <w:tblPrEx>
          <w:shd w:val="clear" w:color="auto" w:fill="auto"/>
          <w:tblCellMar>
            <w:top w:w="0" w:type="dxa"/>
            <w:left w:w="0" w:type="dxa"/>
            <w:bottom w:w="0" w:type="dxa"/>
            <w:right w:w="0" w:type="dxa"/>
          </w:tblCellMar>
        </w:tblPrEx>
        <w:trPr>
          <w:trHeight w:val="525" w:hRule="atLeast"/>
        </w:trPr>
        <w:tc>
          <w:tcPr>
            <w:tcW w:w="6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规费</w:t>
            </w:r>
          </w:p>
        </w:tc>
        <w:tc>
          <w:tcPr>
            <w:tcW w:w="26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社会保障费+住房公积金+工程排污费</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5" w:hRule="atLeast"/>
        </w:trPr>
        <w:tc>
          <w:tcPr>
            <w:tcW w:w="6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社会保障费</w:t>
            </w:r>
          </w:p>
        </w:tc>
        <w:tc>
          <w:tcPr>
            <w:tcW w:w="26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养老保险费+失业保险费+医疗保险费+工伤保险费+生育保险费</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5" w:hRule="atLeast"/>
        </w:trPr>
        <w:tc>
          <w:tcPr>
            <w:tcW w:w="6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养老保险费</w:t>
            </w:r>
          </w:p>
        </w:tc>
        <w:tc>
          <w:tcPr>
            <w:tcW w:w="26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22.13</w:t>
            </w:r>
          </w:p>
        </w:tc>
        <w:tc>
          <w:tcPr>
            <w:tcW w:w="121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5" w:hRule="atLeast"/>
        </w:trPr>
        <w:tc>
          <w:tcPr>
            <w:tcW w:w="6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失业保险费</w:t>
            </w:r>
          </w:p>
        </w:tc>
        <w:tc>
          <w:tcPr>
            <w:tcW w:w="26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w:t>
            </w:r>
          </w:p>
        </w:tc>
        <w:tc>
          <w:tcPr>
            <w:tcW w:w="121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trPr>
        <w:tc>
          <w:tcPr>
            <w:tcW w:w="6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医疗保险费</w:t>
            </w:r>
          </w:p>
        </w:tc>
        <w:tc>
          <w:tcPr>
            <w:tcW w:w="26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8.73</w:t>
            </w:r>
          </w:p>
        </w:tc>
        <w:tc>
          <w:tcPr>
            <w:tcW w:w="121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5" w:hRule="atLeast"/>
        </w:trPr>
        <w:tc>
          <w:tcPr>
            <w:tcW w:w="6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工伤保险费</w:t>
            </w:r>
          </w:p>
        </w:tc>
        <w:tc>
          <w:tcPr>
            <w:tcW w:w="26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w:t>
            </w:r>
          </w:p>
        </w:tc>
        <w:tc>
          <w:tcPr>
            <w:tcW w:w="121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5" w:hRule="atLeast"/>
        </w:trPr>
        <w:tc>
          <w:tcPr>
            <w:tcW w:w="6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生育保险费</w:t>
            </w:r>
          </w:p>
        </w:tc>
        <w:tc>
          <w:tcPr>
            <w:tcW w:w="26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0.58</w:t>
            </w:r>
          </w:p>
        </w:tc>
        <w:tc>
          <w:tcPr>
            <w:tcW w:w="121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5" w:hRule="atLeast"/>
        </w:trPr>
        <w:tc>
          <w:tcPr>
            <w:tcW w:w="6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26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分部分项人工预算价+单价措施人工预算价</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5.82</w:t>
            </w:r>
          </w:p>
        </w:tc>
        <w:tc>
          <w:tcPr>
            <w:tcW w:w="121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5" w:hRule="atLeast"/>
        </w:trPr>
        <w:tc>
          <w:tcPr>
            <w:tcW w:w="6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工程排污费</w:t>
            </w:r>
          </w:p>
        </w:tc>
        <w:tc>
          <w:tcPr>
            <w:tcW w:w="26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5" w:hRule="atLeast"/>
        </w:trPr>
        <w:tc>
          <w:tcPr>
            <w:tcW w:w="6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8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增值税</w:t>
            </w:r>
          </w:p>
        </w:tc>
        <w:tc>
          <w:tcPr>
            <w:tcW w:w="26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税前工程造价</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21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trPr>
        <w:tc>
          <w:tcPr>
            <w:tcW w:w="6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6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trPr>
        <w:tc>
          <w:tcPr>
            <w:tcW w:w="6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6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5" w:hRule="atLeast"/>
        </w:trPr>
        <w:tc>
          <w:tcPr>
            <w:tcW w:w="6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6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5" w:hRule="atLeast"/>
        </w:trPr>
        <w:tc>
          <w:tcPr>
            <w:tcW w:w="6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6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5" w:hRule="atLeast"/>
        </w:trPr>
        <w:tc>
          <w:tcPr>
            <w:tcW w:w="6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6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trPr>
        <w:tc>
          <w:tcPr>
            <w:tcW w:w="6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6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5" w:hRule="atLeast"/>
        </w:trPr>
        <w:tc>
          <w:tcPr>
            <w:tcW w:w="6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6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5" w:hRule="atLeast"/>
        </w:trPr>
        <w:tc>
          <w:tcPr>
            <w:tcW w:w="690"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6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5" w:hRule="atLeast"/>
        </w:trPr>
        <w:tc>
          <w:tcPr>
            <w:tcW w:w="690" w:type="dxa"/>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05"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670" w:type="dxa"/>
            <w:gridSpan w:val="5"/>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20"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2" w:type="dxa"/>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35" w:hRule="atLeast"/>
        </w:trPr>
        <w:tc>
          <w:tcPr>
            <w:tcW w:w="4200" w:type="dxa"/>
            <w:gridSpan w:val="3"/>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编制人（造价人员）：</w:t>
            </w:r>
          </w:p>
        </w:tc>
        <w:tc>
          <w:tcPr>
            <w:tcW w:w="510" w:type="dxa"/>
            <w:tcBorders>
              <w:top w:val="nil"/>
              <w:left w:val="nil"/>
              <w:bottom w:val="nil"/>
              <w:right w:val="nil"/>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5" w:type="dxa"/>
            <w:tcBorders>
              <w:top w:val="nil"/>
              <w:left w:val="nil"/>
              <w:bottom w:val="nil"/>
              <w:right w:val="nil"/>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95" w:type="dxa"/>
            <w:tcBorders>
              <w:top w:val="nil"/>
              <w:left w:val="nil"/>
              <w:bottom w:val="nil"/>
              <w:right w:val="nil"/>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20" w:type="dxa"/>
            <w:gridSpan w:val="3"/>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复核人（造价工程师）：</w:t>
            </w:r>
          </w:p>
        </w:tc>
        <w:tc>
          <w:tcPr>
            <w:tcW w:w="1617" w:type="dxa"/>
            <w:gridSpan w:val="2"/>
            <w:tcBorders>
              <w:top w:val="nil"/>
              <w:left w:val="nil"/>
              <w:bottom w:val="nil"/>
              <w:right w:val="nil"/>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4200" w:type="dxa"/>
            <w:gridSpan w:val="3"/>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single"/>
              </w:rPr>
            </w:pPr>
          </w:p>
        </w:tc>
        <w:tc>
          <w:tcPr>
            <w:tcW w:w="285" w:type="dxa"/>
            <w:tcBorders>
              <w:top w:val="nil"/>
              <w:left w:val="nil"/>
              <w:bottom w:val="nil"/>
              <w:right w:val="nil"/>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single"/>
              </w:rPr>
            </w:pPr>
          </w:p>
        </w:tc>
        <w:tc>
          <w:tcPr>
            <w:tcW w:w="795" w:type="dxa"/>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2220" w:type="dxa"/>
            <w:gridSpan w:val="3"/>
            <w:tcBorders>
              <w:top w:val="nil"/>
              <w:left w:val="nil"/>
              <w:bottom w:val="nil"/>
              <w:right w:val="nil"/>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17" w:type="dxa"/>
            <w:gridSpan w:val="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表—13</w:t>
            </w:r>
          </w:p>
        </w:tc>
      </w:tr>
    </w:tbl>
    <w:p>
      <w:pPr>
        <w:pStyle w:val="16"/>
        <w:jc w:val="both"/>
      </w:pPr>
    </w:p>
    <w:p>
      <w:pPr>
        <w:pStyle w:val="16"/>
        <w:jc w:val="both"/>
      </w:pPr>
    </w:p>
    <w:p>
      <w:pPr>
        <w:pStyle w:val="16"/>
        <w:jc w:val="both"/>
      </w:pPr>
    </w:p>
    <w:p>
      <w:pPr>
        <w:pStyle w:val="16"/>
      </w:pPr>
    </w:p>
    <w:p>
      <w:pPr>
        <w:pStyle w:val="3"/>
        <w:keepNext w:val="0"/>
        <w:keepLines w:val="0"/>
        <w:pageBreakBefore w:val="0"/>
        <w:widowControl w:val="0"/>
        <w:kinsoku/>
        <w:wordWrap/>
        <w:overflowPunct/>
        <w:topLinePunct w:val="0"/>
        <w:autoSpaceDE w:val="0"/>
        <w:autoSpaceDN w:val="0"/>
        <w:bidi w:val="0"/>
        <w:adjustRightInd/>
        <w:snapToGrid/>
        <w:spacing w:before="0" w:after="0" w:line="490" w:lineRule="exact"/>
        <w:ind w:left="0" w:right="0"/>
        <w:jc w:val="center"/>
        <w:textAlignment w:val="auto"/>
        <w:rPr>
          <w:sz w:val="44"/>
          <w:szCs w:val="44"/>
          <w:highlight w:val="none"/>
        </w:rPr>
      </w:pPr>
      <w:r>
        <w:rPr>
          <w:sz w:val="44"/>
          <w:szCs w:val="44"/>
          <w:highlight w:val="none"/>
        </w:rPr>
        <w:t>第五章 政府采购合同（参考文本）</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合同号：</w:t>
      </w:r>
    </w:p>
    <w:p>
      <w:pPr>
        <w:pStyle w:val="9"/>
        <w:keepNext w:val="0"/>
        <w:keepLines w:val="0"/>
        <w:pageBreakBefore w:val="0"/>
        <w:widowControl w:val="0"/>
        <w:tabs>
          <w:tab w:val="left" w:pos="5331"/>
        </w:tabs>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甲方(采购人)：</w:t>
      </w:r>
      <w:r>
        <w:rPr>
          <w:highlight w:val="none"/>
        </w:rPr>
        <w:tab/>
      </w:r>
      <w:r>
        <w:rPr>
          <w:highlight w:val="none"/>
        </w:rPr>
        <w:t>签定地点：</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sz w:val="19"/>
          <w:highlight w:val="none"/>
        </w:rPr>
      </w:pPr>
    </w:p>
    <w:p>
      <w:pPr>
        <w:pStyle w:val="9"/>
        <w:keepNext w:val="0"/>
        <w:keepLines w:val="0"/>
        <w:pageBreakBefore w:val="0"/>
        <w:widowControl w:val="0"/>
        <w:tabs>
          <w:tab w:val="left" w:pos="5550"/>
          <w:tab w:val="left" w:pos="7448"/>
          <w:tab w:val="left" w:pos="8048"/>
        </w:tabs>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乙</w:t>
      </w:r>
      <w:r>
        <w:rPr>
          <w:spacing w:val="-22"/>
          <w:highlight w:val="none"/>
        </w:rPr>
        <w:t>方</w:t>
      </w:r>
      <w:r>
        <w:rPr>
          <w:spacing w:val="-3"/>
          <w:highlight w:val="none"/>
        </w:rPr>
        <w:t>（</w:t>
      </w:r>
      <w:r>
        <w:rPr>
          <w:highlight w:val="none"/>
        </w:rPr>
        <w:t>中标人</w:t>
      </w:r>
      <w:r>
        <w:rPr>
          <w:spacing w:val="-11"/>
          <w:highlight w:val="none"/>
        </w:rPr>
        <w:t>）：</w:t>
      </w:r>
      <w:r>
        <w:rPr>
          <w:spacing w:val="-11"/>
          <w:highlight w:val="none"/>
        </w:rPr>
        <w:tab/>
      </w:r>
      <w:r>
        <w:rPr>
          <w:highlight w:val="none"/>
        </w:rPr>
        <w:t>签定日期：</w:t>
      </w:r>
      <w:r>
        <w:rPr>
          <w:rFonts w:hint="eastAsia"/>
          <w:highlight w:val="none"/>
          <w:lang w:val="en-US" w:eastAsia="zh-CN"/>
        </w:rPr>
        <w:t xml:space="preserve">  </w:t>
      </w:r>
      <w:r>
        <w:rPr>
          <w:highlight w:val="none"/>
        </w:rPr>
        <w:t>年</w:t>
      </w:r>
      <w:r>
        <w:rPr>
          <w:highlight w:val="none"/>
        </w:rPr>
        <w:tab/>
      </w:r>
      <w:r>
        <w:rPr>
          <w:highlight w:val="none"/>
        </w:rPr>
        <w:t>月</w:t>
      </w:r>
      <w:r>
        <w:rPr>
          <w:rFonts w:hint="eastAsia"/>
          <w:highlight w:val="none"/>
          <w:lang w:val="en-US" w:eastAsia="zh-CN"/>
        </w:rPr>
        <w:t xml:space="preserve">  </w:t>
      </w:r>
      <w:r>
        <w:rPr>
          <w:highlight w:val="none"/>
        </w:rPr>
        <w:t>日</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480"/>
        <w:jc w:val="both"/>
        <w:textAlignment w:val="auto"/>
        <w:rPr>
          <w:highlight w:val="none"/>
        </w:rPr>
      </w:pPr>
      <w:r>
        <w:rPr>
          <w:highlight w:val="none"/>
        </w:rPr>
        <w:t>根据甲方委托(招标代理机构)对      进行招标采购（招标编号：</w:t>
      </w:r>
      <w:r>
        <w:rPr>
          <w:highlight w:val="none"/>
          <w:u w:val="single"/>
        </w:rPr>
        <w:t xml:space="preserve">     </w:t>
      </w:r>
      <w:r>
        <w:rPr>
          <w:highlight w:val="none"/>
        </w:rPr>
        <w:t xml:space="preserve">） </w:t>
      </w:r>
      <w:r>
        <w:rPr>
          <w:spacing w:val="-14"/>
          <w:highlight w:val="none"/>
        </w:rPr>
        <w:t>的招标结果，乙方为中标人，现依照招标文件、</w:t>
      </w:r>
      <w:r>
        <w:rPr>
          <w:spacing w:val="-3"/>
          <w:highlight w:val="none"/>
        </w:rPr>
        <w:t>（</w:t>
      </w:r>
      <w:r>
        <w:rPr>
          <w:highlight w:val="none"/>
        </w:rPr>
        <w:t>中标人</w:t>
      </w:r>
      <w:r>
        <w:rPr>
          <w:spacing w:val="-41"/>
          <w:highlight w:val="none"/>
        </w:rPr>
        <w:t>）</w:t>
      </w:r>
      <w:r>
        <w:rPr>
          <w:highlight w:val="none"/>
        </w:rPr>
        <w:t>投标文件及有关法律、法规、规章规定的内容，双方达成如下协议：</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1、合同标的和合同价格</w:t>
      </w:r>
    </w:p>
    <w:tbl>
      <w:tblPr>
        <w:tblStyle w:val="13"/>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7"/>
        <w:gridCol w:w="1271"/>
        <w:gridCol w:w="1606"/>
        <w:gridCol w:w="1752"/>
        <w:gridCol w:w="2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777"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center"/>
              <w:textAlignment w:val="auto"/>
              <w:rPr>
                <w:sz w:val="22"/>
                <w:highlight w:val="none"/>
              </w:rPr>
            </w:pPr>
          </w:p>
          <w:p>
            <w:pPr>
              <w:pStyle w:val="1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center"/>
              <w:textAlignment w:val="auto"/>
              <w:rPr>
                <w:sz w:val="24"/>
                <w:highlight w:val="none"/>
              </w:rPr>
            </w:pPr>
            <w:r>
              <w:rPr>
                <w:sz w:val="24"/>
                <w:highlight w:val="none"/>
              </w:rPr>
              <w:t>服务名称</w:t>
            </w:r>
          </w:p>
        </w:tc>
        <w:tc>
          <w:tcPr>
            <w:tcW w:w="1271"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center"/>
              <w:textAlignment w:val="auto"/>
              <w:rPr>
                <w:sz w:val="22"/>
                <w:highlight w:val="none"/>
              </w:rPr>
            </w:pPr>
          </w:p>
          <w:p>
            <w:pPr>
              <w:pStyle w:val="1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center"/>
              <w:textAlignment w:val="auto"/>
              <w:rPr>
                <w:sz w:val="24"/>
                <w:highlight w:val="none"/>
              </w:rPr>
            </w:pPr>
            <w:r>
              <w:rPr>
                <w:sz w:val="24"/>
                <w:highlight w:val="none"/>
              </w:rPr>
              <w:t>数 量</w:t>
            </w:r>
          </w:p>
        </w:tc>
        <w:tc>
          <w:tcPr>
            <w:tcW w:w="1606"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center"/>
              <w:textAlignment w:val="auto"/>
              <w:rPr>
                <w:sz w:val="22"/>
                <w:highlight w:val="none"/>
              </w:rPr>
            </w:pPr>
          </w:p>
          <w:p>
            <w:pPr>
              <w:pStyle w:val="1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center"/>
              <w:textAlignment w:val="auto"/>
              <w:rPr>
                <w:sz w:val="24"/>
                <w:highlight w:val="none"/>
              </w:rPr>
            </w:pPr>
            <w:r>
              <w:rPr>
                <w:sz w:val="24"/>
                <w:highlight w:val="none"/>
              </w:rPr>
              <w:t>单 价</w:t>
            </w:r>
          </w:p>
        </w:tc>
        <w:tc>
          <w:tcPr>
            <w:tcW w:w="1752"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center"/>
              <w:textAlignment w:val="auto"/>
              <w:rPr>
                <w:sz w:val="22"/>
                <w:highlight w:val="none"/>
              </w:rPr>
            </w:pPr>
          </w:p>
          <w:p>
            <w:pPr>
              <w:pStyle w:val="1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center"/>
              <w:textAlignment w:val="auto"/>
              <w:rPr>
                <w:sz w:val="24"/>
                <w:highlight w:val="none"/>
              </w:rPr>
            </w:pPr>
            <w:r>
              <w:rPr>
                <w:sz w:val="24"/>
                <w:highlight w:val="none"/>
              </w:rPr>
              <w:t>总 价</w:t>
            </w:r>
          </w:p>
        </w:tc>
        <w:tc>
          <w:tcPr>
            <w:tcW w:w="2336"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center"/>
              <w:textAlignment w:val="auto"/>
              <w:rPr>
                <w:sz w:val="22"/>
                <w:highlight w:val="none"/>
              </w:rPr>
            </w:pPr>
          </w:p>
          <w:p>
            <w:pPr>
              <w:pStyle w:val="1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center"/>
              <w:textAlignment w:val="auto"/>
              <w:rPr>
                <w:sz w:val="24"/>
                <w:highlight w:val="none"/>
              </w:rPr>
            </w:pPr>
            <w:r>
              <w:rPr>
                <w:sz w:val="24"/>
                <w:highlight w:val="none"/>
              </w:rPr>
              <w:t>服务期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777" w:type="dxa"/>
          </w:tcPr>
          <w:p>
            <w:pPr>
              <w:pStyle w:val="1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ascii="Times New Roman"/>
                <w:sz w:val="24"/>
                <w:highlight w:val="none"/>
              </w:rPr>
            </w:pPr>
          </w:p>
        </w:tc>
        <w:tc>
          <w:tcPr>
            <w:tcW w:w="1271" w:type="dxa"/>
          </w:tcPr>
          <w:p>
            <w:pPr>
              <w:pStyle w:val="1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ascii="Times New Roman"/>
                <w:sz w:val="24"/>
                <w:highlight w:val="none"/>
              </w:rPr>
            </w:pPr>
          </w:p>
        </w:tc>
        <w:tc>
          <w:tcPr>
            <w:tcW w:w="1606" w:type="dxa"/>
          </w:tcPr>
          <w:p>
            <w:pPr>
              <w:pStyle w:val="1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ascii="Times New Roman"/>
                <w:sz w:val="24"/>
                <w:highlight w:val="none"/>
              </w:rPr>
            </w:pPr>
          </w:p>
        </w:tc>
        <w:tc>
          <w:tcPr>
            <w:tcW w:w="1752" w:type="dxa"/>
          </w:tcPr>
          <w:p>
            <w:pPr>
              <w:pStyle w:val="1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ascii="Times New Roman"/>
                <w:sz w:val="24"/>
                <w:highlight w:val="none"/>
              </w:rPr>
            </w:pPr>
          </w:p>
        </w:tc>
        <w:tc>
          <w:tcPr>
            <w:tcW w:w="2336" w:type="dxa"/>
          </w:tcPr>
          <w:p>
            <w:pPr>
              <w:pStyle w:val="1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777" w:type="dxa"/>
          </w:tcPr>
          <w:p>
            <w:pPr>
              <w:pStyle w:val="1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ascii="Times New Roman"/>
                <w:sz w:val="24"/>
                <w:highlight w:val="none"/>
              </w:rPr>
            </w:pPr>
          </w:p>
        </w:tc>
        <w:tc>
          <w:tcPr>
            <w:tcW w:w="1271" w:type="dxa"/>
          </w:tcPr>
          <w:p>
            <w:pPr>
              <w:pStyle w:val="1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ascii="Times New Roman"/>
                <w:sz w:val="24"/>
                <w:highlight w:val="none"/>
              </w:rPr>
            </w:pPr>
          </w:p>
        </w:tc>
        <w:tc>
          <w:tcPr>
            <w:tcW w:w="1606" w:type="dxa"/>
          </w:tcPr>
          <w:p>
            <w:pPr>
              <w:pStyle w:val="1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ascii="Times New Roman"/>
                <w:sz w:val="24"/>
                <w:highlight w:val="none"/>
              </w:rPr>
            </w:pPr>
          </w:p>
        </w:tc>
        <w:tc>
          <w:tcPr>
            <w:tcW w:w="1752" w:type="dxa"/>
          </w:tcPr>
          <w:p>
            <w:pPr>
              <w:pStyle w:val="1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ascii="Times New Roman"/>
                <w:sz w:val="24"/>
                <w:highlight w:val="none"/>
              </w:rPr>
            </w:pPr>
          </w:p>
        </w:tc>
        <w:tc>
          <w:tcPr>
            <w:tcW w:w="2336" w:type="dxa"/>
          </w:tcPr>
          <w:p>
            <w:pPr>
              <w:pStyle w:val="1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77" w:type="dxa"/>
          </w:tcPr>
          <w:p>
            <w:pPr>
              <w:pStyle w:val="1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ascii="Times New Roman"/>
                <w:sz w:val="24"/>
                <w:highlight w:val="none"/>
              </w:rPr>
            </w:pPr>
          </w:p>
        </w:tc>
        <w:tc>
          <w:tcPr>
            <w:tcW w:w="1271" w:type="dxa"/>
          </w:tcPr>
          <w:p>
            <w:pPr>
              <w:pStyle w:val="1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ascii="Times New Roman"/>
                <w:sz w:val="24"/>
                <w:highlight w:val="none"/>
              </w:rPr>
            </w:pPr>
          </w:p>
        </w:tc>
        <w:tc>
          <w:tcPr>
            <w:tcW w:w="1606" w:type="dxa"/>
          </w:tcPr>
          <w:p>
            <w:pPr>
              <w:pStyle w:val="1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ascii="Times New Roman"/>
                <w:sz w:val="24"/>
                <w:highlight w:val="none"/>
              </w:rPr>
            </w:pPr>
          </w:p>
        </w:tc>
        <w:tc>
          <w:tcPr>
            <w:tcW w:w="1752" w:type="dxa"/>
          </w:tcPr>
          <w:p>
            <w:pPr>
              <w:pStyle w:val="1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ascii="Times New Roman"/>
                <w:sz w:val="24"/>
                <w:highlight w:val="none"/>
              </w:rPr>
            </w:pPr>
          </w:p>
        </w:tc>
        <w:tc>
          <w:tcPr>
            <w:tcW w:w="2336" w:type="dxa"/>
          </w:tcPr>
          <w:p>
            <w:pPr>
              <w:pStyle w:val="1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777" w:type="dxa"/>
          </w:tcPr>
          <w:p>
            <w:pPr>
              <w:pStyle w:val="1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ascii="Times New Roman"/>
                <w:sz w:val="24"/>
                <w:highlight w:val="none"/>
              </w:rPr>
            </w:pPr>
          </w:p>
        </w:tc>
        <w:tc>
          <w:tcPr>
            <w:tcW w:w="1271" w:type="dxa"/>
          </w:tcPr>
          <w:p>
            <w:pPr>
              <w:pStyle w:val="1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ascii="Times New Roman"/>
                <w:sz w:val="24"/>
                <w:highlight w:val="none"/>
              </w:rPr>
            </w:pPr>
          </w:p>
        </w:tc>
        <w:tc>
          <w:tcPr>
            <w:tcW w:w="1606" w:type="dxa"/>
          </w:tcPr>
          <w:p>
            <w:pPr>
              <w:pStyle w:val="1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ascii="Times New Roman"/>
                <w:sz w:val="24"/>
                <w:highlight w:val="none"/>
              </w:rPr>
            </w:pPr>
          </w:p>
        </w:tc>
        <w:tc>
          <w:tcPr>
            <w:tcW w:w="1752" w:type="dxa"/>
          </w:tcPr>
          <w:p>
            <w:pPr>
              <w:pStyle w:val="1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ascii="Times New Roman"/>
                <w:sz w:val="24"/>
                <w:highlight w:val="none"/>
              </w:rPr>
            </w:pPr>
          </w:p>
        </w:tc>
        <w:tc>
          <w:tcPr>
            <w:tcW w:w="2336" w:type="dxa"/>
          </w:tcPr>
          <w:p>
            <w:pPr>
              <w:pStyle w:val="1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ascii="Times New Roman"/>
                <w:sz w:val="24"/>
                <w:highlight w:val="none"/>
              </w:rPr>
            </w:pPr>
          </w:p>
        </w:tc>
      </w:tr>
    </w:tbl>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2、服务方式和服务地点</w:t>
      </w:r>
    </w:p>
    <w:p>
      <w:pPr>
        <w:pStyle w:val="18"/>
        <w:keepNext w:val="0"/>
        <w:keepLines w:val="0"/>
        <w:pageBreakBefore w:val="0"/>
        <w:widowControl w:val="0"/>
        <w:numPr>
          <w:ilvl w:val="0"/>
          <w:numId w:val="0"/>
        </w:numPr>
        <w:tabs>
          <w:tab w:val="left" w:pos="758"/>
        </w:tabs>
        <w:kinsoku/>
        <w:wordWrap/>
        <w:overflowPunct/>
        <w:topLinePunct w:val="0"/>
        <w:autoSpaceDE w:val="0"/>
        <w:autoSpaceDN w:val="0"/>
        <w:bidi w:val="0"/>
        <w:adjustRightInd/>
        <w:snapToGrid/>
        <w:spacing w:before="0" w:after="0" w:line="400" w:lineRule="exact"/>
        <w:ind w:right="0" w:rightChars="0" w:firstLine="480" w:firstLineChars="200"/>
        <w:jc w:val="both"/>
        <w:textAlignment w:val="auto"/>
        <w:rPr>
          <w:sz w:val="24"/>
          <w:highlight w:val="none"/>
        </w:rPr>
      </w:pPr>
      <w:r>
        <w:rPr>
          <w:rFonts w:hint="eastAsia"/>
          <w:sz w:val="24"/>
          <w:highlight w:val="none"/>
          <w:lang w:val="en-US" w:eastAsia="zh-CN"/>
        </w:rPr>
        <w:t>2.1</w:t>
      </w:r>
      <w:r>
        <w:rPr>
          <w:sz w:val="24"/>
          <w:highlight w:val="none"/>
        </w:rPr>
        <w:t>服务方式：</w:t>
      </w:r>
    </w:p>
    <w:p>
      <w:pPr>
        <w:pStyle w:val="18"/>
        <w:keepNext w:val="0"/>
        <w:keepLines w:val="0"/>
        <w:pageBreakBefore w:val="0"/>
        <w:widowControl w:val="0"/>
        <w:numPr>
          <w:ilvl w:val="0"/>
          <w:numId w:val="0"/>
        </w:numPr>
        <w:tabs>
          <w:tab w:val="left" w:pos="758"/>
        </w:tabs>
        <w:kinsoku/>
        <w:wordWrap/>
        <w:overflowPunct/>
        <w:topLinePunct w:val="0"/>
        <w:autoSpaceDE w:val="0"/>
        <w:autoSpaceDN w:val="0"/>
        <w:bidi w:val="0"/>
        <w:adjustRightInd/>
        <w:snapToGrid/>
        <w:spacing w:before="0" w:after="0" w:line="400" w:lineRule="exact"/>
        <w:ind w:right="0" w:rightChars="0" w:firstLine="480" w:firstLineChars="200"/>
        <w:jc w:val="both"/>
        <w:textAlignment w:val="auto"/>
        <w:rPr>
          <w:sz w:val="24"/>
          <w:highlight w:val="none"/>
        </w:rPr>
      </w:pPr>
      <w:r>
        <w:rPr>
          <w:rFonts w:hint="eastAsia"/>
          <w:sz w:val="24"/>
          <w:highlight w:val="none"/>
          <w:lang w:val="en-US" w:eastAsia="zh-CN"/>
        </w:rPr>
        <w:t>2.2</w:t>
      </w:r>
      <w:r>
        <w:rPr>
          <w:sz w:val="24"/>
          <w:highlight w:val="none"/>
        </w:rPr>
        <w:t>服务地点：</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3、供货清单</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firstLine="480" w:firstLineChars="200"/>
        <w:jc w:val="both"/>
        <w:textAlignment w:val="auto"/>
        <w:rPr>
          <w:highlight w:val="none"/>
        </w:rPr>
      </w:pPr>
      <w:r>
        <w:rPr>
          <w:highlight w:val="none"/>
        </w:rPr>
        <w:t>3.1 供货清单：名称及数量。（采购人对包装及运输有特别要求的，应作具体约定。）</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4、付款方式与条件</w:t>
      </w:r>
    </w:p>
    <w:p>
      <w:pPr>
        <w:pStyle w:val="18"/>
        <w:keepNext w:val="0"/>
        <w:keepLines w:val="0"/>
        <w:pageBreakBefore w:val="0"/>
        <w:widowControl w:val="0"/>
        <w:numPr>
          <w:ilvl w:val="0"/>
          <w:numId w:val="0"/>
        </w:numPr>
        <w:tabs>
          <w:tab w:val="left" w:pos="1118"/>
        </w:tabs>
        <w:kinsoku/>
        <w:wordWrap/>
        <w:overflowPunct/>
        <w:topLinePunct w:val="0"/>
        <w:autoSpaceDE w:val="0"/>
        <w:autoSpaceDN w:val="0"/>
        <w:bidi w:val="0"/>
        <w:adjustRightInd/>
        <w:snapToGrid/>
        <w:spacing w:before="0" w:after="0" w:line="400" w:lineRule="exact"/>
        <w:ind w:left="-420" w:leftChars="0" w:right="0" w:rightChars="0" w:firstLine="960" w:firstLineChars="400"/>
        <w:jc w:val="both"/>
        <w:textAlignment w:val="auto"/>
        <w:rPr>
          <w:sz w:val="24"/>
          <w:highlight w:val="none"/>
        </w:rPr>
      </w:pPr>
      <w:r>
        <w:rPr>
          <w:rFonts w:hint="eastAsia"/>
          <w:sz w:val="24"/>
          <w:highlight w:val="none"/>
          <w:lang w:val="en-US" w:eastAsia="zh-CN"/>
        </w:rPr>
        <w:t>4.1</w:t>
      </w:r>
      <w:r>
        <w:rPr>
          <w:sz w:val="24"/>
          <w:highlight w:val="none"/>
        </w:rPr>
        <w:t>货物交货付款</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480"/>
        <w:jc w:val="both"/>
        <w:textAlignment w:val="auto"/>
        <w:rPr>
          <w:highlight w:val="none"/>
        </w:rPr>
      </w:pPr>
      <w:r>
        <w:rPr>
          <w:spacing w:val="-7"/>
          <w:highlight w:val="none"/>
        </w:rPr>
        <w:t>全部货物交货并经验收合格后，甲方凭收讫货物的验收凭证和货物验收合格</w:t>
      </w:r>
      <w:r>
        <w:rPr>
          <w:spacing w:val="-10"/>
          <w:highlight w:val="none"/>
        </w:rPr>
        <w:t>文件等材料以</w:t>
      </w:r>
      <w:r>
        <w:rPr>
          <w:spacing w:val="-10"/>
          <w:highlight w:val="none"/>
          <w:u w:val="single"/>
        </w:rPr>
        <w:t xml:space="preserve"> </w:t>
      </w:r>
      <w:r>
        <w:rPr>
          <w:rFonts w:hint="eastAsia"/>
          <w:spacing w:val="-10"/>
          <w:highlight w:val="none"/>
          <w:u w:val="single"/>
          <w:lang w:val="en-US" w:eastAsia="zh-CN"/>
        </w:rPr>
        <w:t xml:space="preserve">  </w:t>
      </w:r>
      <w:r>
        <w:rPr>
          <w:spacing w:val="-10"/>
          <w:highlight w:val="none"/>
          <w:u w:val="single"/>
        </w:rPr>
        <w:t xml:space="preserve">  </w:t>
      </w:r>
      <w:r>
        <w:rPr>
          <w:rFonts w:hint="eastAsia"/>
          <w:spacing w:val="-10"/>
          <w:highlight w:val="none"/>
          <w:u w:val="single"/>
          <w:lang w:val="en-US" w:eastAsia="zh-CN"/>
        </w:rPr>
        <w:t xml:space="preserve"> </w:t>
      </w:r>
      <w:r>
        <w:rPr>
          <w:spacing w:val="-10"/>
          <w:highlight w:val="none"/>
          <w:u w:val="single"/>
        </w:rPr>
        <w:t xml:space="preserve"> </w:t>
      </w:r>
      <w:r>
        <w:rPr>
          <w:spacing w:val="-10"/>
          <w:highlight w:val="none"/>
        </w:rPr>
        <w:t>方式向乙方一次性支付</w:t>
      </w:r>
      <w:r>
        <w:rPr>
          <w:spacing w:val="-10"/>
          <w:highlight w:val="none"/>
          <w:u w:val="single"/>
        </w:rPr>
        <w:t xml:space="preserve"> </w:t>
      </w:r>
      <w:r>
        <w:rPr>
          <w:rFonts w:hint="eastAsia"/>
          <w:spacing w:val="-10"/>
          <w:highlight w:val="none"/>
          <w:u w:val="single"/>
          <w:lang w:val="en-US" w:eastAsia="zh-CN"/>
        </w:rPr>
        <w:t xml:space="preserve">   </w:t>
      </w:r>
      <w:r>
        <w:rPr>
          <w:spacing w:val="-10"/>
          <w:highlight w:val="none"/>
          <w:u w:val="single"/>
        </w:rPr>
        <w:t xml:space="preserve">  </w:t>
      </w:r>
      <w:r>
        <w:rPr>
          <w:spacing w:val="-10"/>
          <w:highlight w:val="none"/>
        </w:rPr>
        <w:t>%的货物价款。</w:t>
      </w:r>
      <w:r>
        <w:rPr>
          <w:highlight w:val="none"/>
        </w:rPr>
        <w:t>（若乙方有支付履约保证金的，可在支付货款时予以扣除。）</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现场交货条件下，乙方要求付款应提交下列单证和文件。</w:t>
      </w:r>
    </w:p>
    <w:p>
      <w:pPr>
        <w:pStyle w:val="9"/>
        <w:keepNext w:val="0"/>
        <w:keepLines w:val="0"/>
        <w:pageBreakBefore w:val="0"/>
        <w:widowControl w:val="0"/>
        <w:tabs>
          <w:tab w:val="left" w:pos="3937"/>
        </w:tabs>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a.金额为有关合同货物价格</w:t>
      </w:r>
      <w:r>
        <w:rPr>
          <w:rFonts w:hint="eastAsia"/>
          <w:highlight w:val="none"/>
          <w:u w:val="single"/>
          <w:lang w:val="en-US" w:eastAsia="zh-CN"/>
        </w:rPr>
        <w:t xml:space="preserve">        </w:t>
      </w:r>
      <w:r>
        <w:rPr>
          <w:highlight w:val="none"/>
        </w:rPr>
        <w:t>%的正式发票。</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b.制造厂家出具的货物质量合格证书。</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sz w:val="24"/>
          <w:highlight w:val="none"/>
        </w:rPr>
      </w:pPr>
      <w:r>
        <w:rPr>
          <w:rFonts w:hint="eastAsia"/>
          <w:highlight w:val="none"/>
          <w:lang w:val="en-US" w:eastAsia="zh-CN"/>
        </w:rPr>
        <w:t>c.</w:t>
      </w:r>
      <w:r>
        <w:rPr>
          <w:sz w:val="24"/>
          <w:highlight w:val="none"/>
        </w:rPr>
        <w:t>甲方已收讫货物的验收凭证。</w:t>
      </w:r>
    </w:p>
    <w:p>
      <w:pPr>
        <w:pStyle w:val="18"/>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0" w:after="0" w:line="400" w:lineRule="exact"/>
        <w:ind w:right="0" w:rightChars="0"/>
        <w:jc w:val="both"/>
        <w:textAlignment w:val="auto"/>
        <w:rPr>
          <w:sz w:val="24"/>
          <w:highlight w:val="none"/>
        </w:rPr>
      </w:pPr>
      <w:r>
        <w:rPr>
          <w:rFonts w:hint="eastAsia"/>
          <w:sz w:val="24"/>
          <w:highlight w:val="none"/>
          <w:lang w:val="en-US" w:eastAsia="zh-CN"/>
        </w:rPr>
        <w:t>d.</w:t>
      </w:r>
      <w:r>
        <w:rPr>
          <w:sz w:val="24"/>
          <w:highlight w:val="none"/>
        </w:rPr>
        <w:t>甲方签发的验收合格文件。</w:t>
      </w:r>
    </w:p>
    <w:p>
      <w:pPr>
        <w:pStyle w:val="18"/>
        <w:keepNext w:val="0"/>
        <w:keepLines w:val="0"/>
        <w:pageBreakBefore w:val="0"/>
        <w:widowControl w:val="0"/>
        <w:numPr>
          <w:ilvl w:val="0"/>
          <w:numId w:val="0"/>
        </w:numPr>
        <w:tabs>
          <w:tab w:val="left" w:pos="1018"/>
          <w:tab w:val="left" w:pos="5457"/>
        </w:tabs>
        <w:kinsoku/>
        <w:wordWrap/>
        <w:overflowPunct/>
        <w:topLinePunct w:val="0"/>
        <w:autoSpaceDE w:val="0"/>
        <w:autoSpaceDN w:val="0"/>
        <w:bidi w:val="0"/>
        <w:adjustRightInd/>
        <w:snapToGrid/>
        <w:spacing w:before="0" w:after="0" w:line="400" w:lineRule="exact"/>
        <w:ind w:left="-420" w:leftChars="0" w:right="0" w:rightChars="0" w:firstLine="720" w:firstLineChars="300"/>
        <w:jc w:val="both"/>
        <w:textAlignment w:val="auto"/>
        <w:rPr>
          <w:sz w:val="24"/>
          <w:highlight w:val="none"/>
        </w:rPr>
      </w:pPr>
      <w:r>
        <w:rPr>
          <w:rFonts w:hint="eastAsia"/>
          <w:sz w:val="24"/>
          <w:highlight w:val="none"/>
          <w:lang w:val="en-US" w:eastAsia="zh-CN"/>
        </w:rPr>
        <w:t>4.2</w:t>
      </w:r>
      <w:r>
        <w:rPr>
          <w:sz w:val="24"/>
          <w:highlight w:val="none"/>
        </w:rPr>
        <w:t>分期支付货款的，余下的货款应于</w:t>
      </w:r>
      <w:r>
        <w:rPr>
          <w:sz w:val="24"/>
          <w:highlight w:val="none"/>
          <w:u w:val="single"/>
        </w:rPr>
        <w:tab/>
      </w:r>
      <w:r>
        <w:rPr>
          <w:sz w:val="24"/>
          <w:highlight w:val="none"/>
        </w:rPr>
        <w:t>（时间）支付。</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5、质量要求和技术标准</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质量条款可细分为产品质量、包装质量、技术资料质量等内容。</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（质量要求和技术标准应按招标文件要求填列。）</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6、验收</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w:t>
      </w:r>
      <w:r>
        <w:rPr>
          <w:spacing w:val="-2"/>
          <w:highlight w:val="none"/>
        </w:rPr>
        <w:t>货物验收标准和方法应按招标文件要求填列。</w:t>
      </w:r>
      <w:r>
        <w:rPr>
          <w:spacing w:val="-29"/>
          <w:highlight w:val="none"/>
        </w:rPr>
        <w:t>）</w:t>
      </w:r>
      <w:r>
        <w:rPr>
          <w:spacing w:val="-3"/>
          <w:highlight w:val="none"/>
        </w:rPr>
        <w:t>验收结果经双方确认后，双方代表必须按规定的验收交接单上的项目对照本合同填好验收结果并签名盖章。</w:t>
      </w:r>
      <w:r>
        <w:rPr>
          <w:spacing w:val="-8"/>
          <w:highlight w:val="none"/>
        </w:rPr>
        <w:t>验收可细分为到货时的外在质量的验收，投产前的质量验收，大型设备可能还存在更多的验收步骤和验收方式，采购人可在招标文件中细化规定。</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7、质量保证</w:t>
      </w:r>
    </w:p>
    <w:p>
      <w:pPr>
        <w:pStyle w:val="9"/>
        <w:keepNext w:val="0"/>
        <w:keepLines w:val="0"/>
        <w:pageBreakBefore w:val="0"/>
        <w:widowControl w:val="0"/>
        <w:tabs>
          <w:tab w:val="left" w:pos="5997"/>
          <w:tab w:val="left" w:pos="6148"/>
          <w:tab w:val="left" w:pos="6237"/>
        </w:tabs>
        <w:kinsoku/>
        <w:wordWrap/>
        <w:overflowPunct/>
        <w:topLinePunct w:val="0"/>
        <w:autoSpaceDE w:val="0"/>
        <w:autoSpaceDN w:val="0"/>
        <w:bidi w:val="0"/>
        <w:adjustRightInd/>
        <w:snapToGrid/>
        <w:spacing w:before="0" w:after="0" w:line="400" w:lineRule="exact"/>
        <w:ind w:left="0" w:right="0" w:firstLine="240" w:firstLineChars="100"/>
        <w:jc w:val="both"/>
        <w:textAlignment w:val="auto"/>
        <w:rPr>
          <w:highlight w:val="none"/>
        </w:rPr>
      </w:pPr>
      <w:r>
        <w:rPr>
          <w:highlight w:val="none"/>
        </w:rPr>
        <w:t>各合同包货物质保期要求均为货物经最终验收合格后</w:t>
      </w:r>
      <w:r>
        <w:rPr>
          <w:highlight w:val="none"/>
          <w:u w:val="single"/>
        </w:rPr>
        <w:tab/>
      </w:r>
      <w:r>
        <w:rPr>
          <w:highlight w:val="none"/>
          <w:u w:val="single"/>
        </w:rPr>
        <w:tab/>
      </w:r>
      <w:r>
        <w:rPr>
          <w:rFonts w:hint="eastAsia"/>
          <w:highlight w:val="none"/>
          <w:u w:val="single"/>
          <w:lang w:val="en-US" w:eastAsia="zh-CN"/>
        </w:rPr>
        <w:t xml:space="preserve"> </w:t>
      </w:r>
      <w:r>
        <w:rPr>
          <w:highlight w:val="none"/>
        </w:rPr>
        <w:t>个月，在质量保证期内设备运行发生故障时，乙方在接到甲方故障通知后</w:t>
      </w:r>
      <w:r>
        <w:rPr>
          <w:highlight w:val="none"/>
          <w:u w:val="single"/>
        </w:rPr>
        <w:tab/>
      </w:r>
      <w:r>
        <w:rPr>
          <w:highlight w:val="none"/>
          <w:u w:val="single"/>
        </w:rPr>
        <w:tab/>
      </w:r>
      <w:r>
        <w:rPr>
          <w:highlight w:val="none"/>
        </w:rPr>
        <w:t>小时内应委派专业技术人员到现场免费提供咨询</w:t>
      </w:r>
      <w:r>
        <w:rPr>
          <w:spacing w:val="-32"/>
          <w:highlight w:val="none"/>
        </w:rPr>
        <w:t>、</w:t>
      </w:r>
      <w:r>
        <w:rPr>
          <w:highlight w:val="none"/>
        </w:rPr>
        <w:t>维修和更换零部件等服务</w:t>
      </w:r>
      <w:r>
        <w:rPr>
          <w:spacing w:val="-29"/>
          <w:highlight w:val="none"/>
        </w:rPr>
        <w:t>，</w:t>
      </w:r>
      <w:r>
        <w:rPr>
          <w:highlight w:val="none"/>
        </w:rPr>
        <w:t>并及时填写维修报</w:t>
      </w:r>
      <w:r>
        <w:rPr>
          <w:spacing w:val="-29"/>
          <w:highlight w:val="none"/>
        </w:rPr>
        <w:t>告</w:t>
      </w:r>
      <w:r>
        <w:rPr>
          <w:highlight w:val="none"/>
        </w:rPr>
        <w:t>（包括故障原因</w:t>
      </w:r>
      <w:r>
        <w:rPr>
          <w:spacing w:val="-70"/>
          <w:highlight w:val="none"/>
        </w:rPr>
        <w:t>、</w:t>
      </w:r>
      <w:r>
        <w:rPr>
          <w:highlight w:val="none"/>
        </w:rPr>
        <w:t>处理情况及甲方意见等</w:t>
      </w:r>
      <w:r>
        <w:rPr>
          <w:spacing w:val="-72"/>
          <w:highlight w:val="none"/>
        </w:rPr>
        <w:t>）</w:t>
      </w:r>
      <w:r>
        <w:rPr>
          <w:highlight w:val="none"/>
        </w:rPr>
        <w:t>报甲方备案</w:t>
      </w:r>
      <w:r>
        <w:rPr>
          <w:spacing w:val="-68"/>
          <w:highlight w:val="none"/>
        </w:rPr>
        <w:t>，</w:t>
      </w:r>
      <w:r>
        <w:rPr>
          <w:highlight w:val="none"/>
        </w:rPr>
        <w:t>若</w:t>
      </w:r>
      <w:r>
        <w:rPr>
          <w:highlight w:val="none"/>
          <w:u w:val="single"/>
        </w:rPr>
        <w:tab/>
      </w:r>
      <w:r>
        <w:rPr>
          <w:highlight w:val="none"/>
          <w:u w:val="single"/>
        </w:rPr>
        <w:tab/>
      </w:r>
      <w:r>
        <w:rPr>
          <w:highlight w:val="none"/>
        </w:rPr>
        <w:t>小时内无法排除故障，则应先提供同档次备用机供甲方使用</w:t>
      </w:r>
      <w:r>
        <w:rPr>
          <w:spacing w:val="-46"/>
          <w:highlight w:val="none"/>
        </w:rPr>
        <w:t>。</w:t>
      </w:r>
      <w:r>
        <w:rPr>
          <w:highlight w:val="none"/>
        </w:rPr>
        <w:t>其中发生一切费用由乙方承担</w:t>
      </w:r>
      <w:r>
        <w:rPr>
          <w:spacing w:val="-44"/>
          <w:highlight w:val="none"/>
        </w:rPr>
        <w:t>。</w:t>
      </w:r>
      <w:r>
        <w:rPr>
          <w:highlight w:val="none"/>
        </w:rPr>
        <w:t>质量保证期内乙方有责任对设备进行不定期的巡查检修</w:t>
      </w:r>
      <w:r>
        <w:rPr>
          <w:spacing w:val="-89"/>
          <w:highlight w:val="none"/>
        </w:rPr>
        <w:t>。</w:t>
      </w:r>
      <w:r>
        <w:rPr>
          <w:highlight w:val="none"/>
        </w:rPr>
        <w:t>投标人视自身能力在投标文件中提供更优、更合理的维修服务承诺。</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8、违约责任</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8.1 未按期交货的违约责任：</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9、违约终止合同</w:t>
      </w:r>
    </w:p>
    <w:p>
      <w:pPr>
        <w:pStyle w:val="18"/>
        <w:keepNext w:val="0"/>
        <w:keepLines w:val="0"/>
        <w:pageBreakBefore w:val="0"/>
        <w:widowControl w:val="0"/>
        <w:numPr>
          <w:ilvl w:val="1"/>
          <w:numId w:val="4"/>
        </w:numPr>
        <w:tabs>
          <w:tab w:val="left" w:pos="1018"/>
        </w:tabs>
        <w:kinsoku/>
        <w:wordWrap/>
        <w:overflowPunct/>
        <w:topLinePunct w:val="0"/>
        <w:autoSpaceDE w:val="0"/>
        <w:autoSpaceDN w:val="0"/>
        <w:bidi w:val="0"/>
        <w:adjustRightInd/>
        <w:snapToGrid/>
        <w:spacing w:before="0" w:after="0" w:line="400" w:lineRule="exact"/>
        <w:ind w:left="0" w:right="0" w:firstLine="480"/>
        <w:jc w:val="both"/>
        <w:textAlignment w:val="auto"/>
        <w:rPr>
          <w:sz w:val="24"/>
          <w:highlight w:val="none"/>
        </w:rPr>
      </w:pPr>
      <w:r>
        <w:rPr>
          <w:spacing w:val="-2"/>
          <w:sz w:val="24"/>
          <w:highlight w:val="none"/>
        </w:rPr>
        <w:t>在补救违约而采取的任何其他措施未能实现的情况下，即在甲方发出的</w:t>
      </w:r>
      <w:r>
        <w:rPr>
          <w:spacing w:val="-12"/>
          <w:sz w:val="24"/>
          <w:highlight w:val="none"/>
        </w:rPr>
        <w:t xml:space="preserve">违约通知后 </w:t>
      </w:r>
      <w:r>
        <w:rPr>
          <w:sz w:val="24"/>
          <w:highlight w:val="none"/>
        </w:rPr>
        <w:t>30</w:t>
      </w:r>
      <w:r>
        <w:rPr>
          <w:spacing w:val="-20"/>
          <w:sz w:val="24"/>
          <w:highlight w:val="none"/>
        </w:rPr>
        <w:t xml:space="preserve"> 天内</w:t>
      </w:r>
      <w:r>
        <w:rPr>
          <w:sz w:val="24"/>
          <w:highlight w:val="none"/>
        </w:rPr>
        <w:t>（或经甲方书面确认的更长时间内）仍未纠正其下述任何一种违约行为，甲方有权向乙方发出书面违约通知，甲方终止本合同：</w:t>
      </w:r>
    </w:p>
    <w:p>
      <w:pPr>
        <w:pStyle w:val="18"/>
        <w:keepNext w:val="0"/>
        <w:keepLines w:val="0"/>
        <w:pageBreakBefore w:val="0"/>
        <w:widowControl w:val="0"/>
        <w:numPr>
          <w:ilvl w:val="0"/>
          <w:numId w:val="0"/>
        </w:numPr>
        <w:tabs>
          <w:tab w:val="left" w:pos="1229"/>
        </w:tabs>
        <w:kinsoku/>
        <w:wordWrap/>
        <w:overflowPunct/>
        <w:topLinePunct w:val="0"/>
        <w:autoSpaceDE w:val="0"/>
        <w:autoSpaceDN w:val="0"/>
        <w:bidi w:val="0"/>
        <w:adjustRightInd/>
        <w:snapToGrid/>
        <w:spacing w:before="0" w:after="0" w:line="400" w:lineRule="exact"/>
        <w:ind w:left="480" w:leftChars="0" w:right="0" w:rightChars="0"/>
        <w:jc w:val="both"/>
        <w:textAlignment w:val="auto"/>
        <w:rPr>
          <w:sz w:val="24"/>
          <w:highlight w:val="none"/>
        </w:rPr>
      </w:pPr>
      <w:r>
        <w:rPr>
          <w:rFonts w:hint="eastAsia"/>
          <w:sz w:val="24"/>
          <w:highlight w:val="none"/>
          <w:lang w:val="en-US" w:eastAsia="zh-CN"/>
        </w:rPr>
        <w:t>9.1.1</w:t>
      </w:r>
      <w:r>
        <w:rPr>
          <w:sz w:val="24"/>
          <w:highlight w:val="none"/>
        </w:rPr>
        <w:t>如果乙方未能在合同规定的期限内或双方另行确定的延期交货时间内交付合同约定的货物。</w:t>
      </w:r>
    </w:p>
    <w:p>
      <w:pPr>
        <w:pStyle w:val="18"/>
        <w:keepNext w:val="0"/>
        <w:keepLines w:val="0"/>
        <w:pageBreakBefore w:val="0"/>
        <w:widowControl w:val="0"/>
        <w:numPr>
          <w:ilvl w:val="0"/>
          <w:numId w:val="0"/>
        </w:numPr>
        <w:tabs>
          <w:tab w:val="left" w:pos="1229"/>
        </w:tabs>
        <w:kinsoku/>
        <w:wordWrap/>
        <w:overflowPunct/>
        <w:topLinePunct w:val="0"/>
        <w:autoSpaceDE w:val="0"/>
        <w:autoSpaceDN w:val="0"/>
        <w:bidi w:val="0"/>
        <w:adjustRightInd/>
        <w:snapToGrid/>
        <w:spacing w:before="0" w:after="0" w:line="400" w:lineRule="exact"/>
        <w:ind w:left="480" w:leftChars="0" w:right="0" w:rightChars="0"/>
        <w:jc w:val="both"/>
        <w:textAlignment w:val="auto"/>
        <w:rPr>
          <w:sz w:val="24"/>
          <w:highlight w:val="none"/>
        </w:rPr>
      </w:pPr>
      <w:r>
        <w:rPr>
          <w:rFonts w:hint="eastAsia"/>
          <w:sz w:val="24"/>
          <w:highlight w:val="none"/>
          <w:lang w:val="en-US" w:eastAsia="zh-CN"/>
        </w:rPr>
        <w:t>9.1.2</w:t>
      </w:r>
      <w:r>
        <w:rPr>
          <w:sz w:val="24"/>
          <w:highlight w:val="none"/>
        </w:rPr>
        <w:t>乙方未能履行合同项下的任何其他义务。</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10、不可抗力</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spacing w:val="-9"/>
          <w:highlight w:val="none"/>
        </w:rPr>
        <w:t>因不可抗力造成违约的，遭受不可抗力一方应及时向对方通报不能履行或不能完</w:t>
      </w:r>
      <w:r>
        <w:rPr>
          <w:spacing w:val="-12"/>
          <w:highlight w:val="none"/>
        </w:rPr>
        <w:t xml:space="preserve">全履行的理由，并在随后取得有关主管机关证明后的 </w:t>
      </w:r>
      <w:r>
        <w:rPr>
          <w:highlight w:val="none"/>
        </w:rPr>
        <w:t>15</w:t>
      </w:r>
      <w:r>
        <w:rPr>
          <w:spacing w:val="-8"/>
          <w:highlight w:val="none"/>
        </w:rPr>
        <w:t xml:space="preserve"> 日内向另一方提供不可</w:t>
      </w:r>
      <w:r>
        <w:rPr>
          <w:spacing w:val="-5"/>
          <w:highlight w:val="none"/>
        </w:rPr>
        <w:t>抗力发生以及持续期间的充分证据。基于以上行为，允许遭受不可抗力一方延期履行、部分履行或者不履行合同，并根据情况可部分或全部免于承担违约责任。</w:t>
      </w:r>
      <w:r>
        <w:rPr>
          <w:spacing w:val="-10"/>
          <w:highlight w:val="none"/>
        </w:rPr>
        <w:t>本合同中的不可抗力指不能预见、不能避免并不能克服的客观情况。包括但不限</w:t>
      </w:r>
      <w:r>
        <w:rPr>
          <w:spacing w:val="-11"/>
          <w:highlight w:val="none"/>
        </w:rPr>
        <w:t>于：自然灾害如地震、台风、洪水、火灾；政府行为、法律规定或其适用的变化或者其他任何无法预见、避免或者控制的事件。</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11</w:t>
      </w:r>
      <w:r>
        <w:rPr>
          <w:spacing w:val="-10"/>
          <w:highlight w:val="none"/>
        </w:rPr>
        <w:t>、合同纠纷处理方式：因本合同或与本合同有关的一切事项发生争议，由双方友好协商解决。协商不成的，任何一方均可选择以下任一方式解决：</w:t>
      </w:r>
    </w:p>
    <w:p>
      <w:pPr>
        <w:pStyle w:val="9"/>
        <w:keepNext w:val="0"/>
        <w:keepLines w:val="0"/>
        <w:pageBreakBefore w:val="0"/>
        <w:widowControl w:val="0"/>
        <w:tabs>
          <w:tab w:val="left" w:pos="597"/>
          <w:tab w:val="left" w:pos="1917"/>
        </w:tabs>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w:t>
      </w:r>
      <w:r>
        <w:rPr>
          <w:highlight w:val="none"/>
        </w:rPr>
        <w:tab/>
      </w:r>
      <w:r>
        <w:rPr>
          <w:highlight w:val="none"/>
        </w:rPr>
        <w:t>）向</w:t>
      </w:r>
      <w:r>
        <w:rPr>
          <w:highlight w:val="none"/>
          <w:u w:val="single"/>
        </w:rPr>
        <w:tab/>
      </w:r>
      <w:r>
        <w:rPr>
          <w:highlight w:val="none"/>
        </w:rPr>
        <w:t>（甲方所在地）仲裁委员会申请仲裁；</w:t>
      </w:r>
    </w:p>
    <w:p>
      <w:pPr>
        <w:pStyle w:val="9"/>
        <w:keepNext w:val="0"/>
        <w:keepLines w:val="0"/>
        <w:pageBreakBefore w:val="0"/>
        <w:widowControl w:val="0"/>
        <w:tabs>
          <w:tab w:val="left" w:pos="597"/>
        </w:tabs>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w:t>
      </w:r>
      <w:r>
        <w:rPr>
          <w:highlight w:val="none"/>
        </w:rPr>
        <w:tab/>
      </w:r>
      <w:r>
        <w:rPr>
          <w:highlight w:val="none"/>
        </w:rPr>
        <w:t>）向有管辖权的人民法院提起诉讼。</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12、其他约定</w:t>
      </w:r>
    </w:p>
    <w:p>
      <w:pPr>
        <w:pStyle w:val="18"/>
        <w:keepNext w:val="0"/>
        <w:keepLines w:val="0"/>
        <w:pageBreakBefore w:val="0"/>
        <w:widowControl w:val="0"/>
        <w:numPr>
          <w:ilvl w:val="0"/>
          <w:numId w:val="0"/>
        </w:numPr>
        <w:tabs>
          <w:tab w:val="left" w:pos="65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z w:val="24"/>
          <w:highlight w:val="none"/>
          <w:lang w:val="en-US" w:eastAsia="zh-CN"/>
        </w:rPr>
        <w:t>12.1</w:t>
      </w:r>
      <w:r>
        <w:rPr>
          <w:sz w:val="24"/>
          <w:highlight w:val="none"/>
        </w:rPr>
        <w:t>本采购项目的招标文件、中标人的投标文件以及相关的澄清确认函（如果有的话）均为本合同不可分割的一部分，与本合同具有同等法律效力。</w:t>
      </w:r>
    </w:p>
    <w:p>
      <w:pPr>
        <w:pStyle w:val="18"/>
        <w:keepNext w:val="0"/>
        <w:keepLines w:val="0"/>
        <w:pageBreakBefore w:val="0"/>
        <w:widowControl w:val="0"/>
        <w:numPr>
          <w:ilvl w:val="0"/>
          <w:numId w:val="0"/>
        </w:numPr>
        <w:tabs>
          <w:tab w:val="left" w:pos="1258"/>
        </w:tabs>
        <w:kinsoku/>
        <w:wordWrap/>
        <w:overflowPunct/>
        <w:topLinePunct w:val="0"/>
        <w:autoSpaceDE w:val="0"/>
        <w:autoSpaceDN w:val="0"/>
        <w:bidi w:val="0"/>
        <w:adjustRightInd/>
        <w:snapToGrid/>
        <w:spacing w:before="0" w:after="0" w:line="400" w:lineRule="exact"/>
        <w:ind w:right="0" w:rightChars="0"/>
        <w:jc w:val="both"/>
        <w:textAlignment w:val="auto"/>
        <w:rPr>
          <w:sz w:val="24"/>
          <w:highlight w:val="none"/>
        </w:rPr>
      </w:pPr>
      <w:r>
        <w:rPr>
          <w:rFonts w:hint="eastAsia"/>
          <w:sz w:val="24"/>
          <w:highlight w:val="none"/>
          <w:lang w:val="en-US" w:eastAsia="zh-CN"/>
        </w:rPr>
        <w:t>12.2</w:t>
      </w:r>
      <w:r>
        <w:rPr>
          <w:sz w:val="24"/>
          <w:highlight w:val="none"/>
        </w:rPr>
        <w:t>本合同未尽事宜，双方另行补充。</w:t>
      </w:r>
    </w:p>
    <w:p>
      <w:pPr>
        <w:pStyle w:val="18"/>
        <w:keepNext w:val="0"/>
        <w:keepLines w:val="0"/>
        <w:pageBreakBefore w:val="0"/>
        <w:widowControl w:val="0"/>
        <w:numPr>
          <w:ilvl w:val="0"/>
          <w:numId w:val="0"/>
        </w:numPr>
        <w:tabs>
          <w:tab w:val="left" w:pos="1258"/>
        </w:tabs>
        <w:kinsoku/>
        <w:wordWrap/>
        <w:overflowPunct/>
        <w:topLinePunct w:val="0"/>
        <w:autoSpaceDE w:val="0"/>
        <w:autoSpaceDN w:val="0"/>
        <w:bidi w:val="0"/>
        <w:adjustRightInd/>
        <w:snapToGrid/>
        <w:spacing w:before="0" w:after="0" w:line="400" w:lineRule="exact"/>
        <w:ind w:right="0" w:rightChars="0"/>
        <w:jc w:val="both"/>
        <w:textAlignment w:val="auto"/>
        <w:rPr>
          <w:sz w:val="24"/>
          <w:highlight w:val="none"/>
        </w:rPr>
      </w:pPr>
      <w:r>
        <w:rPr>
          <w:rFonts w:hint="eastAsia"/>
          <w:spacing w:val="-4"/>
          <w:sz w:val="24"/>
          <w:highlight w:val="none"/>
          <w:lang w:val="en-US" w:eastAsia="zh-CN"/>
        </w:rPr>
        <w:t>12.3</w:t>
      </w:r>
      <w:r>
        <w:rPr>
          <w:spacing w:val="-4"/>
          <w:sz w:val="24"/>
          <w:highlight w:val="none"/>
        </w:rPr>
        <w:t>本合同一式三份，经双方授权代表签字并加盖公章后生效。甲方、乙方各执一份，送招标代理机构各备案一份，具有同等效力。</w:t>
      </w:r>
    </w:p>
    <w:p>
      <w:pPr>
        <w:pStyle w:val="18"/>
        <w:keepNext w:val="0"/>
        <w:keepLines w:val="0"/>
        <w:pageBreakBefore w:val="0"/>
        <w:widowControl w:val="0"/>
        <w:numPr>
          <w:ilvl w:val="0"/>
          <w:numId w:val="0"/>
        </w:numPr>
        <w:tabs>
          <w:tab w:val="left" w:pos="658"/>
        </w:tabs>
        <w:kinsoku/>
        <w:wordWrap/>
        <w:overflowPunct/>
        <w:topLinePunct w:val="0"/>
        <w:autoSpaceDE w:val="0"/>
        <w:autoSpaceDN w:val="0"/>
        <w:bidi w:val="0"/>
        <w:adjustRightInd/>
        <w:snapToGrid/>
        <w:spacing w:before="0" w:after="0" w:line="400" w:lineRule="exact"/>
        <w:ind w:leftChars="0" w:right="0" w:rightChars="0"/>
        <w:jc w:val="both"/>
        <w:textAlignment w:val="auto"/>
        <w:rPr>
          <w:sz w:val="24"/>
          <w:highlight w:val="none"/>
        </w:rPr>
      </w:pPr>
      <w:r>
        <w:rPr>
          <w:rFonts w:hint="eastAsia"/>
          <w:spacing w:val="-5"/>
          <w:sz w:val="24"/>
          <w:highlight w:val="none"/>
          <w:lang w:val="en-US" w:eastAsia="zh-CN"/>
        </w:rPr>
        <w:t>12.4</w:t>
      </w:r>
      <w:r>
        <w:rPr>
          <w:spacing w:val="-5"/>
          <w:sz w:val="24"/>
          <w:highlight w:val="none"/>
        </w:rPr>
        <w:t xml:space="preserve">甲方应当自合同签订之日起 </w:t>
      </w:r>
      <w:r>
        <w:rPr>
          <w:sz w:val="24"/>
          <w:highlight w:val="none"/>
        </w:rPr>
        <w:t>2</w:t>
      </w:r>
      <w:r>
        <w:rPr>
          <w:spacing w:val="-8"/>
          <w:sz w:val="24"/>
          <w:highlight w:val="none"/>
        </w:rPr>
        <w:t xml:space="preserve"> 个工作日内，将合同在贵州省政府采购网上公告，但合同中涉及国家秘密、商业秘密的内容除外。</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sz w:val="35"/>
          <w:highlight w:val="none"/>
        </w:rPr>
      </w:pPr>
    </w:p>
    <w:p>
      <w:pPr>
        <w:pStyle w:val="9"/>
        <w:keepNext w:val="0"/>
        <w:keepLines w:val="0"/>
        <w:pageBreakBefore w:val="0"/>
        <w:widowControl w:val="0"/>
        <w:tabs>
          <w:tab w:val="left" w:pos="837"/>
          <w:tab w:val="left" w:pos="4677"/>
          <w:tab w:val="left" w:pos="5397"/>
        </w:tabs>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甲</w:t>
      </w:r>
      <w:r>
        <w:rPr>
          <w:highlight w:val="none"/>
        </w:rPr>
        <w:tab/>
      </w:r>
      <w:r>
        <w:rPr>
          <w:highlight w:val="none"/>
        </w:rPr>
        <w:t>方：</w:t>
      </w:r>
      <w:r>
        <w:rPr>
          <w:highlight w:val="none"/>
        </w:rPr>
        <w:tab/>
      </w:r>
      <w:r>
        <w:rPr>
          <w:highlight w:val="none"/>
        </w:rPr>
        <w:t>乙</w:t>
      </w:r>
      <w:r>
        <w:rPr>
          <w:highlight w:val="none"/>
        </w:rPr>
        <w:tab/>
      </w:r>
      <w:r>
        <w:rPr>
          <w:highlight w:val="none"/>
        </w:rPr>
        <w:t>方：</w:t>
      </w:r>
    </w:p>
    <w:p>
      <w:pPr>
        <w:pStyle w:val="9"/>
        <w:keepNext w:val="0"/>
        <w:keepLines w:val="0"/>
        <w:pageBreakBefore w:val="0"/>
        <w:widowControl w:val="0"/>
        <w:tabs>
          <w:tab w:val="left" w:pos="4677"/>
        </w:tabs>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单位地址：</w:t>
      </w:r>
      <w:r>
        <w:rPr>
          <w:highlight w:val="none"/>
        </w:rPr>
        <w:tab/>
      </w:r>
      <w:r>
        <w:rPr>
          <w:highlight w:val="none"/>
        </w:rPr>
        <w:t>单位地址：</w:t>
      </w:r>
    </w:p>
    <w:p>
      <w:pPr>
        <w:pStyle w:val="9"/>
        <w:keepNext w:val="0"/>
        <w:keepLines w:val="0"/>
        <w:pageBreakBefore w:val="0"/>
        <w:widowControl w:val="0"/>
        <w:tabs>
          <w:tab w:val="left" w:pos="4677"/>
        </w:tabs>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法定代表人：</w:t>
      </w:r>
      <w:r>
        <w:rPr>
          <w:highlight w:val="none"/>
        </w:rPr>
        <w:tab/>
      </w:r>
      <w:r>
        <w:rPr>
          <w:highlight w:val="none"/>
        </w:rPr>
        <w:t>法定代表人：</w:t>
      </w:r>
    </w:p>
    <w:p>
      <w:pPr>
        <w:pStyle w:val="9"/>
        <w:keepNext w:val="0"/>
        <w:keepLines w:val="0"/>
        <w:pageBreakBefore w:val="0"/>
        <w:widowControl w:val="0"/>
        <w:tabs>
          <w:tab w:val="left" w:pos="4677"/>
        </w:tabs>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委托代理人：</w:t>
      </w:r>
      <w:r>
        <w:rPr>
          <w:highlight w:val="none"/>
        </w:rPr>
        <w:tab/>
      </w:r>
      <w:r>
        <w:rPr>
          <w:highlight w:val="none"/>
        </w:rPr>
        <w:t>委托代理人：</w:t>
      </w:r>
    </w:p>
    <w:p>
      <w:pPr>
        <w:pStyle w:val="9"/>
        <w:keepNext w:val="0"/>
        <w:keepLines w:val="0"/>
        <w:pageBreakBefore w:val="0"/>
        <w:widowControl w:val="0"/>
        <w:tabs>
          <w:tab w:val="left" w:pos="837"/>
          <w:tab w:val="left" w:pos="4631"/>
          <w:tab w:val="left" w:pos="5351"/>
        </w:tabs>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电</w:t>
      </w:r>
      <w:r>
        <w:rPr>
          <w:highlight w:val="none"/>
        </w:rPr>
        <w:tab/>
      </w:r>
      <w:r>
        <w:rPr>
          <w:highlight w:val="none"/>
        </w:rPr>
        <w:t>话：</w:t>
      </w:r>
      <w:r>
        <w:rPr>
          <w:highlight w:val="none"/>
        </w:rPr>
        <w:tab/>
      </w:r>
      <w:r>
        <w:rPr>
          <w:highlight w:val="none"/>
        </w:rPr>
        <w:t>电</w:t>
      </w:r>
      <w:r>
        <w:rPr>
          <w:highlight w:val="none"/>
        </w:rPr>
        <w:tab/>
      </w:r>
      <w:r>
        <w:rPr>
          <w:highlight w:val="none"/>
        </w:rPr>
        <w:t>话：</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sz w:val="19"/>
          <w:highlight w:val="none"/>
        </w:rPr>
      </w:pPr>
    </w:p>
    <w:p>
      <w:pPr>
        <w:pStyle w:val="9"/>
        <w:keepNext w:val="0"/>
        <w:keepLines w:val="0"/>
        <w:pageBreakBefore w:val="0"/>
        <w:widowControl w:val="0"/>
        <w:tabs>
          <w:tab w:val="left" w:pos="4677"/>
        </w:tabs>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开户银行：</w:t>
      </w:r>
      <w:r>
        <w:rPr>
          <w:highlight w:val="none"/>
        </w:rPr>
        <w:tab/>
      </w:r>
      <w:r>
        <w:rPr>
          <w:highlight w:val="none"/>
        </w:rPr>
        <w:t>开户银行：</w:t>
      </w:r>
    </w:p>
    <w:p>
      <w:pPr>
        <w:pStyle w:val="9"/>
        <w:keepNext w:val="0"/>
        <w:keepLines w:val="0"/>
        <w:pageBreakBefore w:val="0"/>
        <w:widowControl w:val="0"/>
        <w:tabs>
          <w:tab w:val="left" w:pos="837"/>
          <w:tab w:val="left" w:pos="4677"/>
          <w:tab w:val="left" w:pos="5397"/>
        </w:tabs>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账</w:t>
      </w:r>
      <w:r>
        <w:rPr>
          <w:highlight w:val="none"/>
        </w:rPr>
        <w:tab/>
      </w:r>
      <w:r>
        <w:rPr>
          <w:highlight w:val="none"/>
        </w:rPr>
        <w:t>号：</w:t>
      </w:r>
      <w:r>
        <w:rPr>
          <w:highlight w:val="none"/>
        </w:rPr>
        <w:tab/>
      </w:r>
      <w:r>
        <w:rPr>
          <w:highlight w:val="none"/>
        </w:rPr>
        <w:t>账</w:t>
      </w:r>
      <w:r>
        <w:rPr>
          <w:highlight w:val="none"/>
        </w:rPr>
        <w:tab/>
      </w:r>
      <w:r>
        <w:rPr>
          <w:highlight w:val="none"/>
        </w:rPr>
        <w:t>号：</w:t>
      </w: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sectPr>
          <w:footerReference r:id="rId7" w:type="default"/>
          <w:pgSz w:w="11910" w:h="16840"/>
          <w:pgMar w:top="1480" w:right="1600" w:bottom="880" w:left="1680" w:header="0" w:footer="686" w:gutter="0"/>
          <w:pgBorders>
            <w:top w:val="none" w:sz="0" w:space="0"/>
            <w:left w:val="none" w:sz="0" w:space="0"/>
            <w:bottom w:val="none" w:sz="0" w:space="0"/>
            <w:right w:val="none" w:sz="0" w:space="0"/>
          </w:pgBorders>
          <w:pgNumType w:fmt="decimal"/>
        </w:sect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18"/>
          <w:highlight w:val="none"/>
        </w:rPr>
      </w:pPr>
    </w:p>
    <w:p>
      <w:pPr>
        <w:pStyle w:val="8"/>
        <w:keepNext w:val="0"/>
        <w:keepLines w:val="0"/>
        <w:pageBreakBefore w:val="0"/>
        <w:widowControl w:val="0"/>
        <w:tabs>
          <w:tab w:val="left" w:pos="3359"/>
        </w:tabs>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合同附件：</w:t>
      </w:r>
      <w:r>
        <w:rPr>
          <w:highlight w:val="none"/>
        </w:rPr>
        <w:tab/>
      </w:r>
      <w:r>
        <w:rPr>
          <w:w w:val="95"/>
          <w:highlight w:val="none"/>
        </w:rPr>
        <w:t>售后服务承诺</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19"/>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both"/>
        <w:textAlignment w:val="auto"/>
        <w:rPr>
          <w:b/>
          <w:sz w:val="24"/>
          <w:highlight w:val="none"/>
        </w:rPr>
      </w:pPr>
      <w:r>
        <w:rPr>
          <w:b/>
          <w:w w:val="95"/>
          <w:sz w:val="24"/>
          <w:highlight w:val="none"/>
        </w:rPr>
        <w:t>一、售后服务承诺</w:t>
      </w:r>
    </w:p>
    <w:p>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left="0" w:right="0"/>
        <w:jc w:val="both"/>
        <w:textAlignment w:val="auto"/>
        <w:rPr>
          <w:highlight w:val="none"/>
        </w:rPr>
      </w:pPr>
      <w:r>
        <w:rPr>
          <w:highlight w:val="none"/>
        </w:rPr>
        <w:t>1</w:t>
      </w:r>
      <w:r>
        <w:rPr>
          <w:spacing w:val="-9"/>
          <w:highlight w:val="none"/>
        </w:rPr>
        <w:t>、质量保证：我司对本次所投标的产品均为厂家原厂原包装，符合国家质量管理体</w:t>
      </w:r>
      <w:r>
        <w:rPr>
          <w:spacing w:val="-7"/>
          <w:highlight w:val="none"/>
        </w:rPr>
        <w:t>系，通过国家检测机构检测，并提供产品相关资料</w:t>
      </w:r>
      <w:r>
        <w:rPr>
          <w:highlight w:val="none"/>
        </w:rPr>
        <w:t>（</w:t>
      </w:r>
      <w:r>
        <w:rPr>
          <w:spacing w:val="-4"/>
          <w:highlight w:val="none"/>
        </w:rPr>
        <w:t>包含说明书，产品装箱单、合格证及保修凭证等）。</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2、供货安装时间：货到</w:t>
      </w:r>
      <w:r>
        <w:rPr>
          <w:highlight w:val="none"/>
          <w:u w:val="single"/>
        </w:rPr>
        <w:t xml:space="preserve">   </w:t>
      </w:r>
      <w:r>
        <w:rPr>
          <w:highlight w:val="none"/>
        </w:rPr>
        <w:t>个日历天内，合同约定除外。</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3、培训及验收：</w:t>
      </w:r>
    </w:p>
    <w:p>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left="0" w:right="0" w:firstLine="360"/>
        <w:jc w:val="both"/>
        <w:textAlignment w:val="auto"/>
        <w:rPr>
          <w:rFonts w:hint="eastAsia" w:eastAsia="宋体"/>
          <w:highlight w:val="none"/>
          <w:lang w:eastAsia="zh-CN"/>
        </w:rPr>
      </w:pPr>
      <w:r>
        <w:rPr>
          <w:highlight w:val="none"/>
        </w:rPr>
        <w:t>负责免费送货、安装到采购方指定地点，直至正常</w:t>
      </w:r>
      <w:r>
        <w:rPr>
          <w:rFonts w:hint="eastAsia"/>
          <w:highlight w:val="none"/>
          <w:lang w:val="en-US" w:eastAsia="zh-CN"/>
        </w:rPr>
        <w:t>投入使用</w:t>
      </w:r>
      <w:r>
        <w:rPr>
          <w:highlight w:val="none"/>
        </w:rPr>
        <w:t>及服务合格后办理验收手续</w:t>
      </w:r>
      <w:r>
        <w:rPr>
          <w:rFonts w:hint="eastAsia"/>
          <w:highlight w:val="none"/>
          <w:lang w:eastAsia="zh-CN"/>
        </w:rPr>
        <w:t>。</w:t>
      </w:r>
    </w:p>
    <w:p>
      <w:pPr>
        <w:pStyle w:val="8"/>
        <w:keepNext w:val="0"/>
        <w:keepLines w:val="0"/>
        <w:pageBreakBefore w:val="0"/>
        <w:widowControl w:val="0"/>
        <w:tabs>
          <w:tab w:val="left" w:pos="1051"/>
        </w:tabs>
        <w:kinsoku/>
        <w:wordWrap/>
        <w:overflowPunct/>
        <w:topLinePunct w:val="0"/>
        <w:autoSpaceDE w:val="0"/>
        <w:autoSpaceDN w:val="0"/>
        <w:bidi w:val="0"/>
        <w:adjustRightInd/>
        <w:snapToGrid/>
        <w:spacing w:before="0" w:after="0"/>
        <w:ind w:left="0" w:right="0"/>
        <w:jc w:val="both"/>
        <w:textAlignment w:val="auto"/>
        <w:rPr>
          <w:highlight w:val="none"/>
        </w:rPr>
      </w:pPr>
      <w:r>
        <w:rPr>
          <w:rFonts w:hint="eastAsia"/>
          <w:highlight w:val="none"/>
          <w:lang w:eastAsia="zh-CN"/>
        </w:rPr>
        <w:t>一、</w:t>
      </w:r>
      <w:r>
        <w:rPr>
          <w:w w:val="95"/>
          <w:highlight w:val="none"/>
        </w:rPr>
        <w:t>设备保修：</w:t>
      </w: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both"/>
        <w:textAlignment w:val="auto"/>
        <w:rPr>
          <w:b/>
          <w:sz w:val="24"/>
          <w:highlight w:val="none"/>
        </w:rPr>
      </w:pPr>
      <w:r>
        <w:rPr>
          <w:b/>
          <w:w w:val="95"/>
          <w:sz w:val="24"/>
          <w:highlight w:val="none"/>
        </w:rPr>
        <w:t>（1）、质保期内的售后承诺</w:t>
      </w:r>
    </w:p>
    <w:p>
      <w:pPr>
        <w:keepNext w:val="0"/>
        <w:keepLines w:val="0"/>
        <w:pageBreakBefore w:val="0"/>
        <w:widowControl w:val="0"/>
        <w:kinsoku/>
        <w:wordWrap/>
        <w:overflowPunct/>
        <w:topLinePunct w:val="0"/>
        <w:autoSpaceDE w:val="0"/>
        <w:autoSpaceDN w:val="0"/>
        <w:bidi w:val="0"/>
        <w:adjustRightInd/>
        <w:snapToGrid/>
        <w:spacing w:before="0" w:after="0" w:line="338" w:lineRule="auto"/>
        <w:ind w:left="0" w:right="0" w:firstLine="0"/>
        <w:jc w:val="both"/>
        <w:textAlignment w:val="auto"/>
        <w:rPr>
          <w:sz w:val="24"/>
          <w:highlight w:val="none"/>
        </w:rPr>
      </w:pPr>
      <w:r>
        <w:rPr>
          <w:b/>
          <w:sz w:val="24"/>
          <w:highlight w:val="none"/>
        </w:rPr>
        <w:t>（2）、质保期外的售后承诺</w:t>
      </w:r>
      <w:r>
        <w:rPr>
          <w:sz w:val="24"/>
          <w:highlight w:val="none"/>
        </w:rPr>
        <w:t>以下情况不属保修范围：</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a)人为损坏或不按规定操作造成器件损坏；</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b)环境不符合要求或保养不恰当造成器件损坏、潮解；</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c)维修&amp;响应时间：</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d)售后服务保障：</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e)独立的售后服务体系，提供专业的技术服务；</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f)不定期提醒用户对设备进行专业的保养及维护；</w:t>
      </w:r>
    </w:p>
    <w:p>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left="0" w:right="0"/>
        <w:jc w:val="both"/>
        <w:textAlignment w:val="auto"/>
        <w:rPr>
          <w:highlight w:val="none"/>
        </w:rPr>
      </w:pPr>
      <w:r>
        <w:rPr>
          <w:highlight w:val="none"/>
        </w:rPr>
        <w:t>g)</w:t>
      </w:r>
      <w:r>
        <w:rPr>
          <w:spacing w:val="-5"/>
          <w:highlight w:val="none"/>
        </w:rPr>
        <w:t>客户服务中心的调度会定期对用户进行回访，倾听您的建议及意见，解决您的实际问题，最大程度地满足用户的需求。</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h)服务体系、人员、时间等：</w:t>
      </w:r>
    </w:p>
    <w:p>
      <w:pPr>
        <w:keepNext w:val="0"/>
        <w:keepLines w:val="0"/>
        <w:pageBreakBefore w:val="0"/>
        <w:widowControl w:val="0"/>
        <w:tabs>
          <w:tab w:val="left" w:pos="8214"/>
        </w:tabs>
        <w:kinsoku/>
        <w:wordWrap/>
        <w:overflowPunct/>
        <w:topLinePunct w:val="0"/>
        <w:autoSpaceDE w:val="0"/>
        <w:autoSpaceDN w:val="0"/>
        <w:bidi w:val="0"/>
        <w:adjustRightInd/>
        <w:snapToGrid/>
        <w:spacing w:before="0" w:after="0" w:line="336" w:lineRule="auto"/>
        <w:ind w:left="0" w:right="0" w:firstLine="180"/>
        <w:jc w:val="both"/>
        <w:textAlignment w:val="auto"/>
        <w:rPr>
          <w:sz w:val="24"/>
          <w:highlight w:val="none"/>
        </w:rPr>
      </w:pPr>
      <w:r>
        <w:rPr>
          <w:sz w:val="24"/>
          <w:highlight w:val="none"/>
        </w:rPr>
        <w:t>l)其他服务承诺</w:t>
      </w:r>
      <w:r>
        <w:rPr>
          <w:sz w:val="24"/>
          <w:highlight w:val="none"/>
          <w:u w:val="single"/>
        </w:rPr>
        <w:tab/>
      </w:r>
      <w:r>
        <w:rPr>
          <w:sz w:val="24"/>
          <w:highlight w:val="none"/>
        </w:rPr>
        <w:t>。</w:t>
      </w:r>
    </w:p>
    <w:p>
      <w:pPr>
        <w:keepNext w:val="0"/>
        <w:keepLines w:val="0"/>
        <w:pageBreakBefore w:val="0"/>
        <w:widowControl w:val="0"/>
        <w:tabs>
          <w:tab w:val="left" w:pos="8214"/>
        </w:tabs>
        <w:kinsoku/>
        <w:wordWrap/>
        <w:overflowPunct/>
        <w:topLinePunct w:val="0"/>
        <w:autoSpaceDE w:val="0"/>
        <w:autoSpaceDN w:val="0"/>
        <w:bidi w:val="0"/>
        <w:adjustRightInd/>
        <w:snapToGrid/>
        <w:spacing w:before="0" w:after="0" w:line="336" w:lineRule="auto"/>
        <w:ind w:left="0" w:right="0" w:firstLine="180"/>
        <w:jc w:val="both"/>
        <w:textAlignment w:val="auto"/>
        <w:rPr>
          <w:b/>
          <w:sz w:val="24"/>
          <w:highlight w:val="none"/>
        </w:rPr>
      </w:pPr>
      <w:r>
        <w:rPr>
          <w:b/>
          <w:w w:val="95"/>
          <w:sz w:val="24"/>
          <w:highlight w:val="none"/>
        </w:rPr>
        <w:t>二、服务</w:t>
      </w:r>
    </w:p>
    <w:p>
      <w:pPr>
        <w:pStyle w:val="9"/>
        <w:keepNext w:val="0"/>
        <w:keepLines w:val="0"/>
        <w:pageBreakBefore w:val="0"/>
        <w:widowControl w:val="0"/>
        <w:tabs>
          <w:tab w:val="left" w:pos="4917"/>
          <w:tab w:val="left" w:pos="5637"/>
        </w:tabs>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服务热线：</w:t>
      </w:r>
      <w:r>
        <w:rPr>
          <w:highlight w:val="none"/>
        </w:rPr>
        <w:tab/>
      </w:r>
      <w:r>
        <w:rPr>
          <w:highlight w:val="none"/>
        </w:rPr>
        <w:t>传</w:t>
      </w:r>
      <w:r>
        <w:rPr>
          <w:highlight w:val="none"/>
        </w:rPr>
        <w:tab/>
      </w:r>
      <w:r>
        <w:rPr>
          <w:highlight w:val="none"/>
        </w:rPr>
        <w:t>真：</w:t>
      </w:r>
    </w:p>
    <w:p>
      <w:pPr>
        <w:pStyle w:val="9"/>
        <w:keepNext w:val="0"/>
        <w:keepLines w:val="0"/>
        <w:pageBreakBefore w:val="0"/>
        <w:widowControl w:val="0"/>
        <w:tabs>
          <w:tab w:val="left" w:pos="4917"/>
          <w:tab w:val="left" w:pos="5637"/>
        </w:tabs>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Http://</w:t>
      </w:r>
      <w:r>
        <w:rPr>
          <w:highlight w:val="none"/>
        </w:rPr>
        <w:tab/>
      </w:r>
      <w:r>
        <w:rPr>
          <w:highlight w:val="none"/>
        </w:rPr>
        <w:t>邮</w:t>
      </w:r>
      <w:r>
        <w:rPr>
          <w:highlight w:val="none"/>
        </w:rPr>
        <w:tab/>
      </w:r>
      <w:r>
        <w:rPr>
          <w:highlight w:val="none"/>
        </w:rPr>
        <w:t>箱：</w:t>
      </w: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sectPr>
          <w:pgSz w:w="11910" w:h="16840"/>
          <w:pgMar w:top="1580" w:right="1200" w:bottom="880" w:left="1680" w:header="0" w:footer="686" w:gutter="0"/>
          <w:pgBorders>
            <w:top w:val="none" w:sz="0" w:space="0"/>
            <w:left w:val="none" w:sz="0" w:space="0"/>
            <w:bottom w:val="none" w:sz="0" w:space="0"/>
            <w:right w:val="none" w:sz="0" w:space="0"/>
          </w:pgBorders>
          <w:pgNumType w:fmt="decimal"/>
        </w:sect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18"/>
          <w:highlight w:val="none"/>
        </w:rPr>
      </w:pP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highlight w:val="none"/>
        </w:rPr>
      </w:pPr>
      <w:r>
        <w:rPr>
          <w:w w:val="95"/>
          <w:highlight w:val="none"/>
        </w:rPr>
        <w:t>合同条款</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19"/>
          <w:highlight w:val="none"/>
        </w:rPr>
      </w:pPr>
    </w:p>
    <w:p>
      <w:pPr>
        <w:keepNext w:val="0"/>
        <w:keepLines w:val="0"/>
        <w:pageBreakBefore w:val="0"/>
        <w:widowControl w:val="0"/>
        <w:tabs>
          <w:tab w:val="left" w:pos="1442"/>
        </w:tabs>
        <w:kinsoku/>
        <w:wordWrap/>
        <w:overflowPunct/>
        <w:topLinePunct w:val="0"/>
        <w:autoSpaceDE w:val="0"/>
        <w:autoSpaceDN w:val="0"/>
        <w:bidi w:val="0"/>
        <w:adjustRightInd/>
        <w:snapToGrid/>
        <w:spacing w:before="0" w:after="0"/>
        <w:ind w:left="0" w:right="0" w:firstLine="0"/>
        <w:jc w:val="both"/>
        <w:textAlignment w:val="auto"/>
        <w:rPr>
          <w:b/>
          <w:sz w:val="24"/>
          <w:highlight w:val="none"/>
        </w:rPr>
      </w:pPr>
      <w:r>
        <w:rPr>
          <w:b/>
          <w:sz w:val="24"/>
          <w:highlight w:val="none"/>
        </w:rPr>
        <w:t>1．定义</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1.1 本合同下列术语应解释为：</w:t>
      </w:r>
    </w:p>
    <w:p>
      <w:pPr>
        <w:pStyle w:val="18"/>
        <w:keepNext w:val="0"/>
        <w:keepLines w:val="0"/>
        <w:pageBreakBefore w:val="0"/>
        <w:widowControl w:val="0"/>
        <w:numPr>
          <w:ilvl w:val="0"/>
          <w:numId w:val="0"/>
        </w:numPr>
        <w:tabs>
          <w:tab w:val="left" w:pos="959"/>
        </w:tabs>
        <w:kinsoku/>
        <w:wordWrap/>
        <w:overflowPunct/>
        <w:topLinePunct w:val="0"/>
        <w:autoSpaceDE w:val="0"/>
        <w:autoSpaceDN w:val="0"/>
        <w:bidi w:val="0"/>
        <w:adjustRightInd/>
        <w:snapToGrid/>
        <w:spacing w:before="0" w:after="0" w:line="336" w:lineRule="auto"/>
        <w:ind w:left="240" w:leftChars="0" w:right="0" w:rightChars="0"/>
        <w:jc w:val="both"/>
        <w:textAlignment w:val="auto"/>
        <w:rPr>
          <w:sz w:val="24"/>
          <w:highlight w:val="none"/>
        </w:rPr>
      </w:pPr>
      <w:r>
        <w:rPr>
          <w:rFonts w:hint="eastAsia"/>
          <w:sz w:val="24"/>
          <w:highlight w:val="none"/>
          <w:lang w:val="en-US" w:eastAsia="zh-CN"/>
        </w:rPr>
        <w:t>1.1.1</w:t>
      </w:r>
      <w:r>
        <w:rPr>
          <w:sz w:val="24"/>
          <w:highlight w:val="none"/>
        </w:rPr>
        <w:t>“合同”系指买卖双方自愿签署并达成的、载明双方权利义务的协议，</w:t>
      </w:r>
      <w:r>
        <w:rPr>
          <w:spacing w:val="-9"/>
          <w:sz w:val="24"/>
          <w:highlight w:val="none"/>
        </w:rPr>
        <w:t>包括所有的附件、附录、补充协议、确认书等以及招标文件所提到的构成合同的所有文件。</w:t>
      </w:r>
    </w:p>
    <w:p>
      <w:pPr>
        <w:pStyle w:val="18"/>
        <w:keepNext w:val="0"/>
        <w:keepLines w:val="0"/>
        <w:pageBreakBefore w:val="0"/>
        <w:widowControl w:val="0"/>
        <w:numPr>
          <w:ilvl w:val="0"/>
          <w:numId w:val="0"/>
        </w:numPr>
        <w:tabs>
          <w:tab w:val="left" w:pos="959"/>
        </w:tabs>
        <w:kinsoku/>
        <w:wordWrap/>
        <w:overflowPunct/>
        <w:topLinePunct w:val="0"/>
        <w:autoSpaceDE w:val="0"/>
        <w:autoSpaceDN w:val="0"/>
        <w:bidi w:val="0"/>
        <w:adjustRightInd/>
        <w:snapToGrid/>
        <w:spacing w:before="0" w:after="0" w:line="336" w:lineRule="auto"/>
        <w:ind w:left="240" w:leftChars="0" w:right="0" w:rightChars="0"/>
        <w:jc w:val="both"/>
        <w:textAlignment w:val="auto"/>
        <w:rPr>
          <w:sz w:val="24"/>
          <w:highlight w:val="none"/>
        </w:rPr>
      </w:pPr>
      <w:r>
        <w:rPr>
          <w:rFonts w:hint="eastAsia"/>
          <w:sz w:val="24"/>
          <w:highlight w:val="none"/>
          <w:lang w:val="en-US" w:eastAsia="zh-CN"/>
        </w:rPr>
        <w:t>1.1.2</w:t>
      </w:r>
      <w:r>
        <w:rPr>
          <w:sz w:val="24"/>
          <w:highlight w:val="none"/>
        </w:rPr>
        <w:t>“合同价”系指根据本合同规定卖方在正确地完全履行合同义务后买方应支付给卖方的价款，包括与交货有关的费用（包括但不限于运输费、包装费、保险费）与安装、调试等标准伴随服务的费用。（有特殊约定的除外）</w:t>
      </w:r>
    </w:p>
    <w:p>
      <w:pPr>
        <w:pStyle w:val="18"/>
        <w:keepNext w:val="0"/>
        <w:keepLines w:val="0"/>
        <w:pageBreakBefore w:val="0"/>
        <w:widowControl w:val="0"/>
        <w:numPr>
          <w:ilvl w:val="0"/>
          <w:numId w:val="0"/>
        </w:numPr>
        <w:tabs>
          <w:tab w:val="left" w:pos="959"/>
        </w:tabs>
        <w:kinsoku/>
        <w:wordWrap/>
        <w:overflowPunct/>
        <w:topLinePunct w:val="0"/>
        <w:autoSpaceDE w:val="0"/>
        <w:autoSpaceDN w:val="0"/>
        <w:bidi w:val="0"/>
        <w:adjustRightInd/>
        <w:snapToGrid/>
        <w:spacing w:before="0" w:after="0" w:line="336" w:lineRule="auto"/>
        <w:ind w:left="240" w:leftChars="0" w:right="0" w:rightChars="0"/>
        <w:jc w:val="both"/>
        <w:textAlignment w:val="auto"/>
        <w:rPr>
          <w:sz w:val="24"/>
          <w:highlight w:val="none"/>
        </w:rPr>
      </w:pPr>
      <w:r>
        <w:rPr>
          <w:rFonts w:hint="eastAsia"/>
          <w:spacing w:val="-4"/>
          <w:sz w:val="24"/>
          <w:highlight w:val="none"/>
          <w:lang w:val="en-US" w:eastAsia="zh-CN"/>
        </w:rPr>
        <w:t>1.1.3</w:t>
      </w:r>
      <w:r>
        <w:rPr>
          <w:spacing w:val="-4"/>
          <w:sz w:val="24"/>
          <w:highlight w:val="none"/>
        </w:rPr>
        <w:t>“货物”系指卖方根据合同规定须向买方提供的一切设备、机械和</w:t>
      </w:r>
      <w:r>
        <w:rPr>
          <w:sz w:val="24"/>
          <w:highlight w:val="none"/>
        </w:rPr>
        <w:t>/或其他材料。</w:t>
      </w:r>
    </w:p>
    <w:p>
      <w:pPr>
        <w:pStyle w:val="18"/>
        <w:keepNext w:val="0"/>
        <w:keepLines w:val="0"/>
        <w:pageBreakBefore w:val="0"/>
        <w:widowControl w:val="0"/>
        <w:numPr>
          <w:ilvl w:val="0"/>
          <w:numId w:val="0"/>
        </w:numPr>
        <w:tabs>
          <w:tab w:val="left" w:pos="959"/>
        </w:tabs>
        <w:kinsoku/>
        <w:wordWrap/>
        <w:overflowPunct/>
        <w:topLinePunct w:val="0"/>
        <w:autoSpaceDE w:val="0"/>
        <w:autoSpaceDN w:val="0"/>
        <w:bidi w:val="0"/>
        <w:adjustRightInd/>
        <w:snapToGrid/>
        <w:spacing w:before="0" w:after="0" w:line="336" w:lineRule="auto"/>
        <w:ind w:left="240" w:leftChars="0" w:right="0" w:rightChars="0"/>
        <w:jc w:val="both"/>
        <w:textAlignment w:val="auto"/>
        <w:rPr>
          <w:sz w:val="24"/>
          <w:highlight w:val="none"/>
        </w:rPr>
      </w:pPr>
      <w:r>
        <w:rPr>
          <w:rFonts w:hint="eastAsia"/>
          <w:sz w:val="24"/>
          <w:highlight w:val="none"/>
          <w:lang w:val="en-US" w:eastAsia="zh-CN"/>
        </w:rPr>
        <w:t>1.1.4</w:t>
      </w:r>
      <w:r>
        <w:rPr>
          <w:sz w:val="24"/>
          <w:highlight w:val="none"/>
        </w:rPr>
        <w:t>“服务”系指根据合同规定卖方承担与供货有关的辅助服务，如运输、</w:t>
      </w:r>
      <w:r>
        <w:rPr>
          <w:spacing w:val="-7"/>
          <w:sz w:val="24"/>
          <w:highlight w:val="none"/>
        </w:rPr>
        <w:t>以及其他的伴随服务，例如安装、调试、提供技术援助、培训和合同中规定卖方应承担的其他义务。</w:t>
      </w:r>
    </w:p>
    <w:p>
      <w:pPr>
        <w:pStyle w:val="18"/>
        <w:keepNext w:val="0"/>
        <w:keepLines w:val="0"/>
        <w:pageBreakBefore w:val="0"/>
        <w:widowControl w:val="0"/>
        <w:numPr>
          <w:ilvl w:val="0"/>
          <w:numId w:val="0"/>
        </w:numPr>
        <w:tabs>
          <w:tab w:val="left" w:pos="959"/>
        </w:tabs>
        <w:kinsoku/>
        <w:wordWrap/>
        <w:overflowPunct/>
        <w:topLinePunct w:val="0"/>
        <w:autoSpaceDE w:val="0"/>
        <w:autoSpaceDN w:val="0"/>
        <w:bidi w:val="0"/>
        <w:adjustRightInd/>
        <w:snapToGrid/>
        <w:spacing w:before="0" w:after="0" w:line="240" w:lineRule="auto"/>
        <w:ind w:left="240" w:leftChars="0" w:right="0" w:rightChars="0"/>
        <w:jc w:val="both"/>
        <w:textAlignment w:val="auto"/>
        <w:rPr>
          <w:sz w:val="24"/>
          <w:highlight w:val="none"/>
        </w:rPr>
      </w:pPr>
      <w:r>
        <w:rPr>
          <w:rFonts w:hint="eastAsia"/>
          <w:sz w:val="24"/>
          <w:highlight w:val="none"/>
          <w:lang w:val="en-US" w:eastAsia="zh-CN"/>
        </w:rPr>
        <w:t>1.1.5</w:t>
      </w:r>
      <w:r>
        <w:rPr>
          <w:sz w:val="24"/>
          <w:highlight w:val="none"/>
        </w:rPr>
        <w:t>“合同条款”是指本合同条款。</w:t>
      </w:r>
    </w:p>
    <w:p>
      <w:pPr>
        <w:pStyle w:val="18"/>
        <w:keepNext w:val="0"/>
        <w:keepLines w:val="0"/>
        <w:pageBreakBefore w:val="0"/>
        <w:widowControl w:val="0"/>
        <w:numPr>
          <w:ilvl w:val="0"/>
          <w:numId w:val="0"/>
        </w:numPr>
        <w:tabs>
          <w:tab w:val="left" w:pos="959"/>
        </w:tabs>
        <w:kinsoku/>
        <w:wordWrap/>
        <w:overflowPunct/>
        <w:topLinePunct w:val="0"/>
        <w:autoSpaceDE w:val="0"/>
        <w:autoSpaceDN w:val="0"/>
        <w:bidi w:val="0"/>
        <w:adjustRightInd/>
        <w:snapToGrid/>
        <w:spacing w:before="0" w:after="0" w:line="336" w:lineRule="auto"/>
        <w:ind w:left="240" w:leftChars="0" w:right="0" w:rightChars="0"/>
        <w:jc w:val="both"/>
        <w:textAlignment w:val="auto"/>
        <w:rPr>
          <w:sz w:val="24"/>
          <w:highlight w:val="none"/>
        </w:rPr>
      </w:pPr>
      <w:r>
        <w:rPr>
          <w:rFonts w:hint="eastAsia"/>
          <w:sz w:val="24"/>
          <w:highlight w:val="none"/>
          <w:lang w:val="en-US" w:eastAsia="zh-CN"/>
        </w:rPr>
        <w:t>1.1.6</w:t>
      </w:r>
      <w:r>
        <w:rPr>
          <w:sz w:val="24"/>
          <w:highlight w:val="none"/>
        </w:rPr>
        <w:t>“买方”系指购买货物和服务的国家机关、事业单位、团体组织；“卖方”系指提供本合同项下货物和服务的投标人。</w:t>
      </w:r>
    </w:p>
    <w:p>
      <w:pPr>
        <w:pStyle w:val="18"/>
        <w:keepNext w:val="0"/>
        <w:keepLines w:val="0"/>
        <w:pageBreakBefore w:val="0"/>
        <w:widowControl w:val="0"/>
        <w:numPr>
          <w:ilvl w:val="0"/>
          <w:numId w:val="0"/>
        </w:numPr>
        <w:tabs>
          <w:tab w:val="left" w:pos="959"/>
        </w:tabs>
        <w:kinsoku/>
        <w:wordWrap/>
        <w:overflowPunct/>
        <w:topLinePunct w:val="0"/>
        <w:autoSpaceDE w:val="0"/>
        <w:autoSpaceDN w:val="0"/>
        <w:bidi w:val="0"/>
        <w:adjustRightInd/>
        <w:snapToGrid/>
        <w:spacing w:before="0" w:after="0" w:line="338" w:lineRule="auto"/>
        <w:ind w:left="240" w:leftChars="0" w:right="0" w:rightChars="0"/>
        <w:jc w:val="both"/>
        <w:textAlignment w:val="auto"/>
        <w:rPr>
          <w:sz w:val="24"/>
          <w:highlight w:val="none"/>
        </w:rPr>
      </w:pPr>
      <w:r>
        <w:rPr>
          <w:rFonts w:hint="eastAsia"/>
          <w:sz w:val="24"/>
          <w:highlight w:val="none"/>
          <w:lang w:val="en-US" w:eastAsia="zh-CN"/>
        </w:rPr>
        <w:t>1.1.7</w:t>
      </w:r>
      <w:r>
        <w:rPr>
          <w:sz w:val="24"/>
          <w:highlight w:val="none"/>
        </w:rPr>
        <w:t>“用户指定地点”系指本合同项下卖方指定的货物送达、安装、运行的场所。</w:t>
      </w:r>
    </w:p>
    <w:p>
      <w:pPr>
        <w:pStyle w:val="18"/>
        <w:keepNext w:val="0"/>
        <w:keepLines w:val="0"/>
        <w:pageBreakBefore w:val="0"/>
        <w:widowControl w:val="0"/>
        <w:numPr>
          <w:ilvl w:val="0"/>
          <w:numId w:val="0"/>
        </w:numPr>
        <w:tabs>
          <w:tab w:val="left" w:pos="959"/>
        </w:tabs>
        <w:kinsoku/>
        <w:wordWrap/>
        <w:overflowPunct/>
        <w:topLinePunct w:val="0"/>
        <w:autoSpaceDE w:val="0"/>
        <w:autoSpaceDN w:val="0"/>
        <w:bidi w:val="0"/>
        <w:adjustRightInd/>
        <w:snapToGrid/>
        <w:spacing w:before="0" w:after="0" w:line="240" w:lineRule="auto"/>
        <w:ind w:left="240" w:leftChars="0" w:right="0" w:rightChars="0"/>
        <w:jc w:val="both"/>
        <w:textAlignment w:val="auto"/>
        <w:rPr>
          <w:sz w:val="24"/>
          <w:highlight w:val="none"/>
        </w:rPr>
      </w:pPr>
      <w:r>
        <w:rPr>
          <w:rFonts w:hint="eastAsia"/>
          <w:sz w:val="24"/>
          <w:highlight w:val="none"/>
          <w:lang w:val="en-US" w:eastAsia="zh-CN"/>
        </w:rPr>
        <w:t>1.1.8</w:t>
      </w:r>
      <w:r>
        <w:rPr>
          <w:sz w:val="24"/>
          <w:highlight w:val="none"/>
        </w:rPr>
        <w:t>“天”指日历天数。</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w w:val="95"/>
          <w:highlight w:val="none"/>
        </w:rPr>
        <w:t>2．适用性</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2.1 本合同条款适用于没有被本合同其他部分的条款所取代的范围。</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w w:val="95"/>
          <w:highlight w:val="none"/>
        </w:rPr>
        <w:t>3．原产地</w:t>
      </w:r>
    </w:p>
    <w:p>
      <w:pPr>
        <w:pStyle w:val="18"/>
        <w:keepNext w:val="0"/>
        <w:keepLines w:val="0"/>
        <w:pageBreakBefore w:val="0"/>
        <w:widowControl w:val="0"/>
        <w:numPr>
          <w:ilvl w:val="0"/>
          <w:numId w:val="0"/>
        </w:numPr>
        <w:tabs>
          <w:tab w:val="left" w:pos="838"/>
        </w:tabs>
        <w:kinsoku/>
        <w:wordWrap/>
        <w:overflowPunct/>
        <w:topLinePunct w:val="0"/>
        <w:autoSpaceDE w:val="0"/>
        <w:autoSpaceDN w:val="0"/>
        <w:bidi w:val="0"/>
        <w:adjustRightInd/>
        <w:snapToGrid/>
        <w:spacing w:before="0" w:after="0" w:line="338" w:lineRule="auto"/>
        <w:ind w:left="240" w:leftChars="0" w:right="0" w:rightChars="0" w:firstLine="240" w:firstLineChars="100"/>
        <w:jc w:val="both"/>
        <w:textAlignment w:val="auto"/>
        <w:rPr>
          <w:sz w:val="24"/>
          <w:highlight w:val="none"/>
        </w:rPr>
      </w:pPr>
      <w:r>
        <w:rPr>
          <w:rFonts w:hint="eastAsia"/>
          <w:sz w:val="24"/>
          <w:highlight w:val="none"/>
          <w:lang w:val="en-US" w:eastAsia="zh-CN"/>
        </w:rPr>
        <w:t>3.1</w:t>
      </w:r>
      <w:r>
        <w:rPr>
          <w:sz w:val="24"/>
          <w:highlight w:val="none"/>
        </w:rPr>
        <w:t>本合同项下所提供的货物及服务均应来自于中华人民共和国或与其有正常贸易关系的国家和地区。</w:t>
      </w:r>
    </w:p>
    <w:p>
      <w:pPr>
        <w:pStyle w:val="18"/>
        <w:keepNext w:val="0"/>
        <w:keepLines w:val="0"/>
        <w:pageBreakBefore w:val="0"/>
        <w:widowControl w:val="0"/>
        <w:numPr>
          <w:ilvl w:val="0"/>
          <w:numId w:val="0"/>
        </w:numPr>
        <w:tabs>
          <w:tab w:val="left" w:pos="958"/>
        </w:tabs>
        <w:kinsoku/>
        <w:wordWrap/>
        <w:overflowPunct/>
        <w:topLinePunct w:val="0"/>
        <w:autoSpaceDE w:val="0"/>
        <w:autoSpaceDN w:val="0"/>
        <w:bidi w:val="0"/>
        <w:adjustRightInd/>
        <w:snapToGrid/>
        <w:spacing w:before="0" w:after="0" w:line="336" w:lineRule="auto"/>
        <w:ind w:left="360" w:leftChars="0" w:right="0" w:rightChars="0"/>
        <w:jc w:val="both"/>
        <w:textAlignment w:val="auto"/>
        <w:rPr>
          <w:highlight w:val="none"/>
        </w:rPr>
      </w:pPr>
      <w:r>
        <w:rPr>
          <w:rFonts w:hint="eastAsia"/>
          <w:sz w:val="24"/>
          <w:highlight w:val="none"/>
          <w:lang w:val="en-US" w:eastAsia="zh-CN"/>
        </w:rPr>
        <w:t>3.2</w:t>
      </w:r>
      <w:r>
        <w:rPr>
          <w:sz w:val="24"/>
          <w:highlight w:val="none"/>
        </w:rPr>
        <w:t>本款所述的“原产地”系指货物开采、生长、生产或提供有关服务的来</w:t>
      </w:r>
      <w:r>
        <w:rPr>
          <w:spacing w:val="-16"/>
          <w:sz w:val="24"/>
          <w:highlight w:val="none"/>
        </w:rPr>
        <w:t>源地，且具备合法有效的“原产地”证明或凭证。所述的“货物”是指通过制造、</w:t>
      </w:r>
      <w:r>
        <w:rPr>
          <w:spacing w:val="-5"/>
          <w:highlight w:val="none"/>
        </w:rPr>
        <w:t>加工或用重要的和主要元部件装配而成的，其基本特征、功能或效用应是商业上公认的与元部件有着实质性区别的产品。</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4．标 准</w:t>
      </w:r>
    </w:p>
    <w:p>
      <w:pPr>
        <w:pStyle w:val="18"/>
        <w:keepNext w:val="0"/>
        <w:keepLines w:val="0"/>
        <w:pageBreakBefore w:val="0"/>
        <w:widowControl w:val="0"/>
        <w:numPr>
          <w:ilvl w:val="0"/>
          <w:numId w:val="0"/>
        </w:numPr>
        <w:tabs>
          <w:tab w:val="left" w:pos="838"/>
        </w:tabs>
        <w:kinsoku/>
        <w:wordWrap/>
        <w:overflowPunct/>
        <w:topLinePunct w:val="0"/>
        <w:autoSpaceDE w:val="0"/>
        <w:autoSpaceDN w:val="0"/>
        <w:bidi w:val="0"/>
        <w:adjustRightInd/>
        <w:snapToGrid/>
        <w:spacing w:before="0" w:after="0" w:line="336" w:lineRule="auto"/>
        <w:ind w:left="240" w:leftChars="0" w:right="0" w:rightChars="0"/>
        <w:jc w:val="both"/>
        <w:textAlignment w:val="auto"/>
        <w:rPr>
          <w:sz w:val="24"/>
          <w:highlight w:val="none"/>
        </w:rPr>
      </w:pPr>
      <w:r>
        <w:rPr>
          <w:rFonts w:hint="eastAsia"/>
          <w:spacing w:val="-4"/>
          <w:sz w:val="24"/>
          <w:highlight w:val="none"/>
          <w:lang w:val="en-US" w:eastAsia="zh-CN"/>
        </w:rPr>
        <w:t>4.1</w:t>
      </w:r>
      <w:r>
        <w:rPr>
          <w:spacing w:val="-4"/>
          <w:sz w:val="24"/>
          <w:highlight w:val="none"/>
        </w:rPr>
        <w:t>本合同下交付的货物应符合招标文件所述技术规格的标准。如果没有提及</w:t>
      </w:r>
      <w:r>
        <w:rPr>
          <w:spacing w:val="-9"/>
          <w:sz w:val="24"/>
          <w:highlight w:val="none"/>
        </w:rPr>
        <w:t>适用标准，则应符合中华人民共和国现行国家标准、行业标准或地方标准。这些标准必须是有关机构发布的最新版本的标准。</w:t>
      </w:r>
    </w:p>
    <w:p>
      <w:pPr>
        <w:pStyle w:val="18"/>
        <w:keepNext w:val="0"/>
        <w:keepLines w:val="0"/>
        <w:pageBreakBefore w:val="0"/>
        <w:widowControl w:val="0"/>
        <w:numPr>
          <w:ilvl w:val="0"/>
          <w:numId w:val="0"/>
        </w:numPr>
        <w:tabs>
          <w:tab w:val="left" w:pos="838"/>
        </w:tabs>
        <w:kinsoku/>
        <w:wordWrap/>
        <w:overflowPunct/>
        <w:topLinePunct w:val="0"/>
        <w:autoSpaceDE w:val="0"/>
        <w:autoSpaceDN w:val="0"/>
        <w:bidi w:val="0"/>
        <w:adjustRightInd/>
        <w:snapToGrid/>
        <w:spacing w:before="0" w:after="0" w:line="336" w:lineRule="auto"/>
        <w:ind w:left="240" w:leftChars="0" w:right="0" w:rightChars="0"/>
        <w:jc w:val="both"/>
        <w:textAlignment w:val="auto"/>
        <w:rPr>
          <w:sz w:val="24"/>
          <w:highlight w:val="none"/>
        </w:rPr>
      </w:pPr>
      <w:r>
        <w:rPr>
          <w:rFonts w:hint="eastAsia"/>
          <w:spacing w:val="-6"/>
          <w:sz w:val="24"/>
          <w:highlight w:val="none"/>
          <w:lang w:val="en-US" w:eastAsia="zh-CN"/>
        </w:rPr>
        <w:t>4.2</w:t>
      </w:r>
      <w:r>
        <w:rPr>
          <w:spacing w:val="-6"/>
          <w:sz w:val="24"/>
          <w:highlight w:val="none"/>
        </w:rPr>
        <w:t>除非招标文件内技术规格中另有规定，计量单位均采用中华人民共和国法定计量单位。</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w w:val="95"/>
          <w:highlight w:val="none"/>
        </w:rPr>
        <w:t>5．使用合同文件和资料</w:t>
      </w:r>
    </w:p>
    <w:p>
      <w:pPr>
        <w:pStyle w:val="18"/>
        <w:keepNext w:val="0"/>
        <w:keepLines w:val="0"/>
        <w:pageBreakBefore w:val="0"/>
        <w:widowControl w:val="0"/>
        <w:numPr>
          <w:ilvl w:val="0"/>
          <w:numId w:val="0"/>
        </w:numPr>
        <w:tabs>
          <w:tab w:val="left" w:pos="838"/>
        </w:tabs>
        <w:kinsoku/>
        <w:wordWrap/>
        <w:overflowPunct/>
        <w:topLinePunct w:val="0"/>
        <w:autoSpaceDE w:val="0"/>
        <w:autoSpaceDN w:val="0"/>
        <w:bidi w:val="0"/>
        <w:adjustRightInd/>
        <w:snapToGrid/>
        <w:spacing w:before="0" w:after="0" w:line="400" w:lineRule="exact"/>
        <w:ind w:left="0" w:leftChars="0" w:right="0" w:rightChars="0"/>
        <w:jc w:val="both"/>
        <w:textAlignment w:val="auto"/>
        <w:rPr>
          <w:sz w:val="24"/>
          <w:highlight w:val="none"/>
        </w:rPr>
      </w:pPr>
      <w:r>
        <w:rPr>
          <w:rFonts w:hint="eastAsia"/>
          <w:spacing w:val="-9"/>
          <w:sz w:val="24"/>
          <w:highlight w:val="none"/>
          <w:lang w:val="en-US" w:eastAsia="zh-CN"/>
        </w:rPr>
        <w:t>5.1</w:t>
      </w:r>
      <w:r>
        <w:rPr>
          <w:spacing w:val="-9"/>
          <w:sz w:val="24"/>
          <w:highlight w:val="none"/>
        </w:rPr>
        <w:t>没有买方事先书面同意，卖方不得将由买方或代表买方提供的有关合同或</w:t>
      </w:r>
      <w:r>
        <w:rPr>
          <w:spacing w:val="-13"/>
          <w:sz w:val="24"/>
          <w:highlight w:val="none"/>
        </w:rPr>
        <w:t>任何合同条文、规格、计划、图纸、模型、样品或资料提供给与履行本合同无关</w:t>
      </w:r>
      <w:r>
        <w:rPr>
          <w:spacing w:val="-14"/>
          <w:sz w:val="24"/>
          <w:highlight w:val="none"/>
        </w:rPr>
        <w:t>的任何其他人。即使向与履行本合同有关的人员提供，也应注意保密并限于履行合同必须的范围。</w:t>
      </w:r>
    </w:p>
    <w:p>
      <w:pPr>
        <w:pStyle w:val="18"/>
        <w:keepNext w:val="0"/>
        <w:keepLines w:val="0"/>
        <w:pageBreakBefore w:val="0"/>
        <w:widowControl w:val="0"/>
        <w:numPr>
          <w:ilvl w:val="0"/>
          <w:numId w:val="0"/>
        </w:numPr>
        <w:tabs>
          <w:tab w:val="left" w:pos="838"/>
        </w:tabs>
        <w:kinsoku/>
        <w:wordWrap/>
        <w:overflowPunct/>
        <w:topLinePunct w:val="0"/>
        <w:autoSpaceDE w:val="0"/>
        <w:autoSpaceDN w:val="0"/>
        <w:bidi w:val="0"/>
        <w:adjustRightInd/>
        <w:snapToGrid/>
        <w:spacing w:before="0" w:after="0" w:line="400" w:lineRule="exact"/>
        <w:ind w:left="0" w:leftChars="0" w:right="0" w:rightChars="0"/>
        <w:jc w:val="both"/>
        <w:textAlignment w:val="auto"/>
        <w:rPr>
          <w:highlight w:val="none"/>
        </w:rPr>
      </w:pPr>
      <w:r>
        <w:rPr>
          <w:rFonts w:hint="eastAsia"/>
          <w:spacing w:val="-7"/>
          <w:sz w:val="24"/>
          <w:highlight w:val="none"/>
          <w:lang w:val="en-US" w:eastAsia="zh-CN"/>
        </w:rPr>
        <w:t>5.2</w:t>
      </w:r>
      <w:r>
        <w:rPr>
          <w:spacing w:val="-7"/>
          <w:sz w:val="24"/>
          <w:highlight w:val="none"/>
        </w:rPr>
        <w:t>没有买方事先书面同意，除了履行本合同之外，卖方不应使用合同条款第</w:t>
      </w:r>
      <w:r>
        <w:rPr>
          <w:highlight w:val="none"/>
        </w:rPr>
        <w:t>5.1 条所列举的任何文件和资料。</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240"/>
        <w:jc w:val="both"/>
        <w:textAlignment w:val="auto"/>
        <w:rPr>
          <w:highlight w:val="none"/>
        </w:rPr>
      </w:pPr>
      <w:r>
        <w:rPr>
          <w:highlight w:val="none"/>
        </w:rPr>
        <w:t>5.3</w:t>
      </w:r>
      <w:r>
        <w:rPr>
          <w:spacing w:val="-4"/>
          <w:highlight w:val="none"/>
        </w:rPr>
        <w:t xml:space="preserve"> 除了合同标的物本身以外，合同条款</w:t>
      </w:r>
      <w:r>
        <w:rPr>
          <w:highlight w:val="none"/>
        </w:rPr>
        <w:t>5.1</w:t>
      </w:r>
      <w:r>
        <w:rPr>
          <w:spacing w:val="-8"/>
          <w:highlight w:val="none"/>
        </w:rPr>
        <w:t>条列举的任何文件是买方的财</w:t>
      </w:r>
      <w:r>
        <w:rPr>
          <w:spacing w:val="-9"/>
          <w:highlight w:val="none"/>
        </w:rPr>
        <w:t>产。如果买方有要求，卖方在完成合同后应将这些文件</w:t>
      </w:r>
      <w:r>
        <w:rPr>
          <w:highlight w:val="none"/>
        </w:rPr>
        <w:t>（原件及复制件</w:t>
      </w:r>
      <w:r>
        <w:rPr>
          <w:spacing w:val="-22"/>
          <w:highlight w:val="none"/>
        </w:rPr>
        <w:t>）</w:t>
      </w:r>
      <w:r>
        <w:rPr>
          <w:highlight w:val="none"/>
        </w:rPr>
        <w:t>还给买方。</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w w:val="95"/>
          <w:highlight w:val="none"/>
        </w:rPr>
        <w:t>6．知识产权</w:t>
      </w:r>
    </w:p>
    <w:p>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left="0" w:right="0" w:firstLine="480"/>
        <w:jc w:val="both"/>
        <w:textAlignment w:val="auto"/>
        <w:rPr>
          <w:highlight w:val="none"/>
        </w:rPr>
      </w:pPr>
      <w:r>
        <w:rPr>
          <w:highlight w:val="none"/>
        </w:rPr>
        <w:t>6.1 卖方应保证，买方在中华人民共和国使用该货物或货物的任何一部分时，免受第三方提出的侵犯其专利权、商标权、著作权或其他知识产权的起诉。</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w w:val="95"/>
          <w:highlight w:val="none"/>
        </w:rPr>
        <w:t>7．检验、测试和验收</w:t>
      </w:r>
    </w:p>
    <w:p>
      <w:pPr>
        <w:pStyle w:val="18"/>
        <w:keepNext w:val="0"/>
        <w:keepLines w:val="0"/>
        <w:pageBreakBefore w:val="0"/>
        <w:widowControl w:val="0"/>
        <w:numPr>
          <w:ilvl w:val="0"/>
          <w:numId w:val="0"/>
        </w:numPr>
        <w:tabs>
          <w:tab w:val="left" w:pos="838"/>
        </w:tabs>
        <w:kinsoku/>
        <w:wordWrap/>
        <w:overflowPunct/>
        <w:topLinePunct w:val="0"/>
        <w:autoSpaceDE w:val="0"/>
        <w:autoSpaceDN w:val="0"/>
        <w:bidi w:val="0"/>
        <w:adjustRightInd/>
        <w:snapToGrid/>
        <w:spacing w:before="0" w:after="0" w:line="336" w:lineRule="auto"/>
        <w:ind w:left="240" w:leftChars="0" w:right="0" w:rightChars="0"/>
        <w:jc w:val="both"/>
        <w:textAlignment w:val="auto"/>
        <w:rPr>
          <w:sz w:val="24"/>
          <w:highlight w:val="none"/>
        </w:rPr>
      </w:pPr>
      <w:r>
        <w:rPr>
          <w:rFonts w:hint="eastAsia"/>
          <w:sz w:val="24"/>
          <w:highlight w:val="none"/>
          <w:lang w:val="en-US" w:eastAsia="zh-CN"/>
        </w:rPr>
        <w:t>7.1</w:t>
      </w:r>
      <w:r>
        <w:rPr>
          <w:sz w:val="24"/>
          <w:highlight w:val="none"/>
        </w:rPr>
        <w:t>买方或其代表有权检验/或测试货物，以确认货物是否符合合同货物数量</w:t>
      </w:r>
      <w:r>
        <w:rPr>
          <w:spacing w:val="-8"/>
          <w:sz w:val="24"/>
          <w:highlight w:val="none"/>
        </w:rPr>
        <w:t>及品种的规格要求。检测费用由卖方承担。合同条款和技术规格将说明买方要求</w:t>
      </w:r>
      <w:r>
        <w:rPr>
          <w:spacing w:val="-13"/>
          <w:sz w:val="24"/>
          <w:highlight w:val="none"/>
        </w:rPr>
        <w:t>进行的检验和测试，以及在何处进行这些检验和测试。买方将及时以书面形式把进行检验和/或测试代表的身份通知卖方。</w:t>
      </w:r>
    </w:p>
    <w:p>
      <w:pPr>
        <w:pStyle w:val="18"/>
        <w:keepNext w:val="0"/>
        <w:keepLines w:val="0"/>
        <w:pageBreakBefore w:val="0"/>
        <w:widowControl w:val="0"/>
        <w:numPr>
          <w:ilvl w:val="0"/>
          <w:numId w:val="0"/>
        </w:numPr>
        <w:tabs>
          <w:tab w:val="left" w:pos="1018"/>
        </w:tabs>
        <w:kinsoku/>
        <w:wordWrap/>
        <w:overflowPunct/>
        <w:topLinePunct w:val="0"/>
        <w:autoSpaceDE w:val="0"/>
        <w:autoSpaceDN w:val="0"/>
        <w:bidi w:val="0"/>
        <w:adjustRightInd/>
        <w:snapToGrid/>
        <w:spacing w:before="0" w:after="0" w:line="240" w:lineRule="auto"/>
        <w:ind w:left="-480" w:leftChars="0" w:right="0" w:rightChars="0" w:firstLine="960" w:firstLineChars="400"/>
        <w:jc w:val="both"/>
        <w:textAlignment w:val="auto"/>
        <w:rPr>
          <w:sz w:val="24"/>
          <w:highlight w:val="none"/>
        </w:rPr>
      </w:pPr>
      <w:r>
        <w:rPr>
          <w:rFonts w:hint="eastAsia"/>
          <w:sz w:val="24"/>
          <w:highlight w:val="none"/>
          <w:lang w:val="en-US" w:eastAsia="zh-CN"/>
        </w:rPr>
        <w:t>7.2</w:t>
      </w:r>
      <w:r>
        <w:rPr>
          <w:sz w:val="24"/>
          <w:highlight w:val="none"/>
        </w:rPr>
        <w:t>检验和测试在卖方的最终目的地进行。</w:t>
      </w:r>
    </w:p>
    <w:p>
      <w:pPr>
        <w:pStyle w:val="18"/>
        <w:keepNext w:val="0"/>
        <w:keepLines w:val="0"/>
        <w:pageBreakBefore w:val="0"/>
        <w:widowControl w:val="0"/>
        <w:numPr>
          <w:ilvl w:val="0"/>
          <w:numId w:val="0"/>
        </w:numPr>
        <w:tabs>
          <w:tab w:val="left" w:pos="1018"/>
        </w:tabs>
        <w:kinsoku/>
        <w:wordWrap/>
        <w:overflowPunct/>
        <w:topLinePunct w:val="0"/>
        <w:autoSpaceDE w:val="0"/>
        <w:autoSpaceDN w:val="0"/>
        <w:bidi w:val="0"/>
        <w:adjustRightInd/>
        <w:snapToGrid/>
        <w:spacing w:before="0" w:after="0" w:line="336" w:lineRule="auto"/>
        <w:ind w:left="420" w:leftChars="0" w:right="0" w:rightChars="0"/>
        <w:jc w:val="both"/>
        <w:textAlignment w:val="auto"/>
        <w:rPr>
          <w:sz w:val="24"/>
          <w:highlight w:val="none"/>
        </w:rPr>
      </w:pPr>
      <w:r>
        <w:rPr>
          <w:rFonts w:hint="eastAsia"/>
          <w:spacing w:val="-2"/>
          <w:sz w:val="24"/>
          <w:highlight w:val="none"/>
          <w:lang w:val="en-US" w:eastAsia="zh-CN"/>
        </w:rPr>
        <w:t>7.3</w:t>
      </w:r>
      <w:r>
        <w:rPr>
          <w:spacing w:val="-2"/>
          <w:sz w:val="24"/>
          <w:highlight w:val="none"/>
        </w:rPr>
        <w:t>如果任何被检验或测试的货物不能满足规格的要求，买方可以拒绝接受</w:t>
      </w:r>
      <w:r>
        <w:rPr>
          <w:spacing w:val="-10"/>
          <w:sz w:val="24"/>
          <w:highlight w:val="none"/>
        </w:rPr>
        <w:t>该货物，卖方应按买方要求及时更换被拒绝的货物，或者免费进行必要的修改以满足规格的要求。</w:t>
      </w:r>
    </w:p>
    <w:p>
      <w:pPr>
        <w:pStyle w:val="18"/>
        <w:keepNext w:val="0"/>
        <w:keepLines w:val="0"/>
        <w:pageBreakBefore w:val="0"/>
        <w:widowControl w:val="0"/>
        <w:numPr>
          <w:ilvl w:val="0"/>
          <w:numId w:val="0"/>
        </w:numPr>
        <w:tabs>
          <w:tab w:val="left" w:pos="958"/>
        </w:tabs>
        <w:kinsoku/>
        <w:wordWrap/>
        <w:overflowPunct/>
        <w:topLinePunct w:val="0"/>
        <w:autoSpaceDE w:val="0"/>
        <w:autoSpaceDN w:val="0"/>
        <w:bidi w:val="0"/>
        <w:adjustRightInd/>
        <w:snapToGrid/>
        <w:spacing w:before="0" w:after="0" w:line="336" w:lineRule="auto"/>
        <w:ind w:left="360" w:leftChars="0" w:right="0" w:rightChars="0"/>
        <w:jc w:val="both"/>
        <w:textAlignment w:val="auto"/>
        <w:rPr>
          <w:sz w:val="24"/>
          <w:highlight w:val="none"/>
        </w:rPr>
      </w:pPr>
      <w:r>
        <w:rPr>
          <w:rFonts w:hint="eastAsia"/>
          <w:sz w:val="24"/>
          <w:highlight w:val="none"/>
          <w:lang w:val="en-US" w:eastAsia="zh-CN"/>
        </w:rPr>
        <w:t>7.4</w:t>
      </w:r>
      <w:r>
        <w:rPr>
          <w:sz w:val="24"/>
          <w:highlight w:val="none"/>
        </w:rPr>
        <w:t>买方在货物到达现场后，买方责成最终用户对货物的质量、数量进行检验或测试，并出具签字确认的验收单据。</w:t>
      </w:r>
    </w:p>
    <w:p>
      <w:pPr>
        <w:pStyle w:val="18"/>
        <w:keepNext w:val="0"/>
        <w:keepLines w:val="0"/>
        <w:pageBreakBefore w:val="0"/>
        <w:widowControl w:val="0"/>
        <w:numPr>
          <w:ilvl w:val="0"/>
          <w:numId w:val="0"/>
        </w:numPr>
        <w:tabs>
          <w:tab w:val="left" w:pos="838"/>
        </w:tabs>
        <w:kinsoku/>
        <w:wordWrap/>
        <w:overflowPunct/>
        <w:topLinePunct w:val="0"/>
        <w:autoSpaceDE w:val="0"/>
        <w:autoSpaceDN w:val="0"/>
        <w:bidi w:val="0"/>
        <w:adjustRightInd/>
        <w:snapToGrid/>
        <w:spacing w:before="0" w:after="0" w:line="338" w:lineRule="auto"/>
        <w:ind w:left="240" w:leftChars="0" w:right="0" w:rightChars="0"/>
        <w:jc w:val="both"/>
        <w:textAlignment w:val="auto"/>
        <w:rPr>
          <w:sz w:val="24"/>
          <w:highlight w:val="none"/>
        </w:rPr>
      </w:pPr>
      <w:r>
        <w:rPr>
          <w:rFonts w:hint="eastAsia"/>
          <w:spacing w:val="-8"/>
          <w:sz w:val="24"/>
          <w:highlight w:val="none"/>
          <w:lang w:val="en-US" w:eastAsia="zh-CN"/>
        </w:rPr>
        <w:t>7.5</w:t>
      </w:r>
      <w:r>
        <w:rPr>
          <w:spacing w:val="-8"/>
          <w:sz w:val="24"/>
          <w:highlight w:val="none"/>
        </w:rPr>
        <w:t>在交货前，卖方应让制造商对货物的质量、规格、性能、数量和重量等进行详细而全面的检验，并出具一份证明货物符合合同规定的检验证书。</w:t>
      </w:r>
    </w:p>
    <w:p>
      <w:pPr>
        <w:pStyle w:val="18"/>
        <w:keepNext w:val="0"/>
        <w:keepLines w:val="0"/>
        <w:pageBreakBefore w:val="0"/>
        <w:widowControl w:val="0"/>
        <w:numPr>
          <w:ilvl w:val="0"/>
          <w:numId w:val="0"/>
        </w:numPr>
        <w:tabs>
          <w:tab w:val="left" w:pos="838"/>
        </w:tabs>
        <w:kinsoku/>
        <w:wordWrap/>
        <w:overflowPunct/>
        <w:topLinePunct w:val="0"/>
        <w:autoSpaceDE w:val="0"/>
        <w:autoSpaceDN w:val="0"/>
        <w:bidi w:val="0"/>
        <w:adjustRightInd/>
        <w:snapToGrid/>
        <w:spacing w:before="0" w:after="0" w:line="336" w:lineRule="auto"/>
        <w:ind w:left="240" w:leftChars="0" w:right="0" w:rightChars="0"/>
        <w:jc w:val="both"/>
        <w:textAlignment w:val="auto"/>
        <w:rPr>
          <w:sz w:val="24"/>
          <w:highlight w:val="none"/>
        </w:rPr>
      </w:pPr>
      <w:r>
        <w:rPr>
          <w:rFonts w:hint="eastAsia"/>
          <w:spacing w:val="-7"/>
          <w:sz w:val="24"/>
          <w:highlight w:val="none"/>
          <w:lang w:val="en-US" w:eastAsia="zh-CN"/>
        </w:rPr>
        <w:t>7.6</w:t>
      </w:r>
      <w:r>
        <w:rPr>
          <w:spacing w:val="-7"/>
          <w:sz w:val="24"/>
          <w:highlight w:val="none"/>
        </w:rPr>
        <w:t xml:space="preserve">如果在合同条款第 </w:t>
      </w:r>
      <w:r>
        <w:rPr>
          <w:sz w:val="24"/>
          <w:highlight w:val="none"/>
        </w:rPr>
        <w:t>14</w:t>
      </w:r>
      <w:r>
        <w:rPr>
          <w:spacing w:val="-8"/>
          <w:sz w:val="24"/>
          <w:highlight w:val="none"/>
        </w:rPr>
        <w:t xml:space="preserve"> 条规定的保证期内，根据检验结果发现货物的质量</w:t>
      </w:r>
      <w:r>
        <w:rPr>
          <w:spacing w:val="-13"/>
          <w:sz w:val="24"/>
          <w:highlight w:val="none"/>
        </w:rPr>
        <w:t>或规格与合同要求不符，或货物被证实有缺陷，包括潜在的缺陷或使用不合适的材料，买方有权向卖方提出索赔。</w:t>
      </w:r>
    </w:p>
    <w:p>
      <w:pPr>
        <w:pStyle w:val="18"/>
        <w:keepNext w:val="0"/>
        <w:keepLines w:val="0"/>
        <w:pageBreakBefore w:val="0"/>
        <w:widowControl w:val="0"/>
        <w:numPr>
          <w:ilvl w:val="0"/>
          <w:numId w:val="0"/>
        </w:numPr>
        <w:tabs>
          <w:tab w:val="left" w:pos="838"/>
        </w:tabs>
        <w:kinsoku/>
        <w:wordWrap/>
        <w:overflowPunct/>
        <w:topLinePunct w:val="0"/>
        <w:autoSpaceDE w:val="0"/>
        <w:autoSpaceDN w:val="0"/>
        <w:bidi w:val="0"/>
        <w:adjustRightInd/>
        <w:snapToGrid/>
        <w:spacing w:before="0" w:after="0" w:line="336" w:lineRule="auto"/>
        <w:ind w:left="240" w:leftChars="0" w:right="0" w:rightChars="0"/>
        <w:jc w:val="both"/>
        <w:textAlignment w:val="auto"/>
        <w:rPr>
          <w:sz w:val="24"/>
          <w:highlight w:val="none"/>
        </w:rPr>
      </w:pPr>
      <w:r>
        <w:rPr>
          <w:rFonts w:hint="eastAsia"/>
          <w:spacing w:val="-5"/>
          <w:sz w:val="24"/>
          <w:highlight w:val="none"/>
          <w:lang w:val="en-US" w:eastAsia="zh-CN"/>
        </w:rPr>
        <w:t>7.7</w:t>
      </w:r>
      <w:r>
        <w:rPr>
          <w:spacing w:val="-5"/>
          <w:sz w:val="24"/>
          <w:highlight w:val="none"/>
        </w:rPr>
        <w:t>验收严格按教育内部审计规范执行，中标人在验收时提供发票、产品产地发货单等进行核对。</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8．包 装</w:t>
      </w:r>
    </w:p>
    <w:p>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left="0" w:right="0" w:firstLine="240"/>
        <w:jc w:val="both"/>
        <w:textAlignment w:val="auto"/>
        <w:rPr>
          <w:highlight w:val="none"/>
        </w:rPr>
      </w:pPr>
      <w:r>
        <w:rPr>
          <w:highlight w:val="none"/>
        </w:rPr>
        <w:t>8.1</w:t>
      </w:r>
      <w:r>
        <w:rPr>
          <w:spacing w:val="-4"/>
          <w:highlight w:val="none"/>
        </w:rPr>
        <w:t xml:space="preserve"> 卖方应提供货物运至合同规定的最终目的地所需要的包装</w:t>
      </w:r>
      <w:r>
        <w:rPr>
          <w:highlight w:val="none"/>
        </w:rPr>
        <w:t>（包装费用由乙方负责</w:t>
      </w:r>
      <w:r>
        <w:rPr>
          <w:spacing w:val="-43"/>
          <w:highlight w:val="none"/>
        </w:rPr>
        <w:t>）</w:t>
      </w:r>
      <w:r>
        <w:rPr>
          <w:spacing w:val="-13"/>
          <w:highlight w:val="none"/>
        </w:rPr>
        <w:t>，以防止货物在转运中损坏或变质。这类包装应采取防潮、防晒、防锈、防腐蚀、防震动及防止其他损坏的必要措施，从而保证货物能够经受多次搬运、装卸及长途运输。卖方应承担由于其包装或其防护措施不妥而引起货物锈蚀、损</w:t>
      </w:r>
      <w:r>
        <w:rPr>
          <w:spacing w:val="-17"/>
          <w:highlight w:val="none"/>
        </w:rPr>
        <w:t>坏和丢失的任何损失的责任或费用。在运输过程中，货物出现毁损、灭、失等情形由卖方负责。</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w w:val="95"/>
          <w:highlight w:val="none"/>
        </w:rPr>
        <w:t>9．交货和单据</w:t>
      </w:r>
    </w:p>
    <w:p>
      <w:pPr>
        <w:pStyle w:val="9"/>
        <w:keepNext w:val="0"/>
        <w:keepLines w:val="0"/>
        <w:pageBreakBefore w:val="0"/>
        <w:widowControl w:val="0"/>
        <w:kinsoku/>
        <w:wordWrap/>
        <w:overflowPunct/>
        <w:topLinePunct w:val="0"/>
        <w:autoSpaceDE w:val="0"/>
        <w:autoSpaceDN w:val="0"/>
        <w:bidi w:val="0"/>
        <w:adjustRightInd/>
        <w:snapToGrid/>
        <w:spacing w:before="0" w:after="0" w:line="338" w:lineRule="auto"/>
        <w:ind w:left="0" w:right="0" w:firstLine="240"/>
        <w:jc w:val="both"/>
        <w:textAlignment w:val="auto"/>
        <w:rPr>
          <w:highlight w:val="none"/>
        </w:rPr>
      </w:pPr>
      <w:r>
        <w:rPr>
          <w:highlight w:val="none"/>
        </w:rPr>
        <w:t>9.1</w:t>
      </w:r>
      <w:r>
        <w:rPr>
          <w:spacing w:val="-3"/>
          <w:highlight w:val="none"/>
        </w:rPr>
        <w:t xml:space="preserve"> 卖方应按照“货物需求一览表”规定的条件及合同规定的时间内交货，并提供有关单据。</w:t>
      </w:r>
    </w:p>
    <w:p>
      <w:pPr>
        <w:pStyle w:val="8"/>
        <w:keepNext w:val="0"/>
        <w:keepLines w:val="0"/>
        <w:pageBreakBefore w:val="0"/>
        <w:widowControl w:val="0"/>
        <w:tabs>
          <w:tab w:val="left" w:pos="1552"/>
        </w:tabs>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10．运输</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10.1 卖方负责合同项下货物的运输，且运抵买方指定地点，并承担运费。</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w w:val="95"/>
          <w:highlight w:val="none"/>
        </w:rPr>
        <w:t>11．伴随服务</w:t>
      </w:r>
    </w:p>
    <w:p>
      <w:pPr>
        <w:pStyle w:val="18"/>
        <w:keepNext w:val="0"/>
        <w:keepLines w:val="0"/>
        <w:pageBreakBefore w:val="0"/>
        <w:widowControl w:val="0"/>
        <w:numPr>
          <w:ilvl w:val="1"/>
          <w:numId w:val="5"/>
        </w:numPr>
        <w:tabs>
          <w:tab w:val="left" w:pos="958"/>
        </w:tabs>
        <w:kinsoku/>
        <w:wordWrap/>
        <w:overflowPunct/>
        <w:topLinePunct w:val="0"/>
        <w:autoSpaceDE w:val="0"/>
        <w:autoSpaceDN w:val="0"/>
        <w:bidi w:val="0"/>
        <w:adjustRightInd/>
        <w:snapToGrid/>
        <w:spacing w:before="0" w:after="0" w:line="336" w:lineRule="auto"/>
        <w:ind w:left="0" w:right="0" w:firstLine="240"/>
        <w:jc w:val="both"/>
        <w:textAlignment w:val="auto"/>
        <w:rPr>
          <w:sz w:val="24"/>
          <w:highlight w:val="none"/>
        </w:rPr>
      </w:pPr>
      <w:r>
        <w:rPr>
          <w:sz w:val="24"/>
          <w:highlight w:val="none"/>
        </w:rPr>
        <w:t>卖方可能被要求提供下列服务中的任一或所有服务，包括“合同条款资料表”规定的附加服务(如果有的话)：</w:t>
      </w:r>
    </w:p>
    <w:p>
      <w:pPr>
        <w:pStyle w:val="18"/>
        <w:keepNext w:val="0"/>
        <w:keepLines w:val="0"/>
        <w:pageBreakBefore w:val="0"/>
        <w:widowControl w:val="0"/>
        <w:numPr>
          <w:ilvl w:val="2"/>
          <w:numId w:val="5"/>
        </w:numPr>
        <w:tabs>
          <w:tab w:val="left" w:pos="1138"/>
        </w:tabs>
        <w:kinsoku/>
        <w:wordWrap/>
        <w:overflowPunct/>
        <w:topLinePunct w:val="0"/>
        <w:autoSpaceDE w:val="0"/>
        <w:autoSpaceDN w:val="0"/>
        <w:bidi w:val="0"/>
        <w:adjustRightInd/>
        <w:snapToGrid/>
        <w:spacing w:before="0" w:after="0" w:line="240" w:lineRule="auto"/>
        <w:ind w:left="0" w:right="0" w:firstLine="240"/>
        <w:jc w:val="both"/>
        <w:textAlignment w:val="auto"/>
        <w:rPr>
          <w:sz w:val="24"/>
          <w:highlight w:val="none"/>
        </w:rPr>
      </w:pPr>
      <w:r>
        <w:rPr>
          <w:sz w:val="24"/>
          <w:highlight w:val="none"/>
        </w:rPr>
        <w:t>实施或监督所供货物的现场组装和/或试运行；</w:t>
      </w:r>
    </w:p>
    <w:p>
      <w:pPr>
        <w:pStyle w:val="18"/>
        <w:keepNext w:val="0"/>
        <w:keepLines w:val="0"/>
        <w:pageBreakBefore w:val="0"/>
        <w:widowControl w:val="0"/>
        <w:numPr>
          <w:ilvl w:val="2"/>
          <w:numId w:val="5"/>
        </w:numPr>
        <w:tabs>
          <w:tab w:val="left" w:pos="1138"/>
        </w:tabs>
        <w:kinsoku/>
        <w:wordWrap/>
        <w:overflowPunct/>
        <w:topLinePunct w:val="0"/>
        <w:autoSpaceDE w:val="0"/>
        <w:autoSpaceDN w:val="0"/>
        <w:bidi w:val="0"/>
        <w:adjustRightInd/>
        <w:snapToGrid/>
        <w:spacing w:before="0" w:after="0" w:line="240" w:lineRule="auto"/>
        <w:ind w:left="0" w:right="0" w:firstLine="240"/>
        <w:jc w:val="both"/>
        <w:textAlignment w:val="auto"/>
        <w:rPr>
          <w:sz w:val="24"/>
          <w:highlight w:val="none"/>
        </w:rPr>
      </w:pPr>
      <w:r>
        <w:rPr>
          <w:sz w:val="24"/>
          <w:highlight w:val="none"/>
        </w:rPr>
        <w:t>提供货物组装和/或维修所需的工具；</w:t>
      </w:r>
    </w:p>
    <w:p>
      <w:pPr>
        <w:pStyle w:val="18"/>
        <w:keepNext w:val="0"/>
        <w:keepLines w:val="0"/>
        <w:pageBreakBefore w:val="0"/>
        <w:widowControl w:val="0"/>
        <w:numPr>
          <w:ilvl w:val="2"/>
          <w:numId w:val="5"/>
        </w:numPr>
        <w:tabs>
          <w:tab w:val="left" w:pos="1138"/>
        </w:tabs>
        <w:kinsoku/>
        <w:wordWrap/>
        <w:overflowPunct/>
        <w:topLinePunct w:val="0"/>
        <w:autoSpaceDE w:val="0"/>
        <w:autoSpaceDN w:val="0"/>
        <w:bidi w:val="0"/>
        <w:adjustRightInd/>
        <w:snapToGrid/>
        <w:spacing w:before="0" w:after="0" w:line="240" w:lineRule="auto"/>
        <w:ind w:left="0" w:right="0" w:firstLine="240"/>
        <w:jc w:val="both"/>
        <w:textAlignment w:val="auto"/>
        <w:rPr>
          <w:sz w:val="24"/>
          <w:highlight w:val="none"/>
        </w:rPr>
      </w:pPr>
      <w:r>
        <w:rPr>
          <w:sz w:val="24"/>
          <w:highlight w:val="none"/>
        </w:rPr>
        <w:t>为所供货物的每一适当的单台设备提供详细的操作和维护手册；</w:t>
      </w:r>
    </w:p>
    <w:p>
      <w:pPr>
        <w:pStyle w:val="18"/>
        <w:keepNext w:val="0"/>
        <w:keepLines w:val="0"/>
        <w:pageBreakBefore w:val="0"/>
        <w:widowControl w:val="0"/>
        <w:numPr>
          <w:ilvl w:val="2"/>
          <w:numId w:val="5"/>
        </w:numPr>
        <w:tabs>
          <w:tab w:val="left" w:pos="1138"/>
        </w:tabs>
        <w:kinsoku/>
        <w:wordWrap/>
        <w:overflowPunct/>
        <w:topLinePunct w:val="0"/>
        <w:autoSpaceDE w:val="0"/>
        <w:autoSpaceDN w:val="0"/>
        <w:bidi w:val="0"/>
        <w:adjustRightInd/>
        <w:snapToGrid/>
        <w:spacing w:before="0" w:after="0" w:line="336" w:lineRule="auto"/>
        <w:ind w:left="0" w:right="0" w:firstLine="240"/>
        <w:jc w:val="both"/>
        <w:textAlignment w:val="auto"/>
        <w:rPr>
          <w:sz w:val="24"/>
          <w:highlight w:val="none"/>
        </w:rPr>
      </w:pPr>
      <w:r>
        <w:rPr>
          <w:sz w:val="24"/>
          <w:highlight w:val="none"/>
        </w:rPr>
        <w:t>在双方商定的一定期限内对所供货物实施运行或监督或维护或修理， 但前提条件是该服务并不能免除卖方在合同保证期内所承担的义务；</w:t>
      </w:r>
    </w:p>
    <w:p>
      <w:pPr>
        <w:pStyle w:val="18"/>
        <w:keepNext w:val="0"/>
        <w:keepLines w:val="0"/>
        <w:pageBreakBefore w:val="0"/>
        <w:widowControl w:val="0"/>
        <w:numPr>
          <w:ilvl w:val="2"/>
          <w:numId w:val="5"/>
        </w:numPr>
        <w:tabs>
          <w:tab w:val="left" w:pos="1138"/>
        </w:tabs>
        <w:kinsoku/>
        <w:wordWrap/>
        <w:overflowPunct/>
        <w:topLinePunct w:val="0"/>
        <w:autoSpaceDE w:val="0"/>
        <w:autoSpaceDN w:val="0"/>
        <w:bidi w:val="0"/>
        <w:adjustRightInd/>
        <w:snapToGrid/>
        <w:spacing w:before="0" w:after="0" w:line="338" w:lineRule="auto"/>
        <w:ind w:left="0" w:right="0" w:firstLine="240"/>
        <w:jc w:val="both"/>
        <w:textAlignment w:val="auto"/>
        <w:rPr>
          <w:sz w:val="24"/>
          <w:highlight w:val="none"/>
        </w:rPr>
      </w:pPr>
      <w:r>
        <w:rPr>
          <w:sz w:val="24"/>
          <w:highlight w:val="none"/>
        </w:rPr>
        <w:t>在卖方厂家和/或在用户指定地点就所供货物的组装、试运行、运行、维护和或修理对买方人员进行培训。</w:t>
      </w:r>
    </w:p>
    <w:p>
      <w:pPr>
        <w:pStyle w:val="18"/>
        <w:keepNext w:val="0"/>
        <w:keepLines w:val="0"/>
        <w:pageBreakBefore w:val="0"/>
        <w:widowControl w:val="0"/>
        <w:numPr>
          <w:ilvl w:val="0"/>
          <w:numId w:val="0"/>
        </w:numPr>
        <w:tabs>
          <w:tab w:val="left" w:pos="958"/>
        </w:tabs>
        <w:kinsoku/>
        <w:wordWrap/>
        <w:overflowPunct/>
        <w:topLinePunct w:val="0"/>
        <w:autoSpaceDE w:val="0"/>
        <w:autoSpaceDN w:val="0"/>
        <w:bidi w:val="0"/>
        <w:adjustRightInd/>
        <w:snapToGrid/>
        <w:spacing w:before="0" w:after="0" w:line="336" w:lineRule="auto"/>
        <w:ind w:left="240" w:leftChars="0" w:right="0" w:rightChars="0"/>
        <w:jc w:val="both"/>
        <w:textAlignment w:val="auto"/>
        <w:rPr>
          <w:sz w:val="24"/>
          <w:highlight w:val="none"/>
        </w:rPr>
      </w:pPr>
      <w:r>
        <w:rPr>
          <w:rFonts w:hint="eastAsia"/>
          <w:sz w:val="24"/>
          <w:highlight w:val="none"/>
          <w:lang w:val="en-US" w:eastAsia="zh-CN"/>
        </w:rPr>
        <w:t>11.2</w:t>
      </w:r>
      <w:r>
        <w:rPr>
          <w:sz w:val="24"/>
          <w:highlight w:val="none"/>
        </w:rPr>
        <w:t>如果卖方提供的伴随服务的费用未含在货物的合同价中，双方应事先就</w:t>
      </w:r>
      <w:r>
        <w:rPr>
          <w:spacing w:val="-10"/>
          <w:sz w:val="24"/>
          <w:highlight w:val="none"/>
        </w:rPr>
        <w:t>其达成协议，但其费用单价不应超过卖方向其他人提供类似服务所收取的现行单价。无事先约定的，上述卖方应提供伴随服务的费用视为已包含在合同价中。</w:t>
      </w:r>
    </w:p>
    <w:p>
      <w:pPr>
        <w:pStyle w:val="18"/>
        <w:keepNext w:val="0"/>
        <w:keepLines w:val="0"/>
        <w:pageBreakBefore w:val="0"/>
        <w:widowControl w:val="0"/>
        <w:numPr>
          <w:ilvl w:val="0"/>
          <w:numId w:val="0"/>
        </w:numPr>
        <w:tabs>
          <w:tab w:val="left" w:pos="1138"/>
        </w:tabs>
        <w:kinsoku/>
        <w:wordWrap/>
        <w:overflowPunct/>
        <w:topLinePunct w:val="0"/>
        <w:autoSpaceDE w:val="0"/>
        <w:autoSpaceDN w:val="0"/>
        <w:bidi w:val="0"/>
        <w:adjustRightInd/>
        <w:snapToGrid/>
        <w:spacing w:before="0" w:after="0" w:line="336" w:lineRule="auto"/>
        <w:ind w:left="420" w:leftChars="0" w:right="0" w:rightChars="0"/>
        <w:jc w:val="both"/>
        <w:textAlignment w:val="auto"/>
        <w:rPr>
          <w:sz w:val="24"/>
          <w:highlight w:val="none"/>
        </w:rPr>
      </w:pPr>
      <w:r>
        <w:rPr>
          <w:rFonts w:hint="eastAsia"/>
          <w:sz w:val="24"/>
          <w:highlight w:val="none"/>
          <w:lang w:val="en-US" w:eastAsia="zh-CN"/>
        </w:rPr>
        <w:t>11.3</w:t>
      </w:r>
      <w:r>
        <w:rPr>
          <w:sz w:val="24"/>
          <w:highlight w:val="none"/>
        </w:rPr>
        <w:t>卖方应提供“合同条款资料表”中规定的所有服务。为履行要求的伴随服务的报价或双方商定的费用应包括在合同价中。</w:t>
      </w:r>
    </w:p>
    <w:p>
      <w:pPr>
        <w:pStyle w:val="18"/>
        <w:keepNext w:val="0"/>
        <w:keepLines w:val="0"/>
        <w:pageBreakBefore w:val="0"/>
        <w:widowControl w:val="0"/>
        <w:numPr>
          <w:ilvl w:val="0"/>
          <w:numId w:val="0"/>
        </w:numPr>
        <w:tabs>
          <w:tab w:val="left" w:pos="1078"/>
        </w:tabs>
        <w:kinsoku/>
        <w:wordWrap/>
        <w:overflowPunct/>
        <w:topLinePunct w:val="0"/>
        <w:autoSpaceDE w:val="0"/>
        <w:autoSpaceDN w:val="0"/>
        <w:bidi w:val="0"/>
        <w:adjustRightInd/>
        <w:snapToGrid/>
        <w:spacing w:before="0" w:after="0" w:line="338" w:lineRule="auto"/>
        <w:ind w:left="420" w:leftChars="0" w:right="0" w:rightChars="0"/>
        <w:jc w:val="both"/>
        <w:textAlignment w:val="auto"/>
        <w:rPr>
          <w:sz w:val="24"/>
          <w:highlight w:val="none"/>
        </w:rPr>
      </w:pPr>
      <w:r>
        <w:rPr>
          <w:rFonts w:hint="eastAsia"/>
          <w:spacing w:val="-6"/>
          <w:sz w:val="24"/>
          <w:highlight w:val="none"/>
          <w:lang w:val="en-US" w:eastAsia="zh-CN"/>
        </w:rPr>
        <w:t>11.4</w:t>
      </w:r>
      <w:r>
        <w:rPr>
          <w:spacing w:val="-6"/>
          <w:sz w:val="24"/>
          <w:highlight w:val="none"/>
        </w:rPr>
        <w:t>若卖方未在规定时间内到场维修，买方可另找人维修，维修费从质保金中扣除。</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12．备 件</w:t>
      </w:r>
    </w:p>
    <w:p>
      <w:pPr>
        <w:pStyle w:val="18"/>
        <w:keepNext w:val="0"/>
        <w:keepLines w:val="0"/>
        <w:pageBreakBefore w:val="0"/>
        <w:widowControl w:val="0"/>
        <w:numPr>
          <w:ilvl w:val="1"/>
          <w:numId w:val="6"/>
        </w:numPr>
        <w:tabs>
          <w:tab w:val="left" w:pos="958"/>
        </w:tabs>
        <w:kinsoku/>
        <w:wordWrap/>
        <w:overflowPunct/>
        <w:topLinePunct w:val="0"/>
        <w:autoSpaceDE w:val="0"/>
        <w:autoSpaceDN w:val="0"/>
        <w:bidi w:val="0"/>
        <w:adjustRightInd/>
        <w:snapToGrid/>
        <w:spacing w:before="0" w:after="0" w:line="338" w:lineRule="auto"/>
        <w:ind w:left="0" w:right="0" w:firstLine="240"/>
        <w:jc w:val="both"/>
        <w:textAlignment w:val="auto"/>
        <w:rPr>
          <w:sz w:val="24"/>
          <w:highlight w:val="none"/>
        </w:rPr>
      </w:pPr>
      <w:r>
        <w:rPr>
          <w:sz w:val="24"/>
          <w:highlight w:val="none"/>
        </w:rPr>
        <w:t>正如合同条款所规定，卖方可能被要求提供下列与备件有关的材料、通知和资料：</w:t>
      </w:r>
    </w:p>
    <w:p>
      <w:pPr>
        <w:pStyle w:val="18"/>
        <w:keepNext w:val="0"/>
        <w:keepLines w:val="0"/>
        <w:pageBreakBefore w:val="0"/>
        <w:widowControl w:val="0"/>
        <w:numPr>
          <w:ilvl w:val="2"/>
          <w:numId w:val="6"/>
        </w:numPr>
        <w:tabs>
          <w:tab w:val="left" w:pos="1138"/>
        </w:tabs>
        <w:kinsoku/>
        <w:wordWrap/>
        <w:overflowPunct/>
        <w:topLinePunct w:val="0"/>
        <w:autoSpaceDE w:val="0"/>
        <w:autoSpaceDN w:val="0"/>
        <w:bidi w:val="0"/>
        <w:adjustRightInd/>
        <w:snapToGrid/>
        <w:spacing w:before="0" w:after="0" w:line="336" w:lineRule="auto"/>
        <w:ind w:left="0" w:right="0" w:firstLine="240"/>
        <w:jc w:val="both"/>
        <w:textAlignment w:val="auto"/>
        <w:rPr>
          <w:sz w:val="24"/>
          <w:highlight w:val="none"/>
        </w:rPr>
      </w:pPr>
      <w:r>
        <w:rPr>
          <w:sz w:val="24"/>
          <w:highlight w:val="none"/>
        </w:rPr>
        <w:t>买方从卖方选购备件，但前提条件是该选择并不能免除卖方在合同保证期内所承担的义务；</w:t>
      </w:r>
    </w:p>
    <w:p>
      <w:pPr>
        <w:pStyle w:val="18"/>
        <w:keepNext w:val="0"/>
        <w:keepLines w:val="0"/>
        <w:pageBreakBefore w:val="0"/>
        <w:widowControl w:val="0"/>
        <w:numPr>
          <w:ilvl w:val="2"/>
          <w:numId w:val="6"/>
        </w:numPr>
        <w:tabs>
          <w:tab w:val="left" w:pos="1138"/>
        </w:tabs>
        <w:kinsoku/>
        <w:wordWrap/>
        <w:overflowPunct/>
        <w:topLinePunct w:val="0"/>
        <w:autoSpaceDE w:val="0"/>
        <w:autoSpaceDN w:val="0"/>
        <w:bidi w:val="0"/>
        <w:adjustRightInd/>
        <w:snapToGrid/>
        <w:spacing w:before="0" w:after="0" w:line="336" w:lineRule="auto"/>
        <w:ind w:left="0" w:right="0" w:firstLine="240"/>
        <w:jc w:val="both"/>
        <w:textAlignment w:val="auto"/>
        <w:rPr>
          <w:sz w:val="24"/>
          <w:highlight w:val="none"/>
        </w:rPr>
      </w:pPr>
      <w:r>
        <w:rPr>
          <w:spacing w:val="-3"/>
          <w:sz w:val="24"/>
          <w:highlight w:val="none"/>
        </w:rPr>
        <w:t>在备件停止生产的情况下，卖方应事先将要停止生产的计划通知买方， 使买方有足够的时间采购所需的备件；</w:t>
      </w:r>
    </w:p>
    <w:p>
      <w:pPr>
        <w:pStyle w:val="18"/>
        <w:keepNext w:val="0"/>
        <w:keepLines w:val="0"/>
        <w:pageBreakBefore w:val="0"/>
        <w:widowControl w:val="0"/>
        <w:numPr>
          <w:ilvl w:val="2"/>
          <w:numId w:val="6"/>
        </w:numPr>
        <w:tabs>
          <w:tab w:val="left" w:pos="1138"/>
        </w:tabs>
        <w:kinsoku/>
        <w:wordWrap/>
        <w:overflowPunct/>
        <w:topLinePunct w:val="0"/>
        <w:autoSpaceDE w:val="0"/>
        <w:autoSpaceDN w:val="0"/>
        <w:bidi w:val="0"/>
        <w:adjustRightInd/>
        <w:snapToGrid/>
        <w:spacing w:before="0" w:after="0" w:line="338" w:lineRule="auto"/>
        <w:ind w:left="0" w:right="0" w:firstLine="240"/>
        <w:jc w:val="both"/>
        <w:textAlignment w:val="auto"/>
        <w:rPr>
          <w:sz w:val="24"/>
          <w:highlight w:val="none"/>
        </w:rPr>
      </w:pPr>
      <w:r>
        <w:rPr>
          <w:sz w:val="24"/>
          <w:highlight w:val="none"/>
        </w:rPr>
        <w:t>在备件停止生产后，如果买方要求，卖方应免费向买方提供备件的蓝图、图纸和规格。</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12.2 卖方应按照“合同条款资料表”技术规格中的规定提供所需的备件。</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13．保 证</w:t>
      </w:r>
    </w:p>
    <w:p>
      <w:pPr>
        <w:pStyle w:val="18"/>
        <w:keepNext w:val="0"/>
        <w:keepLines w:val="0"/>
        <w:pageBreakBefore w:val="0"/>
        <w:widowControl w:val="0"/>
        <w:numPr>
          <w:ilvl w:val="0"/>
          <w:numId w:val="0"/>
        </w:numPr>
        <w:tabs>
          <w:tab w:val="left" w:pos="958"/>
        </w:tabs>
        <w:kinsoku/>
        <w:wordWrap/>
        <w:overflowPunct/>
        <w:topLinePunct w:val="0"/>
        <w:autoSpaceDE w:val="0"/>
        <w:autoSpaceDN w:val="0"/>
        <w:bidi w:val="0"/>
        <w:adjustRightInd/>
        <w:snapToGrid/>
        <w:spacing w:before="0" w:after="0" w:line="336" w:lineRule="auto"/>
        <w:ind w:left="240" w:leftChars="0" w:right="0" w:rightChars="0"/>
        <w:jc w:val="both"/>
        <w:textAlignment w:val="auto"/>
        <w:rPr>
          <w:sz w:val="24"/>
          <w:highlight w:val="none"/>
        </w:rPr>
      </w:pPr>
      <w:r>
        <w:rPr>
          <w:rFonts w:hint="eastAsia"/>
          <w:sz w:val="24"/>
          <w:highlight w:val="none"/>
          <w:lang w:val="en-US" w:eastAsia="zh-CN"/>
        </w:rPr>
        <w:t>13.1</w:t>
      </w:r>
      <w:r>
        <w:rPr>
          <w:sz w:val="24"/>
          <w:highlight w:val="none"/>
        </w:rPr>
        <w:t>卖方应保证合同项下所供货物是全新的、未使用过的，是最新或目前的</w:t>
      </w:r>
      <w:r>
        <w:rPr>
          <w:spacing w:val="-9"/>
          <w:sz w:val="24"/>
          <w:highlight w:val="none"/>
        </w:rPr>
        <w:t>型号，除非合同另有规定，货物应含有设计上和材料的全部最新改进。卖方进一步保证，合同项下提供的全部货物没有设计、材料或工艺上的缺陷(由于按买方的要求设计或按买方的规格提供的材料所产生的缺陷除外)，或者没有因卖方的</w:t>
      </w:r>
      <w:r>
        <w:rPr>
          <w:spacing w:val="-14"/>
          <w:sz w:val="24"/>
          <w:highlight w:val="none"/>
        </w:rPr>
        <w:t>行为或疏忽而产生的缺陷，这些缺陷是所供货物在买方现行条件下正常使用可能产生的。</w:t>
      </w:r>
    </w:p>
    <w:p>
      <w:pPr>
        <w:pStyle w:val="18"/>
        <w:keepNext w:val="0"/>
        <w:keepLines w:val="0"/>
        <w:pageBreakBefore w:val="0"/>
        <w:widowControl w:val="0"/>
        <w:numPr>
          <w:ilvl w:val="0"/>
          <w:numId w:val="0"/>
        </w:numPr>
        <w:tabs>
          <w:tab w:val="left" w:pos="958"/>
        </w:tabs>
        <w:kinsoku/>
        <w:wordWrap/>
        <w:overflowPunct/>
        <w:topLinePunct w:val="0"/>
        <w:autoSpaceDE w:val="0"/>
        <w:autoSpaceDN w:val="0"/>
        <w:bidi w:val="0"/>
        <w:adjustRightInd/>
        <w:snapToGrid/>
        <w:spacing w:before="0" w:after="0" w:line="336" w:lineRule="auto"/>
        <w:ind w:left="240" w:leftChars="0" w:right="0" w:rightChars="0"/>
        <w:jc w:val="both"/>
        <w:textAlignment w:val="auto"/>
        <w:rPr>
          <w:sz w:val="24"/>
          <w:highlight w:val="none"/>
        </w:rPr>
      </w:pPr>
      <w:r>
        <w:rPr>
          <w:rFonts w:hint="eastAsia"/>
          <w:sz w:val="24"/>
          <w:highlight w:val="none"/>
          <w:lang w:val="en-US" w:eastAsia="zh-CN"/>
        </w:rPr>
        <w:t>13.2</w:t>
      </w:r>
      <w:r>
        <w:rPr>
          <w:sz w:val="24"/>
          <w:highlight w:val="none"/>
        </w:rPr>
        <w:t>本保证应在货物最终验收后的一定期限内保持有效，或在最后一批货物</w:t>
      </w:r>
      <w:r>
        <w:rPr>
          <w:spacing w:val="-3"/>
          <w:sz w:val="24"/>
          <w:highlight w:val="none"/>
        </w:rPr>
        <w:t>交付后的一定期限内保持有效（</w:t>
      </w:r>
      <w:r>
        <w:rPr>
          <w:spacing w:val="-2"/>
          <w:sz w:val="24"/>
          <w:highlight w:val="none"/>
        </w:rPr>
        <w:t>上述情况见“合同条款资料表”</w:t>
      </w:r>
      <w:r>
        <w:rPr>
          <w:spacing w:val="-20"/>
          <w:sz w:val="24"/>
          <w:highlight w:val="none"/>
        </w:rPr>
        <w:t>），</w:t>
      </w:r>
      <w:r>
        <w:rPr>
          <w:sz w:val="24"/>
          <w:highlight w:val="none"/>
        </w:rPr>
        <w:t>以期限最长的为准。</w:t>
      </w:r>
    </w:p>
    <w:p>
      <w:pPr>
        <w:pStyle w:val="18"/>
        <w:keepNext w:val="0"/>
        <w:keepLines w:val="0"/>
        <w:pageBreakBefore w:val="0"/>
        <w:widowControl w:val="0"/>
        <w:numPr>
          <w:ilvl w:val="0"/>
          <w:numId w:val="0"/>
        </w:numPr>
        <w:tabs>
          <w:tab w:val="left" w:pos="958"/>
        </w:tabs>
        <w:kinsoku/>
        <w:wordWrap/>
        <w:overflowPunct/>
        <w:topLinePunct w:val="0"/>
        <w:autoSpaceDE w:val="0"/>
        <w:autoSpaceDN w:val="0"/>
        <w:bidi w:val="0"/>
        <w:adjustRightInd/>
        <w:snapToGrid/>
        <w:spacing w:before="0" w:after="0" w:line="240" w:lineRule="auto"/>
        <w:ind w:left="240" w:leftChars="0" w:right="0" w:rightChars="0"/>
        <w:jc w:val="both"/>
        <w:textAlignment w:val="auto"/>
        <w:rPr>
          <w:sz w:val="24"/>
          <w:highlight w:val="none"/>
        </w:rPr>
      </w:pPr>
      <w:r>
        <w:rPr>
          <w:rFonts w:hint="eastAsia"/>
          <w:sz w:val="24"/>
          <w:highlight w:val="none"/>
          <w:lang w:val="en-US" w:eastAsia="zh-CN"/>
        </w:rPr>
        <w:t>13.3</w:t>
      </w:r>
      <w:r>
        <w:rPr>
          <w:sz w:val="24"/>
          <w:highlight w:val="none"/>
        </w:rPr>
        <w:t>买方应尽快以书面形式通知卖方保证期内所发现的缺陷。</w:t>
      </w:r>
    </w:p>
    <w:p>
      <w:pPr>
        <w:pStyle w:val="18"/>
        <w:keepNext w:val="0"/>
        <w:keepLines w:val="0"/>
        <w:pageBreakBefore w:val="0"/>
        <w:widowControl w:val="0"/>
        <w:numPr>
          <w:ilvl w:val="0"/>
          <w:numId w:val="0"/>
        </w:numPr>
        <w:tabs>
          <w:tab w:val="left" w:pos="958"/>
        </w:tabs>
        <w:kinsoku/>
        <w:wordWrap/>
        <w:overflowPunct/>
        <w:topLinePunct w:val="0"/>
        <w:autoSpaceDE w:val="0"/>
        <w:autoSpaceDN w:val="0"/>
        <w:bidi w:val="0"/>
        <w:adjustRightInd/>
        <w:snapToGrid/>
        <w:spacing w:before="0" w:after="0" w:line="336" w:lineRule="auto"/>
        <w:ind w:left="240" w:leftChars="0" w:right="0" w:rightChars="0"/>
        <w:jc w:val="both"/>
        <w:textAlignment w:val="auto"/>
        <w:rPr>
          <w:sz w:val="24"/>
          <w:highlight w:val="none"/>
        </w:rPr>
      </w:pPr>
      <w:r>
        <w:rPr>
          <w:rFonts w:hint="eastAsia"/>
          <w:sz w:val="24"/>
          <w:highlight w:val="none"/>
          <w:lang w:val="en-US" w:eastAsia="zh-CN"/>
        </w:rPr>
        <w:t>13.4</w:t>
      </w:r>
      <w:r>
        <w:rPr>
          <w:sz w:val="24"/>
          <w:highlight w:val="none"/>
        </w:rPr>
        <w:t>卖方收到通知后应在“合同条款资料表”规定的时间内及时免费维修或更换有缺陷的货物或部件。</w:t>
      </w:r>
    </w:p>
    <w:p>
      <w:pPr>
        <w:pStyle w:val="18"/>
        <w:keepNext w:val="0"/>
        <w:keepLines w:val="0"/>
        <w:pageBreakBefore w:val="0"/>
        <w:widowControl w:val="0"/>
        <w:numPr>
          <w:ilvl w:val="0"/>
          <w:numId w:val="0"/>
        </w:numPr>
        <w:tabs>
          <w:tab w:val="left" w:pos="958"/>
        </w:tabs>
        <w:kinsoku/>
        <w:wordWrap/>
        <w:overflowPunct/>
        <w:topLinePunct w:val="0"/>
        <w:autoSpaceDE w:val="0"/>
        <w:autoSpaceDN w:val="0"/>
        <w:bidi w:val="0"/>
        <w:adjustRightInd/>
        <w:snapToGrid/>
        <w:spacing w:before="0" w:after="0" w:line="336" w:lineRule="auto"/>
        <w:ind w:left="240" w:leftChars="0" w:right="0" w:rightChars="0"/>
        <w:jc w:val="both"/>
        <w:textAlignment w:val="auto"/>
        <w:rPr>
          <w:sz w:val="24"/>
          <w:highlight w:val="none"/>
        </w:rPr>
      </w:pPr>
      <w:r>
        <w:rPr>
          <w:rFonts w:hint="eastAsia"/>
          <w:sz w:val="24"/>
          <w:highlight w:val="none"/>
          <w:lang w:val="en-US" w:eastAsia="zh-CN"/>
        </w:rPr>
        <w:t>13.5</w:t>
      </w:r>
      <w:r>
        <w:rPr>
          <w:sz w:val="24"/>
          <w:highlight w:val="none"/>
        </w:rPr>
        <w:t>如果卖方收到通知后在合同规定的时间内没有及时维修、重作、更换以</w:t>
      </w:r>
      <w:r>
        <w:rPr>
          <w:spacing w:val="-9"/>
          <w:sz w:val="24"/>
          <w:highlight w:val="none"/>
        </w:rPr>
        <w:t>弥补缺陷，买方可采取必要的补救措施，但其风险和费用将由卖方承担，买方根据合同约定对卖方行使的其他权利不受影响。</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14．索 赔</w:t>
      </w:r>
    </w:p>
    <w:p>
      <w:pPr>
        <w:pStyle w:val="18"/>
        <w:keepNext w:val="0"/>
        <w:keepLines w:val="0"/>
        <w:pageBreakBefore w:val="0"/>
        <w:widowControl w:val="0"/>
        <w:numPr>
          <w:ilvl w:val="0"/>
          <w:numId w:val="0"/>
        </w:numPr>
        <w:tabs>
          <w:tab w:val="left" w:pos="958"/>
        </w:tabs>
        <w:kinsoku/>
        <w:wordWrap/>
        <w:overflowPunct/>
        <w:topLinePunct w:val="0"/>
        <w:autoSpaceDE w:val="0"/>
        <w:autoSpaceDN w:val="0"/>
        <w:bidi w:val="0"/>
        <w:adjustRightInd/>
        <w:snapToGrid/>
        <w:spacing w:before="0" w:after="0" w:line="336" w:lineRule="auto"/>
        <w:ind w:left="240" w:leftChars="0" w:right="0" w:rightChars="0"/>
        <w:jc w:val="both"/>
        <w:textAlignment w:val="auto"/>
        <w:rPr>
          <w:sz w:val="24"/>
          <w:highlight w:val="none"/>
        </w:rPr>
      </w:pPr>
      <w:r>
        <w:rPr>
          <w:rFonts w:hint="eastAsia"/>
          <w:spacing w:val="-11"/>
          <w:sz w:val="24"/>
          <w:highlight w:val="none"/>
          <w:lang w:val="en-US" w:eastAsia="zh-CN"/>
        </w:rPr>
        <w:t>14.1</w:t>
      </w:r>
      <w:r>
        <w:rPr>
          <w:spacing w:val="-11"/>
          <w:sz w:val="24"/>
          <w:highlight w:val="none"/>
        </w:rPr>
        <w:t xml:space="preserve">卖方提供货物有质量问题，买方在合同条款第 </w:t>
      </w:r>
      <w:r>
        <w:rPr>
          <w:sz w:val="24"/>
          <w:highlight w:val="none"/>
        </w:rPr>
        <w:t>13</w:t>
      </w:r>
      <w:r>
        <w:rPr>
          <w:spacing w:val="-8"/>
          <w:sz w:val="24"/>
          <w:highlight w:val="none"/>
        </w:rPr>
        <w:t xml:space="preserve"> 条或合同的其他条款规</w:t>
      </w:r>
      <w:r>
        <w:rPr>
          <w:spacing w:val="-14"/>
          <w:sz w:val="24"/>
          <w:highlight w:val="none"/>
        </w:rPr>
        <w:t xml:space="preserve">定的检验、安装、调试、验收和质量保证期内提出了索赔，卖方应在 </w:t>
      </w:r>
      <w:r>
        <w:rPr>
          <w:sz w:val="24"/>
          <w:highlight w:val="none"/>
          <w:u w:val="single"/>
        </w:rPr>
        <w:t>7</w:t>
      </w:r>
      <w:r>
        <w:rPr>
          <w:spacing w:val="-12"/>
          <w:sz w:val="24"/>
          <w:highlight w:val="none"/>
        </w:rPr>
        <w:t xml:space="preserve"> 日内按照买方同意的下列一种或几种方式结合起来解决索赔事宜：</w:t>
      </w:r>
    </w:p>
    <w:p>
      <w:pPr>
        <w:pStyle w:val="18"/>
        <w:keepNext w:val="0"/>
        <w:keepLines w:val="0"/>
        <w:pageBreakBefore w:val="0"/>
        <w:widowControl w:val="0"/>
        <w:numPr>
          <w:ilvl w:val="0"/>
          <w:numId w:val="0"/>
        </w:numPr>
        <w:tabs>
          <w:tab w:val="left" w:pos="1138"/>
        </w:tabs>
        <w:kinsoku/>
        <w:wordWrap/>
        <w:overflowPunct/>
        <w:topLinePunct w:val="0"/>
        <w:autoSpaceDE w:val="0"/>
        <w:autoSpaceDN w:val="0"/>
        <w:bidi w:val="0"/>
        <w:adjustRightInd/>
        <w:snapToGrid/>
        <w:spacing w:before="0" w:after="0" w:line="336" w:lineRule="auto"/>
        <w:ind w:left="240" w:leftChars="0" w:right="0" w:rightChars="0"/>
        <w:jc w:val="both"/>
        <w:textAlignment w:val="auto"/>
        <w:rPr>
          <w:sz w:val="24"/>
          <w:highlight w:val="none"/>
        </w:rPr>
      </w:pPr>
      <w:r>
        <w:rPr>
          <w:rFonts w:hint="eastAsia"/>
          <w:sz w:val="24"/>
          <w:highlight w:val="none"/>
          <w:lang w:val="en-US" w:eastAsia="zh-CN"/>
        </w:rPr>
        <w:t>14.1.1</w:t>
      </w:r>
      <w:r>
        <w:rPr>
          <w:sz w:val="24"/>
          <w:highlight w:val="none"/>
        </w:rPr>
        <w:t>卖方同意退货并用合同规定的货币将货款退还给买方，并承担由此发</w:t>
      </w:r>
      <w:r>
        <w:rPr>
          <w:spacing w:val="-12"/>
          <w:sz w:val="24"/>
          <w:highlight w:val="none"/>
        </w:rPr>
        <w:t>生的一切损失和费用，包括利息、银行手续费、运费、保险费、检验费、仓储费、</w:t>
      </w:r>
      <w:r>
        <w:rPr>
          <w:spacing w:val="-14"/>
          <w:sz w:val="24"/>
          <w:highlight w:val="none"/>
        </w:rPr>
        <w:t xml:space="preserve">装卸费以及为看管和保护退回货物所需的其他必要费用，并支付合同总价款 </w:t>
      </w:r>
      <w:r>
        <w:rPr>
          <w:sz w:val="24"/>
          <w:highlight w:val="none"/>
        </w:rPr>
        <w:t>5% 的违约金。</w:t>
      </w:r>
    </w:p>
    <w:p>
      <w:pPr>
        <w:pStyle w:val="18"/>
        <w:keepNext w:val="0"/>
        <w:keepLines w:val="0"/>
        <w:pageBreakBefore w:val="0"/>
        <w:widowControl w:val="0"/>
        <w:numPr>
          <w:ilvl w:val="0"/>
          <w:numId w:val="0"/>
        </w:numPr>
        <w:tabs>
          <w:tab w:val="left" w:pos="1138"/>
        </w:tabs>
        <w:kinsoku/>
        <w:wordWrap/>
        <w:overflowPunct/>
        <w:topLinePunct w:val="0"/>
        <w:autoSpaceDE w:val="0"/>
        <w:autoSpaceDN w:val="0"/>
        <w:bidi w:val="0"/>
        <w:adjustRightInd/>
        <w:snapToGrid/>
        <w:spacing w:before="0" w:after="0" w:line="336" w:lineRule="auto"/>
        <w:ind w:left="240" w:leftChars="0" w:right="0" w:rightChars="0"/>
        <w:jc w:val="both"/>
        <w:textAlignment w:val="auto"/>
        <w:rPr>
          <w:sz w:val="24"/>
          <w:highlight w:val="none"/>
        </w:rPr>
      </w:pPr>
      <w:r>
        <w:rPr>
          <w:rFonts w:hint="eastAsia"/>
          <w:spacing w:val="-3"/>
          <w:sz w:val="24"/>
          <w:highlight w:val="none"/>
          <w:lang w:val="en-US" w:eastAsia="zh-CN"/>
        </w:rPr>
        <w:t>14.1.2</w:t>
      </w:r>
      <w:r>
        <w:rPr>
          <w:spacing w:val="-3"/>
          <w:sz w:val="24"/>
          <w:highlight w:val="none"/>
        </w:rPr>
        <w:t>用符合合同规定的规格、质量和性能要求的新零件、部件和</w:t>
      </w:r>
      <w:r>
        <w:rPr>
          <w:sz w:val="24"/>
          <w:highlight w:val="none"/>
        </w:rPr>
        <w:t>/或设备来更换有缺陷的部分和/或修补缺陷部分，卖方应承担一切费用和风险并负担买方</w:t>
      </w:r>
      <w:r>
        <w:rPr>
          <w:spacing w:val="-3"/>
          <w:sz w:val="24"/>
          <w:highlight w:val="none"/>
        </w:rPr>
        <w:t xml:space="preserve">蒙受的全部损失费用。同时，卖方应按合同条款第 </w:t>
      </w:r>
      <w:r>
        <w:rPr>
          <w:sz w:val="24"/>
          <w:highlight w:val="none"/>
        </w:rPr>
        <w:t>14</w:t>
      </w:r>
      <w:r>
        <w:rPr>
          <w:spacing w:val="-8"/>
          <w:sz w:val="24"/>
          <w:highlight w:val="none"/>
        </w:rPr>
        <w:t xml:space="preserve"> 条规定，相应延长所更换</w:t>
      </w:r>
      <w:r>
        <w:rPr>
          <w:spacing w:val="-12"/>
          <w:sz w:val="24"/>
          <w:highlight w:val="none"/>
        </w:rPr>
        <w:t>货物的质量保证期。在延长期满未能履行的，视为违约，由卖方支付合同总价款</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5%的违约金给买方，并赔偿实际损失。</w:t>
      </w:r>
    </w:p>
    <w:p>
      <w:pPr>
        <w:pStyle w:val="18"/>
        <w:keepNext w:val="0"/>
        <w:keepLines w:val="0"/>
        <w:pageBreakBefore w:val="0"/>
        <w:widowControl w:val="0"/>
        <w:numPr>
          <w:ilvl w:val="0"/>
          <w:numId w:val="0"/>
        </w:numPr>
        <w:tabs>
          <w:tab w:val="left" w:pos="1138"/>
        </w:tabs>
        <w:kinsoku/>
        <w:wordWrap/>
        <w:overflowPunct/>
        <w:topLinePunct w:val="0"/>
        <w:autoSpaceDE w:val="0"/>
        <w:autoSpaceDN w:val="0"/>
        <w:bidi w:val="0"/>
        <w:adjustRightInd/>
        <w:snapToGrid/>
        <w:spacing w:before="0" w:after="0" w:line="336" w:lineRule="auto"/>
        <w:ind w:left="240" w:leftChars="0" w:right="0" w:rightChars="0"/>
        <w:jc w:val="both"/>
        <w:textAlignment w:val="auto"/>
        <w:rPr>
          <w:sz w:val="24"/>
          <w:highlight w:val="none"/>
        </w:rPr>
      </w:pPr>
      <w:r>
        <w:rPr>
          <w:rFonts w:hint="eastAsia"/>
          <w:sz w:val="24"/>
          <w:highlight w:val="none"/>
          <w:lang w:val="en-US" w:eastAsia="zh-CN"/>
        </w:rPr>
        <w:t>14.1.32</w:t>
      </w:r>
      <w:r>
        <w:rPr>
          <w:sz w:val="24"/>
          <w:highlight w:val="none"/>
        </w:rPr>
        <w:t>如果在买方发出索赔通知后三十(30)天内，卖方未作答复，上述索赔</w:t>
      </w:r>
      <w:r>
        <w:rPr>
          <w:spacing w:val="-9"/>
          <w:sz w:val="24"/>
          <w:highlight w:val="none"/>
        </w:rPr>
        <w:t>应视为已被卖方接受。如卖方未能在买方发出索赔通知后三十</w:t>
      </w:r>
      <w:r>
        <w:rPr>
          <w:sz w:val="24"/>
          <w:highlight w:val="none"/>
        </w:rPr>
        <w:t>(30)天内或买方同</w:t>
      </w:r>
      <w:r>
        <w:rPr>
          <w:spacing w:val="-8"/>
          <w:sz w:val="24"/>
          <w:highlight w:val="none"/>
        </w:rPr>
        <w:t>意的延长期限内，按照买方同意的上述规定的任何一种方法解决索赔事宜，买方</w:t>
      </w:r>
      <w:r>
        <w:rPr>
          <w:spacing w:val="-12"/>
          <w:sz w:val="24"/>
          <w:highlight w:val="none"/>
        </w:rPr>
        <w:t>将从议付货款或从卖方开具的履约保证金中扣回索赔金额。不足以赔偿买方损失</w:t>
      </w:r>
      <w:r>
        <w:rPr>
          <w:spacing w:val="-10"/>
          <w:sz w:val="24"/>
          <w:highlight w:val="none"/>
        </w:rPr>
        <w:t xml:space="preserve">的，买方有权向卖方追偿，并由卖方支付合同总价款 </w:t>
      </w:r>
      <w:r>
        <w:rPr>
          <w:sz w:val="24"/>
          <w:highlight w:val="none"/>
        </w:rPr>
        <w:t>5%的违约金给买方给买方， 并赔偿实际损失</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15．付 款</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15.1 本合同项下的付款方法和条件在“合同条款资料表”中有规定。</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16．价 格</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16.1 卖方在本合同项下提交货物和履行服务的价格在合同中给出。</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w w:val="95"/>
          <w:highlight w:val="none"/>
        </w:rPr>
        <w:t>17．变更指令</w:t>
      </w:r>
    </w:p>
    <w:p>
      <w:pPr>
        <w:pStyle w:val="18"/>
        <w:keepNext w:val="0"/>
        <w:keepLines w:val="0"/>
        <w:pageBreakBefore w:val="0"/>
        <w:widowControl w:val="0"/>
        <w:numPr>
          <w:ilvl w:val="0"/>
          <w:numId w:val="0"/>
        </w:numPr>
        <w:tabs>
          <w:tab w:val="left" w:pos="958"/>
        </w:tabs>
        <w:kinsoku/>
        <w:wordWrap/>
        <w:overflowPunct/>
        <w:topLinePunct w:val="0"/>
        <w:autoSpaceDE w:val="0"/>
        <w:autoSpaceDN w:val="0"/>
        <w:bidi w:val="0"/>
        <w:adjustRightInd/>
        <w:snapToGrid/>
        <w:spacing w:before="0" w:after="0" w:line="336" w:lineRule="auto"/>
        <w:ind w:left="240" w:leftChars="0" w:right="0" w:rightChars="0"/>
        <w:jc w:val="both"/>
        <w:textAlignment w:val="auto"/>
        <w:rPr>
          <w:sz w:val="24"/>
          <w:highlight w:val="none"/>
        </w:rPr>
      </w:pPr>
      <w:r>
        <w:rPr>
          <w:rFonts w:hint="eastAsia"/>
          <w:spacing w:val="-8"/>
          <w:sz w:val="24"/>
          <w:highlight w:val="none"/>
          <w:lang w:val="en-US" w:eastAsia="zh-CN"/>
        </w:rPr>
        <w:t>17.1</w:t>
      </w:r>
      <w:r>
        <w:rPr>
          <w:spacing w:val="-8"/>
          <w:sz w:val="24"/>
          <w:highlight w:val="none"/>
        </w:rPr>
        <w:t xml:space="preserve">根据合同条款第 </w:t>
      </w:r>
      <w:r>
        <w:rPr>
          <w:sz w:val="24"/>
          <w:highlight w:val="none"/>
        </w:rPr>
        <w:t>30</w:t>
      </w:r>
      <w:r>
        <w:rPr>
          <w:spacing w:val="-8"/>
          <w:sz w:val="24"/>
          <w:highlight w:val="none"/>
        </w:rPr>
        <w:t xml:space="preserve"> 条的规定，买方可以在任何时候书面向卖方发出指令，在本合同的一般范围内变更下述四项内容：</w:t>
      </w:r>
    </w:p>
    <w:p>
      <w:pPr>
        <w:pStyle w:val="18"/>
        <w:keepNext w:val="0"/>
        <w:keepLines w:val="0"/>
        <w:pageBreakBefore w:val="0"/>
        <w:widowControl w:val="0"/>
        <w:numPr>
          <w:ilvl w:val="0"/>
          <w:numId w:val="0"/>
        </w:numPr>
        <w:tabs>
          <w:tab w:val="left" w:pos="1138"/>
        </w:tabs>
        <w:kinsoku/>
        <w:wordWrap/>
        <w:overflowPunct/>
        <w:topLinePunct w:val="0"/>
        <w:autoSpaceDE w:val="0"/>
        <w:autoSpaceDN w:val="0"/>
        <w:bidi w:val="0"/>
        <w:adjustRightInd/>
        <w:snapToGrid/>
        <w:spacing w:before="0" w:after="0" w:line="240" w:lineRule="auto"/>
        <w:ind w:left="-780" w:leftChars="0" w:right="0" w:rightChars="0" w:firstLine="960" w:firstLineChars="400"/>
        <w:jc w:val="both"/>
        <w:textAlignment w:val="auto"/>
        <w:rPr>
          <w:sz w:val="24"/>
          <w:highlight w:val="none"/>
        </w:rPr>
      </w:pPr>
      <w:r>
        <w:rPr>
          <w:rFonts w:hint="eastAsia"/>
          <w:sz w:val="24"/>
          <w:highlight w:val="none"/>
          <w:lang w:val="en-US" w:eastAsia="zh-CN"/>
        </w:rPr>
        <w:t>17.1.1</w:t>
      </w:r>
      <w:r>
        <w:rPr>
          <w:sz w:val="24"/>
          <w:highlight w:val="none"/>
        </w:rPr>
        <w:t>本合同项下提供的货物是专为买方制造时，变更图纸、设计或规格；</w:t>
      </w:r>
    </w:p>
    <w:p>
      <w:pPr>
        <w:pStyle w:val="18"/>
        <w:keepNext w:val="0"/>
        <w:keepLines w:val="0"/>
        <w:pageBreakBefore w:val="0"/>
        <w:widowControl w:val="0"/>
        <w:numPr>
          <w:ilvl w:val="0"/>
          <w:numId w:val="0"/>
        </w:numPr>
        <w:tabs>
          <w:tab w:val="left" w:pos="1138"/>
        </w:tabs>
        <w:kinsoku/>
        <w:wordWrap/>
        <w:overflowPunct/>
        <w:topLinePunct w:val="0"/>
        <w:autoSpaceDE w:val="0"/>
        <w:autoSpaceDN w:val="0"/>
        <w:bidi w:val="0"/>
        <w:adjustRightInd/>
        <w:snapToGrid/>
        <w:spacing w:before="0" w:after="0" w:line="240" w:lineRule="auto"/>
        <w:ind w:left="-780" w:leftChars="0" w:right="0" w:rightChars="0" w:firstLine="960" w:firstLineChars="400"/>
        <w:jc w:val="both"/>
        <w:textAlignment w:val="auto"/>
        <w:rPr>
          <w:sz w:val="24"/>
          <w:highlight w:val="none"/>
        </w:rPr>
      </w:pPr>
      <w:r>
        <w:rPr>
          <w:rFonts w:hint="eastAsia"/>
          <w:sz w:val="24"/>
          <w:highlight w:val="none"/>
          <w:lang w:val="en-US" w:eastAsia="zh-CN"/>
        </w:rPr>
        <w:t>17.1.2</w:t>
      </w:r>
      <w:r>
        <w:rPr>
          <w:sz w:val="24"/>
          <w:highlight w:val="none"/>
        </w:rPr>
        <w:t>运输或包装的方法；</w:t>
      </w:r>
    </w:p>
    <w:p>
      <w:pPr>
        <w:pStyle w:val="18"/>
        <w:keepNext w:val="0"/>
        <w:keepLines w:val="0"/>
        <w:pageBreakBefore w:val="0"/>
        <w:widowControl w:val="0"/>
        <w:numPr>
          <w:ilvl w:val="0"/>
          <w:numId w:val="0"/>
        </w:numPr>
        <w:tabs>
          <w:tab w:val="left" w:pos="1107"/>
        </w:tabs>
        <w:kinsoku/>
        <w:wordWrap/>
        <w:overflowPunct/>
        <w:topLinePunct w:val="0"/>
        <w:autoSpaceDE w:val="0"/>
        <w:autoSpaceDN w:val="0"/>
        <w:bidi w:val="0"/>
        <w:adjustRightInd/>
        <w:snapToGrid/>
        <w:spacing w:before="0" w:after="0" w:line="240" w:lineRule="auto"/>
        <w:ind w:right="0" w:rightChars="0"/>
        <w:jc w:val="both"/>
        <w:textAlignment w:val="auto"/>
        <w:rPr>
          <w:sz w:val="24"/>
          <w:highlight w:val="none"/>
        </w:rPr>
      </w:pPr>
      <w:r>
        <w:rPr>
          <w:rFonts w:hint="eastAsia"/>
          <w:sz w:val="24"/>
          <w:highlight w:val="none"/>
          <w:lang w:val="en-US" w:eastAsia="zh-CN"/>
        </w:rPr>
        <w:t>17.1.3</w:t>
      </w:r>
      <w:r>
        <w:rPr>
          <w:sz w:val="24"/>
          <w:highlight w:val="none"/>
        </w:rPr>
        <w:t>交货地点；</w:t>
      </w:r>
    </w:p>
    <w:p>
      <w:pPr>
        <w:pStyle w:val="18"/>
        <w:keepNext w:val="0"/>
        <w:keepLines w:val="0"/>
        <w:pageBreakBefore w:val="0"/>
        <w:widowControl w:val="0"/>
        <w:numPr>
          <w:ilvl w:val="0"/>
          <w:numId w:val="0"/>
        </w:numPr>
        <w:tabs>
          <w:tab w:val="left" w:pos="1138"/>
        </w:tabs>
        <w:kinsoku/>
        <w:wordWrap/>
        <w:overflowPunct/>
        <w:topLinePunct w:val="0"/>
        <w:autoSpaceDE w:val="0"/>
        <w:autoSpaceDN w:val="0"/>
        <w:bidi w:val="0"/>
        <w:adjustRightInd/>
        <w:snapToGrid/>
        <w:spacing w:before="0" w:after="0" w:line="240" w:lineRule="auto"/>
        <w:ind w:right="0" w:rightChars="0"/>
        <w:jc w:val="both"/>
        <w:textAlignment w:val="auto"/>
        <w:rPr>
          <w:sz w:val="24"/>
          <w:highlight w:val="none"/>
        </w:rPr>
      </w:pPr>
      <w:r>
        <w:rPr>
          <w:rFonts w:hint="eastAsia"/>
          <w:sz w:val="24"/>
          <w:highlight w:val="none"/>
          <w:lang w:val="en-US" w:eastAsia="zh-CN"/>
        </w:rPr>
        <w:t>17.1.4</w:t>
      </w:r>
      <w:r>
        <w:rPr>
          <w:sz w:val="24"/>
          <w:highlight w:val="none"/>
        </w:rPr>
        <w:t>卖方提供的服务。</w:t>
      </w:r>
    </w:p>
    <w:p>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left="0" w:right="0" w:firstLine="240"/>
        <w:jc w:val="both"/>
        <w:textAlignment w:val="auto"/>
        <w:rPr>
          <w:highlight w:val="none"/>
        </w:rPr>
      </w:pPr>
      <w:r>
        <w:rPr>
          <w:highlight w:val="none"/>
        </w:rPr>
        <w:t>17.2 如果上述变更使卖方履行合同义务的费用或时间增加或减少，将对合同</w:t>
      </w:r>
      <w:r>
        <w:rPr>
          <w:spacing w:val="-5"/>
          <w:highlight w:val="none"/>
        </w:rPr>
        <w:t>价或交货时间或两者进行公平的调整，同时相应修改合同。卖方根据本条进行调整的要求必须在收到买方的变更指令后三十（30）天内提出。</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w w:val="95"/>
          <w:highlight w:val="none"/>
        </w:rPr>
        <w:t>18．合同修改</w:t>
      </w:r>
    </w:p>
    <w:p>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left="0" w:right="0" w:firstLine="240"/>
        <w:jc w:val="both"/>
        <w:textAlignment w:val="auto"/>
        <w:rPr>
          <w:highlight w:val="none"/>
        </w:rPr>
      </w:pPr>
      <w:r>
        <w:rPr>
          <w:highlight w:val="none"/>
        </w:rPr>
        <w:t>18.1</w:t>
      </w:r>
      <w:r>
        <w:rPr>
          <w:spacing w:val="-7"/>
          <w:highlight w:val="none"/>
        </w:rPr>
        <w:t xml:space="preserve"> 除了合同条款第 </w:t>
      </w:r>
      <w:r>
        <w:rPr>
          <w:highlight w:val="none"/>
        </w:rPr>
        <w:t>17</w:t>
      </w:r>
      <w:r>
        <w:rPr>
          <w:spacing w:val="-13"/>
          <w:highlight w:val="none"/>
        </w:rPr>
        <w:t xml:space="preserve"> 条的情况，不应对合同条款进行任何变更或修改，除非双方同意并签订书面的合同修改书。</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19．转 让</w:t>
      </w:r>
    </w:p>
    <w:p>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left="0" w:right="0" w:firstLine="240"/>
        <w:jc w:val="both"/>
        <w:textAlignment w:val="auto"/>
        <w:rPr>
          <w:highlight w:val="none"/>
        </w:rPr>
      </w:pPr>
      <w:r>
        <w:rPr>
          <w:highlight w:val="none"/>
        </w:rPr>
        <w:t>19.1 除买方事先书面同意外，卖方不得部分转让或全部转让其应履行的合同义务，如有违反，由卖方支付买方合同总价款 5%的违约金，并赔偿实际损失。</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20．分 包</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20.1 未经买方同意，卖方不得将合同分包。</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w w:val="95"/>
          <w:highlight w:val="none"/>
        </w:rPr>
        <w:t>21．卖方履约延误</w:t>
      </w:r>
    </w:p>
    <w:p>
      <w:pPr>
        <w:pStyle w:val="18"/>
        <w:keepNext w:val="0"/>
        <w:keepLines w:val="0"/>
        <w:pageBreakBefore w:val="0"/>
        <w:widowControl w:val="0"/>
        <w:numPr>
          <w:ilvl w:val="0"/>
          <w:numId w:val="0"/>
        </w:numPr>
        <w:tabs>
          <w:tab w:val="left" w:pos="958"/>
        </w:tabs>
        <w:kinsoku/>
        <w:wordWrap/>
        <w:overflowPunct/>
        <w:topLinePunct w:val="0"/>
        <w:autoSpaceDE w:val="0"/>
        <w:autoSpaceDN w:val="0"/>
        <w:bidi w:val="0"/>
        <w:adjustRightInd/>
        <w:snapToGrid/>
        <w:spacing w:before="0" w:after="0" w:line="240" w:lineRule="auto"/>
        <w:ind w:left="240" w:leftChars="0" w:right="0" w:rightChars="0"/>
        <w:jc w:val="both"/>
        <w:textAlignment w:val="auto"/>
        <w:rPr>
          <w:sz w:val="24"/>
          <w:highlight w:val="none"/>
        </w:rPr>
      </w:pPr>
      <w:r>
        <w:rPr>
          <w:rFonts w:hint="eastAsia"/>
          <w:sz w:val="24"/>
          <w:highlight w:val="none"/>
          <w:lang w:val="en-US" w:eastAsia="zh-CN"/>
        </w:rPr>
        <w:t>21.1</w:t>
      </w:r>
      <w:r>
        <w:rPr>
          <w:sz w:val="24"/>
          <w:highlight w:val="none"/>
        </w:rPr>
        <w:t>卖方应按照“货物需求一览表”中买方规定的时间表交货和提供服务。</w:t>
      </w:r>
    </w:p>
    <w:p>
      <w:pPr>
        <w:pStyle w:val="18"/>
        <w:keepNext w:val="0"/>
        <w:keepLines w:val="0"/>
        <w:pageBreakBefore w:val="0"/>
        <w:widowControl w:val="0"/>
        <w:numPr>
          <w:ilvl w:val="0"/>
          <w:numId w:val="0"/>
        </w:numPr>
        <w:tabs>
          <w:tab w:val="left" w:pos="958"/>
        </w:tabs>
        <w:kinsoku/>
        <w:wordWrap/>
        <w:overflowPunct/>
        <w:topLinePunct w:val="0"/>
        <w:autoSpaceDE w:val="0"/>
        <w:autoSpaceDN w:val="0"/>
        <w:bidi w:val="0"/>
        <w:adjustRightInd/>
        <w:snapToGrid/>
        <w:spacing w:before="0" w:after="0" w:line="336" w:lineRule="auto"/>
        <w:ind w:left="240" w:leftChars="0" w:right="0" w:rightChars="0"/>
        <w:jc w:val="both"/>
        <w:textAlignment w:val="auto"/>
        <w:rPr>
          <w:sz w:val="24"/>
          <w:highlight w:val="none"/>
        </w:rPr>
      </w:pPr>
      <w:r>
        <w:rPr>
          <w:rFonts w:hint="eastAsia"/>
          <w:sz w:val="24"/>
          <w:highlight w:val="none"/>
          <w:lang w:val="en-US" w:eastAsia="zh-CN"/>
        </w:rPr>
        <w:t>21.2</w:t>
      </w:r>
      <w:r>
        <w:rPr>
          <w:sz w:val="24"/>
          <w:highlight w:val="none"/>
        </w:rPr>
        <w:t>在履行合同过程中，如果卖方及其分包人遇到妨碍按时交货和提供服务的情况时，应及时以书面形式将拖延的事实，可能拖延的时间和原因通知买方。</w:t>
      </w:r>
      <w:r>
        <w:rPr>
          <w:spacing w:val="-7"/>
          <w:sz w:val="24"/>
          <w:highlight w:val="none"/>
        </w:rPr>
        <w:t>买方在收到卖方通知后，应尽快对情况进行评价，并确定是否同意延长交货时间以及是否收取误期赔偿费。延期应通过修改合同的方式由双方认可。</w:t>
      </w:r>
    </w:p>
    <w:p>
      <w:pPr>
        <w:pStyle w:val="18"/>
        <w:keepNext w:val="0"/>
        <w:keepLines w:val="0"/>
        <w:pageBreakBefore w:val="0"/>
        <w:widowControl w:val="0"/>
        <w:numPr>
          <w:ilvl w:val="0"/>
          <w:numId w:val="0"/>
        </w:numPr>
        <w:tabs>
          <w:tab w:val="left" w:pos="958"/>
        </w:tabs>
        <w:kinsoku/>
        <w:wordWrap/>
        <w:overflowPunct/>
        <w:topLinePunct w:val="0"/>
        <w:autoSpaceDE w:val="0"/>
        <w:autoSpaceDN w:val="0"/>
        <w:bidi w:val="0"/>
        <w:adjustRightInd/>
        <w:snapToGrid/>
        <w:spacing w:before="0" w:after="0" w:line="336" w:lineRule="auto"/>
        <w:ind w:left="240" w:leftChars="0" w:right="0" w:rightChars="0"/>
        <w:jc w:val="both"/>
        <w:textAlignment w:val="auto"/>
        <w:rPr>
          <w:sz w:val="24"/>
          <w:highlight w:val="none"/>
        </w:rPr>
      </w:pPr>
      <w:r>
        <w:rPr>
          <w:rFonts w:hint="eastAsia"/>
          <w:spacing w:val="-8"/>
          <w:sz w:val="24"/>
          <w:highlight w:val="none"/>
          <w:lang w:val="en-US" w:eastAsia="zh-CN"/>
        </w:rPr>
        <w:t>21.3</w:t>
      </w:r>
      <w:r>
        <w:rPr>
          <w:spacing w:val="-8"/>
          <w:sz w:val="24"/>
          <w:highlight w:val="none"/>
        </w:rPr>
        <w:t xml:space="preserve">除了合同条款第 </w:t>
      </w:r>
      <w:r>
        <w:rPr>
          <w:sz w:val="24"/>
          <w:highlight w:val="none"/>
        </w:rPr>
        <w:t>24</w:t>
      </w:r>
      <w:r>
        <w:rPr>
          <w:spacing w:val="-13"/>
          <w:sz w:val="24"/>
          <w:highlight w:val="none"/>
        </w:rPr>
        <w:t xml:space="preserve"> 条的情况外，除非拖延是根据合同规定取得同意而不</w:t>
      </w:r>
      <w:r>
        <w:rPr>
          <w:spacing w:val="-15"/>
          <w:sz w:val="24"/>
          <w:highlight w:val="none"/>
        </w:rPr>
        <w:t xml:space="preserve">收取误期赔偿费之外，卖方拖延交货，将按合同条款第 </w:t>
      </w:r>
      <w:r>
        <w:rPr>
          <w:sz w:val="24"/>
          <w:highlight w:val="none"/>
        </w:rPr>
        <w:t>22</w:t>
      </w:r>
      <w:r>
        <w:rPr>
          <w:spacing w:val="-8"/>
          <w:sz w:val="24"/>
          <w:highlight w:val="none"/>
        </w:rPr>
        <w:t xml:space="preserve"> 条的规定被收取误期赔偿费。</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w w:val="95"/>
          <w:highlight w:val="none"/>
        </w:rPr>
        <w:t>22．误期赔偿费</w:t>
      </w:r>
    </w:p>
    <w:p>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left="0" w:right="0" w:firstLine="480"/>
        <w:jc w:val="both"/>
        <w:textAlignment w:val="auto"/>
        <w:rPr>
          <w:highlight w:val="none"/>
        </w:rPr>
      </w:pPr>
      <w:r>
        <w:rPr>
          <w:highlight w:val="none"/>
        </w:rPr>
        <w:t>22.1</w:t>
      </w:r>
      <w:r>
        <w:rPr>
          <w:spacing w:val="-8"/>
          <w:highlight w:val="none"/>
        </w:rPr>
        <w:t xml:space="preserve"> 除合同条款第 </w:t>
      </w:r>
      <w:r>
        <w:rPr>
          <w:highlight w:val="none"/>
        </w:rPr>
        <w:t>25</w:t>
      </w:r>
      <w:r>
        <w:rPr>
          <w:spacing w:val="-13"/>
          <w:highlight w:val="none"/>
        </w:rPr>
        <w:t xml:space="preserve"> 条规定的情况外，如果卖方没有按照合同规定的时间</w:t>
      </w:r>
      <w:r>
        <w:rPr>
          <w:spacing w:val="-14"/>
          <w:highlight w:val="none"/>
        </w:rPr>
        <w:t>交货和提供服务，买方应在不影响合同项下的其他补救措施的情况下，从合同价</w:t>
      </w:r>
      <w:r>
        <w:rPr>
          <w:spacing w:val="-15"/>
          <w:highlight w:val="none"/>
        </w:rPr>
        <w:t>中扣除误期赔偿费。每延误一日的赔偿费按迟交货物交货价或未提供服务的服务</w:t>
      </w:r>
      <w:r>
        <w:rPr>
          <w:spacing w:val="-16"/>
          <w:highlight w:val="none"/>
        </w:rPr>
        <w:t>费用的万分之三计收，直至交货或提供服务为止。误期赔偿费的最高限额为合同价格的百分之五(5％)。一旦达到误期赔偿费的最高限额，买方有权根据合同条</w:t>
      </w:r>
      <w:r>
        <w:rPr>
          <w:spacing w:val="-31"/>
          <w:highlight w:val="none"/>
        </w:rPr>
        <w:t xml:space="preserve">款第 </w:t>
      </w:r>
      <w:r>
        <w:rPr>
          <w:highlight w:val="none"/>
        </w:rPr>
        <w:t>24</w:t>
      </w:r>
      <w:r>
        <w:rPr>
          <w:spacing w:val="-8"/>
          <w:highlight w:val="none"/>
        </w:rPr>
        <w:t xml:space="preserve"> 条的规定终止合同。</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w w:val="95"/>
          <w:highlight w:val="none"/>
        </w:rPr>
        <w:t>23．卖方其他违约责任</w:t>
      </w:r>
    </w:p>
    <w:p>
      <w:pPr>
        <w:pStyle w:val="18"/>
        <w:keepNext w:val="0"/>
        <w:keepLines w:val="0"/>
        <w:pageBreakBefore w:val="0"/>
        <w:widowControl w:val="0"/>
        <w:numPr>
          <w:ilvl w:val="0"/>
          <w:numId w:val="0"/>
        </w:numPr>
        <w:tabs>
          <w:tab w:val="left" w:pos="1198"/>
        </w:tabs>
        <w:kinsoku/>
        <w:wordWrap/>
        <w:overflowPunct/>
        <w:topLinePunct w:val="0"/>
        <w:autoSpaceDE w:val="0"/>
        <w:autoSpaceDN w:val="0"/>
        <w:bidi w:val="0"/>
        <w:adjustRightInd/>
        <w:snapToGrid/>
        <w:spacing w:before="0" w:after="0" w:line="240" w:lineRule="auto"/>
        <w:ind w:left="-600" w:leftChars="0" w:right="0" w:rightChars="0"/>
        <w:jc w:val="both"/>
        <w:textAlignment w:val="auto"/>
        <w:rPr>
          <w:sz w:val="24"/>
          <w:highlight w:val="none"/>
        </w:rPr>
      </w:pPr>
      <w:r>
        <w:rPr>
          <w:rFonts w:hint="eastAsia"/>
          <w:spacing w:val="-9"/>
          <w:sz w:val="24"/>
          <w:highlight w:val="none"/>
          <w:lang w:val="en-US" w:eastAsia="zh-CN"/>
        </w:rPr>
        <w:t>23.1</w:t>
      </w:r>
      <w:r>
        <w:rPr>
          <w:spacing w:val="-9"/>
          <w:sz w:val="24"/>
          <w:highlight w:val="none"/>
        </w:rPr>
        <w:t xml:space="preserve">卖方出现除第 </w:t>
      </w:r>
      <w:r>
        <w:rPr>
          <w:sz w:val="24"/>
          <w:highlight w:val="none"/>
        </w:rPr>
        <w:t>23</w:t>
      </w:r>
      <w:r>
        <w:rPr>
          <w:spacing w:val="-8"/>
          <w:sz w:val="24"/>
          <w:highlight w:val="none"/>
        </w:rPr>
        <w:t xml:space="preserve"> 条之外的违约情形时，违约责任如下：</w:t>
      </w:r>
    </w:p>
    <w:p>
      <w:pPr>
        <w:pStyle w:val="18"/>
        <w:keepNext w:val="0"/>
        <w:keepLines w:val="0"/>
        <w:pageBreakBefore w:val="0"/>
        <w:widowControl w:val="0"/>
        <w:numPr>
          <w:ilvl w:val="2"/>
          <w:numId w:val="7"/>
        </w:numPr>
        <w:tabs>
          <w:tab w:val="left" w:pos="1378"/>
        </w:tabs>
        <w:kinsoku/>
        <w:wordWrap/>
        <w:overflowPunct/>
        <w:topLinePunct w:val="0"/>
        <w:autoSpaceDE w:val="0"/>
        <w:autoSpaceDN w:val="0"/>
        <w:bidi w:val="0"/>
        <w:adjustRightInd/>
        <w:snapToGrid/>
        <w:spacing w:before="0" w:after="0" w:line="336" w:lineRule="auto"/>
        <w:ind w:left="0" w:right="0" w:firstLine="480"/>
        <w:jc w:val="both"/>
        <w:textAlignment w:val="auto"/>
        <w:rPr>
          <w:sz w:val="24"/>
          <w:highlight w:val="none"/>
        </w:rPr>
      </w:pPr>
      <w:r>
        <w:rPr>
          <w:rFonts w:hint="eastAsia"/>
          <w:sz w:val="24"/>
          <w:highlight w:val="none"/>
          <w:lang w:val="en-US" w:eastAsia="zh-CN"/>
        </w:rPr>
        <w:t>23.1.1</w:t>
      </w:r>
      <w:r>
        <w:rPr>
          <w:sz w:val="24"/>
          <w:highlight w:val="none"/>
        </w:rPr>
        <w:t>自违约行为或事件发生之日，每日支付违约金，其金额为合同总价的万分之三；</w:t>
      </w:r>
    </w:p>
    <w:p>
      <w:pPr>
        <w:pStyle w:val="18"/>
        <w:keepNext w:val="0"/>
        <w:keepLines w:val="0"/>
        <w:pageBreakBefore w:val="0"/>
        <w:widowControl w:val="0"/>
        <w:numPr>
          <w:ilvl w:val="2"/>
          <w:numId w:val="7"/>
        </w:numPr>
        <w:tabs>
          <w:tab w:val="left" w:pos="1378"/>
        </w:tabs>
        <w:kinsoku/>
        <w:wordWrap/>
        <w:overflowPunct/>
        <w:topLinePunct w:val="0"/>
        <w:autoSpaceDE w:val="0"/>
        <w:autoSpaceDN w:val="0"/>
        <w:bidi w:val="0"/>
        <w:adjustRightInd/>
        <w:snapToGrid/>
        <w:spacing w:before="0" w:after="0" w:line="338" w:lineRule="auto"/>
        <w:ind w:left="0" w:right="0" w:firstLine="480"/>
        <w:jc w:val="both"/>
        <w:textAlignment w:val="auto"/>
        <w:rPr>
          <w:sz w:val="24"/>
          <w:highlight w:val="none"/>
        </w:rPr>
      </w:pPr>
      <w:r>
        <w:rPr>
          <w:rFonts w:hint="eastAsia"/>
          <w:sz w:val="24"/>
          <w:highlight w:val="none"/>
          <w:lang w:val="en-US" w:eastAsia="zh-CN"/>
        </w:rPr>
        <w:t>23.1.2</w:t>
      </w:r>
      <w:r>
        <w:rPr>
          <w:sz w:val="24"/>
          <w:highlight w:val="none"/>
        </w:rPr>
        <w:t>违约天数为违约行为或事件发生之日至违约行为纠正或违约情形消除之日；</w:t>
      </w:r>
    </w:p>
    <w:p>
      <w:pPr>
        <w:pStyle w:val="18"/>
        <w:keepNext w:val="0"/>
        <w:keepLines w:val="0"/>
        <w:pageBreakBefore w:val="0"/>
        <w:widowControl w:val="0"/>
        <w:numPr>
          <w:ilvl w:val="0"/>
          <w:numId w:val="0"/>
        </w:numPr>
        <w:tabs>
          <w:tab w:val="left" w:pos="1378"/>
        </w:tabs>
        <w:kinsoku/>
        <w:wordWrap/>
        <w:overflowPunct/>
        <w:topLinePunct w:val="0"/>
        <w:autoSpaceDE w:val="0"/>
        <w:autoSpaceDN w:val="0"/>
        <w:bidi w:val="0"/>
        <w:adjustRightInd/>
        <w:snapToGrid/>
        <w:spacing w:before="0" w:after="0" w:line="240" w:lineRule="auto"/>
        <w:ind w:left="480" w:leftChars="0" w:right="0" w:rightChars="0"/>
        <w:jc w:val="both"/>
        <w:textAlignment w:val="auto"/>
        <w:rPr>
          <w:sz w:val="24"/>
          <w:highlight w:val="none"/>
        </w:rPr>
      </w:pPr>
      <w:r>
        <w:rPr>
          <w:rFonts w:hint="eastAsia"/>
          <w:sz w:val="24"/>
          <w:highlight w:val="none"/>
          <w:lang w:val="en-US" w:eastAsia="zh-CN"/>
        </w:rPr>
        <w:t>23.1.3</w:t>
      </w:r>
      <w:r>
        <w:rPr>
          <w:sz w:val="24"/>
          <w:highlight w:val="none"/>
        </w:rPr>
        <w:t>违约金=日违约金×违约天数。</w:t>
      </w:r>
    </w:p>
    <w:p>
      <w:pPr>
        <w:pStyle w:val="18"/>
        <w:keepNext w:val="0"/>
        <w:keepLines w:val="0"/>
        <w:pageBreakBefore w:val="0"/>
        <w:widowControl w:val="0"/>
        <w:numPr>
          <w:ilvl w:val="0"/>
          <w:numId w:val="0"/>
        </w:numPr>
        <w:tabs>
          <w:tab w:val="left" w:pos="1378"/>
        </w:tabs>
        <w:kinsoku/>
        <w:wordWrap/>
        <w:overflowPunct/>
        <w:topLinePunct w:val="0"/>
        <w:autoSpaceDE w:val="0"/>
        <w:autoSpaceDN w:val="0"/>
        <w:bidi w:val="0"/>
        <w:adjustRightInd/>
        <w:snapToGrid/>
        <w:spacing w:before="0" w:after="0" w:line="240" w:lineRule="auto"/>
        <w:ind w:left="480" w:leftChars="0" w:right="0" w:rightChars="0"/>
        <w:jc w:val="both"/>
        <w:textAlignment w:val="auto"/>
        <w:rPr>
          <w:sz w:val="24"/>
          <w:highlight w:val="none"/>
        </w:rPr>
      </w:pPr>
      <w:r>
        <w:rPr>
          <w:rFonts w:hint="eastAsia"/>
          <w:sz w:val="24"/>
          <w:highlight w:val="none"/>
          <w:lang w:val="en-US" w:eastAsia="zh-CN"/>
        </w:rPr>
        <w:t>23.1.4</w:t>
      </w:r>
      <w:r>
        <w:rPr>
          <w:sz w:val="24"/>
          <w:highlight w:val="none"/>
        </w:rPr>
        <w:t>实际损失大于违约金的，违约方还应支付差额部分。</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w w:val="95"/>
          <w:highlight w:val="none"/>
        </w:rPr>
        <w:t>24．违约终止合同</w:t>
      </w:r>
    </w:p>
    <w:p>
      <w:pPr>
        <w:pStyle w:val="18"/>
        <w:keepNext w:val="0"/>
        <w:keepLines w:val="0"/>
        <w:pageBreakBefore w:val="0"/>
        <w:widowControl w:val="0"/>
        <w:numPr>
          <w:ilvl w:val="0"/>
          <w:numId w:val="0"/>
        </w:numPr>
        <w:tabs>
          <w:tab w:val="left" w:pos="958"/>
        </w:tabs>
        <w:kinsoku/>
        <w:wordWrap/>
        <w:overflowPunct/>
        <w:topLinePunct w:val="0"/>
        <w:autoSpaceDE w:val="0"/>
        <w:autoSpaceDN w:val="0"/>
        <w:bidi w:val="0"/>
        <w:adjustRightInd/>
        <w:snapToGrid/>
        <w:spacing w:before="0" w:after="0" w:line="336" w:lineRule="auto"/>
        <w:ind w:left="240" w:leftChars="0" w:right="0" w:rightChars="0"/>
        <w:jc w:val="both"/>
        <w:textAlignment w:val="auto"/>
        <w:rPr>
          <w:sz w:val="24"/>
          <w:highlight w:val="none"/>
        </w:rPr>
      </w:pPr>
      <w:r>
        <w:rPr>
          <w:rFonts w:hint="eastAsia"/>
          <w:sz w:val="24"/>
          <w:highlight w:val="none"/>
          <w:lang w:val="en-US" w:eastAsia="zh-CN"/>
        </w:rPr>
        <w:t>24.1</w:t>
      </w:r>
      <w:r>
        <w:rPr>
          <w:sz w:val="24"/>
          <w:highlight w:val="none"/>
        </w:rPr>
        <w:t>在买方对卖方违约而采取的任何补救措施不受影响的情况下，买方可向卖方发出书面违约通知书，提出终止部分或全部合同；</w:t>
      </w:r>
    </w:p>
    <w:p>
      <w:pPr>
        <w:pStyle w:val="18"/>
        <w:keepNext w:val="0"/>
        <w:keepLines w:val="0"/>
        <w:pageBreakBefore w:val="0"/>
        <w:widowControl w:val="0"/>
        <w:numPr>
          <w:ilvl w:val="0"/>
          <w:numId w:val="0"/>
        </w:numPr>
        <w:tabs>
          <w:tab w:val="left" w:pos="1128"/>
        </w:tabs>
        <w:kinsoku/>
        <w:wordWrap/>
        <w:overflowPunct/>
        <w:topLinePunct w:val="0"/>
        <w:autoSpaceDE w:val="0"/>
        <w:autoSpaceDN w:val="0"/>
        <w:bidi w:val="0"/>
        <w:adjustRightInd/>
        <w:snapToGrid/>
        <w:spacing w:before="0" w:after="0" w:line="336" w:lineRule="auto"/>
        <w:ind w:left="240" w:leftChars="0" w:right="0" w:rightChars="0"/>
        <w:jc w:val="both"/>
        <w:textAlignment w:val="auto"/>
        <w:rPr>
          <w:sz w:val="24"/>
          <w:highlight w:val="none"/>
        </w:rPr>
      </w:pPr>
      <w:r>
        <w:rPr>
          <w:rFonts w:hint="eastAsia"/>
          <w:spacing w:val="-3"/>
          <w:sz w:val="24"/>
          <w:highlight w:val="none"/>
          <w:lang w:val="en-US" w:eastAsia="zh-CN"/>
        </w:rPr>
        <w:t>24.1.1</w:t>
      </w:r>
      <w:r>
        <w:rPr>
          <w:spacing w:val="-3"/>
          <w:sz w:val="24"/>
          <w:highlight w:val="none"/>
        </w:rPr>
        <w:t xml:space="preserve">如果卖方未能在合同规定的限期或买方根据合同条款第 </w:t>
      </w:r>
      <w:r>
        <w:rPr>
          <w:sz w:val="24"/>
          <w:highlight w:val="none"/>
        </w:rPr>
        <w:t>21.2</w:t>
      </w:r>
      <w:r>
        <w:rPr>
          <w:spacing w:val="-15"/>
          <w:sz w:val="24"/>
          <w:highlight w:val="none"/>
        </w:rPr>
        <w:t xml:space="preserve"> 条的规定同意延长的期限内提供部分或全部货物；</w:t>
      </w:r>
    </w:p>
    <w:p>
      <w:pPr>
        <w:pStyle w:val="18"/>
        <w:keepNext w:val="0"/>
        <w:keepLines w:val="0"/>
        <w:pageBreakBefore w:val="0"/>
        <w:widowControl w:val="0"/>
        <w:numPr>
          <w:ilvl w:val="0"/>
          <w:numId w:val="0"/>
        </w:numPr>
        <w:tabs>
          <w:tab w:val="left" w:pos="1138"/>
        </w:tabs>
        <w:kinsoku/>
        <w:wordWrap/>
        <w:overflowPunct/>
        <w:topLinePunct w:val="0"/>
        <w:autoSpaceDE w:val="0"/>
        <w:autoSpaceDN w:val="0"/>
        <w:bidi w:val="0"/>
        <w:adjustRightInd/>
        <w:snapToGrid/>
        <w:spacing w:before="0" w:after="0" w:line="240" w:lineRule="auto"/>
        <w:ind w:right="0" w:rightChars="0" w:firstLine="240" w:firstLineChars="100"/>
        <w:jc w:val="both"/>
        <w:textAlignment w:val="auto"/>
        <w:rPr>
          <w:sz w:val="24"/>
          <w:highlight w:val="none"/>
        </w:rPr>
      </w:pPr>
      <w:r>
        <w:rPr>
          <w:rFonts w:hint="eastAsia"/>
          <w:sz w:val="24"/>
          <w:highlight w:val="none"/>
          <w:lang w:val="en-US" w:eastAsia="zh-CN"/>
        </w:rPr>
        <w:t>24.1.2</w:t>
      </w:r>
      <w:r>
        <w:rPr>
          <w:sz w:val="24"/>
          <w:highlight w:val="none"/>
        </w:rPr>
        <w:t>如果卖方未能履行合同规定的其他任何义务。</w:t>
      </w:r>
    </w:p>
    <w:p>
      <w:pPr>
        <w:pStyle w:val="18"/>
        <w:keepNext w:val="0"/>
        <w:keepLines w:val="0"/>
        <w:pageBreakBefore w:val="0"/>
        <w:widowControl w:val="0"/>
        <w:numPr>
          <w:ilvl w:val="0"/>
          <w:numId w:val="0"/>
        </w:numPr>
        <w:tabs>
          <w:tab w:val="left" w:pos="1198"/>
        </w:tabs>
        <w:kinsoku/>
        <w:wordWrap/>
        <w:overflowPunct/>
        <w:topLinePunct w:val="0"/>
        <w:autoSpaceDE w:val="0"/>
        <w:autoSpaceDN w:val="0"/>
        <w:bidi w:val="0"/>
        <w:adjustRightInd/>
        <w:snapToGrid/>
        <w:spacing w:before="0" w:after="0" w:line="336" w:lineRule="auto"/>
        <w:ind w:right="0" w:rightChars="0" w:firstLine="228" w:firstLineChars="100"/>
        <w:jc w:val="both"/>
        <w:textAlignment w:val="auto"/>
        <w:rPr>
          <w:sz w:val="24"/>
          <w:highlight w:val="none"/>
        </w:rPr>
      </w:pPr>
      <w:r>
        <w:rPr>
          <w:rFonts w:hint="eastAsia"/>
          <w:spacing w:val="-6"/>
          <w:sz w:val="24"/>
          <w:highlight w:val="none"/>
          <w:lang w:val="en-US" w:eastAsia="zh-CN"/>
        </w:rPr>
        <w:t>24.2</w:t>
      </w:r>
      <w:r>
        <w:rPr>
          <w:spacing w:val="-6"/>
          <w:sz w:val="24"/>
          <w:highlight w:val="none"/>
        </w:rPr>
        <w:t xml:space="preserve">如果买方根据上述第 </w:t>
      </w:r>
      <w:r>
        <w:rPr>
          <w:sz w:val="24"/>
          <w:highlight w:val="none"/>
        </w:rPr>
        <w:t>24．1</w:t>
      </w:r>
      <w:r>
        <w:rPr>
          <w:spacing w:val="-8"/>
          <w:sz w:val="24"/>
          <w:highlight w:val="none"/>
        </w:rPr>
        <w:t>条的规定，终止了全部或部分合同，买方</w:t>
      </w:r>
      <w:r>
        <w:rPr>
          <w:spacing w:val="-11"/>
          <w:sz w:val="24"/>
          <w:highlight w:val="none"/>
        </w:rPr>
        <w:t>可以依其认为适当的条件和方法购买与未交货物类似的货物，卖方应承担买方因</w:t>
      </w:r>
      <w:r>
        <w:rPr>
          <w:spacing w:val="-15"/>
          <w:sz w:val="24"/>
          <w:highlight w:val="none"/>
        </w:rPr>
        <w:t>购买类似货物或服务而产生的额外支出。但是，卖方应继续执行合同中未终止的部分。</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w w:val="95"/>
          <w:highlight w:val="none"/>
        </w:rPr>
        <w:t>25．不可抗力</w:t>
      </w:r>
    </w:p>
    <w:p>
      <w:pPr>
        <w:pStyle w:val="18"/>
        <w:keepNext w:val="0"/>
        <w:keepLines w:val="0"/>
        <w:pageBreakBefore w:val="0"/>
        <w:widowControl w:val="0"/>
        <w:numPr>
          <w:ilvl w:val="0"/>
          <w:numId w:val="0"/>
        </w:numPr>
        <w:tabs>
          <w:tab w:val="left" w:pos="958"/>
        </w:tabs>
        <w:kinsoku/>
        <w:wordWrap/>
        <w:overflowPunct/>
        <w:topLinePunct w:val="0"/>
        <w:autoSpaceDE w:val="0"/>
        <w:autoSpaceDN w:val="0"/>
        <w:bidi w:val="0"/>
        <w:adjustRightInd/>
        <w:snapToGrid/>
        <w:spacing w:before="0" w:after="0" w:line="336" w:lineRule="auto"/>
        <w:ind w:left="240" w:leftChars="0" w:right="0" w:rightChars="0"/>
        <w:jc w:val="both"/>
        <w:textAlignment w:val="auto"/>
        <w:rPr>
          <w:sz w:val="24"/>
          <w:highlight w:val="none"/>
        </w:rPr>
      </w:pPr>
      <w:r>
        <w:rPr>
          <w:rFonts w:hint="eastAsia"/>
          <w:sz w:val="24"/>
          <w:highlight w:val="none"/>
          <w:lang w:val="en-US" w:eastAsia="zh-CN"/>
        </w:rPr>
        <w:t>25.1</w:t>
      </w:r>
      <w:r>
        <w:rPr>
          <w:sz w:val="24"/>
          <w:highlight w:val="none"/>
        </w:rPr>
        <w:t>签约双方任何一方由于不可抗力事件的影响而不能执行合同时，履行合</w:t>
      </w:r>
      <w:r>
        <w:rPr>
          <w:spacing w:val="-7"/>
          <w:sz w:val="24"/>
          <w:highlight w:val="none"/>
        </w:rPr>
        <w:t>同的期限应予以延长，其延长的期限应相当于事件所影响的时间。不可抗力事件</w:t>
      </w:r>
      <w:r>
        <w:rPr>
          <w:spacing w:val="-12"/>
          <w:sz w:val="24"/>
          <w:highlight w:val="none"/>
        </w:rPr>
        <w:t>系指买卖双方在缔结合同时所不能预见的，并且其发生及其后果是无法避免和无法克服的事件，诸如战争、严重火灾、洪水、台风、地震等。</w:t>
      </w:r>
    </w:p>
    <w:p>
      <w:pPr>
        <w:pStyle w:val="18"/>
        <w:keepNext w:val="0"/>
        <w:keepLines w:val="0"/>
        <w:pageBreakBefore w:val="0"/>
        <w:widowControl w:val="0"/>
        <w:numPr>
          <w:ilvl w:val="0"/>
          <w:numId w:val="0"/>
        </w:numPr>
        <w:tabs>
          <w:tab w:val="left" w:pos="1078"/>
        </w:tabs>
        <w:kinsoku/>
        <w:wordWrap/>
        <w:overflowPunct/>
        <w:topLinePunct w:val="0"/>
        <w:autoSpaceDE w:val="0"/>
        <w:autoSpaceDN w:val="0"/>
        <w:bidi w:val="0"/>
        <w:adjustRightInd/>
        <w:snapToGrid/>
        <w:spacing w:before="0" w:after="0" w:line="336" w:lineRule="auto"/>
        <w:ind w:left="360" w:leftChars="0" w:right="0" w:rightChars="0"/>
        <w:jc w:val="both"/>
        <w:textAlignment w:val="auto"/>
        <w:rPr>
          <w:sz w:val="24"/>
          <w:highlight w:val="none"/>
        </w:rPr>
      </w:pPr>
      <w:r>
        <w:rPr>
          <w:rFonts w:hint="eastAsia"/>
          <w:spacing w:val="-4"/>
          <w:sz w:val="24"/>
          <w:highlight w:val="none"/>
          <w:lang w:val="en-US" w:eastAsia="zh-CN"/>
        </w:rPr>
        <w:t>25.2</w:t>
      </w:r>
      <w:r>
        <w:rPr>
          <w:spacing w:val="-4"/>
          <w:sz w:val="24"/>
          <w:highlight w:val="none"/>
        </w:rPr>
        <w:t>受阻一方应在不可抗力事件发生后尽快用传真或电传通知对方，并于事</w:t>
      </w:r>
      <w:r>
        <w:rPr>
          <w:spacing w:val="-11"/>
          <w:sz w:val="24"/>
          <w:highlight w:val="none"/>
        </w:rPr>
        <w:t>件发生后十四（14）</w:t>
      </w:r>
      <w:r>
        <w:rPr>
          <w:sz w:val="24"/>
          <w:highlight w:val="none"/>
        </w:rPr>
        <w:t>天内将有关当局出具的证明用特快专递或挂号信寄给对方审阅确认。一旦发生不可抗事件的影响持续一百二十天（120）天以上，双方应通过友好协商在合理的时间内达成进一步履行合同的协议。</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w w:val="95"/>
          <w:highlight w:val="none"/>
        </w:rPr>
        <w:t>26．因破产而终止合同</w:t>
      </w:r>
    </w:p>
    <w:p>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left="0" w:right="0" w:firstLine="360"/>
        <w:jc w:val="both"/>
        <w:textAlignment w:val="auto"/>
        <w:rPr>
          <w:highlight w:val="none"/>
        </w:rPr>
      </w:pPr>
      <w:r>
        <w:rPr>
          <w:highlight w:val="none"/>
        </w:rPr>
        <w:t xml:space="preserve">26.1 如果卖方破产或无清偿能力，买方可在任何时候以书面形式通知卖方， </w:t>
      </w:r>
      <w:r>
        <w:rPr>
          <w:spacing w:val="-7"/>
          <w:highlight w:val="none"/>
        </w:rPr>
        <w:t>提出终止合同而不给卖方补偿。该终止合同将不损害或影响买方已经采取或将要采取的任何行动或补救措施的权利。</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w w:val="95"/>
          <w:highlight w:val="none"/>
        </w:rPr>
        <w:t>27．因买方的便利而终止合同</w:t>
      </w:r>
    </w:p>
    <w:p>
      <w:pPr>
        <w:pStyle w:val="18"/>
        <w:keepNext w:val="0"/>
        <w:keepLines w:val="0"/>
        <w:pageBreakBefore w:val="0"/>
        <w:widowControl w:val="0"/>
        <w:numPr>
          <w:ilvl w:val="0"/>
          <w:numId w:val="0"/>
        </w:numPr>
        <w:tabs>
          <w:tab w:val="left" w:pos="1078"/>
        </w:tabs>
        <w:kinsoku/>
        <w:wordWrap/>
        <w:overflowPunct/>
        <w:topLinePunct w:val="0"/>
        <w:autoSpaceDE w:val="0"/>
        <w:autoSpaceDN w:val="0"/>
        <w:bidi w:val="0"/>
        <w:adjustRightInd/>
        <w:snapToGrid/>
        <w:spacing w:before="0" w:after="0" w:line="336" w:lineRule="auto"/>
        <w:ind w:left="360" w:leftChars="0" w:right="0" w:rightChars="0"/>
        <w:jc w:val="both"/>
        <w:textAlignment w:val="auto"/>
        <w:rPr>
          <w:sz w:val="24"/>
          <w:highlight w:val="none"/>
        </w:rPr>
      </w:pPr>
      <w:r>
        <w:rPr>
          <w:rFonts w:hint="eastAsia"/>
          <w:sz w:val="24"/>
          <w:highlight w:val="none"/>
          <w:lang w:val="en-US" w:eastAsia="zh-CN"/>
        </w:rPr>
        <w:t>27.1</w:t>
      </w:r>
      <w:r>
        <w:rPr>
          <w:sz w:val="24"/>
          <w:highlight w:val="none"/>
        </w:rPr>
        <w:t xml:space="preserve">买方可在任何时候出于自身的便利向卖方发出书面通知全部或部分终 </w:t>
      </w:r>
      <w:r>
        <w:rPr>
          <w:spacing w:val="-15"/>
          <w:sz w:val="24"/>
          <w:highlight w:val="none"/>
        </w:rPr>
        <w:t>止合同，终止通知应明确该终止合同是出于买方的便利，并明确合同终止的程度， 以及终止的生效日期。</w:t>
      </w:r>
    </w:p>
    <w:p>
      <w:pPr>
        <w:pStyle w:val="18"/>
        <w:keepNext w:val="0"/>
        <w:keepLines w:val="0"/>
        <w:pageBreakBefore w:val="0"/>
        <w:widowControl w:val="0"/>
        <w:numPr>
          <w:ilvl w:val="0"/>
          <w:numId w:val="0"/>
        </w:numPr>
        <w:tabs>
          <w:tab w:val="left" w:pos="1198"/>
        </w:tabs>
        <w:kinsoku/>
        <w:wordWrap/>
        <w:overflowPunct/>
        <w:topLinePunct w:val="0"/>
        <w:autoSpaceDE w:val="0"/>
        <w:autoSpaceDN w:val="0"/>
        <w:bidi w:val="0"/>
        <w:adjustRightInd/>
        <w:snapToGrid/>
        <w:spacing w:before="0" w:after="0" w:line="336" w:lineRule="auto"/>
        <w:ind w:left="480" w:leftChars="0" w:right="0" w:rightChars="0"/>
        <w:jc w:val="both"/>
        <w:textAlignment w:val="auto"/>
        <w:rPr>
          <w:sz w:val="24"/>
          <w:highlight w:val="none"/>
        </w:rPr>
      </w:pPr>
      <w:r>
        <w:rPr>
          <w:rFonts w:hint="eastAsia"/>
          <w:sz w:val="24"/>
          <w:highlight w:val="none"/>
          <w:lang w:val="en-US" w:eastAsia="zh-CN"/>
        </w:rPr>
        <w:t>27.2</w:t>
      </w:r>
      <w:r>
        <w:rPr>
          <w:sz w:val="24"/>
          <w:highlight w:val="none"/>
        </w:rPr>
        <w:t>对卖方在收到终止通知后三十(30)天内已完成并准备装运的货物，经买方确认后买方应按原合同价格和条款予以接收，对于剩下的货物，买方可：</w:t>
      </w:r>
    </w:p>
    <w:p>
      <w:pPr>
        <w:pStyle w:val="18"/>
        <w:keepNext w:val="0"/>
        <w:keepLines w:val="0"/>
        <w:pageBreakBefore w:val="0"/>
        <w:widowControl w:val="0"/>
        <w:numPr>
          <w:ilvl w:val="0"/>
          <w:numId w:val="0"/>
        </w:numPr>
        <w:tabs>
          <w:tab w:val="left" w:pos="1378"/>
        </w:tabs>
        <w:kinsoku/>
        <w:wordWrap/>
        <w:overflowPunct/>
        <w:topLinePunct w:val="0"/>
        <w:autoSpaceDE w:val="0"/>
        <w:autoSpaceDN w:val="0"/>
        <w:bidi w:val="0"/>
        <w:adjustRightInd/>
        <w:snapToGrid/>
        <w:spacing w:before="0" w:after="0" w:line="240" w:lineRule="auto"/>
        <w:ind w:left="480" w:leftChars="0" w:right="0" w:rightChars="0"/>
        <w:jc w:val="both"/>
        <w:textAlignment w:val="auto"/>
        <w:rPr>
          <w:sz w:val="24"/>
          <w:highlight w:val="none"/>
        </w:rPr>
      </w:pPr>
      <w:r>
        <w:rPr>
          <w:rFonts w:hint="eastAsia"/>
          <w:sz w:val="24"/>
          <w:highlight w:val="none"/>
          <w:lang w:val="en-US" w:eastAsia="zh-CN"/>
        </w:rPr>
        <w:t>27.2.1</w:t>
      </w:r>
      <w:r>
        <w:rPr>
          <w:sz w:val="24"/>
          <w:highlight w:val="none"/>
        </w:rPr>
        <w:t>仅对部分货物按照原来的合同价格和条款予以接受；或</w:t>
      </w:r>
    </w:p>
    <w:p>
      <w:pPr>
        <w:pStyle w:val="18"/>
        <w:keepNext w:val="0"/>
        <w:keepLines w:val="0"/>
        <w:pageBreakBefore w:val="0"/>
        <w:widowControl w:val="0"/>
        <w:numPr>
          <w:ilvl w:val="0"/>
          <w:numId w:val="0"/>
        </w:numPr>
        <w:tabs>
          <w:tab w:val="left" w:pos="1378"/>
        </w:tabs>
        <w:kinsoku/>
        <w:wordWrap/>
        <w:overflowPunct/>
        <w:topLinePunct w:val="0"/>
        <w:autoSpaceDE w:val="0"/>
        <w:autoSpaceDN w:val="0"/>
        <w:bidi w:val="0"/>
        <w:adjustRightInd/>
        <w:snapToGrid/>
        <w:spacing w:before="0" w:after="0" w:line="336" w:lineRule="auto"/>
        <w:ind w:left="480" w:leftChars="0" w:right="0" w:rightChars="0"/>
        <w:jc w:val="both"/>
        <w:textAlignment w:val="auto"/>
        <w:rPr>
          <w:sz w:val="24"/>
          <w:highlight w:val="none"/>
        </w:rPr>
      </w:pPr>
      <w:r>
        <w:rPr>
          <w:rFonts w:hint="eastAsia"/>
          <w:sz w:val="24"/>
          <w:highlight w:val="none"/>
          <w:lang w:val="en-US" w:eastAsia="zh-CN"/>
        </w:rPr>
        <w:t>27.2.2</w:t>
      </w:r>
      <w:r>
        <w:rPr>
          <w:sz w:val="24"/>
          <w:highlight w:val="none"/>
        </w:rPr>
        <w:t>取消对所剩货物的采购，并按双方商定的金额向卖方支付部分完成的货物和服务，以及卖方以前已采购的材料和部件的费用。</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w w:val="95"/>
          <w:highlight w:val="none"/>
        </w:rPr>
        <w:t>28．争端的解决</w:t>
      </w:r>
    </w:p>
    <w:p>
      <w:pPr>
        <w:pStyle w:val="18"/>
        <w:keepNext w:val="0"/>
        <w:keepLines w:val="0"/>
        <w:pageBreakBefore w:val="0"/>
        <w:widowControl w:val="0"/>
        <w:numPr>
          <w:ilvl w:val="0"/>
          <w:numId w:val="0"/>
        </w:numPr>
        <w:tabs>
          <w:tab w:val="left" w:pos="1318"/>
        </w:tabs>
        <w:kinsoku/>
        <w:wordWrap/>
        <w:overflowPunct/>
        <w:topLinePunct w:val="0"/>
        <w:autoSpaceDE w:val="0"/>
        <w:autoSpaceDN w:val="0"/>
        <w:bidi w:val="0"/>
        <w:adjustRightInd/>
        <w:snapToGrid/>
        <w:spacing w:before="0" w:after="0" w:line="336" w:lineRule="auto"/>
        <w:ind w:left="600" w:leftChars="0" w:right="0" w:rightChars="0"/>
        <w:jc w:val="both"/>
        <w:textAlignment w:val="auto"/>
        <w:rPr>
          <w:sz w:val="24"/>
          <w:highlight w:val="none"/>
        </w:rPr>
      </w:pPr>
      <w:r>
        <w:rPr>
          <w:rFonts w:hint="eastAsia"/>
          <w:spacing w:val="-4"/>
          <w:sz w:val="24"/>
          <w:highlight w:val="none"/>
          <w:lang w:val="en-US" w:eastAsia="zh-CN"/>
        </w:rPr>
        <w:t>28.1</w:t>
      </w:r>
      <w:r>
        <w:rPr>
          <w:spacing w:val="-4"/>
          <w:sz w:val="24"/>
          <w:highlight w:val="none"/>
        </w:rPr>
        <w:t>合同实施或与合同有关的一切争端应通过双方友好协商解决，协商不成，提交当地仲裁委员会仲裁。</w:t>
      </w:r>
    </w:p>
    <w:p>
      <w:pPr>
        <w:pStyle w:val="18"/>
        <w:keepNext w:val="0"/>
        <w:keepLines w:val="0"/>
        <w:pageBreakBefore w:val="0"/>
        <w:widowControl w:val="0"/>
        <w:numPr>
          <w:ilvl w:val="0"/>
          <w:numId w:val="0"/>
        </w:numPr>
        <w:tabs>
          <w:tab w:val="left" w:pos="1318"/>
        </w:tabs>
        <w:kinsoku/>
        <w:wordWrap/>
        <w:overflowPunct/>
        <w:topLinePunct w:val="0"/>
        <w:autoSpaceDE w:val="0"/>
        <w:autoSpaceDN w:val="0"/>
        <w:bidi w:val="0"/>
        <w:adjustRightInd/>
        <w:snapToGrid/>
        <w:spacing w:before="0" w:after="0" w:line="240" w:lineRule="auto"/>
        <w:ind w:left="600" w:leftChars="0" w:right="0" w:rightChars="0"/>
        <w:jc w:val="both"/>
        <w:textAlignment w:val="auto"/>
        <w:rPr>
          <w:sz w:val="24"/>
          <w:highlight w:val="none"/>
        </w:rPr>
      </w:pPr>
      <w:r>
        <w:rPr>
          <w:rFonts w:hint="eastAsia"/>
          <w:sz w:val="24"/>
          <w:highlight w:val="none"/>
          <w:lang w:val="en-US" w:eastAsia="zh-CN"/>
        </w:rPr>
        <w:t>28.2</w:t>
      </w:r>
      <w:r>
        <w:rPr>
          <w:sz w:val="24"/>
          <w:highlight w:val="none"/>
        </w:rPr>
        <w:t>仲裁应由双方商定的仲裁委员会根据其仲裁规则和程序进行。</w:t>
      </w:r>
    </w:p>
    <w:p>
      <w:pPr>
        <w:pStyle w:val="18"/>
        <w:keepNext w:val="0"/>
        <w:keepLines w:val="0"/>
        <w:pageBreakBefore w:val="0"/>
        <w:widowControl w:val="0"/>
        <w:numPr>
          <w:ilvl w:val="0"/>
          <w:numId w:val="0"/>
        </w:numPr>
        <w:tabs>
          <w:tab w:val="left" w:pos="1318"/>
        </w:tabs>
        <w:kinsoku/>
        <w:wordWrap/>
        <w:overflowPunct/>
        <w:topLinePunct w:val="0"/>
        <w:autoSpaceDE w:val="0"/>
        <w:autoSpaceDN w:val="0"/>
        <w:bidi w:val="0"/>
        <w:adjustRightInd/>
        <w:snapToGrid/>
        <w:spacing w:before="0" w:after="0" w:line="240" w:lineRule="auto"/>
        <w:ind w:left="600" w:leftChars="0" w:right="0" w:rightChars="0"/>
        <w:jc w:val="both"/>
        <w:textAlignment w:val="auto"/>
        <w:rPr>
          <w:sz w:val="24"/>
          <w:highlight w:val="none"/>
        </w:rPr>
      </w:pPr>
      <w:r>
        <w:rPr>
          <w:rFonts w:hint="eastAsia"/>
          <w:spacing w:val="-17"/>
          <w:sz w:val="24"/>
          <w:highlight w:val="none"/>
          <w:lang w:val="en-US" w:eastAsia="zh-CN"/>
        </w:rPr>
        <w:t>28.3</w:t>
      </w:r>
      <w:r>
        <w:rPr>
          <w:spacing w:val="-17"/>
          <w:sz w:val="24"/>
          <w:highlight w:val="none"/>
        </w:rPr>
        <w:t>在仲裁期间，除正在进行仲裁的部分外，本合同其他部分应继续执行。</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w w:val="95"/>
          <w:highlight w:val="none"/>
        </w:rPr>
        <w:t>29．适用法律</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29.1</w:t>
      </w:r>
      <w:r>
        <w:rPr>
          <w:spacing w:val="-9"/>
          <w:highlight w:val="none"/>
        </w:rPr>
        <w:t xml:space="preserve"> 本合同应按照中华人民共和国现行有效的法律、法规、规章进行解释。</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30．其 它</w:t>
      </w:r>
    </w:p>
    <w:p>
      <w:pPr>
        <w:pStyle w:val="18"/>
        <w:keepNext w:val="0"/>
        <w:keepLines w:val="0"/>
        <w:pageBreakBefore w:val="0"/>
        <w:widowControl w:val="0"/>
        <w:numPr>
          <w:ilvl w:val="0"/>
          <w:numId w:val="0"/>
        </w:numPr>
        <w:tabs>
          <w:tab w:val="left" w:pos="1229"/>
        </w:tabs>
        <w:kinsoku/>
        <w:wordWrap/>
        <w:overflowPunct/>
        <w:topLinePunct w:val="0"/>
        <w:autoSpaceDE w:val="0"/>
        <w:autoSpaceDN w:val="0"/>
        <w:bidi w:val="0"/>
        <w:adjustRightInd/>
        <w:snapToGrid/>
        <w:spacing w:before="0" w:after="0" w:line="336" w:lineRule="auto"/>
        <w:ind w:left="600" w:leftChars="0" w:right="0" w:rightChars="0"/>
        <w:jc w:val="both"/>
        <w:textAlignment w:val="auto"/>
        <w:rPr>
          <w:sz w:val="24"/>
          <w:highlight w:val="none"/>
        </w:rPr>
      </w:pPr>
      <w:r>
        <w:rPr>
          <w:rFonts w:hint="eastAsia"/>
          <w:sz w:val="24"/>
          <w:highlight w:val="none"/>
          <w:lang w:val="en-US" w:eastAsia="zh-CN"/>
        </w:rPr>
        <w:t>30.1</w:t>
      </w:r>
      <w:r>
        <w:rPr>
          <w:sz w:val="24"/>
          <w:highlight w:val="none"/>
        </w:rPr>
        <w:t>本合同一方给对方的通知应用书面形式或电传或传真送到合同中规定的对方的地址。电传或传真要经书面确认。</w:t>
      </w:r>
    </w:p>
    <w:p>
      <w:pPr>
        <w:pStyle w:val="18"/>
        <w:keepNext w:val="0"/>
        <w:keepLines w:val="0"/>
        <w:pageBreakBefore w:val="0"/>
        <w:widowControl w:val="0"/>
        <w:numPr>
          <w:ilvl w:val="0"/>
          <w:numId w:val="0"/>
        </w:numPr>
        <w:tabs>
          <w:tab w:val="left" w:pos="1198"/>
        </w:tabs>
        <w:kinsoku/>
        <w:wordWrap/>
        <w:overflowPunct/>
        <w:topLinePunct w:val="0"/>
        <w:autoSpaceDE w:val="0"/>
        <w:autoSpaceDN w:val="0"/>
        <w:bidi w:val="0"/>
        <w:adjustRightInd/>
        <w:snapToGrid/>
        <w:spacing w:before="0" w:after="0" w:line="338" w:lineRule="auto"/>
        <w:ind w:left="480" w:leftChars="0" w:right="0" w:rightChars="0"/>
        <w:jc w:val="both"/>
        <w:textAlignment w:val="auto"/>
        <w:rPr>
          <w:sz w:val="24"/>
          <w:highlight w:val="none"/>
        </w:rPr>
      </w:pPr>
      <w:r>
        <w:rPr>
          <w:rFonts w:hint="eastAsia"/>
          <w:sz w:val="24"/>
          <w:highlight w:val="none"/>
          <w:lang w:val="en-US" w:eastAsia="zh-CN"/>
        </w:rPr>
        <w:t>30.2</w:t>
      </w:r>
      <w:r>
        <w:rPr>
          <w:sz w:val="24"/>
          <w:highlight w:val="none"/>
        </w:rPr>
        <w:t>本合同一方发出的通知、要求或其他通讯应依下列规定视作已经送达对方：</w:t>
      </w:r>
    </w:p>
    <w:p>
      <w:pPr>
        <w:pStyle w:val="18"/>
        <w:keepNext w:val="0"/>
        <w:keepLines w:val="0"/>
        <w:pageBreakBefore w:val="0"/>
        <w:widowControl w:val="0"/>
        <w:numPr>
          <w:ilvl w:val="0"/>
          <w:numId w:val="0"/>
        </w:numPr>
        <w:tabs>
          <w:tab w:val="left" w:pos="1378"/>
        </w:tabs>
        <w:kinsoku/>
        <w:wordWrap/>
        <w:overflowPunct/>
        <w:topLinePunct w:val="0"/>
        <w:autoSpaceDE w:val="0"/>
        <w:autoSpaceDN w:val="0"/>
        <w:bidi w:val="0"/>
        <w:adjustRightInd/>
        <w:snapToGrid/>
        <w:spacing w:before="0" w:after="0" w:line="240" w:lineRule="auto"/>
        <w:ind w:left="-780" w:leftChars="0" w:right="0" w:rightChars="0" w:firstLine="720" w:firstLineChars="300"/>
        <w:jc w:val="both"/>
        <w:textAlignment w:val="auto"/>
        <w:rPr>
          <w:sz w:val="24"/>
          <w:highlight w:val="none"/>
        </w:rPr>
      </w:pPr>
      <w:r>
        <w:rPr>
          <w:rFonts w:hint="eastAsia"/>
          <w:sz w:val="24"/>
          <w:highlight w:val="none"/>
          <w:lang w:val="en-US" w:eastAsia="zh-CN"/>
        </w:rPr>
        <w:t>30.1.1</w:t>
      </w:r>
      <w:r>
        <w:rPr>
          <w:sz w:val="24"/>
          <w:highlight w:val="none"/>
        </w:rPr>
        <w:t>如以挂号信邮寄，在投邮后三天后视为收讫；</w:t>
      </w:r>
    </w:p>
    <w:p>
      <w:pPr>
        <w:pStyle w:val="18"/>
        <w:keepNext w:val="0"/>
        <w:keepLines w:val="0"/>
        <w:pageBreakBefore w:val="0"/>
        <w:widowControl w:val="0"/>
        <w:numPr>
          <w:ilvl w:val="0"/>
          <w:numId w:val="0"/>
        </w:numPr>
        <w:tabs>
          <w:tab w:val="left" w:pos="1378"/>
        </w:tabs>
        <w:kinsoku/>
        <w:wordWrap/>
        <w:overflowPunct/>
        <w:topLinePunct w:val="0"/>
        <w:autoSpaceDE w:val="0"/>
        <w:autoSpaceDN w:val="0"/>
        <w:bidi w:val="0"/>
        <w:adjustRightInd/>
        <w:snapToGrid/>
        <w:spacing w:before="0" w:after="0" w:line="240" w:lineRule="auto"/>
        <w:ind w:left="-780" w:leftChars="0" w:right="0" w:rightChars="0" w:firstLine="720" w:firstLineChars="300"/>
        <w:jc w:val="both"/>
        <w:textAlignment w:val="auto"/>
        <w:rPr>
          <w:sz w:val="24"/>
          <w:highlight w:val="none"/>
        </w:rPr>
      </w:pPr>
      <w:r>
        <w:rPr>
          <w:rFonts w:hint="eastAsia"/>
          <w:sz w:val="24"/>
          <w:highlight w:val="none"/>
          <w:lang w:val="en-US" w:eastAsia="zh-CN"/>
        </w:rPr>
        <w:t>30.1.2</w:t>
      </w:r>
      <w:r>
        <w:rPr>
          <w:sz w:val="24"/>
          <w:highlight w:val="none"/>
        </w:rPr>
        <w:t>如直接交付，在交付时视为收讫；</w:t>
      </w:r>
    </w:p>
    <w:p>
      <w:pPr>
        <w:pStyle w:val="18"/>
        <w:keepNext w:val="0"/>
        <w:keepLines w:val="0"/>
        <w:pageBreakBefore w:val="0"/>
        <w:widowControl w:val="0"/>
        <w:numPr>
          <w:ilvl w:val="0"/>
          <w:numId w:val="0"/>
        </w:numPr>
        <w:tabs>
          <w:tab w:val="left" w:pos="1378"/>
        </w:tabs>
        <w:kinsoku/>
        <w:wordWrap/>
        <w:overflowPunct/>
        <w:topLinePunct w:val="0"/>
        <w:autoSpaceDE w:val="0"/>
        <w:autoSpaceDN w:val="0"/>
        <w:bidi w:val="0"/>
        <w:adjustRightInd/>
        <w:snapToGrid/>
        <w:spacing w:before="0" w:after="0" w:line="240" w:lineRule="auto"/>
        <w:ind w:left="-780" w:leftChars="0" w:right="0" w:rightChars="0" w:firstLine="720" w:firstLineChars="300"/>
        <w:jc w:val="both"/>
        <w:textAlignment w:val="auto"/>
        <w:rPr>
          <w:sz w:val="24"/>
          <w:highlight w:val="none"/>
        </w:rPr>
      </w:pPr>
      <w:r>
        <w:rPr>
          <w:rFonts w:hint="eastAsia"/>
          <w:sz w:val="24"/>
          <w:highlight w:val="none"/>
          <w:lang w:val="en-US" w:eastAsia="zh-CN"/>
        </w:rPr>
        <w:t>30.1.3</w:t>
      </w:r>
      <w:r>
        <w:rPr>
          <w:sz w:val="24"/>
          <w:highlight w:val="none"/>
        </w:rPr>
        <w:t>如以特快专递发送，在发出二天后视为收讫。</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w w:val="95"/>
          <w:highlight w:val="none"/>
        </w:rPr>
        <w:t>31．有关税费</w:t>
      </w:r>
    </w:p>
    <w:p>
      <w:pPr>
        <w:pStyle w:val="9"/>
        <w:keepNext w:val="0"/>
        <w:keepLines w:val="0"/>
        <w:pageBreakBefore w:val="0"/>
        <w:widowControl w:val="0"/>
        <w:kinsoku/>
        <w:wordWrap/>
        <w:overflowPunct/>
        <w:topLinePunct w:val="0"/>
        <w:autoSpaceDE w:val="0"/>
        <w:autoSpaceDN w:val="0"/>
        <w:bidi w:val="0"/>
        <w:adjustRightInd/>
        <w:snapToGrid/>
        <w:spacing w:before="0" w:after="0" w:line="338" w:lineRule="auto"/>
        <w:ind w:left="0" w:right="0" w:firstLine="240"/>
        <w:jc w:val="both"/>
        <w:textAlignment w:val="auto"/>
        <w:rPr>
          <w:highlight w:val="none"/>
        </w:rPr>
      </w:pPr>
      <w:r>
        <w:rPr>
          <w:highlight w:val="none"/>
        </w:rPr>
        <w:t>31.1 中国政府根据现行税法对买方征收的与本合同有关的一切税费均应由买方负担，对卖方征收的税费由卖方承担。</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w w:val="95"/>
          <w:highlight w:val="none"/>
        </w:rPr>
        <w:t>32．合同生效及其他</w:t>
      </w:r>
    </w:p>
    <w:p>
      <w:pPr>
        <w:pStyle w:val="18"/>
        <w:keepNext w:val="0"/>
        <w:keepLines w:val="0"/>
        <w:pageBreakBefore w:val="0"/>
        <w:widowControl w:val="0"/>
        <w:numPr>
          <w:ilvl w:val="0"/>
          <w:numId w:val="0"/>
        </w:numPr>
        <w:tabs>
          <w:tab w:val="left" w:pos="958"/>
        </w:tabs>
        <w:kinsoku/>
        <w:wordWrap/>
        <w:overflowPunct/>
        <w:topLinePunct w:val="0"/>
        <w:autoSpaceDE w:val="0"/>
        <w:autoSpaceDN w:val="0"/>
        <w:bidi w:val="0"/>
        <w:adjustRightInd/>
        <w:snapToGrid/>
        <w:spacing w:before="0" w:after="0" w:line="338" w:lineRule="auto"/>
        <w:ind w:left="240" w:leftChars="0" w:right="0" w:rightChars="0"/>
        <w:jc w:val="both"/>
        <w:textAlignment w:val="auto"/>
        <w:rPr>
          <w:sz w:val="24"/>
          <w:highlight w:val="none"/>
        </w:rPr>
      </w:pPr>
      <w:r>
        <w:rPr>
          <w:rFonts w:hint="eastAsia"/>
          <w:sz w:val="24"/>
          <w:highlight w:val="none"/>
          <w:lang w:val="en-US" w:eastAsia="zh-CN"/>
        </w:rPr>
        <w:t>32.1</w:t>
      </w:r>
      <w:r>
        <w:rPr>
          <w:sz w:val="24"/>
          <w:highlight w:val="none"/>
        </w:rPr>
        <w:t>本通用合同条款应在双方签字、盖章以及合同正文中规定的其他条件成立后生效。</w:t>
      </w:r>
    </w:p>
    <w:p>
      <w:pPr>
        <w:pStyle w:val="18"/>
        <w:keepNext w:val="0"/>
        <w:keepLines w:val="0"/>
        <w:pageBreakBefore w:val="0"/>
        <w:widowControl w:val="0"/>
        <w:numPr>
          <w:ilvl w:val="0"/>
          <w:numId w:val="0"/>
        </w:numPr>
        <w:tabs>
          <w:tab w:val="left" w:pos="958"/>
        </w:tabs>
        <w:kinsoku/>
        <w:wordWrap/>
        <w:overflowPunct/>
        <w:topLinePunct w:val="0"/>
        <w:autoSpaceDE w:val="0"/>
        <w:autoSpaceDN w:val="0"/>
        <w:bidi w:val="0"/>
        <w:adjustRightInd/>
        <w:snapToGrid/>
        <w:spacing w:before="0" w:after="0" w:line="338" w:lineRule="auto"/>
        <w:ind w:left="240" w:leftChars="0" w:right="0" w:rightChars="0"/>
        <w:jc w:val="both"/>
        <w:textAlignment w:val="auto"/>
        <w:rPr>
          <w:sz w:val="24"/>
          <w:highlight w:val="none"/>
        </w:rPr>
      </w:pPr>
      <w:r>
        <w:rPr>
          <w:rFonts w:hint="eastAsia"/>
          <w:sz w:val="24"/>
          <w:highlight w:val="none"/>
          <w:lang w:val="en-US" w:eastAsia="zh-CN"/>
        </w:rPr>
        <w:t>32.2</w:t>
      </w:r>
      <w:r>
        <w:rPr>
          <w:spacing w:val="-3"/>
          <w:sz w:val="24"/>
          <w:highlight w:val="none"/>
        </w:rPr>
        <w:t>本通用合同条款有附件（</w:t>
      </w:r>
      <w:r>
        <w:rPr>
          <w:spacing w:val="-2"/>
          <w:sz w:val="24"/>
          <w:highlight w:val="none"/>
        </w:rPr>
        <w:t>见“合同条款资料表”</w:t>
      </w:r>
      <w:r>
        <w:rPr>
          <w:spacing w:val="-20"/>
          <w:sz w:val="24"/>
          <w:highlight w:val="none"/>
        </w:rPr>
        <w:t>），</w:t>
      </w:r>
      <w:r>
        <w:rPr>
          <w:sz w:val="24"/>
          <w:highlight w:val="none"/>
        </w:rPr>
        <w:t>本通用合同条款的附件为合同不可分割的部分，并与合同其他条款具有同等效力。</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w w:val="95"/>
          <w:highlight w:val="none"/>
        </w:rPr>
      </w:pP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w w:val="95"/>
          <w:highlight w:val="none"/>
        </w:rPr>
      </w:pP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highlight w:val="none"/>
        </w:rPr>
      </w:pPr>
      <w:r>
        <w:rPr>
          <w:w w:val="95"/>
          <w:highlight w:val="none"/>
        </w:rPr>
        <w:t>合同条款资料表</w:t>
      </w: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w w:val="95"/>
          <w:highlight w:val="none"/>
        </w:rPr>
      </w:pPr>
    </w:p>
    <w:p>
      <w:pPr>
        <w:rPr>
          <w:rFonts w:hint="eastAsia" w:eastAsia="宋体"/>
          <w:w w:val="95"/>
          <w:highlight w:val="none"/>
          <w:lang w:val="en-US" w:eastAsia="zh-CN"/>
        </w:rPr>
      </w:pPr>
      <w:r>
        <w:rPr>
          <w:spacing w:val="-4"/>
          <w:highlight w:val="none"/>
        </w:rPr>
        <w:t>本合同条款资料表为“合同条款”中有关条款的补充或修正，如两者有不一致，以本合同条款资料表为</w:t>
      </w:r>
      <w:r>
        <w:rPr>
          <w:rFonts w:hint="eastAsia"/>
          <w:spacing w:val="-4"/>
          <w:highlight w:val="none"/>
          <w:lang w:val="en-US" w:eastAsia="zh-CN"/>
        </w:rPr>
        <w:t>准。</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8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10" w:type="dxa"/>
            <w:vAlign w:val="center"/>
          </w:tcPr>
          <w:p>
            <w:pPr>
              <w:pStyle w:val="16"/>
              <w:jc w:val="center"/>
              <w:rPr>
                <w:rFonts w:hint="eastAsia" w:asciiTheme="majorEastAsia" w:hAnsiTheme="majorEastAsia" w:eastAsiaTheme="majorEastAsia" w:cstheme="majorEastAsia"/>
                <w:b/>
                <w:bCs w:val="0"/>
                <w:w w:val="95"/>
                <w:highlight w:val="none"/>
                <w:vertAlign w:val="baseline"/>
              </w:rPr>
            </w:pPr>
            <w:r>
              <w:rPr>
                <w:rFonts w:hint="eastAsia" w:asciiTheme="majorEastAsia" w:hAnsiTheme="majorEastAsia" w:eastAsiaTheme="majorEastAsia" w:cstheme="majorEastAsia"/>
                <w:b/>
                <w:bCs w:val="0"/>
                <w:sz w:val="24"/>
                <w:highlight w:val="none"/>
              </w:rPr>
              <w:t>序号</w:t>
            </w:r>
          </w:p>
        </w:tc>
        <w:tc>
          <w:tcPr>
            <w:tcW w:w="8415" w:type="dxa"/>
            <w:vAlign w:val="center"/>
          </w:tcPr>
          <w:p>
            <w:pPr>
              <w:pStyle w:val="16"/>
              <w:jc w:val="center"/>
              <w:rPr>
                <w:rFonts w:hint="eastAsia" w:asciiTheme="majorEastAsia" w:hAnsiTheme="majorEastAsia" w:eastAsiaTheme="majorEastAsia" w:cstheme="majorEastAsia"/>
                <w:b/>
                <w:bCs w:val="0"/>
                <w:w w:val="95"/>
                <w:highlight w:val="none"/>
                <w:vertAlign w:val="baseline"/>
              </w:rPr>
            </w:pPr>
            <w:r>
              <w:rPr>
                <w:rFonts w:hint="eastAsia" w:asciiTheme="majorEastAsia" w:hAnsiTheme="majorEastAsia" w:eastAsiaTheme="majorEastAsia" w:cstheme="majorEastAsia"/>
                <w:b/>
                <w:bCs w:val="0"/>
                <w:sz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16"/>
              <w:rPr>
                <w:rFonts w:hint="eastAsia" w:asciiTheme="majorEastAsia" w:hAnsiTheme="majorEastAsia" w:eastAsiaTheme="majorEastAsia" w:cstheme="majorEastAsia"/>
                <w:b w:val="0"/>
                <w:bCs/>
                <w:w w:val="95"/>
                <w:highlight w:val="none"/>
                <w:vertAlign w:val="baseline"/>
              </w:rPr>
            </w:pPr>
            <w:r>
              <w:rPr>
                <w:rFonts w:hint="eastAsia" w:asciiTheme="majorEastAsia" w:hAnsiTheme="majorEastAsia" w:eastAsiaTheme="majorEastAsia" w:cstheme="majorEastAsia"/>
                <w:b w:val="0"/>
                <w:bCs/>
                <w:w w:val="95"/>
                <w:highlight w:val="none"/>
                <w:vertAlign w:val="baseline"/>
                <w:lang w:val="en-US" w:eastAsia="zh-CN"/>
              </w:rPr>
              <w:t>1</w:t>
            </w:r>
          </w:p>
        </w:tc>
        <w:tc>
          <w:tcPr>
            <w:tcW w:w="8415" w:type="dxa"/>
          </w:tcPr>
          <w:p>
            <w:pPr>
              <w:pStyle w:val="16"/>
              <w:jc w:val="both"/>
              <w:rPr>
                <w:rFonts w:hint="eastAsia" w:asciiTheme="majorEastAsia" w:hAnsiTheme="majorEastAsia" w:eastAsiaTheme="majorEastAsia" w:cstheme="majorEastAsia"/>
                <w:b w:val="0"/>
                <w:bCs/>
                <w:w w:val="95"/>
                <w:highlight w:val="none"/>
                <w:vertAlign w:val="baseline"/>
              </w:rPr>
            </w:pPr>
            <w:r>
              <w:rPr>
                <w:rFonts w:hint="eastAsia" w:asciiTheme="majorEastAsia" w:hAnsiTheme="majorEastAsia" w:eastAsiaTheme="majorEastAsia" w:cstheme="majorEastAsia"/>
                <w:b w:val="0"/>
                <w:bCs/>
                <w:sz w:val="24"/>
                <w:highlight w:val="none"/>
              </w:rPr>
              <w:t>合同名称：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16"/>
              <w:rPr>
                <w:rFonts w:hint="eastAsia" w:asciiTheme="majorEastAsia" w:hAnsiTheme="majorEastAsia" w:eastAsiaTheme="majorEastAsia" w:cstheme="majorEastAsia"/>
                <w:b w:val="0"/>
                <w:bCs/>
                <w:w w:val="95"/>
                <w:highlight w:val="none"/>
                <w:vertAlign w:val="baseline"/>
                <w:lang w:val="en-US" w:eastAsia="zh-CN"/>
              </w:rPr>
            </w:pPr>
            <w:r>
              <w:rPr>
                <w:rFonts w:hint="eastAsia" w:asciiTheme="majorEastAsia" w:hAnsiTheme="majorEastAsia" w:eastAsiaTheme="majorEastAsia" w:cstheme="majorEastAsia"/>
                <w:b w:val="0"/>
                <w:bCs/>
                <w:w w:val="95"/>
                <w:highlight w:val="none"/>
                <w:vertAlign w:val="baseline"/>
                <w:lang w:val="en-US" w:eastAsia="zh-CN"/>
              </w:rPr>
              <w:t>2</w:t>
            </w:r>
          </w:p>
        </w:tc>
        <w:tc>
          <w:tcPr>
            <w:tcW w:w="8415" w:type="dxa"/>
          </w:tcPr>
          <w:p>
            <w:pPr>
              <w:pStyle w:val="16"/>
              <w:jc w:val="both"/>
              <w:rPr>
                <w:rFonts w:hint="eastAsia" w:asciiTheme="majorEastAsia" w:hAnsiTheme="majorEastAsia" w:eastAsiaTheme="majorEastAsia" w:cstheme="majorEastAsia"/>
                <w:b w:val="0"/>
                <w:bCs/>
                <w:w w:val="95"/>
                <w:highlight w:val="none"/>
                <w:vertAlign w:val="baseline"/>
              </w:rPr>
            </w:pPr>
            <w:r>
              <w:rPr>
                <w:rFonts w:hint="eastAsia" w:asciiTheme="majorEastAsia" w:hAnsiTheme="majorEastAsia" w:eastAsiaTheme="majorEastAsia" w:cstheme="majorEastAsia"/>
                <w:b w:val="0"/>
                <w:bCs/>
                <w:sz w:val="24"/>
                <w:highlight w:val="none"/>
              </w:rPr>
              <w:t>合同价格为：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16"/>
              <w:rPr>
                <w:rFonts w:hint="eastAsia" w:asciiTheme="majorEastAsia" w:hAnsiTheme="majorEastAsia" w:eastAsiaTheme="majorEastAsia" w:cstheme="majorEastAsia"/>
                <w:b w:val="0"/>
                <w:bCs/>
                <w:w w:val="95"/>
                <w:highlight w:val="none"/>
                <w:vertAlign w:val="baseline"/>
                <w:lang w:val="en-US" w:eastAsia="zh-CN"/>
              </w:rPr>
            </w:pPr>
            <w:r>
              <w:rPr>
                <w:rFonts w:hint="eastAsia" w:asciiTheme="majorEastAsia" w:hAnsiTheme="majorEastAsia" w:eastAsiaTheme="majorEastAsia" w:cstheme="majorEastAsia"/>
                <w:b w:val="0"/>
                <w:bCs/>
                <w:w w:val="95"/>
                <w:highlight w:val="none"/>
                <w:vertAlign w:val="baseline"/>
                <w:lang w:val="en-US" w:eastAsia="zh-CN"/>
              </w:rPr>
              <w:t>3</w:t>
            </w:r>
          </w:p>
        </w:tc>
        <w:tc>
          <w:tcPr>
            <w:tcW w:w="8415" w:type="dxa"/>
          </w:tcPr>
          <w:p>
            <w:pPr>
              <w:pStyle w:val="16"/>
              <w:jc w:val="both"/>
              <w:rPr>
                <w:rFonts w:hint="eastAsia" w:asciiTheme="majorEastAsia" w:hAnsiTheme="majorEastAsia" w:eastAsiaTheme="majorEastAsia" w:cstheme="majorEastAsia"/>
                <w:b w:val="0"/>
                <w:bCs/>
                <w:w w:val="95"/>
                <w:highlight w:val="none"/>
                <w:vertAlign w:val="baseline"/>
              </w:rPr>
            </w:pPr>
            <w:r>
              <w:rPr>
                <w:rFonts w:hint="eastAsia" w:asciiTheme="majorEastAsia" w:hAnsiTheme="majorEastAsia" w:eastAsiaTheme="majorEastAsia" w:cstheme="majorEastAsia"/>
                <w:b w:val="0"/>
                <w:bCs/>
                <w:sz w:val="24"/>
                <w:highlight w:val="none"/>
              </w:rPr>
              <w:t>买方（采购人）：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16"/>
              <w:rPr>
                <w:rFonts w:hint="eastAsia" w:asciiTheme="majorEastAsia" w:hAnsiTheme="majorEastAsia" w:eastAsiaTheme="majorEastAsia" w:cstheme="majorEastAsia"/>
                <w:b w:val="0"/>
                <w:bCs/>
                <w:w w:val="95"/>
                <w:highlight w:val="none"/>
                <w:vertAlign w:val="baseline"/>
                <w:lang w:val="en-US" w:eastAsia="zh-CN"/>
              </w:rPr>
            </w:pPr>
            <w:r>
              <w:rPr>
                <w:rFonts w:hint="eastAsia" w:asciiTheme="majorEastAsia" w:hAnsiTheme="majorEastAsia" w:eastAsiaTheme="majorEastAsia" w:cstheme="majorEastAsia"/>
                <w:b w:val="0"/>
                <w:bCs/>
                <w:w w:val="95"/>
                <w:highlight w:val="none"/>
                <w:vertAlign w:val="baseline"/>
                <w:lang w:val="en-US" w:eastAsia="zh-CN"/>
              </w:rPr>
              <w:t>4</w:t>
            </w:r>
          </w:p>
        </w:tc>
        <w:tc>
          <w:tcPr>
            <w:tcW w:w="8415" w:type="dxa"/>
          </w:tcPr>
          <w:p>
            <w:pPr>
              <w:pStyle w:val="16"/>
              <w:jc w:val="both"/>
              <w:rPr>
                <w:rFonts w:hint="eastAsia" w:asciiTheme="majorEastAsia" w:hAnsiTheme="majorEastAsia" w:eastAsiaTheme="majorEastAsia" w:cstheme="majorEastAsia"/>
                <w:b w:val="0"/>
                <w:bCs/>
                <w:sz w:val="24"/>
                <w:highlight w:val="none"/>
              </w:rPr>
            </w:pPr>
            <w:r>
              <w:rPr>
                <w:rFonts w:hint="eastAsia" w:asciiTheme="majorEastAsia" w:hAnsiTheme="majorEastAsia" w:eastAsiaTheme="majorEastAsia" w:cstheme="majorEastAsia"/>
                <w:b w:val="0"/>
                <w:bCs/>
                <w:sz w:val="24"/>
                <w:highlight w:val="none"/>
              </w:rPr>
              <w:t xml:space="preserve">卖方（中标方）： </w:t>
            </w:r>
          </w:p>
          <w:p>
            <w:pPr>
              <w:pStyle w:val="16"/>
              <w:jc w:val="both"/>
              <w:rPr>
                <w:rFonts w:hint="eastAsia" w:asciiTheme="majorEastAsia" w:hAnsiTheme="majorEastAsia" w:eastAsiaTheme="majorEastAsia" w:cstheme="majorEastAsia"/>
                <w:b w:val="0"/>
                <w:bCs/>
                <w:w w:val="95"/>
                <w:highlight w:val="none"/>
                <w:vertAlign w:val="baseline"/>
              </w:rPr>
            </w:pPr>
            <w:r>
              <w:rPr>
                <w:rFonts w:hint="eastAsia" w:asciiTheme="majorEastAsia" w:hAnsiTheme="majorEastAsia" w:eastAsiaTheme="majorEastAsia" w:cstheme="majorEastAsia"/>
                <w:b w:val="0"/>
                <w:bCs/>
                <w:sz w:val="24"/>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16"/>
              <w:rPr>
                <w:rFonts w:hint="eastAsia" w:asciiTheme="majorEastAsia" w:hAnsiTheme="majorEastAsia" w:eastAsiaTheme="majorEastAsia" w:cstheme="majorEastAsia"/>
                <w:b w:val="0"/>
                <w:bCs/>
                <w:w w:val="95"/>
                <w:highlight w:val="none"/>
                <w:vertAlign w:val="baseline"/>
                <w:lang w:val="en-US" w:eastAsia="zh-CN"/>
              </w:rPr>
            </w:pPr>
            <w:r>
              <w:rPr>
                <w:rFonts w:hint="eastAsia" w:asciiTheme="majorEastAsia" w:hAnsiTheme="majorEastAsia" w:eastAsiaTheme="majorEastAsia" w:cstheme="majorEastAsia"/>
                <w:b w:val="0"/>
                <w:bCs/>
                <w:w w:val="95"/>
                <w:highlight w:val="none"/>
                <w:vertAlign w:val="baseline"/>
                <w:lang w:val="en-US" w:eastAsia="zh-CN"/>
              </w:rPr>
              <w:t>5</w:t>
            </w:r>
          </w:p>
        </w:tc>
        <w:tc>
          <w:tcPr>
            <w:tcW w:w="8415" w:type="dxa"/>
          </w:tcPr>
          <w:p>
            <w:pPr>
              <w:pStyle w:val="16"/>
              <w:jc w:val="both"/>
              <w:rPr>
                <w:rFonts w:hint="eastAsia" w:asciiTheme="majorEastAsia" w:hAnsiTheme="majorEastAsia" w:eastAsiaTheme="majorEastAsia" w:cstheme="majorEastAsia"/>
                <w:b w:val="0"/>
                <w:bCs/>
                <w:w w:val="95"/>
                <w:highlight w:val="none"/>
                <w:vertAlign w:val="baseline"/>
              </w:rPr>
            </w:pPr>
            <w:r>
              <w:rPr>
                <w:rFonts w:hint="eastAsia" w:asciiTheme="majorEastAsia" w:hAnsiTheme="majorEastAsia" w:eastAsiaTheme="majorEastAsia" w:cstheme="majorEastAsia"/>
                <w:b w:val="0"/>
                <w:bCs/>
                <w:sz w:val="24"/>
                <w:highlight w:val="none"/>
              </w:rPr>
              <w:t>交货安装、调试现场：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16"/>
              <w:rPr>
                <w:rFonts w:hint="eastAsia" w:asciiTheme="majorEastAsia" w:hAnsiTheme="majorEastAsia" w:eastAsiaTheme="majorEastAsia" w:cstheme="majorEastAsia"/>
                <w:b w:val="0"/>
                <w:bCs/>
                <w:w w:val="95"/>
                <w:highlight w:val="none"/>
                <w:vertAlign w:val="baseline"/>
                <w:lang w:val="en-US" w:eastAsia="zh-CN"/>
              </w:rPr>
            </w:pPr>
            <w:r>
              <w:rPr>
                <w:rFonts w:hint="eastAsia" w:asciiTheme="majorEastAsia" w:hAnsiTheme="majorEastAsia" w:eastAsiaTheme="majorEastAsia" w:cstheme="majorEastAsia"/>
                <w:b w:val="0"/>
                <w:bCs/>
                <w:w w:val="95"/>
                <w:highlight w:val="none"/>
                <w:vertAlign w:val="baseline"/>
                <w:lang w:val="en-US" w:eastAsia="zh-CN"/>
              </w:rPr>
              <w:t>6</w:t>
            </w:r>
          </w:p>
        </w:tc>
        <w:tc>
          <w:tcPr>
            <w:tcW w:w="8415" w:type="dxa"/>
          </w:tcPr>
          <w:p>
            <w:pPr>
              <w:pStyle w:val="16"/>
              <w:jc w:val="both"/>
              <w:rPr>
                <w:rFonts w:hint="eastAsia" w:asciiTheme="majorEastAsia" w:hAnsiTheme="majorEastAsia" w:eastAsiaTheme="majorEastAsia" w:cstheme="majorEastAsia"/>
                <w:b w:val="0"/>
                <w:bCs/>
                <w:w w:val="95"/>
                <w:highlight w:val="none"/>
                <w:vertAlign w:val="baseline"/>
              </w:rPr>
            </w:pPr>
            <w:r>
              <w:rPr>
                <w:rFonts w:hint="eastAsia" w:asciiTheme="majorEastAsia" w:hAnsiTheme="majorEastAsia" w:eastAsiaTheme="majorEastAsia" w:cstheme="majorEastAsia"/>
                <w:b w:val="0"/>
                <w:bCs/>
                <w:sz w:val="24"/>
                <w:highlight w:val="none"/>
              </w:rPr>
              <w:t>内陆运输需办运输保险，费用在内陆运输费中，计入投标价。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16"/>
              <w:rPr>
                <w:rFonts w:hint="eastAsia" w:asciiTheme="majorEastAsia" w:hAnsiTheme="majorEastAsia" w:eastAsiaTheme="majorEastAsia" w:cstheme="majorEastAsia"/>
                <w:b w:val="0"/>
                <w:bCs/>
                <w:w w:val="95"/>
                <w:highlight w:val="none"/>
                <w:vertAlign w:val="baseline"/>
                <w:lang w:val="en-US" w:eastAsia="zh-CN"/>
              </w:rPr>
            </w:pPr>
            <w:r>
              <w:rPr>
                <w:rFonts w:hint="eastAsia" w:asciiTheme="majorEastAsia" w:hAnsiTheme="majorEastAsia" w:eastAsiaTheme="majorEastAsia" w:cstheme="majorEastAsia"/>
                <w:b w:val="0"/>
                <w:bCs/>
                <w:w w:val="95"/>
                <w:highlight w:val="none"/>
                <w:vertAlign w:val="baseline"/>
                <w:lang w:val="en-US" w:eastAsia="zh-CN"/>
              </w:rPr>
              <w:t>7</w:t>
            </w:r>
          </w:p>
        </w:tc>
        <w:tc>
          <w:tcPr>
            <w:tcW w:w="8415" w:type="dxa"/>
          </w:tcPr>
          <w:p>
            <w:pPr>
              <w:pStyle w:val="16"/>
              <w:jc w:val="both"/>
              <w:rPr>
                <w:rFonts w:hint="eastAsia" w:asciiTheme="majorEastAsia" w:hAnsiTheme="majorEastAsia" w:eastAsiaTheme="majorEastAsia" w:cstheme="majorEastAsia"/>
                <w:b w:val="0"/>
                <w:bCs/>
                <w:w w:val="95"/>
                <w:highlight w:val="none"/>
                <w:vertAlign w:val="baseline"/>
              </w:rPr>
            </w:pPr>
            <w:r>
              <w:rPr>
                <w:rFonts w:hint="eastAsia" w:asciiTheme="majorEastAsia" w:hAnsiTheme="majorEastAsia" w:eastAsiaTheme="majorEastAsia" w:cstheme="majorEastAsia"/>
                <w:b w:val="0"/>
                <w:bCs/>
                <w:sz w:val="24"/>
                <w:highlight w:val="none"/>
              </w:rPr>
              <w:t>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pStyle w:val="16"/>
              <w:rPr>
                <w:rFonts w:hint="eastAsia" w:asciiTheme="majorEastAsia" w:hAnsiTheme="majorEastAsia" w:eastAsiaTheme="majorEastAsia" w:cstheme="majorEastAsia"/>
                <w:b w:val="0"/>
                <w:bCs/>
                <w:w w:val="95"/>
                <w:highlight w:val="none"/>
                <w:vertAlign w:val="baseline"/>
                <w:lang w:val="en-US" w:eastAsia="zh-CN"/>
              </w:rPr>
            </w:pPr>
            <w:r>
              <w:rPr>
                <w:rFonts w:hint="eastAsia" w:asciiTheme="majorEastAsia" w:hAnsiTheme="majorEastAsia" w:eastAsiaTheme="majorEastAsia" w:cstheme="majorEastAsia"/>
                <w:b w:val="0"/>
                <w:bCs/>
                <w:w w:val="95"/>
                <w:highlight w:val="none"/>
                <w:vertAlign w:val="baseline"/>
                <w:lang w:val="en-US" w:eastAsia="zh-CN"/>
              </w:rPr>
              <w:t>8</w:t>
            </w:r>
          </w:p>
        </w:tc>
        <w:tc>
          <w:tcPr>
            <w:tcW w:w="8415" w:type="dxa"/>
          </w:tcPr>
          <w:p>
            <w:pPr>
              <w:pStyle w:val="16"/>
              <w:jc w:val="both"/>
              <w:rPr>
                <w:rFonts w:hint="eastAsia" w:asciiTheme="majorEastAsia" w:hAnsiTheme="majorEastAsia" w:eastAsiaTheme="majorEastAsia" w:cstheme="majorEastAsia"/>
                <w:b w:val="0"/>
                <w:bCs/>
                <w:w w:val="95"/>
                <w:highlight w:val="none"/>
                <w:vertAlign w:val="baseline"/>
              </w:rPr>
            </w:pPr>
            <w:r>
              <w:rPr>
                <w:rFonts w:hint="eastAsia" w:asciiTheme="majorEastAsia" w:hAnsiTheme="majorEastAsia" w:eastAsiaTheme="majorEastAsia" w:cstheme="majorEastAsia"/>
                <w:b w:val="0"/>
                <w:bCs/>
                <w:sz w:val="24"/>
                <w:highlight w:val="none"/>
              </w:rPr>
              <w:t>质量保证期必须符合国家相关规定。（质保期内卖方提供免费保养）</w:t>
            </w:r>
          </w:p>
        </w:tc>
      </w:tr>
    </w:tbl>
    <w:p>
      <w:pPr>
        <w:pStyle w:val="16"/>
        <w:rPr>
          <w:w w:val="95"/>
          <w:highlight w:val="none"/>
        </w:rPr>
      </w:pPr>
    </w:p>
    <w:p>
      <w:pPr>
        <w:pStyle w:val="8"/>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right="0"/>
        <w:jc w:val="both"/>
        <w:textAlignment w:val="auto"/>
        <w:rPr>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336" w:lineRule="auto"/>
        <w:ind w:left="0" w:right="0"/>
        <w:jc w:val="both"/>
        <w:textAlignment w:val="auto"/>
        <w:rPr>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336" w:lineRule="auto"/>
        <w:ind w:left="0" w:right="0"/>
        <w:jc w:val="both"/>
        <w:textAlignment w:val="auto"/>
        <w:rPr>
          <w:highlight w:val="none"/>
        </w:rPr>
        <w:sectPr>
          <w:footerReference r:id="rId8" w:type="default"/>
          <w:pgSz w:w="11910" w:h="16840"/>
          <w:pgMar w:top="1480" w:right="940" w:bottom="880" w:left="1680" w:header="0" w:footer="686" w:gutter="0"/>
          <w:pgBorders>
            <w:top w:val="none" w:sz="0" w:space="0"/>
            <w:left w:val="none" w:sz="0" w:space="0"/>
            <w:bottom w:val="none" w:sz="0" w:space="0"/>
            <w:right w:val="none" w:sz="0" w:space="0"/>
          </w:pgBorders>
          <w:pgNumType w:fmt="decimal"/>
        </w:sectPr>
      </w:pPr>
    </w:p>
    <w:p>
      <w:pPr>
        <w:pStyle w:val="8"/>
        <w:keepNext w:val="0"/>
        <w:keepLines w:val="0"/>
        <w:pageBreakBefore w:val="0"/>
        <w:widowControl w:val="0"/>
        <w:tabs>
          <w:tab w:val="left" w:pos="1319"/>
        </w:tabs>
        <w:kinsoku/>
        <w:wordWrap/>
        <w:overflowPunct/>
        <w:topLinePunct w:val="0"/>
        <w:autoSpaceDE w:val="0"/>
        <w:autoSpaceDN w:val="0"/>
        <w:bidi w:val="0"/>
        <w:adjustRightInd/>
        <w:snapToGrid/>
        <w:spacing w:before="0" w:after="0"/>
        <w:ind w:left="0" w:right="0"/>
        <w:jc w:val="both"/>
        <w:textAlignment w:val="auto"/>
        <w:rPr>
          <w:highlight w:val="none"/>
        </w:rPr>
      </w:pPr>
      <w:bookmarkStart w:id="2" w:name="第五部分  投标文件（格式）"/>
      <w:bookmarkEnd w:id="2"/>
    </w:p>
    <w:p>
      <w:pPr>
        <w:pStyle w:val="8"/>
        <w:keepNext w:val="0"/>
        <w:keepLines w:val="0"/>
        <w:pageBreakBefore w:val="0"/>
        <w:widowControl w:val="0"/>
        <w:tabs>
          <w:tab w:val="left" w:pos="1319"/>
        </w:tabs>
        <w:kinsoku/>
        <w:wordWrap/>
        <w:overflowPunct/>
        <w:topLinePunct w:val="0"/>
        <w:autoSpaceDE w:val="0"/>
        <w:autoSpaceDN w:val="0"/>
        <w:bidi w:val="0"/>
        <w:adjustRightInd/>
        <w:snapToGrid/>
        <w:spacing w:before="0" w:after="0"/>
        <w:ind w:left="0" w:right="0"/>
        <w:jc w:val="center"/>
        <w:textAlignment w:val="auto"/>
        <w:rPr>
          <w:sz w:val="36"/>
          <w:szCs w:val="36"/>
          <w:highlight w:val="none"/>
        </w:rPr>
      </w:pPr>
      <w:r>
        <w:rPr>
          <w:sz w:val="36"/>
          <w:szCs w:val="36"/>
          <w:highlight w:val="none"/>
        </w:rPr>
        <w:t>第</w:t>
      </w:r>
      <w:r>
        <w:rPr>
          <w:rFonts w:hint="eastAsia"/>
          <w:sz w:val="36"/>
          <w:szCs w:val="36"/>
          <w:highlight w:val="none"/>
          <w:lang w:val="en-US" w:eastAsia="zh-CN"/>
        </w:rPr>
        <w:t>六章</w:t>
      </w:r>
      <w:r>
        <w:rPr>
          <w:sz w:val="36"/>
          <w:szCs w:val="36"/>
          <w:highlight w:val="none"/>
        </w:rPr>
        <w:tab/>
      </w:r>
      <w:r>
        <w:rPr>
          <w:w w:val="95"/>
          <w:sz w:val="36"/>
          <w:szCs w:val="36"/>
          <w:highlight w:val="none"/>
        </w:rPr>
        <w:t>投标文件（格式）</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b/>
          <w:sz w:val="24"/>
          <w:szCs w:val="36"/>
          <w:highlight w:val="none"/>
        </w:rPr>
      </w:pPr>
      <w:r>
        <w:rPr>
          <w:rFonts w:hint="eastAsia"/>
          <w:b/>
          <w:sz w:val="28"/>
          <w:szCs w:val="40"/>
          <w:highlight w:val="none"/>
        </w:rPr>
        <w:t>投标密封袋及文件封面格式</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0"/>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jc w:val="right"/>
        <w:textAlignment w:val="auto"/>
        <w:rPr>
          <w:rFonts w:hint="eastAsia"/>
          <w:b/>
          <w:bCs/>
          <w:sz w:val="28"/>
          <w:szCs w:val="36"/>
          <w:highlight w:val="none"/>
          <w:lang w:val="en-US" w:eastAsia="zh-CN"/>
        </w:rPr>
      </w:pPr>
      <w:r>
        <w:rPr>
          <w:rFonts w:hint="eastAsia"/>
          <w:b/>
          <w:bCs/>
          <w:sz w:val="28"/>
          <w:szCs w:val="36"/>
          <w:highlight w:val="none"/>
          <w:lang w:val="en-US" w:eastAsia="zh-CN"/>
        </w:rPr>
        <w:t>正本或副本</w:t>
      </w:r>
    </w:p>
    <w:p>
      <w:pPr>
        <w:pStyle w:val="16"/>
        <w:rPr>
          <w:rFonts w:hint="default"/>
          <w:highlight w:val="none"/>
          <w:lang w:val="en-US" w:eastAsia="zh-CN"/>
        </w:rPr>
      </w:pPr>
    </w:p>
    <w:p>
      <w:pPr>
        <w:pStyle w:val="16"/>
        <w:rPr>
          <w:sz w:val="20"/>
          <w:highlight w:val="none"/>
        </w:rPr>
      </w:pPr>
    </w:p>
    <w:p>
      <w:pPr>
        <w:pStyle w:val="16"/>
        <w:rPr>
          <w:sz w:val="20"/>
          <w:highlight w:val="none"/>
        </w:rPr>
      </w:pPr>
    </w:p>
    <w:p>
      <w:pPr>
        <w:pStyle w:val="16"/>
        <w:rPr>
          <w:rFonts w:hint="eastAsia"/>
          <w:sz w:val="24"/>
          <w:szCs w:val="32"/>
          <w:highlight w:val="none"/>
          <w:lang w:val="en-US" w:eastAsia="zh-CN"/>
        </w:rPr>
      </w:pPr>
      <w:r>
        <w:rPr>
          <w:rFonts w:hint="eastAsia"/>
          <w:sz w:val="24"/>
          <w:szCs w:val="32"/>
          <w:highlight w:val="none"/>
          <w:lang w:val="en-US" w:eastAsia="zh-CN"/>
        </w:rPr>
        <w:t>项目名称：</w:t>
      </w:r>
    </w:p>
    <w:p>
      <w:pPr>
        <w:pStyle w:val="16"/>
        <w:rPr>
          <w:rFonts w:hint="eastAsia"/>
          <w:sz w:val="24"/>
          <w:szCs w:val="32"/>
          <w:highlight w:val="none"/>
          <w:lang w:val="en-US" w:eastAsia="zh-CN"/>
        </w:rPr>
      </w:pPr>
    </w:p>
    <w:p>
      <w:pPr>
        <w:pStyle w:val="16"/>
        <w:rPr>
          <w:rFonts w:hint="default"/>
          <w:sz w:val="24"/>
          <w:szCs w:val="32"/>
          <w:highlight w:val="none"/>
          <w:lang w:val="en-US" w:eastAsia="zh-CN"/>
        </w:rPr>
        <w:sectPr>
          <w:pgSz w:w="11910" w:h="16840"/>
          <w:pgMar w:top="1580" w:right="1680" w:bottom="880" w:left="1680" w:header="0" w:footer="686" w:gutter="0"/>
          <w:pgBorders>
            <w:top w:val="none" w:sz="0" w:space="0"/>
            <w:left w:val="none" w:sz="0" w:space="0"/>
            <w:bottom w:val="none" w:sz="0" w:space="0"/>
            <w:right w:val="none" w:sz="0" w:space="0"/>
          </w:pgBorders>
          <w:pgNumType w:fmt="decimal"/>
        </w:sectPr>
      </w:pPr>
      <w:r>
        <w:rPr>
          <w:rFonts w:hint="eastAsia"/>
          <w:sz w:val="24"/>
          <w:szCs w:val="32"/>
          <w:highlight w:val="none"/>
          <w:lang w:val="en-US" w:eastAsia="zh-CN"/>
        </w:rPr>
        <w:t>项目编号：</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eastAsia"/>
          <w:b/>
          <w:sz w:val="20"/>
          <w:highlight w:val="none"/>
          <w:lang w:val="en-US" w:eastAsia="zh-CN"/>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eastAsia"/>
          <w:b/>
          <w:sz w:val="20"/>
          <w:highlight w:val="none"/>
          <w:lang w:val="en-US" w:eastAsia="zh-CN"/>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eastAsia"/>
          <w:b/>
          <w:sz w:val="20"/>
          <w:highlight w:val="none"/>
          <w:lang w:val="en-US" w:eastAsia="zh-CN"/>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b/>
          <w:sz w:val="72"/>
          <w:szCs w:val="72"/>
          <w:highlight w:val="none"/>
          <w:lang w:val="en-US" w:eastAsia="zh-CN"/>
        </w:rPr>
      </w:pPr>
      <w:r>
        <w:rPr>
          <w:rFonts w:hint="eastAsia"/>
          <w:b/>
          <w:sz w:val="72"/>
          <w:szCs w:val="72"/>
          <w:highlight w:val="none"/>
          <w:lang w:val="en-US" w:eastAsia="zh-CN"/>
        </w:rPr>
        <w:t>投标文件</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3"/>
          <w:highlight w:val="none"/>
        </w:rPr>
      </w:pPr>
    </w:p>
    <w:p>
      <w:pPr>
        <w:pStyle w:val="9"/>
        <w:keepNext w:val="0"/>
        <w:keepLines w:val="0"/>
        <w:pageBreakBefore w:val="0"/>
        <w:widowControl w:val="0"/>
        <w:tabs>
          <w:tab w:val="left" w:pos="4557"/>
          <w:tab w:val="left" w:pos="6536"/>
          <w:tab w:val="left" w:pos="6656"/>
        </w:tabs>
        <w:kinsoku/>
        <w:wordWrap/>
        <w:overflowPunct/>
        <w:topLinePunct w:val="0"/>
        <w:autoSpaceDE w:val="0"/>
        <w:autoSpaceDN w:val="0"/>
        <w:bidi w:val="0"/>
        <w:adjustRightInd/>
        <w:snapToGrid/>
        <w:spacing w:before="0" w:after="0" w:line="336" w:lineRule="auto"/>
        <w:ind w:left="0" w:right="0"/>
        <w:jc w:val="both"/>
        <w:textAlignment w:val="auto"/>
        <w:rPr>
          <w:highlight w:val="none"/>
        </w:rPr>
      </w:pPr>
      <w:r>
        <w:rPr>
          <w:highlight w:val="none"/>
        </w:rPr>
        <w:t>供应商全称：</w:t>
      </w:r>
      <w:r>
        <w:rPr>
          <w:highlight w:val="none"/>
          <w:u w:val="single"/>
        </w:rPr>
        <w:t xml:space="preserve"> </w:t>
      </w:r>
      <w:r>
        <w:rPr>
          <w:highlight w:val="none"/>
          <w:u w:val="single"/>
        </w:rPr>
        <w:tab/>
      </w:r>
      <w:r>
        <w:rPr>
          <w:highlight w:val="none"/>
        </w:rPr>
        <w:t>（加盖单位公章）</w:t>
      </w:r>
    </w:p>
    <w:p>
      <w:pPr>
        <w:pStyle w:val="9"/>
        <w:keepNext w:val="0"/>
        <w:keepLines w:val="0"/>
        <w:pageBreakBefore w:val="0"/>
        <w:widowControl w:val="0"/>
        <w:tabs>
          <w:tab w:val="left" w:pos="4557"/>
          <w:tab w:val="left" w:pos="6536"/>
          <w:tab w:val="left" w:pos="6656"/>
        </w:tabs>
        <w:kinsoku/>
        <w:wordWrap/>
        <w:overflowPunct/>
        <w:topLinePunct w:val="0"/>
        <w:autoSpaceDE w:val="0"/>
        <w:autoSpaceDN w:val="0"/>
        <w:bidi w:val="0"/>
        <w:adjustRightInd/>
        <w:snapToGrid/>
        <w:spacing w:before="0" w:after="0" w:line="336" w:lineRule="auto"/>
        <w:ind w:left="0" w:right="0"/>
        <w:jc w:val="both"/>
        <w:textAlignment w:val="auto"/>
        <w:rPr>
          <w:rFonts w:ascii="Times New Roman" w:eastAsia="Times New Roman"/>
          <w:spacing w:val="28"/>
          <w:highlight w:val="none"/>
          <w:u w:val="single"/>
        </w:rPr>
      </w:pPr>
      <w:r>
        <w:rPr>
          <w:spacing w:val="-1"/>
          <w:highlight w:val="none"/>
        </w:rPr>
        <w:t>法</w:t>
      </w:r>
      <w:r>
        <w:rPr>
          <w:highlight w:val="none"/>
        </w:rPr>
        <w:t>定代表(盖章或签字)：</w:t>
      </w:r>
      <w:r>
        <w:rPr>
          <w:rFonts w:ascii="Times New Roman" w:eastAsia="Times New Roman"/>
          <w:highlight w:val="none"/>
          <w:u w:val="single"/>
        </w:rPr>
        <w:t xml:space="preserve"> </w:t>
      </w:r>
      <w:r>
        <w:rPr>
          <w:rFonts w:ascii="Times New Roman" w:eastAsia="Times New Roman"/>
          <w:spacing w:val="-1"/>
          <w:highlight w:val="none"/>
          <w:u w:val="single"/>
        </w:rPr>
        <w:t xml:space="preserve">             </w:t>
      </w:r>
      <w:r>
        <w:rPr>
          <w:rFonts w:hint="eastAsia" w:ascii="Times New Roman"/>
          <w:spacing w:val="-1"/>
          <w:highlight w:val="none"/>
          <w:u w:val="single"/>
          <w:lang w:val="en-US" w:eastAsia="zh-CN"/>
        </w:rPr>
        <w:t xml:space="preserve">                                           </w:t>
      </w:r>
      <w:r>
        <w:rPr>
          <w:rFonts w:ascii="Times New Roman" w:eastAsia="Times New Roman"/>
          <w:spacing w:val="-1"/>
          <w:highlight w:val="none"/>
          <w:u w:val="single"/>
        </w:rPr>
        <w:t xml:space="preserve">    </w:t>
      </w:r>
      <w:r>
        <w:rPr>
          <w:rFonts w:ascii="Times New Roman" w:eastAsia="Times New Roman"/>
          <w:spacing w:val="28"/>
          <w:highlight w:val="none"/>
          <w:u w:val="single"/>
        </w:rPr>
        <w:t xml:space="preserve"> </w:t>
      </w:r>
    </w:p>
    <w:p>
      <w:pPr>
        <w:pStyle w:val="9"/>
        <w:keepNext w:val="0"/>
        <w:keepLines w:val="0"/>
        <w:pageBreakBefore w:val="0"/>
        <w:widowControl w:val="0"/>
        <w:tabs>
          <w:tab w:val="left" w:pos="4557"/>
          <w:tab w:val="left" w:pos="6536"/>
          <w:tab w:val="left" w:pos="6656"/>
        </w:tabs>
        <w:kinsoku/>
        <w:wordWrap/>
        <w:overflowPunct/>
        <w:topLinePunct w:val="0"/>
        <w:autoSpaceDE w:val="0"/>
        <w:autoSpaceDN w:val="0"/>
        <w:bidi w:val="0"/>
        <w:adjustRightInd/>
        <w:snapToGrid/>
        <w:spacing w:before="0" w:after="0" w:line="336" w:lineRule="auto"/>
        <w:ind w:left="0" w:right="0"/>
        <w:jc w:val="both"/>
        <w:textAlignment w:val="auto"/>
        <w:rPr>
          <w:rFonts w:hint="default" w:ascii="Times New Roman" w:eastAsia="宋体"/>
          <w:highlight w:val="none"/>
          <w:u w:val="single"/>
          <w:lang w:val="en-US" w:eastAsia="zh-CN"/>
        </w:rPr>
      </w:pPr>
      <w:r>
        <w:rPr>
          <w:spacing w:val="-1"/>
          <w:highlight w:val="none"/>
        </w:rPr>
        <w:t>投</w:t>
      </w:r>
      <w:r>
        <w:rPr>
          <w:highlight w:val="none"/>
        </w:rPr>
        <w:t>标人地址：</w:t>
      </w:r>
      <w:r>
        <w:rPr>
          <w:rFonts w:ascii="Times New Roman" w:eastAsia="Times New Roman"/>
          <w:highlight w:val="none"/>
          <w:u w:val="single"/>
        </w:rPr>
        <w:t xml:space="preserve"> </w:t>
      </w:r>
      <w:r>
        <w:rPr>
          <w:rFonts w:hint="eastAsia" w:ascii="Times New Roman"/>
          <w:highlight w:val="none"/>
          <w:u w:val="single"/>
          <w:lang w:val="en-US" w:eastAsia="zh-CN"/>
        </w:rPr>
        <w:t xml:space="preserve">                                                                               </w:t>
      </w:r>
    </w:p>
    <w:p>
      <w:pPr>
        <w:pStyle w:val="9"/>
        <w:keepNext w:val="0"/>
        <w:keepLines w:val="0"/>
        <w:pageBreakBefore w:val="0"/>
        <w:widowControl w:val="0"/>
        <w:tabs>
          <w:tab w:val="left" w:pos="4557"/>
          <w:tab w:val="left" w:pos="6536"/>
          <w:tab w:val="left" w:pos="6656"/>
        </w:tabs>
        <w:kinsoku/>
        <w:wordWrap/>
        <w:overflowPunct/>
        <w:topLinePunct w:val="0"/>
        <w:autoSpaceDE w:val="0"/>
        <w:autoSpaceDN w:val="0"/>
        <w:bidi w:val="0"/>
        <w:adjustRightInd/>
        <w:snapToGrid/>
        <w:spacing w:before="0" w:after="0" w:line="336" w:lineRule="auto"/>
        <w:ind w:left="0" w:right="0"/>
        <w:jc w:val="both"/>
        <w:textAlignment w:val="auto"/>
        <w:rPr>
          <w:rFonts w:ascii="Times New Roman" w:eastAsia="Times New Roman"/>
          <w:spacing w:val="-1"/>
          <w:highlight w:val="none"/>
          <w:u w:val="single"/>
        </w:rPr>
      </w:pPr>
      <w:r>
        <w:rPr>
          <w:highlight w:val="none"/>
        </w:rPr>
        <w:t>联 系</w:t>
      </w:r>
      <w:r>
        <w:rPr>
          <w:spacing w:val="-1"/>
          <w:highlight w:val="none"/>
        </w:rPr>
        <w:t xml:space="preserve"> </w:t>
      </w:r>
      <w:r>
        <w:rPr>
          <w:highlight w:val="none"/>
        </w:rPr>
        <w:t>人：</w:t>
      </w:r>
      <w:r>
        <w:rPr>
          <w:rFonts w:ascii="Times New Roman" w:eastAsia="Times New Roman"/>
          <w:highlight w:val="none"/>
          <w:u w:val="single"/>
        </w:rPr>
        <w:t xml:space="preserve"> </w:t>
      </w:r>
      <w:r>
        <w:rPr>
          <w:rFonts w:hint="eastAsia" w:ascii="Times New Roman"/>
          <w:highlight w:val="none"/>
          <w:u w:val="single"/>
          <w:lang w:val="en-US" w:eastAsia="zh-CN"/>
        </w:rPr>
        <w:t xml:space="preserve"> </w:t>
      </w:r>
      <w:r>
        <w:rPr>
          <w:rFonts w:ascii="Times New Roman" w:eastAsia="Times New Roman"/>
          <w:highlight w:val="none"/>
          <w:u w:val="single"/>
        </w:rPr>
        <w:tab/>
      </w:r>
      <w:r>
        <w:rPr>
          <w:rFonts w:hint="eastAsia" w:ascii="Times New Roman"/>
          <w:highlight w:val="none"/>
          <w:u w:val="single"/>
          <w:lang w:val="en-US" w:eastAsia="zh-CN"/>
        </w:rPr>
        <w:t xml:space="preserve">   </w:t>
      </w:r>
      <w:r>
        <w:rPr>
          <w:rFonts w:ascii="Times New Roman" w:eastAsia="Times New Roman"/>
          <w:spacing w:val="-1"/>
          <w:highlight w:val="none"/>
          <w:u w:val="single"/>
        </w:rPr>
        <w:t xml:space="preserve">                </w:t>
      </w:r>
      <w:r>
        <w:rPr>
          <w:rFonts w:hint="eastAsia" w:ascii="Times New Roman"/>
          <w:spacing w:val="-1"/>
          <w:highlight w:val="none"/>
          <w:u w:val="single"/>
          <w:lang w:val="en-US" w:eastAsia="zh-CN"/>
        </w:rPr>
        <w:t xml:space="preserve">    </w:t>
      </w:r>
      <w:r>
        <w:rPr>
          <w:rFonts w:ascii="Times New Roman" w:eastAsia="Times New Roman"/>
          <w:spacing w:val="-1"/>
          <w:highlight w:val="none"/>
          <w:u w:val="single"/>
        </w:rPr>
        <w:t xml:space="preserve">      </w:t>
      </w:r>
    </w:p>
    <w:p>
      <w:pPr>
        <w:pStyle w:val="9"/>
        <w:keepNext w:val="0"/>
        <w:keepLines w:val="0"/>
        <w:pageBreakBefore w:val="0"/>
        <w:widowControl w:val="0"/>
        <w:tabs>
          <w:tab w:val="left" w:pos="4557"/>
          <w:tab w:val="left" w:pos="6536"/>
          <w:tab w:val="left" w:pos="6656"/>
        </w:tabs>
        <w:kinsoku/>
        <w:wordWrap/>
        <w:overflowPunct/>
        <w:topLinePunct w:val="0"/>
        <w:autoSpaceDE w:val="0"/>
        <w:autoSpaceDN w:val="0"/>
        <w:bidi w:val="0"/>
        <w:adjustRightInd/>
        <w:snapToGrid/>
        <w:spacing w:before="0" w:after="0" w:line="336" w:lineRule="auto"/>
        <w:ind w:left="0" w:right="0"/>
        <w:jc w:val="both"/>
        <w:textAlignment w:val="auto"/>
        <w:rPr>
          <w:rFonts w:hint="default" w:ascii="Times New Roman" w:eastAsia="宋体"/>
          <w:highlight w:val="none"/>
          <w:u w:val="single"/>
          <w:lang w:val="en-US" w:eastAsia="zh-CN"/>
        </w:rPr>
      </w:pPr>
      <w:r>
        <w:rPr>
          <w:spacing w:val="-1"/>
          <w:highlight w:val="none"/>
        </w:rPr>
        <w:t>联</w:t>
      </w:r>
      <w:r>
        <w:rPr>
          <w:highlight w:val="none"/>
        </w:rPr>
        <w:t>系电话：</w:t>
      </w:r>
      <w:r>
        <w:rPr>
          <w:rFonts w:hint="eastAsia"/>
          <w:highlight w:val="none"/>
          <w:u w:val="single"/>
          <w:lang w:val="en-US" w:eastAsia="zh-CN"/>
        </w:rPr>
        <w:t xml:space="preserve">                                          </w:t>
      </w:r>
    </w:p>
    <w:p>
      <w:pPr>
        <w:pStyle w:val="9"/>
        <w:keepNext w:val="0"/>
        <w:keepLines w:val="0"/>
        <w:pageBreakBefore w:val="0"/>
        <w:widowControl w:val="0"/>
        <w:tabs>
          <w:tab w:val="left" w:pos="1918"/>
          <w:tab w:val="left" w:pos="2518"/>
        </w:tabs>
        <w:kinsoku/>
        <w:wordWrap/>
        <w:overflowPunct/>
        <w:topLinePunct w:val="0"/>
        <w:autoSpaceDE w:val="0"/>
        <w:autoSpaceDN w:val="0"/>
        <w:bidi w:val="0"/>
        <w:adjustRightInd/>
        <w:snapToGrid/>
        <w:spacing w:before="0" w:after="0"/>
        <w:ind w:left="0" w:right="0"/>
        <w:jc w:val="center"/>
        <w:textAlignment w:val="auto"/>
        <w:rPr>
          <w:highlight w:val="none"/>
        </w:rPr>
      </w:pPr>
    </w:p>
    <w:p>
      <w:pPr>
        <w:pStyle w:val="9"/>
        <w:keepNext w:val="0"/>
        <w:keepLines w:val="0"/>
        <w:pageBreakBefore w:val="0"/>
        <w:widowControl w:val="0"/>
        <w:tabs>
          <w:tab w:val="left" w:pos="1918"/>
          <w:tab w:val="left" w:pos="2518"/>
        </w:tabs>
        <w:kinsoku/>
        <w:wordWrap/>
        <w:overflowPunct/>
        <w:topLinePunct w:val="0"/>
        <w:autoSpaceDE w:val="0"/>
        <w:autoSpaceDN w:val="0"/>
        <w:bidi w:val="0"/>
        <w:adjustRightInd/>
        <w:snapToGrid/>
        <w:spacing w:before="0" w:after="0"/>
        <w:ind w:left="0" w:right="0"/>
        <w:jc w:val="center"/>
        <w:textAlignment w:val="auto"/>
        <w:rPr>
          <w:highlight w:val="none"/>
        </w:rPr>
      </w:pPr>
      <w:r>
        <w:rPr>
          <w:highlight w:val="none"/>
        </w:rPr>
        <w:t>年</w:t>
      </w:r>
      <w:r>
        <w:rPr>
          <w:rFonts w:hint="eastAsia"/>
          <w:highlight w:val="none"/>
          <w:lang w:val="en-US" w:eastAsia="zh-CN"/>
        </w:rPr>
        <w:t xml:space="preserve">  </w:t>
      </w:r>
      <w:r>
        <w:rPr>
          <w:highlight w:val="none"/>
        </w:rPr>
        <w:t>月</w:t>
      </w:r>
      <w:r>
        <w:rPr>
          <w:rFonts w:hint="eastAsia"/>
          <w:highlight w:val="none"/>
          <w:lang w:val="en-US" w:eastAsia="zh-CN"/>
        </w:rPr>
        <w:t xml:space="preserve">   </w:t>
      </w:r>
      <w:r>
        <w:rPr>
          <w:highlight w:val="none"/>
        </w:rPr>
        <w:t>日</w:t>
      </w: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sectPr>
          <w:type w:val="continuous"/>
          <w:pgSz w:w="11910" w:h="16840"/>
          <w:pgMar w:top="1440" w:right="1680" w:bottom="860" w:left="1680" w:header="720" w:footer="720" w:gutter="0"/>
          <w:pgBorders>
            <w:top w:val="none" w:sz="0" w:space="0"/>
            <w:left w:val="none" w:sz="0" w:space="0"/>
            <w:bottom w:val="none" w:sz="0" w:space="0"/>
            <w:right w:val="none" w:sz="0" w:space="0"/>
          </w:pgBorders>
          <w:pgNumType w:fmt="decimal"/>
        </w:sect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1"/>
          <w:highlight w:val="none"/>
        </w:rPr>
      </w:pPr>
    </w:p>
    <w:p>
      <w:pPr>
        <w:keepNext w:val="0"/>
        <w:keepLines w:val="0"/>
        <w:pageBreakBefore w:val="0"/>
        <w:widowControl w:val="0"/>
        <w:tabs>
          <w:tab w:val="left" w:pos="902"/>
        </w:tabs>
        <w:kinsoku/>
        <w:wordWrap/>
        <w:overflowPunct/>
        <w:topLinePunct w:val="0"/>
        <w:autoSpaceDE w:val="0"/>
        <w:autoSpaceDN w:val="0"/>
        <w:bidi w:val="0"/>
        <w:adjustRightInd/>
        <w:snapToGrid/>
        <w:spacing w:before="0" w:after="0"/>
        <w:ind w:left="0" w:right="0" w:firstLine="0"/>
        <w:jc w:val="center"/>
        <w:textAlignment w:val="auto"/>
        <w:rPr>
          <w:b/>
          <w:sz w:val="44"/>
          <w:szCs w:val="44"/>
          <w:highlight w:val="none"/>
        </w:rPr>
      </w:pPr>
      <w:r>
        <w:rPr>
          <w:b/>
          <w:sz w:val="44"/>
          <w:szCs w:val="44"/>
          <w:highlight w:val="none"/>
        </w:rPr>
        <w:t>目</w:t>
      </w:r>
      <w:r>
        <w:rPr>
          <w:rFonts w:hint="eastAsia"/>
          <w:b/>
          <w:sz w:val="44"/>
          <w:szCs w:val="44"/>
          <w:highlight w:val="none"/>
          <w:lang w:val="en-US" w:eastAsia="zh-CN"/>
        </w:rPr>
        <w:t xml:space="preserve"> </w:t>
      </w:r>
      <w:r>
        <w:rPr>
          <w:b/>
          <w:sz w:val="44"/>
          <w:szCs w:val="44"/>
          <w:highlight w:val="none"/>
        </w:rPr>
        <w:t>录</w:t>
      </w:r>
    </w:p>
    <w:p>
      <w:pPr>
        <w:pStyle w:val="9"/>
        <w:keepNext w:val="0"/>
        <w:keepLines w:val="0"/>
        <w:pageBreakBefore w:val="0"/>
        <w:widowControl w:val="0"/>
        <w:kinsoku/>
        <w:wordWrap/>
        <w:overflowPunct/>
        <w:topLinePunct w:val="0"/>
        <w:autoSpaceDE w:val="0"/>
        <w:autoSpaceDN w:val="0"/>
        <w:bidi w:val="0"/>
        <w:adjustRightInd/>
        <w:snapToGrid/>
        <w:spacing w:before="0" w:after="0" w:line="480" w:lineRule="exact"/>
        <w:ind w:left="0" w:right="0"/>
        <w:jc w:val="both"/>
        <w:textAlignment w:val="auto"/>
        <w:rPr>
          <w:b/>
          <w:bCs/>
          <w:sz w:val="28"/>
          <w:szCs w:val="28"/>
          <w:highlight w:val="none"/>
        </w:rPr>
      </w:pPr>
      <w:r>
        <w:rPr>
          <w:b/>
          <w:bCs/>
          <w:sz w:val="28"/>
          <w:szCs w:val="28"/>
          <w:highlight w:val="none"/>
        </w:rPr>
        <w:t>一、资格证明文件</w:t>
      </w:r>
    </w:p>
    <w:p>
      <w:pPr>
        <w:pStyle w:val="9"/>
        <w:keepNext w:val="0"/>
        <w:keepLines w:val="0"/>
        <w:pageBreakBefore w:val="0"/>
        <w:widowControl w:val="0"/>
        <w:kinsoku/>
        <w:wordWrap/>
        <w:overflowPunct/>
        <w:topLinePunct w:val="0"/>
        <w:autoSpaceDE w:val="0"/>
        <w:autoSpaceDN w:val="0"/>
        <w:bidi w:val="0"/>
        <w:adjustRightInd/>
        <w:snapToGrid/>
        <w:spacing w:before="0" w:after="0" w:line="480" w:lineRule="exact"/>
        <w:ind w:left="0" w:right="0"/>
        <w:jc w:val="both"/>
        <w:textAlignment w:val="auto"/>
        <w:rPr>
          <w:sz w:val="28"/>
          <w:szCs w:val="28"/>
          <w:highlight w:val="none"/>
        </w:rPr>
      </w:pPr>
      <w:r>
        <w:rPr>
          <w:sz w:val="28"/>
          <w:szCs w:val="28"/>
          <w:highlight w:val="none"/>
        </w:rPr>
        <w:t>1</w:t>
      </w:r>
      <w:r>
        <w:rPr>
          <w:rFonts w:hint="eastAsia"/>
          <w:sz w:val="28"/>
          <w:szCs w:val="28"/>
          <w:highlight w:val="none"/>
          <w:lang w:eastAsia="zh-CN"/>
        </w:rPr>
        <w:t>、工商营业执照副本（三证合一）复印件加盖鲜章（或营业执照、税务登记证、组织机构代码证）</w:t>
      </w:r>
      <w:r>
        <w:rPr>
          <w:sz w:val="28"/>
          <w:szCs w:val="28"/>
          <w:highlight w:val="none"/>
        </w:rPr>
        <w:t>；</w:t>
      </w:r>
    </w:p>
    <w:p>
      <w:pPr>
        <w:pStyle w:val="9"/>
        <w:keepNext w:val="0"/>
        <w:keepLines w:val="0"/>
        <w:pageBreakBefore w:val="0"/>
        <w:widowControl w:val="0"/>
        <w:kinsoku/>
        <w:wordWrap/>
        <w:overflowPunct/>
        <w:topLinePunct w:val="0"/>
        <w:autoSpaceDE w:val="0"/>
        <w:autoSpaceDN w:val="0"/>
        <w:bidi w:val="0"/>
        <w:adjustRightInd/>
        <w:snapToGrid/>
        <w:spacing w:before="0" w:after="0" w:line="480" w:lineRule="exact"/>
        <w:ind w:left="0" w:right="0"/>
        <w:jc w:val="both"/>
        <w:textAlignment w:val="auto"/>
        <w:rPr>
          <w:sz w:val="28"/>
          <w:szCs w:val="28"/>
          <w:highlight w:val="none"/>
        </w:rPr>
      </w:pPr>
      <w:r>
        <w:rPr>
          <w:sz w:val="28"/>
          <w:szCs w:val="28"/>
          <w:highlight w:val="none"/>
        </w:rPr>
        <w:t>2</w:t>
      </w:r>
      <w:r>
        <w:rPr>
          <w:rFonts w:hint="eastAsia"/>
          <w:sz w:val="28"/>
          <w:szCs w:val="28"/>
          <w:highlight w:val="none"/>
          <w:lang w:eastAsia="zh-CN"/>
        </w:rPr>
        <w:t>、</w:t>
      </w:r>
      <w:r>
        <w:rPr>
          <w:sz w:val="28"/>
          <w:szCs w:val="28"/>
          <w:highlight w:val="none"/>
        </w:rPr>
        <w:t>参加本次政府采购活动近三年内，在经营活动中无违法违规记录的声明函；</w:t>
      </w:r>
    </w:p>
    <w:p>
      <w:pPr>
        <w:pStyle w:val="9"/>
        <w:keepNext w:val="0"/>
        <w:keepLines w:val="0"/>
        <w:pageBreakBefore w:val="0"/>
        <w:widowControl w:val="0"/>
        <w:numPr>
          <w:ilvl w:val="0"/>
          <w:numId w:val="8"/>
        </w:numPr>
        <w:kinsoku/>
        <w:wordWrap/>
        <w:overflowPunct/>
        <w:topLinePunct w:val="0"/>
        <w:autoSpaceDE w:val="0"/>
        <w:autoSpaceDN w:val="0"/>
        <w:bidi w:val="0"/>
        <w:adjustRightInd/>
        <w:snapToGrid/>
        <w:spacing w:before="0" w:after="0" w:line="480" w:lineRule="exact"/>
        <w:ind w:left="0" w:right="0"/>
        <w:jc w:val="both"/>
        <w:textAlignment w:val="auto"/>
        <w:rPr>
          <w:sz w:val="28"/>
          <w:szCs w:val="28"/>
          <w:highlight w:val="none"/>
        </w:rPr>
      </w:pPr>
      <w:r>
        <w:rPr>
          <w:sz w:val="28"/>
          <w:szCs w:val="28"/>
          <w:highlight w:val="none"/>
        </w:rPr>
        <w:t>已递交的投标保证金电子凭证</w:t>
      </w:r>
    </w:p>
    <w:p>
      <w:pPr>
        <w:pStyle w:val="9"/>
        <w:keepNext w:val="0"/>
        <w:keepLines w:val="0"/>
        <w:pageBreakBefore w:val="0"/>
        <w:widowControl w:val="0"/>
        <w:numPr>
          <w:ilvl w:val="0"/>
          <w:numId w:val="8"/>
        </w:numPr>
        <w:kinsoku/>
        <w:wordWrap/>
        <w:overflowPunct/>
        <w:topLinePunct w:val="0"/>
        <w:autoSpaceDE w:val="0"/>
        <w:autoSpaceDN w:val="0"/>
        <w:bidi w:val="0"/>
        <w:adjustRightInd/>
        <w:snapToGrid/>
        <w:spacing w:before="0" w:after="0" w:line="480" w:lineRule="exact"/>
        <w:ind w:left="0" w:right="0"/>
        <w:jc w:val="both"/>
        <w:textAlignment w:val="auto"/>
        <w:rPr>
          <w:sz w:val="28"/>
          <w:szCs w:val="28"/>
          <w:highlight w:val="none"/>
        </w:rPr>
      </w:pPr>
      <w:r>
        <w:rPr>
          <w:rFonts w:hint="eastAsia"/>
          <w:sz w:val="28"/>
          <w:szCs w:val="28"/>
          <w:highlight w:val="none"/>
          <w:lang w:val="en-US" w:eastAsia="zh-CN"/>
        </w:rPr>
        <w:t>市政公用</w:t>
      </w:r>
      <w:r>
        <w:rPr>
          <w:rFonts w:hint="eastAsia"/>
          <w:sz w:val="28"/>
          <w:szCs w:val="28"/>
          <w:highlight w:val="none"/>
        </w:rPr>
        <w:t>工程施工</w:t>
      </w:r>
      <w:r>
        <w:rPr>
          <w:rFonts w:hint="eastAsia"/>
          <w:sz w:val="28"/>
          <w:szCs w:val="28"/>
          <w:highlight w:val="none"/>
          <w:lang w:eastAsia="zh-CN"/>
        </w:rPr>
        <w:t>总承包</w:t>
      </w:r>
      <w:r>
        <w:rPr>
          <w:rFonts w:hint="eastAsia"/>
          <w:sz w:val="28"/>
          <w:szCs w:val="28"/>
          <w:highlight w:val="none"/>
        </w:rPr>
        <w:t>三级及以上资质</w:t>
      </w:r>
    </w:p>
    <w:p>
      <w:pPr>
        <w:pStyle w:val="9"/>
        <w:keepNext w:val="0"/>
        <w:keepLines w:val="0"/>
        <w:pageBreakBefore w:val="0"/>
        <w:widowControl w:val="0"/>
        <w:numPr>
          <w:ilvl w:val="0"/>
          <w:numId w:val="8"/>
        </w:numPr>
        <w:kinsoku/>
        <w:wordWrap/>
        <w:overflowPunct/>
        <w:topLinePunct w:val="0"/>
        <w:autoSpaceDE w:val="0"/>
        <w:autoSpaceDN w:val="0"/>
        <w:bidi w:val="0"/>
        <w:adjustRightInd/>
        <w:snapToGrid/>
        <w:spacing w:before="0" w:after="0" w:line="480" w:lineRule="exact"/>
        <w:ind w:left="0" w:right="0"/>
        <w:jc w:val="both"/>
        <w:textAlignment w:val="auto"/>
        <w:rPr>
          <w:sz w:val="28"/>
          <w:szCs w:val="28"/>
          <w:highlight w:val="none"/>
        </w:rPr>
      </w:pPr>
      <w:r>
        <w:rPr>
          <w:rFonts w:hint="eastAsia"/>
          <w:sz w:val="28"/>
          <w:szCs w:val="28"/>
          <w:highlight w:val="none"/>
        </w:rPr>
        <w:t>有效期内的安全生产许可证；</w:t>
      </w:r>
    </w:p>
    <w:p>
      <w:pPr>
        <w:pStyle w:val="9"/>
        <w:keepNext w:val="0"/>
        <w:keepLines w:val="0"/>
        <w:pageBreakBefore w:val="0"/>
        <w:widowControl w:val="0"/>
        <w:numPr>
          <w:ilvl w:val="0"/>
          <w:numId w:val="8"/>
        </w:numPr>
        <w:kinsoku/>
        <w:wordWrap/>
        <w:overflowPunct/>
        <w:topLinePunct w:val="0"/>
        <w:autoSpaceDE w:val="0"/>
        <w:autoSpaceDN w:val="0"/>
        <w:bidi w:val="0"/>
        <w:adjustRightInd/>
        <w:snapToGrid/>
        <w:spacing w:before="0" w:after="0" w:line="480" w:lineRule="exact"/>
        <w:ind w:left="0" w:right="0"/>
        <w:jc w:val="both"/>
        <w:textAlignment w:val="auto"/>
        <w:rPr>
          <w:sz w:val="28"/>
          <w:szCs w:val="28"/>
          <w:highlight w:val="none"/>
        </w:rPr>
      </w:pPr>
      <w:r>
        <w:rPr>
          <w:rFonts w:hint="eastAsia"/>
          <w:sz w:val="28"/>
          <w:szCs w:val="28"/>
          <w:highlight w:val="none"/>
          <w:lang w:eastAsia="zh-CN"/>
        </w:rPr>
        <w:t>其他</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80" w:lineRule="exact"/>
        <w:ind w:right="0" w:rightChars="0"/>
        <w:jc w:val="both"/>
        <w:textAlignment w:val="auto"/>
        <w:rPr>
          <w:b/>
          <w:bCs/>
          <w:sz w:val="28"/>
          <w:szCs w:val="28"/>
          <w:highlight w:val="none"/>
        </w:rPr>
      </w:pPr>
      <w:r>
        <w:rPr>
          <w:b/>
          <w:bCs/>
          <w:sz w:val="28"/>
          <w:szCs w:val="28"/>
          <w:highlight w:val="none"/>
        </w:rPr>
        <w:t>二、 商务及技术文件</w:t>
      </w:r>
    </w:p>
    <w:p>
      <w:pPr>
        <w:pStyle w:val="9"/>
        <w:keepNext w:val="0"/>
        <w:keepLines w:val="0"/>
        <w:pageBreakBefore w:val="0"/>
        <w:widowControl w:val="0"/>
        <w:kinsoku/>
        <w:wordWrap/>
        <w:overflowPunct/>
        <w:topLinePunct w:val="0"/>
        <w:autoSpaceDE w:val="0"/>
        <w:autoSpaceDN w:val="0"/>
        <w:bidi w:val="0"/>
        <w:adjustRightInd/>
        <w:snapToGrid/>
        <w:spacing w:before="0" w:after="0" w:line="480" w:lineRule="exact"/>
        <w:ind w:left="0" w:right="0"/>
        <w:jc w:val="both"/>
        <w:textAlignment w:val="auto"/>
        <w:rPr>
          <w:sz w:val="28"/>
          <w:szCs w:val="28"/>
          <w:highlight w:val="none"/>
        </w:rPr>
      </w:pPr>
      <w:r>
        <w:rPr>
          <w:sz w:val="28"/>
          <w:szCs w:val="28"/>
          <w:highlight w:val="none"/>
        </w:rPr>
        <w:t>1、磋商响应声明函</w:t>
      </w:r>
    </w:p>
    <w:p>
      <w:pPr>
        <w:pStyle w:val="9"/>
        <w:keepNext w:val="0"/>
        <w:keepLines w:val="0"/>
        <w:pageBreakBefore w:val="0"/>
        <w:widowControl w:val="0"/>
        <w:kinsoku/>
        <w:wordWrap/>
        <w:overflowPunct/>
        <w:topLinePunct w:val="0"/>
        <w:autoSpaceDE w:val="0"/>
        <w:autoSpaceDN w:val="0"/>
        <w:bidi w:val="0"/>
        <w:adjustRightInd/>
        <w:snapToGrid/>
        <w:spacing w:before="0" w:after="0" w:line="480" w:lineRule="exact"/>
        <w:ind w:left="0" w:right="0"/>
        <w:jc w:val="both"/>
        <w:textAlignment w:val="auto"/>
        <w:rPr>
          <w:sz w:val="28"/>
          <w:szCs w:val="28"/>
          <w:highlight w:val="none"/>
        </w:rPr>
      </w:pPr>
      <w:r>
        <w:rPr>
          <w:sz w:val="28"/>
          <w:szCs w:val="28"/>
          <w:highlight w:val="none"/>
        </w:rPr>
        <w:t>2、法定代表人身份证明书、法定代表人授权委托书</w:t>
      </w:r>
    </w:p>
    <w:p>
      <w:pPr>
        <w:pStyle w:val="9"/>
        <w:keepNext w:val="0"/>
        <w:keepLines w:val="0"/>
        <w:pageBreakBefore w:val="0"/>
        <w:widowControl w:val="0"/>
        <w:kinsoku/>
        <w:wordWrap/>
        <w:overflowPunct/>
        <w:topLinePunct w:val="0"/>
        <w:autoSpaceDE w:val="0"/>
        <w:autoSpaceDN w:val="0"/>
        <w:bidi w:val="0"/>
        <w:adjustRightInd/>
        <w:snapToGrid/>
        <w:spacing w:before="0" w:after="0" w:line="480" w:lineRule="exact"/>
        <w:ind w:left="0" w:right="0"/>
        <w:jc w:val="both"/>
        <w:textAlignment w:val="auto"/>
        <w:rPr>
          <w:sz w:val="28"/>
          <w:szCs w:val="28"/>
          <w:highlight w:val="none"/>
        </w:rPr>
      </w:pPr>
      <w:r>
        <w:rPr>
          <w:rFonts w:hint="eastAsia"/>
          <w:sz w:val="28"/>
          <w:szCs w:val="28"/>
          <w:highlight w:val="none"/>
          <w:lang w:val="en-US" w:eastAsia="zh-CN"/>
        </w:rPr>
        <w:t>3、工程量清单</w:t>
      </w:r>
      <w:r>
        <w:rPr>
          <w:sz w:val="28"/>
          <w:szCs w:val="28"/>
          <w:highlight w:val="none"/>
        </w:rPr>
        <w:t>报价一览表</w:t>
      </w:r>
    </w:p>
    <w:p>
      <w:pPr>
        <w:pStyle w:val="9"/>
        <w:keepNext w:val="0"/>
        <w:keepLines w:val="0"/>
        <w:pageBreakBefore w:val="0"/>
        <w:widowControl w:val="0"/>
        <w:kinsoku/>
        <w:wordWrap/>
        <w:overflowPunct/>
        <w:topLinePunct w:val="0"/>
        <w:autoSpaceDE w:val="0"/>
        <w:autoSpaceDN w:val="0"/>
        <w:bidi w:val="0"/>
        <w:adjustRightInd/>
        <w:snapToGrid/>
        <w:spacing w:before="0" w:after="0" w:line="480" w:lineRule="exact"/>
        <w:ind w:left="0" w:right="0"/>
        <w:jc w:val="both"/>
        <w:textAlignment w:val="auto"/>
        <w:rPr>
          <w:sz w:val="28"/>
          <w:szCs w:val="28"/>
          <w:highlight w:val="none"/>
        </w:rPr>
      </w:pPr>
      <w:r>
        <w:rPr>
          <w:rFonts w:hint="eastAsia"/>
          <w:sz w:val="28"/>
          <w:szCs w:val="28"/>
          <w:highlight w:val="none"/>
          <w:lang w:val="en-US" w:eastAsia="zh-CN"/>
        </w:rPr>
        <w:t>4</w:t>
      </w:r>
      <w:r>
        <w:rPr>
          <w:sz w:val="28"/>
          <w:szCs w:val="28"/>
          <w:highlight w:val="none"/>
        </w:rPr>
        <w:t>、企业情况表</w:t>
      </w:r>
    </w:p>
    <w:p>
      <w:pPr>
        <w:pStyle w:val="9"/>
        <w:keepNext w:val="0"/>
        <w:keepLines w:val="0"/>
        <w:pageBreakBefore w:val="0"/>
        <w:widowControl w:val="0"/>
        <w:kinsoku/>
        <w:wordWrap/>
        <w:overflowPunct/>
        <w:topLinePunct w:val="0"/>
        <w:autoSpaceDE w:val="0"/>
        <w:autoSpaceDN w:val="0"/>
        <w:bidi w:val="0"/>
        <w:adjustRightInd/>
        <w:snapToGrid/>
        <w:spacing w:before="0" w:after="0" w:line="480" w:lineRule="exact"/>
        <w:ind w:left="0" w:right="0"/>
        <w:jc w:val="both"/>
        <w:textAlignment w:val="auto"/>
        <w:rPr>
          <w:sz w:val="28"/>
          <w:szCs w:val="28"/>
          <w:highlight w:val="none"/>
        </w:rPr>
      </w:pPr>
      <w:r>
        <w:rPr>
          <w:rFonts w:hint="eastAsia"/>
          <w:sz w:val="28"/>
          <w:szCs w:val="28"/>
          <w:highlight w:val="none"/>
          <w:lang w:val="en-US" w:eastAsia="zh-CN"/>
        </w:rPr>
        <w:t>5</w:t>
      </w:r>
      <w:r>
        <w:rPr>
          <w:sz w:val="28"/>
          <w:szCs w:val="28"/>
          <w:highlight w:val="none"/>
        </w:rPr>
        <w:t>、商务条款偏离表</w:t>
      </w:r>
    </w:p>
    <w:p>
      <w:pPr>
        <w:pStyle w:val="9"/>
        <w:keepNext w:val="0"/>
        <w:keepLines w:val="0"/>
        <w:pageBreakBefore w:val="0"/>
        <w:widowControl w:val="0"/>
        <w:kinsoku/>
        <w:wordWrap/>
        <w:overflowPunct/>
        <w:topLinePunct w:val="0"/>
        <w:autoSpaceDE w:val="0"/>
        <w:autoSpaceDN w:val="0"/>
        <w:bidi w:val="0"/>
        <w:adjustRightInd/>
        <w:snapToGrid/>
        <w:spacing w:before="0" w:after="0" w:line="480" w:lineRule="exact"/>
        <w:ind w:left="0" w:right="0"/>
        <w:jc w:val="both"/>
        <w:textAlignment w:val="auto"/>
        <w:rPr>
          <w:sz w:val="28"/>
          <w:szCs w:val="28"/>
          <w:highlight w:val="none"/>
        </w:rPr>
      </w:pPr>
      <w:r>
        <w:rPr>
          <w:rFonts w:hint="eastAsia"/>
          <w:sz w:val="28"/>
          <w:szCs w:val="28"/>
          <w:highlight w:val="none"/>
          <w:lang w:val="en-US" w:eastAsia="zh-CN"/>
        </w:rPr>
        <w:t>6</w:t>
      </w:r>
      <w:r>
        <w:rPr>
          <w:sz w:val="28"/>
          <w:szCs w:val="28"/>
          <w:highlight w:val="none"/>
        </w:rPr>
        <w:t>、技术规格偏离表</w:t>
      </w:r>
    </w:p>
    <w:p>
      <w:pPr>
        <w:pStyle w:val="9"/>
        <w:keepNext w:val="0"/>
        <w:keepLines w:val="0"/>
        <w:pageBreakBefore w:val="0"/>
        <w:widowControl w:val="0"/>
        <w:kinsoku/>
        <w:wordWrap/>
        <w:overflowPunct/>
        <w:topLinePunct w:val="0"/>
        <w:autoSpaceDE w:val="0"/>
        <w:autoSpaceDN w:val="0"/>
        <w:bidi w:val="0"/>
        <w:adjustRightInd/>
        <w:snapToGrid/>
        <w:spacing w:before="0" w:after="0" w:line="480" w:lineRule="exact"/>
        <w:ind w:left="0" w:right="0"/>
        <w:jc w:val="both"/>
        <w:textAlignment w:val="auto"/>
        <w:rPr>
          <w:sz w:val="28"/>
          <w:szCs w:val="28"/>
          <w:highlight w:val="none"/>
        </w:rPr>
      </w:pPr>
      <w:r>
        <w:rPr>
          <w:rFonts w:hint="eastAsia"/>
          <w:sz w:val="28"/>
          <w:szCs w:val="28"/>
          <w:highlight w:val="none"/>
          <w:lang w:val="en-US" w:eastAsia="zh-CN"/>
        </w:rPr>
        <w:t>7</w:t>
      </w:r>
      <w:r>
        <w:rPr>
          <w:sz w:val="28"/>
          <w:szCs w:val="28"/>
          <w:highlight w:val="none"/>
        </w:rPr>
        <w:t>、资格的声明函</w:t>
      </w:r>
    </w:p>
    <w:p>
      <w:pPr>
        <w:pStyle w:val="9"/>
        <w:keepNext w:val="0"/>
        <w:keepLines w:val="0"/>
        <w:pageBreakBefore w:val="0"/>
        <w:widowControl w:val="0"/>
        <w:kinsoku/>
        <w:wordWrap/>
        <w:overflowPunct/>
        <w:topLinePunct w:val="0"/>
        <w:autoSpaceDE w:val="0"/>
        <w:autoSpaceDN w:val="0"/>
        <w:bidi w:val="0"/>
        <w:adjustRightInd/>
        <w:snapToGrid/>
        <w:spacing w:before="0" w:after="0" w:line="480" w:lineRule="exact"/>
        <w:ind w:left="0" w:right="0"/>
        <w:jc w:val="both"/>
        <w:textAlignment w:val="auto"/>
        <w:rPr>
          <w:sz w:val="28"/>
          <w:szCs w:val="28"/>
          <w:highlight w:val="none"/>
        </w:rPr>
      </w:pPr>
      <w:r>
        <w:rPr>
          <w:rFonts w:hint="eastAsia"/>
          <w:sz w:val="28"/>
          <w:szCs w:val="28"/>
          <w:highlight w:val="none"/>
          <w:lang w:val="en-US" w:eastAsia="zh-CN"/>
        </w:rPr>
        <w:t>8</w:t>
      </w:r>
      <w:r>
        <w:rPr>
          <w:sz w:val="28"/>
          <w:szCs w:val="28"/>
          <w:highlight w:val="none"/>
        </w:rPr>
        <w:t>、售后服务承诺及方案</w:t>
      </w:r>
    </w:p>
    <w:p>
      <w:pPr>
        <w:pStyle w:val="9"/>
        <w:keepNext w:val="0"/>
        <w:keepLines w:val="0"/>
        <w:pageBreakBefore w:val="0"/>
        <w:widowControl w:val="0"/>
        <w:kinsoku/>
        <w:wordWrap/>
        <w:overflowPunct/>
        <w:topLinePunct w:val="0"/>
        <w:autoSpaceDE w:val="0"/>
        <w:autoSpaceDN w:val="0"/>
        <w:bidi w:val="0"/>
        <w:adjustRightInd/>
        <w:snapToGrid/>
        <w:spacing w:before="0" w:after="0" w:line="480" w:lineRule="exact"/>
        <w:ind w:left="0" w:right="0"/>
        <w:jc w:val="both"/>
        <w:textAlignment w:val="auto"/>
        <w:rPr>
          <w:rFonts w:hint="eastAsia" w:eastAsia="宋体"/>
          <w:sz w:val="28"/>
          <w:szCs w:val="28"/>
          <w:highlight w:val="none"/>
          <w:lang w:val="en-US" w:eastAsia="zh-CN"/>
        </w:rPr>
      </w:pPr>
      <w:r>
        <w:rPr>
          <w:rFonts w:hint="eastAsia"/>
          <w:sz w:val="28"/>
          <w:szCs w:val="28"/>
          <w:highlight w:val="none"/>
          <w:lang w:val="en-US" w:eastAsia="zh-CN"/>
        </w:rPr>
        <w:t>9、施工组织设计方案</w:t>
      </w:r>
    </w:p>
    <w:p>
      <w:pPr>
        <w:pStyle w:val="9"/>
        <w:keepNext w:val="0"/>
        <w:keepLines w:val="0"/>
        <w:pageBreakBefore w:val="0"/>
        <w:widowControl w:val="0"/>
        <w:kinsoku/>
        <w:wordWrap/>
        <w:overflowPunct/>
        <w:topLinePunct w:val="0"/>
        <w:autoSpaceDE w:val="0"/>
        <w:autoSpaceDN w:val="0"/>
        <w:bidi w:val="0"/>
        <w:adjustRightInd/>
        <w:snapToGrid/>
        <w:spacing w:before="0" w:after="0" w:line="480" w:lineRule="exact"/>
        <w:ind w:left="0" w:right="0"/>
        <w:jc w:val="both"/>
        <w:textAlignment w:val="auto"/>
        <w:rPr>
          <w:sz w:val="28"/>
          <w:szCs w:val="28"/>
          <w:highlight w:val="none"/>
        </w:rPr>
      </w:pPr>
      <w:r>
        <w:rPr>
          <w:rFonts w:hint="eastAsia"/>
          <w:sz w:val="28"/>
          <w:szCs w:val="28"/>
          <w:highlight w:val="none"/>
          <w:lang w:val="en-US" w:eastAsia="zh-CN"/>
        </w:rPr>
        <w:t>10</w:t>
      </w:r>
      <w:r>
        <w:rPr>
          <w:sz w:val="28"/>
          <w:szCs w:val="28"/>
          <w:highlight w:val="none"/>
        </w:rPr>
        <w:t>、中小企业声明函（如有）</w:t>
      </w:r>
    </w:p>
    <w:p>
      <w:pPr>
        <w:pStyle w:val="9"/>
        <w:keepNext w:val="0"/>
        <w:keepLines w:val="0"/>
        <w:pageBreakBefore w:val="0"/>
        <w:widowControl w:val="0"/>
        <w:kinsoku/>
        <w:wordWrap/>
        <w:overflowPunct/>
        <w:topLinePunct w:val="0"/>
        <w:autoSpaceDE w:val="0"/>
        <w:autoSpaceDN w:val="0"/>
        <w:bidi w:val="0"/>
        <w:adjustRightInd/>
        <w:snapToGrid/>
        <w:spacing w:before="0" w:after="0" w:line="480" w:lineRule="exact"/>
        <w:ind w:left="0" w:right="0"/>
        <w:jc w:val="both"/>
        <w:textAlignment w:val="auto"/>
        <w:rPr>
          <w:sz w:val="28"/>
          <w:szCs w:val="28"/>
          <w:highlight w:val="none"/>
        </w:rPr>
      </w:pPr>
      <w:r>
        <w:rPr>
          <w:sz w:val="28"/>
          <w:szCs w:val="28"/>
          <w:highlight w:val="none"/>
        </w:rPr>
        <w:t>1</w:t>
      </w:r>
      <w:r>
        <w:rPr>
          <w:rFonts w:hint="eastAsia"/>
          <w:sz w:val="28"/>
          <w:szCs w:val="28"/>
          <w:highlight w:val="none"/>
          <w:lang w:val="en-US" w:eastAsia="zh-CN"/>
        </w:rPr>
        <w:t>1</w:t>
      </w:r>
      <w:r>
        <w:rPr>
          <w:sz w:val="28"/>
          <w:szCs w:val="28"/>
          <w:highlight w:val="none"/>
        </w:rPr>
        <w:t>、投标人认为需要提供的其它材料（格式自拟）</w:t>
      </w: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sectPr>
          <w:pgSz w:w="11910" w:h="16840"/>
          <w:pgMar w:top="1580" w:right="1600" w:bottom="880" w:left="1680" w:header="0" w:footer="686" w:gutter="0"/>
          <w:pgBorders>
            <w:top w:val="none" w:sz="0" w:space="0"/>
            <w:left w:val="none" w:sz="0" w:space="0"/>
            <w:bottom w:val="none" w:sz="0" w:space="0"/>
            <w:right w:val="none" w:sz="0" w:space="0"/>
          </w:pgBorders>
          <w:pgNumType w:fmt="decimal"/>
        </w:sect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center"/>
        <w:textAlignment w:val="auto"/>
        <w:rPr>
          <w:b/>
          <w:bCs/>
          <w:sz w:val="28"/>
          <w:szCs w:val="28"/>
          <w:highlight w:val="none"/>
        </w:rPr>
      </w:pPr>
      <w:r>
        <w:rPr>
          <w:b/>
          <w:bCs/>
          <w:sz w:val="28"/>
          <w:szCs w:val="28"/>
          <w:highlight w:val="none"/>
        </w:rPr>
        <w:t>一、资格证明文件</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center"/>
        <w:textAlignment w:val="auto"/>
        <w:rPr>
          <w:rFonts w:hint="eastAsia"/>
          <w:b/>
          <w:bCs/>
          <w:sz w:val="28"/>
          <w:szCs w:val="28"/>
          <w:highlight w:val="none"/>
          <w:lang w:val="en-US" w:eastAsia="zh-CN"/>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center"/>
        <w:textAlignment w:val="auto"/>
        <w:rPr>
          <w:b/>
          <w:w w:val="95"/>
          <w:sz w:val="28"/>
          <w:szCs w:val="21"/>
          <w:highlight w:val="none"/>
        </w:rPr>
      </w:pPr>
      <w:r>
        <w:rPr>
          <w:rFonts w:hint="eastAsia"/>
          <w:b/>
          <w:bCs/>
          <w:sz w:val="28"/>
          <w:szCs w:val="28"/>
          <w:highlight w:val="none"/>
          <w:lang w:val="en-US" w:eastAsia="zh-CN"/>
        </w:rPr>
        <w:t>1、</w:t>
      </w:r>
      <w:r>
        <w:rPr>
          <w:rFonts w:hint="eastAsia"/>
          <w:b/>
          <w:w w:val="95"/>
          <w:sz w:val="28"/>
          <w:szCs w:val="21"/>
          <w:highlight w:val="none"/>
        </w:rPr>
        <w:t>工商营业执照副本（三证合一）复印件加盖鲜章（或营业执照、税务登记证、组织机构代码证）</w:t>
      </w: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w w:val="95"/>
          <w:sz w:val="28"/>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2" w:lineRule="exact"/>
        <w:ind w:left="3192" w:right="0" w:hanging="3192"/>
        <w:jc w:val="center"/>
        <w:textAlignment w:val="auto"/>
        <w:rPr>
          <w:b/>
          <w:sz w:val="28"/>
          <w:szCs w:val="21"/>
          <w:highlight w:val="none"/>
        </w:rPr>
      </w:pPr>
      <w:r>
        <w:rPr>
          <w:rFonts w:hint="eastAsia"/>
          <w:b/>
          <w:w w:val="95"/>
          <w:sz w:val="28"/>
          <w:szCs w:val="21"/>
          <w:highlight w:val="none"/>
          <w:lang w:val="en-US" w:eastAsia="zh-CN"/>
        </w:rPr>
        <w:t>2、</w:t>
      </w:r>
      <w:r>
        <w:rPr>
          <w:b/>
          <w:w w:val="95"/>
          <w:sz w:val="28"/>
          <w:szCs w:val="21"/>
          <w:highlight w:val="none"/>
        </w:rPr>
        <w:t>参加本次政府采购活动近三年内，在经营活动中无违法违规</w:t>
      </w: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b/>
          <w:sz w:val="28"/>
          <w:szCs w:val="21"/>
          <w:highlight w:val="none"/>
        </w:rPr>
      </w:pPr>
      <w:r>
        <w:rPr>
          <w:b/>
          <w:w w:val="95"/>
          <w:sz w:val="28"/>
          <w:szCs w:val="21"/>
          <w:highlight w:val="none"/>
        </w:rPr>
        <w:t>记录的声明函</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32"/>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35"/>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both"/>
        <w:textAlignment w:val="auto"/>
        <w:rPr>
          <w:sz w:val="28"/>
          <w:highlight w:val="none"/>
        </w:rPr>
      </w:pPr>
      <w:r>
        <w:rPr>
          <w:sz w:val="28"/>
          <w:highlight w:val="none"/>
        </w:rPr>
        <w:t>致：</w:t>
      </w:r>
      <w:r>
        <w:rPr>
          <w:rFonts w:hint="eastAsia"/>
          <w:sz w:val="28"/>
          <w:highlight w:val="none"/>
          <w:u w:val="single"/>
          <w:lang w:val="en-US" w:eastAsia="zh-CN"/>
        </w:rPr>
        <w:t xml:space="preserve">           </w:t>
      </w:r>
      <w:r>
        <w:rPr>
          <w:sz w:val="28"/>
          <w:highlight w:val="none"/>
        </w:rPr>
        <w:t>（招标人）</w:t>
      </w: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both"/>
        <w:textAlignment w:val="auto"/>
        <w:rPr>
          <w:sz w:val="28"/>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0"/>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17" w:lineRule="auto"/>
        <w:ind w:left="0" w:right="0" w:firstLine="559"/>
        <w:jc w:val="both"/>
        <w:textAlignment w:val="auto"/>
        <w:rPr>
          <w:sz w:val="28"/>
          <w:highlight w:val="none"/>
        </w:rPr>
      </w:pPr>
      <w:r>
        <w:rPr>
          <w:spacing w:val="-10"/>
          <w:sz w:val="28"/>
          <w:highlight w:val="none"/>
        </w:rPr>
        <w:t>我单位近三年内，无违法违规记录，如声明不实，我单位承担由</w:t>
      </w:r>
      <w:r>
        <w:rPr>
          <w:spacing w:val="-3"/>
          <w:sz w:val="28"/>
          <w:highlight w:val="none"/>
        </w:rPr>
        <w:t>此产生的全部责任。</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30"/>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both"/>
        <w:textAlignment w:val="auto"/>
        <w:rPr>
          <w:sz w:val="28"/>
          <w:highlight w:val="none"/>
        </w:rPr>
      </w:pPr>
      <w:r>
        <w:rPr>
          <w:sz w:val="28"/>
          <w:highlight w:val="none"/>
        </w:rPr>
        <w:t>供应商名称（公章）：</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both"/>
        <w:textAlignment w:val="auto"/>
        <w:rPr>
          <w:sz w:val="28"/>
          <w:highlight w:val="none"/>
        </w:rPr>
      </w:pPr>
      <w:r>
        <w:rPr>
          <w:sz w:val="28"/>
          <w:highlight w:val="none"/>
        </w:rPr>
        <w:t>法定代表人或全权代表（签字或盖章）：</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34"/>
          <w:highlight w:val="none"/>
        </w:rPr>
      </w:pPr>
    </w:p>
    <w:p>
      <w:pPr>
        <w:keepNext w:val="0"/>
        <w:keepLines w:val="0"/>
        <w:pageBreakBefore w:val="0"/>
        <w:widowControl w:val="0"/>
        <w:tabs>
          <w:tab w:val="left" w:pos="1655"/>
        </w:tabs>
        <w:kinsoku/>
        <w:wordWrap/>
        <w:overflowPunct/>
        <w:topLinePunct w:val="0"/>
        <w:autoSpaceDE w:val="0"/>
        <w:autoSpaceDN w:val="0"/>
        <w:bidi w:val="0"/>
        <w:adjustRightInd/>
        <w:snapToGrid/>
        <w:spacing w:before="0" w:after="0"/>
        <w:ind w:left="0" w:right="0" w:firstLine="0"/>
        <w:jc w:val="both"/>
        <w:textAlignment w:val="auto"/>
        <w:rPr>
          <w:rFonts w:hint="default" w:eastAsia="宋体"/>
          <w:sz w:val="28"/>
          <w:highlight w:val="none"/>
          <w:lang w:val="en-US" w:eastAsia="zh-CN"/>
        </w:rPr>
      </w:pPr>
      <w:r>
        <w:rPr>
          <w:sz w:val="28"/>
          <w:highlight w:val="none"/>
        </w:rPr>
        <w:t>日</w:t>
      </w:r>
      <w:r>
        <w:rPr>
          <w:sz w:val="28"/>
          <w:highlight w:val="none"/>
        </w:rPr>
        <w:tab/>
      </w:r>
      <w:r>
        <w:rPr>
          <w:spacing w:val="-1"/>
          <w:sz w:val="28"/>
          <w:highlight w:val="none"/>
        </w:rPr>
        <w:t>期</w:t>
      </w:r>
      <w:r>
        <w:rPr>
          <w:sz w:val="28"/>
          <w:highlight w:val="none"/>
        </w:rPr>
        <w:t>：</w:t>
      </w:r>
      <w:r>
        <w:rPr>
          <w:rFonts w:hint="eastAsia"/>
          <w:sz w:val="28"/>
          <w:highlight w:val="none"/>
          <w:lang w:val="en-US" w:eastAsia="zh-CN"/>
        </w:rPr>
        <w:t>年  月  日</w:t>
      </w: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b/>
          <w:bCs/>
          <w:sz w:val="28"/>
          <w:szCs w:val="28"/>
          <w:highlight w:val="none"/>
        </w:rPr>
      </w:pPr>
      <w:r>
        <w:rPr>
          <w:rFonts w:hint="eastAsia"/>
          <w:b/>
          <w:bCs/>
          <w:sz w:val="28"/>
          <w:szCs w:val="28"/>
          <w:highlight w:val="none"/>
          <w:lang w:val="en-US" w:eastAsia="zh-CN"/>
        </w:rPr>
        <w:t>3、</w:t>
      </w:r>
      <w:r>
        <w:rPr>
          <w:b/>
          <w:bCs/>
          <w:sz w:val="28"/>
          <w:szCs w:val="28"/>
          <w:highlight w:val="none"/>
        </w:rPr>
        <w:t>已递交的投标保证金电子凭证</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r>
        <w:rPr>
          <w:rFonts w:hint="eastAsia"/>
          <w:b/>
          <w:bCs/>
          <w:sz w:val="28"/>
          <w:szCs w:val="28"/>
          <w:highlight w:val="none"/>
          <w:lang w:val="en-US" w:eastAsia="zh-CN"/>
        </w:rPr>
        <w:t>4、市政公用工程施工总承包三级及以上资质</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both"/>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both"/>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both"/>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both"/>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both"/>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both"/>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both"/>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both"/>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both"/>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both"/>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both"/>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both"/>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both"/>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both"/>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both"/>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both"/>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both"/>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both"/>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both"/>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both"/>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both"/>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both"/>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both"/>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both"/>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both"/>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b/>
          <w:bCs/>
          <w:sz w:val="28"/>
          <w:szCs w:val="28"/>
          <w:highlight w:val="none"/>
        </w:rPr>
      </w:pPr>
      <w:r>
        <w:rPr>
          <w:rFonts w:hint="eastAsia"/>
          <w:b/>
          <w:bCs/>
          <w:sz w:val="28"/>
          <w:szCs w:val="28"/>
          <w:highlight w:val="none"/>
          <w:lang w:val="en-US" w:eastAsia="zh-CN"/>
        </w:rPr>
        <w:t>5、</w:t>
      </w:r>
      <w:r>
        <w:rPr>
          <w:rFonts w:hint="eastAsia"/>
          <w:b/>
          <w:bCs/>
          <w:sz w:val="28"/>
          <w:szCs w:val="28"/>
          <w:highlight w:val="none"/>
        </w:rPr>
        <w:t>有效期内的安全生产许可证；</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default"/>
          <w:b/>
          <w:bCs/>
          <w:sz w:val="28"/>
          <w:szCs w:val="28"/>
          <w:highlight w:val="none"/>
          <w:lang w:val="en-US" w:eastAsia="zh-CN"/>
        </w:rPr>
      </w:pPr>
      <w:r>
        <w:rPr>
          <w:rFonts w:hint="eastAsia"/>
          <w:b/>
          <w:bCs/>
          <w:sz w:val="28"/>
          <w:szCs w:val="28"/>
          <w:highlight w:val="none"/>
          <w:lang w:val="en-US" w:eastAsia="zh-CN"/>
        </w:rPr>
        <w:t>6、其他</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hint="eastAsia"/>
          <w:b/>
          <w:bCs/>
          <w:sz w:val="28"/>
          <w:szCs w:val="28"/>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bCs/>
          <w:sz w:val="28"/>
          <w:highlight w:val="none"/>
        </w:rPr>
      </w:pPr>
    </w:p>
    <w:p>
      <w:pPr>
        <w:pStyle w:val="16"/>
        <w:sectPr>
          <w:pgSz w:w="11910" w:h="16840"/>
          <w:pgMar w:top="1500" w:right="1680" w:bottom="880" w:left="1680" w:header="0" w:footer="686" w:gutter="0"/>
          <w:pgBorders>
            <w:top w:val="none" w:sz="0" w:space="0"/>
            <w:left w:val="none" w:sz="0" w:space="0"/>
            <w:bottom w:val="none" w:sz="0" w:space="0"/>
            <w:right w:val="none" w:sz="0" w:space="0"/>
          </w:pgBorders>
          <w:pgNumType w:fmt="decimal"/>
        </w:sect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12"/>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p>
    <w:p>
      <w:pPr>
        <w:keepNext w:val="0"/>
        <w:keepLines w:val="0"/>
        <w:pageBreakBefore w:val="0"/>
        <w:widowControl w:val="0"/>
        <w:tabs>
          <w:tab w:val="left" w:pos="820"/>
        </w:tabs>
        <w:kinsoku/>
        <w:wordWrap/>
        <w:overflowPunct/>
        <w:topLinePunct w:val="0"/>
        <w:autoSpaceDE w:val="0"/>
        <w:autoSpaceDN w:val="0"/>
        <w:bidi w:val="0"/>
        <w:adjustRightInd/>
        <w:snapToGrid/>
        <w:spacing w:before="0" w:after="0" w:line="240" w:lineRule="auto"/>
        <w:ind w:left="0" w:right="0" w:firstLine="0"/>
        <w:jc w:val="both"/>
        <w:textAlignment w:val="auto"/>
        <w:rPr>
          <w:highlight w:val="none"/>
        </w:rPr>
      </w:pPr>
    </w:p>
    <w:p>
      <w:pPr>
        <w:pStyle w:val="16"/>
        <w:rPr>
          <w:highlight w:val="none"/>
        </w:rPr>
      </w:pPr>
    </w:p>
    <w:p>
      <w:pPr>
        <w:pStyle w:val="16"/>
        <w:rPr>
          <w:highlight w:val="none"/>
        </w:rPr>
      </w:pPr>
    </w:p>
    <w:p>
      <w:pPr>
        <w:pStyle w:val="16"/>
        <w:rPr>
          <w:highlight w:val="none"/>
        </w:rPr>
      </w:pPr>
    </w:p>
    <w:p>
      <w:pPr>
        <w:pStyle w:val="16"/>
        <w:rPr>
          <w:highlight w:val="none"/>
        </w:rPr>
      </w:pPr>
    </w:p>
    <w:p>
      <w:pPr>
        <w:pStyle w:val="16"/>
        <w:rPr>
          <w:highlight w:val="none"/>
        </w:rPr>
      </w:pPr>
    </w:p>
    <w:p>
      <w:pPr>
        <w:pStyle w:val="16"/>
        <w:rPr>
          <w:highlight w:val="none"/>
        </w:rPr>
      </w:pPr>
    </w:p>
    <w:p>
      <w:pPr>
        <w:pStyle w:val="16"/>
        <w:rPr>
          <w:highlight w:val="none"/>
        </w:rPr>
      </w:pPr>
    </w:p>
    <w:p>
      <w:pPr>
        <w:pStyle w:val="16"/>
        <w:rPr>
          <w:highlight w:val="none"/>
        </w:rPr>
      </w:pPr>
    </w:p>
    <w:p>
      <w:pPr>
        <w:pStyle w:val="16"/>
        <w:rPr>
          <w:highlight w:val="none"/>
        </w:rPr>
      </w:pPr>
    </w:p>
    <w:p>
      <w:pPr>
        <w:pStyle w:val="16"/>
        <w:rPr>
          <w:highlight w:val="none"/>
        </w:rPr>
      </w:pPr>
    </w:p>
    <w:p>
      <w:pPr>
        <w:pStyle w:val="16"/>
        <w:rPr>
          <w:highlight w:val="none"/>
        </w:rPr>
      </w:pPr>
    </w:p>
    <w:p>
      <w:pPr>
        <w:pStyle w:val="16"/>
        <w:rPr>
          <w:highlight w:val="none"/>
        </w:rPr>
      </w:pPr>
    </w:p>
    <w:p>
      <w:pPr>
        <w:pStyle w:val="16"/>
        <w:rPr>
          <w:highlight w:val="none"/>
        </w:rPr>
      </w:pPr>
    </w:p>
    <w:p>
      <w:pPr>
        <w:pStyle w:val="16"/>
        <w:rPr>
          <w:highlight w:val="none"/>
        </w:rPr>
      </w:pPr>
    </w:p>
    <w:p>
      <w:pPr>
        <w:pStyle w:val="16"/>
        <w:rPr>
          <w:highlight w:val="none"/>
        </w:rPr>
      </w:pPr>
    </w:p>
    <w:p>
      <w:pPr>
        <w:pStyle w:val="16"/>
        <w:rPr>
          <w:highlight w:val="none"/>
        </w:rPr>
      </w:pPr>
    </w:p>
    <w:p>
      <w:pPr>
        <w:pStyle w:val="16"/>
        <w:rPr>
          <w:highlight w:val="none"/>
        </w:rPr>
      </w:pPr>
    </w:p>
    <w:p>
      <w:pPr>
        <w:pStyle w:val="16"/>
        <w:rPr>
          <w:highlight w:val="none"/>
        </w:rPr>
      </w:pPr>
    </w:p>
    <w:p>
      <w:pPr>
        <w:pStyle w:val="16"/>
        <w:rPr>
          <w:highlight w:val="none"/>
        </w:rPr>
      </w:pPr>
    </w:p>
    <w:p>
      <w:pPr>
        <w:pStyle w:val="16"/>
        <w:rPr>
          <w:highlight w:val="none"/>
        </w:rPr>
      </w:pPr>
    </w:p>
    <w:p>
      <w:pPr>
        <w:pStyle w:val="16"/>
        <w:rPr>
          <w:highlight w:val="none"/>
        </w:rPr>
      </w:pPr>
    </w:p>
    <w:p>
      <w:pPr>
        <w:pStyle w:val="16"/>
        <w:rPr>
          <w:highlight w:val="none"/>
        </w:rPr>
      </w:pPr>
    </w:p>
    <w:p>
      <w:pPr>
        <w:pStyle w:val="16"/>
        <w:rPr>
          <w:highlight w:val="none"/>
        </w:rPr>
      </w:pPr>
    </w:p>
    <w:p>
      <w:pPr>
        <w:pStyle w:val="16"/>
        <w:rPr>
          <w:highlight w:val="none"/>
        </w:rPr>
      </w:pPr>
    </w:p>
    <w:p>
      <w:pPr>
        <w:pStyle w:val="16"/>
        <w:rPr>
          <w:highlight w:val="none"/>
        </w:rPr>
      </w:pPr>
    </w:p>
    <w:p>
      <w:pPr>
        <w:keepNext w:val="0"/>
        <w:keepLines w:val="0"/>
        <w:pageBreakBefore w:val="0"/>
        <w:widowControl w:val="0"/>
        <w:tabs>
          <w:tab w:val="left" w:pos="820"/>
        </w:tabs>
        <w:kinsoku/>
        <w:wordWrap/>
        <w:overflowPunct/>
        <w:topLinePunct w:val="0"/>
        <w:autoSpaceDE w:val="0"/>
        <w:autoSpaceDN w:val="0"/>
        <w:bidi w:val="0"/>
        <w:adjustRightInd/>
        <w:snapToGrid/>
        <w:spacing w:before="0" w:after="0" w:line="240" w:lineRule="auto"/>
        <w:ind w:left="0" w:right="0" w:firstLine="0"/>
        <w:jc w:val="both"/>
        <w:textAlignment w:val="auto"/>
        <w:rPr>
          <w:highlight w:val="none"/>
        </w:rPr>
      </w:pPr>
    </w:p>
    <w:p>
      <w:pPr>
        <w:keepNext w:val="0"/>
        <w:keepLines w:val="0"/>
        <w:pageBreakBefore w:val="0"/>
        <w:widowControl w:val="0"/>
        <w:tabs>
          <w:tab w:val="left" w:pos="820"/>
        </w:tabs>
        <w:kinsoku/>
        <w:wordWrap/>
        <w:overflowPunct/>
        <w:topLinePunct w:val="0"/>
        <w:autoSpaceDE w:val="0"/>
        <w:autoSpaceDN w:val="0"/>
        <w:bidi w:val="0"/>
        <w:adjustRightInd/>
        <w:snapToGrid/>
        <w:spacing w:before="0" w:after="0" w:line="240" w:lineRule="auto"/>
        <w:ind w:left="0" w:right="0" w:firstLine="0"/>
        <w:jc w:val="both"/>
        <w:textAlignment w:val="auto"/>
        <w:rPr>
          <w:highlight w:val="none"/>
        </w:rPr>
      </w:pPr>
    </w:p>
    <w:p>
      <w:pPr>
        <w:keepNext w:val="0"/>
        <w:keepLines w:val="0"/>
        <w:pageBreakBefore w:val="0"/>
        <w:widowControl w:val="0"/>
        <w:tabs>
          <w:tab w:val="left" w:pos="820"/>
        </w:tabs>
        <w:kinsoku/>
        <w:wordWrap/>
        <w:overflowPunct/>
        <w:topLinePunct w:val="0"/>
        <w:autoSpaceDE w:val="0"/>
        <w:autoSpaceDN w:val="0"/>
        <w:bidi w:val="0"/>
        <w:adjustRightInd/>
        <w:snapToGrid/>
        <w:spacing w:before="0" w:after="0" w:line="240" w:lineRule="auto"/>
        <w:ind w:left="0" w:right="0" w:firstLine="0"/>
        <w:jc w:val="both"/>
        <w:textAlignment w:val="auto"/>
        <w:rPr>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80" w:lineRule="exact"/>
        <w:ind w:left="0" w:right="0"/>
        <w:jc w:val="both"/>
        <w:textAlignment w:val="auto"/>
        <w:rPr>
          <w:sz w:val="28"/>
          <w:szCs w:val="28"/>
          <w:highlight w:val="none"/>
        </w:rPr>
      </w:pPr>
    </w:p>
    <w:p>
      <w:pPr>
        <w:keepNext w:val="0"/>
        <w:keepLines w:val="0"/>
        <w:pageBreakBefore w:val="0"/>
        <w:widowControl w:val="0"/>
        <w:tabs>
          <w:tab w:val="left" w:pos="820"/>
        </w:tabs>
        <w:kinsoku/>
        <w:wordWrap/>
        <w:overflowPunct/>
        <w:topLinePunct w:val="0"/>
        <w:autoSpaceDE w:val="0"/>
        <w:autoSpaceDN w:val="0"/>
        <w:bidi w:val="0"/>
        <w:adjustRightInd/>
        <w:snapToGrid/>
        <w:spacing w:before="0" w:after="0" w:line="240" w:lineRule="auto"/>
        <w:ind w:left="0" w:right="0" w:firstLine="0"/>
        <w:jc w:val="both"/>
        <w:textAlignment w:val="auto"/>
        <w:rPr>
          <w:highlight w:val="none"/>
        </w:rPr>
      </w:pPr>
    </w:p>
    <w:p>
      <w:pPr>
        <w:keepNext w:val="0"/>
        <w:keepLines w:val="0"/>
        <w:pageBreakBefore w:val="0"/>
        <w:widowControl w:val="0"/>
        <w:tabs>
          <w:tab w:val="left" w:pos="820"/>
        </w:tabs>
        <w:kinsoku/>
        <w:wordWrap/>
        <w:overflowPunct/>
        <w:topLinePunct w:val="0"/>
        <w:autoSpaceDE w:val="0"/>
        <w:autoSpaceDN w:val="0"/>
        <w:bidi w:val="0"/>
        <w:adjustRightInd/>
        <w:snapToGrid/>
        <w:spacing w:before="0" w:after="0" w:line="240" w:lineRule="auto"/>
        <w:ind w:left="0" w:right="0" w:firstLine="0"/>
        <w:jc w:val="both"/>
        <w:textAlignment w:val="auto"/>
        <w:rPr>
          <w:highlight w:val="none"/>
        </w:rPr>
      </w:pPr>
    </w:p>
    <w:p>
      <w:pPr>
        <w:pStyle w:val="16"/>
        <w:rPr>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80" w:lineRule="exact"/>
        <w:ind w:right="0" w:rightChars="0"/>
        <w:jc w:val="center"/>
        <w:textAlignment w:val="auto"/>
        <w:rPr>
          <w:b/>
          <w:bCs/>
          <w:sz w:val="28"/>
          <w:szCs w:val="28"/>
          <w:highlight w:val="none"/>
        </w:rPr>
      </w:pPr>
      <w:r>
        <w:rPr>
          <w:b/>
          <w:bCs/>
          <w:sz w:val="28"/>
          <w:szCs w:val="28"/>
          <w:highlight w:val="none"/>
        </w:rPr>
        <w:t>二、 商务及技术文件</w:t>
      </w:r>
    </w:p>
    <w:p>
      <w:pPr>
        <w:pStyle w:val="9"/>
        <w:keepNext w:val="0"/>
        <w:keepLines w:val="0"/>
        <w:pageBreakBefore w:val="0"/>
        <w:widowControl w:val="0"/>
        <w:kinsoku/>
        <w:wordWrap/>
        <w:overflowPunct/>
        <w:topLinePunct w:val="0"/>
        <w:autoSpaceDE w:val="0"/>
        <w:autoSpaceDN w:val="0"/>
        <w:bidi w:val="0"/>
        <w:adjustRightInd/>
        <w:snapToGrid/>
        <w:spacing w:before="0" w:after="0" w:line="480" w:lineRule="exact"/>
        <w:ind w:left="0" w:right="0"/>
        <w:jc w:val="center"/>
        <w:textAlignment w:val="auto"/>
        <w:rPr>
          <w:b/>
          <w:bCs/>
          <w:sz w:val="28"/>
          <w:szCs w:val="28"/>
          <w:highlight w:val="none"/>
        </w:rPr>
      </w:pPr>
      <w:r>
        <w:rPr>
          <w:rFonts w:hint="eastAsia"/>
          <w:b/>
          <w:bCs/>
          <w:sz w:val="28"/>
          <w:szCs w:val="28"/>
          <w:highlight w:val="none"/>
          <w:lang w:val="en-US" w:eastAsia="zh-CN"/>
        </w:rPr>
        <w:t>1、</w:t>
      </w:r>
      <w:r>
        <w:rPr>
          <w:b/>
          <w:bCs/>
          <w:sz w:val="28"/>
          <w:szCs w:val="28"/>
          <w:highlight w:val="none"/>
        </w:rPr>
        <w:t>磋商响应声明函</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致：</w:t>
      </w:r>
      <w:r>
        <w:rPr>
          <w:rFonts w:hint="eastAsia"/>
          <w:highlight w:val="none"/>
          <w:u w:val="single"/>
          <w:lang w:val="en-US" w:eastAsia="zh-CN"/>
        </w:rPr>
        <w:t xml:space="preserve">           </w:t>
      </w:r>
      <w:r>
        <w:rPr>
          <w:highlight w:val="none"/>
        </w:rPr>
        <w:t>（招标人）</w:t>
      </w:r>
    </w:p>
    <w:p>
      <w:pPr>
        <w:pStyle w:val="9"/>
        <w:keepNext w:val="0"/>
        <w:keepLines w:val="0"/>
        <w:pageBreakBefore w:val="0"/>
        <w:widowControl w:val="0"/>
        <w:tabs>
          <w:tab w:val="left" w:pos="4677"/>
        </w:tabs>
        <w:kinsoku/>
        <w:wordWrap/>
        <w:overflowPunct/>
        <w:topLinePunct w:val="0"/>
        <w:autoSpaceDE w:val="0"/>
        <w:autoSpaceDN w:val="0"/>
        <w:bidi w:val="0"/>
        <w:adjustRightInd/>
        <w:snapToGrid/>
        <w:spacing w:before="0" w:after="0" w:line="336" w:lineRule="auto"/>
        <w:ind w:left="0" w:right="0" w:firstLine="480"/>
        <w:jc w:val="both"/>
        <w:textAlignment w:val="auto"/>
        <w:rPr>
          <w:highlight w:val="none"/>
        </w:rPr>
      </w:pPr>
    </w:p>
    <w:p>
      <w:pPr>
        <w:pStyle w:val="9"/>
        <w:keepNext w:val="0"/>
        <w:keepLines w:val="0"/>
        <w:pageBreakBefore w:val="0"/>
        <w:widowControl w:val="0"/>
        <w:tabs>
          <w:tab w:val="left" w:pos="4677"/>
        </w:tabs>
        <w:kinsoku/>
        <w:wordWrap/>
        <w:overflowPunct/>
        <w:topLinePunct w:val="0"/>
        <w:autoSpaceDE w:val="0"/>
        <w:autoSpaceDN w:val="0"/>
        <w:bidi w:val="0"/>
        <w:adjustRightInd/>
        <w:snapToGrid/>
        <w:spacing w:before="0" w:after="0" w:line="336" w:lineRule="auto"/>
        <w:ind w:left="0" w:right="0" w:firstLine="480"/>
        <w:jc w:val="both"/>
        <w:textAlignment w:val="auto"/>
        <w:rPr>
          <w:highlight w:val="none"/>
        </w:rPr>
      </w:pPr>
      <w:r>
        <w:rPr>
          <w:highlight w:val="none"/>
        </w:rPr>
        <w:t>根据贵方为</w:t>
      </w:r>
      <w:r>
        <w:rPr>
          <w:highlight w:val="none"/>
          <w:u w:val="single"/>
        </w:rPr>
        <w:t xml:space="preserve"> </w:t>
      </w:r>
      <w:r>
        <w:rPr>
          <w:rFonts w:hint="eastAsia"/>
          <w:highlight w:val="none"/>
          <w:u w:val="single"/>
          <w:lang w:val="en-US" w:eastAsia="zh-CN"/>
        </w:rPr>
        <w:t xml:space="preserve">          </w:t>
      </w:r>
      <w:r>
        <w:rPr>
          <w:highlight w:val="none"/>
        </w:rPr>
        <w:t>项目采购的蹉商公告</w:t>
      </w:r>
      <w:r>
        <w:rPr>
          <w:highlight w:val="none"/>
          <w:u w:val="single"/>
        </w:rPr>
        <w:t>（招标编号）</w:t>
      </w:r>
      <w:r>
        <w:rPr>
          <w:highlight w:val="none"/>
        </w:rPr>
        <w:t>，签字代表</w:t>
      </w:r>
      <w:r>
        <w:rPr>
          <w:rFonts w:hint="eastAsia"/>
          <w:highlight w:val="none"/>
          <w:u w:val="single"/>
          <w:lang w:val="en-US" w:eastAsia="zh-CN"/>
        </w:rPr>
        <w:t xml:space="preserve"> </w:t>
      </w:r>
      <w:r>
        <w:rPr>
          <w:highlight w:val="none"/>
          <w:u w:val="single"/>
        </w:rPr>
        <w:t>（全名、职务）</w:t>
      </w:r>
      <w:r>
        <w:rPr>
          <w:rFonts w:hint="eastAsia"/>
          <w:highlight w:val="none"/>
          <w:u w:val="single"/>
          <w:lang w:val="en-US" w:eastAsia="zh-CN"/>
        </w:rPr>
        <w:t xml:space="preserve"> </w:t>
      </w:r>
      <w:r>
        <w:rPr>
          <w:highlight w:val="none"/>
        </w:rPr>
        <w:t>经正式授权，并代表投标人</w:t>
      </w:r>
      <w:r>
        <w:rPr>
          <w:spacing w:val="-1"/>
          <w:highlight w:val="none"/>
          <w:u w:val="single"/>
        </w:rPr>
        <w:t xml:space="preserve"> </w:t>
      </w:r>
      <w:r>
        <w:rPr>
          <w:highlight w:val="none"/>
          <w:u w:val="single"/>
        </w:rPr>
        <w:t>（投标人名称、地址）</w:t>
      </w:r>
      <w:r>
        <w:rPr>
          <w:highlight w:val="none"/>
        </w:rPr>
        <w:t>提交下述文件正本一份和副本三份：</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（1）开标一览表</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（2）投标货物的分项价格表</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（3）投标货物相关的技术、商务说明资料</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（4）资格证明文件及资料</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据此函，签字代表宣布同意如下：</w:t>
      </w:r>
    </w:p>
    <w:p>
      <w:pPr>
        <w:pStyle w:val="9"/>
        <w:keepNext w:val="0"/>
        <w:keepLines w:val="0"/>
        <w:pageBreakBefore w:val="0"/>
        <w:widowControl w:val="0"/>
        <w:tabs>
          <w:tab w:val="left" w:pos="8157"/>
        </w:tabs>
        <w:kinsoku/>
        <w:wordWrap/>
        <w:overflowPunct/>
        <w:topLinePunct w:val="0"/>
        <w:autoSpaceDE w:val="0"/>
        <w:autoSpaceDN w:val="0"/>
        <w:bidi w:val="0"/>
        <w:adjustRightInd/>
        <w:snapToGrid/>
        <w:spacing w:before="0" w:after="0" w:line="336" w:lineRule="auto"/>
        <w:ind w:left="0" w:right="0"/>
        <w:jc w:val="both"/>
        <w:textAlignment w:val="auto"/>
        <w:rPr>
          <w:highlight w:val="none"/>
        </w:rPr>
      </w:pPr>
      <w:r>
        <w:rPr>
          <w:highlight w:val="none"/>
        </w:rPr>
        <w:t>①愿按照采购文件中的投标人须知</w:t>
      </w:r>
      <w:r>
        <w:rPr>
          <w:spacing w:val="-32"/>
          <w:highlight w:val="none"/>
        </w:rPr>
        <w:t>、</w:t>
      </w:r>
      <w:r>
        <w:rPr>
          <w:highlight w:val="none"/>
        </w:rPr>
        <w:t>合同条款</w:t>
      </w:r>
      <w:r>
        <w:rPr>
          <w:spacing w:val="-29"/>
          <w:highlight w:val="none"/>
        </w:rPr>
        <w:t>、</w:t>
      </w:r>
      <w:r>
        <w:rPr>
          <w:highlight w:val="none"/>
        </w:rPr>
        <w:t>技术条件</w:t>
      </w:r>
      <w:r>
        <w:rPr>
          <w:spacing w:val="-29"/>
          <w:highlight w:val="none"/>
        </w:rPr>
        <w:t>、</w:t>
      </w:r>
      <w:r>
        <w:rPr>
          <w:highlight w:val="none"/>
        </w:rPr>
        <w:t>图纸资料等要求提供所需招标货物，总报价为人民币</w:t>
      </w:r>
      <w:r>
        <w:rPr>
          <w:highlight w:val="none"/>
          <w:u w:val="single"/>
        </w:rPr>
        <w:t>：</w:t>
      </w:r>
      <w:r>
        <w:rPr>
          <w:rFonts w:hint="eastAsia"/>
          <w:highlight w:val="none"/>
          <w:u w:val="single"/>
          <w:lang w:val="en-US" w:eastAsia="zh-CN"/>
        </w:rPr>
        <w:t xml:space="preserve">          </w:t>
      </w:r>
      <w:r>
        <w:rPr>
          <w:highlight w:val="none"/>
          <w:u w:val="single"/>
        </w:rPr>
        <w:t>元</w:t>
      </w:r>
      <w:r>
        <w:rPr>
          <w:highlight w:val="none"/>
        </w:rPr>
        <w:t>（大写）：</w:t>
      </w:r>
      <w:r>
        <w:rPr>
          <w:highlight w:val="none"/>
          <w:u w:val="single"/>
        </w:rPr>
        <w:t xml:space="preserve"> </w:t>
      </w:r>
      <w:r>
        <w:rPr>
          <w:rFonts w:hint="eastAsia"/>
          <w:highlight w:val="none"/>
          <w:u w:val="single"/>
          <w:lang w:val="en-US" w:eastAsia="zh-CN"/>
        </w:rPr>
        <w:t xml:space="preserve">           </w:t>
      </w:r>
      <w:r>
        <w:rPr>
          <w:highlight w:val="none"/>
        </w:rPr>
        <w:t>元整，明细报价见投标货物的分项价格表。</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②作为投标书的一部分，我方愿提</w:t>
      </w:r>
      <w:r>
        <w:rPr>
          <w:highlight w:val="none"/>
          <w:u w:val="single"/>
        </w:rPr>
        <w:t xml:space="preserve"> </w:t>
      </w:r>
      <w:r>
        <w:rPr>
          <w:rFonts w:hint="eastAsia"/>
          <w:highlight w:val="none"/>
          <w:u w:val="single"/>
          <w:lang w:val="en-US" w:eastAsia="zh-CN"/>
        </w:rPr>
        <w:t xml:space="preserve">    </w:t>
      </w:r>
      <w:r>
        <w:rPr>
          <w:highlight w:val="none"/>
        </w:rPr>
        <w:t>元的投标保证金。</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③如果我方中标，我方将按招标文件的规定履行合同责任和义务。</w:t>
      </w:r>
    </w:p>
    <w:p>
      <w:pPr>
        <w:pStyle w:val="9"/>
        <w:keepNext w:val="0"/>
        <w:keepLines w:val="0"/>
        <w:pageBreakBefore w:val="0"/>
        <w:widowControl w:val="0"/>
        <w:tabs>
          <w:tab w:val="left" w:pos="2517"/>
          <w:tab w:val="left" w:pos="5637"/>
          <w:tab w:val="left" w:pos="7917"/>
        </w:tabs>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④交货期</w:t>
      </w:r>
      <w:r>
        <w:rPr>
          <w:highlight w:val="none"/>
          <w:u w:val="single"/>
        </w:rPr>
        <w:t xml:space="preserve"> </w:t>
      </w:r>
      <w:r>
        <w:rPr>
          <w:rFonts w:hint="eastAsia"/>
          <w:highlight w:val="none"/>
          <w:u w:val="single"/>
          <w:lang w:val="en-US" w:eastAsia="zh-CN"/>
        </w:rPr>
        <w:t xml:space="preserve">           </w:t>
      </w:r>
      <w:r>
        <w:rPr>
          <w:highlight w:val="none"/>
        </w:rPr>
        <w:t>；交货地点：</w:t>
      </w:r>
      <w:r>
        <w:rPr>
          <w:highlight w:val="none"/>
          <w:u w:val="single"/>
        </w:rPr>
        <w:t xml:space="preserve"> </w:t>
      </w:r>
      <w:r>
        <w:rPr>
          <w:rFonts w:hint="eastAsia"/>
          <w:highlight w:val="none"/>
          <w:u w:val="single"/>
          <w:lang w:val="en-US" w:eastAsia="zh-CN"/>
        </w:rPr>
        <w:t xml:space="preserve">         </w:t>
      </w:r>
      <w:r>
        <w:rPr>
          <w:highlight w:val="none"/>
        </w:rPr>
        <w:t>；</w:t>
      </w:r>
    </w:p>
    <w:p>
      <w:pPr>
        <w:pStyle w:val="9"/>
        <w:keepNext w:val="0"/>
        <w:keepLines w:val="0"/>
        <w:pageBreakBefore w:val="0"/>
        <w:widowControl w:val="0"/>
        <w:kinsoku/>
        <w:wordWrap/>
        <w:overflowPunct/>
        <w:topLinePunct w:val="0"/>
        <w:autoSpaceDE w:val="0"/>
        <w:autoSpaceDN w:val="0"/>
        <w:bidi w:val="0"/>
        <w:adjustRightInd/>
        <w:snapToGrid/>
        <w:spacing w:before="0" w:after="0" w:line="338" w:lineRule="auto"/>
        <w:ind w:left="0" w:right="0"/>
        <w:jc w:val="both"/>
        <w:textAlignment w:val="auto"/>
        <w:rPr>
          <w:highlight w:val="none"/>
        </w:rPr>
      </w:pPr>
      <w:r>
        <w:rPr>
          <w:spacing w:val="-5"/>
          <w:highlight w:val="none"/>
        </w:rPr>
        <w:t>⑤我方已详细审查全部招标文件，包括修改文件</w:t>
      </w:r>
      <w:r>
        <w:rPr>
          <w:highlight w:val="none"/>
        </w:rPr>
        <w:t>（如有的话</w:t>
      </w:r>
      <w:r>
        <w:rPr>
          <w:spacing w:val="-29"/>
          <w:highlight w:val="none"/>
        </w:rPr>
        <w:t>）</w:t>
      </w:r>
      <w:r>
        <w:rPr>
          <w:highlight w:val="none"/>
        </w:rPr>
        <w:t>以及全部参考资料和有关附件。我们完全理解并同意放弃对这方面有不明及误解的权利。</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⑥我方投标自开标日起有效期为</w:t>
      </w:r>
      <w:r>
        <w:rPr>
          <w:highlight w:val="none"/>
          <w:u w:val="single"/>
        </w:rPr>
        <w:t xml:space="preserve"> </w:t>
      </w:r>
      <w:r>
        <w:rPr>
          <w:rFonts w:hint="eastAsia"/>
          <w:highlight w:val="none"/>
          <w:u w:val="single"/>
          <w:lang w:val="en-US" w:eastAsia="zh-CN"/>
        </w:rPr>
        <w:t xml:space="preserve">            </w:t>
      </w:r>
      <w:r>
        <w:rPr>
          <w:highlight w:val="none"/>
        </w:rPr>
        <w:t>天。</w:t>
      </w:r>
    </w:p>
    <w:p>
      <w:pPr>
        <w:pStyle w:val="9"/>
        <w:keepNext w:val="0"/>
        <w:keepLines w:val="0"/>
        <w:pageBreakBefore w:val="0"/>
        <w:widowControl w:val="0"/>
        <w:kinsoku/>
        <w:wordWrap/>
        <w:overflowPunct/>
        <w:topLinePunct w:val="0"/>
        <w:autoSpaceDE w:val="0"/>
        <w:autoSpaceDN w:val="0"/>
        <w:bidi w:val="0"/>
        <w:adjustRightInd/>
        <w:snapToGrid/>
        <w:spacing w:before="0" w:after="0" w:line="338" w:lineRule="auto"/>
        <w:ind w:left="0" w:right="0"/>
        <w:jc w:val="both"/>
        <w:textAlignment w:val="auto"/>
        <w:rPr>
          <w:highlight w:val="none"/>
        </w:rPr>
      </w:pPr>
      <w:r>
        <w:rPr>
          <w:spacing w:val="-6"/>
          <w:highlight w:val="none"/>
        </w:rPr>
        <w:t>⑦如果在规定的开标时间后，我方在投标有效期内撤回投标，我方的投标保证金将被贵方没收。</w:t>
      </w:r>
    </w:p>
    <w:p>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left="0" w:right="0"/>
        <w:jc w:val="both"/>
        <w:textAlignment w:val="auto"/>
        <w:rPr>
          <w:highlight w:val="none"/>
        </w:rPr>
      </w:pPr>
      <w:r>
        <w:rPr>
          <w:spacing w:val="-3"/>
          <w:highlight w:val="none"/>
        </w:rPr>
        <w:t>⑧我方同意提供按照贵方可能要求的与其投标有关的一切数据或资料，完全理解贵方不一定要接受最低价的投标或收到的任何投标。</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hint="default" w:eastAsia="宋体"/>
          <w:highlight w:val="none"/>
          <w:u w:val="single"/>
          <w:lang w:val="en-US" w:eastAsia="zh-CN"/>
        </w:rPr>
      </w:pPr>
      <w:r>
        <w:rPr>
          <w:highlight w:val="none"/>
        </w:rPr>
        <w:t>⑧与本次投标有关的一切正式往来通讯请寄：</w:t>
      </w:r>
      <w:r>
        <w:rPr>
          <w:rFonts w:hint="eastAsia"/>
          <w:highlight w:val="none"/>
          <w:u w:val="single"/>
          <w:lang w:val="en-US" w:eastAsia="zh-CN"/>
        </w:rPr>
        <w:t xml:space="preserve">            </w:t>
      </w:r>
    </w:p>
    <w:p>
      <w:pPr>
        <w:pStyle w:val="9"/>
        <w:keepNext w:val="0"/>
        <w:keepLines w:val="0"/>
        <w:pageBreakBefore w:val="0"/>
        <w:widowControl w:val="0"/>
        <w:tabs>
          <w:tab w:val="left" w:pos="2757"/>
          <w:tab w:val="left" w:pos="3957"/>
          <w:tab w:val="left" w:pos="4317"/>
          <w:tab w:val="left" w:pos="4797"/>
          <w:tab w:val="left" w:pos="5517"/>
          <w:tab w:val="left" w:pos="6717"/>
          <w:tab w:val="left" w:pos="8216"/>
          <w:tab w:val="left" w:pos="8336"/>
          <w:tab w:val="left" w:pos="8487"/>
        </w:tabs>
        <w:kinsoku/>
        <w:wordWrap/>
        <w:overflowPunct/>
        <w:topLinePunct w:val="0"/>
        <w:autoSpaceDE w:val="0"/>
        <w:autoSpaceDN w:val="0"/>
        <w:bidi w:val="0"/>
        <w:adjustRightInd/>
        <w:snapToGrid/>
        <w:spacing w:before="0" w:after="0" w:line="336" w:lineRule="auto"/>
        <w:ind w:right="0" w:firstLine="2400" w:firstLineChars="1000"/>
        <w:jc w:val="both"/>
        <w:textAlignment w:val="auto"/>
        <w:rPr>
          <w:highlight w:val="none"/>
        </w:rPr>
      </w:pPr>
    </w:p>
    <w:p>
      <w:pPr>
        <w:pStyle w:val="9"/>
        <w:keepNext w:val="0"/>
        <w:keepLines w:val="0"/>
        <w:pageBreakBefore w:val="0"/>
        <w:widowControl w:val="0"/>
        <w:tabs>
          <w:tab w:val="left" w:pos="2757"/>
          <w:tab w:val="left" w:pos="3957"/>
          <w:tab w:val="left" w:pos="4317"/>
          <w:tab w:val="left" w:pos="4797"/>
          <w:tab w:val="left" w:pos="5517"/>
          <w:tab w:val="left" w:pos="6717"/>
          <w:tab w:val="left" w:pos="8216"/>
          <w:tab w:val="left" w:pos="8336"/>
          <w:tab w:val="left" w:pos="8487"/>
        </w:tabs>
        <w:kinsoku/>
        <w:wordWrap/>
        <w:overflowPunct/>
        <w:topLinePunct w:val="0"/>
        <w:autoSpaceDE w:val="0"/>
        <w:autoSpaceDN w:val="0"/>
        <w:bidi w:val="0"/>
        <w:adjustRightInd/>
        <w:snapToGrid/>
        <w:spacing w:before="0" w:after="0" w:line="336" w:lineRule="auto"/>
        <w:ind w:right="0" w:firstLine="2400" w:firstLineChars="1000"/>
        <w:jc w:val="both"/>
        <w:textAlignment w:val="auto"/>
        <w:rPr>
          <w:rFonts w:ascii="Times New Roman" w:eastAsia="Times New Roman"/>
          <w:spacing w:val="28"/>
          <w:highlight w:val="none"/>
          <w:u w:val="single"/>
        </w:rPr>
      </w:pPr>
      <w:r>
        <w:rPr>
          <w:highlight w:val="none"/>
        </w:rPr>
        <w:t>供应商名</w:t>
      </w:r>
      <w:r>
        <w:rPr>
          <w:spacing w:val="-29"/>
          <w:highlight w:val="none"/>
        </w:rPr>
        <w:t>称</w:t>
      </w:r>
      <w:r>
        <w:rPr>
          <w:spacing w:val="-3"/>
          <w:highlight w:val="none"/>
        </w:rPr>
        <w:t>（</w:t>
      </w:r>
      <w:r>
        <w:rPr>
          <w:highlight w:val="none"/>
        </w:rPr>
        <w:t>加盖公章</w:t>
      </w:r>
      <w:r>
        <w:rPr>
          <w:spacing w:val="-15"/>
          <w:highlight w:val="none"/>
        </w:rPr>
        <w:t>）：</w:t>
      </w:r>
      <w:r>
        <w:rPr>
          <w:spacing w:val="-30"/>
          <w:highlight w:val="none"/>
        </w:rPr>
        <w:t xml:space="preserve"> </w:t>
      </w:r>
      <w:r>
        <w:rPr>
          <w:rFonts w:ascii="Times New Roman" w:eastAsia="Times New Roman"/>
          <w:highlight w:val="none"/>
          <w:u w:val="single"/>
        </w:rPr>
        <w:t xml:space="preserve"> </w:t>
      </w:r>
      <w:r>
        <w:rPr>
          <w:rFonts w:hint="eastAsia" w:ascii="Times New Roman"/>
          <w:highlight w:val="none"/>
          <w:u w:val="single"/>
          <w:lang w:val="en-US" w:eastAsia="zh-CN"/>
        </w:rPr>
        <w:t xml:space="preserve">                             </w:t>
      </w:r>
      <w:r>
        <w:rPr>
          <w:rFonts w:ascii="Times New Roman" w:eastAsia="Times New Roman"/>
          <w:spacing w:val="-1"/>
          <w:highlight w:val="none"/>
          <w:u w:val="single"/>
        </w:rPr>
        <w:t xml:space="preserve"> </w:t>
      </w:r>
      <w:r>
        <w:rPr>
          <w:rFonts w:ascii="Times New Roman" w:eastAsia="Times New Roman"/>
          <w:spacing w:val="28"/>
          <w:highlight w:val="none"/>
          <w:u w:val="single"/>
        </w:rPr>
        <w:t xml:space="preserve"> </w:t>
      </w:r>
    </w:p>
    <w:p>
      <w:pPr>
        <w:pStyle w:val="9"/>
        <w:keepNext w:val="0"/>
        <w:keepLines w:val="0"/>
        <w:pageBreakBefore w:val="0"/>
        <w:widowControl w:val="0"/>
        <w:tabs>
          <w:tab w:val="left" w:pos="2757"/>
          <w:tab w:val="left" w:pos="3957"/>
          <w:tab w:val="left" w:pos="4317"/>
          <w:tab w:val="left" w:pos="4797"/>
          <w:tab w:val="left" w:pos="5517"/>
          <w:tab w:val="left" w:pos="6717"/>
          <w:tab w:val="left" w:pos="8216"/>
          <w:tab w:val="left" w:pos="8336"/>
          <w:tab w:val="left" w:pos="8487"/>
        </w:tabs>
        <w:kinsoku/>
        <w:wordWrap/>
        <w:overflowPunct/>
        <w:topLinePunct w:val="0"/>
        <w:autoSpaceDE w:val="0"/>
        <w:autoSpaceDN w:val="0"/>
        <w:bidi w:val="0"/>
        <w:adjustRightInd/>
        <w:snapToGrid/>
        <w:spacing w:before="0" w:after="0" w:line="336" w:lineRule="auto"/>
        <w:ind w:right="0" w:firstLine="2380" w:firstLineChars="1000"/>
        <w:jc w:val="both"/>
        <w:textAlignment w:val="auto"/>
        <w:rPr>
          <w:highlight w:val="none"/>
        </w:rPr>
      </w:pPr>
      <w:r>
        <w:rPr>
          <w:spacing w:val="-1"/>
          <w:highlight w:val="none"/>
        </w:rPr>
        <w:t>法</w:t>
      </w:r>
      <w:r>
        <w:rPr>
          <w:highlight w:val="none"/>
        </w:rPr>
        <w:t>定代表人或授权委托人（签字或盖章）：</w:t>
      </w:r>
      <w:r>
        <w:rPr>
          <w:rFonts w:ascii="Times New Roman" w:eastAsia="Times New Roman"/>
          <w:highlight w:val="none"/>
          <w:u w:val="single"/>
        </w:rPr>
        <w:t xml:space="preserve"> </w:t>
      </w:r>
      <w:r>
        <w:rPr>
          <w:rFonts w:hint="eastAsia" w:ascii="Times New Roman"/>
          <w:highlight w:val="none"/>
          <w:u w:val="single"/>
          <w:lang w:val="en-US" w:eastAsia="zh-CN"/>
        </w:rPr>
        <w:t xml:space="preserve">                </w:t>
      </w:r>
      <w:r>
        <w:rPr>
          <w:highlight w:val="none"/>
        </w:rPr>
        <w:t xml:space="preserve"> </w:t>
      </w:r>
    </w:p>
    <w:p>
      <w:pPr>
        <w:pStyle w:val="9"/>
        <w:keepNext w:val="0"/>
        <w:keepLines w:val="0"/>
        <w:pageBreakBefore w:val="0"/>
        <w:widowControl w:val="0"/>
        <w:tabs>
          <w:tab w:val="left" w:pos="2757"/>
          <w:tab w:val="left" w:pos="3957"/>
          <w:tab w:val="left" w:pos="4317"/>
          <w:tab w:val="left" w:pos="4797"/>
          <w:tab w:val="left" w:pos="5517"/>
          <w:tab w:val="left" w:pos="6717"/>
          <w:tab w:val="left" w:pos="8216"/>
          <w:tab w:val="left" w:pos="8336"/>
          <w:tab w:val="left" w:pos="8487"/>
        </w:tabs>
        <w:kinsoku/>
        <w:wordWrap/>
        <w:overflowPunct/>
        <w:topLinePunct w:val="0"/>
        <w:autoSpaceDE w:val="0"/>
        <w:autoSpaceDN w:val="0"/>
        <w:bidi w:val="0"/>
        <w:adjustRightInd/>
        <w:snapToGrid/>
        <w:spacing w:before="0" w:after="0" w:line="336" w:lineRule="auto"/>
        <w:ind w:left="0" w:right="0" w:firstLine="2400" w:firstLineChars="1000"/>
        <w:jc w:val="both"/>
        <w:textAlignment w:val="auto"/>
        <w:rPr>
          <w:rFonts w:hint="default" w:eastAsia="宋体"/>
          <w:highlight w:val="none"/>
          <w:u w:val="single"/>
          <w:lang w:val="en-US" w:eastAsia="zh-CN"/>
        </w:rPr>
      </w:pPr>
      <w:r>
        <w:rPr>
          <w:highlight w:val="none"/>
        </w:rPr>
        <w:t>邮政编码：</w:t>
      </w:r>
      <w:r>
        <w:rPr>
          <w:highlight w:val="none"/>
          <w:u w:val="single"/>
        </w:rPr>
        <w:t xml:space="preserve"> </w:t>
      </w:r>
      <w:r>
        <w:rPr>
          <w:rFonts w:hint="eastAsia"/>
          <w:highlight w:val="none"/>
          <w:u w:val="single"/>
          <w:lang w:val="en-US" w:eastAsia="zh-CN"/>
        </w:rPr>
        <w:t xml:space="preserve">                          </w:t>
      </w:r>
    </w:p>
    <w:p>
      <w:pPr>
        <w:pStyle w:val="9"/>
        <w:keepNext w:val="0"/>
        <w:keepLines w:val="0"/>
        <w:pageBreakBefore w:val="0"/>
        <w:widowControl w:val="0"/>
        <w:tabs>
          <w:tab w:val="left" w:pos="2757"/>
          <w:tab w:val="left" w:pos="3957"/>
          <w:tab w:val="left" w:pos="4317"/>
          <w:tab w:val="left" w:pos="4797"/>
          <w:tab w:val="left" w:pos="5517"/>
          <w:tab w:val="left" w:pos="6717"/>
          <w:tab w:val="left" w:pos="8216"/>
          <w:tab w:val="left" w:pos="8336"/>
          <w:tab w:val="left" w:pos="8487"/>
        </w:tabs>
        <w:kinsoku/>
        <w:wordWrap/>
        <w:overflowPunct/>
        <w:topLinePunct w:val="0"/>
        <w:autoSpaceDE w:val="0"/>
        <w:autoSpaceDN w:val="0"/>
        <w:bidi w:val="0"/>
        <w:adjustRightInd/>
        <w:snapToGrid/>
        <w:spacing w:before="0" w:after="0" w:line="336" w:lineRule="auto"/>
        <w:ind w:left="0" w:right="0" w:firstLine="2400" w:firstLineChars="1000"/>
        <w:jc w:val="both"/>
        <w:textAlignment w:val="auto"/>
        <w:rPr>
          <w:rFonts w:hint="default" w:ascii="Times New Roman" w:eastAsia="宋体"/>
          <w:highlight w:val="none"/>
          <w:u w:val="single"/>
          <w:lang w:val="en-US" w:eastAsia="zh-CN"/>
        </w:rPr>
      </w:pPr>
      <w:r>
        <w:rPr>
          <w:highlight w:val="none"/>
        </w:rPr>
        <w:t>电话</w:t>
      </w:r>
      <w:r>
        <w:rPr>
          <w:rFonts w:hint="eastAsia"/>
          <w:highlight w:val="none"/>
          <w:lang w:eastAsia="zh-CN"/>
        </w:rPr>
        <w:t>：</w:t>
      </w:r>
      <w:r>
        <w:rPr>
          <w:rFonts w:hint="eastAsia"/>
          <w:highlight w:val="none"/>
          <w:u w:val="single"/>
          <w:lang w:val="en-US" w:eastAsia="zh-CN"/>
        </w:rPr>
        <w:t xml:space="preserve">              </w:t>
      </w:r>
      <w:r>
        <w:rPr>
          <w:spacing w:val="-1"/>
          <w:highlight w:val="none"/>
        </w:rPr>
        <w:t>传</w:t>
      </w:r>
      <w:r>
        <w:rPr>
          <w:highlight w:val="none"/>
        </w:rPr>
        <w:t>真：</w:t>
      </w:r>
      <w:r>
        <w:rPr>
          <w:rFonts w:ascii="Times New Roman" w:eastAsia="Times New Roman"/>
          <w:highlight w:val="none"/>
          <w:u w:val="single"/>
        </w:rPr>
        <w:t xml:space="preserve"> </w:t>
      </w:r>
      <w:r>
        <w:rPr>
          <w:rFonts w:ascii="Times New Roman" w:eastAsia="Times New Roman"/>
          <w:highlight w:val="none"/>
          <w:u w:val="single"/>
        </w:rPr>
        <w:tab/>
      </w:r>
      <w:r>
        <w:rPr>
          <w:rFonts w:hint="eastAsia" w:ascii="Times New Roman"/>
          <w:highlight w:val="none"/>
          <w:u w:val="single"/>
          <w:lang w:val="en-US" w:eastAsia="zh-CN"/>
        </w:rPr>
        <w:t xml:space="preserve">           </w:t>
      </w:r>
    </w:p>
    <w:p>
      <w:pPr>
        <w:pStyle w:val="9"/>
        <w:keepNext w:val="0"/>
        <w:keepLines w:val="0"/>
        <w:pageBreakBefore w:val="0"/>
        <w:widowControl w:val="0"/>
        <w:tabs>
          <w:tab w:val="left" w:pos="2757"/>
          <w:tab w:val="left" w:pos="3957"/>
          <w:tab w:val="left" w:pos="4317"/>
          <w:tab w:val="left" w:pos="4797"/>
          <w:tab w:val="left" w:pos="5517"/>
          <w:tab w:val="left" w:pos="6717"/>
          <w:tab w:val="left" w:pos="8216"/>
          <w:tab w:val="left" w:pos="8336"/>
          <w:tab w:val="left" w:pos="8487"/>
        </w:tabs>
        <w:kinsoku/>
        <w:wordWrap/>
        <w:overflowPunct/>
        <w:topLinePunct w:val="0"/>
        <w:autoSpaceDE w:val="0"/>
        <w:autoSpaceDN w:val="0"/>
        <w:bidi w:val="0"/>
        <w:adjustRightInd/>
        <w:snapToGrid/>
        <w:spacing w:before="0" w:after="0" w:line="336" w:lineRule="auto"/>
        <w:ind w:left="0" w:right="0"/>
        <w:jc w:val="center"/>
        <w:textAlignment w:val="auto"/>
        <w:rPr>
          <w:highlight w:val="none"/>
        </w:rPr>
      </w:pPr>
      <w:r>
        <w:rPr>
          <w:highlight w:val="none"/>
        </w:rPr>
        <w:t>日期：</w:t>
      </w:r>
      <w:r>
        <w:rPr>
          <w:highlight w:val="none"/>
          <w:u w:val="single"/>
        </w:rPr>
        <w:t xml:space="preserve"> </w:t>
      </w:r>
      <w:r>
        <w:rPr>
          <w:rFonts w:hint="eastAsia"/>
          <w:highlight w:val="none"/>
          <w:u w:val="single"/>
          <w:lang w:val="en-US" w:eastAsia="zh-CN"/>
        </w:rPr>
        <w:t xml:space="preserve">    </w:t>
      </w:r>
      <w:r>
        <w:rPr>
          <w:highlight w:val="none"/>
        </w:rPr>
        <w:t>年</w:t>
      </w:r>
      <w:r>
        <w:rPr>
          <w:highlight w:val="none"/>
          <w:u w:val="single"/>
        </w:rPr>
        <w:t xml:space="preserve"> </w:t>
      </w:r>
      <w:r>
        <w:rPr>
          <w:rFonts w:hint="eastAsia"/>
          <w:highlight w:val="none"/>
          <w:u w:val="single"/>
          <w:lang w:val="en-US" w:eastAsia="zh-CN"/>
        </w:rPr>
        <w:t xml:space="preserve">    </w:t>
      </w:r>
      <w:r>
        <w:rPr>
          <w:highlight w:val="none"/>
        </w:rPr>
        <w:t>月</w:t>
      </w:r>
      <w:r>
        <w:rPr>
          <w:highlight w:val="none"/>
          <w:u w:val="single"/>
        </w:rPr>
        <w:t xml:space="preserve"> </w:t>
      </w:r>
      <w:r>
        <w:rPr>
          <w:rFonts w:hint="eastAsia"/>
          <w:highlight w:val="none"/>
          <w:u w:val="single"/>
          <w:lang w:val="en-US" w:eastAsia="zh-CN"/>
        </w:rPr>
        <w:t xml:space="preserve">  </w:t>
      </w:r>
      <w:r>
        <w:rPr>
          <w:highlight w:val="none"/>
        </w:rPr>
        <w:t>日</w:t>
      </w:r>
    </w:p>
    <w:p>
      <w:pPr>
        <w:pStyle w:val="8"/>
        <w:keepNext w:val="0"/>
        <w:keepLines w:val="0"/>
        <w:pageBreakBefore w:val="0"/>
        <w:widowControl w:val="0"/>
        <w:kinsoku/>
        <w:wordWrap/>
        <w:overflowPunct/>
        <w:topLinePunct w:val="0"/>
        <w:autoSpaceDE w:val="0"/>
        <w:autoSpaceDN w:val="0"/>
        <w:bidi w:val="0"/>
        <w:adjustRightInd/>
        <w:snapToGrid/>
        <w:spacing w:before="0" w:after="0" w:line="338" w:lineRule="auto"/>
        <w:ind w:left="0" w:right="0"/>
        <w:jc w:val="both"/>
        <w:textAlignment w:val="auto"/>
        <w:rPr>
          <w:highlight w:val="none"/>
        </w:rPr>
      </w:pPr>
      <w:r>
        <w:rPr>
          <w:highlight w:val="none"/>
        </w:rPr>
        <w:t>注：开标一览表总报价与投标函总报价不一致时，以投标函总报价为准。在大</w:t>
      </w:r>
      <w:r>
        <w:rPr>
          <w:w w:val="95"/>
          <w:highlight w:val="none"/>
        </w:rPr>
        <w:t>写与小写不一致时以大写为准。</w:t>
      </w:r>
    </w:p>
    <w:p>
      <w:pPr>
        <w:keepNext w:val="0"/>
        <w:keepLines w:val="0"/>
        <w:pageBreakBefore w:val="0"/>
        <w:widowControl w:val="0"/>
        <w:kinsoku/>
        <w:wordWrap/>
        <w:overflowPunct/>
        <w:topLinePunct w:val="0"/>
        <w:autoSpaceDE w:val="0"/>
        <w:autoSpaceDN w:val="0"/>
        <w:bidi w:val="0"/>
        <w:adjustRightInd/>
        <w:snapToGrid/>
        <w:spacing w:before="0" w:after="0" w:line="338" w:lineRule="auto"/>
        <w:ind w:left="0" w:right="0"/>
        <w:jc w:val="both"/>
        <w:textAlignment w:val="auto"/>
        <w:rPr>
          <w:highlight w:val="none"/>
        </w:rPr>
        <w:sectPr>
          <w:type w:val="continuous"/>
          <w:pgSz w:w="11910" w:h="16840"/>
          <w:pgMar w:top="1440" w:right="1620" w:bottom="860" w:left="1680" w:header="720" w:footer="720" w:gutter="0"/>
          <w:pgBorders>
            <w:top w:val="none" w:sz="0" w:space="0"/>
            <w:left w:val="none" w:sz="0" w:space="0"/>
            <w:bottom w:val="none" w:sz="0" w:space="0"/>
            <w:right w:val="none" w:sz="0" w:space="0"/>
          </w:pgBorders>
          <w:pgNumType w:fmt="decimal"/>
        </w:sect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0"/>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b/>
          <w:sz w:val="28"/>
          <w:highlight w:val="none"/>
        </w:rPr>
      </w:pPr>
      <w:r>
        <w:rPr>
          <w:rFonts w:hint="eastAsia"/>
          <w:b/>
          <w:sz w:val="28"/>
          <w:highlight w:val="none"/>
          <w:lang w:val="en-US" w:eastAsia="zh-CN"/>
        </w:rPr>
        <w:t>2、</w:t>
      </w:r>
      <w:r>
        <w:rPr>
          <w:b/>
          <w:sz w:val="28"/>
          <w:highlight w:val="none"/>
        </w:rPr>
        <w:t xml:space="preserve"> 法定代表人身份证明书</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8"/>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8"/>
          <w:highlight w:val="none"/>
        </w:rPr>
      </w:pPr>
    </w:p>
    <w:p>
      <w:pPr>
        <w:pStyle w:val="9"/>
        <w:keepNext w:val="0"/>
        <w:keepLines w:val="0"/>
        <w:pageBreakBefore w:val="0"/>
        <w:widowControl w:val="0"/>
        <w:tabs>
          <w:tab w:val="left" w:pos="8036"/>
        </w:tabs>
        <w:kinsoku/>
        <w:wordWrap/>
        <w:overflowPunct/>
        <w:topLinePunct w:val="0"/>
        <w:autoSpaceDE w:val="0"/>
        <w:autoSpaceDN w:val="0"/>
        <w:bidi w:val="0"/>
        <w:adjustRightInd/>
        <w:snapToGrid/>
        <w:spacing w:before="0" w:after="0" w:line="480" w:lineRule="auto"/>
        <w:ind w:left="0" w:right="0"/>
        <w:jc w:val="both"/>
        <w:textAlignment w:val="auto"/>
        <w:rPr>
          <w:rFonts w:ascii="Times New Roman"/>
          <w:sz w:val="21"/>
          <w:highlight w:val="none"/>
        </w:rPr>
      </w:pPr>
      <w:r>
        <w:rPr>
          <w:spacing w:val="-1"/>
          <w:highlight w:val="none"/>
        </w:rPr>
        <w:t>单</w:t>
      </w:r>
      <w:r>
        <w:rPr>
          <w:highlight w:val="none"/>
        </w:rPr>
        <w:t>位名称：</w:t>
      </w:r>
      <w:r>
        <w:rPr>
          <w:rFonts w:ascii="Times New Roman" w:eastAsia="Times New Roman"/>
          <w:highlight w:val="none"/>
          <w:u w:val="single"/>
        </w:rPr>
        <w:t xml:space="preserve"> </w:t>
      </w:r>
      <w:r>
        <w:rPr>
          <w:rFonts w:hint="eastAsia" w:ascii="Times New Roman"/>
          <w:highlight w:val="none"/>
          <w:u w:val="single"/>
          <w:lang w:val="en-US" w:eastAsia="zh-CN"/>
        </w:rPr>
        <w:t xml:space="preserve">                                                                           </w:t>
      </w:r>
    </w:p>
    <w:p>
      <w:pPr>
        <w:pStyle w:val="9"/>
        <w:keepNext w:val="0"/>
        <w:keepLines w:val="0"/>
        <w:pageBreakBefore w:val="0"/>
        <w:widowControl w:val="0"/>
        <w:tabs>
          <w:tab w:val="left" w:pos="8096"/>
        </w:tabs>
        <w:kinsoku/>
        <w:wordWrap/>
        <w:overflowPunct/>
        <w:topLinePunct w:val="0"/>
        <w:autoSpaceDE w:val="0"/>
        <w:autoSpaceDN w:val="0"/>
        <w:bidi w:val="0"/>
        <w:adjustRightInd/>
        <w:snapToGrid/>
        <w:spacing w:before="0" w:after="0" w:line="480" w:lineRule="auto"/>
        <w:ind w:left="0" w:right="0"/>
        <w:jc w:val="both"/>
        <w:textAlignment w:val="auto"/>
        <w:rPr>
          <w:rFonts w:ascii="Times New Roman"/>
          <w:sz w:val="21"/>
          <w:highlight w:val="none"/>
        </w:rPr>
      </w:pPr>
      <w:r>
        <w:rPr>
          <w:spacing w:val="-1"/>
          <w:highlight w:val="none"/>
        </w:rPr>
        <w:t>单</w:t>
      </w:r>
      <w:r>
        <w:rPr>
          <w:highlight w:val="none"/>
        </w:rPr>
        <w:t>位性质：</w:t>
      </w:r>
      <w:r>
        <w:rPr>
          <w:rFonts w:ascii="Times New Roman" w:eastAsia="Times New Roman"/>
          <w:highlight w:val="none"/>
          <w:u w:val="single"/>
        </w:rPr>
        <w:t xml:space="preserve"> </w:t>
      </w:r>
      <w:r>
        <w:rPr>
          <w:rFonts w:hint="eastAsia" w:ascii="Times New Roman"/>
          <w:highlight w:val="none"/>
          <w:u w:val="single"/>
          <w:lang w:val="en-US" w:eastAsia="zh-CN"/>
        </w:rPr>
        <w:t xml:space="preserve">                                                                           </w:t>
      </w:r>
    </w:p>
    <w:p>
      <w:pPr>
        <w:pStyle w:val="9"/>
        <w:keepNext w:val="0"/>
        <w:keepLines w:val="0"/>
        <w:pageBreakBefore w:val="0"/>
        <w:widowControl w:val="0"/>
        <w:tabs>
          <w:tab w:val="left" w:pos="1804"/>
          <w:tab w:val="left" w:pos="8096"/>
        </w:tabs>
        <w:kinsoku/>
        <w:wordWrap/>
        <w:overflowPunct/>
        <w:topLinePunct w:val="0"/>
        <w:autoSpaceDE w:val="0"/>
        <w:autoSpaceDN w:val="0"/>
        <w:bidi w:val="0"/>
        <w:adjustRightInd/>
        <w:snapToGrid/>
        <w:spacing w:before="0" w:after="0" w:line="480" w:lineRule="auto"/>
        <w:ind w:left="0" w:right="0"/>
        <w:jc w:val="both"/>
        <w:textAlignment w:val="auto"/>
        <w:rPr>
          <w:rFonts w:ascii="Times New Roman"/>
          <w:sz w:val="20"/>
          <w:highlight w:val="none"/>
        </w:rPr>
      </w:pPr>
      <w:r>
        <w:rPr>
          <w:highlight w:val="none"/>
        </w:rPr>
        <w:t>地</w:t>
      </w:r>
      <w:r>
        <w:rPr>
          <w:rFonts w:hint="eastAsia"/>
          <w:highlight w:val="none"/>
          <w:lang w:val="en-US" w:eastAsia="zh-CN"/>
        </w:rPr>
        <w:t xml:space="preserve">    </w:t>
      </w:r>
      <w:r>
        <w:rPr>
          <w:spacing w:val="-1"/>
          <w:highlight w:val="none"/>
        </w:rPr>
        <w:t>址</w:t>
      </w:r>
      <w:r>
        <w:rPr>
          <w:highlight w:val="none"/>
        </w:rPr>
        <w:t>：</w:t>
      </w:r>
      <w:r>
        <w:rPr>
          <w:rFonts w:ascii="Times New Roman" w:eastAsia="Times New Roman"/>
          <w:highlight w:val="none"/>
          <w:u w:val="single"/>
        </w:rPr>
        <w:t xml:space="preserve"> </w:t>
      </w:r>
      <w:r>
        <w:rPr>
          <w:rFonts w:ascii="Times New Roman" w:eastAsia="Times New Roman"/>
          <w:highlight w:val="none"/>
          <w:u w:val="single"/>
        </w:rPr>
        <w:tab/>
      </w:r>
      <w:r>
        <w:rPr>
          <w:rFonts w:hint="eastAsia" w:ascii="Times New Roman"/>
          <w:highlight w:val="none"/>
          <w:u w:val="single"/>
          <w:lang w:val="en-US" w:eastAsia="zh-CN"/>
        </w:rPr>
        <w:t xml:space="preserve">                                                                   </w:t>
      </w:r>
    </w:p>
    <w:p>
      <w:pPr>
        <w:pStyle w:val="9"/>
        <w:keepNext w:val="0"/>
        <w:keepLines w:val="0"/>
        <w:pageBreakBefore w:val="0"/>
        <w:widowControl w:val="0"/>
        <w:tabs>
          <w:tab w:val="left" w:pos="3004"/>
          <w:tab w:val="left" w:pos="3964"/>
          <w:tab w:val="left" w:pos="4924"/>
        </w:tabs>
        <w:kinsoku/>
        <w:wordWrap/>
        <w:overflowPunct/>
        <w:topLinePunct w:val="0"/>
        <w:autoSpaceDE w:val="0"/>
        <w:autoSpaceDN w:val="0"/>
        <w:bidi w:val="0"/>
        <w:adjustRightInd/>
        <w:snapToGrid/>
        <w:spacing w:before="0" w:after="0" w:line="480" w:lineRule="auto"/>
        <w:ind w:left="0" w:right="0"/>
        <w:jc w:val="both"/>
        <w:textAlignment w:val="auto"/>
        <w:rPr>
          <w:sz w:val="19"/>
          <w:highlight w:val="none"/>
        </w:rPr>
      </w:pPr>
      <w:r>
        <w:rPr>
          <w:highlight w:val="none"/>
        </w:rPr>
        <w:t>成立时间：</w:t>
      </w:r>
      <w:r>
        <w:rPr>
          <w:highlight w:val="none"/>
          <w:u w:val="single"/>
        </w:rPr>
        <w:t xml:space="preserve"> </w:t>
      </w:r>
      <w:r>
        <w:rPr>
          <w:rFonts w:hint="eastAsia"/>
          <w:highlight w:val="none"/>
          <w:u w:val="single"/>
          <w:lang w:val="en-US" w:eastAsia="zh-CN"/>
        </w:rPr>
        <w:t xml:space="preserve">    </w:t>
      </w:r>
      <w:r>
        <w:rPr>
          <w:highlight w:val="none"/>
          <w:u w:val="single"/>
        </w:rPr>
        <w:t>年</w:t>
      </w:r>
      <w:r>
        <w:rPr>
          <w:rFonts w:hint="eastAsia"/>
          <w:highlight w:val="none"/>
          <w:u w:val="single"/>
          <w:lang w:val="en-US" w:eastAsia="zh-CN"/>
        </w:rPr>
        <w:t xml:space="preserve">      </w:t>
      </w:r>
      <w:r>
        <w:rPr>
          <w:highlight w:val="none"/>
          <w:u w:val="single"/>
        </w:rPr>
        <w:t>月</w:t>
      </w:r>
      <w:r>
        <w:rPr>
          <w:highlight w:val="none"/>
          <w:u w:val="single"/>
        </w:rPr>
        <w:tab/>
      </w:r>
      <w:r>
        <w:rPr>
          <w:rFonts w:hint="eastAsia"/>
          <w:highlight w:val="none"/>
          <w:u w:val="single"/>
          <w:lang w:val="en-US" w:eastAsia="zh-CN"/>
        </w:rPr>
        <w:t xml:space="preserve">       </w:t>
      </w:r>
      <w:r>
        <w:rPr>
          <w:highlight w:val="none"/>
          <w:u w:val="single"/>
        </w:rPr>
        <w:t>日</w:t>
      </w:r>
    </w:p>
    <w:p>
      <w:pPr>
        <w:pStyle w:val="9"/>
        <w:keepNext w:val="0"/>
        <w:keepLines w:val="0"/>
        <w:pageBreakBefore w:val="0"/>
        <w:widowControl w:val="0"/>
        <w:tabs>
          <w:tab w:val="left" w:pos="8096"/>
        </w:tabs>
        <w:kinsoku/>
        <w:wordWrap/>
        <w:overflowPunct/>
        <w:topLinePunct w:val="0"/>
        <w:autoSpaceDE w:val="0"/>
        <w:autoSpaceDN w:val="0"/>
        <w:bidi w:val="0"/>
        <w:adjustRightInd/>
        <w:snapToGrid/>
        <w:spacing w:before="0" w:after="0" w:line="480" w:lineRule="auto"/>
        <w:ind w:left="0" w:right="0"/>
        <w:jc w:val="both"/>
        <w:textAlignment w:val="auto"/>
        <w:rPr>
          <w:rFonts w:ascii="Times New Roman"/>
          <w:sz w:val="21"/>
          <w:highlight w:val="none"/>
        </w:rPr>
      </w:pPr>
      <w:r>
        <w:rPr>
          <w:spacing w:val="-1"/>
          <w:highlight w:val="none"/>
        </w:rPr>
        <w:t>经</w:t>
      </w:r>
      <w:r>
        <w:rPr>
          <w:highlight w:val="none"/>
        </w:rPr>
        <w:t>营期限：</w:t>
      </w:r>
      <w:r>
        <w:rPr>
          <w:rFonts w:ascii="Times New Roman" w:eastAsia="Times New Roman"/>
          <w:highlight w:val="none"/>
          <w:u w:val="single"/>
        </w:rPr>
        <w:t xml:space="preserve"> </w:t>
      </w:r>
      <w:r>
        <w:rPr>
          <w:rFonts w:hint="eastAsia" w:ascii="Times New Roman"/>
          <w:highlight w:val="none"/>
          <w:u w:val="single"/>
          <w:lang w:val="en-US" w:eastAsia="zh-CN"/>
        </w:rPr>
        <w:t xml:space="preserve">                                                             </w:t>
      </w:r>
    </w:p>
    <w:p>
      <w:pPr>
        <w:pStyle w:val="9"/>
        <w:keepNext w:val="0"/>
        <w:keepLines w:val="0"/>
        <w:pageBreakBefore w:val="0"/>
        <w:widowControl w:val="0"/>
        <w:tabs>
          <w:tab w:val="left" w:pos="1804"/>
          <w:tab w:val="left" w:pos="4083"/>
          <w:tab w:val="left" w:pos="5883"/>
          <w:tab w:val="left" w:pos="7084"/>
          <w:tab w:val="left" w:pos="8156"/>
        </w:tabs>
        <w:kinsoku/>
        <w:wordWrap/>
        <w:overflowPunct/>
        <w:topLinePunct w:val="0"/>
        <w:autoSpaceDE w:val="0"/>
        <w:autoSpaceDN w:val="0"/>
        <w:bidi w:val="0"/>
        <w:adjustRightInd/>
        <w:snapToGrid/>
        <w:spacing w:before="0" w:after="0" w:line="480" w:lineRule="auto"/>
        <w:ind w:left="0" w:right="0"/>
        <w:jc w:val="both"/>
        <w:textAlignment w:val="auto"/>
        <w:rPr>
          <w:rFonts w:ascii="Times New Roman"/>
          <w:sz w:val="21"/>
          <w:highlight w:val="none"/>
        </w:rPr>
      </w:pPr>
      <w:r>
        <w:rPr>
          <w:highlight w:val="none"/>
        </w:rPr>
        <w:t>姓</w:t>
      </w:r>
      <w:r>
        <w:rPr>
          <w:rFonts w:hint="eastAsia"/>
          <w:highlight w:val="none"/>
          <w:lang w:val="en-US" w:eastAsia="zh-CN"/>
        </w:rPr>
        <w:t xml:space="preserve">    </w:t>
      </w:r>
      <w:r>
        <w:rPr>
          <w:highlight w:val="none"/>
        </w:rPr>
        <w:t>名：</w:t>
      </w:r>
      <w:r>
        <w:rPr>
          <w:spacing w:val="118"/>
          <w:highlight w:val="none"/>
          <w:u w:val="single"/>
        </w:rPr>
        <w:t xml:space="preserve"> </w:t>
      </w:r>
      <w:r>
        <w:rPr>
          <w:highlight w:val="none"/>
          <w:u w:val="single"/>
        </w:rPr>
        <w:t>（签字）</w:t>
      </w:r>
      <w:r>
        <w:rPr>
          <w:rFonts w:hint="eastAsia"/>
          <w:highlight w:val="none"/>
          <w:u w:val="single"/>
          <w:lang w:val="en-US" w:eastAsia="zh-CN"/>
        </w:rPr>
        <w:t xml:space="preserve">        </w:t>
      </w:r>
      <w:r>
        <w:rPr>
          <w:highlight w:val="none"/>
        </w:rPr>
        <w:t>性别</w:t>
      </w:r>
      <w:r>
        <w:rPr>
          <w:highlight w:val="none"/>
          <w:u w:val="single"/>
        </w:rPr>
        <w:t>：</w:t>
      </w:r>
      <w:r>
        <w:rPr>
          <w:rFonts w:hint="eastAsia"/>
          <w:highlight w:val="none"/>
          <w:u w:val="single"/>
          <w:lang w:val="en-US" w:eastAsia="zh-CN"/>
        </w:rPr>
        <w:t xml:space="preserve">       </w:t>
      </w:r>
      <w:r>
        <w:rPr>
          <w:highlight w:val="none"/>
        </w:rPr>
        <w:t>年龄：</w:t>
      </w:r>
      <w:r>
        <w:rPr>
          <w:highlight w:val="none"/>
          <w:u w:val="single"/>
        </w:rPr>
        <w:t xml:space="preserve"> </w:t>
      </w:r>
      <w:r>
        <w:rPr>
          <w:rFonts w:hint="eastAsia"/>
          <w:highlight w:val="none"/>
          <w:u w:val="single"/>
          <w:lang w:val="en-US" w:eastAsia="zh-CN"/>
        </w:rPr>
        <w:t xml:space="preserve">      </w:t>
      </w:r>
      <w:r>
        <w:rPr>
          <w:spacing w:val="-1"/>
          <w:highlight w:val="none"/>
        </w:rPr>
        <w:t>职</w:t>
      </w:r>
      <w:r>
        <w:rPr>
          <w:highlight w:val="none"/>
        </w:rPr>
        <w:t>务：</w:t>
      </w:r>
      <w:r>
        <w:rPr>
          <w:rFonts w:ascii="Times New Roman" w:eastAsia="Times New Roman"/>
          <w:highlight w:val="none"/>
          <w:u w:val="single"/>
        </w:rPr>
        <w:t xml:space="preserve"> </w:t>
      </w:r>
      <w:r>
        <w:rPr>
          <w:rFonts w:hint="eastAsia" w:ascii="Times New Roman"/>
          <w:highlight w:val="none"/>
          <w:u w:val="single"/>
          <w:lang w:val="en-US" w:eastAsia="zh-CN"/>
        </w:rPr>
        <w:t xml:space="preserve">        </w:t>
      </w:r>
    </w:p>
    <w:p>
      <w:pPr>
        <w:pStyle w:val="9"/>
        <w:keepNext w:val="0"/>
        <w:keepLines w:val="0"/>
        <w:pageBreakBefore w:val="0"/>
        <w:widowControl w:val="0"/>
        <w:tabs>
          <w:tab w:val="left" w:pos="537"/>
          <w:tab w:val="left" w:pos="1977"/>
          <w:tab w:val="left" w:pos="5696"/>
        </w:tabs>
        <w:kinsoku/>
        <w:wordWrap/>
        <w:overflowPunct/>
        <w:topLinePunct w:val="0"/>
        <w:autoSpaceDE w:val="0"/>
        <w:autoSpaceDN w:val="0"/>
        <w:bidi w:val="0"/>
        <w:adjustRightInd/>
        <w:snapToGrid/>
        <w:spacing w:before="0" w:after="0" w:line="480" w:lineRule="auto"/>
        <w:ind w:left="0" w:right="0"/>
        <w:jc w:val="both"/>
        <w:textAlignment w:val="auto"/>
        <w:rPr>
          <w:highlight w:val="none"/>
        </w:rPr>
      </w:pPr>
      <w:r>
        <w:rPr>
          <w:rFonts w:ascii="Times New Roman" w:eastAsia="Times New Roman"/>
          <w:highlight w:val="none"/>
          <w:u w:val="single"/>
        </w:rPr>
        <w:t xml:space="preserve"> </w:t>
      </w:r>
      <w:r>
        <w:rPr>
          <w:rFonts w:ascii="Times New Roman" w:eastAsia="Times New Roman"/>
          <w:highlight w:val="none"/>
          <w:u w:val="single"/>
        </w:rPr>
        <w:tab/>
      </w:r>
      <w:r>
        <w:rPr>
          <w:rFonts w:hint="eastAsia" w:ascii="Times New Roman"/>
          <w:highlight w:val="none"/>
          <w:u w:val="single"/>
          <w:lang w:val="en-US" w:eastAsia="zh-CN"/>
        </w:rPr>
        <w:t xml:space="preserve"> </w:t>
      </w:r>
      <w:r>
        <w:rPr>
          <w:highlight w:val="none"/>
        </w:rPr>
        <w:t>系</w:t>
      </w:r>
      <w:r>
        <w:rPr>
          <w:highlight w:val="none"/>
          <w:u w:val="single"/>
        </w:rPr>
        <w:t xml:space="preserve"> </w:t>
      </w:r>
      <w:r>
        <w:rPr>
          <w:rFonts w:hint="eastAsia"/>
          <w:highlight w:val="none"/>
          <w:u w:val="single"/>
          <w:lang w:val="en-US" w:eastAsia="zh-CN"/>
        </w:rPr>
        <w:t xml:space="preserve"> </w:t>
      </w:r>
      <w:r>
        <w:rPr>
          <w:highlight w:val="none"/>
          <w:u w:val="single"/>
        </w:rPr>
        <w:t>（供应商名称）</w:t>
      </w:r>
      <w:r>
        <w:rPr>
          <w:rFonts w:hint="eastAsia"/>
          <w:highlight w:val="none"/>
          <w:u w:val="single"/>
          <w:lang w:val="en-US" w:eastAsia="zh-CN"/>
        </w:rPr>
        <w:t xml:space="preserve">       </w:t>
      </w:r>
      <w:r>
        <w:rPr>
          <w:highlight w:val="none"/>
        </w:rPr>
        <w:t>的法定代表人。</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6"/>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6"/>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特此证明。</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附： 法定代表人身份证复印件</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17"/>
          <w:highlight w:val="none"/>
        </w:rPr>
      </w:pPr>
    </w:p>
    <w:p>
      <w:pPr>
        <w:pStyle w:val="9"/>
        <w:keepNext w:val="0"/>
        <w:keepLines w:val="0"/>
        <w:pageBreakBefore w:val="0"/>
        <w:widowControl w:val="0"/>
        <w:tabs>
          <w:tab w:val="left" w:pos="5397"/>
        </w:tabs>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供应商：</w:t>
      </w:r>
      <w:r>
        <w:rPr>
          <w:highlight w:val="none"/>
          <w:u w:val="single"/>
        </w:rPr>
        <w:t xml:space="preserve"> </w:t>
      </w:r>
      <w:r>
        <w:rPr>
          <w:rFonts w:hint="eastAsia"/>
          <w:highlight w:val="none"/>
          <w:u w:val="single"/>
          <w:lang w:val="en-US" w:eastAsia="zh-CN"/>
        </w:rPr>
        <w:t xml:space="preserve">       </w:t>
      </w:r>
      <w:r>
        <w:rPr>
          <w:highlight w:val="none"/>
          <w:u w:val="single"/>
        </w:rPr>
        <w:t>（盖章）</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5"/>
          <w:highlight w:val="none"/>
        </w:rPr>
      </w:pPr>
    </w:p>
    <w:p>
      <w:pPr>
        <w:pStyle w:val="9"/>
        <w:keepNext w:val="0"/>
        <w:keepLines w:val="0"/>
        <w:pageBreakBefore w:val="0"/>
        <w:widowControl w:val="0"/>
        <w:tabs>
          <w:tab w:val="left" w:pos="4437"/>
          <w:tab w:val="left" w:pos="5637"/>
          <w:tab w:val="left" w:pos="6477"/>
          <w:tab w:val="left" w:pos="7317"/>
        </w:tabs>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日</w:t>
      </w:r>
      <w:r>
        <w:rPr>
          <w:rFonts w:hint="eastAsia"/>
          <w:highlight w:val="none"/>
          <w:lang w:val="en-US" w:eastAsia="zh-CN"/>
        </w:rPr>
        <w:t xml:space="preserve">  </w:t>
      </w:r>
      <w:r>
        <w:rPr>
          <w:highlight w:val="none"/>
        </w:rPr>
        <w:t>期：</w:t>
      </w:r>
      <w:r>
        <w:rPr>
          <w:rFonts w:hint="eastAsia"/>
          <w:highlight w:val="none"/>
          <w:lang w:val="en-US" w:eastAsia="zh-CN"/>
        </w:rPr>
        <w:t xml:space="preserve">   </w:t>
      </w:r>
      <w:r>
        <w:rPr>
          <w:highlight w:val="none"/>
        </w:rPr>
        <w:t>年</w:t>
      </w:r>
      <w:r>
        <w:rPr>
          <w:rFonts w:hint="eastAsia"/>
          <w:highlight w:val="none"/>
          <w:lang w:val="en-US" w:eastAsia="zh-CN"/>
        </w:rPr>
        <w:t xml:space="preserve">   </w:t>
      </w:r>
      <w:r>
        <w:rPr>
          <w:highlight w:val="none"/>
        </w:rPr>
        <w:t>月</w:t>
      </w:r>
      <w:r>
        <w:rPr>
          <w:rFonts w:hint="eastAsia"/>
          <w:highlight w:val="none"/>
          <w:lang w:val="en-US" w:eastAsia="zh-CN"/>
        </w:rPr>
        <w:t xml:space="preserve">   </w:t>
      </w:r>
      <w:r>
        <w:rPr>
          <w:highlight w:val="none"/>
        </w:rPr>
        <w:t>日</w:t>
      </w: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sectPr>
          <w:pgSz w:w="11910" w:h="16840"/>
          <w:pgMar w:top="1580" w:right="1680" w:bottom="880" w:left="1680" w:header="0" w:footer="686" w:gutter="0"/>
          <w:pgBorders>
            <w:top w:val="none" w:sz="0" w:space="0"/>
            <w:left w:val="none" w:sz="0" w:space="0"/>
            <w:bottom w:val="none" w:sz="0" w:space="0"/>
            <w:right w:val="none" w:sz="0" w:space="0"/>
          </w:pgBorders>
          <w:pgNumType w:fmt="decimal"/>
        </w:sectPr>
      </w:pP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宋体" w:hAnsi="宋体" w:eastAsia="宋体" w:cs="宋体"/>
          <w:b/>
          <w:bCs/>
          <w:sz w:val="32"/>
          <w:szCs w:val="32"/>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宋体" w:hAnsi="宋体" w:eastAsia="宋体" w:cs="宋体"/>
          <w:b/>
          <w:bCs/>
          <w:sz w:val="32"/>
          <w:szCs w:val="32"/>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宋体" w:hAnsi="宋体" w:eastAsia="宋体" w:cs="宋体"/>
          <w:b/>
          <w:bCs/>
          <w:sz w:val="32"/>
          <w:szCs w:val="32"/>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宋体" w:hAnsi="宋体" w:eastAsia="宋体" w:cs="宋体"/>
          <w:b/>
          <w:bCs/>
          <w:sz w:val="32"/>
          <w:szCs w:val="32"/>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宋体" w:hAnsi="宋体" w:eastAsia="宋体" w:cs="宋体"/>
          <w:b/>
          <w:bCs/>
          <w:sz w:val="32"/>
          <w:szCs w:val="32"/>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宋体" w:hAnsi="宋体" w:eastAsia="宋体" w:cs="宋体"/>
          <w:b/>
          <w:bCs/>
          <w:sz w:val="32"/>
          <w:szCs w:val="32"/>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宋体" w:hAnsi="宋体" w:eastAsia="宋体" w:cs="宋体"/>
          <w:b/>
          <w:bCs/>
          <w:sz w:val="32"/>
          <w:szCs w:val="32"/>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宋体" w:hAnsi="宋体" w:eastAsia="宋体" w:cs="宋体"/>
          <w:b/>
          <w:bCs/>
          <w:sz w:val="32"/>
          <w:szCs w:val="32"/>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宋体" w:hAnsi="宋体" w:eastAsia="宋体" w:cs="宋体"/>
          <w:b/>
          <w:bCs/>
          <w:sz w:val="32"/>
          <w:szCs w:val="32"/>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宋体" w:hAnsi="宋体" w:eastAsia="宋体" w:cs="宋体"/>
          <w:b/>
          <w:bCs/>
          <w:sz w:val="32"/>
          <w:szCs w:val="32"/>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宋体" w:hAnsi="宋体" w:eastAsia="宋体" w:cs="宋体"/>
          <w:b/>
          <w:bCs/>
          <w:sz w:val="32"/>
          <w:szCs w:val="32"/>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宋体" w:hAnsi="宋体" w:eastAsia="宋体" w:cs="宋体"/>
          <w:b/>
          <w:bCs/>
          <w:sz w:val="32"/>
          <w:szCs w:val="32"/>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宋体" w:hAnsi="宋体" w:eastAsia="宋体" w:cs="宋体"/>
          <w:b/>
          <w:bCs/>
          <w:sz w:val="32"/>
          <w:szCs w:val="32"/>
          <w:highlight w:val="none"/>
          <w:lang w:val="en-US" w:eastAsia="en-US" w:bidi="ar-SA"/>
        </w:rPr>
      </w:pPr>
      <w:r>
        <w:rPr>
          <w:rFonts w:ascii="宋体" w:hAnsi="宋体" w:eastAsia="宋体" w:cs="宋体"/>
          <w:b/>
          <w:bCs/>
          <w:sz w:val="32"/>
          <w:szCs w:val="32"/>
          <w:highlight w:val="none"/>
          <w:lang w:val="en-US" w:eastAsia="en-US" w:bidi="ar-SA"/>
        </w:rPr>
        <w:t>法定代表人授权书（格式）</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致：</w:t>
      </w:r>
      <w:r>
        <w:rPr>
          <w:rFonts w:hint="eastAsia"/>
          <w:highlight w:val="none"/>
          <w:u w:val="single"/>
          <w:lang w:val="en-US" w:eastAsia="zh-CN"/>
        </w:rPr>
        <w:t xml:space="preserve">         </w:t>
      </w:r>
      <w:r>
        <w:rPr>
          <w:highlight w:val="none"/>
        </w:rPr>
        <w:t>（招标人）</w:t>
      </w:r>
    </w:p>
    <w:p>
      <w:pPr>
        <w:pStyle w:val="9"/>
        <w:keepNext w:val="0"/>
        <w:keepLines w:val="0"/>
        <w:pageBreakBefore w:val="0"/>
        <w:widowControl w:val="0"/>
        <w:tabs>
          <w:tab w:val="left" w:pos="4797"/>
          <w:tab w:val="left" w:pos="8427"/>
        </w:tabs>
        <w:kinsoku/>
        <w:wordWrap/>
        <w:overflowPunct/>
        <w:topLinePunct w:val="0"/>
        <w:autoSpaceDE w:val="0"/>
        <w:autoSpaceDN w:val="0"/>
        <w:bidi w:val="0"/>
        <w:adjustRightInd/>
        <w:snapToGrid/>
        <w:spacing w:before="0" w:after="0" w:line="336" w:lineRule="auto"/>
        <w:ind w:left="0" w:right="0" w:firstLine="600"/>
        <w:jc w:val="both"/>
        <w:textAlignment w:val="auto"/>
        <w:rPr>
          <w:highlight w:val="none"/>
        </w:rPr>
      </w:pPr>
    </w:p>
    <w:p>
      <w:pPr>
        <w:pStyle w:val="9"/>
        <w:keepNext w:val="0"/>
        <w:keepLines w:val="0"/>
        <w:pageBreakBefore w:val="0"/>
        <w:widowControl w:val="0"/>
        <w:tabs>
          <w:tab w:val="left" w:pos="4797"/>
          <w:tab w:val="left" w:pos="8427"/>
        </w:tabs>
        <w:kinsoku/>
        <w:wordWrap/>
        <w:overflowPunct/>
        <w:topLinePunct w:val="0"/>
        <w:autoSpaceDE w:val="0"/>
        <w:autoSpaceDN w:val="0"/>
        <w:bidi w:val="0"/>
        <w:adjustRightInd/>
        <w:snapToGrid/>
        <w:spacing w:before="0" w:after="0" w:line="480" w:lineRule="exact"/>
        <w:ind w:left="0" w:right="0" w:firstLine="600"/>
        <w:jc w:val="both"/>
        <w:textAlignment w:val="auto"/>
        <w:rPr>
          <w:highlight w:val="none"/>
        </w:rPr>
      </w:pPr>
      <w:r>
        <w:rPr>
          <w:highlight w:val="none"/>
        </w:rPr>
        <w:t>我</w:t>
      </w:r>
      <w:r>
        <w:rPr>
          <w:spacing w:val="118"/>
          <w:highlight w:val="none"/>
          <w:u w:val="single"/>
        </w:rPr>
        <w:t xml:space="preserve"> </w:t>
      </w:r>
      <w:r>
        <w:rPr>
          <w:highlight w:val="none"/>
          <w:u w:val="single"/>
        </w:rPr>
        <w:t>（姓名）</w:t>
      </w:r>
      <w:r>
        <w:rPr>
          <w:highlight w:val="none"/>
        </w:rPr>
        <w:t>系</w:t>
      </w:r>
      <w:r>
        <w:rPr>
          <w:rFonts w:hint="eastAsia"/>
          <w:highlight w:val="none"/>
          <w:u w:val="single"/>
          <w:lang w:val="en-US" w:eastAsia="zh-CN"/>
        </w:rPr>
        <w:t xml:space="preserve">   </w:t>
      </w:r>
      <w:r>
        <w:rPr>
          <w:highlight w:val="none"/>
          <w:u w:val="single"/>
        </w:rPr>
        <w:t>（投标单位全称）</w:t>
      </w:r>
      <w:r>
        <w:rPr>
          <w:highlight w:val="none"/>
        </w:rPr>
        <w:t>法定代表人，兹委派我单位职工</w:t>
      </w:r>
      <w:r>
        <w:rPr>
          <w:rFonts w:hint="eastAsia"/>
          <w:highlight w:val="none"/>
          <w:u w:val="single"/>
          <w:lang w:val="en-US" w:eastAsia="zh-CN"/>
        </w:rPr>
        <w:t xml:space="preserve">  </w:t>
      </w:r>
      <w:r>
        <w:rPr>
          <w:highlight w:val="none"/>
          <w:u w:val="single"/>
        </w:rPr>
        <w:t>(全权代表姓名)</w:t>
      </w:r>
      <w:r>
        <w:rPr>
          <w:highlight w:val="none"/>
        </w:rPr>
        <w:t>参加贵方组织的</w:t>
      </w:r>
      <w:r>
        <w:rPr>
          <w:highlight w:val="none"/>
          <w:u w:val="single"/>
        </w:rPr>
        <w:t xml:space="preserve"> </w:t>
      </w:r>
      <w:r>
        <w:rPr>
          <w:rFonts w:hint="eastAsia"/>
          <w:highlight w:val="none"/>
          <w:u w:val="single"/>
          <w:lang w:val="en-US" w:eastAsia="zh-CN"/>
        </w:rPr>
        <w:t xml:space="preserve">   （项目名称 ）   </w:t>
      </w:r>
      <w:r>
        <w:rPr>
          <w:highlight w:val="none"/>
        </w:rPr>
        <w:t>竞争性磋商项</w:t>
      </w:r>
      <w:r>
        <w:rPr>
          <w:spacing w:val="-46"/>
          <w:highlight w:val="none"/>
        </w:rPr>
        <w:t>目</w:t>
      </w:r>
      <w:r>
        <w:rPr>
          <w:highlight w:val="none"/>
        </w:rPr>
        <w:t>（编号：</w:t>
      </w:r>
      <w:r>
        <w:rPr>
          <w:rFonts w:ascii="Times New Roman" w:eastAsia="Times New Roman"/>
          <w:highlight w:val="none"/>
          <w:u w:val="single"/>
        </w:rPr>
        <w:t xml:space="preserve">  </w:t>
      </w:r>
      <w:r>
        <w:rPr>
          <w:rFonts w:hint="eastAsia" w:ascii="Times New Roman"/>
          <w:highlight w:val="none"/>
          <w:u w:val="single"/>
          <w:lang w:val="en-US" w:eastAsia="zh-CN"/>
        </w:rPr>
        <w:t xml:space="preserve">    </w:t>
      </w:r>
      <w:r>
        <w:rPr>
          <w:highlight w:val="none"/>
        </w:rPr>
        <w:t>）活动，全权代表我单位处理本次报价中的有关事务。本授权书于签字盖章后生效，特此声明。</w:t>
      </w:r>
    </w:p>
    <w:p>
      <w:pPr>
        <w:pStyle w:val="9"/>
        <w:keepNext w:val="0"/>
        <w:keepLines w:val="0"/>
        <w:pageBreakBefore w:val="0"/>
        <w:widowControl w:val="0"/>
        <w:kinsoku/>
        <w:wordWrap/>
        <w:overflowPunct/>
        <w:topLinePunct w:val="0"/>
        <w:autoSpaceDE w:val="0"/>
        <w:autoSpaceDN w:val="0"/>
        <w:bidi w:val="0"/>
        <w:adjustRightInd/>
        <w:snapToGrid/>
        <w:spacing w:before="0" w:after="0" w:line="480" w:lineRule="exact"/>
        <w:ind w:left="0" w:right="0"/>
        <w:jc w:val="both"/>
        <w:textAlignment w:val="auto"/>
        <w:rPr>
          <w:highlight w:val="none"/>
        </w:rPr>
      </w:pPr>
      <w:r>
        <w:rPr>
          <w:highlight w:val="none"/>
        </w:rPr>
        <w:t>（授权人无转委权）。附全权代表情况：</w:t>
      </w:r>
    </w:p>
    <w:p>
      <w:pPr>
        <w:pStyle w:val="9"/>
        <w:keepNext w:val="0"/>
        <w:keepLines w:val="0"/>
        <w:pageBreakBefore w:val="0"/>
        <w:widowControl w:val="0"/>
        <w:tabs>
          <w:tab w:val="left" w:pos="2576"/>
          <w:tab w:val="left" w:pos="3896"/>
          <w:tab w:val="left" w:pos="4136"/>
          <w:tab w:val="left" w:pos="4256"/>
          <w:tab w:val="left" w:pos="7616"/>
          <w:tab w:val="left" w:pos="7736"/>
        </w:tabs>
        <w:kinsoku/>
        <w:wordWrap/>
        <w:overflowPunct/>
        <w:topLinePunct w:val="0"/>
        <w:autoSpaceDE w:val="0"/>
        <w:autoSpaceDN w:val="0"/>
        <w:bidi w:val="0"/>
        <w:adjustRightInd/>
        <w:snapToGrid/>
        <w:spacing w:before="0" w:after="0" w:line="336" w:lineRule="auto"/>
        <w:ind w:left="0" w:right="0"/>
        <w:jc w:val="both"/>
        <w:textAlignment w:val="auto"/>
        <w:rPr>
          <w:rFonts w:hint="default" w:ascii="Times New Roman" w:eastAsia="宋体"/>
          <w:highlight w:val="none"/>
          <w:u w:val="single"/>
          <w:lang w:val="en-US" w:eastAsia="zh-CN"/>
        </w:rPr>
      </w:pPr>
      <w:r>
        <w:rPr>
          <w:highlight w:val="none"/>
        </w:rPr>
        <w:t>姓名：</w:t>
      </w:r>
      <w:r>
        <w:rPr>
          <w:rFonts w:hint="eastAsia"/>
          <w:highlight w:val="none"/>
          <w:u w:val="single"/>
          <w:lang w:val="en-US" w:eastAsia="zh-CN"/>
        </w:rPr>
        <w:t xml:space="preserve">                   </w:t>
      </w:r>
      <w:r>
        <w:rPr>
          <w:highlight w:val="none"/>
        </w:rPr>
        <w:t>性别：</w:t>
      </w:r>
      <w:r>
        <w:rPr>
          <w:rFonts w:hint="eastAsia"/>
          <w:highlight w:val="none"/>
          <w:u w:val="single"/>
          <w:lang w:val="en-US" w:eastAsia="zh-CN"/>
        </w:rPr>
        <w:t xml:space="preserve">        </w:t>
      </w:r>
      <w:r>
        <w:rPr>
          <w:highlight w:val="none"/>
        </w:rPr>
        <w:t>身份证号码:</w:t>
      </w:r>
      <w:r>
        <w:rPr>
          <w:spacing w:val="-1"/>
          <w:highlight w:val="none"/>
        </w:rPr>
        <w:t xml:space="preserve"> </w:t>
      </w:r>
      <w:r>
        <w:rPr>
          <w:rFonts w:ascii="Times New Roman" w:eastAsia="Times New Roman"/>
          <w:highlight w:val="none"/>
          <w:u w:val="single"/>
        </w:rPr>
        <w:t xml:space="preserve"> </w:t>
      </w:r>
      <w:r>
        <w:rPr>
          <w:rFonts w:hint="eastAsia" w:ascii="Times New Roman"/>
          <w:highlight w:val="none"/>
          <w:u w:val="single"/>
          <w:lang w:val="en-US" w:eastAsia="zh-CN"/>
        </w:rPr>
        <w:t xml:space="preserve">                                       </w:t>
      </w:r>
    </w:p>
    <w:p>
      <w:pPr>
        <w:pStyle w:val="9"/>
        <w:keepNext w:val="0"/>
        <w:keepLines w:val="0"/>
        <w:pageBreakBefore w:val="0"/>
        <w:widowControl w:val="0"/>
        <w:tabs>
          <w:tab w:val="left" w:pos="2576"/>
          <w:tab w:val="left" w:pos="3896"/>
          <w:tab w:val="left" w:pos="4136"/>
          <w:tab w:val="left" w:pos="4256"/>
          <w:tab w:val="left" w:pos="7616"/>
          <w:tab w:val="left" w:pos="7736"/>
        </w:tabs>
        <w:kinsoku/>
        <w:wordWrap/>
        <w:overflowPunct/>
        <w:topLinePunct w:val="0"/>
        <w:autoSpaceDE w:val="0"/>
        <w:autoSpaceDN w:val="0"/>
        <w:bidi w:val="0"/>
        <w:adjustRightInd/>
        <w:snapToGrid/>
        <w:spacing w:before="0" w:after="0" w:line="336" w:lineRule="auto"/>
        <w:ind w:left="0" w:right="0"/>
        <w:jc w:val="both"/>
        <w:textAlignment w:val="auto"/>
        <w:rPr>
          <w:rFonts w:hint="default" w:ascii="Times New Roman" w:eastAsia="宋体"/>
          <w:highlight w:val="none"/>
          <w:u w:val="single"/>
          <w:lang w:val="en-US" w:eastAsia="zh-CN"/>
        </w:rPr>
      </w:pPr>
      <w:r>
        <w:rPr>
          <w:highlight w:val="none"/>
        </w:rPr>
        <w:t>部门：</w:t>
      </w:r>
      <w:r>
        <w:rPr>
          <w:rFonts w:hint="eastAsia"/>
          <w:highlight w:val="none"/>
          <w:u w:val="single"/>
          <w:lang w:val="en-US" w:eastAsia="zh-CN"/>
        </w:rPr>
        <w:t xml:space="preserve">                   </w:t>
      </w:r>
      <w:r>
        <w:rPr>
          <w:highlight w:val="none"/>
        </w:rPr>
        <w:t>职务:</w:t>
      </w:r>
      <w:r>
        <w:rPr>
          <w:rFonts w:ascii="Times New Roman" w:eastAsia="Times New Roman"/>
          <w:highlight w:val="none"/>
          <w:u w:val="single"/>
        </w:rPr>
        <w:t xml:space="preserve"> </w:t>
      </w:r>
      <w:r>
        <w:rPr>
          <w:rFonts w:hint="eastAsia" w:ascii="Times New Roman"/>
          <w:highlight w:val="none"/>
          <w:u w:val="single"/>
          <w:lang w:val="en-US" w:eastAsia="zh-CN"/>
        </w:rPr>
        <w:t xml:space="preserve">                                                                                </w:t>
      </w:r>
    </w:p>
    <w:p>
      <w:pPr>
        <w:pStyle w:val="9"/>
        <w:keepNext w:val="0"/>
        <w:keepLines w:val="0"/>
        <w:pageBreakBefore w:val="0"/>
        <w:widowControl w:val="0"/>
        <w:tabs>
          <w:tab w:val="left" w:pos="2576"/>
          <w:tab w:val="left" w:pos="3896"/>
          <w:tab w:val="left" w:pos="4136"/>
          <w:tab w:val="left" w:pos="4256"/>
          <w:tab w:val="left" w:pos="7616"/>
          <w:tab w:val="left" w:pos="7736"/>
        </w:tabs>
        <w:kinsoku/>
        <w:wordWrap/>
        <w:overflowPunct/>
        <w:topLinePunct w:val="0"/>
        <w:autoSpaceDE w:val="0"/>
        <w:autoSpaceDN w:val="0"/>
        <w:bidi w:val="0"/>
        <w:adjustRightInd/>
        <w:snapToGrid/>
        <w:spacing w:before="0" w:after="0" w:line="336" w:lineRule="auto"/>
        <w:ind w:left="0" w:right="0"/>
        <w:jc w:val="both"/>
        <w:textAlignment w:val="auto"/>
        <w:rPr>
          <w:rFonts w:ascii="Times New Roman" w:eastAsia="Times New Roman"/>
          <w:highlight w:val="none"/>
          <w:u w:val="single"/>
        </w:rPr>
      </w:pPr>
      <w:r>
        <w:rPr>
          <w:highlight w:val="none"/>
        </w:rPr>
        <w:t>通讯地址：</w:t>
      </w:r>
      <w:r>
        <w:rPr>
          <w:rFonts w:hint="eastAsia"/>
          <w:highlight w:val="none"/>
          <w:u w:val="single"/>
          <w:lang w:val="en-US" w:eastAsia="zh-CN"/>
        </w:rPr>
        <w:t xml:space="preserve">                   </w:t>
      </w:r>
      <w:r>
        <w:rPr>
          <w:highlight w:val="none"/>
        </w:rPr>
        <w:t>邮政编码:</w:t>
      </w:r>
      <w:r>
        <w:rPr>
          <w:rFonts w:ascii="Times New Roman" w:eastAsia="Times New Roman"/>
          <w:highlight w:val="none"/>
          <w:u w:val="single"/>
        </w:rPr>
        <w:t xml:space="preserve"> </w:t>
      </w:r>
      <w:r>
        <w:rPr>
          <w:rFonts w:hint="eastAsia" w:ascii="Times New Roman"/>
          <w:highlight w:val="none"/>
          <w:u w:val="single"/>
          <w:lang w:val="en-US" w:eastAsia="zh-CN"/>
        </w:rPr>
        <w:t xml:space="preserve">                                                               </w:t>
      </w:r>
      <w:r>
        <w:rPr>
          <w:rFonts w:ascii="Times New Roman" w:eastAsia="Times New Roman"/>
          <w:highlight w:val="none"/>
          <w:u w:val="single"/>
        </w:rPr>
        <w:t xml:space="preserve"> </w:t>
      </w:r>
    </w:p>
    <w:p>
      <w:pPr>
        <w:pStyle w:val="9"/>
        <w:keepNext w:val="0"/>
        <w:keepLines w:val="0"/>
        <w:pageBreakBefore w:val="0"/>
        <w:widowControl w:val="0"/>
        <w:tabs>
          <w:tab w:val="left" w:pos="2576"/>
          <w:tab w:val="left" w:pos="3896"/>
          <w:tab w:val="left" w:pos="4136"/>
          <w:tab w:val="left" w:pos="4256"/>
          <w:tab w:val="left" w:pos="7616"/>
          <w:tab w:val="left" w:pos="7736"/>
        </w:tabs>
        <w:kinsoku/>
        <w:wordWrap/>
        <w:overflowPunct/>
        <w:topLinePunct w:val="0"/>
        <w:autoSpaceDE w:val="0"/>
        <w:autoSpaceDN w:val="0"/>
        <w:bidi w:val="0"/>
        <w:adjustRightInd/>
        <w:snapToGrid/>
        <w:spacing w:before="0" w:after="0" w:line="336" w:lineRule="auto"/>
        <w:ind w:left="0" w:right="0"/>
        <w:jc w:val="both"/>
        <w:textAlignment w:val="auto"/>
        <w:rPr>
          <w:rFonts w:hint="default" w:ascii="Times New Roman" w:eastAsia="宋体"/>
          <w:highlight w:val="none"/>
          <w:u w:val="single"/>
          <w:lang w:val="en-US" w:eastAsia="zh-CN"/>
        </w:rPr>
      </w:pPr>
      <w:r>
        <w:rPr>
          <w:highlight w:val="none"/>
        </w:rPr>
        <w:t>移动电话：</w:t>
      </w:r>
      <w:r>
        <w:rPr>
          <w:highlight w:val="none"/>
          <w:u w:val="single"/>
        </w:rPr>
        <w:tab/>
      </w:r>
      <w:r>
        <w:rPr>
          <w:highlight w:val="none"/>
          <w:u w:val="single"/>
        </w:rPr>
        <w:tab/>
      </w:r>
      <w:r>
        <w:rPr>
          <w:highlight w:val="none"/>
          <w:u w:val="single"/>
        </w:rPr>
        <w:tab/>
      </w:r>
      <w:r>
        <w:rPr>
          <w:highlight w:val="none"/>
          <w:u w:val="single"/>
        </w:rPr>
        <w:tab/>
      </w:r>
      <w:r>
        <w:rPr>
          <w:highlight w:val="none"/>
        </w:rPr>
        <w:t>固定电话:</w:t>
      </w:r>
      <w:r>
        <w:rPr>
          <w:rFonts w:ascii="Times New Roman" w:eastAsia="Times New Roman"/>
          <w:highlight w:val="none"/>
          <w:u w:val="single"/>
        </w:rPr>
        <w:t xml:space="preserve"> </w:t>
      </w:r>
      <w:r>
        <w:rPr>
          <w:rFonts w:hint="eastAsia" w:ascii="Times New Roman"/>
          <w:highlight w:val="none"/>
          <w:u w:val="single"/>
          <w:lang w:val="en-US" w:eastAsia="zh-CN"/>
        </w:rPr>
        <w:t xml:space="preserve">                                                    </w:t>
      </w:r>
    </w:p>
    <w:p>
      <w:pPr>
        <w:pStyle w:val="9"/>
        <w:keepNext w:val="0"/>
        <w:keepLines w:val="0"/>
        <w:pageBreakBefore w:val="0"/>
        <w:widowControl w:val="0"/>
        <w:tabs>
          <w:tab w:val="left" w:pos="2576"/>
          <w:tab w:val="left" w:pos="3896"/>
          <w:tab w:val="left" w:pos="4136"/>
          <w:tab w:val="left" w:pos="4256"/>
          <w:tab w:val="left" w:pos="7616"/>
          <w:tab w:val="left" w:pos="7736"/>
        </w:tabs>
        <w:kinsoku/>
        <w:wordWrap/>
        <w:overflowPunct/>
        <w:topLinePunct w:val="0"/>
        <w:autoSpaceDE w:val="0"/>
        <w:autoSpaceDN w:val="0"/>
        <w:bidi w:val="0"/>
        <w:adjustRightInd/>
        <w:snapToGrid/>
        <w:spacing w:before="0" w:after="0" w:line="336" w:lineRule="auto"/>
        <w:ind w:left="0" w:right="0"/>
        <w:jc w:val="both"/>
        <w:textAlignment w:val="auto"/>
        <w:rPr>
          <w:rFonts w:hint="default" w:ascii="Times New Roman" w:eastAsia="宋体"/>
          <w:highlight w:val="none"/>
          <w:lang w:val="en-US" w:eastAsia="zh-CN"/>
        </w:rPr>
      </w:pPr>
      <w:r>
        <w:rPr>
          <w:spacing w:val="-1"/>
          <w:highlight w:val="none"/>
        </w:rPr>
        <w:t>授</w:t>
      </w:r>
      <w:r>
        <w:rPr>
          <w:highlight w:val="none"/>
        </w:rPr>
        <w:t>权代表：（签字）</w:t>
      </w:r>
      <w:r>
        <w:rPr>
          <w:rFonts w:ascii="Times New Roman" w:eastAsia="Times New Roman"/>
          <w:highlight w:val="none"/>
          <w:u w:val="single"/>
        </w:rPr>
        <w:t xml:space="preserve"> </w:t>
      </w:r>
      <w:r>
        <w:rPr>
          <w:rFonts w:ascii="Times New Roman" w:eastAsia="Times New Roman"/>
          <w:highlight w:val="none"/>
          <w:u w:val="single"/>
        </w:rPr>
        <w:tab/>
      </w:r>
      <w:r>
        <w:rPr>
          <w:rFonts w:ascii="Times New Roman" w:eastAsia="Times New Roman"/>
          <w:highlight w:val="none"/>
          <w:u w:val="single"/>
        </w:rPr>
        <w:tab/>
      </w:r>
      <w:r>
        <w:rPr>
          <w:rFonts w:ascii="Times New Roman" w:eastAsia="Times New Roman"/>
          <w:highlight w:val="none"/>
          <w:u w:val="single"/>
        </w:rPr>
        <w:tab/>
      </w:r>
      <w:r>
        <w:rPr>
          <w:rFonts w:hint="eastAsia" w:ascii="Times New Roman"/>
          <w:highlight w:val="none"/>
          <w:u w:val="single"/>
          <w:lang w:val="en-US" w:eastAsia="zh-CN"/>
        </w:rPr>
        <w:t xml:space="preserve">                                                                         </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16"/>
          <w:highlight w:val="none"/>
        </w:rPr>
      </w:pPr>
    </w:p>
    <w:p>
      <w:pPr>
        <w:pStyle w:val="9"/>
        <w:keepNext w:val="0"/>
        <w:keepLines w:val="0"/>
        <w:pageBreakBefore w:val="0"/>
        <w:widowControl w:val="0"/>
        <w:tabs>
          <w:tab w:val="left" w:pos="4677"/>
        </w:tabs>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附： 法定代表人身份证复印件</w:t>
      </w:r>
      <w:r>
        <w:rPr>
          <w:highlight w:val="none"/>
        </w:rPr>
        <w:tab/>
      </w:r>
      <w:r>
        <w:rPr>
          <w:highlight w:val="none"/>
        </w:rPr>
        <w:t>法定代表人授权代表身份证复印件</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33"/>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33"/>
          <w:highlight w:val="none"/>
        </w:rPr>
      </w:pPr>
    </w:p>
    <w:p>
      <w:pPr>
        <w:pStyle w:val="16"/>
        <w:jc w:val="both"/>
        <w:rPr>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both"/>
        <w:textAlignment w:val="auto"/>
        <w:rPr>
          <w:sz w:val="28"/>
          <w:highlight w:val="none"/>
        </w:rPr>
      </w:pPr>
      <w:r>
        <w:rPr>
          <w:sz w:val="28"/>
          <w:highlight w:val="none"/>
        </w:rPr>
        <w:t>供应商（公章）：</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0"/>
          <w:highlight w:val="none"/>
        </w:rPr>
      </w:pPr>
    </w:p>
    <w:p>
      <w:pPr>
        <w:keepNext w:val="0"/>
        <w:keepLines w:val="0"/>
        <w:pageBreakBefore w:val="0"/>
        <w:widowControl w:val="0"/>
        <w:tabs>
          <w:tab w:val="left" w:pos="1975"/>
        </w:tabs>
        <w:kinsoku/>
        <w:wordWrap/>
        <w:overflowPunct/>
        <w:topLinePunct w:val="0"/>
        <w:autoSpaceDE w:val="0"/>
        <w:autoSpaceDN w:val="0"/>
        <w:bidi w:val="0"/>
        <w:adjustRightInd/>
        <w:snapToGrid/>
        <w:spacing w:before="0" w:after="0" w:line="417" w:lineRule="auto"/>
        <w:ind w:left="0" w:right="0" w:firstLine="0"/>
        <w:jc w:val="both"/>
        <w:textAlignment w:val="auto"/>
        <w:rPr>
          <w:sz w:val="28"/>
          <w:highlight w:val="none"/>
        </w:rPr>
      </w:pPr>
      <w:r>
        <w:rPr>
          <w:spacing w:val="-1"/>
          <w:sz w:val="28"/>
          <w:highlight w:val="none"/>
        </w:rPr>
        <w:t>法</w:t>
      </w:r>
      <w:r>
        <w:rPr>
          <w:spacing w:val="-3"/>
          <w:sz w:val="28"/>
          <w:highlight w:val="none"/>
        </w:rPr>
        <w:t>定</w:t>
      </w:r>
      <w:r>
        <w:rPr>
          <w:spacing w:val="-1"/>
          <w:sz w:val="28"/>
          <w:highlight w:val="none"/>
        </w:rPr>
        <w:t>代</w:t>
      </w:r>
      <w:r>
        <w:rPr>
          <w:sz w:val="28"/>
          <w:highlight w:val="none"/>
        </w:rPr>
        <w:t>表</w:t>
      </w:r>
      <w:r>
        <w:rPr>
          <w:spacing w:val="-3"/>
          <w:sz w:val="28"/>
          <w:highlight w:val="none"/>
        </w:rPr>
        <w:t>人</w:t>
      </w:r>
      <w:r>
        <w:rPr>
          <w:sz w:val="28"/>
          <w:highlight w:val="none"/>
        </w:rPr>
        <w:t>或全</w:t>
      </w:r>
      <w:r>
        <w:rPr>
          <w:spacing w:val="-3"/>
          <w:sz w:val="28"/>
          <w:highlight w:val="none"/>
        </w:rPr>
        <w:t>权</w:t>
      </w:r>
      <w:r>
        <w:rPr>
          <w:sz w:val="28"/>
          <w:highlight w:val="none"/>
        </w:rPr>
        <w:t>代表</w:t>
      </w:r>
      <w:r>
        <w:rPr>
          <w:spacing w:val="-3"/>
          <w:sz w:val="28"/>
          <w:highlight w:val="none"/>
        </w:rPr>
        <w:t>（</w:t>
      </w:r>
      <w:r>
        <w:rPr>
          <w:sz w:val="28"/>
          <w:highlight w:val="none"/>
        </w:rPr>
        <w:t>签字</w:t>
      </w:r>
      <w:r>
        <w:rPr>
          <w:spacing w:val="-3"/>
          <w:sz w:val="28"/>
          <w:highlight w:val="none"/>
        </w:rPr>
        <w:t>或</w:t>
      </w:r>
      <w:r>
        <w:rPr>
          <w:sz w:val="28"/>
          <w:highlight w:val="none"/>
        </w:rPr>
        <w:t>盖章）：</w:t>
      </w:r>
    </w:p>
    <w:p>
      <w:pPr>
        <w:pStyle w:val="16"/>
        <w:jc w:val="both"/>
        <w:rPr>
          <w:rFonts w:hint="default" w:ascii="宋体" w:hAnsi="宋体" w:eastAsia="宋体" w:cs="宋体"/>
          <w:b w:val="0"/>
          <w:spacing w:val="-3"/>
          <w:sz w:val="28"/>
          <w:szCs w:val="22"/>
          <w:highlight w:val="none"/>
          <w:lang w:val="en-US" w:eastAsia="zh-CN" w:bidi="ar-SA"/>
        </w:rPr>
        <w:sectPr>
          <w:type w:val="continuous"/>
          <w:pgSz w:w="11910" w:h="16840"/>
          <w:pgMar w:top="1440" w:right="1600" w:bottom="1134" w:left="1680" w:header="720" w:footer="720" w:gutter="0"/>
          <w:pgBorders>
            <w:top w:val="none" w:sz="0" w:space="0"/>
            <w:left w:val="none" w:sz="0" w:space="0"/>
            <w:bottom w:val="none" w:sz="0" w:space="0"/>
            <w:right w:val="none" w:sz="0" w:space="0"/>
          </w:pgBorders>
          <w:pgNumType w:fmt="decimal"/>
        </w:sectPr>
      </w:pPr>
      <w:r>
        <w:rPr>
          <w:rFonts w:hint="eastAsia" w:ascii="宋体" w:hAnsi="宋体" w:eastAsia="宋体" w:cs="宋体"/>
          <w:b w:val="0"/>
          <w:spacing w:val="-3"/>
          <w:sz w:val="28"/>
          <w:szCs w:val="22"/>
          <w:highlight w:val="none"/>
          <w:lang w:val="en-US" w:eastAsia="zh-CN" w:bidi="ar-SA"/>
        </w:rPr>
        <w:t>日</w:t>
      </w:r>
      <w:r>
        <w:rPr>
          <w:rFonts w:hint="eastAsia" w:ascii="宋体" w:hAnsi="宋体" w:cs="宋体"/>
          <w:b w:val="0"/>
          <w:spacing w:val="-3"/>
          <w:sz w:val="28"/>
          <w:szCs w:val="22"/>
          <w:highlight w:val="none"/>
          <w:lang w:val="en-US" w:eastAsia="zh-CN" w:bidi="ar-SA"/>
        </w:rPr>
        <w:t xml:space="preserve">      </w:t>
      </w:r>
      <w:r>
        <w:rPr>
          <w:rFonts w:hint="eastAsia" w:ascii="宋体" w:hAnsi="宋体" w:eastAsia="宋体" w:cs="宋体"/>
          <w:b w:val="0"/>
          <w:spacing w:val="-3"/>
          <w:sz w:val="28"/>
          <w:szCs w:val="22"/>
          <w:highlight w:val="none"/>
          <w:lang w:val="en-US" w:eastAsia="zh-CN" w:bidi="ar-SA"/>
        </w:rPr>
        <w:t>期：</w:t>
      </w:r>
      <w:r>
        <w:rPr>
          <w:rFonts w:hint="eastAsia" w:ascii="宋体" w:hAnsi="宋体" w:cs="宋体"/>
          <w:b w:val="0"/>
          <w:spacing w:val="-3"/>
          <w:sz w:val="28"/>
          <w:szCs w:val="22"/>
          <w:highlight w:val="none"/>
          <w:lang w:val="en-US" w:eastAsia="zh-CN" w:bidi="ar-SA"/>
        </w:rPr>
        <w:t xml:space="preserve">   </w:t>
      </w:r>
      <w:r>
        <w:rPr>
          <w:rFonts w:hint="eastAsia" w:ascii="宋体" w:hAnsi="宋体" w:eastAsia="宋体" w:cs="宋体"/>
          <w:b w:val="0"/>
          <w:spacing w:val="-3"/>
          <w:sz w:val="28"/>
          <w:szCs w:val="22"/>
          <w:highlight w:val="none"/>
          <w:lang w:val="en-US" w:eastAsia="zh-CN" w:bidi="ar-SA"/>
        </w:rPr>
        <w:t>年</w:t>
      </w:r>
      <w:r>
        <w:rPr>
          <w:rFonts w:hint="eastAsia" w:ascii="宋体" w:hAnsi="宋体" w:cs="宋体"/>
          <w:b w:val="0"/>
          <w:spacing w:val="-3"/>
          <w:sz w:val="28"/>
          <w:szCs w:val="22"/>
          <w:highlight w:val="none"/>
          <w:lang w:val="en-US" w:eastAsia="zh-CN" w:bidi="ar-SA"/>
        </w:rPr>
        <w:t xml:space="preserve">    </w:t>
      </w:r>
      <w:r>
        <w:rPr>
          <w:rFonts w:hint="eastAsia" w:ascii="宋体" w:hAnsi="宋体" w:eastAsia="宋体" w:cs="宋体"/>
          <w:b w:val="0"/>
          <w:spacing w:val="-3"/>
          <w:sz w:val="28"/>
          <w:szCs w:val="22"/>
          <w:highlight w:val="none"/>
          <w:lang w:val="en-US" w:eastAsia="zh-CN" w:bidi="ar-SA"/>
        </w:rPr>
        <w:t>月</w:t>
      </w:r>
      <w:r>
        <w:rPr>
          <w:rFonts w:hint="eastAsia" w:ascii="宋体" w:hAnsi="宋体" w:cs="宋体"/>
          <w:b w:val="0"/>
          <w:spacing w:val="-3"/>
          <w:sz w:val="28"/>
          <w:szCs w:val="22"/>
          <w:highlight w:val="none"/>
          <w:lang w:val="en-US" w:eastAsia="zh-CN" w:bidi="ar-SA"/>
        </w:rPr>
        <w:t xml:space="preserve">   </w:t>
      </w:r>
      <w:r>
        <w:rPr>
          <w:rFonts w:hint="eastAsia" w:ascii="宋体" w:hAnsi="宋体" w:eastAsia="宋体" w:cs="宋体"/>
          <w:b w:val="0"/>
          <w:spacing w:val="-3"/>
          <w:sz w:val="28"/>
          <w:szCs w:val="22"/>
          <w:highlight w:val="none"/>
          <w:lang w:val="en-US" w:eastAsia="zh-CN" w:bidi="ar-SA"/>
        </w:rPr>
        <w:t>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0"/>
        <w:jc w:val="center"/>
        <w:textAlignment w:val="auto"/>
        <w:rPr>
          <w:b/>
          <w:sz w:val="36"/>
          <w:highlight w:val="none"/>
        </w:rPr>
      </w:pPr>
      <w:r>
        <w:rPr>
          <w:rFonts w:hint="eastAsia"/>
          <w:b/>
          <w:sz w:val="36"/>
          <w:highlight w:val="none"/>
          <w:lang w:val="en-US" w:eastAsia="zh-CN"/>
        </w:rPr>
        <w:t>3、工程量清单</w:t>
      </w:r>
      <w:r>
        <w:rPr>
          <w:b/>
          <w:sz w:val="36"/>
          <w:highlight w:val="none"/>
        </w:rPr>
        <w:t>报价一览表</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36"/>
          <w:highlight w:val="none"/>
        </w:rPr>
      </w:pPr>
    </w:p>
    <w:p>
      <w:pPr>
        <w:pStyle w:val="9"/>
        <w:keepNext w:val="0"/>
        <w:keepLines w:val="0"/>
        <w:pageBreakBefore w:val="0"/>
        <w:widowControl w:val="0"/>
        <w:tabs>
          <w:tab w:val="left" w:pos="3377"/>
        </w:tabs>
        <w:kinsoku/>
        <w:wordWrap/>
        <w:overflowPunct/>
        <w:topLinePunct w:val="0"/>
        <w:autoSpaceDE w:val="0"/>
        <w:autoSpaceDN w:val="0"/>
        <w:bidi w:val="0"/>
        <w:adjustRightInd/>
        <w:snapToGrid/>
        <w:spacing w:before="0" w:after="0"/>
        <w:ind w:left="0" w:right="0"/>
        <w:jc w:val="both"/>
        <w:textAlignment w:val="auto"/>
        <w:rPr>
          <w:rFonts w:ascii="Times New Roman" w:eastAsia="Times New Roman"/>
          <w:highlight w:val="none"/>
        </w:rPr>
      </w:pPr>
      <w:r>
        <w:rPr>
          <w:highlight w:val="none"/>
        </w:rPr>
        <w:t>项目名称：</w:t>
      </w:r>
    </w:p>
    <w:p>
      <w:pPr>
        <w:pStyle w:val="9"/>
        <w:keepNext w:val="0"/>
        <w:keepLines w:val="0"/>
        <w:pageBreakBefore w:val="0"/>
        <w:widowControl w:val="0"/>
        <w:tabs>
          <w:tab w:val="left" w:pos="2897"/>
        </w:tabs>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项目编号：</w:t>
      </w:r>
    </w:p>
    <w:tbl>
      <w:tblPr>
        <w:tblStyle w:val="13"/>
        <w:tblW w:w="9914" w:type="dxa"/>
        <w:jc w:val="center"/>
        <w:shd w:val="clear" w:color="auto" w:fill="auto"/>
        <w:tblLayout w:type="fixed"/>
        <w:tblCellMar>
          <w:top w:w="0" w:type="dxa"/>
          <w:left w:w="0" w:type="dxa"/>
          <w:bottom w:w="0" w:type="dxa"/>
          <w:right w:w="0" w:type="dxa"/>
        </w:tblCellMar>
      </w:tblPr>
      <w:tblGrid>
        <w:gridCol w:w="596"/>
        <w:gridCol w:w="1522"/>
        <w:gridCol w:w="1523"/>
        <w:gridCol w:w="1785"/>
        <w:gridCol w:w="625"/>
        <w:gridCol w:w="855"/>
        <w:gridCol w:w="1215"/>
        <w:gridCol w:w="925"/>
        <w:gridCol w:w="868"/>
      </w:tblGrid>
      <w:tr>
        <w:tblPrEx>
          <w:shd w:val="clear" w:color="auto" w:fill="auto"/>
          <w:tblCellMar>
            <w:top w:w="0" w:type="dxa"/>
            <w:left w:w="0" w:type="dxa"/>
            <w:bottom w:w="0" w:type="dxa"/>
            <w:right w:w="0" w:type="dxa"/>
          </w:tblCellMar>
        </w:tblPrEx>
        <w:trPr>
          <w:trHeight w:val="279" w:hRule="atLeast"/>
          <w:tblHeader/>
          <w:jc w:val="center"/>
        </w:trPr>
        <w:tc>
          <w:tcPr>
            <w:tcW w:w="596" w:type="dxa"/>
            <w:vMerge w:val="restart"/>
            <w:tcBorders>
              <w:top w:val="single" w:color="000000" w:sz="4" w:space="0"/>
              <w:left w:val="single" w:color="000000" w:sz="8"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522" w:type="dxa"/>
            <w:vMerge w:val="restart"/>
            <w:tcBorders>
              <w:top w:val="single" w:color="000000" w:sz="4" w:space="0"/>
              <w:left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项目编码</w:t>
            </w:r>
          </w:p>
        </w:tc>
        <w:tc>
          <w:tcPr>
            <w:tcW w:w="1523" w:type="dxa"/>
            <w:vMerge w:val="restart"/>
            <w:tcBorders>
              <w:top w:val="single" w:color="000000" w:sz="4" w:space="0"/>
              <w:left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项目名称</w:t>
            </w:r>
          </w:p>
        </w:tc>
        <w:tc>
          <w:tcPr>
            <w:tcW w:w="1785" w:type="dxa"/>
            <w:vMerge w:val="restart"/>
            <w:tcBorders>
              <w:top w:val="single" w:color="000000" w:sz="4" w:space="0"/>
              <w:left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项目特征描述</w:t>
            </w:r>
          </w:p>
        </w:tc>
        <w:tc>
          <w:tcPr>
            <w:tcW w:w="625" w:type="dxa"/>
            <w:vMerge w:val="restart"/>
            <w:tcBorders>
              <w:top w:val="single" w:color="000000" w:sz="4" w:space="0"/>
              <w:left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计量单位</w:t>
            </w:r>
          </w:p>
        </w:tc>
        <w:tc>
          <w:tcPr>
            <w:tcW w:w="855" w:type="dxa"/>
            <w:vMerge w:val="restart"/>
            <w:tcBorders>
              <w:top w:val="single" w:color="000000" w:sz="4" w:space="0"/>
              <w:left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工程量</w:t>
            </w:r>
          </w:p>
        </w:tc>
        <w:tc>
          <w:tcPr>
            <w:tcW w:w="3008" w:type="dxa"/>
            <w:gridSpan w:val="3"/>
            <w:tcBorders>
              <w:top w:val="single" w:color="000000" w:sz="4" w:space="0"/>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ascii="宋体" w:hAnsi="宋体" w:eastAsia="宋体"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金额（元）</w:t>
            </w:r>
          </w:p>
        </w:tc>
      </w:tr>
      <w:tr>
        <w:tblPrEx>
          <w:tblCellMar>
            <w:top w:w="0" w:type="dxa"/>
            <w:left w:w="0" w:type="dxa"/>
            <w:bottom w:w="0" w:type="dxa"/>
            <w:right w:w="0" w:type="dxa"/>
          </w:tblCellMar>
        </w:tblPrEx>
        <w:trPr>
          <w:trHeight w:val="275" w:hRule="atLeast"/>
          <w:tblHeader/>
          <w:jc w:val="center"/>
        </w:trPr>
        <w:tc>
          <w:tcPr>
            <w:tcW w:w="596" w:type="dxa"/>
            <w:vMerge w:val="continue"/>
            <w:tcBorders>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522"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523"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785"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625"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855" w:type="dxa"/>
            <w:vMerge w:val="continue"/>
            <w:tcBorders>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215" w:type="dxa"/>
            <w:vMerge w:val="restart"/>
            <w:tcBorders>
              <w:top w:val="single" w:color="auto" w:sz="4" w:space="0"/>
              <w:left w:val="single" w:color="000000" w:sz="4" w:space="0"/>
              <w:right w:val="single" w:color="000000" w:sz="4" w:space="0"/>
            </w:tcBorders>
            <w:shd w:val="clear" w:color="FFFFFF" w:fill="FFFFFF"/>
            <w:tcMar>
              <w:top w:w="15" w:type="dxa"/>
              <w:left w:w="15" w:type="dxa"/>
              <w:right w:w="15" w:type="dxa"/>
            </w:tcMar>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rFonts w:hint="eastAsia"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综合单价</w:t>
            </w:r>
          </w:p>
        </w:tc>
        <w:tc>
          <w:tcPr>
            <w:tcW w:w="925" w:type="dxa"/>
            <w:vMerge w:val="restart"/>
            <w:tcBorders>
              <w:top w:val="single" w:color="auto" w:sz="4" w:space="0"/>
              <w:left w:val="single" w:color="000000" w:sz="4" w:space="0"/>
              <w:right w:val="single" w:color="auto" w:sz="4" w:space="0"/>
            </w:tcBorders>
            <w:shd w:val="clear" w:color="FFFFFF" w:fill="FFFFFF"/>
            <w:tcMar>
              <w:top w:w="15" w:type="dxa"/>
              <w:left w:w="15" w:type="dxa"/>
              <w:right w:w="15" w:type="dxa"/>
            </w:tcMar>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rFonts w:hint="eastAsia"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合价</w:t>
            </w:r>
          </w:p>
        </w:tc>
        <w:tc>
          <w:tcPr>
            <w:tcW w:w="868" w:type="dxa"/>
            <w:tcBorders>
              <w:top w:val="single" w:color="auto" w:sz="4" w:space="0"/>
              <w:left w:val="single" w:color="auto" w:sz="4" w:space="0"/>
              <w:bottom w:val="single" w:color="auto" w:sz="4" w:space="0"/>
              <w:right w:val="single" w:color="000000" w:sz="4" w:space="0"/>
            </w:tcBorders>
            <w:shd w:val="clear" w:color="FFFFFF" w:fill="FFFFFF"/>
            <w:tcMar>
              <w:top w:w="15" w:type="dxa"/>
              <w:left w:w="15" w:type="dxa"/>
              <w:right w:w="15" w:type="dxa"/>
            </w:tcMar>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rFonts w:hint="default"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其中</w:t>
            </w:r>
          </w:p>
        </w:tc>
      </w:tr>
      <w:tr>
        <w:tblPrEx>
          <w:tblCellMar>
            <w:top w:w="0" w:type="dxa"/>
            <w:left w:w="0" w:type="dxa"/>
            <w:bottom w:w="0" w:type="dxa"/>
            <w:right w:w="0" w:type="dxa"/>
          </w:tblCellMar>
        </w:tblPrEx>
        <w:trPr>
          <w:trHeight w:val="225" w:hRule="atLeast"/>
          <w:tblHeader/>
          <w:jc w:val="center"/>
        </w:trPr>
        <w:tc>
          <w:tcPr>
            <w:tcW w:w="596" w:type="dxa"/>
            <w:vMerge w:val="continue"/>
            <w:tcBorders>
              <w:left w:val="single" w:color="000000" w:sz="8" w:space="0"/>
              <w:bottom w:val="single" w:color="auto"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522" w:type="dxa"/>
            <w:vMerge w:val="continue"/>
            <w:tcBorders>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523" w:type="dxa"/>
            <w:vMerge w:val="continue"/>
            <w:tcBorders>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785" w:type="dxa"/>
            <w:vMerge w:val="continue"/>
            <w:tcBorders>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625" w:type="dxa"/>
            <w:vMerge w:val="continue"/>
            <w:tcBorders>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855" w:type="dxa"/>
            <w:vMerge w:val="continue"/>
            <w:tcBorders>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215" w:type="dxa"/>
            <w:vMerge w:val="continue"/>
            <w:tcBorders>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rFonts w:hint="eastAsia" w:cs="宋体"/>
                <w:i w:val="0"/>
                <w:color w:val="000000"/>
                <w:kern w:val="0"/>
                <w:sz w:val="21"/>
                <w:szCs w:val="21"/>
                <w:u w:val="none"/>
                <w:lang w:val="en-US" w:eastAsia="zh-CN" w:bidi="ar"/>
              </w:rPr>
            </w:pPr>
          </w:p>
        </w:tc>
        <w:tc>
          <w:tcPr>
            <w:tcW w:w="925" w:type="dxa"/>
            <w:vMerge w:val="continue"/>
            <w:tcBorders>
              <w:left w:val="single" w:color="000000" w:sz="4" w:space="0"/>
              <w:bottom w:val="single" w:color="auto" w:sz="4" w:space="0"/>
              <w:right w:val="single" w:color="auto" w:sz="4" w:space="0"/>
            </w:tcBorders>
            <w:shd w:val="clear" w:color="FFFFFF" w:fill="FFFFFF"/>
            <w:tcMar>
              <w:top w:w="15" w:type="dxa"/>
              <w:left w:w="15" w:type="dxa"/>
              <w:right w:w="15" w:type="dxa"/>
            </w:tcMar>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rFonts w:hint="eastAsia" w:cs="宋体"/>
                <w:i w:val="0"/>
                <w:color w:val="000000"/>
                <w:kern w:val="0"/>
                <w:sz w:val="21"/>
                <w:szCs w:val="21"/>
                <w:u w:val="none"/>
                <w:lang w:val="en-US" w:eastAsia="zh-CN" w:bidi="ar"/>
              </w:rPr>
            </w:pPr>
          </w:p>
        </w:tc>
        <w:tc>
          <w:tcPr>
            <w:tcW w:w="868" w:type="dxa"/>
            <w:tcBorders>
              <w:top w:val="single" w:color="auto" w:sz="4" w:space="0"/>
              <w:left w:val="single" w:color="auto" w:sz="4" w:space="0"/>
              <w:bottom w:val="single" w:color="auto" w:sz="4" w:space="0"/>
              <w:right w:val="single" w:color="000000" w:sz="4" w:space="0"/>
            </w:tcBorders>
            <w:shd w:val="clear" w:color="FFFFFF" w:fill="FFFFFF"/>
            <w:tcMar>
              <w:top w:w="15" w:type="dxa"/>
              <w:left w:w="15" w:type="dxa"/>
              <w:right w:w="15" w:type="dxa"/>
            </w:tcMar>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rFonts w:hint="default"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暂估价</w:t>
            </w:r>
          </w:p>
        </w:tc>
      </w:tr>
      <w:tr>
        <w:tblPrEx>
          <w:shd w:val="clear" w:color="auto" w:fill="auto"/>
          <w:tblCellMar>
            <w:top w:w="0" w:type="dxa"/>
            <w:left w:w="0" w:type="dxa"/>
            <w:bottom w:w="0" w:type="dxa"/>
            <w:right w:w="0" w:type="dxa"/>
          </w:tblCellMar>
        </w:tblPrEx>
        <w:trPr>
          <w:trHeight w:val="437" w:hRule="atLeast"/>
          <w:tblHeader/>
          <w:jc w:val="center"/>
        </w:trPr>
        <w:tc>
          <w:tcPr>
            <w:tcW w:w="596"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522"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52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78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62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85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21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92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86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trHeight w:val="437" w:hRule="atLeast"/>
          <w:tblHeader/>
          <w:jc w:val="center"/>
        </w:trPr>
        <w:tc>
          <w:tcPr>
            <w:tcW w:w="596"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default" w:ascii="宋体" w:hAnsi="宋体" w:eastAsia="宋体" w:cs="宋体"/>
                <w:i w:val="0"/>
                <w:color w:val="000000"/>
                <w:kern w:val="0"/>
                <w:sz w:val="21"/>
                <w:szCs w:val="21"/>
                <w:u w:val="none"/>
                <w:lang w:val="en-US" w:eastAsia="zh-CN" w:bidi="ar"/>
              </w:rPr>
            </w:pPr>
          </w:p>
        </w:tc>
        <w:tc>
          <w:tcPr>
            <w:tcW w:w="1522"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52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78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62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85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21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92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86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437" w:hRule="atLeast"/>
          <w:tblHeader/>
          <w:jc w:val="center"/>
        </w:trPr>
        <w:tc>
          <w:tcPr>
            <w:tcW w:w="596"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default" w:ascii="宋体" w:hAnsi="宋体" w:eastAsia="宋体" w:cs="宋体"/>
                <w:i w:val="0"/>
                <w:color w:val="000000"/>
                <w:kern w:val="0"/>
                <w:sz w:val="21"/>
                <w:szCs w:val="21"/>
                <w:u w:val="none"/>
                <w:lang w:val="en-US" w:eastAsia="zh-CN" w:bidi="ar"/>
              </w:rPr>
            </w:pPr>
          </w:p>
        </w:tc>
        <w:tc>
          <w:tcPr>
            <w:tcW w:w="1522"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52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78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62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85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21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92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86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437" w:hRule="atLeast"/>
          <w:tblHeader/>
          <w:jc w:val="center"/>
        </w:trPr>
        <w:tc>
          <w:tcPr>
            <w:tcW w:w="596"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default" w:ascii="宋体" w:hAnsi="宋体" w:eastAsia="宋体" w:cs="宋体"/>
                <w:i w:val="0"/>
                <w:color w:val="000000"/>
                <w:kern w:val="0"/>
                <w:sz w:val="21"/>
                <w:szCs w:val="21"/>
                <w:u w:val="none"/>
                <w:lang w:val="en-US" w:eastAsia="zh-CN" w:bidi="ar"/>
              </w:rPr>
            </w:pPr>
          </w:p>
        </w:tc>
        <w:tc>
          <w:tcPr>
            <w:tcW w:w="1522"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52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78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62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85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21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92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86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437" w:hRule="atLeast"/>
          <w:tblHeader/>
          <w:jc w:val="center"/>
        </w:trPr>
        <w:tc>
          <w:tcPr>
            <w:tcW w:w="596"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both"/>
              <w:rPr>
                <w:rFonts w:hint="default" w:ascii="宋体" w:hAnsi="宋体" w:eastAsia="宋体" w:cs="宋体"/>
                <w:i w:val="0"/>
                <w:color w:val="000000"/>
                <w:kern w:val="0"/>
                <w:sz w:val="21"/>
                <w:szCs w:val="21"/>
                <w:u w:val="none"/>
                <w:lang w:val="en-US" w:eastAsia="zh-CN" w:bidi="ar"/>
              </w:rPr>
            </w:pPr>
          </w:p>
        </w:tc>
        <w:tc>
          <w:tcPr>
            <w:tcW w:w="1522"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52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78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62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85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21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92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86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trHeight w:val="437" w:hRule="atLeast"/>
          <w:tblHeader/>
          <w:jc w:val="center"/>
        </w:trPr>
        <w:tc>
          <w:tcPr>
            <w:tcW w:w="596"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522"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52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78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62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85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21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92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86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437" w:hRule="atLeast"/>
          <w:tblHeader/>
          <w:jc w:val="center"/>
        </w:trPr>
        <w:tc>
          <w:tcPr>
            <w:tcW w:w="596"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522"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52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78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62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85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21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92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86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437" w:hRule="atLeast"/>
          <w:tblHeader/>
          <w:jc w:val="center"/>
        </w:trPr>
        <w:tc>
          <w:tcPr>
            <w:tcW w:w="596"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522"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52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78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62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85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21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92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86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trHeight w:val="437" w:hRule="atLeast"/>
          <w:tblHeader/>
          <w:jc w:val="center"/>
        </w:trPr>
        <w:tc>
          <w:tcPr>
            <w:tcW w:w="596"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522"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52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78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62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85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21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92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86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437" w:hRule="atLeast"/>
          <w:tblHeader/>
          <w:jc w:val="center"/>
        </w:trPr>
        <w:tc>
          <w:tcPr>
            <w:tcW w:w="596"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522"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52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78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62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85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21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92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86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437" w:hRule="atLeast"/>
          <w:tblHeader/>
          <w:jc w:val="center"/>
        </w:trPr>
        <w:tc>
          <w:tcPr>
            <w:tcW w:w="596"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522"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52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78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62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85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21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925"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86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r>
    </w:tbl>
    <w:p>
      <w:pPr>
        <w:pStyle w:val="9"/>
        <w:keepNext w:val="0"/>
        <w:keepLines w:val="0"/>
        <w:pageBreakBefore w:val="0"/>
        <w:widowControl w:val="0"/>
        <w:tabs>
          <w:tab w:val="left" w:pos="2897"/>
        </w:tabs>
        <w:kinsoku/>
        <w:wordWrap/>
        <w:overflowPunct/>
        <w:topLinePunct w:val="0"/>
        <w:autoSpaceDE w:val="0"/>
        <w:autoSpaceDN w:val="0"/>
        <w:bidi w:val="0"/>
        <w:adjustRightInd/>
        <w:snapToGrid/>
        <w:spacing w:before="0" w:after="0"/>
        <w:ind w:left="0" w:right="0"/>
        <w:jc w:val="both"/>
        <w:textAlignment w:val="auto"/>
        <w:rPr>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18"/>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注：1.按照</w:t>
      </w:r>
      <w:r>
        <w:rPr>
          <w:rFonts w:hint="eastAsia"/>
          <w:highlight w:val="none"/>
          <w:lang w:val="en-US" w:eastAsia="zh-CN"/>
        </w:rPr>
        <w:t>工程量清单</w:t>
      </w:r>
      <w:r>
        <w:rPr>
          <w:highlight w:val="none"/>
        </w:rPr>
        <w:t>详细填列。</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2.行数不够，可自行添加。</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3"/>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both"/>
        <w:textAlignment w:val="auto"/>
        <w:rPr>
          <w:sz w:val="28"/>
          <w:highlight w:val="none"/>
        </w:rPr>
      </w:pPr>
      <w:r>
        <w:rPr>
          <w:sz w:val="28"/>
          <w:highlight w:val="none"/>
        </w:rPr>
        <w:t>供应商（公章）：</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0"/>
          <w:highlight w:val="none"/>
        </w:rPr>
      </w:pPr>
    </w:p>
    <w:p>
      <w:pPr>
        <w:keepNext w:val="0"/>
        <w:keepLines w:val="0"/>
        <w:pageBreakBefore w:val="0"/>
        <w:widowControl w:val="0"/>
        <w:tabs>
          <w:tab w:val="left" w:pos="1975"/>
        </w:tabs>
        <w:kinsoku/>
        <w:wordWrap/>
        <w:overflowPunct/>
        <w:topLinePunct w:val="0"/>
        <w:autoSpaceDE w:val="0"/>
        <w:autoSpaceDN w:val="0"/>
        <w:bidi w:val="0"/>
        <w:adjustRightInd/>
        <w:snapToGrid/>
        <w:spacing w:before="0" w:after="0" w:line="417" w:lineRule="auto"/>
        <w:ind w:left="0" w:right="0" w:firstLine="0"/>
        <w:jc w:val="both"/>
        <w:textAlignment w:val="auto"/>
        <w:rPr>
          <w:sz w:val="28"/>
          <w:highlight w:val="none"/>
        </w:rPr>
      </w:pPr>
      <w:r>
        <w:rPr>
          <w:spacing w:val="-1"/>
          <w:sz w:val="28"/>
          <w:highlight w:val="none"/>
        </w:rPr>
        <w:t>法</w:t>
      </w:r>
      <w:r>
        <w:rPr>
          <w:spacing w:val="-3"/>
          <w:sz w:val="28"/>
          <w:highlight w:val="none"/>
        </w:rPr>
        <w:t>定</w:t>
      </w:r>
      <w:r>
        <w:rPr>
          <w:spacing w:val="-1"/>
          <w:sz w:val="28"/>
          <w:highlight w:val="none"/>
        </w:rPr>
        <w:t>代</w:t>
      </w:r>
      <w:r>
        <w:rPr>
          <w:sz w:val="28"/>
          <w:highlight w:val="none"/>
        </w:rPr>
        <w:t>表</w:t>
      </w:r>
      <w:r>
        <w:rPr>
          <w:spacing w:val="-3"/>
          <w:sz w:val="28"/>
          <w:highlight w:val="none"/>
        </w:rPr>
        <w:t>人</w:t>
      </w:r>
      <w:r>
        <w:rPr>
          <w:sz w:val="28"/>
          <w:highlight w:val="none"/>
        </w:rPr>
        <w:t>或全</w:t>
      </w:r>
      <w:r>
        <w:rPr>
          <w:spacing w:val="-3"/>
          <w:sz w:val="28"/>
          <w:highlight w:val="none"/>
        </w:rPr>
        <w:t>权</w:t>
      </w:r>
      <w:r>
        <w:rPr>
          <w:sz w:val="28"/>
          <w:highlight w:val="none"/>
        </w:rPr>
        <w:t>代表</w:t>
      </w:r>
      <w:r>
        <w:rPr>
          <w:spacing w:val="-3"/>
          <w:sz w:val="28"/>
          <w:highlight w:val="none"/>
        </w:rPr>
        <w:t>（</w:t>
      </w:r>
      <w:r>
        <w:rPr>
          <w:sz w:val="28"/>
          <w:highlight w:val="none"/>
        </w:rPr>
        <w:t>签字</w:t>
      </w:r>
      <w:r>
        <w:rPr>
          <w:spacing w:val="-3"/>
          <w:sz w:val="28"/>
          <w:highlight w:val="none"/>
        </w:rPr>
        <w:t>或</w:t>
      </w:r>
      <w:r>
        <w:rPr>
          <w:sz w:val="28"/>
          <w:highlight w:val="none"/>
        </w:rPr>
        <w:t>盖章）：</w:t>
      </w:r>
    </w:p>
    <w:p>
      <w:pPr>
        <w:keepNext w:val="0"/>
        <w:keepLines w:val="0"/>
        <w:pageBreakBefore w:val="0"/>
        <w:widowControl w:val="0"/>
        <w:tabs>
          <w:tab w:val="left" w:pos="1975"/>
        </w:tabs>
        <w:kinsoku/>
        <w:wordWrap/>
        <w:overflowPunct/>
        <w:topLinePunct w:val="0"/>
        <w:autoSpaceDE w:val="0"/>
        <w:autoSpaceDN w:val="0"/>
        <w:bidi w:val="0"/>
        <w:adjustRightInd/>
        <w:snapToGrid/>
        <w:spacing w:before="0" w:after="0" w:line="417" w:lineRule="auto"/>
        <w:ind w:left="0" w:right="0" w:firstLine="0"/>
        <w:jc w:val="both"/>
        <w:textAlignment w:val="auto"/>
        <w:rPr>
          <w:rFonts w:hint="default" w:eastAsia="宋体"/>
          <w:sz w:val="28"/>
          <w:highlight w:val="none"/>
          <w:lang w:val="en-US" w:eastAsia="zh-CN"/>
        </w:rPr>
        <w:sectPr>
          <w:pgSz w:w="11910" w:h="16840"/>
          <w:pgMar w:top="1480" w:right="1180" w:bottom="1134" w:left="1360" w:header="0" w:footer="686" w:gutter="0"/>
          <w:pgBorders>
            <w:top w:val="none" w:sz="0" w:space="0"/>
            <w:left w:val="none" w:sz="0" w:space="0"/>
            <w:bottom w:val="none" w:sz="0" w:space="0"/>
            <w:right w:val="none" w:sz="0" w:space="0"/>
          </w:pgBorders>
          <w:pgNumType w:fmt="decimal"/>
        </w:sectPr>
      </w:pPr>
      <w:r>
        <w:rPr>
          <w:sz w:val="28"/>
          <w:highlight w:val="none"/>
        </w:rPr>
        <w:t xml:space="preserve"> 日</w:t>
      </w:r>
      <w:r>
        <w:rPr>
          <w:sz w:val="28"/>
          <w:highlight w:val="none"/>
        </w:rPr>
        <w:tab/>
      </w:r>
      <w:r>
        <w:rPr>
          <w:spacing w:val="-1"/>
          <w:sz w:val="28"/>
          <w:highlight w:val="none"/>
        </w:rPr>
        <w:t>期</w:t>
      </w:r>
      <w:r>
        <w:rPr>
          <w:sz w:val="28"/>
          <w:highlight w:val="none"/>
        </w:rPr>
        <w:t>：</w:t>
      </w:r>
      <w:r>
        <w:rPr>
          <w:rFonts w:hint="eastAsia"/>
          <w:sz w:val="28"/>
          <w:highlight w:val="none"/>
          <w:lang w:val="en-US" w:eastAsia="zh-CN"/>
        </w:rPr>
        <w:t xml:space="preserve">   年   月     日</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16"/>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01" w:lineRule="exact"/>
        <w:ind w:left="0" w:right="0" w:firstLine="0"/>
        <w:jc w:val="center"/>
        <w:textAlignment w:val="auto"/>
        <w:rPr>
          <w:b/>
          <w:sz w:val="32"/>
          <w:highlight w:val="none"/>
        </w:rPr>
      </w:pPr>
      <w:r>
        <w:rPr>
          <w:rFonts w:hint="eastAsia"/>
          <w:b/>
          <w:w w:val="95"/>
          <w:sz w:val="32"/>
          <w:highlight w:val="none"/>
          <w:lang w:val="en-US" w:eastAsia="zh-CN"/>
        </w:rPr>
        <w:t>4、</w:t>
      </w:r>
      <w:r>
        <w:rPr>
          <w:b/>
          <w:w w:val="95"/>
          <w:sz w:val="32"/>
          <w:highlight w:val="none"/>
        </w:rPr>
        <w:t>企业概况表（格式）</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16"/>
          <w:highlight w:val="none"/>
        </w:rPr>
      </w:pPr>
    </w:p>
    <w:tbl>
      <w:tblPr>
        <w:tblStyle w:val="13"/>
        <w:tblW w:w="0" w:type="auto"/>
        <w:tblInd w:w="1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70"/>
        <w:gridCol w:w="2069"/>
        <w:gridCol w:w="2070"/>
        <w:gridCol w:w="2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070"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4"/>
                <w:highlight w:val="none"/>
              </w:rPr>
            </w:pPr>
            <w:r>
              <w:rPr>
                <w:sz w:val="24"/>
                <w:highlight w:val="none"/>
              </w:rPr>
              <w:t>企业名称</w:t>
            </w:r>
          </w:p>
        </w:tc>
        <w:tc>
          <w:tcPr>
            <w:tcW w:w="2069"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z w:val="24"/>
                <w:highlight w:val="none"/>
              </w:rPr>
            </w:pPr>
          </w:p>
        </w:tc>
        <w:tc>
          <w:tcPr>
            <w:tcW w:w="2070"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4"/>
                <w:highlight w:val="none"/>
              </w:rPr>
            </w:pPr>
            <w:r>
              <w:rPr>
                <w:sz w:val="24"/>
                <w:highlight w:val="none"/>
              </w:rPr>
              <w:t>建立日期</w:t>
            </w:r>
          </w:p>
        </w:tc>
        <w:tc>
          <w:tcPr>
            <w:tcW w:w="2071"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070"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4"/>
                <w:highlight w:val="none"/>
              </w:rPr>
            </w:pPr>
            <w:r>
              <w:rPr>
                <w:sz w:val="24"/>
                <w:highlight w:val="none"/>
              </w:rPr>
              <w:t>经营方式</w:t>
            </w:r>
          </w:p>
        </w:tc>
        <w:tc>
          <w:tcPr>
            <w:tcW w:w="2069"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z w:val="24"/>
                <w:highlight w:val="none"/>
              </w:rPr>
            </w:pPr>
          </w:p>
        </w:tc>
        <w:tc>
          <w:tcPr>
            <w:tcW w:w="2070"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4"/>
                <w:highlight w:val="none"/>
              </w:rPr>
            </w:pPr>
            <w:r>
              <w:rPr>
                <w:sz w:val="24"/>
                <w:highlight w:val="none"/>
              </w:rPr>
              <w:t>企业性质</w:t>
            </w:r>
          </w:p>
        </w:tc>
        <w:tc>
          <w:tcPr>
            <w:tcW w:w="2071"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070"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4"/>
                <w:highlight w:val="none"/>
              </w:rPr>
            </w:pPr>
            <w:r>
              <w:rPr>
                <w:sz w:val="24"/>
                <w:highlight w:val="none"/>
              </w:rPr>
              <w:t>批准单位</w:t>
            </w:r>
          </w:p>
        </w:tc>
        <w:tc>
          <w:tcPr>
            <w:tcW w:w="2069"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z w:val="24"/>
                <w:highlight w:val="none"/>
              </w:rPr>
            </w:pPr>
          </w:p>
        </w:tc>
        <w:tc>
          <w:tcPr>
            <w:tcW w:w="2070"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4"/>
                <w:highlight w:val="none"/>
              </w:rPr>
            </w:pPr>
            <w:r>
              <w:rPr>
                <w:sz w:val="24"/>
                <w:highlight w:val="none"/>
              </w:rPr>
              <w:t>地</w:t>
            </w:r>
            <w:r>
              <w:rPr>
                <w:rFonts w:hint="eastAsia"/>
                <w:sz w:val="24"/>
                <w:highlight w:val="none"/>
                <w:lang w:val="en-US" w:eastAsia="zh-CN"/>
              </w:rPr>
              <w:t xml:space="preserve"> </w:t>
            </w:r>
            <w:r>
              <w:rPr>
                <w:sz w:val="24"/>
                <w:highlight w:val="none"/>
              </w:rPr>
              <w:t>址</w:t>
            </w:r>
          </w:p>
        </w:tc>
        <w:tc>
          <w:tcPr>
            <w:tcW w:w="2071"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070"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z w:val="24"/>
                <w:highlight w:val="none"/>
              </w:rPr>
            </w:pPr>
            <w:r>
              <w:rPr>
                <w:sz w:val="24"/>
                <w:highlight w:val="none"/>
              </w:rPr>
              <w:t>经营范围</w:t>
            </w:r>
          </w:p>
        </w:tc>
        <w:tc>
          <w:tcPr>
            <w:tcW w:w="6210" w:type="dxa"/>
            <w:gridSpan w:val="3"/>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0" w:hRule="atLeast"/>
        </w:trPr>
        <w:tc>
          <w:tcPr>
            <w:tcW w:w="2070" w:type="dxa"/>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line="336" w:lineRule="auto"/>
              <w:ind w:left="0" w:right="0"/>
              <w:jc w:val="center"/>
              <w:textAlignment w:val="auto"/>
              <w:rPr>
                <w:sz w:val="24"/>
                <w:highlight w:val="none"/>
              </w:rPr>
            </w:pPr>
            <w:r>
              <w:rPr>
                <w:sz w:val="24"/>
                <w:highlight w:val="none"/>
              </w:rPr>
              <w:t>投标单位简历</w:t>
            </w:r>
          </w:p>
        </w:tc>
        <w:tc>
          <w:tcPr>
            <w:tcW w:w="6210" w:type="dxa"/>
            <w:gridSpan w:val="3"/>
            <w:vAlign w:val="center"/>
          </w:tcPr>
          <w:p>
            <w:pPr>
              <w:pStyle w:val="19"/>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z w:val="24"/>
                <w:highlight w:val="none"/>
              </w:rPr>
            </w:pPr>
          </w:p>
        </w:tc>
      </w:tr>
    </w:tbl>
    <w:p>
      <w:pPr>
        <w:pStyle w:val="9"/>
        <w:keepNext w:val="0"/>
        <w:keepLines w:val="0"/>
        <w:pageBreakBefore w:val="0"/>
        <w:widowControl w:val="0"/>
        <w:tabs>
          <w:tab w:val="left" w:pos="8587"/>
        </w:tabs>
        <w:kinsoku/>
        <w:wordWrap/>
        <w:overflowPunct/>
        <w:topLinePunct w:val="0"/>
        <w:autoSpaceDE w:val="0"/>
        <w:autoSpaceDN w:val="0"/>
        <w:bidi w:val="0"/>
        <w:adjustRightInd/>
        <w:snapToGrid/>
        <w:spacing w:before="0" w:after="0"/>
        <w:ind w:left="0" w:right="0"/>
        <w:jc w:val="both"/>
        <w:textAlignment w:val="auto"/>
        <w:rPr>
          <w:highlight w:val="none"/>
        </w:rPr>
      </w:pPr>
    </w:p>
    <w:p>
      <w:pPr>
        <w:pStyle w:val="9"/>
        <w:keepNext w:val="0"/>
        <w:keepLines w:val="0"/>
        <w:pageBreakBefore w:val="0"/>
        <w:widowControl w:val="0"/>
        <w:tabs>
          <w:tab w:val="left" w:pos="8587"/>
        </w:tabs>
        <w:kinsoku/>
        <w:wordWrap/>
        <w:overflowPunct/>
        <w:topLinePunct w:val="0"/>
        <w:autoSpaceDE w:val="0"/>
        <w:autoSpaceDN w:val="0"/>
        <w:bidi w:val="0"/>
        <w:adjustRightInd/>
        <w:snapToGrid/>
        <w:spacing w:before="0" w:after="0"/>
        <w:ind w:left="0" w:right="0"/>
        <w:jc w:val="both"/>
        <w:textAlignment w:val="auto"/>
        <w:rPr>
          <w:highlight w:val="none"/>
        </w:rPr>
      </w:pPr>
    </w:p>
    <w:p>
      <w:pPr>
        <w:pStyle w:val="9"/>
        <w:keepNext w:val="0"/>
        <w:keepLines w:val="0"/>
        <w:pageBreakBefore w:val="0"/>
        <w:widowControl w:val="0"/>
        <w:tabs>
          <w:tab w:val="left" w:pos="8587"/>
        </w:tabs>
        <w:kinsoku/>
        <w:wordWrap/>
        <w:overflowPunct/>
        <w:topLinePunct w:val="0"/>
        <w:autoSpaceDE w:val="0"/>
        <w:autoSpaceDN w:val="0"/>
        <w:bidi w:val="0"/>
        <w:adjustRightInd/>
        <w:snapToGrid/>
        <w:spacing w:before="0" w:after="0"/>
        <w:ind w:left="0" w:right="0"/>
        <w:jc w:val="both"/>
        <w:textAlignment w:val="auto"/>
        <w:rPr>
          <w:rFonts w:ascii="Times New Roman" w:eastAsia="Times New Roman"/>
          <w:highlight w:val="none"/>
        </w:rPr>
      </w:pPr>
      <w:r>
        <w:rPr>
          <w:highlight w:val="none"/>
        </w:rPr>
        <w:t>供应商</w:t>
      </w:r>
      <w:r>
        <w:rPr>
          <w:spacing w:val="-8"/>
          <w:highlight w:val="none"/>
        </w:rPr>
        <w:t>:</w:t>
      </w:r>
      <w:r>
        <w:rPr>
          <w:rFonts w:hint="eastAsia"/>
          <w:spacing w:val="-8"/>
          <w:highlight w:val="none"/>
          <w:lang w:val="en-US" w:eastAsia="zh-CN"/>
        </w:rPr>
        <w:t xml:space="preserve">  </w:t>
      </w:r>
      <w:r>
        <w:rPr>
          <w:spacing w:val="-3"/>
          <w:highlight w:val="none"/>
        </w:rPr>
        <w:t>（</w:t>
      </w:r>
      <w:r>
        <w:rPr>
          <w:highlight w:val="none"/>
        </w:rPr>
        <w:t>盖章</w:t>
      </w:r>
      <w:r>
        <w:rPr>
          <w:spacing w:val="-8"/>
          <w:highlight w:val="none"/>
        </w:rPr>
        <w:t>）</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0"/>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6"/>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0"/>
          <w:highlight w:val="none"/>
        </w:rPr>
      </w:pPr>
      <w:r>
        <w:rPr>
          <w:spacing w:val="-1"/>
          <w:sz w:val="28"/>
          <w:highlight w:val="none"/>
        </w:rPr>
        <w:t>法</w:t>
      </w:r>
      <w:r>
        <w:rPr>
          <w:spacing w:val="-3"/>
          <w:sz w:val="28"/>
          <w:highlight w:val="none"/>
        </w:rPr>
        <w:t>定</w:t>
      </w:r>
      <w:r>
        <w:rPr>
          <w:spacing w:val="-1"/>
          <w:sz w:val="28"/>
          <w:highlight w:val="none"/>
        </w:rPr>
        <w:t>代</w:t>
      </w:r>
      <w:r>
        <w:rPr>
          <w:sz w:val="28"/>
          <w:highlight w:val="none"/>
        </w:rPr>
        <w:t>表</w:t>
      </w:r>
      <w:r>
        <w:rPr>
          <w:spacing w:val="-3"/>
          <w:sz w:val="28"/>
          <w:highlight w:val="none"/>
        </w:rPr>
        <w:t>人</w:t>
      </w:r>
      <w:r>
        <w:rPr>
          <w:sz w:val="28"/>
          <w:highlight w:val="none"/>
        </w:rPr>
        <w:t>或全</w:t>
      </w:r>
      <w:r>
        <w:rPr>
          <w:spacing w:val="-3"/>
          <w:sz w:val="28"/>
          <w:highlight w:val="none"/>
        </w:rPr>
        <w:t>权</w:t>
      </w:r>
      <w:r>
        <w:rPr>
          <w:sz w:val="28"/>
          <w:highlight w:val="none"/>
        </w:rPr>
        <w:t>代表</w:t>
      </w:r>
      <w:r>
        <w:rPr>
          <w:spacing w:val="-3"/>
          <w:sz w:val="28"/>
          <w:highlight w:val="none"/>
        </w:rPr>
        <w:t>（</w:t>
      </w:r>
      <w:r>
        <w:rPr>
          <w:sz w:val="28"/>
          <w:highlight w:val="none"/>
        </w:rPr>
        <w:t>签字</w:t>
      </w:r>
      <w:r>
        <w:rPr>
          <w:spacing w:val="-3"/>
          <w:sz w:val="28"/>
          <w:highlight w:val="none"/>
        </w:rPr>
        <w:t>或</w:t>
      </w:r>
      <w:r>
        <w:rPr>
          <w:sz w:val="28"/>
          <w:highlight w:val="none"/>
        </w:rPr>
        <w:t>盖章）：</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ascii="Times New Roman"/>
          <w:sz w:val="27"/>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rFonts w:hint="eastAsia"/>
          <w:spacing w:val="-1"/>
          <w:sz w:val="28"/>
          <w:highlight w:val="none"/>
          <w:lang w:val="en-US" w:eastAsia="zh-CN"/>
        </w:rPr>
      </w:pPr>
      <w:r>
        <w:rPr>
          <w:rFonts w:hint="eastAsia"/>
          <w:spacing w:val="-1"/>
          <w:sz w:val="28"/>
          <w:highlight w:val="none"/>
          <w:lang w:val="en-US" w:eastAsia="zh-CN"/>
        </w:rPr>
        <w:t>日  期：  年  月  日</w:t>
      </w:r>
    </w:p>
    <w:p>
      <w:pPr>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sectPr>
          <w:footerReference r:id="rId9" w:type="default"/>
          <w:pgSz w:w="11910" w:h="16840"/>
          <w:pgMar w:top="1420" w:right="1620" w:bottom="880" w:left="1580" w:header="0" w:footer="686" w:gutter="0"/>
          <w:pgBorders>
            <w:top w:val="none" w:sz="0" w:space="0"/>
            <w:left w:val="none" w:sz="0" w:space="0"/>
            <w:bottom w:val="none" w:sz="0" w:space="0"/>
            <w:right w:val="none" w:sz="0" w:space="0"/>
          </w:pgBorders>
          <w:pgNumType w:fmt="decimal"/>
        </w:sectPr>
      </w:pPr>
    </w:p>
    <w:p>
      <w:pPr>
        <w:pStyle w:val="4"/>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highlight w:val="none"/>
        </w:rPr>
      </w:pPr>
      <w:r>
        <w:rPr>
          <w:rFonts w:hint="eastAsia"/>
          <w:highlight w:val="none"/>
          <w:lang w:val="en-US" w:eastAsia="zh-CN"/>
        </w:rPr>
        <w:t>5、</w:t>
      </w:r>
      <w:r>
        <w:rPr>
          <w:highlight w:val="none"/>
        </w:rPr>
        <w:t>商务条款偏离表</w:t>
      </w:r>
    </w:p>
    <w:p>
      <w:pPr>
        <w:pStyle w:val="4"/>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highlight w:val="none"/>
        </w:rPr>
      </w:pPr>
    </w:p>
    <w:p>
      <w:pPr>
        <w:keepNext w:val="0"/>
        <w:keepLines w:val="0"/>
        <w:pageBreakBefore w:val="0"/>
        <w:widowControl w:val="0"/>
        <w:tabs>
          <w:tab w:val="left" w:pos="6482"/>
        </w:tabs>
        <w:kinsoku/>
        <w:wordWrap/>
        <w:overflowPunct/>
        <w:topLinePunct w:val="0"/>
        <w:autoSpaceDE w:val="0"/>
        <w:autoSpaceDN w:val="0"/>
        <w:bidi w:val="0"/>
        <w:adjustRightInd/>
        <w:snapToGrid/>
        <w:spacing w:before="0" w:after="0" w:line="324" w:lineRule="auto"/>
        <w:ind w:left="0" w:right="0" w:firstLine="554"/>
        <w:jc w:val="both"/>
        <w:textAlignment w:val="auto"/>
        <w:rPr>
          <w:sz w:val="24"/>
          <w:highlight w:val="none"/>
        </w:rPr>
      </w:pPr>
      <w:r>
        <w:rPr>
          <w:sz w:val="24"/>
          <w:highlight w:val="none"/>
        </w:rPr>
        <w:t xml:space="preserve">（由投标人据实提交，商务条款按编写序号须逐条对应） </w:t>
      </w:r>
    </w:p>
    <w:p>
      <w:pPr>
        <w:keepNext w:val="0"/>
        <w:keepLines w:val="0"/>
        <w:pageBreakBefore w:val="0"/>
        <w:widowControl w:val="0"/>
        <w:tabs>
          <w:tab w:val="left" w:pos="6482"/>
        </w:tabs>
        <w:kinsoku/>
        <w:wordWrap/>
        <w:overflowPunct/>
        <w:topLinePunct w:val="0"/>
        <w:autoSpaceDE w:val="0"/>
        <w:autoSpaceDN w:val="0"/>
        <w:bidi w:val="0"/>
        <w:adjustRightInd/>
        <w:snapToGrid/>
        <w:spacing w:before="0" w:after="0" w:line="324" w:lineRule="auto"/>
        <w:ind w:left="0" w:right="0" w:firstLine="554"/>
        <w:jc w:val="both"/>
        <w:textAlignment w:val="auto"/>
        <w:rPr>
          <w:rFonts w:hint="eastAsia"/>
          <w:b/>
          <w:sz w:val="24"/>
          <w:highlight w:val="none"/>
          <w:lang w:val="en-US" w:eastAsia="zh-CN"/>
        </w:rPr>
      </w:pPr>
      <w:r>
        <w:rPr>
          <w:b/>
          <w:sz w:val="24"/>
          <w:highlight w:val="none"/>
        </w:rPr>
        <w:t>项目名称：</w:t>
      </w:r>
      <w:r>
        <w:rPr>
          <w:rFonts w:hint="eastAsia"/>
          <w:b/>
          <w:sz w:val="24"/>
          <w:highlight w:val="none"/>
          <w:lang w:val="en-US" w:eastAsia="zh-CN"/>
        </w:rPr>
        <w:t xml:space="preserve">          </w:t>
      </w:r>
    </w:p>
    <w:p>
      <w:pPr>
        <w:keepNext w:val="0"/>
        <w:keepLines w:val="0"/>
        <w:pageBreakBefore w:val="0"/>
        <w:widowControl w:val="0"/>
        <w:tabs>
          <w:tab w:val="left" w:pos="6482"/>
        </w:tabs>
        <w:kinsoku/>
        <w:wordWrap/>
        <w:overflowPunct/>
        <w:topLinePunct w:val="0"/>
        <w:autoSpaceDE w:val="0"/>
        <w:autoSpaceDN w:val="0"/>
        <w:bidi w:val="0"/>
        <w:adjustRightInd/>
        <w:snapToGrid/>
        <w:spacing w:before="0" w:after="0" w:line="324" w:lineRule="auto"/>
        <w:ind w:left="0" w:right="0" w:firstLine="554"/>
        <w:jc w:val="both"/>
        <w:textAlignment w:val="auto"/>
        <w:rPr>
          <w:b/>
          <w:w w:val="95"/>
          <w:sz w:val="24"/>
          <w:highlight w:val="none"/>
        </w:rPr>
      </w:pPr>
      <w:r>
        <w:rPr>
          <w:b/>
          <w:w w:val="95"/>
          <w:sz w:val="24"/>
          <w:highlight w:val="none"/>
        </w:rPr>
        <w:t>项目编号：</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9"/>
        <w:gridCol w:w="1989"/>
        <w:gridCol w:w="1989"/>
        <w:gridCol w:w="1989"/>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vAlign w:val="center"/>
          </w:tcPr>
          <w:p>
            <w:pPr>
              <w:ind w:left="0" w:leftChars="0" w:right="0" w:rightChars="0"/>
              <w:jc w:val="center"/>
              <w:rPr>
                <w:b/>
                <w:bCs/>
                <w:sz w:val="40"/>
                <w:szCs w:val="28"/>
                <w:highlight w:val="none"/>
                <w:vertAlign w:val="baseline"/>
              </w:rPr>
            </w:pPr>
            <w:r>
              <w:rPr>
                <w:rFonts w:hint="eastAsia" w:asciiTheme="minorEastAsia" w:hAnsiTheme="minorEastAsia"/>
                <w:b/>
                <w:bCs/>
                <w:color w:val="000000" w:themeColor="text1"/>
                <w:sz w:val="24"/>
                <w:highlight w:val="none"/>
              </w:rPr>
              <w:t>序号</w:t>
            </w:r>
          </w:p>
        </w:tc>
        <w:tc>
          <w:tcPr>
            <w:tcW w:w="1989" w:type="dxa"/>
            <w:vAlign w:val="center"/>
          </w:tcPr>
          <w:p>
            <w:pPr>
              <w:ind w:left="0" w:leftChars="0" w:right="0" w:rightChars="0"/>
              <w:jc w:val="center"/>
              <w:rPr>
                <w:b/>
                <w:bCs/>
                <w:sz w:val="40"/>
                <w:szCs w:val="28"/>
                <w:highlight w:val="none"/>
                <w:vertAlign w:val="baseline"/>
              </w:rPr>
            </w:pPr>
            <w:r>
              <w:rPr>
                <w:rFonts w:hint="eastAsia" w:asciiTheme="minorEastAsia" w:hAnsiTheme="minorEastAsia"/>
                <w:b/>
                <w:bCs/>
                <w:color w:val="000000" w:themeColor="text1"/>
                <w:sz w:val="24"/>
                <w:highlight w:val="none"/>
              </w:rPr>
              <w:t>招标文件条目号</w:t>
            </w:r>
          </w:p>
        </w:tc>
        <w:tc>
          <w:tcPr>
            <w:tcW w:w="1989" w:type="dxa"/>
            <w:vAlign w:val="center"/>
          </w:tcPr>
          <w:p>
            <w:pPr>
              <w:ind w:left="0" w:leftChars="0" w:right="0" w:rightChars="0"/>
              <w:jc w:val="center"/>
              <w:rPr>
                <w:b/>
                <w:bCs/>
                <w:sz w:val="40"/>
                <w:szCs w:val="28"/>
                <w:highlight w:val="none"/>
                <w:vertAlign w:val="baseline"/>
              </w:rPr>
            </w:pPr>
            <w:r>
              <w:rPr>
                <w:rFonts w:hint="eastAsia" w:asciiTheme="minorEastAsia" w:hAnsiTheme="minorEastAsia"/>
                <w:b/>
                <w:bCs/>
                <w:color w:val="000000" w:themeColor="text1"/>
                <w:sz w:val="24"/>
                <w:highlight w:val="none"/>
              </w:rPr>
              <w:t>招标文件的合同条款</w:t>
            </w:r>
          </w:p>
        </w:tc>
        <w:tc>
          <w:tcPr>
            <w:tcW w:w="1989" w:type="dxa"/>
            <w:vAlign w:val="center"/>
          </w:tcPr>
          <w:p>
            <w:pPr>
              <w:ind w:left="0" w:leftChars="0" w:right="0" w:rightChars="0"/>
              <w:jc w:val="center"/>
              <w:rPr>
                <w:b/>
                <w:bCs/>
                <w:sz w:val="40"/>
                <w:szCs w:val="28"/>
                <w:highlight w:val="none"/>
                <w:vertAlign w:val="baseline"/>
              </w:rPr>
            </w:pPr>
            <w:r>
              <w:rPr>
                <w:rFonts w:hint="eastAsia" w:asciiTheme="minorEastAsia" w:hAnsiTheme="minorEastAsia"/>
                <w:b/>
                <w:bCs/>
                <w:color w:val="000000" w:themeColor="text1"/>
                <w:sz w:val="24"/>
                <w:highlight w:val="none"/>
              </w:rPr>
              <w:t>投标文件的合同条款</w:t>
            </w:r>
          </w:p>
        </w:tc>
        <w:tc>
          <w:tcPr>
            <w:tcW w:w="1267" w:type="dxa"/>
            <w:vAlign w:val="center"/>
          </w:tcPr>
          <w:p>
            <w:pPr>
              <w:pStyle w:val="16"/>
              <w:jc w:val="center"/>
              <w:rPr>
                <w:b/>
                <w:bCs/>
                <w:sz w:val="40"/>
                <w:szCs w:val="28"/>
                <w:highlight w:val="none"/>
                <w:vertAlign w:val="baseline"/>
              </w:rPr>
            </w:pPr>
            <w:r>
              <w:rPr>
                <w:b/>
                <w:bCs/>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tcPr>
          <w:p>
            <w:pPr>
              <w:pStyle w:val="16"/>
              <w:jc w:val="both"/>
              <w:rPr>
                <w:sz w:val="40"/>
                <w:szCs w:val="28"/>
                <w:highlight w:val="none"/>
                <w:vertAlign w:val="baseline"/>
              </w:rPr>
            </w:pPr>
          </w:p>
        </w:tc>
        <w:tc>
          <w:tcPr>
            <w:tcW w:w="1989" w:type="dxa"/>
          </w:tcPr>
          <w:p>
            <w:pPr>
              <w:pStyle w:val="16"/>
              <w:jc w:val="both"/>
              <w:rPr>
                <w:sz w:val="40"/>
                <w:szCs w:val="28"/>
                <w:highlight w:val="none"/>
                <w:vertAlign w:val="baseline"/>
              </w:rPr>
            </w:pPr>
          </w:p>
        </w:tc>
        <w:tc>
          <w:tcPr>
            <w:tcW w:w="1989" w:type="dxa"/>
          </w:tcPr>
          <w:p>
            <w:pPr>
              <w:pStyle w:val="16"/>
              <w:jc w:val="both"/>
              <w:rPr>
                <w:sz w:val="40"/>
                <w:szCs w:val="28"/>
                <w:highlight w:val="none"/>
                <w:vertAlign w:val="baseline"/>
              </w:rPr>
            </w:pPr>
          </w:p>
        </w:tc>
        <w:tc>
          <w:tcPr>
            <w:tcW w:w="1989" w:type="dxa"/>
          </w:tcPr>
          <w:p>
            <w:pPr>
              <w:pStyle w:val="16"/>
              <w:jc w:val="both"/>
              <w:rPr>
                <w:sz w:val="40"/>
                <w:szCs w:val="28"/>
                <w:highlight w:val="none"/>
                <w:vertAlign w:val="baseline"/>
              </w:rPr>
            </w:pPr>
          </w:p>
        </w:tc>
        <w:tc>
          <w:tcPr>
            <w:tcW w:w="1267" w:type="dxa"/>
          </w:tcPr>
          <w:p>
            <w:pPr>
              <w:pStyle w:val="16"/>
              <w:jc w:val="both"/>
              <w:rPr>
                <w:sz w:val="40"/>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tcPr>
          <w:p>
            <w:pPr>
              <w:pStyle w:val="16"/>
              <w:jc w:val="both"/>
              <w:rPr>
                <w:sz w:val="40"/>
                <w:szCs w:val="28"/>
                <w:highlight w:val="none"/>
                <w:vertAlign w:val="baseline"/>
              </w:rPr>
            </w:pPr>
          </w:p>
        </w:tc>
        <w:tc>
          <w:tcPr>
            <w:tcW w:w="1989" w:type="dxa"/>
          </w:tcPr>
          <w:p>
            <w:pPr>
              <w:pStyle w:val="16"/>
              <w:jc w:val="both"/>
              <w:rPr>
                <w:sz w:val="40"/>
                <w:szCs w:val="28"/>
                <w:highlight w:val="none"/>
                <w:vertAlign w:val="baseline"/>
              </w:rPr>
            </w:pPr>
          </w:p>
        </w:tc>
        <w:tc>
          <w:tcPr>
            <w:tcW w:w="1989" w:type="dxa"/>
          </w:tcPr>
          <w:p>
            <w:pPr>
              <w:pStyle w:val="16"/>
              <w:jc w:val="both"/>
              <w:rPr>
                <w:sz w:val="40"/>
                <w:szCs w:val="28"/>
                <w:highlight w:val="none"/>
                <w:vertAlign w:val="baseline"/>
              </w:rPr>
            </w:pPr>
          </w:p>
        </w:tc>
        <w:tc>
          <w:tcPr>
            <w:tcW w:w="1989" w:type="dxa"/>
          </w:tcPr>
          <w:p>
            <w:pPr>
              <w:pStyle w:val="16"/>
              <w:jc w:val="both"/>
              <w:rPr>
                <w:sz w:val="40"/>
                <w:szCs w:val="28"/>
                <w:highlight w:val="none"/>
                <w:vertAlign w:val="baseline"/>
              </w:rPr>
            </w:pPr>
          </w:p>
        </w:tc>
        <w:tc>
          <w:tcPr>
            <w:tcW w:w="1267" w:type="dxa"/>
          </w:tcPr>
          <w:p>
            <w:pPr>
              <w:pStyle w:val="16"/>
              <w:jc w:val="both"/>
              <w:rPr>
                <w:sz w:val="40"/>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tcPr>
          <w:p>
            <w:pPr>
              <w:pStyle w:val="16"/>
              <w:jc w:val="both"/>
              <w:rPr>
                <w:sz w:val="40"/>
                <w:szCs w:val="28"/>
                <w:highlight w:val="none"/>
                <w:vertAlign w:val="baseline"/>
              </w:rPr>
            </w:pPr>
          </w:p>
        </w:tc>
        <w:tc>
          <w:tcPr>
            <w:tcW w:w="1989" w:type="dxa"/>
          </w:tcPr>
          <w:p>
            <w:pPr>
              <w:pStyle w:val="16"/>
              <w:jc w:val="both"/>
              <w:rPr>
                <w:sz w:val="40"/>
                <w:szCs w:val="28"/>
                <w:highlight w:val="none"/>
                <w:vertAlign w:val="baseline"/>
              </w:rPr>
            </w:pPr>
          </w:p>
        </w:tc>
        <w:tc>
          <w:tcPr>
            <w:tcW w:w="1989" w:type="dxa"/>
          </w:tcPr>
          <w:p>
            <w:pPr>
              <w:pStyle w:val="16"/>
              <w:jc w:val="both"/>
              <w:rPr>
                <w:sz w:val="40"/>
                <w:szCs w:val="28"/>
                <w:highlight w:val="none"/>
                <w:vertAlign w:val="baseline"/>
              </w:rPr>
            </w:pPr>
          </w:p>
        </w:tc>
        <w:tc>
          <w:tcPr>
            <w:tcW w:w="1989" w:type="dxa"/>
          </w:tcPr>
          <w:p>
            <w:pPr>
              <w:pStyle w:val="16"/>
              <w:jc w:val="both"/>
              <w:rPr>
                <w:sz w:val="40"/>
                <w:szCs w:val="28"/>
                <w:highlight w:val="none"/>
                <w:vertAlign w:val="baseline"/>
              </w:rPr>
            </w:pPr>
          </w:p>
        </w:tc>
        <w:tc>
          <w:tcPr>
            <w:tcW w:w="1267" w:type="dxa"/>
          </w:tcPr>
          <w:p>
            <w:pPr>
              <w:pStyle w:val="16"/>
              <w:jc w:val="both"/>
              <w:rPr>
                <w:sz w:val="40"/>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tcPr>
          <w:p>
            <w:pPr>
              <w:pStyle w:val="16"/>
              <w:jc w:val="both"/>
              <w:rPr>
                <w:sz w:val="40"/>
                <w:szCs w:val="28"/>
                <w:highlight w:val="none"/>
                <w:vertAlign w:val="baseline"/>
              </w:rPr>
            </w:pPr>
          </w:p>
        </w:tc>
        <w:tc>
          <w:tcPr>
            <w:tcW w:w="1989" w:type="dxa"/>
          </w:tcPr>
          <w:p>
            <w:pPr>
              <w:pStyle w:val="16"/>
              <w:jc w:val="both"/>
              <w:rPr>
                <w:sz w:val="40"/>
                <w:szCs w:val="28"/>
                <w:highlight w:val="none"/>
                <w:vertAlign w:val="baseline"/>
              </w:rPr>
            </w:pPr>
          </w:p>
        </w:tc>
        <w:tc>
          <w:tcPr>
            <w:tcW w:w="1989" w:type="dxa"/>
          </w:tcPr>
          <w:p>
            <w:pPr>
              <w:pStyle w:val="16"/>
              <w:jc w:val="both"/>
              <w:rPr>
                <w:sz w:val="40"/>
                <w:szCs w:val="28"/>
                <w:highlight w:val="none"/>
                <w:vertAlign w:val="baseline"/>
              </w:rPr>
            </w:pPr>
          </w:p>
        </w:tc>
        <w:tc>
          <w:tcPr>
            <w:tcW w:w="1989" w:type="dxa"/>
          </w:tcPr>
          <w:p>
            <w:pPr>
              <w:pStyle w:val="16"/>
              <w:jc w:val="both"/>
              <w:rPr>
                <w:sz w:val="40"/>
                <w:szCs w:val="28"/>
                <w:highlight w:val="none"/>
                <w:vertAlign w:val="baseline"/>
              </w:rPr>
            </w:pPr>
          </w:p>
        </w:tc>
        <w:tc>
          <w:tcPr>
            <w:tcW w:w="1267" w:type="dxa"/>
          </w:tcPr>
          <w:p>
            <w:pPr>
              <w:pStyle w:val="16"/>
              <w:jc w:val="both"/>
              <w:rPr>
                <w:sz w:val="40"/>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tcPr>
          <w:p>
            <w:pPr>
              <w:pStyle w:val="16"/>
              <w:jc w:val="both"/>
              <w:rPr>
                <w:sz w:val="40"/>
                <w:szCs w:val="28"/>
                <w:highlight w:val="none"/>
                <w:vertAlign w:val="baseline"/>
              </w:rPr>
            </w:pPr>
          </w:p>
        </w:tc>
        <w:tc>
          <w:tcPr>
            <w:tcW w:w="1989" w:type="dxa"/>
          </w:tcPr>
          <w:p>
            <w:pPr>
              <w:pStyle w:val="16"/>
              <w:jc w:val="both"/>
              <w:rPr>
                <w:sz w:val="40"/>
                <w:szCs w:val="28"/>
                <w:highlight w:val="none"/>
                <w:vertAlign w:val="baseline"/>
              </w:rPr>
            </w:pPr>
          </w:p>
        </w:tc>
        <w:tc>
          <w:tcPr>
            <w:tcW w:w="1989" w:type="dxa"/>
          </w:tcPr>
          <w:p>
            <w:pPr>
              <w:pStyle w:val="16"/>
              <w:jc w:val="both"/>
              <w:rPr>
                <w:sz w:val="40"/>
                <w:szCs w:val="28"/>
                <w:highlight w:val="none"/>
                <w:vertAlign w:val="baseline"/>
              </w:rPr>
            </w:pPr>
          </w:p>
        </w:tc>
        <w:tc>
          <w:tcPr>
            <w:tcW w:w="1989" w:type="dxa"/>
          </w:tcPr>
          <w:p>
            <w:pPr>
              <w:pStyle w:val="16"/>
              <w:jc w:val="both"/>
              <w:rPr>
                <w:sz w:val="40"/>
                <w:szCs w:val="28"/>
                <w:highlight w:val="none"/>
                <w:vertAlign w:val="baseline"/>
              </w:rPr>
            </w:pPr>
          </w:p>
        </w:tc>
        <w:tc>
          <w:tcPr>
            <w:tcW w:w="1267" w:type="dxa"/>
          </w:tcPr>
          <w:p>
            <w:pPr>
              <w:pStyle w:val="16"/>
              <w:jc w:val="both"/>
              <w:rPr>
                <w:sz w:val="40"/>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tcPr>
          <w:p>
            <w:pPr>
              <w:pStyle w:val="16"/>
              <w:jc w:val="both"/>
              <w:rPr>
                <w:sz w:val="40"/>
                <w:szCs w:val="28"/>
                <w:highlight w:val="none"/>
                <w:vertAlign w:val="baseline"/>
              </w:rPr>
            </w:pPr>
          </w:p>
        </w:tc>
        <w:tc>
          <w:tcPr>
            <w:tcW w:w="1989" w:type="dxa"/>
          </w:tcPr>
          <w:p>
            <w:pPr>
              <w:pStyle w:val="16"/>
              <w:jc w:val="both"/>
              <w:rPr>
                <w:sz w:val="40"/>
                <w:szCs w:val="28"/>
                <w:highlight w:val="none"/>
                <w:vertAlign w:val="baseline"/>
              </w:rPr>
            </w:pPr>
          </w:p>
        </w:tc>
        <w:tc>
          <w:tcPr>
            <w:tcW w:w="1989" w:type="dxa"/>
          </w:tcPr>
          <w:p>
            <w:pPr>
              <w:pStyle w:val="16"/>
              <w:jc w:val="both"/>
              <w:rPr>
                <w:sz w:val="40"/>
                <w:szCs w:val="28"/>
                <w:highlight w:val="none"/>
                <w:vertAlign w:val="baseline"/>
              </w:rPr>
            </w:pPr>
          </w:p>
        </w:tc>
        <w:tc>
          <w:tcPr>
            <w:tcW w:w="1989" w:type="dxa"/>
          </w:tcPr>
          <w:p>
            <w:pPr>
              <w:pStyle w:val="16"/>
              <w:jc w:val="both"/>
              <w:rPr>
                <w:sz w:val="40"/>
                <w:szCs w:val="28"/>
                <w:highlight w:val="none"/>
                <w:vertAlign w:val="baseline"/>
              </w:rPr>
            </w:pPr>
          </w:p>
        </w:tc>
        <w:tc>
          <w:tcPr>
            <w:tcW w:w="1267" w:type="dxa"/>
          </w:tcPr>
          <w:p>
            <w:pPr>
              <w:pStyle w:val="16"/>
              <w:jc w:val="both"/>
              <w:rPr>
                <w:sz w:val="40"/>
                <w:szCs w:val="28"/>
                <w:highlight w:val="none"/>
                <w:vertAlign w:val="baseline"/>
              </w:rPr>
            </w:pPr>
          </w:p>
        </w:tc>
      </w:tr>
    </w:tbl>
    <w:p>
      <w:pPr>
        <w:pStyle w:val="16"/>
        <w:jc w:val="both"/>
        <w:rPr>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注：1.按照要求详细填列。</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2.行数不够，可自行添加。</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3.</w:t>
      </w:r>
      <w:r>
        <w:rPr>
          <w:spacing w:val="-20"/>
          <w:highlight w:val="none"/>
        </w:rPr>
        <w:t>请如实填写偏离表，如果虚假响应，将被暂停进入铜仁市公共资源交易中心</w:t>
      </w:r>
      <w:r>
        <w:rPr>
          <w:rFonts w:hint="eastAsia"/>
          <w:spacing w:val="-20"/>
          <w:highlight w:val="none"/>
          <w:lang w:val="en-US" w:eastAsia="zh-CN"/>
        </w:rPr>
        <w:t>江口分中心</w:t>
      </w:r>
      <w:r>
        <w:rPr>
          <w:highlight w:val="none"/>
        </w:rPr>
        <w:t>（政府采购活动。</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7"/>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供应商： （盖章）</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19"/>
          <w:highlight w:val="none"/>
        </w:rPr>
      </w:pPr>
    </w:p>
    <w:p>
      <w:pPr>
        <w:pStyle w:val="9"/>
        <w:keepNext w:val="0"/>
        <w:keepLines w:val="0"/>
        <w:pageBreakBefore w:val="0"/>
        <w:widowControl w:val="0"/>
        <w:tabs>
          <w:tab w:val="left" w:pos="5087"/>
          <w:tab w:val="left" w:pos="5747"/>
          <w:tab w:val="left" w:pos="6587"/>
        </w:tabs>
        <w:kinsoku/>
        <w:wordWrap/>
        <w:overflowPunct/>
        <w:topLinePunct w:val="0"/>
        <w:autoSpaceDE w:val="0"/>
        <w:autoSpaceDN w:val="0"/>
        <w:bidi w:val="0"/>
        <w:adjustRightInd/>
        <w:snapToGrid/>
        <w:spacing w:before="0" w:after="0" w:line="672" w:lineRule="auto"/>
        <w:ind w:left="0" w:right="0" w:hanging="108"/>
        <w:jc w:val="both"/>
        <w:textAlignment w:val="auto"/>
        <w:rPr>
          <w:highlight w:val="none"/>
        </w:rPr>
      </w:pPr>
      <w:r>
        <w:rPr>
          <w:highlight w:val="none"/>
        </w:rPr>
        <w:t xml:space="preserve">法定代表人或授权代表签字（或盖章）： </w:t>
      </w:r>
    </w:p>
    <w:p>
      <w:pPr>
        <w:pStyle w:val="9"/>
        <w:keepNext w:val="0"/>
        <w:keepLines w:val="0"/>
        <w:pageBreakBefore w:val="0"/>
        <w:widowControl w:val="0"/>
        <w:tabs>
          <w:tab w:val="left" w:pos="5087"/>
          <w:tab w:val="left" w:pos="5747"/>
          <w:tab w:val="left" w:pos="6587"/>
        </w:tabs>
        <w:kinsoku/>
        <w:wordWrap/>
        <w:overflowPunct/>
        <w:topLinePunct w:val="0"/>
        <w:autoSpaceDE w:val="0"/>
        <w:autoSpaceDN w:val="0"/>
        <w:bidi w:val="0"/>
        <w:adjustRightInd/>
        <w:snapToGrid/>
        <w:spacing w:before="0" w:after="0" w:line="672" w:lineRule="auto"/>
        <w:ind w:left="0" w:right="0" w:hanging="108"/>
        <w:jc w:val="both"/>
        <w:textAlignment w:val="auto"/>
        <w:rPr>
          <w:highlight w:val="none"/>
        </w:rPr>
      </w:pPr>
      <w:r>
        <w:rPr>
          <w:highlight w:val="none"/>
        </w:rPr>
        <w:t>日</w:t>
      </w:r>
      <w:r>
        <w:rPr>
          <w:spacing w:val="-60"/>
          <w:highlight w:val="none"/>
        </w:rPr>
        <w:t xml:space="preserve"> </w:t>
      </w:r>
      <w:r>
        <w:rPr>
          <w:rFonts w:hint="eastAsia"/>
          <w:spacing w:val="-60"/>
          <w:highlight w:val="none"/>
          <w:lang w:val="en-US" w:eastAsia="zh-CN"/>
        </w:rPr>
        <w:t xml:space="preserve">  </w:t>
      </w:r>
      <w:r>
        <w:rPr>
          <w:highlight w:val="none"/>
        </w:rPr>
        <w:t>期</w:t>
      </w:r>
      <w:r>
        <w:rPr>
          <w:spacing w:val="-60"/>
          <w:highlight w:val="none"/>
        </w:rPr>
        <w:t xml:space="preserve"> </w:t>
      </w:r>
      <w:r>
        <w:rPr>
          <w:highlight w:val="none"/>
        </w:rPr>
        <w:t>：</w:t>
      </w:r>
      <w:r>
        <w:rPr>
          <w:rFonts w:hint="eastAsia"/>
          <w:highlight w:val="none"/>
          <w:lang w:val="en-US" w:eastAsia="zh-CN"/>
        </w:rPr>
        <w:t xml:space="preserve">   </w:t>
      </w:r>
      <w:r>
        <w:rPr>
          <w:highlight w:val="none"/>
        </w:rPr>
        <w:t>年</w:t>
      </w:r>
      <w:r>
        <w:rPr>
          <w:rFonts w:hint="eastAsia"/>
          <w:highlight w:val="none"/>
          <w:lang w:val="en-US" w:eastAsia="zh-CN"/>
        </w:rPr>
        <w:t xml:space="preserve">   </w:t>
      </w:r>
      <w:r>
        <w:rPr>
          <w:highlight w:val="none"/>
        </w:rPr>
        <w:t>月</w:t>
      </w:r>
      <w:r>
        <w:rPr>
          <w:rFonts w:hint="eastAsia"/>
          <w:highlight w:val="none"/>
          <w:lang w:val="en-US" w:eastAsia="zh-CN"/>
        </w:rPr>
        <w:t xml:space="preserve">   </w:t>
      </w:r>
      <w:r>
        <w:rPr>
          <w:highlight w:val="none"/>
        </w:rPr>
        <w:t>日</w:t>
      </w:r>
    </w:p>
    <w:p>
      <w:pPr>
        <w:keepNext w:val="0"/>
        <w:keepLines w:val="0"/>
        <w:pageBreakBefore w:val="0"/>
        <w:widowControl w:val="0"/>
        <w:kinsoku/>
        <w:wordWrap/>
        <w:overflowPunct/>
        <w:topLinePunct w:val="0"/>
        <w:autoSpaceDE w:val="0"/>
        <w:autoSpaceDN w:val="0"/>
        <w:bidi w:val="0"/>
        <w:adjustRightInd/>
        <w:snapToGrid/>
        <w:spacing w:before="0" w:after="0" w:line="672" w:lineRule="auto"/>
        <w:ind w:left="0" w:right="0"/>
        <w:jc w:val="both"/>
        <w:textAlignment w:val="auto"/>
        <w:rPr>
          <w:highlight w:val="none"/>
        </w:rPr>
        <w:sectPr>
          <w:pgSz w:w="11910" w:h="16840"/>
          <w:pgMar w:top="1480" w:right="1134" w:bottom="880" w:left="1680" w:header="0" w:footer="686" w:gutter="0"/>
          <w:pgBorders>
            <w:top w:val="none" w:sz="0" w:space="0"/>
            <w:left w:val="none" w:sz="0" w:space="0"/>
            <w:bottom w:val="none" w:sz="0" w:space="0"/>
            <w:right w:val="none" w:sz="0" w:space="0"/>
          </w:pgBorders>
          <w:pgNumType w:fmt="decimal"/>
        </w:sect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15"/>
          <w:highlight w:val="none"/>
        </w:rPr>
      </w:pPr>
    </w:p>
    <w:p>
      <w:pPr>
        <w:pStyle w:val="4"/>
        <w:keepNext w:val="0"/>
        <w:keepLines w:val="0"/>
        <w:pageBreakBefore w:val="0"/>
        <w:widowControl w:val="0"/>
        <w:kinsoku/>
        <w:wordWrap/>
        <w:overflowPunct/>
        <w:topLinePunct w:val="0"/>
        <w:autoSpaceDE w:val="0"/>
        <w:autoSpaceDN w:val="0"/>
        <w:bidi w:val="0"/>
        <w:adjustRightInd/>
        <w:snapToGrid/>
        <w:spacing w:before="0" w:after="0" w:line="461" w:lineRule="exact"/>
        <w:ind w:left="0" w:right="0"/>
        <w:jc w:val="center"/>
        <w:textAlignment w:val="auto"/>
        <w:rPr>
          <w:highlight w:val="none"/>
        </w:rPr>
      </w:pPr>
      <w:r>
        <w:rPr>
          <w:rFonts w:hint="eastAsia"/>
          <w:highlight w:val="none"/>
          <w:lang w:val="en-US" w:eastAsia="zh-CN"/>
        </w:rPr>
        <w:t>6、</w:t>
      </w:r>
      <w:r>
        <w:rPr>
          <w:highlight w:val="none"/>
        </w:rPr>
        <w:t>技术规格偏离表</w:t>
      </w:r>
    </w:p>
    <w:p>
      <w:pPr>
        <w:keepNext w:val="0"/>
        <w:keepLines w:val="0"/>
        <w:pageBreakBefore w:val="0"/>
        <w:widowControl w:val="0"/>
        <w:tabs>
          <w:tab w:val="left" w:pos="6482"/>
        </w:tabs>
        <w:kinsoku/>
        <w:wordWrap/>
        <w:overflowPunct/>
        <w:topLinePunct w:val="0"/>
        <w:autoSpaceDE w:val="0"/>
        <w:autoSpaceDN w:val="0"/>
        <w:bidi w:val="0"/>
        <w:adjustRightInd/>
        <w:snapToGrid/>
        <w:spacing w:before="0" w:after="0" w:line="324" w:lineRule="auto"/>
        <w:ind w:left="0" w:right="0" w:firstLine="554"/>
        <w:jc w:val="both"/>
        <w:textAlignment w:val="auto"/>
        <w:rPr>
          <w:sz w:val="24"/>
          <w:highlight w:val="none"/>
        </w:rPr>
      </w:pPr>
      <w:r>
        <w:rPr>
          <w:sz w:val="24"/>
          <w:highlight w:val="none"/>
        </w:rPr>
        <w:t xml:space="preserve">（由供应商据实提交，技术参数须按编写序号须逐条对应） </w:t>
      </w:r>
    </w:p>
    <w:p>
      <w:pPr>
        <w:keepNext w:val="0"/>
        <w:keepLines w:val="0"/>
        <w:pageBreakBefore w:val="0"/>
        <w:widowControl w:val="0"/>
        <w:tabs>
          <w:tab w:val="left" w:pos="6482"/>
        </w:tabs>
        <w:kinsoku/>
        <w:wordWrap/>
        <w:overflowPunct/>
        <w:topLinePunct w:val="0"/>
        <w:autoSpaceDE w:val="0"/>
        <w:autoSpaceDN w:val="0"/>
        <w:bidi w:val="0"/>
        <w:adjustRightInd/>
        <w:snapToGrid/>
        <w:spacing w:before="0" w:after="0" w:line="324" w:lineRule="auto"/>
        <w:ind w:left="0" w:right="0" w:firstLine="554"/>
        <w:jc w:val="both"/>
        <w:textAlignment w:val="auto"/>
        <w:rPr>
          <w:b/>
          <w:sz w:val="24"/>
          <w:highlight w:val="none"/>
        </w:rPr>
      </w:pPr>
      <w:r>
        <w:rPr>
          <w:b/>
          <w:sz w:val="24"/>
          <w:highlight w:val="none"/>
        </w:rPr>
        <w:t>项目名称：</w:t>
      </w:r>
    </w:p>
    <w:p>
      <w:pPr>
        <w:keepNext w:val="0"/>
        <w:keepLines w:val="0"/>
        <w:pageBreakBefore w:val="0"/>
        <w:widowControl w:val="0"/>
        <w:tabs>
          <w:tab w:val="left" w:pos="6482"/>
        </w:tabs>
        <w:kinsoku/>
        <w:wordWrap/>
        <w:overflowPunct/>
        <w:topLinePunct w:val="0"/>
        <w:autoSpaceDE w:val="0"/>
        <w:autoSpaceDN w:val="0"/>
        <w:bidi w:val="0"/>
        <w:adjustRightInd/>
        <w:snapToGrid/>
        <w:spacing w:before="0" w:after="0" w:line="324" w:lineRule="auto"/>
        <w:ind w:left="0" w:right="0" w:firstLine="554"/>
        <w:jc w:val="both"/>
        <w:textAlignment w:val="auto"/>
        <w:rPr>
          <w:b/>
          <w:sz w:val="24"/>
          <w:highlight w:val="none"/>
        </w:rPr>
      </w:pPr>
      <w:r>
        <w:rPr>
          <w:b/>
          <w:w w:val="95"/>
          <w:sz w:val="24"/>
          <w:highlight w:val="none"/>
        </w:rPr>
        <w:t>项目编号：</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9"/>
        <w:gridCol w:w="1989"/>
        <w:gridCol w:w="1989"/>
        <w:gridCol w:w="1989"/>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vAlign w:val="center"/>
          </w:tcPr>
          <w:p>
            <w:pPr>
              <w:pStyle w:val="16"/>
              <w:jc w:val="center"/>
              <w:rPr>
                <w:sz w:val="40"/>
                <w:szCs w:val="28"/>
                <w:highlight w:val="none"/>
                <w:vertAlign w:val="baseline"/>
              </w:rPr>
            </w:pPr>
            <w:r>
              <w:rPr>
                <w:sz w:val="24"/>
                <w:highlight w:val="none"/>
              </w:rPr>
              <w:t>序号</w:t>
            </w:r>
          </w:p>
        </w:tc>
        <w:tc>
          <w:tcPr>
            <w:tcW w:w="1989" w:type="dxa"/>
            <w:vAlign w:val="center"/>
          </w:tcPr>
          <w:p>
            <w:pPr>
              <w:pStyle w:val="16"/>
              <w:jc w:val="center"/>
              <w:rPr>
                <w:sz w:val="40"/>
                <w:szCs w:val="28"/>
                <w:highlight w:val="none"/>
                <w:vertAlign w:val="baseline"/>
              </w:rPr>
            </w:pPr>
            <w:r>
              <w:rPr>
                <w:sz w:val="24"/>
                <w:highlight w:val="none"/>
              </w:rPr>
              <w:t>磋商要求参数</w:t>
            </w:r>
          </w:p>
        </w:tc>
        <w:tc>
          <w:tcPr>
            <w:tcW w:w="1989" w:type="dxa"/>
            <w:vAlign w:val="center"/>
          </w:tcPr>
          <w:p>
            <w:pPr>
              <w:pStyle w:val="16"/>
              <w:jc w:val="center"/>
              <w:rPr>
                <w:sz w:val="40"/>
                <w:szCs w:val="28"/>
                <w:highlight w:val="none"/>
                <w:vertAlign w:val="baseline"/>
              </w:rPr>
            </w:pPr>
            <w:r>
              <w:rPr>
                <w:sz w:val="24"/>
                <w:highlight w:val="none"/>
              </w:rPr>
              <w:t>响应实际参数</w:t>
            </w:r>
          </w:p>
        </w:tc>
        <w:tc>
          <w:tcPr>
            <w:tcW w:w="1989" w:type="dxa"/>
            <w:vAlign w:val="center"/>
          </w:tcPr>
          <w:p>
            <w:pPr>
              <w:pStyle w:val="19"/>
              <w:spacing w:line="281" w:lineRule="exact"/>
              <w:ind w:left="102"/>
              <w:jc w:val="center"/>
              <w:rPr>
                <w:b/>
                <w:bCs/>
                <w:sz w:val="40"/>
                <w:szCs w:val="28"/>
                <w:highlight w:val="none"/>
                <w:vertAlign w:val="baseline"/>
              </w:rPr>
            </w:pPr>
            <w:r>
              <w:rPr>
                <w:b/>
                <w:bCs/>
                <w:sz w:val="24"/>
                <w:highlight w:val="none"/>
              </w:rPr>
              <w:t>符合/正偏离/负偏离</w:t>
            </w:r>
          </w:p>
        </w:tc>
        <w:tc>
          <w:tcPr>
            <w:tcW w:w="1267" w:type="dxa"/>
            <w:vAlign w:val="center"/>
          </w:tcPr>
          <w:p>
            <w:pPr>
              <w:pStyle w:val="16"/>
              <w:jc w:val="center"/>
              <w:rPr>
                <w:sz w:val="40"/>
                <w:szCs w:val="28"/>
                <w:highlight w:val="none"/>
                <w:vertAlign w:val="baseline"/>
              </w:rPr>
            </w:pPr>
            <w:r>
              <w:rPr>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tcPr>
          <w:p>
            <w:pPr>
              <w:pStyle w:val="16"/>
              <w:jc w:val="both"/>
              <w:rPr>
                <w:sz w:val="40"/>
                <w:szCs w:val="28"/>
                <w:highlight w:val="none"/>
                <w:vertAlign w:val="baseline"/>
              </w:rPr>
            </w:pPr>
          </w:p>
        </w:tc>
        <w:tc>
          <w:tcPr>
            <w:tcW w:w="1989" w:type="dxa"/>
          </w:tcPr>
          <w:p>
            <w:pPr>
              <w:pStyle w:val="16"/>
              <w:jc w:val="both"/>
              <w:rPr>
                <w:sz w:val="40"/>
                <w:szCs w:val="28"/>
                <w:highlight w:val="none"/>
                <w:vertAlign w:val="baseline"/>
              </w:rPr>
            </w:pPr>
          </w:p>
        </w:tc>
        <w:tc>
          <w:tcPr>
            <w:tcW w:w="1989" w:type="dxa"/>
          </w:tcPr>
          <w:p>
            <w:pPr>
              <w:pStyle w:val="16"/>
              <w:jc w:val="both"/>
              <w:rPr>
                <w:sz w:val="40"/>
                <w:szCs w:val="28"/>
                <w:highlight w:val="none"/>
                <w:vertAlign w:val="baseline"/>
              </w:rPr>
            </w:pPr>
          </w:p>
        </w:tc>
        <w:tc>
          <w:tcPr>
            <w:tcW w:w="1989" w:type="dxa"/>
          </w:tcPr>
          <w:p>
            <w:pPr>
              <w:pStyle w:val="16"/>
              <w:jc w:val="both"/>
              <w:rPr>
                <w:b/>
                <w:bCs/>
                <w:sz w:val="40"/>
                <w:szCs w:val="28"/>
                <w:highlight w:val="none"/>
                <w:vertAlign w:val="baseline"/>
              </w:rPr>
            </w:pPr>
          </w:p>
        </w:tc>
        <w:tc>
          <w:tcPr>
            <w:tcW w:w="1267" w:type="dxa"/>
          </w:tcPr>
          <w:p>
            <w:pPr>
              <w:pStyle w:val="16"/>
              <w:jc w:val="both"/>
              <w:rPr>
                <w:sz w:val="40"/>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tcPr>
          <w:p>
            <w:pPr>
              <w:pStyle w:val="16"/>
              <w:jc w:val="both"/>
              <w:rPr>
                <w:sz w:val="40"/>
                <w:szCs w:val="28"/>
                <w:highlight w:val="none"/>
                <w:vertAlign w:val="baseline"/>
              </w:rPr>
            </w:pPr>
          </w:p>
        </w:tc>
        <w:tc>
          <w:tcPr>
            <w:tcW w:w="1989" w:type="dxa"/>
          </w:tcPr>
          <w:p>
            <w:pPr>
              <w:pStyle w:val="16"/>
              <w:jc w:val="both"/>
              <w:rPr>
                <w:sz w:val="40"/>
                <w:szCs w:val="28"/>
                <w:highlight w:val="none"/>
                <w:vertAlign w:val="baseline"/>
              </w:rPr>
            </w:pPr>
          </w:p>
        </w:tc>
        <w:tc>
          <w:tcPr>
            <w:tcW w:w="1989" w:type="dxa"/>
          </w:tcPr>
          <w:p>
            <w:pPr>
              <w:pStyle w:val="16"/>
              <w:jc w:val="both"/>
              <w:rPr>
                <w:sz w:val="40"/>
                <w:szCs w:val="28"/>
                <w:highlight w:val="none"/>
                <w:vertAlign w:val="baseline"/>
              </w:rPr>
            </w:pPr>
          </w:p>
        </w:tc>
        <w:tc>
          <w:tcPr>
            <w:tcW w:w="1989" w:type="dxa"/>
          </w:tcPr>
          <w:p>
            <w:pPr>
              <w:pStyle w:val="16"/>
              <w:jc w:val="both"/>
              <w:rPr>
                <w:sz w:val="40"/>
                <w:szCs w:val="28"/>
                <w:highlight w:val="none"/>
                <w:vertAlign w:val="baseline"/>
              </w:rPr>
            </w:pPr>
          </w:p>
        </w:tc>
        <w:tc>
          <w:tcPr>
            <w:tcW w:w="1267" w:type="dxa"/>
          </w:tcPr>
          <w:p>
            <w:pPr>
              <w:pStyle w:val="16"/>
              <w:jc w:val="both"/>
              <w:rPr>
                <w:sz w:val="40"/>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tcPr>
          <w:p>
            <w:pPr>
              <w:pStyle w:val="16"/>
              <w:jc w:val="both"/>
              <w:rPr>
                <w:sz w:val="40"/>
                <w:szCs w:val="28"/>
                <w:highlight w:val="none"/>
                <w:vertAlign w:val="baseline"/>
              </w:rPr>
            </w:pPr>
          </w:p>
        </w:tc>
        <w:tc>
          <w:tcPr>
            <w:tcW w:w="1989" w:type="dxa"/>
          </w:tcPr>
          <w:p>
            <w:pPr>
              <w:pStyle w:val="16"/>
              <w:jc w:val="both"/>
              <w:rPr>
                <w:sz w:val="40"/>
                <w:szCs w:val="28"/>
                <w:highlight w:val="none"/>
                <w:vertAlign w:val="baseline"/>
              </w:rPr>
            </w:pPr>
          </w:p>
        </w:tc>
        <w:tc>
          <w:tcPr>
            <w:tcW w:w="1989" w:type="dxa"/>
          </w:tcPr>
          <w:p>
            <w:pPr>
              <w:pStyle w:val="16"/>
              <w:jc w:val="both"/>
              <w:rPr>
                <w:sz w:val="40"/>
                <w:szCs w:val="28"/>
                <w:highlight w:val="none"/>
                <w:vertAlign w:val="baseline"/>
              </w:rPr>
            </w:pPr>
          </w:p>
        </w:tc>
        <w:tc>
          <w:tcPr>
            <w:tcW w:w="1989" w:type="dxa"/>
          </w:tcPr>
          <w:p>
            <w:pPr>
              <w:pStyle w:val="16"/>
              <w:jc w:val="both"/>
              <w:rPr>
                <w:sz w:val="40"/>
                <w:szCs w:val="28"/>
                <w:highlight w:val="none"/>
                <w:vertAlign w:val="baseline"/>
              </w:rPr>
            </w:pPr>
          </w:p>
        </w:tc>
        <w:tc>
          <w:tcPr>
            <w:tcW w:w="1267" w:type="dxa"/>
          </w:tcPr>
          <w:p>
            <w:pPr>
              <w:pStyle w:val="16"/>
              <w:jc w:val="both"/>
              <w:rPr>
                <w:sz w:val="40"/>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tcPr>
          <w:p>
            <w:pPr>
              <w:pStyle w:val="16"/>
              <w:jc w:val="both"/>
              <w:rPr>
                <w:sz w:val="40"/>
                <w:szCs w:val="28"/>
                <w:highlight w:val="none"/>
                <w:vertAlign w:val="baseline"/>
              </w:rPr>
            </w:pPr>
          </w:p>
        </w:tc>
        <w:tc>
          <w:tcPr>
            <w:tcW w:w="1989" w:type="dxa"/>
          </w:tcPr>
          <w:p>
            <w:pPr>
              <w:pStyle w:val="16"/>
              <w:jc w:val="both"/>
              <w:rPr>
                <w:sz w:val="40"/>
                <w:szCs w:val="28"/>
                <w:highlight w:val="none"/>
                <w:vertAlign w:val="baseline"/>
              </w:rPr>
            </w:pPr>
          </w:p>
        </w:tc>
        <w:tc>
          <w:tcPr>
            <w:tcW w:w="1989" w:type="dxa"/>
          </w:tcPr>
          <w:p>
            <w:pPr>
              <w:pStyle w:val="16"/>
              <w:jc w:val="both"/>
              <w:rPr>
                <w:sz w:val="40"/>
                <w:szCs w:val="28"/>
                <w:highlight w:val="none"/>
                <w:vertAlign w:val="baseline"/>
              </w:rPr>
            </w:pPr>
          </w:p>
        </w:tc>
        <w:tc>
          <w:tcPr>
            <w:tcW w:w="1989" w:type="dxa"/>
          </w:tcPr>
          <w:p>
            <w:pPr>
              <w:pStyle w:val="16"/>
              <w:jc w:val="both"/>
              <w:rPr>
                <w:sz w:val="40"/>
                <w:szCs w:val="28"/>
                <w:highlight w:val="none"/>
                <w:vertAlign w:val="baseline"/>
              </w:rPr>
            </w:pPr>
          </w:p>
        </w:tc>
        <w:tc>
          <w:tcPr>
            <w:tcW w:w="1267" w:type="dxa"/>
          </w:tcPr>
          <w:p>
            <w:pPr>
              <w:pStyle w:val="16"/>
              <w:jc w:val="both"/>
              <w:rPr>
                <w:sz w:val="40"/>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tcPr>
          <w:p>
            <w:pPr>
              <w:pStyle w:val="16"/>
              <w:jc w:val="both"/>
              <w:rPr>
                <w:sz w:val="40"/>
                <w:szCs w:val="28"/>
                <w:highlight w:val="none"/>
                <w:vertAlign w:val="baseline"/>
              </w:rPr>
            </w:pPr>
          </w:p>
        </w:tc>
        <w:tc>
          <w:tcPr>
            <w:tcW w:w="1989" w:type="dxa"/>
          </w:tcPr>
          <w:p>
            <w:pPr>
              <w:pStyle w:val="16"/>
              <w:jc w:val="both"/>
              <w:rPr>
                <w:sz w:val="40"/>
                <w:szCs w:val="28"/>
                <w:highlight w:val="none"/>
                <w:vertAlign w:val="baseline"/>
              </w:rPr>
            </w:pPr>
          </w:p>
        </w:tc>
        <w:tc>
          <w:tcPr>
            <w:tcW w:w="1989" w:type="dxa"/>
          </w:tcPr>
          <w:p>
            <w:pPr>
              <w:pStyle w:val="16"/>
              <w:jc w:val="both"/>
              <w:rPr>
                <w:sz w:val="40"/>
                <w:szCs w:val="28"/>
                <w:highlight w:val="none"/>
                <w:vertAlign w:val="baseline"/>
              </w:rPr>
            </w:pPr>
          </w:p>
        </w:tc>
        <w:tc>
          <w:tcPr>
            <w:tcW w:w="1989" w:type="dxa"/>
          </w:tcPr>
          <w:p>
            <w:pPr>
              <w:pStyle w:val="16"/>
              <w:jc w:val="both"/>
              <w:rPr>
                <w:sz w:val="40"/>
                <w:szCs w:val="28"/>
                <w:highlight w:val="none"/>
                <w:vertAlign w:val="baseline"/>
              </w:rPr>
            </w:pPr>
          </w:p>
        </w:tc>
        <w:tc>
          <w:tcPr>
            <w:tcW w:w="1267" w:type="dxa"/>
          </w:tcPr>
          <w:p>
            <w:pPr>
              <w:pStyle w:val="16"/>
              <w:jc w:val="both"/>
              <w:rPr>
                <w:sz w:val="40"/>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tcPr>
          <w:p>
            <w:pPr>
              <w:pStyle w:val="16"/>
              <w:jc w:val="both"/>
              <w:rPr>
                <w:sz w:val="40"/>
                <w:szCs w:val="28"/>
                <w:highlight w:val="none"/>
                <w:vertAlign w:val="baseline"/>
              </w:rPr>
            </w:pPr>
          </w:p>
        </w:tc>
        <w:tc>
          <w:tcPr>
            <w:tcW w:w="1989" w:type="dxa"/>
          </w:tcPr>
          <w:p>
            <w:pPr>
              <w:pStyle w:val="16"/>
              <w:jc w:val="both"/>
              <w:rPr>
                <w:sz w:val="40"/>
                <w:szCs w:val="28"/>
                <w:highlight w:val="none"/>
                <w:vertAlign w:val="baseline"/>
              </w:rPr>
            </w:pPr>
          </w:p>
        </w:tc>
        <w:tc>
          <w:tcPr>
            <w:tcW w:w="1989" w:type="dxa"/>
          </w:tcPr>
          <w:p>
            <w:pPr>
              <w:pStyle w:val="16"/>
              <w:jc w:val="both"/>
              <w:rPr>
                <w:sz w:val="40"/>
                <w:szCs w:val="28"/>
                <w:highlight w:val="none"/>
                <w:vertAlign w:val="baseline"/>
              </w:rPr>
            </w:pPr>
          </w:p>
        </w:tc>
        <w:tc>
          <w:tcPr>
            <w:tcW w:w="1989" w:type="dxa"/>
          </w:tcPr>
          <w:p>
            <w:pPr>
              <w:pStyle w:val="16"/>
              <w:jc w:val="both"/>
              <w:rPr>
                <w:sz w:val="40"/>
                <w:szCs w:val="28"/>
                <w:highlight w:val="none"/>
                <w:vertAlign w:val="baseline"/>
              </w:rPr>
            </w:pPr>
          </w:p>
        </w:tc>
        <w:tc>
          <w:tcPr>
            <w:tcW w:w="1267" w:type="dxa"/>
          </w:tcPr>
          <w:p>
            <w:pPr>
              <w:pStyle w:val="16"/>
              <w:jc w:val="both"/>
              <w:rPr>
                <w:sz w:val="40"/>
                <w:szCs w:val="28"/>
                <w:highlight w:val="none"/>
                <w:vertAlign w:val="baseline"/>
              </w:rPr>
            </w:pPr>
          </w:p>
        </w:tc>
      </w:tr>
    </w:tbl>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18"/>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18"/>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18"/>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18"/>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18"/>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注：1.按照技术要求详细填列。</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2.行数不够，可自行添加。</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3.</w:t>
      </w:r>
      <w:r>
        <w:rPr>
          <w:spacing w:val="-20"/>
          <w:highlight w:val="none"/>
        </w:rPr>
        <w:t>请如实填写偏离表，如果虚假响应，将被暂停进入铜仁市公共资源交易中心</w:t>
      </w:r>
      <w:r>
        <w:rPr>
          <w:rFonts w:hint="eastAsia"/>
          <w:spacing w:val="-20"/>
          <w:highlight w:val="none"/>
          <w:lang w:val="en-US" w:eastAsia="zh-CN"/>
        </w:rPr>
        <w:t>江口分中心</w:t>
      </w:r>
      <w:r>
        <w:rPr>
          <w:highlight w:val="none"/>
        </w:rPr>
        <w:t>（政府采购活动。</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highlight w:val="none"/>
        </w:rPr>
      </w:pPr>
      <w:r>
        <w:rPr>
          <w:highlight w:val="none"/>
        </w:rPr>
        <w:t>4.</w:t>
      </w:r>
      <w:r>
        <w:rPr>
          <w:spacing w:val="-4"/>
          <w:highlight w:val="none"/>
        </w:rPr>
        <w:t>投标人可根据各个需求表的内容填报技术规格响应表，但技术规格响应表的内</w:t>
      </w:r>
      <w:r>
        <w:rPr>
          <w:spacing w:val="-8"/>
          <w:highlight w:val="none"/>
        </w:rPr>
        <w:t>容必须对其相对应的供货需求的内容全部响应，否则，该投标将被视为非响应性投标而被拒绝。</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hanging="120"/>
        <w:jc w:val="both"/>
        <w:textAlignment w:val="auto"/>
        <w:rPr>
          <w:highlight w:val="none"/>
        </w:rPr>
      </w:pPr>
      <w:r>
        <w:rPr>
          <w:highlight w:val="none"/>
        </w:rPr>
        <w:t>5.</w:t>
      </w:r>
      <w:r>
        <w:rPr>
          <w:spacing w:val="-3"/>
          <w:highlight w:val="none"/>
        </w:rPr>
        <w:t>如招标文件中规定技术规格货物如因停产或其他原因造成市场上无法供货，可采用不低于原有配置的货物投标。</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17"/>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供应商： （ 盖章）</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19"/>
          <w:highlight w:val="none"/>
        </w:rPr>
      </w:pPr>
    </w:p>
    <w:p>
      <w:pPr>
        <w:pStyle w:val="9"/>
        <w:keepNext w:val="0"/>
        <w:keepLines w:val="0"/>
        <w:pageBreakBefore w:val="0"/>
        <w:widowControl w:val="0"/>
        <w:tabs>
          <w:tab w:val="left" w:pos="5087"/>
          <w:tab w:val="left" w:pos="5747"/>
          <w:tab w:val="left" w:pos="6587"/>
        </w:tabs>
        <w:kinsoku/>
        <w:wordWrap/>
        <w:overflowPunct/>
        <w:topLinePunct w:val="0"/>
        <w:autoSpaceDE w:val="0"/>
        <w:autoSpaceDN w:val="0"/>
        <w:bidi w:val="0"/>
        <w:adjustRightInd/>
        <w:snapToGrid/>
        <w:spacing w:before="0" w:after="0" w:line="672" w:lineRule="auto"/>
        <w:ind w:left="0" w:right="0" w:hanging="108"/>
        <w:jc w:val="both"/>
        <w:textAlignment w:val="auto"/>
        <w:rPr>
          <w:highlight w:val="none"/>
        </w:rPr>
      </w:pPr>
      <w:r>
        <w:rPr>
          <w:highlight w:val="none"/>
        </w:rPr>
        <w:t xml:space="preserve">法定代表人或授权代表（签字或盖章）： </w:t>
      </w:r>
    </w:p>
    <w:p>
      <w:pPr>
        <w:pStyle w:val="9"/>
        <w:keepNext w:val="0"/>
        <w:keepLines w:val="0"/>
        <w:pageBreakBefore w:val="0"/>
        <w:widowControl w:val="0"/>
        <w:tabs>
          <w:tab w:val="left" w:pos="4979"/>
          <w:tab w:val="left" w:pos="5639"/>
          <w:tab w:val="left" w:pos="6479"/>
        </w:tabs>
        <w:kinsoku/>
        <w:wordWrap/>
        <w:overflowPunct/>
        <w:topLinePunct w:val="0"/>
        <w:autoSpaceDE w:val="0"/>
        <w:autoSpaceDN w:val="0"/>
        <w:bidi w:val="0"/>
        <w:adjustRightInd/>
        <w:snapToGrid/>
        <w:spacing w:before="0" w:after="0" w:line="672" w:lineRule="auto"/>
        <w:ind w:left="0" w:right="0"/>
        <w:jc w:val="both"/>
        <w:textAlignment w:val="auto"/>
        <w:rPr>
          <w:highlight w:val="none"/>
        </w:rPr>
      </w:pPr>
      <w:r>
        <w:rPr>
          <w:highlight w:val="none"/>
        </w:rPr>
        <w:t xml:space="preserve"> 日</w:t>
      </w:r>
      <w:r>
        <w:rPr>
          <w:rFonts w:hint="eastAsia"/>
          <w:highlight w:val="none"/>
          <w:lang w:val="en-US" w:eastAsia="zh-CN"/>
        </w:rPr>
        <w:t xml:space="preserve">    </w:t>
      </w:r>
      <w:r>
        <w:rPr>
          <w:spacing w:val="-60"/>
          <w:highlight w:val="none"/>
        </w:rPr>
        <w:t xml:space="preserve"> </w:t>
      </w:r>
      <w:r>
        <w:rPr>
          <w:highlight w:val="none"/>
        </w:rPr>
        <w:t>期</w:t>
      </w:r>
      <w:r>
        <w:rPr>
          <w:spacing w:val="-60"/>
          <w:highlight w:val="none"/>
        </w:rPr>
        <w:t xml:space="preserve"> </w:t>
      </w:r>
      <w:r>
        <w:rPr>
          <w:highlight w:val="none"/>
        </w:rPr>
        <w:t>：</w:t>
      </w:r>
      <w:r>
        <w:rPr>
          <w:rFonts w:hint="eastAsia"/>
          <w:highlight w:val="none"/>
          <w:lang w:val="en-US" w:eastAsia="zh-CN"/>
        </w:rPr>
        <w:t xml:space="preserve">   </w:t>
      </w:r>
      <w:r>
        <w:rPr>
          <w:highlight w:val="none"/>
        </w:rPr>
        <w:t>年</w:t>
      </w:r>
      <w:r>
        <w:rPr>
          <w:rFonts w:hint="eastAsia"/>
          <w:highlight w:val="none"/>
          <w:lang w:val="en-US" w:eastAsia="zh-CN"/>
        </w:rPr>
        <w:t xml:space="preserve">    </w:t>
      </w:r>
      <w:r>
        <w:rPr>
          <w:highlight w:val="none"/>
        </w:rPr>
        <w:t>月</w:t>
      </w:r>
      <w:r>
        <w:rPr>
          <w:rFonts w:hint="eastAsia"/>
          <w:highlight w:val="none"/>
          <w:lang w:val="en-US" w:eastAsia="zh-CN"/>
        </w:rPr>
        <w:t xml:space="preserve">     </w:t>
      </w:r>
      <w:r>
        <w:rPr>
          <w:highlight w:val="none"/>
        </w:rPr>
        <w:t>日</w:t>
      </w:r>
    </w:p>
    <w:p>
      <w:pPr>
        <w:keepNext w:val="0"/>
        <w:keepLines w:val="0"/>
        <w:pageBreakBefore w:val="0"/>
        <w:widowControl w:val="0"/>
        <w:kinsoku/>
        <w:wordWrap/>
        <w:overflowPunct/>
        <w:topLinePunct w:val="0"/>
        <w:autoSpaceDE w:val="0"/>
        <w:autoSpaceDN w:val="0"/>
        <w:bidi w:val="0"/>
        <w:adjustRightInd/>
        <w:snapToGrid/>
        <w:spacing w:before="0" w:after="0" w:line="672" w:lineRule="auto"/>
        <w:ind w:left="0" w:right="0"/>
        <w:jc w:val="both"/>
        <w:textAlignment w:val="auto"/>
        <w:rPr>
          <w:highlight w:val="none"/>
        </w:rPr>
        <w:sectPr>
          <w:pgSz w:w="11910" w:h="16840"/>
          <w:pgMar w:top="1580" w:right="1134" w:bottom="880" w:left="1680" w:header="0" w:footer="686" w:gutter="0"/>
          <w:pgBorders>
            <w:top w:val="none" w:sz="0" w:space="0"/>
            <w:left w:val="none" w:sz="0" w:space="0"/>
            <w:bottom w:val="none" w:sz="0" w:space="0"/>
            <w:right w:val="none" w:sz="0" w:space="0"/>
          </w:pgBorders>
          <w:pgNumType w:fmt="decimal"/>
        </w:sectPr>
      </w:pPr>
    </w:p>
    <w:p>
      <w:pPr>
        <w:pStyle w:val="4"/>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highlight w:val="none"/>
        </w:rPr>
      </w:pPr>
      <w:r>
        <w:rPr>
          <w:rFonts w:hint="eastAsia"/>
          <w:highlight w:val="none"/>
          <w:lang w:val="en-US" w:eastAsia="zh-CN"/>
        </w:rPr>
        <w:t>7、</w:t>
      </w:r>
      <w:r>
        <w:rPr>
          <w:highlight w:val="none"/>
        </w:rPr>
        <w:t>资格的声明函</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16"/>
          <w:highlight w:val="none"/>
        </w:rPr>
      </w:pP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both"/>
        <w:textAlignment w:val="auto"/>
        <w:rPr>
          <w:sz w:val="28"/>
          <w:highlight w:val="none"/>
        </w:rPr>
      </w:pPr>
      <w:r>
        <w:rPr>
          <w:sz w:val="28"/>
          <w:highlight w:val="none"/>
        </w:rPr>
        <w:t>致（招标人） ：</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0"/>
          <w:highlight w:val="none"/>
        </w:rPr>
      </w:pPr>
    </w:p>
    <w:p>
      <w:pPr>
        <w:keepNext w:val="0"/>
        <w:keepLines w:val="0"/>
        <w:pageBreakBefore w:val="0"/>
        <w:widowControl w:val="0"/>
        <w:tabs>
          <w:tab w:val="left" w:pos="2637"/>
          <w:tab w:val="left" w:pos="3825"/>
          <w:tab w:val="left" w:pos="4876"/>
          <w:tab w:val="left" w:pos="6136"/>
        </w:tabs>
        <w:kinsoku/>
        <w:wordWrap/>
        <w:overflowPunct/>
        <w:topLinePunct w:val="0"/>
        <w:autoSpaceDE w:val="0"/>
        <w:autoSpaceDN w:val="0"/>
        <w:bidi w:val="0"/>
        <w:adjustRightInd/>
        <w:snapToGrid/>
        <w:spacing w:before="0" w:after="0" w:line="417" w:lineRule="auto"/>
        <w:ind w:left="0" w:right="0" w:firstLine="559"/>
        <w:jc w:val="both"/>
        <w:textAlignment w:val="auto"/>
        <w:rPr>
          <w:sz w:val="28"/>
          <w:highlight w:val="none"/>
        </w:rPr>
      </w:pPr>
      <w:r>
        <w:rPr>
          <w:sz w:val="28"/>
          <w:highlight w:val="none"/>
        </w:rPr>
        <w:t>关</w:t>
      </w:r>
      <w:r>
        <w:rPr>
          <w:spacing w:val="-3"/>
          <w:sz w:val="28"/>
          <w:highlight w:val="none"/>
        </w:rPr>
        <w:t>于</w:t>
      </w:r>
      <w:r>
        <w:rPr>
          <w:sz w:val="28"/>
          <w:highlight w:val="none"/>
        </w:rPr>
        <w:t>贵方</w:t>
      </w:r>
      <w:r>
        <w:rPr>
          <w:sz w:val="28"/>
          <w:highlight w:val="none"/>
          <w:u w:val="single"/>
        </w:rPr>
        <w:t xml:space="preserve"> </w:t>
      </w:r>
      <w:r>
        <w:rPr>
          <w:sz w:val="28"/>
          <w:highlight w:val="none"/>
          <w:u w:val="single"/>
        </w:rPr>
        <w:tab/>
      </w:r>
      <w:r>
        <w:rPr>
          <w:spacing w:val="-3"/>
          <w:sz w:val="28"/>
          <w:highlight w:val="none"/>
        </w:rPr>
        <w:t>年</w:t>
      </w:r>
      <w:r>
        <w:rPr>
          <w:spacing w:val="-3"/>
          <w:sz w:val="28"/>
          <w:highlight w:val="none"/>
          <w:u w:val="single"/>
        </w:rPr>
        <w:tab/>
      </w:r>
      <w:r>
        <w:rPr>
          <w:spacing w:val="-3"/>
          <w:sz w:val="28"/>
          <w:highlight w:val="none"/>
        </w:rPr>
        <w:t>月</w:t>
      </w:r>
      <w:r>
        <w:rPr>
          <w:spacing w:val="-3"/>
          <w:sz w:val="28"/>
          <w:highlight w:val="none"/>
          <w:u w:val="single"/>
        </w:rPr>
        <w:t xml:space="preserve"> </w:t>
      </w:r>
      <w:r>
        <w:rPr>
          <w:spacing w:val="-3"/>
          <w:sz w:val="28"/>
          <w:highlight w:val="none"/>
          <w:u w:val="single"/>
        </w:rPr>
        <w:tab/>
      </w:r>
      <w:r>
        <w:rPr>
          <w:sz w:val="28"/>
          <w:highlight w:val="none"/>
        </w:rPr>
        <w:t>日</w:t>
      </w:r>
      <w:r>
        <w:rPr>
          <w:spacing w:val="-3"/>
          <w:sz w:val="28"/>
          <w:highlight w:val="none"/>
        </w:rPr>
        <w:t>第</w:t>
      </w:r>
      <w:r>
        <w:rPr>
          <w:spacing w:val="-3"/>
          <w:sz w:val="28"/>
          <w:highlight w:val="none"/>
          <w:u w:val="single"/>
        </w:rPr>
        <w:t xml:space="preserve"> </w:t>
      </w:r>
      <w:r>
        <w:rPr>
          <w:spacing w:val="-1"/>
          <w:sz w:val="28"/>
          <w:highlight w:val="none"/>
          <w:u w:val="single"/>
        </w:rPr>
        <w:t>（项</w:t>
      </w:r>
      <w:r>
        <w:rPr>
          <w:spacing w:val="-3"/>
          <w:sz w:val="28"/>
          <w:highlight w:val="none"/>
          <w:u w:val="single"/>
        </w:rPr>
        <w:t>目</w:t>
      </w:r>
      <w:r>
        <w:rPr>
          <w:spacing w:val="-1"/>
          <w:sz w:val="28"/>
          <w:highlight w:val="none"/>
          <w:u w:val="single"/>
        </w:rPr>
        <w:t>编号</w:t>
      </w:r>
      <w:r>
        <w:rPr>
          <w:spacing w:val="-3"/>
          <w:sz w:val="28"/>
          <w:highlight w:val="none"/>
          <w:u w:val="single"/>
        </w:rPr>
        <w:t>）</w:t>
      </w:r>
      <w:r>
        <w:rPr>
          <w:spacing w:val="-1"/>
          <w:sz w:val="28"/>
          <w:highlight w:val="none"/>
        </w:rPr>
        <w:t>政</w:t>
      </w:r>
      <w:r>
        <w:rPr>
          <w:sz w:val="28"/>
          <w:highlight w:val="none"/>
        </w:rPr>
        <w:t>府磋</w:t>
      </w:r>
      <w:r>
        <w:rPr>
          <w:spacing w:val="-3"/>
          <w:sz w:val="28"/>
          <w:highlight w:val="none"/>
        </w:rPr>
        <w:t>商</w:t>
      </w:r>
      <w:r>
        <w:rPr>
          <w:sz w:val="28"/>
          <w:highlight w:val="none"/>
        </w:rPr>
        <w:t>公</w:t>
      </w:r>
      <w:r>
        <w:rPr>
          <w:spacing w:val="-3"/>
          <w:sz w:val="28"/>
          <w:highlight w:val="none"/>
        </w:rPr>
        <w:t>告</w:t>
      </w:r>
      <w:r>
        <w:rPr>
          <w:spacing w:val="-77"/>
          <w:sz w:val="28"/>
          <w:highlight w:val="none"/>
        </w:rPr>
        <w:t>，</w:t>
      </w:r>
      <w:r>
        <w:rPr>
          <w:sz w:val="28"/>
          <w:highlight w:val="none"/>
        </w:rPr>
        <w:t>本</w:t>
      </w:r>
      <w:r>
        <w:rPr>
          <w:spacing w:val="-3"/>
          <w:sz w:val="28"/>
          <w:highlight w:val="none"/>
        </w:rPr>
        <w:t>签</w:t>
      </w:r>
      <w:r>
        <w:rPr>
          <w:sz w:val="28"/>
          <w:highlight w:val="none"/>
        </w:rPr>
        <w:t>字人</w:t>
      </w:r>
      <w:r>
        <w:rPr>
          <w:spacing w:val="-3"/>
          <w:sz w:val="28"/>
          <w:highlight w:val="none"/>
        </w:rPr>
        <w:t>愿</w:t>
      </w:r>
      <w:r>
        <w:rPr>
          <w:sz w:val="28"/>
          <w:highlight w:val="none"/>
        </w:rPr>
        <w:t>意参</w:t>
      </w:r>
      <w:r>
        <w:rPr>
          <w:spacing w:val="-3"/>
          <w:sz w:val="28"/>
          <w:highlight w:val="none"/>
        </w:rPr>
        <w:t>加</w:t>
      </w:r>
      <w:r>
        <w:rPr>
          <w:sz w:val="28"/>
          <w:highlight w:val="none"/>
        </w:rPr>
        <w:t>磋商</w:t>
      </w:r>
      <w:r>
        <w:rPr>
          <w:spacing w:val="-77"/>
          <w:sz w:val="28"/>
          <w:highlight w:val="none"/>
        </w:rPr>
        <w:t>，</w:t>
      </w:r>
      <w:r>
        <w:rPr>
          <w:sz w:val="28"/>
          <w:highlight w:val="none"/>
        </w:rPr>
        <w:t>提</w:t>
      </w:r>
      <w:r>
        <w:rPr>
          <w:spacing w:val="-3"/>
          <w:sz w:val="28"/>
          <w:highlight w:val="none"/>
        </w:rPr>
        <w:t>供</w:t>
      </w:r>
      <w:r>
        <w:rPr>
          <w:sz w:val="28"/>
          <w:highlight w:val="none"/>
        </w:rPr>
        <w:t>磋商</w:t>
      </w:r>
      <w:r>
        <w:rPr>
          <w:spacing w:val="-3"/>
          <w:sz w:val="28"/>
          <w:highlight w:val="none"/>
        </w:rPr>
        <w:t>文</w:t>
      </w:r>
      <w:r>
        <w:rPr>
          <w:spacing w:val="-77"/>
          <w:sz w:val="28"/>
          <w:highlight w:val="none"/>
        </w:rPr>
        <w:t>件</w:t>
      </w:r>
      <w:r>
        <w:rPr>
          <w:sz w:val="28"/>
          <w:highlight w:val="none"/>
        </w:rPr>
        <w:t>“采</w:t>
      </w:r>
      <w:r>
        <w:rPr>
          <w:spacing w:val="-3"/>
          <w:sz w:val="28"/>
          <w:highlight w:val="none"/>
        </w:rPr>
        <w:t>购</w:t>
      </w:r>
      <w:r>
        <w:rPr>
          <w:sz w:val="28"/>
          <w:highlight w:val="none"/>
        </w:rPr>
        <w:t>服务</w:t>
      </w:r>
      <w:r>
        <w:rPr>
          <w:spacing w:val="-3"/>
          <w:sz w:val="28"/>
          <w:highlight w:val="none"/>
        </w:rPr>
        <w:t>及</w:t>
      </w:r>
      <w:r>
        <w:rPr>
          <w:sz w:val="28"/>
          <w:highlight w:val="none"/>
        </w:rPr>
        <w:t>要</w:t>
      </w:r>
      <w:r>
        <w:rPr>
          <w:spacing w:val="-3"/>
          <w:sz w:val="28"/>
          <w:highlight w:val="none"/>
        </w:rPr>
        <w:t>求</w:t>
      </w:r>
      <w:r>
        <w:rPr>
          <w:sz w:val="28"/>
          <w:highlight w:val="none"/>
        </w:rPr>
        <w:t>” 中</w:t>
      </w:r>
      <w:r>
        <w:rPr>
          <w:spacing w:val="-3"/>
          <w:sz w:val="28"/>
          <w:highlight w:val="none"/>
        </w:rPr>
        <w:t>规</w:t>
      </w:r>
      <w:r>
        <w:rPr>
          <w:sz w:val="28"/>
          <w:highlight w:val="none"/>
        </w:rPr>
        <w:t>定</w:t>
      </w:r>
      <w:r>
        <w:rPr>
          <w:spacing w:val="-3"/>
          <w:sz w:val="28"/>
          <w:highlight w:val="none"/>
        </w:rPr>
        <w:t>的</w:t>
      </w:r>
      <w:r>
        <w:rPr>
          <w:spacing w:val="5"/>
          <w:sz w:val="28"/>
          <w:highlight w:val="none"/>
          <w:u w:val="single"/>
        </w:rPr>
        <w:t xml:space="preserve"> </w:t>
      </w:r>
      <w:r>
        <w:rPr>
          <w:rFonts w:hint="eastAsia"/>
          <w:sz w:val="28"/>
          <w:highlight w:val="none"/>
          <w:u w:val="single"/>
          <w:lang w:val="en-US" w:eastAsia="zh-CN"/>
        </w:rPr>
        <w:t xml:space="preserve">   (项目名称)  </w:t>
      </w:r>
      <w:r>
        <w:rPr>
          <w:sz w:val="28"/>
          <w:highlight w:val="none"/>
        </w:rPr>
        <w:t>，</w:t>
      </w:r>
      <w:r>
        <w:rPr>
          <w:spacing w:val="-3"/>
          <w:sz w:val="28"/>
          <w:highlight w:val="none"/>
        </w:rPr>
        <w:t>并</w:t>
      </w:r>
      <w:r>
        <w:rPr>
          <w:sz w:val="28"/>
          <w:highlight w:val="none"/>
        </w:rPr>
        <w:t>证明</w:t>
      </w:r>
      <w:r>
        <w:rPr>
          <w:spacing w:val="-3"/>
          <w:sz w:val="28"/>
          <w:highlight w:val="none"/>
        </w:rPr>
        <w:t>提</w:t>
      </w:r>
      <w:r>
        <w:rPr>
          <w:sz w:val="28"/>
          <w:highlight w:val="none"/>
        </w:rPr>
        <w:t>交的文</w:t>
      </w:r>
      <w:r>
        <w:rPr>
          <w:spacing w:val="-1"/>
          <w:sz w:val="28"/>
          <w:highlight w:val="none"/>
        </w:rPr>
        <w:t>件</w:t>
      </w:r>
      <w:r>
        <w:rPr>
          <w:spacing w:val="-3"/>
          <w:sz w:val="28"/>
          <w:highlight w:val="none"/>
        </w:rPr>
        <w:t>和</w:t>
      </w:r>
      <w:r>
        <w:rPr>
          <w:spacing w:val="-1"/>
          <w:sz w:val="28"/>
          <w:highlight w:val="none"/>
        </w:rPr>
        <w:t>说明</w:t>
      </w:r>
      <w:r>
        <w:rPr>
          <w:spacing w:val="-3"/>
          <w:sz w:val="28"/>
          <w:highlight w:val="none"/>
        </w:rPr>
        <w:t>是</w:t>
      </w:r>
      <w:r>
        <w:rPr>
          <w:spacing w:val="-1"/>
          <w:sz w:val="28"/>
          <w:highlight w:val="none"/>
        </w:rPr>
        <w:t>准确</w:t>
      </w:r>
      <w:r>
        <w:rPr>
          <w:spacing w:val="-3"/>
          <w:sz w:val="28"/>
          <w:highlight w:val="none"/>
        </w:rPr>
        <w:t>的</w:t>
      </w:r>
      <w:r>
        <w:rPr>
          <w:spacing w:val="-1"/>
          <w:sz w:val="28"/>
          <w:highlight w:val="none"/>
        </w:rPr>
        <w:t>和真</w:t>
      </w:r>
      <w:r>
        <w:rPr>
          <w:spacing w:val="-3"/>
          <w:sz w:val="28"/>
          <w:highlight w:val="none"/>
        </w:rPr>
        <w:t>实</w:t>
      </w:r>
      <w:r>
        <w:rPr>
          <w:spacing w:val="-1"/>
          <w:sz w:val="28"/>
          <w:highlight w:val="none"/>
        </w:rPr>
        <w:t>的</w:t>
      </w:r>
      <w:r>
        <w:rPr>
          <w:sz w:val="28"/>
          <w:highlight w:val="none"/>
        </w:rPr>
        <w:t>。</w:t>
      </w:r>
    </w:p>
    <w:p>
      <w:pPr>
        <w:keepNext w:val="0"/>
        <w:keepLines w:val="0"/>
        <w:pageBreakBefore w:val="0"/>
        <w:widowControl w:val="0"/>
        <w:kinsoku/>
        <w:wordWrap/>
        <w:overflowPunct/>
        <w:topLinePunct w:val="0"/>
        <w:autoSpaceDE w:val="0"/>
        <w:autoSpaceDN w:val="0"/>
        <w:bidi w:val="0"/>
        <w:adjustRightInd/>
        <w:snapToGrid/>
        <w:spacing w:before="0" w:after="0" w:line="417" w:lineRule="auto"/>
        <w:ind w:left="0" w:right="0" w:firstLine="559"/>
        <w:jc w:val="both"/>
        <w:textAlignment w:val="auto"/>
        <w:rPr>
          <w:sz w:val="28"/>
          <w:highlight w:val="none"/>
        </w:rPr>
      </w:pPr>
      <w:r>
        <w:rPr>
          <w:sz w:val="28"/>
          <w:highlight w:val="none"/>
        </w:rPr>
        <w:t>1．本签字人确认资格文件中的说明以及响应文件中所有的文件和材料是真实的、准确的。</w:t>
      </w:r>
    </w:p>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both"/>
        <w:textAlignment w:val="auto"/>
        <w:rPr>
          <w:sz w:val="28"/>
          <w:highlight w:val="none"/>
        </w:rPr>
      </w:pPr>
      <w:r>
        <w:rPr>
          <w:sz w:val="28"/>
          <w:highlight w:val="none"/>
        </w:rPr>
        <w:t>2．我方的资格声明正本一份，副本</w:t>
      </w:r>
      <w:r>
        <w:rPr>
          <w:rFonts w:hint="eastAsia"/>
          <w:sz w:val="28"/>
          <w:highlight w:val="none"/>
          <w:u w:val="none"/>
          <w:lang w:val="en-US" w:eastAsia="zh-CN"/>
        </w:rPr>
        <w:t>三</w:t>
      </w:r>
      <w:r>
        <w:rPr>
          <w:sz w:val="28"/>
          <w:highlight w:val="none"/>
        </w:rPr>
        <w:t>份，随响应文件一同递交。</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8"/>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7"/>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417" w:lineRule="auto"/>
        <w:ind w:left="0" w:right="0" w:hanging="185"/>
        <w:jc w:val="both"/>
        <w:textAlignment w:val="auto"/>
        <w:rPr>
          <w:sz w:val="28"/>
          <w:highlight w:val="none"/>
        </w:rPr>
      </w:pPr>
      <w:r>
        <w:rPr>
          <w:sz w:val="28"/>
          <w:highlight w:val="none"/>
        </w:rPr>
        <w:t>供应商（全称并加盖公章）：</w:t>
      </w:r>
    </w:p>
    <w:p>
      <w:pPr>
        <w:keepNext w:val="0"/>
        <w:keepLines w:val="0"/>
        <w:pageBreakBefore w:val="0"/>
        <w:widowControl w:val="0"/>
        <w:kinsoku/>
        <w:wordWrap/>
        <w:overflowPunct/>
        <w:topLinePunct w:val="0"/>
        <w:autoSpaceDE w:val="0"/>
        <w:autoSpaceDN w:val="0"/>
        <w:bidi w:val="0"/>
        <w:adjustRightInd/>
        <w:snapToGrid/>
        <w:spacing w:before="0" w:after="0" w:line="417" w:lineRule="auto"/>
        <w:ind w:left="0" w:right="0" w:hanging="185"/>
        <w:jc w:val="both"/>
        <w:textAlignment w:val="auto"/>
        <w:rPr>
          <w:sz w:val="28"/>
          <w:highlight w:val="none"/>
        </w:rPr>
      </w:pPr>
      <w:r>
        <w:rPr>
          <w:sz w:val="28"/>
          <w:highlight w:val="none"/>
        </w:rPr>
        <w:t>地 址：</w:t>
      </w:r>
    </w:p>
    <w:p>
      <w:pPr>
        <w:keepNext w:val="0"/>
        <w:keepLines w:val="0"/>
        <w:pageBreakBefore w:val="0"/>
        <w:widowControl w:val="0"/>
        <w:kinsoku/>
        <w:wordWrap/>
        <w:overflowPunct/>
        <w:topLinePunct w:val="0"/>
        <w:autoSpaceDE w:val="0"/>
        <w:autoSpaceDN w:val="0"/>
        <w:bidi w:val="0"/>
        <w:adjustRightInd/>
        <w:snapToGrid/>
        <w:spacing w:before="0" w:after="0" w:line="417" w:lineRule="auto"/>
        <w:ind w:left="0" w:right="0" w:hanging="185"/>
        <w:jc w:val="both"/>
        <w:textAlignment w:val="auto"/>
        <w:rPr>
          <w:sz w:val="28"/>
          <w:highlight w:val="none"/>
        </w:rPr>
      </w:pPr>
      <w:r>
        <w:rPr>
          <w:sz w:val="28"/>
          <w:highlight w:val="none"/>
        </w:rPr>
        <w:t>邮 编：</w:t>
      </w:r>
    </w:p>
    <w:p>
      <w:pPr>
        <w:keepNext w:val="0"/>
        <w:keepLines w:val="0"/>
        <w:pageBreakBefore w:val="0"/>
        <w:widowControl w:val="0"/>
        <w:kinsoku/>
        <w:wordWrap/>
        <w:overflowPunct/>
        <w:topLinePunct w:val="0"/>
        <w:autoSpaceDE w:val="0"/>
        <w:autoSpaceDN w:val="0"/>
        <w:bidi w:val="0"/>
        <w:adjustRightInd/>
        <w:snapToGrid/>
        <w:spacing w:before="0" w:after="0" w:line="417" w:lineRule="auto"/>
        <w:ind w:left="0" w:right="0" w:hanging="185"/>
        <w:jc w:val="both"/>
        <w:textAlignment w:val="auto"/>
        <w:rPr>
          <w:sz w:val="28"/>
          <w:highlight w:val="none"/>
        </w:rPr>
      </w:pPr>
      <w:r>
        <w:rPr>
          <w:sz w:val="28"/>
          <w:highlight w:val="none"/>
        </w:rPr>
        <w:t xml:space="preserve">电 话/传 真： </w:t>
      </w:r>
    </w:p>
    <w:p>
      <w:pPr>
        <w:keepNext w:val="0"/>
        <w:keepLines w:val="0"/>
        <w:pageBreakBefore w:val="0"/>
        <w:widowControl w:val="0"/>
        <w:kinsoku/>
        <w:wordWrap/>
        <w:overflowPunct/>
        <w:topLinePunct w:val="0"/>
        <w:autoSpaceDE w:val="0"/>
        <w:autoSpaceDN w:val="0"/>
        <w:bidi w:val="0"/>
        <w:adjustRightInd/>
        <w:snapToGrid/>
        <w:spacing w:before="0" w:after="0" w:line="417" w:lineRule="auto"/>
        <w:ind w:left="0" w:right="0" w:hanging="185"/>
        <w:jc w:val="both"/>
        <w:textAlignment w:val="auto"/>
        <w:rPr>
          <w:sz w:val="28"/>
          <w:highlight w:val="none"/>
        </w:rPr>
      </w:pPr>
      <w:r>
        <w:rPr>
          <w:sz w:val="28"/>
          <w:highlight w:val="none"/>
        </w:rPr>
        <w:t>电子信箱：</w:t>
      </w:r>
    </w:p>
    <w:p>
      <w:pPr>
        <w:keepNext w:val="0"/>
        <w:keepLines w:val="0"/>
        <w:pageBreakBefore w:val="0"/>
        <w:widowControl w:val="0"/>
        <w:kinsoku/>
        <w:wordWrap/>
        <w:overflowPunct/>
        <w:topLinePunct w:val="0"/>
        <w:autoSpaceDE w:val="0"/>
        <w:autoSpaceDN w:val="0"/>
        <w:bidi w:val="0"/>
        <w:adjustRightInd/>
        <w:snapToGrid/>
        <w:spacing w:before="0" w:after="0" w:line="417" w:lineRule="auto"/>
        <w:ind w:left="0" w:right="0" w:hanging="185"/>
        <w:jc w:val="both"/>
        <w:textAlignment w:val="auto"/>
        <w:rPr>
          <w:sz w:val="28"/>
          <w:highlight w:val="none"/>
        </w:rPr>
      </w:pPr>
      <w:r>
        <w:rPr>
          <w:sz w:val="28"/>
          <w:highlight w:val="none"/>
        </w:rPr>
        <w:t>磋商响应供应商代表签字：</w:t>
      </w:r>
    </w:p>
    <w:p>
      <w:pPr>
        <w:pStyle w:val="16"/>
        <w:jc w:val="both"/>
        <w:rPr>
          <w:rFonts w:ascii="宋体" w:hAnsi="宋体" w:eastAsia="宋体" w:cs="宋体"/>
          <w:b w:val="0"/>
          <w:sz w:val="28"/>
          <w:szCs w:val="22"/>
          <w:highlight w:val="none"/>
          <w:lang w:val="en-US" w:eastAsia="en-US" w:bidi="ar-SA"/>
        </w:rPr>
        <w:sectPr>
          <w:pgSz w:w="11910" w:h="16840"/>
          <w:pgMar w:top="1480" w:right="1540" w:bottom="880" w:left="1680" w:header="0" w:footer="686" w:gutter="0"/>
          <w:pgBorders>
            <w:top w:val="none" w:sz="0" w:space="0"/>
            <w:left w:val="none" w:sz="0" w:space="0"/>
            <w:bottom w:val="none" w:sz="0" w:space="0"/>
            <w:right w:val="none" w:sz="0" w:space="0"/>
          </w:pgBorders>
          <w:pgNumType w:fmt="decimal"/>
        </w:sectPr>
      </w:pPr>
      <w:r>
        <w:rPr>
          <w:rFonts w:ascii="宋体" w:hAnsi="宋体" w:eastAsia="宋体" w:cs="宋体"/>
          <w:b w:val="0"/>
          <w:sz w:val="28"/>
          <w:szCs w:val="22"/>
          <w:highlight w:val="none"/>
          <w:lang w:val="en-US" w:eastAsia="en-US" w:bidi="ar-SA"/>
        </w:rPr>
        <w:t xml:space="preserve">日 </w:t>
      </w:r>
      <w:r>
        <w:rPr>
          <w:rFonts w:hint="eastAsia" w:ascii="宋体" w:hAnsi="宋体" w:eastAsia="宋体" w:cs="宋体"/>
          <w:b w:val="0"/>
          <w:sz w:val="28"/>
          <w:szCs w:val="22"/>
          <w:highlight w:val="none"/>
          <w:lang w:val="en-US" w:eastAsia="zh-CN" w:bidi="ar-SA"/>
        </w:rPr>
        <w:t xml:space="preserve">  </w:t>
      </w:r>
      <w:r>
        <w:rPr>
          <w:rFonts w:ascii="宋体" w:hAnsi="宋体" w:eastAsia="宋体" w:cs="宋体"/>
          <w:b w:val="0"/>
          <w:sz w:val="28"/>
          <w:szCs w:val="22"/>
          <w:highlight w:val="none"/>
          <w:lang w:val="en-US" w:eastAsia="en-US" w:bidi="ar-SA"/>
        </w:rPr>
        <w:t>期 ：</w:t>
      </w:r>
      <w:r>
        <w:rPr>
          <w:rFonts w:hint="eastAsia" w:ascii="宋体" w:hAnsi="宋体" w:eastAsia="宋体" w:cs="宋体"/>
          <w:b w:val="0"/>
          <w:sz w:val="28"/>
          <w:szCs w:val="22"/>
          <w:highlight w:val="none"/>
          <w:lang w:val="en-US" w:eastAsia="zh-CN" w:bidi="ar-SA"/>
        </w:rPr>
        <w:t xml:space="preserve">    </w:t>
      </w:r>
      <w:r>
        <w:rPr>
          <w:rFonts w:ascii="宋体" w:hAnsi="宋体" w:eastAsia="宋体" w:cs="宋体"/>
          <w:b w:val="0"/>
          <w:sz w:val="28"/>
          <w:szCs w:val="22"/>
          <w:highlight w:val="none"/>
          <w:lang w:val="en-US" w:eastAsia="en-US" w:bidi="ar-SA"/>
        </w:rPr>
        <w:t>年</w:t>
      </w:r>
      <w:r>
        <w:rPr>
          <w:rFonts w:hint="eastAsia" w:ascii="宋体" w:hAnsi="宋体" w:eastAsia="宋体" w:cs="宋体"/>
          <w:b w:val="0"/>
          <w:sz w:val="28"/>
          <w:szCs w:val="22"/>
          <w:highlight w:val="none"/>
          <w:lang w:val="en-US" w:eastAsia="zh-CN" w:bidi="ar-SA"/>
        </w:rPr>
        <w:t xml:space="preserve">    </w:t>
      </w:r>
      <w:r>
        <w:rPr>
          <w:rFonts w:ascii="宋体" w:hAnsi="宋体" w:eastAsia="宋体" w:cs="宋体"/>
          <w:b w:val="0"/>
          <w:sz w:val="28"/>
          <w:szCs w:val="22"/>
          <w:highlight w:val="none"/>
          <w:lang w:val="en-US" w:eastAsia="en-US" w:bidi="ar-SA"/>
        </w:rPr>
        <w:t>月</w:t>
      </w:r>
      <w:r>
        <w:rPr>
          <w:rFonts w:hint="eastAsia" w:ascii="宋体" w:hAnsi="宋体" w:eastAsia="宋体" w:cs="宋体"/>
          <w:b w:val="0"/>
          <w:sz w:val="28"/>
          <w:szCs w:val="22"/>
          <w:highlight w:val="none"/>
          <w:lang w:val="en-US" w:eastAsia="zh-CN" w:bidi="ar-SA"/>
        </w:rPr>
        <w:t xml:space="preserve">    </w:t>
      </w:r>
      <w:r>
        <w:rPr>
          <w:rFonts w:ascii="宋体" w:hAnsi="宋体" w:eastAsia="宋体" w:cs="宋体"/>
          <w:b w:val="0"/>
          <w:sz w:val="28"/>
          <w:szCs w:val="22"/>
          <w:highlight w:val="none"/>
          <w:lang w:val="en-US" w:eastAsia="en-US" w:bidi="ar-SA"/>
        </w:rPr>
        <w:t>日</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6"/>
          <w:highlight w:val="none"/>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leftChars="0" w:right="0" w:rightChars="0"/>
        <w:jc w:val="center"/>
        <w:textAlignment w:val="auto"/>
        <w:rPr>
          <w:b/>
          <w:sz w:val="31"/>
          <w:highlight w:val="none"/>
        </w:rPr>
      </w:pPr>
      <w:r>
        <w:rPr>
          <w:rFonts w:hint="eastAsia"/>
          <w:b/>
          <w:sz w:val="31"/>
          <w:highlight w:val="none"/>
          <w:lang w:val="en-US" w:eastAsia="zh-CN"/>
        </w:rPr>
        <w:t>8、</w:t>
      </w:r>
      <w:r>
        <w:rPr>
          <w:b/>
          <w:sz w:val="31"/>
          <w:highlight w:val="none"/>
        </w:rPr>
        <w:t>售后服务承诺及方案</w:t>
      </w:r>
    </w:p>
    <w:p>
      <w:pPr>
        <w:pStyle w:val="16"/>
        <w:numPr>
          <w:ilvl w:val="0"/>
          <w:numId w:val="0"/>
        </w:numPr>
        <w:ind w:right="0" w:rightChars="0"/>
        <w:jc w:val="both"/>
        <w:rPr>
          <w:highlight w:val="none"/>
        </w:rPr>
      </w:pPr>
    </w:p>
    <w:p>
      <w:pPr>
        <w:pStyle w:val="16"/>
        <w:numPr>
          <w:ilvl w:val="0"/>
          <w:numId w:val="0"/>
        </w:numPr>
        <w:ind w:right="0" w:rightChars="0"/>
        <w:jc w:val="both"/>
        <w:rPr>
          <w:highlight w:val="none"/>
        </w:rPr>
      </w:pPr>
    </w:p>
    <w:p>
      <w:pPr>
        <w:pStyle w:val="9"/>
        <w:spacing w:line="357" w:lineRule="auto"/>
        <w:ind w:left="108" w:firstLine="480"/>
        <w:rPr>
          <w:highlight w:val="none"/>
        </w:rPr>
      </w:pPr>
      <w:r>
        <w:rPr>
          <w:highlight w:val="none"/>
        </w:rPr>
        <w:t>售后服务由投标人负责。投标文件中应提供完整的售后服务计划，主要内容应包括：</w:t>
      </w:r>
    </w:p>
    <w:p>
      <w:pPr>
        <w:pStyle w:val="9"/>
        <w:rPr>
          <w:highlight w:val="none"/>
        </w:rPr>
      </w:pPr>
    </w:p>
    <w:p>
      <w:pPr>
        <w:rPr>
          <w:rFonts w:ascii="宋体" w:hAnsi="宋体"/>
          <w:sz w:val="24"/>
          <w:highlight w:val="none"/>
        </w:rPr>
      </w:pPr>
    </w:p>
    <w:p>
      <w:pPr>
        <w:pStyle w:val="10"/>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1、服务机构；</w:t>
      </w:r>
    </w:p>
    <w:p>
      <w:pPr>
        <w:pStyle w:val="10"/>
        <w:spacing w:line="360" w:lineRule="auto"/>
        <w:rPr>
          <w:rFonts w:hAnsi="宋体" w:cs="宋体"/>
          <w:color w:val="000000"/>
          <w:sz w:val="24"/>
          <w:szCs w:val="24"/>
          <w:highlight w:val="none"/>
        </w:rPr>
      </w:pPr>
      <w:r>
        <w:rPr>
          <w:rFonts w:hint="eastAsia" w:hAnsi="宋体" w:cs="宋体"/>
          <w:color w:val="000000"/>
          <w:sz w:val="24"/>
          <w:szCs w:val="24"/>
          <w:highlight w:val="none"/>
        </w:rPr>
        <w:t xml:space="preserve">    2、人员情况；</w:t>
      </w:r>
    </w:p>
    <w:p>
      <w:pPr>
        <w:pStyle w:val="10"/>
        <w:spacing w:line="360" w:lineRule="auto"/>
        <w:rPr>
          <w:rFonts w:hAnsi="宋体" w:cs="宋体"/>
          <w:color w:val="000000"/>
          <w:sz w:val="24"/>
          <w:szCs w:val="24"/>
          <w:highlight w:val="none"/>
        </w:rPr>
      </w:pPr>
      <w:r>
        <w:rPr>
          <w:rFonts w:hint="eastAsia" w:hAnsi="宋体" w:cs="宋体"/>
          <w:color w:val="000000"/>
          <w:sz w:val="24"/>
          <w:szCs w:val="24"/>
          <w:highlight w:val="none"/>
        </w:rPr>
        <w:t xml:space="preserve">    3、服务收费标准；</w:t>
      </w:r>
    </w:p>
    <w:p>
      <w:pPr>
        <w:pStyle w:val="10"/>
        <w:spacing w:line="360" w:lineRule="auto"/>
        <w:rPr>
          <w:rFonts w:hAnsi="宋体" w:cs="宋体"/>
          <w:color w:val="000000"/>
          <w:sz w:val="24"/>
          <w:szCs w:val="24"/>
          <w:highlight w:val="none"/>
        </w:rPr>
      </w:pPr>
      <w:r>
        <w:rPr>
          <w:rFonts w:hint="eastAsia" w:hAnsi="宋体" w:cs="宋体"/>
          <w:color w:val="000000"/>
          <w:sz w:val="24"/>
          <w:szCs w:val="24"/>
          <w:highlight w:val="none"/>
        </w:rPr>
        <w:t xml:space="preserve">    4、其它服务承诺。</w:t>
      </w:r>
    </w:p>
    <w:p>
      <w:pPr>
        <w:pStyle w:val="16"/>
        <w:numPr>
          <w:ilvl w:val="0"/>
          <w:numId w:val="0"/>
        </w:numPr>
        <w:ind w:right="0" w:rightChars="0"/>
        <w:jc w:val="both"/>
        <w:rPr>
          <w:highlight w:val="none"/>
        </w:rPr>
      </w:pPr>
    </w:p>
    <w:p>
      <w:pPr>
        <w:pStyle w:val="16"/>
        <w:numPr>
          <w:ilvl w:val="0"/>
          <w:numId w:val="0"/>
        </w:numPr>
        <w:ind w:right="0" w:rightChars="0"/>
        <w:jc w:val="center"/>
        <w:rPr>
          <w:rFonts w:hint="eastAsia" w:ascii="宋体" w:hAnsi="宋体" w:cs="宋体"/>
          <w:b/>
          <w:sz w:val="31"/>
          <w:szCs w:val="22"/>
          <w:highlight w:val="none"/>
          <w:lang w:val="en-US" w:eastAsia="zh-CN" w:bidi="ar-SA"/>
        </w:rPr>
      </w:pPr>
    </w:p>
    <w:p>
      <w:pPr>
        <w:pStyle w:val="16"/>
        <w:numPr>
          <w:ilvl w:val="0"/>
          <w:numId w:val="0"/>
        </w:numPr>
        <w:ind w:right="0" w:rightChars="0"/>
        <w:jc w:val="center"/>
        <w:rPr>
          <w:rFonts w:hint="eastAsia" w:ascii="宋体" w:hAnsi="宋体" w:cs="宋体"/>
          <w:b/>
          <w:sz w:val="31"/>
          <w:szCs w:val="22"/>
          <w:highlight w:val="none"/>
          <w:lang w:val="en-US" w:eastAsia="zh-CN" w:bidi="ar-SA"/>
        </w:rPr>
      </w:pPr>
    </w:p>
    <w:p>
      <w:pPr>
        <w:pStyle w:val="16"/>
        <w:numPr>
          <w:ilvl w:val="0"/>
          <w:numId w:val="0"/>
        </w:numPr>
        <w:ind w:right="0" w:rightChars="0"/>
        <w:jc w:val="center"/>
        <w:rPr>
          <w:rFonts w:hint="eastAsia" w:ascii="宋体" w:hAnsi="宋体" w:cs="宋体"/>
          <w:b/>
          <w:sz w:val="31"/>
          <w:szCs w:val="22"/>
          <w:highlight w:val="none"/>
          <w:lang w:val="en-US" w:eastAsia="zh-CN" w:bidi="ar-SA"/>
        </w:rPr>
      </w:pPr>
    </w:p>
    <w:p>
      <w:pPr>
        <w:pStyle w:val="16"/>
        <w:numPr>
          <w:ilvl w:val="0"/>
          <w:numId w:val="0"/>
        </w:numPr>
        <w:ind w:right="0" w:rightChars="0"/>
        <w:jc w:val="center"/>
        <w:rPr>
          <w:rFonts w:hint="eastAsia" w:ascii="宋体" w:hAnsi="宋体" w:cs="宋体"/>
          <w:b/>
          <w:sz w:val="31"/>
          <w:szCs w:val="22"/>
          <w:highlight w:val="none"/>
          <w:lang w:val="en-US" w:eastAsia="zh-CN" w:bidi="ar-SA"/>
        </w:rPr>
      </w:pPr>
    </w:p>
    <w:p>
      <w:pPr>
        <w:pStyle w:val="16"/>
        <w:numPr>
          <w:ilvl w:val="0"/>
          <w:numId w:val="0"/>
        </w:numPr>
        <w:ind w:right="0" w:rightChars="0"/>
        <w:jc w:val="center"/>
        <w:rPr>
          <w:rFonts w:hint="eastAsia" w:ascii="宋体" w:hAnsi="宋体" w:cs="宋体"/>
          <w:b/>
          <w:sz w:val="31"/>
          <w:szCs w:val="22"/>
          <w:highlight w:val="none"/>
          <w:lang w:val="en-US" w:eastAsia="zh-CN" w:bidi="ar-SA"/>
        </w:rPr>
      </w:pPr>
    </w:p>
    <w:p>
      <w:pPr>
        <w:pStyle w:val="16"/>
        <w:numPr>
          <w:ilvl w:val="0"/>
          <w:numId w:val="0"/>
        </w:numPr>
        <w:ind w:right="0" w:rightChars="0"/>
        <w:jc w:val="center"/>
        <w:rPr>
          <w:rFonts w:hint="eastAsia" w:ascii="宋体" w:hAnsi="宋体" w:cs="宋体"/>
          <w:b/>
          <w:sz w:val="31"/>
          <w:szCs w:val="22"/>
          <w:highlight w:val="none"/>
          <w:lang w:val="en-US" w:eastAsia="zh-CN" w:bidi="ar-SA"/>
        </w:rPr>
      </w:pPr>
    </w:p>
    <w:p>
      <w:pPr>
        <w:pStyle w:val="16"/>
        <w:numPr>
          <w:ilvl w:val="0"/>
          <w:numId w:val="0"/>
        </w:numPr>
        <w:ind w:right="0" w:rightChars="0"/>
        <w:jc w:val="center"/>
        <w:rPr>
          <w:rFonts w:hint="eastAsia" w:ascii="宋体" w:hAnsi="宋体" w:cs="宋体"/>
          <w:b/>
          <w:sz w:val="31"/>
          <w:szCs w:val="22"/>
          <w:highlight w:val="none"/>
          <w:lang w:val="en-US" w:eastAsia="zh-CN" w:bidi="ar-SA"/>
        </w:rPr>
      </w:pPr>
    </w:p>
    <w:p>
      <w:pPr>
        <w:pStyle w:val="16"/>
        <w:numPr>
          <w:ilvl w:val="0"/>
          <w:numId w:val="0"/>
        </w:numPr>
        <w:ind w:right="0" w:rightChars="0"/>
        <w:jc w:val="center"/>
        <w:rPr>
          <w:rFonts w:hint="eastAsia" w:ascii="宋体" w:hAnsi="宋体" w:cs="宋体"/>
          <w:b/>
          <w:sz w:val="31"/>
          <w:szCs w:val="22"/>
          <w:highlight w:val="none"/>
          <w:lang w:val="en-US" w:eastAsia="zh-CN" w:bidi="ar-SA"/>
        </w:rPr>
      </w:pPr>
    </w:p>
    <w:p>
      <w:pPr>
        <w:pStyle w:val="16"/>
        <w:numPr>
          <w:ilvl w:val="0"/>
          <w:numId w:val="0"/>
        </w:numPr>
        <w:ind w:right="0" w:rightChars="0"/>
        <w:jc w:val="center"/>
        <w:rPr>
          <w:rFonts w:hint="eastAsia" w:ascii="宋体" w:hAnsi="宋体" w:cs="宋体"/>
          <w:b/>
          <w:sz w:val="31"/>
          <w:szCs w:val="22"/>
          <w:highlight w:val="none"/>
          <w:lang w:val="en-US" w:eastAsia="zh-CN" w:bidi="ar-SA"/>
        </w:rPr>
      </w:pPr>
    </w:p>
    <w:p>
      <w:pPr>
        <w:pStyle w:val="16"/>
        <w:numPr>
          <w:ilvl w:val="0"/>
          <w:numId w:val="0"/>
        </w:numPr>
        <w:ind w:right="0" w:rightChars="0"/>
        <w:jc w:val="center"/>
        <w:rPr>
          <w:rFonts w:hint="eastAsia" w:ascii="宋体" w:hAnsi="宋体" w:cs="宋体"/>
          <w:b/>
          <w:sz w:val="31"/>
          <w:szCs w:val="22"/>
          <w:highlight w:val="none"/>
          <w:lang w:val="en-US" w:eastAsia="zh-CN" w:bidi="ar-SA"/>
        </w:rPr>
      </w:pPr>
    </w:p>
    <w:p>
      <w:pPr>
        <w:pStyle w:val="16"/>
        <w:numPr>
          <w:ilvl w:val="0"/>
          <w:numId w:val="0"/>
        </w:numPr>
        <w:ind w:right="0" w:rightChars="0"/>
        <w:jc w:val="center"/>
        <w:rPr>
          <w:rFonts w:hint="eastAsia" w:ascii="宋体" w:hAnsi="宋体" w:cs="宋体"/>
          <w:b/>
          <w:sz w:val="31"/>
          <w:szCs w:val="22"/>
          <w:highlight w:val="none"/>
          <w:lang w:val="en-US" w:eastAsia="zh-CN" w:bidi="ar-SA"/>
        </w:rPr>
      </w:pPr>
    </w:p>
    <w:p>
      <w:pPr>
        <w:pStyle w:val="16"/>
        <w:numPr>
          <w:ilvl w:val="0"/>
          <w:numId w:val="0"/>
        </w:numPr>
        <w:ind w:right="0" w:rightChars="0"/>
        <w:jc w:val="center"/>
        <w:rPr>
          <w:rFonts w:hint="eastAsia" w:ascii="宋体" w:hAnsi="宋体" w:cs="宋体"/>
          <w:b/>
          <w:sz w:val="31"/>
          <w:szCs w:val="22"/>
          <w:highlight w:val="none"/>
          <w:lang w:val="en-US" w:eastAsia="zh-CN" w:bidi="ar-SA"/>
        </w:rPr>
      </w:pPr>
    </w:p>
    <w:p>
      <w:pPr>
        <w:pStyle w:val="16"/>
        <w:numPr>
          <w:ilvl w:val="0"/>
          <w:numId w:val="0"/>
        </w:numPr>
        <w:ind w:right="0" w:rightChars="0"/>
        <w:jc w:val="center"/>
        <w:rPr>
          <w:rFonts w:hint="eastAsia" w:ascii="宋体" w:hAnsi="宋体" w:cs="宋体"/>
          <w:b/>
          <w:sz w:val="31"/>
          <w:szCs w:val="22"/>
          <w:highlight w:val="none"/>
          <w:lang w:val="en-US" w:eastAsia="zh-CN" w:bidi="ar-SA"/>
        </w:rPr>
      </w:pPr>
    </w:p>
    <w:p>
      <w:pPr>
        <w:pStyle w:val="16"/>
        <w:numPr>
          <w:ilvl w:val="0"/>
          <w:numId w:val="0"/>
        </w:numPr>
        <w:ind w:right="0" w:rightChars="0"/>
        <w:jc w:val="center"/>
        <w:rPr>
          <w:rFonts w:hint="eastAsia" w:ascii="宋体" w:hAnsi="宋体" w:cs="宋体"/>
          <w:b/>
          <w:sz w:val="31"/>
          <w:szCs w:val="22"/>
          <w:highlight w:val="none"/>
          <w:lang w:val="en-US" w:eastAsia="zh-CN" w:bidi="ar-SA"/>
        </w:rPr>
      </w:pPr>
    </w:p>
    <w:p>
      <w:pPr>
        <w:pStyle w:val="16"/>
        <w:numPr>
          <w:ilvl w:val="0"/>
          <w:numId w:val="0"/>
        </w:numPr>
        <w:ind w:right="0" w:rightChars="0"/>
        <w:jc w:val="center"/>
        <w:rPr>
          <w:rFonts w:hint="eastAsia" w:ascii="宋体" w:hAnsi="宋体" w:cs="宋体"/>
          <w:b/>
          <w:sz w:val="31"/>
          <w:szCs w:val="22"/>
          <w:highlight w:val="none"/>
          <w:lang w:val="en-US" w:eastAsia="zh-CN" w:bidi="ar-SA"/>
        </w:rPr>
      </w:pPr>
    </w:p>
    <w:p>
      <w:pPr>
        <w:pStyle w:val="16"/>
        <w:numPr>
          <w:ilvl w:val="0"/>
          <w:numId w:val="0"/>
        </w:numPr>
        <w:ind w:right="0" w:rightChars="0"/>
        <w:jc w:val="center"/>
        <w:rPr>
          <w:rFonts w:hint="eastAsia" w:ascii="宋体" w:hAnsi="宋体" w:cs="宋体"/>
          <w:b/>
          <w:sz w:val="31"/>
          <w:szCs w:val="22"/>
          <w:highlight w:val="none"/>
          <w:lang w:val="en-US" w:eastAsia="zh-CN" w:bidi="ar-SA"/>
        </w:rPr>
      </w:pPr>
    </w:p>
    <w:p>
      <w:pPr>
        <w:pStyle w:val="16"/>
        <w:numPr>
          <w:ilvl w:val="0"/>
          <w:numId w:val="0"/>
        </w:numPr>
        <w:ind w:right="0" w:rightChars="0"/>
        <w:jc w:val="center"/>
        <w:rPr>
          <w:rFonts w:hint="eastAsia" w:ascii="宋体" w:hAnsi="宋体" w:cs="宋体"/>
          <w:b/>
          <w:sz w:val="31"/>
          <w:szCs w:val="22"/>
          <w:highlight w:val="none"/>
          <w:lang w:val="en-US" w:eastAsia="zh-CN" w:bidi="ar-SA"/>
        </w:rPr>
      </w:pPr>
    </w:p>
    <w:p>
      <w:pPr>
        <w:pStyle w:val="16"/>
        <w:numPr>
          <w:ilvl w:val="0"/>
          <w:numId w:val="0"/>
        </w:numPr>
        <w:ind w:right="0" w:rightChars="0"/>
        <w:jc w:val="center"/>
        <w:rPr>
          <w:rFonts w:hint="eastAsia" w:ascii="宋体" w:hAnsi="宋体" w:cs="宋体"/>
          <w:b/>
          <w:sz w:val="31"/>
          <w:szCs w:val="22"/>
          <w:highlight w:val="none"/>
          <w:lang w:val="en-US" w:eastAsia="zh-CN" w:bidi="ar-SA"/>
        </w:rPr>
      </w:pPr>
    </w:p>
    <w:p>
      <w:pPr>
        <w:pStyle w:val="16"/>
        <w:numPr>
          <w:ilvl w:val="0"/>
          <w:numId w:val="0"/>
        </w:numPr>
        <w:ind w:right="0" w:rightChars="0"/>
        <w:jc w:val="center"/>
        <w:rPr>
          <w:rFonts w:hint="eastAsia" w:ascii="宋体" w:hAnsi="宋体" w:cs="宋体"/>
          <w:b/>
          <w:sz w:val="31"/>
          <w:szCs w:val="22"/>
          <w:highlight w:val="none"/>
          <w:lang w:val="en-US" w:eastAsia="zh-CN" w:bidi="ar-SA"/>
        </w:rPr>
      </w:pPr>
    </w:p>
    <w:p>
      <w:pPr>
        <w:pStyle w:val="16"/>
        <w:numPr>
          <w:ilvl w:val="0"/>
          <w:numId w:val="0"/>
        </w:numPr>
        <w:ind w:right="0" w:rightChars="0"/>
        <w:jc w:val="center"/>
        <w:rPr>
          <w:rFonts w:hint="eastAsia" w:ascii="宋体" w:hAnsi="宋体" w:cs="宋体"/>
          <w:b/>
          <w:sz w:val="31"/>
          <w:szCs w:val="22"/>
          <w:highlight w:val="none"/>
          <w:lang w:val="en-US" w:eastAsia="zh-CN" w:bidi="ar-SA"/>
        </w:rPr>
      </w:pPr>
    </w:p>
    <w:p>
      <w:pPr>
        <w:pStyle w:val="16"/>
        <w:numPr>
          <w:ilvl w:val="0"/>
          <w:numId w:val="0"/>
        </w:numPr>
        <w:ind w:right="0" w:rightChars="0"/>
        <w:jc w:val="center"/>
        <w:rPr>
          <w:rFonts w:hint="eastAsia" w:ascii="宋体" w:hAnsi="宋体" w:cs="宋体"/>
          <w:b/>
          <w:sz w:val="31"/>
          <w:szCs w:val="22"/>
          <w:highlight w:val="none"/>
          <w:lang w:val="en-US" w:eastAsia="zh-CN" w:bidi="ar-SA"/>
        </w:rPr>
      </w:pPr>
    </w:p>
    <w:p>
      <w:pPr>
        <w:pStyle w:val="16"/>
        <w:numPr>
          <w:ilvl w:val="0"/>
          <w:numId w:val="0"/>
        </w:numPr>
        <w:ind w:right="0" w:rightChars="0"/>
        <w:jc w:val="center"/>
        <w:rPr>
          <w:rFonts w:hint="eastAsia" w:ascii="宋体" w:hAnsi="宋体" w:cs="宋体"/>
          <w:b/>
          <w:sz w:val="31"/>
          <w:szCs w:val="22"/>
          <w:highlight w:val="none"/>
          <w:lang w:val="en-US" w:eastAsia="zh-CN" w:bidi="ar-SA"/>
        </w:rPr>
      </w:pPr>
    </w:p>
    <w:p>
      <w:pPr>
        <w:pStyle w:val="16"/>
        <w:numPr>
          <w:ilvl w:val="0"/>
          <w:numId w:val="0"/>
        </w:numPr>
        <w:ind w:right="0" w:rightChars="0"/>
        <w:jc w:val="center"/>
        <w:rPr>
          <w:rFonts w:ascii="宋体" w:hAnsi="宋体" w:eastAsia="宋体" w:cs="宋体"/>
          <w:b/>
          <w:sz w:val="31"/>
          <w:szCs w:val="22"/>
          <w:highlight w:val="none"/>
          <w:lang w:val="en-US" w:eastAsia="en-US" w:bidi="ar-SA"/>
        </w:rPr>
      </w:pPr>
      <w:r>
        <w:rPr>
          <w:rFonts w:hint="eastAsia" w:ascii="宋体" w:hAnsi="宋体" w:cs="宋体"/>
          <w:b/>
          <w:sz w:val="31"/>
          <w:szCs w:val="22"/>
          <w:highlight w:val="none"/>
          <w:lang w:val="en-US" w:eastAsia="zh-CN" w:bidi="ar-SA"/>
        </w:rPr>
        <w:t>9、</w:t>
      </w:r>
      <w:r>
        <w:rPr>
          <w:rFonts w:hint="eastAsia" w:ascii="宋体" w:hAnsi="宋体" w:eastAsia="宋体" w:cs="宋体"/>
          <w:b/>
          <w:sz w:val="31"/>
          <w:szCs w:val="22"/>
          <w:highlight w:val="none"/>
          <w:lang w:val="en-US" w:eastAsia="en-US" w:bidi="ar-SA"/>
        </w:rPr>
        <w:t>施工组织设计方案</w:t>
      </w:r>
    </w:p>
    <w:p>
      <w:pPr>
        <w:pStyle w:val="16"/>
        <w:numPr>
          <w:ilvl w:val="0"/>
          <w:numId w:val="0"/>
        </w:numPr>
        <w:ind w:right="0" w:rightChars="0"/>
        <w:jc w:val="both"/>
        <w:rPr>
          <w:highlight w:val="none"/>
        </w:rPr>
      </w:pPr>
    </w:p>
    <w:p>
      <w:pPr>
        <w:pStyle w:val="16"/>
        <w:numPr>
          <w:ilvl w:val="0"/>
          <w:numId w:val="0"/>
        </w:numPr>
        <w:ind w:right="0" w:rightChars="0"/>
        <w:jc w:val="both"/>
        <w:rPr>
          <w:highlight w:val="none"/>
        </w:rPr>
      </w:pPr>
    </w:p>
    <w:p>
      <w:pPr>
        <w:pStyle w:val="16"/>
        <w:numPr>
          <w:ilvl w:val="0"/>
          <w:numId w:val="0"/>
        </w:numPr>
        <w:ind w:right="0" w:rightChars="0"/>
        <w:jc w:val="both"/>
        <w:rPr>
          <w:highlight w:val="none"/>
        </w:rPr>
      </w:pPr>
    </w:p>
    <w:p>
      <w:pPr>
        <w:pStyle w:val="16"/>
        <w:numPr>
          <w:ilvl w:val="0"/>
          <w:numId w:val="9"/>
        </w:numPr>
        <w:ind w:right="0" w:rightChars="0"/>
        <w:jc w:val="both"/>
        <w:rPr>
          <w:rFonts w:hint="eastAsia"/>
          <w:b w:val="0"/>
          <w:bCs/>
          <w:sz w:val="28"/>
          <w:szCs w:val="28"/>
          <w:highlight w:val="none"/>
          <w:lang w:val="en-US" w:eastAsia="zh-CN"/>
        </w:rPr>
      </w:pPr>
      <w:r>
        <w:rPr>
          <w:rFonts w:hint="eastAsia"/>
          <w:b w:val="0"/>
          <w:bCs/>
          <w:sz w:val="28"/>
          <w:szCs w:val="28"/>
          <w:highlight w:val="none"/>
          <w:lang w:val="en-US" w:eastAsia="zh-CN"/>
        </w:rPr>
        <w:t>施工方案与技术措施</w:t>
      </w:r>
    </w:p>
    <w:p>
      <w:pPr>
        <w:pStyle w:val="16"/>
        <w:numPr>
          <w:ilvl w:val="0"/>
          <w:numId w:val="9"/>
        </w:numPr>
        <w:ind w:right="0" w:rightChars="0"/>
        <w:jc w:val="both"/>
        <w:rPr>
          <w:rFonts w:hint="eastAsia"/>
          <w:b w:val="0"/>
          <w:bCs/>
          <w:sz w:val="28"/>
          <w:szCs w:val="28"/>
          <w:highlight w:val="none"/>
          <w:lang w:val="en-US" w:eastAsia="zh-CN"/>
        </w:rPr>
      </w:pPr>
      <w:r>
        <w:rPr>
          <w:rFonts w:hint="eastAsia"/>
          <w:b w:val="0"/>
          <w:bCs/>
          <w:sz w:val="28"/>
          <w:szCs w:val="28"/>
          <w:highlight w:val="none"/>
          <w:lang w:val="en-US" w:eastAsia="zh-CN"/>
        </w:rPr>
        <w:t>施工总进度（包括施工进度计划横道图、网络图）及保证措施；</w:t>
      </w:r>
    </w:p>
    <w:p>
      <w:pPr>
        <w:pStyle w:val="16"/>
        <w:numPr>
          <w:ilvl w:val="0"/>
          <w:numId w:val="9"/>
        </w:numPr>
        <w:ind w:right="0" w:rightChars="0"/>
        <w:jc w:val="both"/>
        <w:rPr>
          <w:rFonts w:hint="eastAsia"/>
          <w:b w:val="0"/>
          <w:bCs/>
          <w:sz w:val="28"/>
          <w:szCs w:val="28"/>
          <w:highlight w:val="none"/>
          <w:lang w:val="en-US" w:eastAsia="zh-CN"/>
        </w:rPr>
      </w:pPr>
      <w:r>
        <w:rPr>
          <w:rFonts w:hint="eastAsia"/>
          <w:b w:val="0"/>
          <w:bCs/>
          <w:sz w:val="28"/>
          <w:szCs w:val="28"/>
          <w:highlight w:val="none"/>
          <w:lang w:val="en-US" w:eastAsia="zh-CN"/>
        </w:rPr>
        <w:t>施工安全措施；</w:t>
      </w:r>
    </w:p>
    <w:p>
      <w:pPr>
        <w:pStyle w:val="16"/>
        <w:numPr>
          <w:ilvl w:val="0"/>
          <w:numId w:val="9"/>
        </w:numPr>
        <w:ind w:right="0" w:rightChars="0"/>
        <w:jc w:val="both"/>
        <w:rPr>
          <w:rFonts w:hint="eastAsia"/>
          <w:b w:val="0"/>
          <w:bCs/>
          <w:sz w:val="28"/>
          <w:szCs w:val="28"/>
          <w:highlight w:val="none"/>
          <w:lang w:val="en-US" w:eastAsia="zh-CN"/>
        </w:rPr>
      </w:pPr>
      <w:r>
        <w:rPr>
          <w:rFonts w:hint="eastAsia"/>
          <w:b w:val="0"/>
          <w:bCs/>
          <w:sz w:val="28"/>
          <w:szCs w:val="28"/>
          <w:highlight w:val="none"/>
          <w:lang w:val="en-US" w:eastAsia="zh-CN"/>
        </w:rPr>
        <w:t>文明施工措施；</w:t>
      </w:r>
    </w:p>
    <w:p>
      <w:pPr>
        <w:pStyle w:val="16"/>
        <w:numPr>
          <w:ilvl w:val="0"/>
          <w:numId w:val="9"/>
        </w:numPr>
        <w:ind w:right="0" w:rightChars="0"/>
        <w:jc w:val="both"/>
        <w:rPr>
          <w:rFonts w:hint="eastAsia"/>
          <w:b w:val="0"/>
          <w:bCs/>
          <w:sz w:val="28"/>
          <w:szCs w:val="28"/>
          <w:highlight w:val="none"/>
          <w:lang w:val="en-US" w:eastAsia="zh-CN"/>
        </w:rPr>
      </w:pPr>
      <w:r>
        <w:rPr>
          <w:rFonts w:hint="eastAsia"/>
          <w:b w:val="0"/>
          <w:bCs/>
          <w:sz w:val="28"/>
          <w:szCs w:val="28"/>
          <w:highlight w:val="none"/>
          <w:lang w:val="en-US" w:eastAsia="zh-CN"/>
        </w:rPr>
        <w:t>施工环保措施；</w:t>
      </w:r>
    </w:p>
    <w:p>
      <w:pPr>
        <w:pStyle w:val="16"/>
        <w:numPr>
          <w:ilvl w:val="0"/>
          <w:numId w:val="9"/>
        </w:numPr>
        <w:ind w:right="0" w:rightChars="0"/>
        <w:jc w:val="both"/>
        <w:rPr>
          <w:rFonts w:hint="eastAsia"/>
          <w:b w:val="0"/>
          <w:bCs/>
          <w:sz w:val="28"/>
          <w:szCs w:val="28"/>
          <w:highlight w:val="none"/>
          <w:lang w:val="en-US" w:eastAsia="zh-CN"/>
        </w:rPr>
      </w:pPr>
      <w:r>
        <w:rPr>
          <w:rFonts w:hint="eastAsia"/>
          <w:b w:val="0"/>
          <w:bCs/>
          <w:sz w:val="28"/>
          <w:szCs w:val="28"/>
          <w:highlight w:val="none"/>
          <w:lang w:val="en-US" w:eastAsia="zh-CN"/>
        </w:rPr>
        <w:t>现场组织管理机构；</w:t>
      </w:r>
    </w:p>
    <w:p>
      <w:pPr>
        <w:pStyle w:val="16"/>
        <w:numPr>
          <w:ilvl w:val="0"/>
          <w:numId w:val="9"/>
        </w:numPr>
        <w:ind w:right="0" w:rightChars="0"/>
        <w:jc w:val="both"/>
        <w:rPr>
          <w:rFonts w:hint="eastAsia"/>
          <w:b w:val="0"/>
          <w:bCs/>
          <w:sz w:val="28"/>
          <w:szCs w:val="28"/>
          <w:highlight w:val="none"/>
          <w:lang w:val="en-US" w:eastAsia="zh-CN"/>
        </w:rPr>
      </w:pPr>
      <w:r>
        <w:rPr>
          <w:rFonts w:hint="eastAsia"/>
          <w:b w:val="0"/>
          <w:bCs/>
          <w:sz w:val="28"/>
          <w:szCs w:val="28"/>
          <w:highlight w:val="none"/>
          <w:lang w:val="en-US" w:eastAsia="zh-CN"/>
        </w:rPr>
        <w:t>与发包人及设计单位的配合</w:t>
      </w:r>
    </w:p>
    <w:p>
      <w:pPr>
        <w:pStyle w:val="16"/>
        <w:numPr>
          <w:ilvl w:val="0"/>
          <w:numId w:val="0"/>
        </w:numPr>
        <w:ind w:right="0" w:rightChars="0"/>
        <w:jc w:val="both"/>
        <w:rPr>
          <w:highlight w:val="none"/>
        </w:rPr>
      </w:pPr>
    </w:p>
    <w:p>
      <w:pPr>
        <w:pStyle w:val="16"/>
        <w:numPr>
          <w:ilvl w:val="0"/>
          <w:numId w:val="0"/>
        </w:numPr>
        <w:ind w:right="0" w:rightChars="0"/>
        <w:jc w:val="both"/>
        <w:rPr>
          <w:highlight w:val="none"/>
        </w:rPr>
      </w:pPr>
    </w:p>
    <w:p>
      <w:pPr>
        <w:pStyle w:val="16"/>
        <w:numPr>
          <w:ilvl w:val="0"/>
          <w:numId w:val="0"/>
        </w:numPr>
        <w:ind w:right="0" w:rightChars="0"/>
        <w:jc w:val="both"/>
        <w:rPr>
          <w:highlight w:val="none"/>
        </w:rPr>
      </w:pPr>
    </w:p>
    <w:p>
      <w:pPr>
        <w:pStyle w:val="16"/>
        <w:numPr>
          <w:ilvl w:val="0"/>
          <w:numId w:val="0"/>
        </w:numPr>
        <w:ind w:right="0" w:rightChars="0"/>
        <w:jc w:val="both"/>
        <w:rPr>
          <w:highlight w:val="none"/>
        </w:rPr>
      </w:pPr>
    </w:p>
    <w:p>
      <w:pPr>
        <w:pStyle w:val="16"/>
        <w:numPr>
          <w:ilvl w:val="0"/>
          <w:numId w:val="0"/>
        </w:numPr>
        <w:ind w:right="0" w:rightChars="0"/>
        <w:jc w:val="both"/>
        <w:rPr>
          <w:highlight w:val="none"/>
        </w:rPr>
      </w:pPr>
    </w:p>
    <w:p>
      <w:pPr>
        <w:pStyle w:val="16"/>
        <w:numPr>
          <w:ilvl w:val="0"/>
          <w:numId w:val="0"/>
        </w:numPr>
        <w:ind w:right="0" w:rightChars="0"/>
        <w:jc w:val="both"/>
        <w:rPr>
          <w:highlight w:val="none"/>
        </w:rPr>
      </w:pPr>
    </w:p>
    <w:p>
      <w:pPr>
        <w:pStyle w:val="16"/>
        <w:numPr>
          <w:ilvl w:val="0"/>
          <w:numId w:val="0"/>
        </w:numPr>
        <w:ind w:right="0" w:rightChars="0"/>
        <w:jc w:val="both"/>
        <w:rPr>
          <w:highlight w:val="none"/>
        </w:rPr>
      </w:pPr>
    </w:p>
    <w:p>
      <w:pPr>
        <w:pStyle w:val="16"/>
        <w:numPr>
          <w:ilvl w:val="0"/>
          <w:numId w:val="0"/>
        </w:numPr>
        <w:ind w:right="0" w:rightChars="0"/>
        <w:jc w:val="both"/>
        <w:rPr>
          <w:highlight w:val="none"/>
        </w:rPr>
      </w:pPr>
    </w:p>
    <w:p>
      <w:pPr>
        <w:pStyle w:val="16"/>
        <w:numPr>
          <w:ilvl w:val="0"/>
          <w:numId w:val="0"/>
        </w:numPr>
        <w:ind w:right="0" w:rightChars="0"/>
        <w:jc w:val="both"/>
        <w:rPr>
          <w:highlight w:val="none"/>
        </w:rPr>
      </w:pPr>
    </w:p>
    <w:p>
      <w:pPr>
        <w:pStyle w:val="16"/>
        <w:numPr>
          <w:ilvl w:val="0"/>
          <w:numId w:val="0"/>
        </w:numPr>
        <w:ind w:right="0" w:rightChars="0"/>
        <w:jc w:val="both"/>
        <w:rPr>
          <w:highlight w:val="none"/>
        </w:rPr>
      </w:pPr>
    </w:p>
    <w:p>
      <w:pPr>
        <w:pStyle w:val="16"/>
        <w:numPr>
          <w:ilvl w:val="0"/>
          <w:numId w:val="0"/>
        </w:numPr>
        <w:ind w:right="0" w:rightChars="0"/>
        <w:jc w:val="both"/>
        <w:rPr>
          <w:highlight w:val="none"/>
        </w:rPr>
      </w:pPr>
    </w:p>
    <w:p>
      <w:pPr>
        <w:pStyle w:val="16"/>
        <w:numPr>
          <w:ilvl w:val="0"/>
          <w:numId w:val="0"/>
        </w:numPr>
        <w:ind w:right="0" w:rightChars="0"/>
        <w:jc w:val="both"/>
        <w:rPr>
          <w:highlight w:val="none"/>
        </w:rPr>
      </w:pPr>
    </w:p>
    <w:p>
      <w:pPr>
        <w:pStyle w:val="16"/>
        <w:numPr>
          <w:ilvl w:val="0"/>
          <w:numId w:val="0"/>
        </w:numPr>
        <w:ind w:right="0" w:rightChars="0"/>
        <w:jc w:val="both"/>
        <w:rPr>
          <w:highlight w:val="none"/>
        </w:rPr>
      </w:pPr>
    </w:p>
    <w:p>
      <w:pPr>
        <w:pStyle w:val="16"/>
        <w:numPr>
          <w:ilvl w:val="0"/>
          <w:numId w:val="0"/>
        </w:numPr>
        <w:ind w:right="0" w:rightChars="0"/>
        <w:jc w:val="both"/>
        <w:rPr>
          <w:highlight w:val="none"/>
        </w:rPr>
      </w:pPr>
    </w:p>
    <w:p>
      <w:pPr>
        <w:pStyle w:val="16"/>
        <w:numPr>
          <w:ilvl w:val="0"/>
          <w:numId w:val="0"/>
        </w:numPr>
        <w:ind w:right="0" w:rightChars="0"/>
        <w:jc w:val="both"/>
        <w:rPr>
          <w:highlight w:val="none"/>
        </w:rPr>
      </w:pPr>
    </w:p>
    <w:p>
      <w:pPr>
        <w:pStyle w:val="16"/>
        <w:numPr>
          <w:ilvl w:val="0"/>
          <w:numId w:val="0"/>
        </w:numPr>
        <w:ind w:right="0" w:rightChars="0"/>
        <w:jc w:val="both"/>
        <w:rPr>
          <w:highlight w:val="none"/>
        </w:rPr>
      </w:pPr>
    </w:p>
    <w:p>
      <w:pPr>
        <w:pStyle w:val="16"/>
        <w:numPr>
          <w:ilvl w:val="0"/>
          <w:numId w:val="0"/>
        </w:numPr>
        <w:ind w:right="0" w:rightChars="0"/>
        <w:jc w:val="both"/>
        <w:rPr>
          <w:highlight w:val="none"/>
        </w:rPr>
      </w:pPr>
    </w:p>
    <w:p>
      <w:pPr>
        <w:pStyle w:val="16"/>
        <w:numPr>
          <w:ilvl w:val="0"/>
          <w:numId w:val="0"/>
        </w:numPr>
        <w:ind w:right="0" w:rightChars="0"/>
        <w:jc w:val="both"/>
        <w:rPr>
          <w:highlight w:val="none"/>
        </w:rPr>
      </w:pPr>
    </w:p>
    <w:p>
      <w:pPr>
        <w:pStyle w:val="16"/>
        <w:numPr>
          <w:ilvl w:val="0"/>
          <w:numId w:val="0"/>
        </w:numPr>
        <w:ind w:right="0" w:rightChars="0"/>
        <w:jc w:val="both"/>
        <w:rPr>
          <w:highlight w:val="none"/>
        </w:rPr>
      </w:pPr>
    </w:p>
    <w:p>
      <w:pPr>
        <w:pStyle w:val="16"/>
        <w:numPr>
          <w:ilvl w:val="0"/>
          <w:numId w:val="0"/>
        </w:numPr>
        <w:ind w:right="0" w:rightChars="0"/>
        <w:jc w:val="both"/>
        <w:rPr>
          <w:highlight w:val="none"/>
        </w:rPr>
      </w:pPr>
    </w:p>
    <w:p>
      <w:pPr>
        <w:pStyle w:val="16"/>
        <w:numPr>
          <w:ilvl w:val="0"/>
          <w:numId w:val="0"/>
        </w:numPr>
        <w:ind w:right="0" w:rightChars="0"/>
        <w:jc w:val="both"/>
        <w:rPr>
          <w:highlight w:val="none"/>
        </w:rPr>
      </w:pPr>
    </w:p>
    <w:p>
      <w:pPr>
        <w:pStyle w:val="16"/>
        <w:numPr>
          <w:ilvl w:val="0"/>
          <w:numId w:val="0"/>
        </w:numPr>
        <w:ind w:right="0" w:rightChars="0"/>
        <w:jc w:val="both"/>
        <w:rPr>
          <w:highlight w:val="none"/>
        </w:rPr>
      </w:pPr>
    </w:p>
    <w:p>
      <w:pPr>
        <w:pStyle w:val="16"/>
        <w:numPr>
          <w:ilvl w:val="0"/>
          <w:numId w:val="0"/>
        </w:numPr>
        <w:ind w:right="0" w:rightChars="0"/>
        <w:jc w:val="both"/>
        <w:rPr>
          <w:highlight w:val="none"/>
        </w:rPr>
      </w:pPr>
    </w:p>
    <w:p>
      <w:pPr>
        <w:pStyle w:val="16"/>
        <w:numPr>
          <w:ilvl w:val="0"/>
          <w:numId w:val="0"/>
        </w:numPr>
        <w:ind w:right="0" w:rightChars="0"/>
        <w:jc w:val="both"/>
        <w:rPr>
          <w:highlight w:val="none"/>
        </w:rPr>
      </w:pPr>
    </w:p>
    <w:p>
      <w:pPr>
        <w:pStyle w:val="16"/>
        <w:numPr>
          <w:ilvl w:val="0"/>
          <w:numId w:val="0"/>
        </w:numPr>
        <w:ind w:right="0" w:rightChars="0"/>
        <w:jc w:val="both"/>
        <w:rPr>
          <w:highlight w:val="none"/>
        </w:rPr>
      </w:pPr>
    </w:p>
    <w:p>
      <w:pPr>
        <w:pStyle w:val="16"/>
        <w:numPr>
          <w:ilvl w:val="0"/>
          <w:numId w:val="0"/>
        </w:numPr>
        <w:ind w:right="0" w:rightChars="0"/>
        <w:jc w:val="both"/>
        <w:rPr>
          <w:highlight w:val="none"/>
        </w:rPr>
      </w:pPr>
    </w:p>
    <w:p>
      <w:pPr>
        <w:pStyle w:val="16"/>
        <w:numPr>
          <w:ilvl w:val="0"/>
          <w:numId w:val="0"/>
        </w:numPr>
        <w:ind w:right="0" w:rightChars="0"/>
        <w:jc w:val="both"/>
        <w:rPr>
          <w:highlight w:val="none"/>
        </w:rPr>
      </w:pPr>
    </w:p>
    <w:p>
      <w:pPr>
        <w:pStyle w:val="16"/>
        <w:numPr>
          <w:ilvl w:val="0"/>
          <w:numId w:val="0"/>
        </w:numPr>
        <w:ind w:right="0" w:rightChars="0"/>
        <w:jc w:val="both"/>
        <w:rPr>
          <w:highlight w:val="none"/>
        </w:rPr>
      </w:pPr>
    </w:p>
    <w:p>
      <w:pPr>
        <w:pStyle w:val="16"/>
        <w:numPr>
          <w:ilvl w:val="0"/>
          <w:numId w:val="0"/>
        </w:numPr>
        <w:ind w:right="0" w:rightChars="0"/>
        <w:jc w:val="both"/>
        <w:rPr>
          <w:highlight w:val="none"/>
        </w:rPr>
      </w:pPr>
    </w:p>
    <w:p>
      <w:pPr>
        <w:pStyle w:val="16"/>
        <w:numPr>
          <w:ilvl w:val="0"/>
          <w:numId w:val="0"/>
        </w:numPr>
        <w:ind w:right="0" w:rightChars="0"/>
        <w:jc w:val="both"/>
        <w:rPr>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397" w:lineRule="exact"/>
        <w:ind w:left="0" w:right="0" w:firstLine="0"/>
        <w:jc w:val="center"/>
        <w:textAlignment w:val="auto"/>
        <w:rPr>
          <w:b/>
          <w:sz w:val="31"/>
          <w:highlight w:val="none"/>
        </w:rPr>
      </w:pPr>
      <w:r>
        <w:rPr>
          <w:rFonts w:hint="eastAsia"/>
          <w:b/>
          <w:sz w:val="31"/>
          <w:highlight w:val="none"/>
          <w:lang w:val="en-US" w:eastAsia="zh-CN"/>
        </w:rPr>
        <w:t>10、</w:t>
      </w:r>
      <w:r>
        <w:rPr>
          <w:b/>
          <w:sz w:val="31"/>
          <w:highlight w:val="none"/>
        </w:rPr>
        <w:t>中小企业声明函</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b/>
          <w:sz w:val="42"/>
          <w:highlight w:val="none"/>
        </w:rPr>
      </w:pPr>
    </w:p>
    <w:p>
      <w:pPr>
        <w:spacing w:line="360" w:lineRule="auto"/>
        <w:ind w:firstLine="480" w:firstLineChars="200"/>
        <w:jc w:val="both"/>
        <w:rPr>
          <w:rFonts w:ascii="宋体" w:hAnsi="宋体"/>
          <w:sz w:val="24"/>
          <w:highlight w:val="none"/>
        </w:rPr>
      </w:pPr>
      <w:r>
        <w:rPr>
          <w:rFonts w:hint="eastAsia" w:ascii="宋体" w:hAnsi="宋体"/>
          <w:sz w:val="24"/>
          <w:highlight w:val="none"/>
        </w:rPr>
        <w:t>本公司郑重声明，根据《政府采购促进中小企业发展暂行办法》（财库[2011]181号）的规定，本公司为（请填写：中型、小型、微型）企业。即，本公司同时满足以下条件：</w:t>
      </w:r>
    </w:p>
    <w:p>
      <w:pPr>
        <w:spacing w:line="360" w:lineRule="auto"/>
        <w:ind w:firstLine="480" w:firstLineChars="200"/>
        <w:jc w:val="both"/>
        <w:rPr>
          <w:rFonts w:ascii="宋体" w:hAnsi="宋体"/>
          <w:sz w:val="24"/>
          <w:highlight w:val="none"/>
        </w:rPr>
      </w:pPr>
      <w:r>
        <w:rPr>
          <w:rFonts w:hint="eastAsia" w:ascii="宋体" w:hAnsi="宋体"/>
          <w:sz w:val="24"/>
          <w:highlight w:val="none"/>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jc w:val="both"/>
        <w:rPr>
          <w:rFonts w:ascii="宋体" w:hAnsi="宋体"/>
          <w:sz w:val="24"/>
          <w:highlight w:val="none"/>
        </w:rPr>
      </w:pPr>
      <w:r>
        <w:rPr>
          <w:rFonts w:hint="eastAsia" w:ascii="宋体" w:hAnsi="宋体"/>
          <w:sz w:val="24"/>
          <w:highlight w:val="none"/>
        </w:rPr>
        <w:t>2.本公司参加</w:t>
      </w:r>
      <w:r>
        <w:rPr>
          <w:rFonts w:hint="eastAsia" w:ascii="宋体" w:hAnsi="宋体"/>
          <w:sz w:val="24"/>
          <w:highlight w:val="none"/>
          <w:u w:val="single"/>
        </w:rPr>
        <w:t xml:space="preserve">     (采购人单位名称)    </w:t>
      </w:r>
      <w:r>
        <w:rPr>
          <w:rFonts w:hint="eastAsia" w:ascii="宋体" w:hAnsi="宋体"/>
          <w:sz w:val="24"/>
          <w:highlight w:val="none"/>
        </w:rPr>
        <w:t>的</w:t>
      </w:r>
      <w:r>
        <w:rPr>
          <w:rFonts w:hint="eastAsia" w:ascii="宋体" w:hAnsi="宋体"/>
          <w:sz w:val="24"/>
          <w:highlight w:val="none"/>
          <w:u w:val="single"/>
        </w:rPr>
        <w:t xml:space="preserve">   (项目名称)      </w:t>
      </w:r>
      <w:r>
        <w:rPr>
          <w:rFonts w:hint="eastAsia" w:ascii="宋体" w:hAnsi="宋体"/>
          <w:sz w:val="24"/>
          <w:highlight w:val="none"/>
        </w:rPr>
        <w:t xml:space="preserve"> 采购活动提供本企业制造的货物，由本企业承担工程、提供服务，或者提供其他（请填写：中型、小型、微型）企业制造的货物。本条所称货物不包括使用大型企业注册商标的货物。</w:t>
      </w:r>
    </w:p>
    <w:p>
      <w:pPr>
        <w:spacing w:line="360" w:lineRule="auto"/>
        <w:ind w:firstLine="480" w:firstLineChars="200"/>
        <w:jc w:val="both"/>
        <w:rPr>
          <w:rFonts w:ascii="宋体" w:hAnsi="宋体"/>
          <w:sz w:val="24"/>
          <w:highlight w:val="none"/>
        </w:rPr>
      </w:pPr>
      <w:r>
        <w:rPr>
          <w:rFonts w:hint="eastAsia" w:ascii="宋体" w:hAnsi="宋体"/>
          <w:sz w:val="24"/>
          <w:highlight w:val="none"/>
        </w:rPr>
        <w:t>本公司对上述声明的真实性负责。如有虚假，将依法承担相应责任。</w:t>
      </w:r>
    </w:p>
    <w:p>
      <w:pPr>
        <w:spacing w:line="360" w:lineRule="auto"/>
        <w:ind w:firstLine="480" w:firstLineChars="200"/>
        <w:jc w:val="center"/>
        <w:rPr>
          <w:rFonts w:ascii="宋体" w:hAnsi="宋体"/>
          <w:sz w:val="24"/>
          <w:highlight w:val="none"/>
        </w:rPr>
      </w:pPr>
    </w:p>
    <w:p>
      <w:pPr>
        <w:spacing w:line="360" w:lineRule="auto"/>
        <w:ind w:firstLine="480" w:firstLineChars="200"/>
        <w:jc w:val="center"/>
        <w:rPr>
          <w:rFonts w:ascii="宋体" w:hAnsi="宋体"/>
          <w:sz w:val="24"/>
          <w:highlight w:val="none"/>
        </w:rPr>
      </w:pPr>
    </w:p>
    <w:p>
      <w:pPr>
        <w:spacing w:line="360" w:lineRule="auto"/>
        <w:ind w:firstLine="480" w:firstLineChars="200"/>
        <w:jc w:val="center"/>
        <w:rPr>
          <w:rFonts w:ascii="宋体" w:hAnsi="宋体"/>
          <w:sz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r>
        <w:rPr>
          <w:highlight w:val="none"/>
        </w:rPr>
        <w:t>供应商： （ 盖章）</w:t>
      </w: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19"/>
          <w:highlight w:val="none"/>
        </w:rPr>
      </w:pPr>
    </w:p>
    <w:p>
      <w:pPr>
        <w:pStyle w:val="9"/>
        <w:keepNext w:val="0"/>
        <w:keepLines w:val="0"/>
        <w:pageBreakBefore w:val="0"/>
        <w:widowControl w:val="0"/>
        <w:tabs>
          <w:tab w:val="left" w:pos="5087"/>
          <w:tab w:val="left" w:pos="5747"/>
          <w:tab w:val="left" w:pos="6587"/>
        </w:tabs>
        <w:kinsoku/>
        <w:wordWrap/>
        <w:overflowPunct/>
        <w:topLinePunct w:val="0"/>
        <w:autoSpaceDE w:val="0"/>
        <w:autoSpaceDN w:val="0"/>
        <w:bidi w:val="0"/>
        <w:adjustRightInd/>
        <w:snapToGrid/>
        <w:spacing w:before="0" w:after="0" w:line="672" w:lineRule="auto"/>
        <w:ind w:left="0" w:right="0" w:hanging="108"/>
        <w:jc w:val="both"/>
        <w:textAlignment w:val="auto"/>
        <w:rPr>
          <w:highlight w:val="none"/>
        </w:rPr>
      </w:pPr>
      <w:r>
        <w:rPr>
          <w:highlight w:val="none"/>
        </w:rPr>
        <w:t xml:space="preserve">法定代表人或授权代表（签字或盖章）： </w:t>
      </w:r>
    </w:p>
    <w:p>
      <w:pPr>
        <w:pStyle w:val="9"/>
        <w:keepNext w:val="0"/>
        <w:keepLines w:val="0"/>
        <w:pageBreakBefore w:val="0"/>
        <w:widowControl w:val="0"/>
        <w:tabs>
          <w:tab w:val="left" w:pos="5087"/>
          <w:tab w:val="left" w:pos="5747"/>
          <w:tab w:val="left" w:pos="6587"/>
        </w:tabs>
        <w:kinsoku/>
        <w:wordWrap/>
        <w:overflowPunct/>
        <w:topLinePunct w:val="0"/>
        <w:autoSpaceDE w:val="0"/>
        <w:autoSpaceDN w:val="0"/>
        <w:bidi w:val="0"/>
        <w:adjustRightInd/>
        <w:snapToGrid/>
        <w:spacing w:before="0" w:after="0" w:line="672" w:lineRule="auto"/>
        <w:ind w:left="0" w:right="0" w:hanging="108"/>
        <w:jc w:val="both"/>
        <w:textAlignment w:val="auto"/>
        <w:rPr>
          <w:highlight w:val="none"/>
        </w:rPr>
      </w:pPr>
      <w:r>
        <w:rPr>
          <w:highlight w:val="none"/>
        </w:rPr>
        <w:t>日</w:t>
      </w:r>
      <w:r>
        <w:rPr>
          <w:spacing w:val="-60"/>
          <w:highlight w:val="none"/>
        </w:rPr>
        <w:t xml:space="preserve"> </w:t>
      </w:r>
      <w:r>
        <w:rPr>
          <w:rFonts w:hint="eastAsia"/>
          <w:spacing w:val="-60"/>
          <w:highlight w:val="none"/>
          <w:lang w:val="en-US" w:eastAsia="zh-CN"/>
        </w:rPr>
        <w:t xml:space="preserve">  </w:t>
      </w:r>
      <w:r>
        <w:rPr>
          <w:highlight w:val="none"/>
        </w:rPr>
        <w:t>期</w:t>
      </w:r>
      <w:r>
        <w:rPr>
          <w:spacing w:val="-60"/>
          <w:highlight w:val="none"/>
        </w:rPr>
        <w:t xml:space="preserve"> </w:t>
      </w:r>
      <w:r>
        <w:rPr>
          <w:highlight w:val="none"/>
        </w:rPr>
        <w:t>：</w:t>
      </w:r>
      <w:r>
        <w:rPr>
          <w:rFonts w:hint="eastAsia"/>
          <w:highlight w:val="none"/>
          <w:lang w:val="en-US" w:eastAsia="zh-CN"/>
        </w:rPr>
        <w:t xml:space="preserve">    </w:t>
      </w:r>
      <w:r>
        <w:rPr>
          <w:highlight w:val="none"/>
        </w:rPr>
        <w:t>年</w:t>
      </w:r>
      <w:r>
        <w:rPr>
          <w:rFonts w:hint="eastAsia"/>
          <w:highlight w:val="none"/>
          <w:lang w:val="en-US" w:eastAsia="zh-CN"/>
        </w:rPr>
        <w:t xml:space="preserve">    </w:t>
      </w:r>
      <w:r>
        <w:rPr>
          <w:highlight w:val="none"/>
        </w:rPr>
        <w:t>月</w:t>
      </w:r>
      <w:r>
        <w:rPr>
          <w:rFonts w:hint="eastAsia"/>
          <w:highlight w:val="none"/>
          <w:lang w:val="en-US" w:eastAsia="zh-CN"/>
        </w:rPr>
        <w:t xml:space="preserve">    </w:t>
      </w:r>
      <w:r>
        <w:rPr>
          <w:highlight w:val="none"/>
        </w:rPr>
        <w:t>日</w:t>
      </w:r>
    </w:p>
    <w:p>
      <w:pPr>
        <w:keepNext w:val="0"/>
        <w:keepLines w:val="0"/>
        <w:pageBreakBefore w:val="0"/>
        <w:widowControl w:val="0"/>
        <w:kinsoku/>
        <w:wordWrap/>
        <w:overflowPunct/>
        <w:topLinePunct w:val="0"/>
        <w:autoSpaceDE w:val="0"/>
        <w:autoSpaceDN w:val="0"/>
        <w:bidi w:val="0"/>
        <w:adjustRightInd/>
        <w:snapToGrid/>
        <w:spacing w:before="0" w:after="0" w:line="672" w:lineRule="auto"/>
        <w:ind w:left="0" w:right="0"/>
        <w:jc w:val="both"/>
        <w:textAlignment w:val="auto"/>
        <w:rPr>
          <w:highlight w:val="none"/>
        </w:rPr>
        <w:sectPr>
          <w:pgSz w:w="11910" w:h="16840"/>
          <w:pgMar w:top="1480" w:right="1134" w:bottom="880" w:left="1680" w:header="0" w:footer="907" w:gutter="0"/>
          <w:pgBorders>
            <w:top w:val="none" w:sz="0" w:space="0"/>
            <w:left w:val="none" w:sz="0" w:space="0"/>
            <w:bottom w:val="none" w:sz="0" w:space="0"/>
            <w:right w:val="none" w:sz="0" w:space="0"/>
          </w:pgBorders>
          <w:pgNumType w:fmt="decimal"/>
        </w:sectPr>
      </w:pPr>
    </w:p>
    <w:p>
      <w:pPr>
        <w:pStyle w:val="9"/>
        <w:keepNext w:val="0"/>
        <w:keepLines w:val="0"/>
        <w:pageBreakBefore w:val="0"/>
        <w:widowControl w:val="0"/>
        <w:kinsoku/>
        <w:wordWrap/>
        <w:overflowPunct/>
        <w:topLinePunct w:val="0"/>
        <w:autoSpaceDE w:val="0"/>
        <w:autoSpaceDN w:val="0"/>
        <w:bidi w:val="0"/>
        <w:adjustRightInd/>
        <w:snapToGrid/>
        <w:spacing w:before="0" w:after="0"/>
        <w:ind w:left="0" w:right="0"/>
        <w:jc w:val="both"/>
        <w:textAlignment w:val="auto"/>
        <w:rPr>
          <w:sz w:val="20"/>
          <w:highlight w:val="none"/>
        </w:rPr>
      </w:pPr>
    </w:p>
    <w:p>
      <w:pPr>
        <w:pStyle w:val="6"/>
        <w:keepNext w:val="0"/>
        <w:keepLines w:val="0"/>
        <w:pageBreakBefore w:val="0"/>
        <w:widowControl w:val="0"/>
        <w:kinsoku/>
        <w:wordWrap/>
        <w:overflowPunct/>
        <w:topLinePunct w:val="0"/>
        <w:autoSpaceDE w:val="0"/>
        <w:autoSpaceDN w:val="0"/>
        <w:bidi w:val="0"/>
        <w:adjustRightInd/>
        <w:snapToGrid/>
        <w:spacing w:before="0" w:after="0" w:line="397" w:lineRule="exact"/>
        <w:ind w:left="0" w:right="0"/>
        <w:jc w:val="center"/>
        <w:textAlignment w:val="auto"/>
        <w:rPr>
          <w:highlight w:val="none"/>
        </w:rPr>
      </w:pPr>
      <w:r>
        <w:rPr>
          <w:rFonts w:hint="eastAsia"/>
          <w:w w:val="95"/>
          <w:highlight w:val="none"/>
          <w:lang w:val="en-US" w:eastAsia="zh-CN"/>
        </w:rPr>
        <w:t>11、</w:t>
      </w:r>
      <w:r>
        <w:rPr>
          <w:w w:val="95"/>
          <w:highlight w:val="none"/>
        </w:rPr>
        <w:t>投标人认为需要提供的其它材料（格式自拟）</w:t>
      </w:r>
    </w:p>
    <w:sectPr>
      <w:pgSz w:w="11910" w:h="16840"/>
      <w:pgMar w:top="1420" w:right="1680" w:bottom="880" w:left="1680" w:header="0" w:footer="907" w:gutter="0"/>
      <w:pgBorders>
        <w:top w:val="none" w:sz="0" w:space="0"/>
        <w:left w:val="none" w:sz="0" w:space="0"/>
        <w:bottom w:val="none" w:sz="0" w:space="0"/>
        <w:right w:val="none" w:sz="0" w:space="0"/>
      </w:pgBorders>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16"/>
      </w:rPr>
    </w:pPr>
    <w:r>
      <w:rPr>
        <w:sz w:val="16"/>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20"/>
      </w:rPr>
    </w:pPr>
    <w:r>
      <w:rPr>
        <w:sz w:val="20"/>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20"/>
      </w:rPr>
    </w:pPr>
    <w:r>
      <w:rPr>
        <w:sz w:val="20"/>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16"/>
      </w:rPr>
    </w:pPr>
    <w:r>
      <w:rPr>
        <w:sz w:val="16"/>
      </w:rPr>
      <w:pict>
        <v:shape id="_x0000_s4100" o:spid="_x0000_s410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20"/>
      </w:rPr>
    </w:pPr>
    <w:r>
      <w:rPr>
        <w:sz w:val="20"/>
      </w:rPr>
      <w:pict>
        <v:shape id="_x0000_s4102" o:spid="_x0000_s4102"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20"/>
      </w:rPr>
    </w:pPr>
    <w:r>
      <w:rPr>
        <w:sz w:val="20"/>
      </w:rPr>
      <w:pict>
        <v:shape id="_x0000_s4103" o:spid="_x0000_s4103"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41</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20"/>
      </w:rPr>
    </w:pPr>
    <w:r>
      <w:rPr>
        <w:sz w:val="20"/>
      </w:rPr>
      <w:pict>
        <v:shape id="_x0000_s4105" o:spid="_x0000_s4105"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60</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66CD9A"/>
    <w:multiLevelType w:val="singleLevel"/>
    <w:tmpl w:val="9566CD9A"/>
    <w:lvl w:ilvl="0" w:tentative="0">
      <w:start w:val="1"/>
      <w:numFmt w:val="decimal"/>
      <w:suff w:val="nothing"/>
      <w:lvlText w:val="（%1）"/>
      <w:lvlJc w:val="left"/>
    </w:lvl>
  </w:abstractNum>
  <w:abstractNum w:abstractNumId="1">
    <w:nsid w:val="ACAAEC9A"/>
    <w:multiLevelType w:val="singleLevel"/>
    <w:tmpl w:val="ACAAEC9A"/>
    <w:lvl w:ilvl="0" w:tentative="0">
      <w:start w:val="3"/>
      <w:numFmt w:val="decimal"/>
      <w:suff w:val="nothing"/>
      <w:lvlText w:val="%1、"/>
      <w:lvlJc w:val="left"/>
    </w:lvl>
  </w:abstractNum>
  <w:abstractNum w:abstractNumId="2">
    <w:nsid w:val="F7735DC9"/>
    <w:multiLevelType w:val="multilevel"/>
    <w:tmpl w:val="F7735DC9"/>
    <w:lvl w:ilvl="0" w:tentative="0">
      <w:start w:val="23"/>
      <w:numFmt w:val="decimal"/>
      <w:lvlText w:val="%1"/>
      <w:lvlJc w:val="left"/>
      <w:pPr>
        <w:ind w:left="1197" w:hanging="600"/>
        <w:jc w:val="left"/>
      </w:pPr>
      <w:rPr>
        <w:rFonts w:hint="default"/>
      </w:rPr>
    </w:lvl>
    <w:lvl w:ilvl="1" w:tentative="0">
      <w:start w:val="1"/>
      <w:numFmt w:val="decimal"/>
      <w:lvlText w:val="%1.%2"/>
      <w:lvlJc w:val="left"/>
      <w:pPr>
        <w:ind w:left="1197" w:hanging="600"/>
        <w:jc w:val="left"/>
      </w:pPr>
      <w:rPr>
        <w:rFonts w:hint="default" w:ascii="宋体" w:hAnsi="宋体" w:eastAsia="宋体" w:cs="宋体"/>
        <w:spacing w:val="-60"/>
        <w:w w:val="100"/>
        <w:sz w:val="24"/>
        <w:szCs w:val="24"/>
      </w:rPr>
    </w:lvl>
    <w:lvl w:ilvl="2" w:tentative="0">
      <w:start w:val="1"/>
      <w:numFmt w:val="decimal"/>
      <w:lvlText w:val="%1.%2.%3"/>
      <w:lvlJc w:val="left"/>
      <w:pPr>
        <w:ind w:left="117" w:hanging="780"/>
        <w:jc w:val="left"/>
      </w:pPr>
      <w:rPr>
        <w:rFonts w:hint="default" w:ascii="宋体" w:hAnsi="宋体" w:eastAsia="宋体" w:cs="宋体"/>
        <w:w w:val="100"/>
        <w:sz w:val="24"/>
        <w:szCs w:val="24"/>
      </w:rPr>
    </w:lvl>
    <w:lvl w:ilvl="3" w:tentative="0">
      <w:start w:val="0"/>
      <w:numFmt w:val="bullet"/>
      <w:lvlText w:val="•"/>
      <w:lvlJc w:val="left"/>
      <w:pPr>
        <w:ind w:left="2850" w:hanging="780"/>
      </w:pPr>
      <w:rPr>
        <w:rFonts w:hint="default"/>
      </w:rPr>
    </w:lvl>
    <w:lvl w:ilvl="4" w:tentative="0">
      <w:start w:val="0"/>
      <w:numFmt w:val="bullet"/>
      <w:lvlText w:val="•"/>
      <w:lvlJc w:val="left"/>
      <w:pPr>
        <w:ind w:left="3675" w:hanging="780"/>
      </w:pPr>
      <w:rPr>
        <w:rFonts w:hint="default"/>
      </w:rPr>
    </w:lvl>
    <w:lvl w:ilvl="5" w:tentative="0">
      <w:start w:val="0"/>
      <w:numFmt w:val="bullet"/>
      <w:lvlText w:val="•"/>
      <w:lvlJc w:val="left"/>
      <w:pPr>
        <w:ind w:left="4500" w:hanging="780"/>
      </w:pPr>
      <w:rPr>
        <w:rFonts w:hint="default"/>
      </w:rPr>
    </w:lvl>
    <w:lvl w:ilvl="6" w:tentative="0">
      <w:start w:val="0"/>
      <w:numFmt w:val="bullet"/>
      <w:lvlText w:val="•"/>
      <w:lvlJc w:val="left"/>
      <w:pPr>
        <w:ind w:left="5325" w:hanging="780"/>
      </w:pPr>
      <w:rPr>
        <w:rFonts w:hint="default"/>
      </w:rPr>
    </w:lvl>
    <w:lvl w:ilvl="7" w:tentative="0">
      <w:start w:val="0"/>
      <w:numFmt w:val="bullet"/>
      <w:lvlText w:val="•"/>
      <w:lvlJc w:val="left"/>
      <w:pPr>
        <w:ind w:left="6150" w:hanging="780"/>
      </w:pPr>
      <w:rPr>
        <w:rFonts w:hint="default"/>
      </w:rPr>
    </w:lvl>
    <w:lvl w:ilvl="8" w:tentative="0">
      <w:start w:val="0"/>
      <w:numFmt w:val="bullet"/>
      <w:lvlText w:val="•"/>
      <w:lvlJc w:val="left"/>
      <w:pPr>
        <w:ind w:left="6975" w:hanging="780"/>
      </w:pPr>
      <w:rPr>
        <w:rFonts w:hint="default"/>
      </w:rPr>
    </w:lvl>
  </w:abstractNum>
  <w:abstractNum w:abstractNumId="3">
    <w:nsid w:val="2AF3A773"/>
    <w:multiLevelType w:val="singleLevel"/>
    <w:tmpl w:val="2AF3A773"/>
    <w:lvl w:ilvl="0" w:tentative="0">
      <w:start w:val="1"/>
      <w:numFmt w:val="chineseCounting"/>
      <w:suff w:val="nothing"/>
      <w:lvlText w:val="（%1）"/>
      <w:lvlJc w:val="left"/>
      <w:rPr>
        <w:rFonts w:hint="eastAsia"/>
      </w:rPr>
    </w:lvl>
  </w:abstractNum>
  <w:abstractNum w:abstractNumId="4">
    <w:nsid w:val="39A0D9AC"/>
    <w:multiLevelType w:val="multilevel"/>
    <w:tmpl w:val="39A0D9AC"/>
    <w:lvl w:ilvl="0" w:tentative="0">
      <w:start w:val="11"/>
      <w:numFmt w:val="decimal"/>
      <w:lvlText w:val="%1"/>
      <w:lvlJc w:val="left"/>
      <w:pPr>
        <w:ind w:left="117" w:hanging="600"/>
        <w:jc w:val="left"/>
      </w:pPr>
      <w:rPr>
        <w:rFonts w:hint="default"/>
      </w:rPr>
    </w:lvl>
    <w:lvl w:ilvl="1" w:tentative="0">
      <w:start w:val="1"/>
      <w:numFmt w:val="decimal"/>
      <w:lvlText w:val="%1.%2"/>
      <w:lvlJc w:val="left"/>
      <w:pPr>
        <w:ind w:left="117" w:hanging="600"/>
        <w:jc w:val="left"/>
      </w:pPr>
      <w:rPr>
        <w:rFonts w:hint="default" w:ascii="宋体" w:hAnsi="宋体" w:eastAsia="宋体" w:cs="宋体"/>
        <w:w w:val="100"/>
        <w:sz w:val="24"/>
        <w:szCs w:val="24"/>
      </w:rPr>
    </w:lvl>
    <w:lvl w:ilvl="2" w:tentative="0">
      <w:start w:val="1"/>
      <w:numFmt w:val="decimal"/>
      <w:lvlText w:val="%1.%2.%3"/>
      <w:lvlJc w:val="left"/>
      <w:pPr>
        <w:ind w:left="117" w:hanging="780"/>
        <w:jc w:val="left"/>
      </w:pPr>
      <w:rPr>
        <w:rFonts w:hint="default" w:ascii="宋体" w:hAnsi="宋体" w:eastAsia="宋体" w:cs="宋体"/>
        <w:w w:val="100"/>
        <w:sz w:val="24"/>
        <w:szCs w:val="24"/>
      </w:rPr>
    </w:lvl>
    <w:lvl w:ilvl="3" w:tentative="0">
      <w:start w:val="0"/>
      <w:numFmt w:val="bullet"/>
      <w:lvlText w:val="•"/>
      <w:lvlJc w:val="left"/>
      <w:pPr>
        <w:ind w:left="2683" w:hanging="780"/>
      </w:pPr>
      <w:rPr>
        <w:rFonts w:hint="default"/>
      </w:rPr>
    </w:lvl>
    <w:lvl w:ilvl="4" w:tentative="0">
      <w:start w:val="0"/>
      <w:numFmt w:val="bullet"/>
      <w:lvlText w:val="•"/>
      <w:lvlJc w:val="left"/>
      <w:pPr>
        <w:ind w:left="3538" w:hanging="780"/>
      </w:pPr>
      <w:rPr>
        <w:rFonts w:hint="default"/>
      </w:rPr>
    </w:lvl>
    <w:lvl w:ilvl="5" w:tentative="0">
      <w:start w:val="0"/>
      <w:numFmt w:val="bullet"/>
      <w:lvlText w:val="•"/>
      <w:lvlJc w:val="left"/>
      <w:pPr>
        <w:ind w:left="4392" w:hanging="780"/>
      </w:pPr>
      <w:rPr>
        <w:rFonts w:hint="default"/>
      </w:rPr>
    </w:lvl>
    <w:lvl w:ilvl="6" w:tentative="0">
      <w:start w:val="0"/>
      <w:numFmt w:val="bullet"/>
      <w:lvlText w:val="•"/>
      <w:lvlJc w:val="left"/>
      <w:pPr>
        <w:ind w:left="5247" w:hanging="780"/>
      </w:pPr>
      <w:rPr>
        <w:rFonts w:hint="default"/>
      </w:rPr>
    </w:lvl>
    <w:lvl w:ilvl="7" w:tentative="0">
      <w:start w:val="0"/>
      <w:numFmt w:val="bullet"/>
      <w:lvlText w:val="•"/>
      <w:lvlJc w:val="left"/>
      <w:pPr>
        <w:ind w:left="6101" w:hanging="780"/>
      </w:pPr>
      <w:rPr>
        <w:rFonts w:hint="default"/>
      </w:rPr>
    </w:lvl>
    <w:lvl w:ilvl="8" w:tentative="0">
      <w:start w:val="0"/>
      <w:numFmt w:val="bullet"/>
      <w:lvlText w:val="•"/>
      <w:lvlJc w:val="left"/>
      <w:pPr>
        <w:ind w:left="6956" w:hanging="780"/>
      </w:pPr>
      <w:rPr>
        <w:rFonts w:hint="default"/>
      </w:rPr>
    </w:lvl>
  </w:abstractNum>
  <w:abstractNum w:abstractNumId="5">
    <w:nsid w:val="412C62E0"/>
    <w:multiLevelType w:val="singleLevel"/>
    <w:tmpl w:val="412C62E0"/>
    <w:lvl w:ilvl="0" w:tentative="0">
      <w:start w:val="2"/>
      <w:numFmt w:val="chineseCounting"/>
      <w:suff w:val="nothing"/>
      <w:lvlText w:val="（%1）"/>
      <w:lvlJc w:val="left"/>
      <w:rPr>
        <w:rFonts w:hint="eastAsia"/>
      </w:rPr>
    </w:lvl>
  </w:abstractNum>
  <w:abstractNum w:abstractNumId="6">
    <w:nsid w:val="46A08BB8"/>
    <w:multiLevelType w:val="multilevel"/>
    <w:tmpl w:val="46A08BB8"/>
    <w:lvl w:ilvl="0" w:tentative="0">
      <w:start w:val="9"/>
      <w:numFmt w:val="decimal"/>
      <w:lvlText w:val="%1"/>
      <w:lvlJc w:val="left"/>
      <w:pPr>
        <w:ind w:left="117" w:hanging="420"/>
        <w:jc w:val="left"/>
      </w:pPr>
      <w:rPr>
        <w:rFonts w:hint="default"/>
      </w:rPr>
    </w:lvl>
    <w:lvl w:ilvl="1" w:tentative="0">
      <w:start w:val="1"/>
      <w:numFmt w:val="decimal"/>
      <w:lvlText w:val="%1.%2"/>
      <w:lvlJc w:val="left"/>
      <w:pPr>
        <w:ind w:left="117" w:hanging="420"/>
        <w:jc w:val="left"/>
      </w:pPr>
      <w:rPr>
        <w:rFonts w:hint="default" w:ascii="宋体" w:hAnsi="宋体" w:eastAsia="宋体" w:cs="宋体"/>
        <w:w w:val="100"/>
        <w:sz w:val="24"/>
        <w:szCs w:val="24"/>
      </w:rPr>
    </w:lvl>
    <w:lvl w:ilvl="2" w:tentative="0">
      <w:start w:val="1"/>
      <w:numFmt w:val="decimal"/>
      <w:lvlText w:val="%1.%2.%3"/>
      <w:lvlJc w:val="left"/>
      <w:pPr>
        <w:ind w:left="117" w:hanging="632"/>
        <w:jc w:val="left"/>
      </w:pPr>
      <w:rPr>
        <w:rFonts w:hint="default" w:ascii="宋体" w:hAnsi="宋体" w:eastAsia="宋体" w:cs="宋体"/>
        <w:w w:val="100"/>
        <w:sz w:val="24"/>
        <w:szCs w:val="24"/>
      </w:rPr>
    </w:lvl>
    <w:lvl w:ilvl="3" w:tentative="0">
      <w:start w:val="0"/>
      <w:numFmt w:val="bullet"/>
      <w:lvlText w:val="•"/>
      <w:lvlJc w:val="left"/>
      <w:pPr>
        <w:ind w:left="2683" w:hanging="632"/>
      </w:pPr>
      <w:rPr>
        <w:rFonts w:hint="default"/>
      </w:rPr>
    </w:lvl>
    <w:lvl w:ilvl="4" w:tentative="0">
      <w:start w:val="0"/>
      <w:numFmt w:val="bullet"/>
      <w:lvlText w:val="•"/>
      <w:lvlJc w:val="left"/>
      <w:pPr>
        <w:ind w:left="3538" w:hanging="632"/>
      </w:pPr>
      <w:rPr>
        <w:rFonts w:hint="default"/>
      </w:rPr>
    </w:lvl>
    <w:lvl w:ilvl="5" w:tentative="0">
      <w:start w:val="0"/>
      <w:numFmt w:val="bullet"/>
      <w:lvlText w:val="•"/>
      <w:lvlJc w:val="left"/>
      <w:pPr>
        <w:ind w:left="4392" w:hanging="632"/>
      </w:pPr>
      <w:rPr>
        <w:rFonts w:hint="default"/>
      </w:rPr>
    </w:lvl>
    <w:lvl w:ilvl="6" w:tentative="0">
      <w:start w:val="0"/>
      <w:numFmt w:val="bullet"/>
      <w:lvlText w:val="•"/>
      <w:lvlJc w:val="left"/>
      <w:pPr>
        <w:ind w:left="5247" w:hanging="632"/>
      </w:pPr>
      <w:rPr>
        <w:rFonts w:hint="default"/>
      </w:rPr>
    </w:lvl>
    <w:lvl w:ilvl="7" w:tentative="0">
      <w:start w:val="0"/>
      <w:numFmt w:val="bullet"/>
      <w:lvlText w:val="•"/>
      <w:lvlJc w:val="left"/>
      <w:pPr>
        <w:ind w:left="6101" w:hanging="632"/>
      </w:pPr>
      <w:rPr>
        <w:rFonts w:hint="default"/>
      </w:rPr>
    </w:lvl>
    <w:lvl w:ilvl="8" w:tentative="0">
      <w:start w:val="0"/>
      <w:numFmt w:val="bullet"/>
      <w:lvlText w:val="•"/>
      <w:lvlJc w:val="left"/>
      <w:pPr>
        <w:ind w:left="6956" w:hanging="632"/>
      </w:pPr>
      <w:rPr>
        <w:rFonts w:hint="default"/>
      </w:rPr>
    </w:lvl>
  </w:abstractNum>
  <w:abstractNum w:abstractNumId="7">
    <w:nsid w:val="522BE3FB"/>
    <w:multiLevelType w:val="singleLevel"/>
    <w:tmpl w:val="522BE3FB"/>
    <w:lvl w:ilvl="0" w:tentative="0">
      <w:start w:val="3"/>
      <w:numFmt w:val="chineseCounting"/>
      <w:suff w:val="space"/>
      <w:lvlText w:val="第%1章"/>
      <w:lvlJc w:val="left"/>
      <w:rPr>
        <w:rFonts w:hint="eastAsia"/>
      </w:rPr>
    </w:lvl>
  </w:abstractNum>
  <w:abstractNum w:abstractNumId="8">
    <w:nsid w:val="58765686"/>
    <w:multiLevelType w:val="multilevel"/>
    <w:tmpl w:val="58765686"/>
    <w:lvl w:ilvl="0" w:tentative="0">
      <w:start w:val="12"/>
      <w:numFmt w:val="decimal"/>
      <w:lvlText w:val="%1"/>
      <w:lvlJc w:val="left"/>
      <w:pPr>
        <w:ind w:left="117" w:hanging="600"/>
        <w:jc w:val="left"/>
      </w:pPr>
      <w:rPr>
        <w:rFonts w:hint="default"/>
      </w:rPr>
    </w:lvl>
    <w:lvl w:ilvl="1" w:tentative="0">
      <w:start w:val="1"/>
      <w:numFmt w:val="decimal"/>
      <w:lvlText w:val="%1.%2"/>
      <w:lvlJc w:val="left"/>
      <w:pPr>
        <w:ind w:left="117" w:hanging="600"/>
        <w:jc w:val="left"/>
      </w:pPr>
      <w:rPr>
        <w:rFonts w:hint="default" w:ascii="宋体" w:hAnsi="宋体" w:eastAsia="宋体" w:cs="宋体"/>
        <w:w w:val="100"/>
        <w:sz w:val="24"/>
        <w:szCs w:val="24"/>
      </w:rPr>
    </w:lvl>
    <w:lvl w:ilvl="2" w:tentative="0">
      <w:start w:val="1"/>
      <w:numFmt w:val="decimal"/>
      <w:lvlText w:val="%1.%2.%3"/>
      <w:lvlJc w:val="left"/>
      <w:pPr>
        <w:ind w:left="117" w:hanging="780"/>
        <w:jc w:val="left"/>
      </w:pPr>
      <w:rPr>
        <w:rFonts w:hint="default" w:ascii="宋体" w:hAnsi="宋体" w:eastAsia="宋体" w:cs="宋体"/>
        <w:w w:val="100"/>
        <w:sz w:val="24"/>
        <w:szCs w:val="24"/>
      </w:rPr>
    </w:lvl>
    <w:lvl w:ilvl="3" w:tentative="0">
      <w:start w:val="0"/>
      <w:numFmt w:val="bullet"/>
      <w:lvlText w:val="•"/>
      <w:lvlJc w:val="left"/>
      <w:pPr>
        <w:ind w:left="2683" w:hanging="780"/>
      </w:pPr>
      <w:rPr>
        <w:rFonts w:hint="default"/>
      </w:rPr>
    </w:lvl>
    <w:lvl w:ilvl="4" w:tentative="0">
      <w:start w:val="0"/>
      <w:numFmt w:val="bullet"/>
      <w:lvlText w:val="•"/>
      <w:lvlJc w:val="left"/>
      <w:pPr>
        <w:ind w:left="3538" w:hanging="780"/>
      </w:pPr>
      <w:rPr>
        <w:rFonts w:hint="default"/>
      </w:rPr>
    </w:lvl>
    <w:lvl w:ilvl="5" w:tentative="0">
      <w:start w:val="0"/>
      <w:numFmt w:val="bullet"/>
      <w:lvlText w:val="•"/>
      <w:lvlJc w:val="left"/>
      <w:pPr>
        <w:ind w:left="4392" w:hanging="780"/>
      </w:pPr>
      <w:rPr>
        <w:rFonts w:hint="default"/>
      </w:rPr>
    </w:lvl>
    <w:lvl w:ilvl="6" w:tentative="0">
      <w:start w:val="0"/>
      <w:numFmt w:val="bullet"/>
      <w:lvlText w:val="•"/>
      <w:lvlJc w:val="left"/>
      <w:pPr>
        <w:ind w:left="5247" w:hanging="780"/>
      </w:pPr>
      <w:rPr>
        <w:rFonts w:hint="default"/>
      </w:rPr>
    </w:lvl>
    <w:lvl w:ilvl="7" w:tentative="0">
      <w:start w:val="0"/>
      <w:numFmt w:val="bullet"/>
      <w:lvlText w:val="•"/>
      <w:lvlJc w:val="left"/>
      <w:pPr>
        <w:ind w:left="6101" w:hanging="780"/>
      </w:pPr>
      <w:rPr>
        <w:rFonts w:hint="default"/>
      </w:rPr>
    </w:lvl>
    <w:lvl w:ilvl="8" w:tentative="0">
      <w:start w:val="0"/>
      <w:numFmt w:val="bullet"/>
      <w:lvlText w:val="•"/>
      <w:lvlJc w:val="left"/>
      <w:pPr>
        <w:ind w:left="6956" w:hanging="780"/>
      </w:pPr>
      <w:rPr>
        <w:rFonts w:hint="default"/>
      </w:rPr>
    </w:lvl>
  </w:abstractNum>
  <w:num w:numId="1">
    <w:abstractNumId w:val="7"/>
  </w:num>
  <w:num w:numId="2">
    <w:abstractNumId w:val="0"/>
  </w:num>
  <w:num w:numId="3">
    <w:abstractNumId w:val="5"/>
  </w:num>
  <w:num w:numId="4">
    <w:abstractNumId w:val="6"/>
  </w:num>
  <w:num w:numId="5">
    <w:abstractNumId w:val="4"/>
  </w:num>
  <w:num w:numId="6">
    <w:abstractNumId w:val="8"/>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85AC7"/>
    <w:rsid w:val="00107A55"/>
    <w:rsid w:val="003C6DEC"/>
    <w:rsid w:val="00B620A7"/>
    <w:rsid w:val="00FD78CE"/>
    <w:rsid w:val="00FF7376"/>
    <w:rsid w:val="01172FE7"/>
    <w:rsid w:val="012E2A4B"/>
    <w:rsid w:val="01577241"/>
    <w:rsid w:val="016663FE"/>
    <w:rsid w:val="016E631D"/>
    <w:rsid w:val="01A50625"/>
    <w:rsid w:val="01C867C6"/>
    <w:rsid w:val="01C92EAB"/>
    <w:rsid w:val="01E454A9"/>
    <w:rsid w:val="01F42E66"/>
    <w:rsid w:val="01FF6B86"/>
    <w:rsid w:val="025C718F"/>
    <w:rsid w:val="02CA7F56"/>
    <w:rsid w:val="02EC112D"/>
    <w:rsid w:val="03102A36"/>
    <w:rsid w:val="035A095B"/>
    <w:rsid w:val="03635672"/>
    <w:rsid w:val="0380794D"/>
    <w:rsid w:val="03A435DB"/>
    <w:rsid w:val="03C05214"/>
    <w:rsid w:val="03C62920"/>
    <w:rsid w:val="03EC3583"/>
    <w:rsid w:val="03F03724"/>
    <w:rsid w:val="041419A0"/>
    <w:rsid w:val="046A6C26"/>
    <w:rsid w:val="04816E93"/>
    <w:rsid w:val="04A879C5"/>
    <w:rsid w:val="04AB6FBA"/>
    <w:rsid w:val="050141FC"/>
    <w:rsid w:val="050F23F9"/>
    <w:rsid w:val="052E0219"/>
    <w:rsid w:val="056C3005"/>
    <w:rsid w:val="056E2C33"/>
    <w:rsid w:val="057727FE"/>
    <w:rsid w:val="059B0480"/>
    <w:rsid w:val="05AC72B8"/>
    <w:rsid w:val="05C274E7"/>
    <w:rsid w:val="05DD79AF"/>
    <w:rsid w:val="06083FC1"/>
    <w:rsid w:val="062F5422"/>
    <w:rsid w:val="06414DB1"/>
    <w:rsid w:val="066221F9"/>
    <w:rsid w:val="06AD2361"/>
    <w:rsid w:val="06B573D4"/>
    <w:rsid w:val="07036A6A"/>
    <w:rsid w:val="071A45EB"/>
    <w:rsid w:val="071D11DB"/>
    <w:rsid w:val="07364C53"/>
    <w:rsid w:val="073B0DF4"/>
    <w:rsid w:val="07646614"/>
    <w:rsid w:val="07937626"/>
    <w:rsid w:val="07DA4EDC"/>
    <w:rsid w:val="07FF0B63"/>
    <w:rsid w:val="08154DE9"/>
    <w:rsid w:val="084C704B"/>
    <w:rsid w:val="085E13F1"/>
    <w:rsid w:val="08821777"/>
    <w:rsid w:val="08854093"/>
    <w:rsid w:val="08A101CE"/>
    <w:rsid w:val="08CD0EE8"/>
    <w:rsid w:val="08CE74E5"/>
    <w:rsid w:val="08D04040"/>
    <w:rsid w:val="08DA651A"/>
    <w:rsid w:val="08FB7E88"/>
    <w:rsid w:val="09066D77"/>
    <w:rsid w:val="09260E7E"/>
    <w:rsid w:val="09341BFB"/>
    <w:rsid w:val="094C19C6"/>
    <w:rsid w:val="09EF7FF4"/>
    <w:rsid w:val="0A0E2A96"/>
    <w:rsid w:val="0A4C0D83"/>
    <w:rsid w:val="0AC7755D"/>
    <w:rsid w:val="0AD35311"/>
    <w:rsid w:val="0B004F3E"/>
    <w:rsid w:val="0B481204"/>
    <w:rsid w:val="0B6A28A7"/>
    <w:rsid w:val="0B8674D5"/>
    <w:rsid w:val="0B9B14B9"/>
    <w:rsid w:val="0BA71252"/>
    <w:rsid w:val="0BFA28EA"/>
    <w:rsid w:val="0C861EF3"/>
    <w:rsid w:val="0C9B4647"/>
    <w:rsid w:val="0C9E211E"/>
    <w:rsid w:val="0CA20868"/>
    <w:rsid w:val="0CBD4CA9"/>
    <w:rsid w:val="0CDF5ED4"/>
    <w:rsid w:val="0CDF72CF"/>
    <w:rsid w:val="0D2C46BE"/>
    <w:rsid w:val="0D345AE6"/>
    <w:rsid w:val="0D506751"/>
    <w:rsid w:val="0D6C1C17"/>
    <w:rsid w:val="0D857B3A"/>
    <w:rsid w:val="0DFC3771"/>
    <w:rsid w:val="0DFF41D8"/>
    <w:rsid w:val="0E0D04CC"/>
    <w:rsid w:val="0E47569D"/>
    <w:rsid w:val="0E7B7848"/>
    <w:rsid w:val="0ECE4C63"/>
    <w:rsid w:val="0EFD7FFC"/>
    <w:rsid w:val="0F0E0B26"/>
    <w:rsid w:val="0F1772EF"/>
    <w:rsid w:val="0F7E7858"/>
    <w:rsid w:val="0F8A6807"/>
    <w:rsid w:val="0F950374"/>
    <w:rsid w:val="0FF172B3"/>
    <w:rsid w:val="102E4ADE"/>
    <w:rsid w:val="105470B3"/>
    <w:rsid w:val="10601B74"/>
    <w:rsid w:val="10E31233"/>
    <w:rsid w:val="10FD3E8F"/>
    <w:rsid w:val="10FE3A18"/>
    <w:rsid w:val="11517F34"/>
    <w:rsid w:val="11774D9A"/>
    <w:rsid w:val="11C52931"/>
    <w:rsid w:val="11EC5610"/>
    <w:rsid w:val="12413ED5"/>
    <w:rsid w:val="12960566"/>
    <w:rsid w:val="12CC4A2F"/>
    <w:rsid w:val="12E23263"/>
    <w:rsid w:val="12F2468B"/>
    <w:rsid w:val="13046FF6"/>
    <w:rsid w:val="13120347"/>
    <w:rsid w:val="132816F4"/>
    <w:rsid w:val="132A7BBC"/>
    <w:rsid w:val="132F0155"/>
    <w:rsid w:val="13B37250"/>
    <w:rsid w:val="13DB7789"/>
    <w:rsid w:val="1416599B"/>
    <w:rsid w:val="14482D58"/>
    <w:rsid w:val="14931883"/>
    <w:rsid w:val="149A2DD1"/>
    <w:rsid w:val="14CB1340"/>
    <w:rsid w:val="14DA6FD8"/>
    <w:rsid w:val="14DD222D"/>
    <w:rsid w:val="14F10E22"/>
    <w:rsid w:val="150069F8"/>
    <w:rsid w:val="158877C9"/>
    <w:rsid w:val="158A39B9"/>
    <w:rsid w:val="158B6857"/>
    <w:rsid w:val="159E47E2"/>
    <w:rsid w:val="15B43B1A"/>
    <w:rsid w:val="15BF3116"/>
    <w:rsid w:val="15CC3E2C"/>
    <w:rsid w:val="1600110E"/>
    <w:rsid w:val="16043C24"/>
    <w:rsid w:val="16096965"/>
    <w:rsid w:val="16133FDF"/>
    <w:rsid w:val="16521496"/>
    <w:rsid w:val="1694710A"/>
    <w:rsid w:val="171C7884"/>
    <w:rsid w:val="172A0EFA"/>
    <w:rsid w:val="176C46C8"/>
    <w:rsid w:val="17744017"/>
    <w:rsid w:val="178B34E6"/>
    <w:rsid w:val="178C092D"/>
    <w:rsid w:val="17925E1B"/>
    <w:rsid w:val="17B62757"/>
    <w:rsid w:val="181417A7"/>
    <w:rsid w:val="18171EEE"/>
    <w:rsid w:val="184F41A2"/>
    <w:rsid w:val="18677EA7"/>
    <w:rsid w:val="186B1EED"/>
    <w:rsid w:val="18730CCB"/>
    <w:rsid w:val="18C964E1"/>
    <w:rsid w:val="19396AE1"/>
    <w:rsid w:val="195D5285"/>
    <w:rsid w:val="198C4B6D"/>
    <w:rsid w:val="1A4720BF"/>
    <w:rsid w:val="1AA84AB4"/>
    <w:rsid w:val="1AF07CE6"/>
    <w:rsid w:val="1B187C0E"/>
    <w:rsid w:val="1B1F0087"/>
    <w:rsid w:val="1B49604A"/>
    <w:rsid w:val="1B64297D"/>
    <w:rsid w:val="1B8826A6"/>
    <w:rsid w:val="1BDB4F30"/>
    <w:rsid w:val="1BDC3F95"/>
    <w:rsid w:val="1C215970"/>
    <w:rsid w:val="1C25301A"/>
    <w:rsid w:val="1C423572"/>
    <w:rsid w:val="1C6E6580"/>
    <w:rsid w:val="1C8C0B74"/>
    <w:rsid w:val="1C944EB1"/>
    <w:rsid w:val="1D115B16"/>
    <w:rsid w:val="1D95669E"/>
    <w:rsid w:val="1DEB2FC6"/>
    <w:rsid w:val="1DFC6481"/>
    <w:rsid w:val="1DFD5DEA"/>
    <w:rsid w:val="1E415EF5"/>
    <w:rsid w:val="1E4A44BD"/>
    <w:rsid w:val="1EC1093A"/>
    <w:rsid w:val="1F093AD2"/>
    <w:rsid w:val="1F284B22"/>
    <w:rsid w:val="1F403595"/>
    <w:rsid w:val="1F4A1523"/>
    <w:rsid w:val="1F645B0D"/>
    <w:rsid w:val="1F6D0F89"/>
    <w:rsid w:val="1F6E321C"/>
    <w:rsid w:val="1FBA2224"/>
    <w:rsid w:val="1FE33FFA"/>
    <w:rsid w:val="1FFA4ACA"/>
    <w:rsid w:val="1FFC7128"/>
    <w:rsid w:val="20771EBD"/>
    <w:rsid w:val="209A2357"/>
    <w:rsid w:val="20C5253E"/>
    <w:rsid w:val="20F32093"/>
    <w:rsid w:val="21047343"/>
    <w:rsid w:val="214A4FD9"/>
    <w:rsid w:val="21793BD2"/>
    <w:rsid w:val="21AA4308"/>
    <w:rsid w:val="21AB3960"/>
    <w:rsid w:val="220672FB"/>
    <w:rsid w:val="22220452"/>
    <w:rsid w:val="22653C86"/>
    <w:rsid w:val="226813E3"/>
    <w:rsid w:val="22935DE4"/>
    <w:rsid w:val="22A76CE1"/>
    <w:rsid w:val="23063CF3"/>
    <w:rsid w:val="235238D0"/>
    <w:rsid w:val="238B4470"/>
    <w:rsid w:val="23AC412B"/>
    <w:rsid w:val="24075BC6"/>
    <w:rsid w:val="245C6244"/>
    <w:rsid w:val="24E6415F"/>
    <w:rsid w:val="253B064D"/>
    <w:rsid w:val="2591406A"/>
    <w:rsid w:val="25B757E0"/>
    <w:rsid w:val="25C12A7F"/>
    <w:rsid w:val="25DD3F2A"/>
    <w:rsid w:val="266F655B"/>
    <w:rsid w:val="26707FE0"/>
    <w:rsid w:val="26770A32"/>
    <w:rsid w:val="267D2528"/>
    <w:rsid w:val="26A33A8E"/>
    <w:rsid w:val="26B11121"/>
    <w:rsid w:val="26EE7036"/>
    <w:rsid w:val="274466EE"/>
    <w:rsid w:val="27852C3F"/>
    <w:rsid w:val="280250C4"/>
    <w:rsid w:val="28E00732"/>
    <w:rsid w:val="28FD01AB"/>
    <w:rsid w:val="28FE7776"/>
    <w:rsid w:val="291660CE"/>
    <w:rsid w:val="29182AC1"/>
    <w:rsid w:val="29381ED2"/>
    <w:rsid w:val="29901602"/>
    <w:rsid w:val="29D61A2B"/>
    <w:rsid w:val="29E04AE0"/>
    <w:rsid w:val="29F252D1"/>
    <w:rsid w:val="2A0A064C"/>
    <w:rsid w:val="2A20798B"/>
    <w:rsid w:val="2A24672C"/>
    <w:rsid w:val="2A3D681F"/>
    <w:rsid w:val="2A457E3C"/>
    <w:rsid w:val="2A483CE8"/>
    <w:rsid w:val="2A7F4ABB"/>
    <w:rsid w:val="2B721F08"/>
    <w:rsid w:val="2BB75F12"/>
    <w:rsid w:val="2BBF2A41"/>
    <w:rsid w:val="2BE705F3"/>
    <w:rsid w:val="2C0935FC"/>
    <w:rsid w:val="2C326A5C"/>
    <w:rsid w:val="2C413359"/>
    <w:rsid w:val="2C7204E8"/>
    <w:rsid w:val="2C785C52"/>
    <w:rsid w:val="2D3426FE"/>
    <w:rsid w:val="2D4B67D3"/>
    <w:rsid w:val="2D604652"/>
    <w:rsid w:val="2D8C725F"/>
    <w:rsid w:val="2DA47B83"/>
    <w:rsid w:val="2DB579AD"/>
    <w:rsid w:val="2DB62AB8"/>
    <w:rsid w:val="2DDB364C"/>
    <w:rsid w:val="2E607546"/>
    <w:rsid w:val="2EBA3442"/>
    <w:rsid w:val="2ED04898"/>
    <w:rsid w:val="2EE3576B"/>
    <w:rsid w:val="2EFD5FE8"/>
    <w:rsid w:val="2F0A6AA8"/>
    <w:rsid w:val="2F211200"/>
    <w:rsid w:val="2F287F82"/>
    <w:rsid w:val="2F517C42"/>
    <w:rsid w:val="2FC17D63"/>
    <w:rsid w:val="2FC97970"/>
    <w:rsid w:val="30113369"/>
    <w:rsid w:val="3019016D"/>
    <w:rsid w:val="30472325"/>
    <w:rsid w:val="306421CF"/>
    <w:rsid w:val="30F82016"/>
    <w:rsid w:val="31203DA3"/>
    <w:rsid w:val="31713382"/>
    <w:rsid w:val="3176402C"/>
    <w:rsid w:val="317C7B44"/>
    <w:rsid w:val="31A43ABE"/>
    <w:rsid w:val="31C67106"/>
    <w:rsid w:val="325570AE"/>
    <w:rsid w:val="32D54B2A"/>
    <w:rsid w:val="32EC5CC1"/>
    <w:rsid w:val="33161FAB"/>
    <w:rsid w:val="333B31FF"/>
    <w:rsid w:val="336F6E2A"/>
    <w:rsid w:val="337E2894"/>
    <w:rsid w:val="33837E49"/>
    <w:rsid w:val="342A5D32"/>
    <w:rsid w:val="343E0712"/>
    <w:rsid w:val="344174AA"/>
    <w:rsid w:val="344252F1"/>
    <w:rsid w:val="346A701B"/>
    <w:rsid w:val="349C5C68"/>
    <w:rsid w:val="34D846C2"/>
    <w:rsid w:val="34E70819"/>
    <w:rsid w:val="34F577D7"/>
    <w:rsid w:val="352568EE"/>
    <w:rsid w:val="35627EC2"/>
    <w:rsid w:val="35747CA2"/>
    <w:rsid w:val="35EC503F"/>
    <w:rsid w:val="36022823"/>
    <w:rsid w:val="36373C1C"/>
    <w:rsid w:val="363E27A4"/>
    <w:rsid w:val="363E33A8"/>
    <w:rsid w:val="36C87868"/>
    <w:rsid w:val="37065CB2"/>
    <w:rsid w:val="371E279C"/>
    <w:rsid w:val="3721190B"/>
    <w:rsid w:val="37465D5F"/>
    <w:rsid w:val="375D7A51"/>
    <w:rsid w:val="376B31DB"/>
    <w:rsid w:val="378446A7"/>
    <w:rsid w:val="37E0275F"/>
    <w:rsid w:val="37F63A0C"/>
    <w:rsid w:val="380A1839"/>
    <w:rsid w:val="38281900"/>
    <w:rsid w:val="384E385B"/>
    <w:rsid w:val="38534ED3"/>
    <w:rsid w:val="387438D1"/>
    <w:rsid w:val="38D75641"/>
    <w:rsid w:val="391F165C"/>
    <w:rsid w:val="393A3D94"/>
    <w:rsid w:val="39491FCC"/>
    <w:rsid w:val="395E5120"/>
    <w:rsid w:val="399701FD"/>
    <w:rsid w:val="39A60D80"/>
    <w:rsid w:val="39C508D0"/>
    <w:rsid w:val="3A254890"/>
    <w:rsid w:val="3A6854DB"/>
    <w:rsid w:val="3A802416"/>
    <w:rsid w:val="3A8F52E6"/>
    <w:rsid w:val="3AB46F68"/>
    <w:rsid w:val="3B456022"/>
    <w:rsid w:val="3BF66516"/>
    <w:rsid w:val="3BF73AFF"/>
    <w:rsid w:val="3C2D09FC"/>
    <w:rsid w:val="3C3205A1"/>
    <w:rsid w:val="3C5063A9"/>
    <w:rsid w:val="3C7F4B02"/>
    <w:rsid w:val="3C8060E3"/>
    <w:rsid w:val="3CA3580D"/>
    <w:rsid w:val="3D023234"/>
    <w:rsid w:val="3D2966CA"/>
    <w:rsid w:val="3D3D23A1"/>
    <w:rsid w:val="3D533337"/>
    <w:rsid w:val="3D54411B"/>
    <w:rsid w:val="3DBB78D0"/>
    <w:rsid w:val="3DE76C12"/>
    <w:rsid w:val="3DF24897"/>
    <w:rsid w:val="3E4E4E7E"/>
    <w:rsid w:val="3EA32B68"/>
    <w:rsid w:val="3EE57E42"/>
    <w:rsid w:val="3EF1247E"/>
    <w:rsid w:val="3F0A45C3"/>
    <w:rsid w:val="3F1D3DF9"/>
    <w:rsid w:val="3F830CF2"/>
    <w:rsid w:val="3F97204D"/>
    <w:rsid w:val="3FAF5A2B"/>
    <w:rsid w:val="3FDC3DC8"/>
    <w:rsid w:val="3FF22E84"/>
    <w:rsid w:val="40297E2E"/>
    <w:rsid w:val="409951AD"/>
    <w:rsid w:val="40A9223E"/>
    <w:rsid w:val="40EE20AE"/>
    <w:rsid w:val="41096AD8"/>
    <w:rsid w:val="41FD20F3"/>
    <w:rsid w:val="42267A72"/>
    <w:rsid w:val="42346A07"/>
    <w:rsid w:val="42620781"/>
    <w:rsid w:val="42655AE1"/>
    <w:rsid w:val="429F092B"/>
    <w:rsid w:val="42AE038F"/>
    <w:rsid w:val="42C1066D"/>
    <w:rsid w:val="43546473"/>
    <w:rsid w:val="4390413E"/>
    <w:rsid w:val="43FF7D71"/>
    <w:rsid w:val="44533241"/>
    <w:rsid w:val="44691D71"/>
    <w:rsid w:val="446A01B9"/>
    <w:rsid w:val="446D06DD"/>
    <w:rsid w:val="44FA0A54"/>
    <w:rsid w:val="45656F82"/>
    <w:rsid w:val="456A4E8D"/>
    <w:rsid w:val="4589707E"/>
    <w:rsid w:val="45CB4243"/>
    <w:rsid w:val="45D001CF"/>
    <w:rsid w:val="46A221A1"/>
    <w:rsid w:val="46C424A0"/>
    <w:rsid w:val="46F45A68"/>
    <w:rsid w:val="471264CA"/>
    <w:rsid w:val="476D5E0E"/>
    <w:rsid w:val="477D5A62"/>
    <w:rsid w:val="47CB6334"/>
    <w:rsid w:val="47D91440"/>
    <w:rsid w:val="47E56FBC"/>
    <w:rsid w:val="47FD3A1E"/>
    <w:rsid w:val="48426668"/>
    <w:rsid w:val="48696250"/>
    <w:rsid w:val="48C651B3"/>
    <w:rsid w:val="48D92AF4"/>
    <w:rsid w:val="48DC0C73"/>
    <w:rsid w:val="48EB79E0"/>
    <w:rsid w:val="491843AD"/>
    <w:rsid w:val="496C6495"/>
    <w:rsid w:val="49797093"/>
    <w:rsid w:val="4A45251E"/>
    <w:rsid w:val="4A550CD9"/>
    <w:rsid w:val="4A7F2662"/>
    <w:rsid w:val="4AAA190F"/>
    <w:rsid w:val="4ACA523B"/>
    <w:rsid w:val="4B156CA8"/>
    <w:rsid w:val="4B653E08"/>
    <w:rsid w:val="4C033834"/>
    <w:rsid w:val="4C082292"/>
    <w:rsid w:val="4C2B6721"/>
    <w:rsid w:val="4C753871"/>
    <w:rsid w:val="4C9A5A32"/>
    <w:rsid w:val="4D120643"/>
    <w:rsid w:val="4D410400"/>
    <w:rsid w:val="4D696B46"/>
    <w:rsid w:val="4D8C77B4"/>
    <w:rsid w:val="4DC42F1C"/>
    <w:rsid w:val="4E4406C5"/>
    <w:rsid w:val="4EBF4177"/>
    <w:rsid w:val="4ED23F0B"/>
    <w:rsid w:val="4F1C0209"/>
    <w:rsid w:val="4F3F23EB"/>
    <w:rsid w:val="4F567A26"/>
    <w:rsid w:val="4F650504"/>
    <w:rsid w:val="4F66620B"/>
    <w:rsid w:val="4FA26174"/>
    <w:rsid w:val="4FC878A2"/>
    <w:rsid w:val="4FFE7DBC"/>
    <w:rsid w:val="50A7425C"/>
    <w:rsid w:val="50C75E6F"/>
    <w:rsid w:val="50DF48C4"/>
    <w:rsid w:val="51482666"/>
    <w:rsid w:val="51943518"/>
    <w:rsid w:val="51B60B70"/>
    <w:rsid w:val="51F36A4E"/>
    <w:rsid w:val="525654FD"/>
    <w:rsid w:val="527C070B"/>
    <w:rsid w:val="528B3521"/>
    <w:rsid w:val="528B5DB6"/>
    <w:rsid w:val="52981657"/>
    <w:rsid w:val="52AB48A3"/>
    <w:rsid w:val="52B2783C"/>
    <w:rsid w:val="52C210ED"/>
    <w:rsid w:val="52CF2890"/>
    <w:rsid w:val="534D4817"/>
    <w:rsid w:val="535C464B"/>
    <w:rsid w:val="53C220D0"/>
    <w:rsid w:val="53D82626"/>
    <w:rsid w:val="53E4079B"/>
    <w:rsid w:val="53F430F2"/>
    <w:rsid w:val="5484375B"/>
    <w:rsid w:val="54A67330"/>
    <w:rsid w:val="553F2FE5"/>
    <w:rsid w:val="55423EDB"/>
    <w:rsid w:val="55465067"/>
    <w:rsid w:val="55862845"/>
    <w:rsid w:val="56117118"/>
    <w:rsid w:val="564E28C8"/>
    <w:rsid w:val="564E3956"/>
    <w:rsid w:val="566A50CC"/>
    <w:rsid w:val="5675046C"/>
    <w:rsid w:val="56BF4FC3"/>
    <w:rsid w:val="572C56A1"/>
    <w:rsid w:val="573F7CD2"/>
    <w:rsid w:val="575E1281"/>
    <w:rsid w:val="579F212C"/>
    <w:rsid w:val="57B41B6C"/>
    <w:rsid w:val="57DA1FBB"/>
    <w:rsid w:val="581C1285"/>
    <w:rsid w:val="58420407"/>
    <w:rsid w:val="58454B74"/>
    <w:rsid w:val="59457BDA"/>
    <w:rsid w:val="59462D0B"/>
    <w:rsid w:val="596169E3"/>
    <w:rsid w:val="59B67755"/>
    <w:rsid w:val="59E5759A"/>
    <w:rsid w:val="59EA7CEC"/>
    <w:rsid w:val="5AB37610"/>
    <w:rsid w:val="5ABF1B64"/>
    <w:rsid w:val="5AC87202"/>
    <w:rsid w:val="5ADA10B4"/>
    <w:rsid w:val="5AFD2447"/>
    <w:rsid w:val="5B3171ED"/>
    <w:rsid w:val="5BA3737C"/>
    <w:rsid w:val="5BC61257"/>
    <w:rsid w:val="5BF50F47"/>
    <w:rsid w:val="5C08306E"/>
    <w:rsid w:val="5C1C2FC2"/>
    <w:rsid w:val="5C280135"/>
    <w:rsid w:val="5C4B50C9"/>
    <w:rsid w:val="5C6D2A62"/>
    <w:rsid w:val="5C7523E6"/>
    <w:rsid w:val="5C932B4F"/>
    <w:rsid w:val="5CB36C11"/>
    <w:rsid w:val="5CBB4D35"/>
    <w:rsid w:val="5CE41E25"/>
    <w:rsid w:val="5D0C18C2"/>
    <w:rsid w:val="5D2D0417"/>
    <w:rsid w:val="5D2F030E"/>
    <w:rsid w:val="5D337858"/>
    <w:rsid w:val="5D437C37"/>
    <w:rsid w:val="5E0775E9"/>
    <w:rsid w:val="5E0A7F74"/>
    <w:rsid w:val="5E5922B5"/>
    <w:rsid w:val="5EA17738"/>
    <w:rsid w:val="5EBE41FF"/>
    <w:rsid w:val="5EE3707B"/>
    <w:rsid w:val="5EF934A7"/>
    <w:rsid w:val="5F2D7EA3"/>
    <w:rsid w:val="5F3E44B8"/>
    <w:rsid w:val="5F435D96"/>
    <w:rsid w:val="5F4D1ED8"/>
    <w:rsid w:val="5F534A1B"/>
    <w:rsid w:val="5F566844"/>
    <w:rsid w:val="5F787551"/>
    <w:rsid w:val="5F821D9A"/>
    <w:rsid w:val="5FB80641"/>
    <w:rsid w:val="5FD64BD0"/>
    <w:rsid w:val="5FEC456B"/>
    <w:rsid w:val="60352750"/>
    <w:rsid w:val="60860EFE"/>
    <w:rsid w:val="613278B2"/>
    <w:rsid w:val="616717B1"/>
    <w:rsid w:val="61797384"/>
    <w:rsid w:val="61977F40"/>
    <w:rsid w:val="61AC6D9E"/>
    <w:rsid w:val="61F333EB"/>
    <w:rsid w:val="61FA59D4"/>
    <w:rsid w:val="61FD6FBD"/>
    <w:rsid w:val="620924F5"/>
    <w:rsid w:val="621E1BFF"/>
    <w:rsid w:val="62300512"/>
    <w:rsid w:val="623768F5"/>
    <w:rsid w:val="62602C9B"/>
    <w:rsid w:val="627552C2"/>
    <w:rsid w:val="62BA4827"/>
    <w:rsid w:val="62E6449D"/>
    <w:rsid w:val="631F08F7"/>
    <w:rsid w:val="63397FAE"/>
    <w:rsid w:val="63657C58"/>
    <w:rsid w:val="63B072EC"/>
    <w:rsid w:val="63B45379"/>
    <w:rsid w:val="63C820E3"/>
    <w:rsid w:val="63DB2019"/>
    <w:rsid w:val="63E576E7"/>
    <w:rsid w:val="63F0188F"/>
    <w:rsid w:val="63F1521C"/>
    <w:rsid w:val="64044528"/>
    <w:rsid w:val="640F4D86"/>
    <w:rsid w:val="643F6889"/>
    <w:rsid w:val="648047E2"/>
    <w:rsid w:val="64A45A9A"/>
    <w:rsid w:val="64F41909"/>
    <w:rsid w:val="65347DD9"/>
    <w:rsid w:val="655561DF"/>
    <w:rsid w:val="659D318F"/>
    <w:rsid w:val="65A40FCF"/>
    <w:rsid w:val="65B95E54"/>
    <w:rsid w:val="65BD53E0"/>
    <w:rsid w:val="65D12D32"/>
    <w:rsid w:val="65FA5643"/>
    <w:rsid w:val="661D5E76"/>
    <w:rsid w:val="662A7F73"/>
    <w:rsid w:val="662E6CE7"/>
    <w:rsid w:val="66635DAA"/>
    <w:rsid w:val="666F2308"/>
    <w:rsid w:val="669224A1"/>
    <w:rsid w:val="66970203"/>
    <w:rsid w:val="669A4E8C"/>
    <w:rsid w:val="669B0B74"/>
    <w:rsid w:val="66AA3B53"/>
    <w:rsid w:val="66C50195"/>
    <w:rsid w:val="66E36B45"/>
    <w:rsid w:val="66FF44F2"/>
    <w:rsid w:val="67062BA1"/>
    <w:rsid w:val="67131B67"/>
    <w:rsid w:val="671A7038"/>
    <w:rsid w:val="674C2473"/>
    <w:rsid w:val="67760A0B"/>
    <w:rsid w:val="67E8116C"/>
    <w:rsid w:val="67F97A00"/>
    <w:rsid w:val="681E4181"/>
    <w:rsid w:val="68F10FE7"/>
    <w:rsid w:val="690A2E98"/>
    <w:rsid w:val="690E16A1"/>
    <w:rsid w:val="69B055B9"/>
    <w:rsid w:val="6A341AB5"/>
    <w:rsid w:val="6A3826C4"/>
    <w:rsid w:val="6A595E0A"/>
    <w:rsid w:val="6A857BFF"/>
    <w:rsid w:val="6AA62E0D"/>
    <w:rsid w:val="6ACE3036"/>
    <w:rsid w:val="6AD00590"/>
    <w:rsid w:val="6AE67F89"/>
    <w:rsid w:val="6AF6279F"/>
    <w:rsid w:val="6B10334A"/>
    <w:rsid w:val="6B21473D"/>
    <w:rsid w:val="6B244AD5"/>
    <w:rsid w:val="6B6A10DF"/>
    <w:rsid w:val="6B760BE0"/>
    <w:rsid w:val="6B7F00EA"/>
    <w:rsid w:val="6B857EF5"/>
    <w:rsid w:val="6BBB4099"/>
    <w:rsid w:val="6BC61376"/>
    <w:rsid w:val="6C2A00F2"/>
    <w:rsid w:val="6C2B3885"/>
    <w:rsid w:val="6C89174A"/>
    <w:rsid w:val="6CE00CEB"/>
    <w:rsid w:val="6D252842"/>
    <w:rsid w:val="6D30380D"/>
    <w:rsid w:val="6D7D22B7"/>
    <w:rsid w:val="6D9C5FBA"/>
    <w:rsid w:val="6DD94C15"/>
    <w:rsid w:val="6E223E93"/>
    <w:rsid w:val="6E344DC6"/>
    <w:rsid w:val="6ED97A0B"/>
    <w:rsid w:val="6F26125B"/>
    <w:rsid w:val="6F2643FD"/>
    <w:rsid w:val="6F962A84"/>
    <w:rsid w:val="6FDB48F2"/>
    <w:rsid w:val="6FFE154F"/>
    <w:rsid w:val="70403915"/>
    <w:rsid w:val="70490EE1"/>
    <w:rsid w:val="70564B3D"/>
    <w:rsid w:val="706D0D9E"/>
    <w:rsid w:val="70703D76"/>
    <w:rsid w:val="708A6795"/>
    <w:rsid w:val="70C4787A"/>
    <w:rsid w:val="71063261"/>
    <w:rsid w:val="711C0D58"/>
    <w:rsid w:val="71362DED"/>
    <w:rsid w:val="716F09F8"/>
    <w:rsid w:val="71765484"/>
    <w:rsid w:val="7186559C"/>
    <w:rsid w:val="724A3956"/>
    <w:rsid w:val="728C123E"/>
    <w:rsid w:val="72D51593"/>
    <w:rsid w:val="731C4608"/>
    <w:rsid w:val="73914B61"/>
    <w:rsid w:val="739556F8"/>
    <w:rsid w:val="739A39FB"/>
    <w:rsid w:val="73A27D8E"/>
    <w:rsid w:val="73EB3940"/>
    <w:rsid w:val="740A20B3"/>
    <w:rsid w:val="74431208"/>
    <w:rsid w:val="74606687"/>
    <w:rsid w:val="74874DA4"/>
    <w:rsid w:val="74A57FFA"/>
    <w:rsid w:val="74BE35E5"/>
    <w:rsid w:val="754601B8"/>
    <w:rsid w:val="754C524C"/>
    <w:rsid w:val="754D0AD5"/>
    <w:rsid w:val="75E049E8"/>
    <w:rsid w:val="76447F7A"/>
    <w:rsid w:val="76DB404F"/>
    <w:rsid w:val="76FD41D2"/>
    <w:rsid w:val="772B5189"/>
    <w:rsid w:val="775A1E0C"/>
    <w:rsid w:val="776611F4"/>
    <w:rsid w:val="776D6CD4"/>
    <w:rsid w:val="77837516"/>
    <w:rsid w:val="77B16F03"/>
    <w:rsid w:val="77C47E1E"/>
    <w:rsid w:val="77D40766"/>
    <w:rsid w:val="77F94CBB"/>
    <w:rsid w:val="78120692"/>
    <w:rsid w:val="78142066"/>
    <w:rsid w:val="78187912"/>
    <w:rsid w:val="78BB0BC0"/>
    <w:rsid w:val="78BC2B02"/>
    <w:rsid w:val="78DF4088"/>
    <w:rsid w:val="78EB55C7"/>
    <w:rsid w:val="797B7500"/>
    <w:rsid w:val="799051BA"/>
    <w:rsid w:val="79A063F1"/>
    <w:rsid w:val="79B34497"/>
    <w:rsid w:val="79BB6974"/>
    <w:rsid w:val="7A092BF9"/>
    <w:rsid w:val="7A0A078E"/>
    <w:rsid w:val="7A267D02"/>
    <w:rsid w:val="7A3D1112"/>
    <w:rsid w:val="7ABC0688"/>
    <w:rsid w:val="7B0D5398"/>
    <w:rsid w:val="7B8F4497"/>
    <w:rsid w:val="7BAF3212"/>
    <w:rsid w:val="7BB23BAA"/>
    <w:rsid w:val="7BE85DA7"/>
    <w:rsid w:val="7C2C4A50"/>
    <w:rsid w:val="7C4B13B0"/>
    <w:rsid w:val="7C903694"/>
    <w:rsid w:val="7CAC7B63"/>
    <w:rsid w:val="7D0516DC"/>
    <w:rsid w:val="7D2C3A7F"/>
    <w:rsid w:val="7D4146F6"/>
    <w:rsid w:val="7D680015"/>
    <w:rsid w:val="7DFA2C1A"/>
    <w:rsid w:val="7E040C21"/>
    <w:rsid w:val="7E065492"/>
    <w:rsid w:val="7E0F4454"/>
    <w:rsid w:val="7E315873"/>
    <w:rsid w:val="7E3D71A4"/>
    <w:rsid w:val="7E3E6024"/>
    <w:rsid w:val="7E4B38AB"/>
    <w:rsid w:val="7E4E27A5"/>
    <w:rsid w:val="7E592F0D"/>
    <w:rsid w:val="7E824EC5"/>
    <w:rsid w:val="7EA12D65"/>
    <w:rsid w:val="7EA82792"/>
    <w:rsid w:val="7EB60808"/>
    <w:rsid w:val="7EC01EA8"/>
    <w:rsid w:val="7EF00201"/>
    <w:rsid w:val="7F1642A8"/>
    <w:rsid w:val="7F3A5A50"/>
    <w:rsid w:val="7FBF56C9"/>
    <w:rsid w:val="7FEA39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3">
    <w:name w:val="heading 1"/>
    <w:basedOn w:val="1"/>
    <w:next w:val="1"/>
    <w:qFormat/>
    <w:uiPriority w:val="1"/>
    <w:pPr>
      <w:ind w:right="98"/>
      <w:jc w:val="center"/>
      <w:outlineLvl w:val="1"/>
    </w:pPr>
    <w:rPr>
      <w:rFonts w:ascii="宋体" w:hAnsi="宋体" w:eastAsia="宋体" w:cs="宋体"/>
      <w:b/>
      <w:bCs/>
      <w:sz w:val="40"/>
      <w:szCs w:val="40"/>
    </w:rPr>
  </w:style>
  <w:style w:type="paragraph" w:styleId="4">
    <w:name w:val="heading 2"/>
    <w:basedOn w:val="1"/>
    <w:next w:val="1"/>
    <w:qFormat/>
    <w:uiPriority w:val="1"/>
    <w:pPr>
      <w:spacing w:line="440" w:lineRule="exact"/>
      <w:ind w:left="804"/>
      <w:outlineLvl w:val="2"/>
    </w:pPr>
    <w:rPr>
      <w:rFonts w:ascii="宋体" w:hAnsi="宋体" w:eastAsia="宋体" w:cs="宋体"/>
      <w:b/>
      <w:bCs/>
      <w:sz w:val="36"/>
      <w:szCs w:val="36"/>
    </w:rPr>
  </w:style>
  <w:style w:type="paragraph" w:styleId="5">
    <w:name w:val="heading 3"/>
    <w:basedOn w:val="1"/>
    <w:next w:val="1"/>
    <w:qFormat/>
    <w:uiPriority w:val="1"/>
    <w:pPr>
      <w:ind w:left="3309"/>
      <w:outlineLvl w:val="3"/>
    </w:pPr>
    <w:rPr>
      <w:rFonts w:ascii="宋体" w:hAnsi="宋体" w:eastAsia="宋体" w:cs="宋体"/>
      <w:b/>
      <w:bCs/>
      <w:sz w:val="32"/>
      <w:szCs w:val="32"/>
    </w:rPr>
  </w:style>
  <w:style w:type="paragraph" w:styleId="6">
    <w:name w:val="heading 4"/>
    <w:basedOn w:val="1"/>
    <w:next w:val="1"/>
    <w:qFormat/>
    <w:uiPriority w:val="1"/>
    <w:pPr>
      <w:ind w:left="117"/>
      <w:outlineLvl w:val="4"/>
    </w:pPr>
    <w:rPr>
      <w:rFonts w:ascii="宋体" w:hAnsi="宋体" w:eastAsia="宋体" w:cs="宋体"/>
      <w:b/>
      <w:bCs/>
      <w:sz w:val="31"/>
      <w:szCs w:val="31"/>
    </w:rPr>
  </w:style>
  <w:style w:type="paragraph" w:styleId="7">
    <w:name w:val="heading 5"/>
    <w:basedOn w:val="1"/>
    <w:next w:val="1"/>
    <w:qFormat/>
    <w:uiPriority w:val="1"/>
    <w:pPr>
      <w:ind w:left="1140"/>
      <w:outlineLvl w:val="5"/>
    </w:pPr>
    <w:rPr>
      <w:rFonts w:ascii="宋体" w:hAnsi="宋体" w:eastAsia="宋体" w:cs="宋体"/>
      <w:b/>
      <w:bCs/>
      <w:sz w:val="28"/>
      <w:szCs w:val="28"/>
    </w:rPr>
  </w:style>
  <w:style w:type="paragraph" w:styleId="8">
    <w:name w:val="heading 6"/>
    <w:basedOn w:val="1"/>
    <w:next w:val="1"/>
    <w:qFormat/>
    <w:uiPriority w:val="1"/>
    <w:pPr>
      <w:ind w:left="117"/>
      <w:outlineLvl w:val="6"/>
    </w:pPr>
    <w:rPr>
      <w:rFonts w:ascii="宋体" w:hAnsi="宋体" w:eastAsia="宋体" w:cs="宋体"/>
      <w:b/>
      <w:bCs/>
      <w:sz w:val="24"/>
      <w:szCs w:val="24"/>
    </w:rPr>
  </w:style>
  <w:style w:type="character" w:default="1" w:styleId="15">
    <w:name w:val="Default Paragraph Font"/>
    <w:semiHidden/>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等线 Light" w:hAnsi="等线 Light" w:eastAsia="等线 Light" w:cs="宋体"/>
      <w:sz w:val="24"/>
      <w:szCs w:val="24"/>
    </w:rPr>
  </w:style>
  <w:style w:type="paragraph" w:styleId="9">
    <w:name w:val="Body Text"/>
    <w:basedOn w:val="1"/>
    <w:qFormat/>
    <w:uiPriority w:val="1"/>
    <w:pPr>
      <w:ind w:left="117"/>
    </w:pPr>
    <w:rPr>
      <w:rFonts w:ascii="宋体" w:hAnsi="宋体" w:eastAsia="宋体" w:cs="宋体"/>
      <w:sz w:val="24"/>
      <w:szCs w:val="24"/>
    </w:rPr>
  </w:style>
  <w:style w:type="paragraph" w:styleId="10">
    <w:name w:val="Plain Text"/>
    <w:basedOn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标题 Char Char"/>
    <w:basedOn w:val="1"/>
    <w:qFormat/>
    <w:uiPriority w:val="0"/>
    <w:pPr>
      <w:jc w:val="center"/>
      <w:outlineLvl w:val="0"/>
    </w:pPr>
    <w:rPr>
      <w:rFonts w:ascii="Arial" w:hAnsi="Arial"/>
      <w:b/>
      <w:sz w:val="32"/>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pPr>
      <w:ind w:left="117"/>
    </w:pPr>
    <w:rPr>
      <w:rFonts w:ascii="宋体" w:hAnsi="宋体" w:eastAsia="宋体" w:cs="宋体"/>
    </w:rPr>
  </w:style>
  <w:style w:type="paragraph" w:customStyle="1" w:styleId="19">
    <w:name w:val="Table Paragraph"/>
    <w:basedOn w:val="1"/>
    <w:qFormat/>
    <w:uiPriority w:val="1"/>
    <w:rPr>
      <w:rFonts w:ascii="宋体" w:hAnsi="宋体" w:eastAsia="宋体" w:cs="宋体"/>
    </w:rPr>
  </w:style>
  <w:style w:type="paragraph" w:customStyle="1" w:styleId="20">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Info spid="_x0000_s4099" textRotate="1"/>
    <customShpInfo spid="_x0000_s4100" textRotate="1"/>
    <customShpInfo spid="_x0000_s4102" textRotate="1"/>
    <customShpInfo spid="_x0000_s4103" textRotate="1"/>
    <customShpInfo spid="_x0000_s410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35457</Words>
  <Characters>38767</Characters>
  <TotalTime>2</TotalTime>
  <ScaleCrop>false</ScaleCrop>
  <LinksUpToDate>false</LinksUpToDate>
  <CharactersWithSpaces>40661</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2020-01-06T17:02:00Z</dcterms:created>
  <dc:creator>Administrator</dc:creator>
  <cp:lastModifiedBy>NTKO</cp:lastModifiedBy>
  <cp:lastPrinted>2020-01-10T01:18:00Z</cp:lastPrinted>
  <dcterms:modified xsi:type="dcterms:W3CDTF">2020-10-20T07:56:41Z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2019-12-05T00:00:00Z</vt:filetime>
  </property>
  <property fmtid="{D5CDD505-2E9C-101B-9397-08002B2CF9AE}" pid="3" name="Creator">
    <vt:lpwstr>WPS 文字</vt:lpwstr>
  </property>
  <property fmtid="{D5CDD505-2E9C-101B-9397-08002B2CF9AE}" pid="4" name="LastSaved">
    <vt:filetime>2020-01-06T00:00:00Z</vt:filetime>
  </property>
  <property fmtid="{D5CDD505-2E9C-101B-9397-08002B2CF9AE}" pid="5" name="KSOProductBuildVer">
    <vt:lpwstr>2052-11.1.0.10069</vt:lpwstr>
  </property>
</Properties>
</file>