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bookmarkStart w:id="0" w:name="OLE_LINK2"/>
      <w:bookmarkStart w:id="1" w:name="OLE_LINK3"/>
      <w:bookmarkStart w:id="2" w:name="OLE_LINK1"/>
      <w:bookmarkStart w:id="3" w:name="OLE_LINK4"/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采购需求公示</w:t>
      </w:r>
    </w:p>
    <w:p>
      <w:pPr>
        <w:widowControl/>
        <w:spacing w:line="500" w:lineRule="exact"/>
        <w:jc w:val="left"/>
        <w:rPr>
          <w:rFonts w:hint="eastAsia" w:ascii="宋体" w:hAnsi="宋体" w:cs="宋体" w:eastAsiaTheme="minorEastAsia"/>
          <w:color w:val="000000" w:themeColor="text1"/>
          <w:kern w:val="0"/>
          <w:sz w:val="18"/>
          <w:szCs w:val="18"/>
          <w:lang w:eastAsia="zh-CN"/>
        </w:rPr>
      </w:pPr>
      <w:bookmarkStart w:id="4" w:name="OLE_LINK5"/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1.项目名称：铜仁市寨桂九年一贯制学校塑胶运动场和草坪工程采购</w:t>
      </w:r>
    </w:p>
    <w:p>
      <w:pPr>
        <w:widowControl/>
        <w:spacing w:line="500" w:lineRule="exact"/>
        <w:jc w:val="left"/>
        <w:rPr>
          <w:rFonts w:hint="eastAsia" w:ascii="宋体" w:hAnsi="宋体" w:cs="宋体" w:eastAsiaTheme="minorEastAsia"/>
          <w:color w:val="000000" w:themeColor="text1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2.项目编号：TRZFCG-2020-0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60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 xml:space="preserve"> </w:t>
      </w:r>
    </w:p>
    <w:p>
      <w:pPr>
        <w:widowControl/>
        <w:spacing w:line="500" w:lineRule="exact"/>
        <w:jc w:val="left"/>
        <w:rPr>
          <w:rFonts w:hint="eastAsia" w:ascii="宋体" w:hAnsi="宋体" w:cs="宋体" w:eastAsiaTheme="minorEastAsia"/>
          <w:color w:val="000000" w:themeColor="text1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3.采购方式：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</w:rPr>
        <w:t>竞争性谈判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4.公示期限（不少于2个工作日）: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日-20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日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5.采购预算：436434元（最高限价）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6.采购预算确定依据: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碧江区政府采购（集中采购）申报表</w:t>
      </w:r>
    </w:p>
    <w:p>
      <w:pPr>
        <w:widowControl/>
        <w:spacing w:line="500" w:lineRule="exact"/>
        <w:jc w:val="left"/>
        <w:rPr>
          <w:rFonts w:hint="eastAsia" w:ascii="宋体" w:hAnsi="宋体" w:cs="宋体" w:eastAsiaTheme="minorEastAsia"/>
          <w:color w:val="000000" w:themeColor="text1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7.采购人名称: 铜仁市寨桂九年一贯制学校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 xml:space="preserve"> 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联系地址:铜仁市寨桂九年一贯制学校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 xml:space="preserve"> </w:t>
      </w:r>
    </w:p>
    <w:p>
      <w:pPr>
        <w:widowControl/>
        <w:spacing w:line="500" w:lineRule="exact"/>
        <w:jc w:val="left"/>
        <w:rPr>
          <w:rFonts w:hint="eastAsia" w:ascii="宋体" w:hAnsi="宋体" w:cs="宋体" w:eastAsiaTheme="minorEastAsia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项目联系人: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</w:rPr>
        <w:t>刘校长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联系电话:13765689015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8.采购代理机构全称:铜仁市公共资源交易中心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联系地址:铜仁市公共服务中心四楼（川硐麒龙国际会展城）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项目联系人:冉思平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联系电话:0856-3912933</w:t>
      </w:r>
    </w:p>
    <w:p>
      <w:pPr>
        <w:pStyle w:val="13"/>
        <w:spacing w:line="500" w:lineRule="exact"/>
        <w:rPr>
          <w:rFonts w:hint="eastAsia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hAnsi="宋体" w:cs="宋体"/>
          <w:b/>
          <w:bCs/>
          <w:color w:val="000000" w:themeColor="text1"/>
          <w:sz w:val="28"/>
          <w:szCs w:val="28"/>
        </w:rPr>
        <w:t>9.任何单位和个人对本项目采购文件需求公示有异议的，可在公示期限内，反馈意见给代理机构。</w:t>
      </w:r>
      <w:bookmarkEnd w:id="0"/>
      <w:bookmarkEnd w:id="1"/>
      <w:bookmarkEnd w:id="2"/>
      <w:bookmarkEnd w:id="3"/>
      <w:bookmarkEnd w:id="4"/>
    </w:p>
    <w:p>
      <w:pPr>
        <w:widowControl/>
        <w:spacing w:line="500" w:lineRule="exact"/>
        <w:jc w:val="left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</w:rPr>
        <w:t>具体清单详见附件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</w:pPr>
    </w:p>
    <w:p>
      <w:pPr>
        <w:spacing w:line="360" w:lineRule="auto"/>
        <w:ind w:firstLine="361" w:firstLineChars="100"/>
        <w:jc w:val="center"/>
        <w:rPr>
          <w:rFonts w:hint="eastAsia" w:ascii="宋体" w:hAnsi="宋体" w:eastAsiaTheme="minorEastAsia"/>
          <w:b/>
          <w:bCs/>
          <w:color w:val="000000" w:themeColor="text1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</w:rPr>
        <w:t>采购人需求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Theme="minorEastAsia"/>
          <w:b/>
          <w:bCs/>
          <w:color w:val="000000" w:themeColor="text1"/>
          <w:sz w:val="36"/>
          <w:szCs w:val="36"/>
          <w:lang w:eastAsia="zh-CN"/>
        </w:rPr>
      </w:pP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1392"/>
        <w:gridCol w:w="753"/>
        <w:gridCol w:w="1062"/>
        <w:gridCol w:w="997"/>
        <w:gridCol w:w="1025"/>
        <w:gridCol w:w="1174"/>
        <w:gridCol w:w="220"/>
        <w:gridCol w:w="220"/>
        <w:gridCol w:w="485"/>
        <w:gridCol w:w="6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工程名称：建筑与装饰工程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标段：铜仁市碧江区寨桂九年一贯制学校运动场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 1  页  共  1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011101003001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地面硬化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1.面层厚度、混凝土强度等级:15cm厚C25混凝土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3158.63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011103001001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篮球场面层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1.面层材料品种、规格、颜色:8mm硅PU面层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011406002001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篮球场划线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1.篮球场划线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注：为记取规费等的使用，可在表中增设其中：“定额人工费”。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表-08</w:t>
            </w:r>
          </w:p>
        </w:tc>
      </w:tr>
    </w:tbl>
    <w:p>
      <w:pPr>
        <w:spacing w:line="360" w:lineRule="auto"/>
        <w:jc w:val="both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02"/>
        <w:gridCol w:w="252"/>
        <w:gridCol w:w="352"/>
        <w:gridCol w:w="352"/>
        <w:gridCol w:w="537"/>
        <w:gridCol w:w="537"/>
        <w:gridCol w:w="694"/>
        <w:gridCol w:w="244"/>
        <w:gridCol w:w="244"/>
        <w:gridCol w:w="853"/>
        <w:gridCol w:w="319"/>
        <w:gridCol w:w="319"/>
        <w:gridCol w:w="24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总价措施项目清单与计价表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工程名称：建筑与装饰工程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标段：铜仁市碧江区寨桂九年一贯制学校运动场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 1  页  共  1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调整费率(%)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调整后金额(元)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1.1.1+1.1.2+1.1.3+1.1.4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文明施工费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安全施工费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夜间和非夜间施工增加费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工程及设备保护费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工程定位复测费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编制人（造价人员）：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复核人（造价工程师）：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表-11</w:t>
            </w:r>
          </w:p>
        </w:tc>
      </w:tr>
    </w:tbl>
    <w:p>
      <w:pPr>
        <w:spacing w:line="360" w:lineRule="auto"/>
        <w:jc w:val="both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>
      <w:pPr>
        <w:pStyle w:val="2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>
      <w:pPr>
        <w:pStyle w:val="2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846"/>
        <w:gridCol w:w="837"/>
        <w:gridCol w:w="1389"/>
        <w:gridCol w:w="1882"/>
        <w:gridCol w:w="15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其他项目清单与计价汇总表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工程名称：建筑与装饰工程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标段：铜仁市碧江区寨桂九年一贯制学校运动场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 1  页  共  1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结算金额（元）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材料（工程设备）暂估价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索赔与现场签证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注：材料（工程设备）暂估单价进入清单项目综合单价，此处不汇总。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Theme="minorEastAsia"/>
          <w:b/>
          <w:bCs/>
          <w:color w:val="000000" w:themeColor="text1"/>
          <w:sz w:val="36"/>
          <w:szCs w:val="36"/>
          <w:lang w:eastAsia="zh-CN"/>
        </w:rPr>
      </w:pP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8"/>
        <w:gridCol w:w="18"/>
        <w:gridCol w:w="1160"/>
        <w:gridCol w:w="1481"/>
        <w:gridCol w:w="2553"/>
        <w:gridCol w:w="1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工程名称：建筑与装饰工程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标段：铜仁市碧江区寨桂九年一贯制学校运动场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 1  页  共  1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暂定金额（元）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注：此表由招标人填写，如不能详列，也可只列暂列金额总额，投标人应将上述暂列金额计入投标总价中。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表—12—1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>
      <w:pPr>
        <w:pStyle w:val="2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2030"/>
        <w:gridCol w:w="613"/>
        <w:gridCol w:w="536"/>
        <w:gridCol w:w="536"/>
        <w:gridCol w:w="587"/>
        <w:gridCol w:w="566"/>
        <w:gridCol w:w="536"/>
        <w:gridCol w:w="536"/>
        <w:gridCol w:w="186"/>
        <w:gridCol w:w="186"/>
        <w:gridCol w:w="927"/>
        <w:gridCol w:w="7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材料（工程设备）暂估单价及调整表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工程名称：建筑与装饰工程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标段：铜仁市碧江区寨桂九年一贯制学校运动场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 1  页  共  1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材料(工程设备)名称、规格、型号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暂估（元）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确认(元)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差额±(元)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注：1.此表由招标人填写“暂估单价”，并在备注栏说明暂估价的材料、工程设备拟用在那些清单项目上，投标人应将上述材料、工程设备暂估单价计入工程量清单综合单价报价中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表—12—2</w:t>
            </w:r>
          </w:p>
        </w:tc>
      </w:tr>
    </w:tbl>
    <w:p>
      <w:pPr>
        <w:pStyle w:val="2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18"/>
        <w:gridCol w:w="819"/>
        <w:gridCol w:w="3007"/>
        <w:gridCol w:w="466"/>
        <w:gridCol w:w="466"/>
        <w:gridCol w:w="420"/>
        <w:gridCol w:w="436"/>
        <w:gridCol w:w="14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专业工程暂估价及结算价表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工程名称：建筑与装饰工程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标段：铜仁市碧江区寨桂九年一贯制学校运动场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 1  页  共  1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工程内容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暂估金额（元）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结算金额(元)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差额±(元)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注：此表由招标人填写，投标人应将上述专业工程暂估价计入投标总价中。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表—12—3</w:t>
            </w:r>
          </w:p>
        </w:tc>
      </w:tr>
    </w:tbl>
    <w:p>
      <w:pPr>
        <w:spacing w:line="360" w:lineRule="auto"/>
        <w:jc w:val="both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>
      <w:pPr>
        <w:pStyle w:val="2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577"/>
        <w:gridCol w:w="559"/>
        <w:gridCol w:w="581"/>
        <w:gridCol w:w="999"/>
        <w:gridCol w:w="321"/>
        <w:gridCol w:w="321"/>
        <w:gridCol w:w="1527"/>
        <w:gridCol w:w="198"/>
        <w:gridCol w:w="236"/>
        <w:gridCol w:w="15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计 日 工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工程名称：建筑与装饰工程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标段：铜仁市碧江区寨桂九年一贯制学校运动场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 1  页  共  1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实际数量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综合单价(元)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企业管理费和利润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此表项目名称、暂定数量由招标人填写，编制招标控制价时，单价由招标人按有关计价规定确定；投标时，单价由投标人自主报价，按暂定数量计算合价计入投标总价中。结算时，按发承包双方确认的实际数量计算合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表—12—4</w:t>
            </w:r>
          </w:p>
        </w:tc>
      </w:tr>
    </w:tbl>
    <w:p>
      <w:pPr>
        <w:pStyle w:val="2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25"/>
        <w:gridCol w:w="1341"/>
        <w:gridCol w:w="1695"/>
        <w:gridCol w:w="1695"/>
        <w:gridCol w:w="345"/>
        <w:gridCol w:w="359"/>
        <w:gridCol w:w="17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总承包服务费计价表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工程名称：建筑与装饰工程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标段：铜仁市碧江区寨桂九年一贯制学校运动场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 1  页  共  1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项目价值（元）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注：此表项目名称、服务内容由招标人填写，编制招标控制价时，费率及金额由招标人按有关计价规定确定；投标时，费率及金额由投标人自主报价，计入投标总价中。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表—12—5</w:t>
            </w:r>
          </w:p>
        </w:tc>
      </w:tr>
    </w:tbl>
    <w:p>
      <w:pPr>
        <w:spacing w:line="360" w:lineRule="auto"/>
        <w:jc w:val="both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894"/>
        <w:gridCol w:w="475"/>
        <w:gridCol w:w="490"/>
        <w:gridCol w:w="1837"/>
        <w:gridCol w:w="2166"/>
        <w:gridCol w:w="400"/>
        <w:gridCol w:w="380"/>
        <w:gridCol w:w="10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规费、税金项目计价表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工程名称：建筑与装饰工程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标段：铜仁市碧江区寨桂九年一贯制学校运动场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计算费率(%)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社会保障费+住房公积金+工程排污费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养老保险费+失业保险费+医疗保险费+工伤保险费+生育保险费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养老保险费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医疗保险费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分部分项人工预算价+单价措施人工预算价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编制人（造价人员）：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复核人（造价工程师）：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表—13</w:t>
            </w:r>
          </w:p>
        </w:tc>
      </w:tr>
    </w:tbl>
    <w:p>
      <w:pPr>
        <w:spacing w:line="360" w:lineRule="auto"/>
        <w:jc w:val="both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color w:val="000000" w:themeColor="text1"/>
          <w:sz w:val="24"/>
          <w:highlight w:val="none"/>
          <w:lang w:val="en-US" w:eastAsia="zh-CN"/>
        </w:rPr>
      </w:pPr>
      <w:bookmarkStart w:id="5" w:name="_GoBack"/>
      <w:bookmarkEnd w:id="5"/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Theme="minorEastAsia"/>
          <w:color w:val="000000" w:themeColor="text1"/>
          <w:sz w:val="24"/>
          <w:lang w:val="en-US" w:eastAsia="zh-CN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36"/>
        </w:rPr>
      </w:pPr>
    </w:p>
    <w:p>
      <w:pPr>
        <w:jc w:val="center"/>
        <w:rPr>
          <w:rFonts w:hint="eastAsia" w:ascii="宋体" w:hAnsi="宋体"/>
          <w:b/>
          <w:bCs/>
          <w:color w:val="000000" w:themeColor="text1"/>
          <w:sz w:val="36"/>
        </w:rPr>
      </w:pPr>
    </w:p>
    <w:p>
      <w:pPr>
        <w:jc w:val="both"/>
        <w:rPr>
          <w:rFonts w:hint="eastAsia" w:ascii="宋体" w:hAnsi="宋体"/>
          <w:b/>
          <w:bCs/>
          <w:color w:val="000000" w:themeColor="text1"/>
          <w:sz w:val="36"/>
        </w:rPr>
      </w:pPr>
    </w:p>
    <w:p>
      <w:pPr>
        <w:jc w:val="both"/>
        <w:rPr>
          <w:rFonts w:hAnsi="宋体" w:eastAsia="宋体" w:cs="宋体"/>
          <w:b/>
          <w:bCs/>
          <w:color w:val="000000" w:themeColor="text1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921"/>
    <w:rsid w:val="0002647E"/>
    <w:rsid w:val="000571B1"/>
    <w:rsid w:val="000F3A3E"/>
    <w:rsid w:val="0018344B"/>
    <w:rsid w:val="00202C80"/>
    <w:rsid w:val="00221A03"/>
    <w:rsid w:val="0026773E"/>
    <w:rsid w:val="00282FCB"/>
    <w:rsid w:val="00286E46"/>
    <w:rsid w:val="00287671"/>
    <w:rsid w:val="002F4085"/>
    <w:rsid w:val="00313BC1"/>
    <w:rsid w:val="003D44B7"/>
    <w:rsid w:val="004E575C"/>
    <w:rsid w:val="00642414"/>
    <w:rsid w:val="006A38E9"/>
    <w:rsid w:val="006A5CE9"/>
    <w:rsid w:val="007666A4"/>
    <w:rsid w:val="00766892"/>
    <w:rsid w:val="00822630"/>
    <w:rsid w:val="00842ABC"/>
    <w:rsid w:val="008F0B92"/>
    <w:rsid w:val="0099528F"/>
    <w:rsid w:val="009E1B7C"/>
    <w:rsid w:val="00A42316"/>
    <w:rsid w:val="00A6171F"/>
    <w:rsid w:val="00B1515D"/>
    <w:rsid w:val="00C4153C"/>
    <w:rsid w:val="00C61213"/>
    <w:rsid w:val="00C903DB"/>
    <w:rsid w:val="00CF2B12"/>
    <w:rsid w:val="00E30DA6"/>
    <w:rsid w:val="00ED1D8C"/>
    <w:rsid w:val="00F33921"/>
    <w:rsid w:val="00F953A4"/>
    <w:rsid w:val="00FE5982"/>
    <w:rsid w:val="05105A7C"/>
    <w:rsid w:val="05A524DD"/>
    <w:rsid w:val="06CE7843"/>
    <w:rsid w:val="09560333"/>
    <w:rsid w:val="0B55481E"/>
    <w:rsid w:val="0E580123"/>
    <w:rsid w:val="0E993AD6"/>
    <w:rsid w:val="0F656E13"/>
    <w:rsid w:val="11034F62"/>
    <w:rsid w:val="120F12B3"/>
    <w:rsid w:val="133C705F"/>
    <w:rsid w:val="16880C98"/>
    <w:rsid w:val="18123234"/>
    <w:rsid w:val="18BB5BAA"/>
    <w:rsid w:val="1952736C"/>
    <w:rsid w:val="19E4493A"/>
    <w:rsid w:val="1B5B7A83"/>
    <w:rsid w:val="1C18391B"/>
    <w:rsid w:val="1F412041"/>
    <w:rsid w:val="207468A9"/>
    <w:rsid w:val="211B7FBA"/>
    <w:rsid w:val="22E26431"/>
    <w:rsid w:val="231D3E64"/>
    <w:rsid w:val="2354077D"/>
    <w:rsid w:val="24CC6D23"/>
    <w:rsid w:val="268100BA"/>
    <w:rsid w:val="27207319"/>
    <w:rsid w:val="27607815"/>
    <w:rsid w:val="2CDD0794"/>
    <w:rsid w:val="31135825"/>
    <w:rsid w:val="316E2516"/>
    <w:rsid w:val="34301976"/>
    <w:rsid w:val="34D61F8E"/>
    <w:rsid w:val="3A181ECC"/>
    <w:rsid w:val="3A6E38FE"/>
    <w:rsid w:val="3DA24812"/>
    <w:rsid w:val="4252261E"/>
    <w:rsid w:val="4B9E24B8"/>
    <w:rsid w:val="4D4D3981"/>
    <w:rsid w:val="4F9C0100"/>
    <w:rsid w:val="52055774"/>
    <w:rsid w:val="57A41593"/>
    <w:rsid w:val="58626768"/>
    <w:rsid w:val="59317C45"/>
    <w:rsid w:val="59B67DA4"/>
    <w:rsid w:val="5A344CDA"/>
    <w:rsid w:val="5A77615E"/>
    <w:rsid w:val="5ABF19C5"/>
    <w:rsid w:val="5BCF4A13"/>
    <w:rsid w:val="603E0D4D"/>
    <w:rsid w:val="606B254C"/>
    <w:rsid w:val="60EC6D36"/>
    <w:rsid w:val="65503C6B"/>
    <w:rsid w:val="751F09B3"/>
    <w:rsid w:val="7B6400CA"/>
    <w:rsid w:val="7F5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after="120"/>
    </w:pPr>
    <w:rPr>
      <w:szCs w:val="24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sz w:val="24"/>
      <w:szCs w:val="24"/>
      <w:lang w:val="en-US" w:eastAsia="zh-CN" w:bidi="ar-SA"/>
    </w:rPr>
  </w:style>
  <w:style w:type="character" w:customStyle="1" w:styleId="14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7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684</Words>
  <Characters>836</Characters>
  <Lines>46</Lines>
  <Paragraphs>75</Paragraphs>
  <TotalTime>0</TotalTime>
  <ScaleCrop>false</ScaleCrop>
  <LinksUpToDate>false</LinksUpToDate>
  <CharactersWithSpaces>1445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2017-12-05T07:31:00Z</dcterms:created>
  <dc:creator>456</dc:creator>
  <cp:lastModifiedBy>NTKO</cp:lastModifiedBy>
  <dcterms:modified xsi:type="dcterms:W3CDTF">2020-09-02T07:27:09Z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