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41" w:firstLineChars="100"/>
        <w:rPr>
          <w:rFonts w:hint="eastAsia" w:ascii="宋体" w:hAnsi="宋体" w:eastAsiaTheme="minorEastAsia" w:cstheme="minorBidi"/>
          <w:b/>
          <w:color w:val="000000" w:themeColor="text1"/>
          <w:kern w:val="0"/>
          <w:sz w:val="24"/>
          <w:szCs w:val="24"/>
          <w:lang w:val="en-US" w:eastAsia="zh-CN" w:bidi="ar-SA"/>
          <w14:textFill>
            <w14:solidFill>
              <w14:schemeClr w14:val="tx1"/>
            </w14:solidFill>
          </w14:textFill>
        </w:rPr>
      </w:pPr>
      <w:bookmarkStart w:id="0" w:name="_GoBack"/>
      <w:bookmarkEnd w:id="0"/>
      <w:r>
        <w:rPr>
          <w:rFonts w:hint="eastAsia" w:ascii="宋体" w:hAnsi="宋体" w:eastAsiaTheme="minorEastAsia" w:cstheme="minorBidi"/>
          <w:b/>
          <w:color w:val="000000" w:themeColor="text1"/>
          <w:kern w:val="0"/>
          <w:sz w:val="24"/>
          <w:szCs w:val="24"/>
          <w:lang w:val="en-US" w:eastAsia="zh-CN" w:bidi="ar-SA"/>
          <w14:textFill>
            <w14:solidFill>
              <w14:schemeClr w14:val="tx1"/>
            </w14:solidFill>
          </w14:textFill>
        </w:rPr>
        <w:t>供应商资格要求：</w:t>
      </w:r>
    </w:p>
    <w:p>
      <w:pPr>
        <w:pStyle w:val="3"/>
        <w:keepNext w:val="0"/>
        <w:keepLines w:val="0"/>
        <w:pageBreakBefore w:val="0"/>
        <w:widowControl w:val="0"/>
        <w:kinsoku/>
        <w:wordWrap/>
        <w:overflowPunct/>
        <w:topLinePunct w:val="0"/>
        <w:autoSpaceDE/>
        <w:autoSpaceDN/>
        <w:bidi w:val="0"/>
        <w:spacing w:line="560" w:lineRule="exact"/>
        <w:ind w:firstLine="720" w:firstLineChars="300"/>
        <w:textAlignment w:val="auto"/>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一般资格要求：</w:t>
      </w:r>
    </w:p>
    <w:p>
      <w:pPr>
        <w:pStyle w:val="2"/>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谈判响应供应商应具备符合《中华人民共和国政府采购法》第 22 条和《中华人民共和国政府采购法实施条例》第 17 条的条件：</w:t>
      </w:r>
    </w:p>
    <w:p>
      <w:pPr>
        <w:pStyle w:val="2"/>
        <w:ind w:firstLine="480" w:firstLineChars="200"/>
        <w:rPr>
          <w:color w:val="auto"/>
        </w:rPr>
      </w:pPr>
      <w:r>
        <w:rPr>
          <w:rFonts w:hint="eastAsia" w:hAnsi="宋体"/>
          <w:color w:val="auto"/>
          <w:sz w:val="24"/>
          <w:szCs w:val="24"/>
        </w:rPr>
        <w:t>①</w:t>
      </w:r>
      <w:r>
        <w:rPr>
          <w:rFonts w:hint="eastAsia" w:ascii="宋体" w:hAnsi="宋体" w:cs="宋体"/>
          <w:color w:val="auto"/>
          <w:kern w:val="0"/>
          <w:sz w:val="24"/>
          <w:szCs w:val="24"/>
        </w:rPr>
        <w:t>有效的</w:t>
      </w:r>
      <w:r>
        <w:rPr>
          <w:rFonts w:hint="eastAsia" w:ascii="宋体" w:hAnsi="宋体" w:cs="宋体"/>
          <w:color w:val="auto"/>
          <w:sz w:val="24"/>
        </w:rPr>
        <w:t>营业执照</w:t>
      </w:r>
      <w:r>
        <w:rPr>
          <w:rFonts w:hint="eastAsia" w:ascii="宋体" w:hAnsi="宋体" w:cs="宋体"/>
          <w:color w:val="auto"/>
          <w:kern w:val="0"/>
          <w:sz w:val="24"/>
          <w:szCs w:val="24"/>
        </w:rPr>
        <w:t>（三证合一）</w:t>
      </w:r>
    </w:p>
    <w:p>
      <w:pPr>
        <w:pStyle w:val="4"/>
        <w:keepNext w:val="0"/>
        <w:keepLines w:val="0"/>
        <w:pageBreakBefore w:val="0"/>
        <w:widowControl w:val="0"/>
        <w:kinsoku/>
        <w:wordWrap/>
        <w:overflowPunct/>
        <w:topLinePunct w:val="0"/>
        <w:autoSpaceDE/>
        <w:autoSpaceDN/>
        <w:bidi w:val="0"/>
        <w:spacing w:line="560" w:lineRule="exact"/>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hAnsi="宋体" w:cs="宋体"/>
          <w:bCs/>
          <w:color w:val="auto"/>
          <w:sz w:val="24"/>
          <w:szCs w:val="24"/>
          <w:lang w:eastAsia="zh-CN"/>
        </w:rPr>
        <w:t>②</w:t>
      </w:r>
      <w:r>
        <w:rPr>
          <w:rFonts w:hint="eastAsia" w:ascii="宋体" w:hAnsi="宋体" w:eastAsia="宋体" w:cs="宋体"/>
          <w:color w:val="auto"/>
          <w:kern w:val="2"/>
          <w:sz w:val="24"/>
          <w:szCs w:val="24"/>
          <w:lang w:val="en-US" w:eastAsia="zh-CN" w:bidi="ar-SA"/>
        </w:rPr>
        <w:t>具有良好的商业信誉和健全的财务会计制度：</w:t>
      </w:r>
    </w:p>
    <w:p>
      <w:pPr>
        <w:pStyle w:val="5"/>
        <w:spacing w:before="0" w:beforeAutospacing="0" w:after="0" w:afterAutospacing="0" w:line="360" w:lineRule="auto"/>
        <w:ind w:firstLine="480" w:firstLineChars="200"/>
        <w:jc w:val="both"/>
        <w:rPr>
          <w:rFonts w:ascii="宋体" w:hAnsi="宋体"/>
          <w:color w:val="auto"/>
          <w:sz w:val="24"/>
        </w:rPr>
      </w:pPr>
      <w:r>
        <w:rPr>
          <w:rFonts w:hint="eastAsia"/>
          <w:color w:val="auto"/>
        </w:rPr>
        <w:t>具体要求：提供</w:t>
      </w:r>
      <w:r>
        <w:rPr>
          <w:rFonts w:hint="eastAsia"/>
          <w:color w:val="auto"/>
          <w:lang w:eastAsia="zh-CN"/>
        </w:rPr>
        <w:t>近半年任意三个月的财务报表，</w:t>
      </w:r>
      <w:r>
        <w:rPr>
          <w:rFonts w:hint="eastAsia"/>
          <w:color w:val="auto"/>
        </w:rPr>
        <w:t>企业提供的财务报表（含资产负债表、利润及利润分配表、现金流量表和财务报表附注）；（新成立</w:t>
      </w:r>
      <w:r>
        <w:rPr>
          <w:rFonts w:hint="eastAsia"/>
          <w:color w:val="auto"/>
          <w:lang w:eastAsia="zh-CN"/>
        </w:rPr>
        <w:t>未满一年</w:t>
      </w:r>
      <w:r>
        <w:rPr>
          <w:rFonts w:hint="eastAsia"/>
          <w:color w:val="auto"/>
        </w:rPr>
        <w:t>的</w:t>
      </w:r>
      <w:r>
        <w:rPr>
          <w:rFonts w:hint="eastAsia"/>
          <w:color w:val="auto"/>
          <w:lang w:eastAsia="zh-CN"/>
        </w:rPr>
        <w:t>供应商</w:t>
      </w:r>
      <w:r>
        <w:rPr>
          <w:rFonts w:hint="eastAsia"/>
          <w:color w:val="auto"/>
          <w:lang w:val="en-US" w:eastAsia="zh-CN"/>
        </w:rPr>
        <w:t>提供银行资信证明，</w:t>
      </w:r>
      <w:r>
        <w:rPr>
          <w:rFonts w:hint="eastAsia" w:ascii="Calibri" w:hAnsi="Calibri" w:eastAsia="宋体" w:cs="Times New Roman"/>
          <w:color w:val="auto"/>
          <w:kern w:val="2"/>
          <w:sz w:val="24"/>
          <w:szCs w:val="24"/>
          <w:lang w:val="en-US" w:eastAsia="zh-CN" w:bidi="ar-SA"/>
        </w:rPr>
        <w:t>新成立不足一个月的公司可以不提供</w:t>
      </w:r>
      <w:r>
        <w:rPr>
          <w:rFonts w:hint="eastAsia"/>
          <w:color w:val="auto"/>
        </w:rPr>
        <w:t>）；</w:t>
      </w:r>
    </w:p>
    <w:p>
      <w:pPr>
        <w:pStyle w:val="2"/>
        <w:spacing w:line="364" w:lineRule="auto"/>
        <w:ind w:right="315" w:firstLine="480" w:firstLineChars="2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③具有履行合同所必需的设备和专业技术能力：提供具备履行合同所必需的设备和专业技术能力的承诺函（格式自拟）；</w:t>
      </w:r>
    </w:p>
    <w:p>
      <w:pPr>
        <w:pStyle w:val="4"/>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jc w:val="left"/>
        <w:textAlignment w:val="auto"/>
        <w:outlineLvl w:val="0"/>
        <w:rPr>
          <w:rFonts w:hint="eastAsia" w:ascii="Calibri" w:hAnsi="Calibri" w:eastAsia="宋体" w:cs="Times New Roman"/>
          <w:color w:val="auto"/>
          <w:kern w:val="2"/>
          <w:sz w:val="24"/>
          <w:szCs w:val="24"/>
          <w:lang w:val="en-US" w:eastAsia="zh-CN" w:bidi="ar-SA"/>
        </w:rPr>
      </w:pPr>
      <w:r>
        <w:rPr>
          <w:rFonts w:hint="eastAsia" w:ascii="宋体" w:hAnsi="宋体" w:cs="宋体"/>
          <w:color w:val="000000" w:themeColor="text1"/>
          <w:sz w:val="24"/>
          <w:shd w:val="clear" w:color="auto" w:fill="FFFFFF"/>
          <w:lang w:eastAsia="zh-CN"/>
          <w14:textFill>
            <w14:solidFill>
              <w14:schemeClr w14:val="tx1"/>
            </w14:solidFill>
          </w14:textFill>
        </w:rPr>
        <w:t>④</w:t>
      </w:r>
      <w:r>
        <w:rPr>
          <w:rFonts w:hint="eastAsia" w:ascii="Calibri" w:hAnsi="Calibri" w:eastAsia="宋体" w:cs="Times New Roman"/>
          <w:color w:val="auto"/>
          <w:kern w:val="2"/>
          <w:sz w:val="24"/>
          <w:szCs w:val="24"/>
          <w:lang w:val="en-US" w:eastAsia="zh-CN" w:bidi="ar-SA"/>
        </w:rPr>
        <w:t>具有依法缴纳税收和社会保障资金的良好记录。</w:t>
      </w:r>
    </w:p>
    <w:p>
      <w:pPr>
        <w:pStyle w:val="4"/>
        <w:spacing w:line="560" w:lineRule="exact"/>
        <w:ind w:firstLine="240" w:firstLineChars="10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具体要求：提供近半年任意三个月依法缴纳税收及社保的有效证明材料，新成立不足一个月的公司纳税，社保可以不提供；</w:t>
      </w:r>
    </w:p>
    <w:p>
      <w:pPr>
        <w:pStyle w:val="4"/>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cs="宋体"/>
          <w:color w:val="000000" w:themeColor="text1"/>
          <w:sz w:val="24"/>
          <w:shd w:val="clear" w:color="auto" w:fill="FFFFFF"/>
          <w:lang w:eastAsia="zh-CN"/>
          <w14:textFill>
            <w14:solidFill>
              <w14:schemeClr w14:val="tx1"/>
            </w14:solidFill>
          </w14:textFill>
        </w:rPr>
      </w:pPr>
      <w:r>
        <w:rPr>
          <w:rFonts w:hint="eastAsia" w:ascii="宋体" w:hAnsi="宋体" w:cs="宋体"/>
          <w:color w:val="000000" w:themeColor="text1"/>
          <w:sz w:val="24"/>
          <w:shd w:val="clear" w:color="auto" w:fill="FFFFFF"/>
          <w:lang w:eastAsia="zh-CN"/>
          <w14:textFill>
            <w14:solidFill>
              <w14:schemeClr w14:val="tx1"/>
            </w14:solidFill>
          </w14:textFill>
        </w:rPr>
        <w:t>⑤参加本次政府采购活动前三年内，在经营活动中没有违法违规记录：提供参加政府采购活动前 3 年内在经营活动中没有重大违法记录的书面声明（</w:t>
      </w:r>
      <w:r>
        <w:rPr>
          <w:rFonts w:hint="eastAsia" w:hAnsi="宋体" w:cs="宋体"/>
          <w:color w:val="000000" w:themeColor="text1"/>
          <w:sz w:val="24"/>
          <w:shd w:val="clear" w:color="auto" w:fill="FFFFFF"/>
          <w:lang w:eastAsia="zh-CN"/>
          <w14:textFill>
            <w14:solidFill>
              <w14:schemeClr w14:val="tx1"/>
            </w14:solidFill>
          </w14:textFill>
        </w:rPr>
        <w:t>格式自拟</w:t>
      </w:r>
      <w:r>
        <w:rPr>
          <w:rFonts w:hint="eastAsia" w:ascii="宋体" w:hAnsi="宋体" w:cs="宋体"/>
          <w:color w:val="000000" w:themeColor="text1"/>
          <w:sz w:val="24"/>
          <w:shd w:val="clear" w:color="auto" w:fill="FFFFFF"/>
          <w:lang w:eastAsia="zh-CN"/>
          <w14:textFill>
            <w14:solidFill>
              <w14:schemeClr w14:val="tx1"/>
            </w14:solidFill>
          </w14:textFill>
        </w:rPr>
        <w:t>）；</w:t>
      </w:r>
    </w:p>
    <w:p>
      <w:pPr>
        <w:pStyle w:val="2"/>
        <w:spacing w:before="73" w:line="312" w:lineRule="auto"/>
        <w:ind w:right="315" w:firstLine="480" w:firstLineChars="200"/>
        <w:jc w:val="both"/>
        <w:rPr>
          <w:rFonts w:hint="eastAsia" w:ascii="宋体" w:hAnsi="宋体" w:cs="宋体" w:eastAsiaTheme="minorEastAsia"/>
          <w:color w:val="auto"/>
          <w:kern w:val="0"/>
          <w:sz w:val="24"/>
          <w:szCs w:val="20"/>
          <w:shd w:val="clear" w:color="auto" w:fill="FFFFFF"/>
          <w:lang w:val="en-US" w:eastAsia="zh-CN" w:bidi="ar-SA"/>
        </w:rPr>
      </w:pP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⑥供应商不得为“信用中国”网站（</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begin"/>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instrText xml:space="preserve"> HYPERLINK "http://www.creditchina.gov.cn/" </w:instrTex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separate"/>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www.creditchina.gov.cn</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end"/>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），政府采购严重违法失信行为记录名单（</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begin"/>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instrText xml:space="preserve"> HYPERLINK "http://www.ccgp.gov.cn/search/cr/" </w:instrTex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separate"/>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http://www.ccgp.gov.cn/search/cr/</w:t>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fldChar w:fldCharType="end"/>
      </w:r>
      <w:r>
        <w:rPr>
          <w:rFonts w:hint="eastAsia" w:ascii="宋体" w:hAnsi="宋体" w:cs="宋体" w:eastAsiaTheme="minorEastAsia"/>
          <w:color w:val="000000" w:themeColor="text1"/>
          <w:kern w:val="0"/>
          <w:sz w:val="24"/>
          <w:szCs w:val="20"/>
          <w:shd w:val="clear" w:color="auto" w:fill="FFFFFF"/>
          <w:lang w:val="en-US" w:eastAsia="zh-CN" w:bidi="ar-SA"/>
          <w14:textFill>
            <w14:solidFill>
              <w14:schemeClr w14:val="tx1"/>
            </w14:solidFill>
          </w14:textFill>
        </w:rPr>
        <w:t>）查询的信用记录情况（对列入失信被执行人、重大税收违法案件当事人名单、政府采购严重违法失信行为记录名单的供应商，如查询结果显示“没查到您要的信息”，视为没有上述三类不良信用记录。）查询截止时间：购买标书当日至开标前一天任一时间；信用信息查询记录和证据留存方式：投标人提供查</w:t>
      </w:r>
      <w:r>
        <w:rPr>
          <w:rFonts w:hint="eastAsia" w:ascii="宋体" w:hAnsi="宋体" w:cs="宋体" w:eastAsiaTheme="minorEastAsia"/>
          <w:color w:val="auto"/>
          <w:kern w:val="0"/>
          <w:sz w:val="24"/>
          <w:szCs w:val="20"/>
          <w:shd w:val="clear" w:color="auto" w:fill="FFFFFF"/>
          <w:lang w:val="en-US" w:eastAsia="zh-CN" w:bidi="ar-SA"/>
        </w:rPr>
        <w:t>询记录截图</w:t>
      </w:r>
      <w:r>
        <w:rPr>
          <w:rFonts w:hint="eastAsia" w:ascii="宋体" w:hAnsi="宋体" w:cs="宋体"/>
          <w:color w:val="auto"/>
          <w:kern w:val="0"/>
          <w:sz w:val="24"/>
          <w:szCs w:val="20"/>
          <w:shd w:val="clear" w:color="auto" w:fill="FFFFFF"/>
          <w:lang w:val="en-US" w:eastAsia="zh-CN" w:bidi="ar-SA"/>
        </w:rPr>
        <w:t>，如在上述名单中的供应商取消其谈判资格</w:t>
      </w:r>
      <w:r>
        <w:rPr>
          <w:rFonts w:hint="eastAsia" w:ascii="宋体" w:hAnsi="宋体" w:cs="宋体" w:eastAsiaTheme="minorEastAsia"/>
          <w:color w:val="auto"/>
          <w:kern w:val="0"/>
          <w:sz w:val="24"/>
          <w:szCs w:val="20"/>
          <w:shd w:val="clear" w:color="auto" w:fill="FFFFFF"/>
          <w:lang w:val="en-US" w:eastAsia="zh-CN" w:bidi="ar-SA"/>
        </w:rPr>
        <w:t>。</w:t>
      </w:r>
    </w:p>
    <w:p>
      <w:pPr>
        <w:pStyle w:val="4"/>
        <w:keepNext w:val="0"/>
        <w:keepLines w:val="0"/>
        <w:pageBreakBefore w:val="0"/>
        <w:widowControl w:val="0"/>
        <w:kinsoku/>
        <w:wordWrap/>
        <w:overflowPunct/>
        <w:topLinePunct w:val="0"/>
        <w:autoSpaceDE/>
        <w:autoSpaceDN/>
        <w:bidi w:val="0"/>
        <w:spacing w:line="560" w:lineRule="exact"/>
        <w:ind w:firstLine="241" w:firstLineChars="100"/>
        <w:textAlignment w:val="auto"/>
        <w:rPr>
          <w:rFonts w:hint="eastAsia" w:hAnsi="宋体" w:cs="宋体" w:eastAsiaTheme="minorEastAsia"/>
          <w:b/>
          <w:bCs w:val="0"/>
          <w:color w:val="auto"/>
          <w:sz w:val="24"/>
          <w:szCs w:val="24"/>
          <w:lang w:eastAsia="zh-CN"/>
        </w:rPr>
      </w:pPr>
      <w:r>
        <w:rPr>
          <w:rFonts w:hint="eastAsia" w:hAnsi="宋体" w:cs="宋体"/>
          <w:b/>
          <w:bCs w:val="0"/>
          <w:color w:val="auto"/>
          <w:sz w:val="24"/>
          <w:szCs w:val="24"/>
          <w:lang w:eastAsia="zh-CN"/>
        </w:rPr>
        <w:t>特殊资格要求：</w:t>
      </w:r>
    </w:p>
    <w:p>
      <w:pPr>
        <w:pStyle w:val="4"/>
        <w:keepNext w:val="0"/>
        <w:keepLines w:val="0"/>
        <w:pageBreakBefore w:val="0"/>
        <w:widowControl w:val="0"/>
        <w:kinsoku/>
        <w:wordWrap/>
        <w:overflowPunct/>
        <w:topLinePunct w:val="0"/>
        <w:autoSpaceDE/>
        <w:autoSpaceDN/>
        <w:bidi w:val="0"/>
        <w:spacing w:line="560" w:lineRule="exact"/>
        <w:ind w:firstLine="590" w:firstLineChars="246"/>
        <w:textAlignment w:val="auto"/>
        <w:rPr>
          <w:rFonts w:ascii="宋体" w:hAnsi="宋体" w:eastAsia="宋体" w:cs="宋体"/>
          <w:color w:val="auto"/>
          <w:sz w:val="24"/>
          <w:szCs w:val="24"/>
        </w:rPr>
      </w:pPr>
      <w:r>
        <w:rPr>
          <w:rFonts w:hint="eastAsia" w:ascii="宋体" w:hAnsi="宋体" w:cs="宋体" w:eastAsiaTheme="minorEastAsia"/>
          <w:color w:val="auto"/>
          <w:kern w:val="0"/>
          <w:sz w:val="24"/>
          <w:szCs w:val="20"/>
          <w:shd w:val="clear" w:color="auto" w:fill="FFFFFF"/>
          <w:lang w:val="en-US" w:eastAsia="zh-CN" w:bidi="ar-SA"/>
        </w:rPr>
        <w:t>⑦</w:t>
      </w:r>
      <w:r>
        <w:rPr>
          <w:rFonts w:hint="eastAsia" w:hAnsi="宋体" w:eastAsia="宋体" w:cs="宋体"/>
          <w:color w:val="auto"/>
          <w:sz w:val="24"/>
          <w:szCs w:val="24"/>
          <w:lang w:eastAsia="zh-CN"/>
        </w:rPr>
        <w:t>供应商</w:t>
      </w:r>
      <w:r>
        <w:rPr>
          <w:rFonts w:ascii="宋体" w:hAnsi="宋体" w:eastAsia="宋体" w:cs="宋体"/>
          <w:color w:val="auto"/>
          <w:sz w:val="24"/>
          <w:szCs w:val="24"/>
        </w:rPr>
        <w:t>为制造商的需提供医疗器械生产许可证，</w:t>
      </w:r>
      <w:r>
        <w:rPr>
          <w:rFonts w:hint="eastAsia" w:hAnsi="宋体" w:eastAsia="宋体" w:cs="宋体"/>
          <w:color w:val="auto"/>
          <w:sz w:val="24"/>
          <w:szCs w:val="24"/>
          <w:lang w:eastAsia="zh-CN"/>
        </w:rPr>
        <w:t>供应商</w:t>
      </w:r>
      <w:r>
        <w:rPr>
          <w:rFonts w:ascii="宋体" w:hAnsi="宋体" w:eastAsia="宋体" w:cs="宋体"/>
          <w:color w:val="auto"/>
          <w:sz w:val="24"/>
          <w:szCs w:val="24"/>
        </w:rPr>
        <w:t>为代理商的须提供医疗器械经营许可证或医疗器械经营许可备案证明；</w:t>
      </w:r>
    </w:p>
    <w:p>
      <w:pPr>
        <w:pStyle w:val="4"/>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eastAsia" w:ascii="宋体" w:hAnsi="宋体" w:eastAsia="宋体" w:cs="宋体"/>
          <w:color w:val="auto"/>
          <w:sz w:val="24"/>
          <w:szCs w:val="24"/>
          <w:lang w:eastAsia="zh-CN"/>
        </w:rPr>
      </w:pPr>
      <w:r>
        <w:rPr>
          <w:rFonts w:hint="eastAsia" w:hAnsi="宋体" w:cs="宋体"/>
          <w:bCs/>
          <w:color w:val="auto"/>
          <w:sz w:val="24"/>
          <w:szCs w:val="24"/>
          <w:lang w:eastAsia="zh-CN"/>
        </w:rPr>
        <w:t>⑧</w:t>
      </w:r>
      <w:r>
        <w:rPr>
          <w:rFonts w:ascii="宋体" w:hAnsi="宋体" w:eastAsia="宋体" w:cs="宋体"/>
          <w:color w:val="auto"/>
          <w:sz w:val="24"/>
          <w:szCs w:val="24"/>
        </w:rPr>
        <w:t>投标产品为医疗器械的须提供医疗器械注册登记表</w:t>
      </w:r>
      <w:r>
        <w:rPr>
          <w:rFonts w:hint="eastAsia" w:hAnsi="宋体" w:eastAsia="宋体" w:cs="宋体"/>
          <w:color w:val="auto"/>
          <w:sz w:val="24"/>
          <w:szCs w:val="24"/>
          <w:lang w:eastAsia="zh-CN"/>
        </w:rPr>
        <w:t>；</w:t>
      </w:r>
    </w:p>
    <w:p>
      <w:pPr>
        <w:pStyle w:val="4"/>
        <w:keepNext w:val="0"/>
        <w:keepLines w:val="0"/>
        <w:pageBreakBefore w:val="0"/>
        <w:widowControl w:val="0"/>
        <w:kinsoku/>
        <w:wordWrap/>
        <w:overflowPunct/>
        <w:topLinePunct w:val="0"/>
        <w:autoSpaceDE/>
        <w:autoSpaceDN/>
        <w:bidi w:val="0"/>
        <w:spacing w:line="560" w:lineRule="exact"/>
        <w:ind w:firstLine="590" w:firstLineChars="246"/>
        <w:textAlignment w:val="auto"/>
        <w:rPr>
          <w:rFonts w:hint="default" w:hAnsi="宋体" w:cs="宋体"/>
          <w:bCs/>
          <w:color w:val="auto"/>
          <w:sz w:val="24"/>
          <w:szCs w:val="24"/>
          <w:lang w:val="en-US" w:eastAsia="zh-CN"/>
        </w:rPr>
      </w:pPr>
    </w:p>
    <w:p>
      <w:pPr>
        <w:pStyle w:val="4"/>
        <w:keepNext w:val="0"/>
        <w:keepLines w:val="0"/>
        <w:pageBreakBefore w:val="0"/>
        <w:widowControl w:val="0"/>
        <w:kinsoku/>
        <w:wordWrap/>
        <w:overflowPunct/>
        <w:topLinePunct w:val="0"/>
        <w:autoSpaceDE/>
        <w:autoSpaceDN/>
        <w:bidi w:val="0"/>
        <w:spacing w:line="560" w:lineRule="exact"/>
        <w:ind w:firstLine="361" w:firstLineChars="150"/>
        <w:jc w:val="left"/>
        <w:textAlignment w:val="auto"/>
        <w:rPr>
          <w:rFonts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 xml:space="preserve"> </w:t>
      </w:r>
      <w:r>
        <w:rPr>
          <w:rFonts w:hint="eastAsia" w:hAnsi="宋体"/>
          <w:b/>
          <w:color w:val="000000" w:themeColor="text1"/>
          <w:sz w:val="24"/>
          <w:szCs w:val="24"/>
          <w:lang w:val="en-US" w:eastAsia="zh-CN"/>
          <w14:textFill>
            <w14:solidFill>
              <w14:schemeClr w14:val="tx1"/>
            </w14:solidFill>
          </w14:textFill>
        </w:rPr>
        <w:t>11</w:t>
      </w:r>
      <w:r>
        <w:rPr>
          <w:rFonts w:hint="eastAsia" w:hAnsi="宋体"/>
          <w:b/>
          <w:color w:val="000000" w:themeColor="text1"/>
          <w:sz w:val="24"/>
          <w:szCs w:val="24"/>
          <w14:textFill>
            <w14:solidFill>
              <w14:schemeClr w14:val="tx1"/>
            </w14:solidFill>
          </w14:textFill>
        </w:rPr>
        <w:t>、开标时须提供的</w:t>
      </w:r>
      <w:r>
        <w:rPr>
          <w:rFonts w:hint="eastAsia" w:hAnsi="宋体"/>
          <w:b/>
          <w:color w:val="000000" w:themeColor="text1"/>
          <w:sz w:val="24"/>
          <w:szCs w:val="24"/>
          <w:lang w:eastAsia="zh-CN"/>
          <w14:textFill>
            <w14:solidFill>
              <w14:schemeClr w14:val="tx1"/>
            </w14:solidFill>
          </w14:textFill>
        </w:rPr>
        <w:t>资料</w:t>
      </w:r>
      <w:r>
        <w:rPr>
          <w:rFonts w:hint="eastAsia" w:hAnsi="宋体"/>
          <w:b/>
          <w:color w:val="000000" w:themeColor="text1"/>
          <w:sz w:val="24"/>
          <w:szCs w:val="24"/>
          <w14:textFill>
            <w14:solidFill>
              <w14:schemeClr w14:val="tx1"/>
            </w14:solidFill>
          </w14:textFill>
        </w:rPr>
        <w:t>：</w:t>
      </w:r>
    </w:p>
    <w:p>
      <w:pPr>
        <w:pStyle w:val="2"/>
        <w:ind w:firstLine="720" w:firstLineChars="300"/>
        <w:rPr>
          <w:rFonts w:hint="eastAsia" w:ascii="宋体" w:hAnsi="宋体" w:cs="宋体"/>
          <w:color w:val="auto"/>
          <w:kern w:val="0"/>
          <w:sz w:val="24"/>
          <w:szCs w:val="24"/>
        </w:rPr>
      </w:pPr>
      <w:r>
        <w:rPr>
          <w:rFonts w:hint="eastAsia" w:ascii="宋体" w:hAnsi="宋体" w:eastAsiaTheme="minorEastAsia" w:cstheme="minorBidi"/>
          <w:color w:val="auto"/>
          <w:kern w:val="0"/>
          <w:sz w:val="24"/>
          <w:szCs w:val="24"/>
          <w:lang w:val="en-US" w:eastAsia="zh-CN" w:bidi="ar-SA"/>
        </w:rPr>
        <w:t>（1）有效的营</w:t>
      </w:r>
      <w:r>
        <w:rPr>
          <w:rFonts w:hint="eastAsia" w:ascii="宋体" w:hAnsi="宋体" w:cs="宋体"/>
          <w:color w:val="auto"/>
          <w:sz w:val="24"/>
        </w:rPr>
        <w:t>业执照</w:t>
      </w:r>
      <w:r>
        <w:rPr>
          <w:rFonts w:hint="eastAsia" w:ascii="宋体" w:hAnsi="宋体" w:cs="宋体"/>
          <w:color w:val="auto"/>
          <w:kern w:val="0"/>
          <w:sz w:val="24"/>
          <w:szCs w:val="24"/>
        </w:rPr>
        <w:t>（三证合一）</w:t>
      </w:r>
      <w:r>
        <w:rPr>
          <w:rFonts w:hint="eastAsia" w:hAnsi="宋体" w:cs="宋体"/>
          <w:color w:val="000000" w:themeColor="text1"/>
          <w:sz w:val="24"/>
          <w:shd w:val="clear" w:color="auto" w:fill="FFFFFF"/>
          <w:lang w:eastAsia="zh-CN"/>
          <w14:textFill>
            <w14:solidFill>
              <w14:schemeClr w14:val="tx1"/>
            </w14:solidFill>
          </w14:textFill>
        </w:rPr>
        <w:t>（复印件加盖公章）</w:t>
      </w:r>
    </w:p>
    <w:p>
      <w:pPr>
        <w:pStyle w:val="4"/>
        <w:keepNext w:val="0"/>
        <w:keepLines w:val="0"/>
        <w:pageBreakBefore w:val="0"/>
        <w:widowControl w:val="0"/>
        <w:kinsoku/>
        <w:wordWrap/>
        <w:overflowPunct/>
        <w:topLinePunct w:val="0"/>
        <w:autoSpaceDE/>
        <w:autoSpaceDN/>
        <w:bidi w:val="0"/>
        <w:spacing w:line="560" w:lineRule="exact"/>
        <w:ind w:firstLine="600" w:firstLineChars="250"/>
        <w:jc w:val="left"/>
        <w:textAlignment w:val="auto"/>
        <w:outlineLvl w:val="0"/>
        <w:rPr>
          <w:rFonts w:hint="eastAsia" w:hAnsi="宋体" w:cs="宋体"/>
          <w:bCs/>
          <w:color w:val="auto"/>
          <w:sz w:val="24"/>
          <w:szCs w:val="24"/>
          <w:lang w:eastAsia="zh-CN"/>
        </w:rPr>
      </w:pPr>
      <w:r>
        <w:rPr>
          <w:rFonts w:hint="eastAsia" w:hAnsi="宋体"/>
          <w:color w:val="auto"/>
          <w:sz w:val="24"/>
          <w:szCs w:val="24"/>
        </w:rPr>
        <w:t>（2）</w:t>
      </w:r>
      <w:r>
        <w:rPr>
          <w:rFonts w:hint="eastAsia" w:ascii="宋体" w:hAnsi="宋体"/>
          <w:color w:val="auto"/>
          <w:sz w:val="24"/>
        </w:rPr>
        <w:t>法定代表人出席开标会的出示</w:t>
      </w:r>
      <w:r>
        <w:rPr>
          <w:rFonts w:ascii="宋体" w:hAnsi="宋体"/>
          <w:color w:val="auto"/>
          <w:sz w:val="24"/>
        </w:rPr>
        <w:t>法定代表人身份证明及身份证原</w:t>
      </w:r>
      <w:r>
        <w:rPr>
          <w:rFonts w:hint="eastAsia" w:ascii="宋体" w:hAnsi="宋体"/>
          <w:color w:val="auto"/>
          <w:sz w:val="24"/>
        </w:rPr>
        <w:t>件；委托代理人</w:t>
      </w:r>
      <w:r>
        <w:rPr>
          <w:rFonts w:hint="eastAsia" w:hAnsi="宋体" w:cs="宋体"/>
          <w:bCs/>
          <w:color w:val="auto"/>
          <w:sz w:val="24"/>
          <w:szCs w:val="24"/>
          <w:lang w:eastAsia="zh-CN"/>
        </w:rPr>
        <w:t>出席开标会的出示授权委托书和身份证原件；</w:t>
      </w:r>
    </w:p>
    <w:p>
      <w:pPr>
        <w:pStyle w:val="4"/>
        <w:keepNext w:val="0"/>
        <w:keepLines w:val="0"/>
        <w:pageBreakBefore w:val="0"/>
        <w:widowControl w:val="0"/>
        <w:kinsoku/>
        <w:wordWrap/>
        <w:overflowPunct/>
        <w:topLinePunct w:val="0"/>
        <w:autoSpaceDE/>
        <w:autoSpaceDN/>
        <w:bidi w:val="0"/>
        <w:spacing w:line="560" w:lineRule="exact"/>
        <w:ind w:firstLine="600" w:firstLineChars="250"/>
        <w:jc w:val="left"/>
        <w:textAlignment w:val="auto"/>
        <w:outlineLvl w:val="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提供</w:t>
      </w:r>
      <w:r>
        <w:rPr>
          <w:rFonts w:hint="eastAsia" w:ascii="宋体" w:hAnsi="宋体"/>
          <w:color w:val="auto"/>
          <w:sz w:val="24"/>
          <w:lang w:eastAsia="zh-CN"/>
        </w:rPr>
        <w:t>近半年任意三个月的财务报表，</w:t>
      </w:r>
      <w:r>
        <w:rPr>
          <w:rFonts w:hint="eastAsia" w:ascii="宋体" w:hAnsi="宋体"/>
          <w:color w:val="auto"/>
          <w:sz w:val="24"/>
        </w:rPr>
        <w:t>企业提供的财务报表（含资产负债表、利润及利润分配表、现金流量表和财务报表附注）；（新成立的公司</w:t>
      </w:r>
      <w:r>
        <w:rPr>
          <w:rFonts w:hint="eastAsia" w:ascii="宋体" w:hAnsi="宋体"/>
          <w:color w:val="auto"/>
          <w:sz w:val="24"/>
          <w:lang w:val="en-US" w:eastAsia="zh-CN"/>
        </w:rPr>
        <w:t>提供三个月财务报表或者银行资信证明，新成立不足一个月的公司可以不提供</w:t>
      </w:r>
      <w:r>
        <w:rPr>
          <w:rFonts w:hint="eastAsia" w:ascii="宋体" w:hAnsi="宋体"/>
          <w:color w:val="auto"/>
          <w:sz w:val="24"/>
        </w:rPr>
        <w:t>）</w:t>
      </w:r>
      <w:r>
        <w:rPr>
          <w:rFonts w:hint="eastAsia" w:ascii="宋体" w:hAnsi="宋体"/>
          <w:color w:val="auto"/>
          <w:sz w:val="24"/>
          <w:lang w:eastAsia="zh-CN"/>
        </w:rPr>
        <w:t>（复印件加盖公章）</w:t>
      </w:r>
      <w:r>
        <w:rPr>
          <w:rFonts w:hint="eastAsia" w:ascii="宋体" w:hAnsi="宋体"/>
          <w:color w:val="auto"/>
          <w:sz w:val="24"/>
        </w:rPr>
        <w:t>；</w:t>
      </w:r>
    </w:p>
    <w:p>
      <w:pPr>
        <w:pStyle w:val="4"/>
        <w:keepNext w:val="0"/>
        <w:keepLines w:val="0"/>
        <w:pageBreakBefore w:val="0"/>
        <w:widowControl w:val="0"/>
        <w:kinsoku/>
        <w:wordWrap/>
        <w:overflowPunct/>
        <w:topLinePunct w:val="0"/>
        <w:autoSpaceDE/>
        <w:autoSpaceDN/>
        <w:bidi w:val="0"/>
        <w:spacing w:line="560" w:lineRule="exact"/>
        <w:ind w:firstLine="600" w:firstLineChars="250"/>
        <w:jc w:val="left"/>
        <w:textAlignment w:val="auto"/>
        <w:outlineLvl w:val="0"/>
        <w:rPr>
          <w:rFonts w:hint="eastAsia" w:ascii="宋体" w:hAnsi="宋体"/>
          <w:color w:val="auto"/>
          <w:sz w:val="24"/>
          <w:lang w:val="en-US" w:eastAsia="zh-CN"/>
        </w:rPr>
      </w:pPr>
      <w:r>
        <w:rPr>
          <w:rFonts w:hint="eastAsia" w:ascii="宋体" w:hAnsi="宋体"/>
          <w:color w:val="auto"/>
          <w:sz w:val="24"/>
          <w:lang w:val="en-US" w:eastAsia="zh-CN"/>
        </w:rPr>
        <w:t>（4）提供近半年任意三个月依法缴纳税收及社保的有效证明材料，新成立不足一个月的公司纳税，社保可以不提供</w:t>
      </w:r>
      <w:r>
        <w:rPr>
          <w:rFonts w:hint="eastAsia" w:ascii="宋体" w:hAnsi="宋体"/>
          <w:color w:val="auto"/>
          <w:sz w:val="24"/>
          <w:lang w:eastAsia="zh-CN"/>
        </w:rPr>
        <w:t>（复印件加盖公章）</w:t>
      </w:r>
      <w:r>
        <w:rPr>
          <w:rFonts w:hint="eastAsia" w:ascii="宋体" w:hAnsi="宋体"/>
          <w:color w:val="auto"/>
          <w:sz w:val="24"/>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83AD0"/>
    <w:rsid w:val="2DD8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kern w:val="0"/>
      <w:sz w:val="20"/>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2020-09-14T08:34:00Z</dcterms:created>
  <dc:creator>Administrator</dc:creator>
  <cp:lastModifiedBy>Administrator</cp:lastModifiedBy>
  <dcterms:modified xsi:type="dcterms:W3CDTF">2020-09-14T08:34:42Z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