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color w:val="000000"/>
          <w:sz w:val="24"/>
          <w:szCs w:val="24"/>
          <w:u w:val="single"/>
        </w:rPr>
      </w:pPr>
      <w:r>
        <w:rPr>
          <w:rFonts w:hint="eastAsia" w:ascii="宋体" w:hAnsi="宋体"/>
          <w:b/>
          <w:bCs/>
          <w:color w:val="000000"/>
          <w:sz w:val="24"/>
          <w:szCs w:val="24"/>
          <w:u w:val="single"/>
        </w:rPr>
        <w:t>磋商供应商须知前附表2:资格性、符合性检查表</w:t>
      </w:r>
    </w:p>
    <w:p>
      <w:pPr>
        <w:spacing w:line="360" w:lineRule="auto"/>
        <w:ind w:firstLine="495"/>
        <w:rPr>
          <w:rFonts w:ascii="宋体" w:hAnsi="宋体"/>
          <w:color w:val="000000"/>
          <w:sz w:val="24"/>
          <w:szCs w:val="24"/>
        </w:rPr>
      </w:pPr>
      <w:r>
        <w:rPr>
          <w:rFonts w:hint="eastAsia" w:ascii="宋体" w:hAnsi="宋体"/>
          <w:color w:val="000000"/>
          <w:sz w:val="24"/>
          <w:szCs w:val="24"/>
        </w:rPr>
        <w:t>本须知前附表2集中列示了资格性、符合性检查的所有条款，其内容是磋商小组判断磋商供应商的报价是否有效的重要依据。</w:t>
      </w:r>
    </w:p>
    <w:tbl>
      <w:tblPr>
        <w:tblStyle w:val="5"/>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2"/>
        <w:gridCol w:w="345"/>
        <w:gridCol w:w="142"/>
        <w:gridCol w:w="850"/>
        <w:gridCol w:w="142"/>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7"/>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b/>
                <w:color w:val="000000"/>
                <w:sz w:val="24"/>
                <w:szCs w:val="24"/>
              </w:rPr>
            </w:pPr>
            <w:r>
              <w:rPr>
                <w:rFonts w:hint="eastAsia" w:ascii="宋体" w:hAnsi="宋体"/>
                <w:b/>
                <w:color w:val="000000"/>
                <w:sz w:val="24"/>
                <w:szCs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项号</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 w:val="24"/>
                <w:szCs w:val="24"/>
              </w:rPr>
            </w:pPr>
            <w:r>
              <w:rPr>
                <w:rFonts w:hint="eastAsia" w:ascii="宋体" w:hAnsi="宋体"/>
                <w:color w:val="000000"/>
                <w:sz w:val="24"/>
                <w:szCs w:val="24"/>
              </w:rPr>
              <w:t>章</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条款号</w:t>
            </w:r>
          </w:p>
        </w:tc>
        <w:tc>
          <w:tcPr>
            <w:tcW w:w="70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sz w:val="24"/>
                <w:szCs w:val="24"/>
              </w:rPr>
            </w:pPr>
            <w:r>
              <w:rPr>
                <w:rFonts w:hint="eastAsia" w:ascii="宋体" w:hAnsi="宋体"/>
                <w:color w:val="000000"/>
                <w:sz w:val="24"/>
                <w:szCs w:val="24"/>
              </w:rPr>
              <w:t>1</w:t>
            </w:r>
          </w:p>
        </w:tc>
        <w:tc>
          <w:tcPr>
            <w:tcW w:w="567"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r>
              <w:rPr>
                <w:rFonts w:hint="eastAsia" w:ascii="宋体" w:hAnsi="宋体"/>
                <w:color w:val="000000"/>
                <w:sz w:val="24"/>
                <w:szCs w:val="24"/>
              </w:rPr>
              <w:t>二</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3</w:t>
            </w:r>
          </w:p>
        </w:tc>
        <w:tc>
          <w:tcPr>
            <w:tcW w:w="7088"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r>
              <w:rPr>
                <w:rFonts w:hint="eastAsia" w:ascii="宋体" w:hAnsi="宋体"/>
                <w:color w:val="000000"/>
                <w:sz w:val="24"/>
                <w:szCs w:val="24"/>
              </w:rPr>
              <w:t>合格的磋商供应商</w:t>
            </w:r>
          </w:p>
          <w:p>
            <w:pPr>
              <w:spacing w:line="360" w:lineRule="auto"/>
              <w:rPr>
                <w:rFonts w:ascii="宋体" w:hAnsi="宋体"/>
                <w:color w:val="000000"/>
                <w:sz w:val="24"/>
                <w:szCs w:val="24"/>
              </w:rPr>
            </w:pPr>
            <w:r>
              <w:rPr>
                <w:rFonts w:hint="eastAsia" w:ascii="宋体" w:hAnsi="宋体"/>
                <w:color w:val="000000"/>
                <w:sz w:val="24"/>
                <w:szCs w:val="24"/>
              </w:rPr>
              <w:t>具体内容详见第二章第3条“合格的磋商供应商”。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sz w:val="24"/>
                <w:szCs w:val="24"/>
              </w:rPr>
            </w:pPr>
            <w:r>
              <w:rPr>
                <w:rFonts w:hint="eastAsia" w:ascii="宋体" w:hAnsi="宋体"/>
                <w:color w:val="000000"/>
                <w:sz w:val="24"/>
                <w:szCs w:val="24"/>
              </w:rPr>
              <w:t>2</w:t>
            </w:r>
          </w:p>
        </w:tc>
        <w:tc>
          <w:tcPr>
            <w:tcW w:w="567"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p>
        </w:tc>
        <w:tc>
          <w:tcPr>
            <w:tcW w:w="7088"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r>
              <w:rPr>
                <w:rFonts w:hint="eastAsia" w:ascii="宋体" w:hAnsi="宋体"/>
                <w:color w:val="000000"/>
                <w:sz w:val="24"/>
                <w:szCs w:val="24"/>
              </w:rPr>
              <w:t>磋商代表若不是法定代表人，则必须提供法定代表人对磋商代表的授权书原件及磋商代表的身份证原件及复印件（正反面均需复印）。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sz w:val="24"/>
                <w:szCs w:val="24"/>
              </w:rPr>
            </w:pPr>
            <w:r>
              <w:rPr>
                <w:rFonts w:hint="eastAsia" w:ascii="宋体" w:hAnsi="宋体"/>
                <w:color w:val="000000"/>
                <w:sz w:val="24"/>
                <w:szCs w:val="24"/>
              </w:rPr>
              <w:t>3</w:t>
            </w:r>
          </w:p>
        </w:tc>
        <w:tc>
          <w:tcPr>
            <w:tcW w:w="567"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r>
              <w:rPr>
                <w:rFonts w:hint="eastAsia" w:ascii="宋体" w:hAnsi="宋体"/>
                <w:color w:val="000000"/>
                <w:sz w:val="24"/>
                <w:szCs w:val="24"/>
              </w:rPr>
              <w:t>二</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3.1</w:t>
            </w:r>
          </w:p>
        </w:tc>
        <w:tc>
          <w:tcPr>
            <w:tcW w:w="7088" w:type="dxa"/>
            <w:gridSpan w:val="2"/>
            <w:tcBorders>
              <w:top w:val="single" w:color="auto" w:sz="4" w:space="0"/>
              <w:left w:val="single" w:color="auto" w:sz="4" w:space="0"/>
              <w:bottom w:val="single" w:color="auto" w:sz="4" w:space="0"/>
              <w:right w:val="single" w:color="auto" w:sz="4" w:space="0"/>
            </w:tcBorders>
            <w:noWrap w:val="0"/>
            <w:vAlign w:val="top"/>
          </w:tcPr>
          <w:p>
            <w:pPr>
              <w:pStyle w:val="7"/>
              <w:spacing w:line="360" w:lineRule="auto"/>
              <w:rPr>
                <w:color w:val="000000"/>
              </w:rPr>
            </w:pPr>
            <w:r>
              <w:rPr>
                <w:color w:val="000000"/>
              </w:rPr>
              <w:t>参加政府采购活动的</w:t>
            </w:r>
            <w:r>
              <w:rPr>
                <w:rFonts w:hint="eastAsia"/>
                <w:color w:val="000000"/>
              </w:rPr>
              <w:t>磋商供应商</w:t>
            </w:r>
            <w:r>
              <w:rPr>
                <w:color w:val="000000"/>
              </w:rPr>
              <w:t>应当具备《中华人民共和国政府采购法》第二十二条第一款规定的条件，</w:t>
            </w:r>
            <w:r>
              <w:rPr>
                <w:rFonts w:hint="eastAsia"/>
                <w:color w:val="000000"/>
              </w:rPr>
              <w:t>并</w:t>
            </w:r>
            <w:r>
              <w:rPr>
                <w:color w:val="000000"/>
              </w:rPr>
              <w:t>提供下列材料：</w:t>
            </w:r>
          </w:p>
          <w:p>
            <w:pPr>
              <w:pStyle w:val="7"/>
              <w:spacing w:line="360" w:lineRule="auto"/>
              <w:ind w:firstLine="352" w:firstLineChars="147"/>
              <w:rPr>
                <w:color w:val="000000"/>
              </w:rPr>
            </w:pPr>
            <w:r>
              <w:rPr>
                <w:rFonts w:hint="eastAsia"/>
                <w:color w:val="000000"/>
              </w:rPr>
              <w:t>（1）法人或者其他组织的营业执照等证明文件，自然人的身份证明；</w:t>
            </w:r>
          </w:p>
          <w:p>
            <w:pPr>
              <w:pStyle w:val="7"/>
              <w:spacing w:line="360" w:lineRule="auto"/>
              <w:ind w:firstLine="472" w:firstLineChars="197"/>
              <w:rPr>
                <w:color w:val="000000"/>
              </w:rPr>
            </w:pPr>
            <w:r>
              <w:rPr>
                <w:rFonts w:hint="eastAsia"/>
                <w:color w:val="000000"/>
              </w:rPr>
              <w:t>磋商供应商是法人或者其他组织的应提供营业执照等证明文件，磋商供应商是自然人的应提供有效的自然人身份证明。</w:t>
            </w:r>
          </w:p>
          <w:p>
            <w:pPr>
              <w:pStyle w:val="7"/>
              <w:spacing w:line="360" w:lineRule="auto"/>
              <w:rPr>
                <w:color w:val="000000"/>
              </w:rPr>
            </w:pPr>
            <w:r>
              <w:rPr>
                <w:color w:val="000000"/>
              </w:rPr>
              <w:t>（</w:t>
            </w:r>
            <w:r>
              <w:rPr>
                <w:rFonts w:hint="eastAsia"/>
                <w:color w:val="000000"/>
              </w:rPr>
              <w:t>2</w:t>
            </w:r>
            <w:r>
              <w:rPr>
                <w:color w:val="000000"/>
              </w:rPr>
              <w:t>）</w:t>
            </w:r>
            <w:r>
              <w:rPr>
                <w:rFonts w:hint="eastAsia"/>
                <w:color w:val="000000"/>
              </w:rPr>
              <w:t>最近一期（上一季度或年度）</w:t>
            </w:r>
            <w:r>
              <w:rPr>
                <w:color w:val="000000"/>
              </w:rPr>
              <w:t>财务状况报告</w:t>
            </w:r>
            <w:r>
              <w:rPr>
                <w:rFonts w:hint="eastAsia"/>
                <w:color w:val="000000"/>
              </w:rPr>
              <w:t>及</w:t>
            </w:r>
            <w:r>
              <w:rPr>
                <w:color w:val="000000"/>
              </w:rPr>
              <w:t>依法缴纳税收和</w:t>
            </w:r>
            <w:r>
              <w:rPr>
                <w:rFonts w:hint="eastAsia"/>
                <w:color w:val="000000"/>
              </w:rPr>
              <w:t>（近三个月）</w:t>
            </w:r>
            <w:r>
              <w:rPr>
                <w:color w:val="000000"/>
              </w:rPr>
              <w:t>社会保障资金的相关材料</w:t>
            </w:r>
            <w:r>
              <w:rPr>
                <w:rFonts w:hint="eastAsia"/>
                <w:color w:val="000000"/>
              </w:rPr>
              <w:t>；若磋商响应供应商因新注册成立等原因无法提供上述证明材料的，应在磋商响应文件中提交如实的情况说明</w:t>
            </w:r>
            <w:r>
              <w:rPr>
                <w:color w:val="000000"/>
              </w:rPr>
              <w:t>；</w:t>
            </w:r>
          </w:p>
          <w:p>
            <w:pPr>
              <w:pStyle w:val="7"/>
              <w:spacing w:line="360" w:lineRule="auto"/>
              <w:rPr>
                <w:color w:val="000000"/>
              </w:rPr>
            </w:pPr>
            <w:r>
              <w:rPr>
                <w:rFonts w:hint="eastAsia"/>
                <w:color w:val="000000"/>
              </w:rPr>
              <w:t>财务状况报告指“四表一注”，即资产负债表、利润表、现金流量表、所有者权益变动表及其附注，或基本开户银行出具的资信证明。</w:t>
            </w:r>
          </w:p>
          <w:p>
            <w:pPr>
              <w:pStyle w:val="7"/>
              <w:spacing w:line="360" w:lineRule="auto"/>
              <w:rPr>
                <w:color w:val="000000"/>
              </w:rPr>
            </w:pPr>
            <w:r>
              <w:rPr>
                <w:rFonts w:hint="eastAsia"/>
                <w:color w:val="000000"/>
              </w:rPr>
              <w:t>依法缴纳税收和社会保障资金的证明材料主要是供应商税务登记证（国税、地税）、社会保险登记证及缴纳增值税、营业税和企业所得税的凭据，缴纳社会保险的凭据（专用收据或社会保险缴纳清单）。依法免税或不需要缴纳社会保障资金的供应商，应提供相应文件证明其依法免税或不需要缴纳社会保障资金。</w:t>
            </w:r>
          </w:p>
          <w:p>
            <w:pPr>
              <w:pStyle w:val="7"/>
              <w:spacing w:line="360" w:lineRule="auto"/>
              <w:rPr>
                <w:color w:val="000000"/>
              </w:rPr>
            </w:pPr>
            <w:r>
              <w:rPr>
                <w:rFonts w:hint="eastAsia"/>
                <w:color w:val="000000"/>
              </w:rPr>
              <w:t>磋商响应供应商若提供加载有统一社会信用代码的营业执照副本复印件的，视为已提供税务登记证和组织机构代码证。</w:t>
            </w:r>
          </w:p>
          <w:p>
            <w:pPr>
              <w:pStyle w:val="7"/>
              <w:spacing w:line="360" w:lineRule="auto"/>
              <w:rPr>
                <w:color w:val="000000"/>
              </w:rPr>
            </w:pPr>
            <w:r>
              <w:rPr>
                <w:rFonts w:hint="eastAsia"/>
                <w:color w:val="000000"/>
              </w:rPr>
              <w:t>根据《财政部关于印发&lt;小企业会计准则&gt;的通知》（财会〔2011〕17号）的规定，小企业的财务报表包括资产负债表、利润表、现金流量表及其附注，可以不含所有者权益变动表及其附注。</w:t>
            </w:r>
          </w:p>
          <w:p>
            <w:pPr>
              <w:pStyle w:val="7"/>
              <w:spacing w:line="360" w:lineRule="auto"/>
              <w:ind w:firstLine="0" w:firstLineChars="0"/>
              <w:rPr>
                <w:color w:val="000000"/>
              </w:rPr>
            </w:pPr>
            <w:r>
              <w:rPr>
                <w:rFonts w:hint="eastAsia"/>
                <w:color w:val="000000"/>
              </w:rPr>
              <w:t>（3）具备履行合同所必需的设备和专业技术能力的证明材料；</w:t>
            </w:r>
          </w:p>
          <w:p>
            <w:pPr>
              <w:pStyle w:val="7"/>
              <w:spacing w:line="360" w:lineRule="auto"/>
              <w:ind w:firstLine="0" w:firstLineChars="0"/>
              <w:rPr>
                <w:color w:val="000000"/>
              </w:rPr>
            </w:pPr>
            <w:r>
              <w:rPr>
                <w:color w:val="000000"/>
              </w:rPr>
              <w:t>（</w:t>
            </w:r>
            <w:r>
              <w:rPr>
                <w:rFonts w:hint="eastAsia"/>
                <w:color w:val="000000"/>
              </w:rPr>
              <w:t>4</w:t>
            </w:r>
            <w:r>
              <w:rPr>
                <w:color w:val="000000"/>
              </w:rPr>
              <w:t>）参加政府采购活动前3年内在经营活动中没有重大违法记录的书面声明；</w:t>
            </w:r>
          </w:p>
          <w:p>
            <w:pPr>
              <w:pStyle w:val="4"/>
              <w:keepNext w:val="0"/>
              <w:keepLines w:val="0"/>
              <w:pageBreakBefore w:val="0"/>
              <w:kinsoku/>
              <w:wordWrap/>
              <w:overflowPunct/>
              <w:topLinePunct w:val="0"/>
              <w:autoSpaceDE/>
              <w:autoSpaceDN/>
              <w:bidi w:val="0"/>
              <w:adjustRightInd/>
              <w:snapToGrid/>
              <w:spacing w:beforeAutospacing="0" w:afterAutospacing="0" w:line="380" w:lineRule="exact"/>
              <w:jc w:val="both"/>
              <w:textAlignment w:val="auto"/>
              <w:outlineLvl w:val="9"/>
              <w:rPr>
                <w:rFonts w:ascii="宋体" w:hAnsi="宋体" w:eastAsia="宋体" w:cs="宋体"/>
                <w:kern w:val="0"/>
                <w:sz w:val="24"/>
                <w:szCs w:val="24"/>
              </w:rPr>
            </w:pPr>
            <w:r>
              <w:rPr>
                <w:rFonts w:hint="eastAsia" w:eastAsia="宋体" w:cs="宋体"/>
                <w:b w:val="0"/>
                <w:i w:val="0"/>
                <w:caps w:val="0"/>
                <w:color w:val="333333"/>
                <w:spacing w:val="0"/>
                <w:kern w:val="2"/>
                <w:sz w:val="24"/>
                <w:szCs w:val="24"/>
                <w:shd w:val="clear" w:color="auto" w:fill="FFFFFF"/>
                <w:lang w:eastAsia="zh-CN"/>
              </w:rPr>
              <w:t>（</w:t>
            </w:r>
            <w:r>
              <w:rPr>
                <w:rFonts w:hint="eastAsia" w:eastAsia="宋体" w:cs="宋体"/>
                <w:b w:val="0"/>
                <w:i w:val="0"/>
                <w:caps w:val="0"/>
                <w:color w:val="333333"/>
                <w:spacing w:val="0"/>
                <w:kern w:val="2"/>
                <w:sz w:val="24"/>
                <w:szCs w:val="24"/>
                <w:shd w:val="clear" w:color="auto" w:fill="FFFFFF"/>
                <w:lang w:val="en-US" w:eastAsia="zh-CN"/>
              </w:rPr>
              <w:t>5）</w:t>
            </w:r>
            <w:r>
              <w:rPr>
                <w:rFonts w:ascii="宋体" w:hAnsi="宋体" w:eastAsia="宋体" w:cs="宋体"/>
                <w:b w:val="0"/>
                <w:i w:val="0"/>
                <w:caps w:val="0"/>
                <w:color w:val="333333"/>
                <w:spacing w:val="0"/>
                <w:kern w:val="2"/>
                <w:sz w:val="24"/>
                <w:szCs w:val="24"/>
                <w:shd w:val="clear" w:color="auto" w:fill="FFFFFF"/>
              </w:rPr>
              <w:t>信用中国”网站（www.creditchina.gov.cn ），政府采购严重违法失信行为记录名单（http://www.ccgp.gov.cn/search/cr/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w:t>
            </w:r>
            <w:r>
              <w:rPr>
                <w:rFonts w:hint="eastAsia" w:eastAsia="宋体" w:cs="宋体"/>
                <w:b w:val="0"/>
                <w:i w:val="0"/>
                <w:caps w:val="0"/>
                <w:color w:val="333333"/>
                <w:spacing w:val="0"/>
                <w:kern w:val="2"/>
                <w:sz w:val="24"/>
                <w:szCs w:val="24"/>
                <w:shd w:val="clear" w:color="auto" w:fill="FFFFFF"/>
                <w:lang w:eastAsia="zh-CN"/>
              </w:rPr>
              <w:t>并制作有标书内</w:t>
            </w:r>
            <w:r>
              <w:rPr>
                <w:rFonts w:ascii="宋体" w:hAnsi="宋体" w:eastAsia="宋体" w:cs="宋体"/>
                <w:kern w:val="0"/>
                <w:sz w:val="24"/>
                <w:szCs w:val="24"/>
              </w:rPr>
              <w:t>；</w:t>
            </w:r>
          </w:p>
          <w:p>
            <w:pPr>
              <w:pStyle w:val="7"/>
              <w:spacing w:line="360" w:lineRule="auto"/>
              <w:ind w:firstLine="0" w:firstLineChars="0"/>
              <w:rPr>
                <w:rFonts w:ascii="宋体" w:hAnsi="宋体" w:cs="宋体"/>
                <w:color w:val="000000"/>
                <w:sz w:val="24"/>
                <w:szCs w:val="24"/>
              </w:rPr>
            </w:pPr>
            <w:r>
              <w:rPr>
                <w:color w:val="000000"/>
              </w:rPr>
              <w:t>（</w:t>
            </w:r>
            <w:r>
              <w:rPr>
                <w:rFonts w:hint="eastAsia"/>
                <w:color w:val="000000"/>
                <w:lang w:val="en-US" w:eastAsia="zh-CN"/>
              </w:rPr>
              <w:t>6</w:t>
            </w:r>
            <w:r>
              <w:rPr>
                <w:color w:val="000000"/>
              </w:rPr>
              <w:t>）</w:t>
            </w:r>
            <w:r>
              <w:rPr>
                <w:rFonts w:ascii="宋体" w:hAnsi="宋体" w:cs="宋体"/>
                <w:color w:val="000000"/>
                <w:sz w:val="24"/>
                <w:szCs w:val="24"/>
              </w:rPr>
              <w:t>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sz w:val="24"/>
                <w:szCs w:val="24"/>
              </w:rPr>
            </w:pPr>
            <w:r>
              <w:rPr>
                <w:rFonts w:hint="eastAsia" w:ascii="宋体" w:hAnsi="宋体"/>
                <w:color w:val="000000"/>
                <w:sz w:val="24"/>
                <w:szCs w:val="24"/>
              </w:rPr>
              <w:t>…</w:t>
            </w:r>
          </w:p>
        </w:tc>
        <w:tc>
          <w:tcPr>
            <w:tcW w:w="567"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sz w:val="24"/>
                <w:szCs w:val="24"/>
              </w:rPr>
            </w:pPr>
            <w:r>
              <w:rPr>
                <w:rFonts w:hint="eastAsia" w:ascii="宋体" w:hAnsi="宋体"/>
                <w:color w:val="000000"/>
                <w:sz w:val="24"/>
                <w:szCs w:val="24"/>
              </w:rPr>
              <w:t>…</w:t>
            </w:r>
          </w:p>
        </w:tc>
        <w:tc>
          <w:tcPr>
            <w:tcW w:w="992"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sz w:val="24"/>
                <w:szCs w:val="24"/>
              </w:rPr>
            </w:pPr>
            <w:r>
              <w:rPr>
                <w:rFonts w:hint="eastAsia" w:ascii="宋体" w:hAnsi="宋体"/>
                <w:color w:val="000000"/>
                <w:sz w:val="24"/>
                <w:szCs w:val="24"/>
              </w:rPr>
              <w:t>…</w:t>
            </w:r>
          </w:p>
        </w:tc>
        <w:tc>
          <w:tcPr>
            <w:tcW w:w="7088" w:type="dxa"/>
            <w:gridSpan w:val="2"/>
            <w:tcBorders>
              <w:top w:val="single" w:color="auto" w:sz="4" w:space="0"/>
              <w:left w:val="single" w:color="auto" w:sz="4" w:space="0"/>
              <w:bottom w:val="single" w:color="auto" w:sz="4" w:space="0"/>
              <w:right w:val="single" w:color="auto" w:sz="4" w:space="0"/>
            </w:tcBorders>
            <w:noWrap w:val="0"/>
            <w:vAlign w:val="top"/>
          </w:tcPr>
          <w:p>
            <w:pPr>
              <w:pStyle w:val="4"/>
              <w:shd w:val="clear" w:color="auto" w:fill="FFFFFF"/>
              <w:spacing w:before="0" w:beforeAutospacing="0" w:after="0" w:afterAutospacing="0" w:line="360" w:lineRule="auto"/>
              <w:ind w:firstLine="468" w:firstLineChars="195"/>
              <w:rPr>
                <w:b/>
                <w:color w:val="000000"/>
              </w:rPr>
            </w:pP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498" w:type="dxa"/>
            <w:gridSpan w:val="7"/>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b/>
                <w:color w:val="000000"/>
                <w:sz w:val="24"/>
                <w:szCs w:val="24"/>
              </w:rPr>
            </w:pPr>
            <w:r>
              <w:rPr>
                <w:rFonts w:hint="eastAsia" w:ascii="宋体" w:hAnsi="宋体"/>
                <w:b/>
                <w:color w:val="000000"/>
                <w:sz w:val="24"/>
                <w:szCs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项号</w:t>
            </w:r>
          </w:p>
        </w:tc>
        <w:tc>
          <w:tcPr>
            <w:tcW w:w="48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章</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条款号</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1</w:t>
            </w:r>
          </w:p>
        </w:tc>
        <w:tc>
          <w:tcPr>
            <w:tcW w:w="48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一</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5</w:t>
            </w:r>
          </w:p>
        </w:tc>
        <w:tc>
          <w:tcPr>
            <w:tcW w:w="694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r>
              <w:rPr>
                <w:rFonts w:hint="eastAsia" w:ascii="宋体" w:hAnsi="宋体"/>
                <w:color w:val="000000"/>
                <w:sz w:val="24"/>
                <w:szCs w:val="24"/>
              </w:rPr>
              <w:t>磋商供应商的响应文件未按规定的响应截止时间之前提交的，其响应将被拒绝。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2</w:t>
            </w:r>
          </w:p>
        </w:tc>
        <w:tc>
          <w:tcPr>
            <w:tcW w:w="48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二</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3.8</w:t>
            </w:r>
          </w:p>
        </w:tc>
        <w:tc>
          <w:tcPr>
            <w:tcW w:w="694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ascii="宋体" w:hAnsi="宋体"/>
                <w:color w:val="000000"/>
                <w:sz w:val="24"/>
                <w:szCs w:val="24"/>
              </w:rPr>
            </w:pPr>
            <w:r>
              <w:rPr>
                <w:rFonts w:hint="eastAsia" w:ascii="宋体" w:hAnsi="宋体"/>
                <w:color w:val="000000"/>
                <w:sz w:val="24"/>
                <w:szCs w:val="24"/>
              </w:rPr>
              <w:t>磋商响应供应商存在下列情形之一的，将被认定为串通响应行为并作无效响应处理：</w:t>
            </w:r>
          </w:p>
          <w:p>
            <w:pPr>
              <w:spacing w:line="360" w:lineRule="auto"/>
              <w:rPr>
                <w:rFonts w:ascii="宋体" w:hAnsi="宋体"/>
                <w:color w:val="000000"/>
                <w:sz w:val="24"/>
                <w:szCs w:val="24"/>
              </w:rPr>
            </w:pPr>
            <w:r>
              <w:rPr>
                <w:rFonts w:hint="eastAsia" w:ascii="宋体" w:hAnsi="宋体"/>
                <w:color w:val="000000"/>
                <w:sz w:val="24"/>
                <w:szCs w:val="24"/>
              </w:rPr>
              <w:t>（1）磋商响应供应商之间协商磋商报价等磋商响应文件的实质性内容；</w:t>
            </w:r>
          </w:p>
          <w:p>
            <w:pPr>
              <w:spacing w:line="360" w:lineRule="auto"/>
              <w:rPr>
                <w:rFonts w:ascii="宋体" w:hAnsi="宋体"/>
                <w:color w:val="000000"/>
                <w:sz w:val="24"/>
                <w:szCs w:val="24"/>
              </w:rPr>
            </w:pPr>
            <w:r>
              <w:rPr>
                <w:rFonts w:hint="eastAsia" w:ascii="宋体" w:hAnsi="宋体"/>
                <w:color w:val="000000"/>
                <w:sz w:val="24"/>
                <w:szCs w:val="24"/>
              </w:rPr>
              <w:t>（2）磋商响应供应商之间约定成交供应商；</w:t>
            </w:r>
          </w:p>
          <w:p>
            <w:pPr>
              <w:spacing w:line="360" w:lineRule="auto"/>
              <w:rPr>
                <w:rFonts w:ascii="宋体" w:hAnsi="宋体"/>
                <w:color w:val="000000"/>
                <w:sz w:val="24"/>
                <w:szCs w:val="24"/>
              </w:rPr>
            </w:pPr>
            <w:r>
              <w:rPr>
                <w:rFonts w:hint="eastAsia" w:ascii="宋体" w:hAnsi="宋体"/>
                <w:color w:val="000000"/>
                <w:sz w:val="24"/>
                <w:szCs w:val="24"/>
              </w:rPr>
              <w:t>（3）磋商响应供应商之间约定部分磋商响应供应商放弃磋商响应或者成交；</w:t>
            </w:r>
          </w:p>
          <w:p>
            <w:pPr>
              <w:spacing w:line="360" w:lineRule="auto"/>
              <w:rPr>
                <w:rFonts w:ascii="宋体" w:hAnsi="宋体"/>
                <w:color w:val="000000"/>
                <w:sz w:val="24"/>
                <w:szCs w:val="24"/>
              </w:rPr>
            </w:pPr>
            <w:r>
              <w:rPr>
                <w:rFonts w:hint="eastAsia" w:ascii="宋体" w:hAnsi="宋体"/>
                <w:color w:val="000000"/>
                <w:sz w:val="24"/>
                <w:szCs w:val="24"/>
              </w:rPr>
              <w:t>（4）属于同一集团、协会、商会等组织成员的磋商响应供应商按照该组织要求协同磋商响应；</w:t>
            </w:r>
          </w:p>
          <w:p>
            <w:pPr>
              <w:spacing w:line="360" w:lineRule="auto"/>
              <w:rPr>
                <w:rFonts w:ascii="宋体" w:hAnsi="宋体"/>
                <w:color w:val="000000"/>
                <w:sz w:val="24"/>
                <w:szCs w:val="24"/>
              </w:rPr>
            </w:pPr>
            <w:r>
              <w:rPr>
                <w:rFonts w:hint="eastAsia" w:ascii="宋体" w:hAnsi="宋体"/>
                <w:color w:val="000000"/>
                <w:sz w:val="24"/>
                <w:szCs w:val="24"/>
              </w:rPr>
              <w:t>（5）磋商响应供应商之间为谋取成交或者排斥特定磋商响应供应商而采取的其他联合行动；</w:t>
            </w:r>
          </w:p>
          <w:p>
            <w:pPr>
              <w:spacing w:line="360" w:lineRule="auto"/>
              <w:rPr>
                <w:rFonts w:ascii="宋体" w:hAnsi="宋体"/>
                <w:color w:val="000000"/>
                <w:sz w:val="24"/>
                <w:szCs w:val="24"/>
              </w:rPr>
            </w:pPr>
            <w:r>
              <w:rPr>
                <w:rFonts w:hint="eastAsia" w:ascii="宋体" w:hAnsi="宋体"/>
                <w:color w:val="000000"/>
                <w:sz w:val="24"/>
                <w:szCs w:val="24"/>
              </w:rPr>
              <w:t>（6）不同磋商响应供应商的响应文件由同一单位或者个人编制；</w:t>
            </w:r>
          </w:p>
          <w:p>
            <w:pPr>
              <w:spacing w:line="360" w:lineRule="auto"/>
              <w:rPr>
                <w:rFonts w:ascii="宋体" w:hAnsi="宋体"/>
                <w:color w:val="000000"/>
                <w:sz w:val="24"/>
                <w:szCs w:val="24"/>
              </w:rPr>
            </w:pPr>
            <w:r>
              <w:rPr>
                <w:rFonts w:hint="eastAsia" w:ascii="宋体" w:hAnsi="宋体"/>
                <w:color w:val="000000"/>
                <w:sz w:val="24"/>
                <w:szCs w:val="24"/>
              </w:rPr>
              <w:t>（7）不同磋商响应供应商委托同一单位或者个人办理磋商响应事宜；</w:t>
            </w:r>
          </w:p>
          <w:p>
            <w:pPr>
              <w:spacing w:line="360" w:lineRule="auto"/>
              <w:rPr>
                <w:rFonts w:ascii="宋体" w:hAnsi="宋体"/>
                <w:color w:val="000000"/>
                <w:sz w:val="24"/>
                <w:szCs w:val="24"/>
              </w:rPr>
            </w:pPr>
            <w:r>
              <w:rPr>
                <w:rFonts w:hint="eastAsia" w:ascii="宋体" w:hAnsi="宋体"/>
                <w:color w:val="000000"/>
                <w:sz w:val="24"/>
                <w:szCs w:val="24"/>
              </w:rPr>
              <w:t>（8）不同磋商响应供应商的响应文件载明的项目管理成员为同一人；</w:t>
            </w:r>
          </w:p>
          <w:p>
            <w:pPr>
              <w:spacing w:line="360" w:lineRule="auto"/>
              <w:rPr>
                <w:rFonts w:ascii="宋体" w:hAnsi="宋体"/>
                <w:color w:val="000000"/>
                <w:sz w:val="24"/>
                <w:szCs w:val="24"/>
              </w:rPr>
            </w:pPr>
            <w:r>
              <w:rPr>
                <w:rFonts w:hint="eastAsia" w:ascii="宋体" w:hAnsi="宋体"/>
                <w:color w:val="000000"/>
                <w:sz w:val="24"/>
                <w:szCs w:val="24"/>
              </w:rPr>
              <w:t>（9）不同磋商响应供应商的响应文件异常一致或者报价呈规律性差异；</w:t>
            </w:r>
          </w:p>
          <w:p>
            <w:pPr>
              <w:spacing w:line="360" w:lineRule="auto"/>
              <w:rPr>
                <w:rFonts w:ascii="宋体" w:hAnsi="宋体"/>
                <w:color w:val="000000"/>
                <w:sz w:val="24"/>
                <w:szCs w:val="24"/>
              </w:rPr>
            </w:pPr>
            <w:r>
              <w:rPr>
                <w:rFonts w:hint="eastAsia" w:ascii="宋体" w:hAnsi="宋体"/>
                <w:color w:val="000000"/>
                <w:sz w:val="24"/>
                <w:szCs w:val="24"/>
              </w:rPr>
              <w:t>（10）不同磋商响应供应商的响应文件相互混装；</w:t>
            </w:r>
          </w:p>
          <w:p>
            <w:pPr>
              <w:spacing w:line="360" w:lineRule="auto"/>
              <w:rPr>
                <w:rFonts w:ascii="宋体" w:hAnsi="宋体"/>
                <w:color w:val="000000"/>
                <w:sz w:val="24"/>
                <w:szCs w:val="24"/>
              </w:rPr>
            </w:pPr>
            <w:r>
              <w:rPr>
                <w:rFonts w:hint="eastAsia" w:ascii="宋体" w:hAnsi="宋体"/>
                <w:color w:val="000000"/>
                <w:sz w:val="24"/>
                <w:szCs w:val="24"/>
              </w:rPr>
              <w:t>（11）不同磋商响应供应商的磋商保证金从同一单位或者个人的账户转出。</w:t>
            </w:r>
          </w:p>
          <w:p>
            <w:pPr>
              <w:spacing w:line="360" w:lineRule="auto"/>
              <w:rPr>
                <w:rFonts w:ascii="宋体" w:hAnsi="宋体"/>
                <w:color w:val="000000"/>
                <w:sz w:val="24"/>
                <w:szCs w:val="24"/>
              </w:rPr>
            </w:pPr>
            <w:r>
              <w:rPr>
                <w:rFonts w:hint="eastAsia" w:ascii="宋体" w:hAnsi="宋体"/>
                <w:color w:val="000000"/>
                <w:sz w:val="24"/>
                <w:szCs w:val="24"/>
              </w:rPr>
              <w:t>（12）不同磋商响应供应商的响应文件错、漏之处一致或雷同，且不能合理解释的；</w:t>
            </w:r>
          </w:p>
          <w:p>
            <w:pPr>
              <w:spacing w:line="360" w:lineRule="auto"/>
              <w:rPr>
                <w:rFonts w:ascii="宋体" w:hAnsi="宋体"/>
                <w:color w:val="000000"/>
                <w:sz w:val="24"/>
                <w:szCs w:val="24"/>
              </w:rPr>
            </w:pPr>
            <w:r>
              <w:rPr>
                <w:rFonts w:hint="eastAsia" w:ascii="宋体" w:hAnsi="宋体"/>
                <w:color w:val="000000"/>
                <w:sz w:val="24"/>
                <w:szCs w:val="24"/>
              </w:rPr>
              <w:t>（13）不同的磋商响应供应商的法定代表人、委托代理人等由同一个单位缴纳社会保险的；</w:t>
            </w:r>
          </w:p>
          <w:p>
            <w:pPr>
              <w:spacing w:line="360" w:lineRule="auto"/>
              <w:rPr>
                <w:rFonts w:ascii="宋体" w:hAnsi="宋体"/>
                <w:color w:val="000000"/>
                <w:sz w:val="24"/>
                <w:szCs w:val="24"/>
              </w:rPr>
            </w:pPr>
            <w:r>
              <w:rPr>
                <w:rFonts w:hint="eastAsia" w:ascii="宋体" w:hAnsi="宋体"/>
                <w:color w:val="000000"/>
                <w:sz w:val="24"/>
                <w:szCs w:val="24"/>
              </w:rPr>
              <w:t>（14）由同一人或分别由几个有利害关系的人携带两个以上（含两个）磋商响应供应商的企业资料参与资格审查、领取采购资料，或代表两个以上（含两个）磋商响应供应商参加项目答疑会、交纳或退还磋商保证金、参加磋商的；</w:t>
            </w:r>
          </w:p>
          <w:p>
            <w:pPr>
              <w:spacing w:line="360" w:lineRule="auto"/>
              <w:rPr>
                <w:rFonts w:ascii="宋体" w:hAnsi="宋体"/>
                <w:color w:val="000000"/>
                <w:sz w:val="24"/>
                <w:szCs w:val="24"/>
              </w:rPr>
            </w:pPr>
            <w:r>
              <w:rPr>
                <w:rFonts w:hint="eastAsia" w:ascii="宋体" w:hAnsi="宋体"/>
                <w:color w:val="000000"/>
                <w:sz w:val="24"/>
                <w:szCs w:val="24"/>
              </w:rPr>
              <w:t>（15）有关法律、法规或规章规定的其他串通行为。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3</w:t>
            </w:r>
          </w:p>
        </w:tc>
        <w:tc>
          <w:tcPr>
            <w:tcW w:w="48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二</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11.1</w:t>
            </w:r>
          </w:p>
        </w:tc>
        <w:tc>
          <w:tcPr>
            <w:tcW w:w="694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r>
              <w:rPr>
                <w:rFonts w:hint="eastAsia" w:ascii="宋体" w:hAnsi="宋体"/>
                <w:color w:val="000000"/>
                <w:sz w:val="24"/>
                <w:szCs w:val="24"/>
              </w:rPr>
              <w:t>响应文件有效期：</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响应文件递交截止之日起</w:t>
            </w:r>
            <w:r>
              <w:rPr>
                <w:rFonts w:hint="eastAsia" w:ascii="宋体" w:hAnsi="宋体"/>
                <w:color w:val="000000"/>
                <w:sz w:val="24"/>
                <w:szCs w:val="24"/>
                <w:u w:val="single"/>
              </w:rPr>
              <w:t xml:space="preserve"> 90 </w:t>
            </w:r>
            <w:r>
              <w:rPr>
                <w:rFonts w:hint="eastAsia" w:ascii="宋体" w:hAnsi="宋体"/>
                <w:color w:val="000000"/>
                <w:sz w:val="24"/>
                <w:szCs w:val="24"/>
              </w:rPr>
              <w:t>个日历天。</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4</w:t>
            </w:r>
          </w:p>
        </w:tc>
        <w:tc>
          <w:tcPr>
            <w:tcW w:w="48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二</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12.5</w:t>
            </w:r>
          </w:p>
        </w:tc>
        <w:tc>
          <w:tcPr>
            <w:tcW w:w="694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r>
              <w:rPr>
                <w:rFonts w:ascii="宋体" w:hAnsi="宋体"/>
                <w:color w:val="000000"/>
                <w:sz w:val="24"/>
                <w:szCs w:val="24"/>
              </w:rPr>
              <w:t>未按规定提交磋商保证金，</w:t>
            </w:r>
            <w:r>
              <w:rPr>
                <w:rFonts w:ascii="宋体" w:hAnsi="宋体" w:cs="Arial"/>
                <w:color w:val="000000"/>
                <w:sz w:val="24"/>
                <w:szCs w:val="24"/>
              </w:rPr>
              <w:t>将被</w:t>
            </w:r>
            <w:r>
              <w:rPr>
                <w:rFonts w:hint="eastAsia" w:ascii="宋体" w:hAnsi="宋体" w:cs="Arial"/>
                <w:color w:val="000000"/>
                <w:sz w:val="24"/>
                <w:szCs w:val="24"/>
              </w:rPr>
              <w:t>视为未响应磋商文件要求，取消其磋商资格</w:t>
            </w:r>
            <w:r>
              <w:rPr>
                <w:rFonts w:ascii="宋体" w:hAnsi="宋体" w:cs="Arial"/>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5</w:t>
            </w:r>
          </w:p>
        </w:tc>
        <w:tc>
          <w:tcPr>
            <w:tcW w:w="48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二</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17.3.2</w:t>
            </w:r>
          </w:p>
        </w:tc>
        <w:tc>
          <w:tcPr>
            <w:tcW w:w="694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r>
              <w:rPr>
                <w:rFonts w:hint="eastAsia" w:ascii="宋体" w:hAnsi="宋体" w:cs="Arial"/>
                <w:color w:val="000000"/>
                <w:sz w:val="24"/>
                <w:szCs w:val="24"/>
              </w:rPr>
              <w:t>实质性偏离是指：（1）实质性影响合同的范围、质量和履行；（2）实质性违背磋商文件，限制了采购人的权利和成交供应商合同项下的义务；（3）不公正地影响了其他作出实质性响应的磋商供应商的竞争地位。对没有实质性响应的磋商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6</w:t>
            </w:r>
          </w:p>
        </w:tc>
        <w:tc>
          <w:tcPr>
            <w:tcW w:w="48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二</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17.3.2</w:t>
            </w:r>
          </w:p>
        </w:tc>
        <w:tc>
          <w:tcPr>
            <w:tcW w:w="694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31" w:leftChars="15" w:firstLine="480" w:firstLineChars="200"/>
              <w:rPr>
                <w:rFonts w:ascii="宋体" w:hAnsi="宋体"/>
                <w:color w:val="000000"/>
                <w:sz w:val="24"/>
                <w:szCs w:val="24"/>
              </w:rPr>
            </w:pPr>
            <w:r>
              <w:rPr>
                <w:rFonts w:hint="eastAsia" w:ascii="宋体" w:hAnsi="宋体"/>
                <w:color w:val="000000"/>
                <w:sz w:val="24"/>
                <w:szCs w:val="24"/>
              </w:rPr>
              <w:t>凡有下列情况之一者，响应文件也将被视为未实质性响应磋商文件要求：</w:t>
            </w:r>
          </w:p>
          <w:p>
            <w:pPr>
              <w:spacing w:line="360" w:lineRule="auto"/>
              <w:ind w:left="69" w:firstLine="480" w:firstLineChars="200"/>
              <w:rPr>
                <w:rFonts w:ascii="宋体" w:hAnsi="宋体"/>
                <w:color w:val="000000"/>
                <w:sz w:val="24"/>
                <w:szCs w:val="24"/>
              </w:rPr>
            </w:pPr>
            <w:r>
              <w:rPr>
                <w:rFonts w:hint="eastAsia" w:ascii="宋体" w:hAnsi="宋体"/>
                <w:color w:val="000000"/>
                <w:sz w:val="24"/>
                <w:szCs w:val="24"/>
              </w:rPr>
              <w:t>(1)响应文件未按照本须知规定进行密封、标记的；</w:t>
            </w:r>
          </w:p>
          <w:p>
            <w:pPr>
              <w:spacing w:line="360" w:lineRule="auto"/>
              <w:ind w:left="69" w:firstLine="480" w:firstLineChars="200"/>
              <w:rPr>
                <w:rFonts w:ascii="宋体" w:hAnsi="宋体"/>
                <w:color w:val="000000"/>
                <w:sz w:val="24"/>
                <w:szCs w:val="24"/>
              </w:rPr>
            </w:pPr>
            <w:r>
              <w:rPr>
                <w:rFonts w:hint="eastAsia" w:ascii="宋体" w:hAnsi="宋体"/>
                <w:color w:val="000000"/>
                <w:sz w:val="24"/>
                <w:szCs w:val="24"/>
              </w:rPr>
              <w:t>(2)未按规定由磋商响应供应商的法定代表人或其授权代表签章；或未加盖公章的；或授权代表未提供法定代表人有效授权委托书的；</w:t>
            </w:r>
          </w:p>
          <w:p>
            <w:pPr>
              <w:spacing w:line="360" w:lineRule="auto"/>
              <w:ind w:left="69" w:firstLine="480" w:firstLineChars="200"/>
              <w:rPr>
                <w:rFonts w:ascii="宋体" w:hAnsi="宋体"/>
                <w:color w:val="000000"/>
                <w:sz w:val="24"/>
                <w:szCs w:val="24"/>
              </w:rPr>
            </w:pPr>
            <w:r>
              <w:rPr>
                <w:rFonts w:hint="eastAsia" w:ascii="宋体" w:hAnsi="宋体"/>
                <w:color w:val="000000"/>
                <w:sz w:val="24"/>
                <w:szCs w:val="24"/>
              </w:rPr>
              <w:t>(3)磋商保证金未在磋商响应截止时间前到账的；</w:t>
            </w:r>
          </w:p>
          <w:p>
            <w:pPr>
              <w:spacing w:line="360" w:lineRule="auto"/>
              <w:ind w:left="69" w:firstLine="480" w:firstLineChars="200"/>
              <w:rPr>
                <w:rFonts w:ascii="宋体" w:hAnsi="宋体"/>
                <w:color w:val="000000"/>
                <w:sz w:val="24"/>
                <w:szCs w:val="24"/>
              </w:rPr>
            </w:pPr>
            <w:r>
              <w:rPr>
                <w:rFonts w:hint="eastAsia" w:ascii="宋体" w:hAnsi="宋体"/>
                <w:color w:val="000000"/>
                <w:sz w:val="24"/>
                <w:szCs w:val="24"/>
              </w:rPr>
              <w:t>(4)响应文件有效期不满足磋商文件要求的；</w:t>
            </w:r>
          </w:p>
          <w:p>
            <w:pPr>
              <w:spacing w:line="360" w:lineRule="auto"/>
              <w:ind w:left="69" w:firstLine="480" w:firstLineChars="200"/>
              <w:rPr>
                <w:rFonts w:ascii="宋体" w:hAnsi="宋体"/>
                <w:color w:val="000000"/>
                <w:sz w:val="24"/>
                <w:szCs w:val="24"/>
              </w:rPr>
            </w:pPr>
            <w:r>
              <w:rPr>
                <w:rFonts w:hint="eastAsia" w:ascii="宋体" w:hAnsi="宋体"/>
                <w:color w:val="000000"/>
                <w:sz w:val="24"/>
                <w:szCs w:val="24"/>
              </w:rPr>
              <w:t>(5)响应文件内容与采购内容及要求有重大偏离或保留的；</w:t>
            </w:r>
          </w:p>
          <w:p>
            <w:pPr>
              <w:spacing w:line="360" w:lineRule="auto"/>
              <w:ind w:left="69" w:firstLine="480" w:firstLineChars="200"/>
              <w:rPr>
                <w:rFonts w:ascii="宋体" w:hAnsi="宋体"/>
                <w:color w:val="000000"/>
                <w:sz w:val="24"/>
                <w:szCs w:val="24"/>
              </w:rPr>
            </w:pPr>
            <w:r>
              <w:rPr>
                <w:rFonts w:hint="eastAsia" w:ascii="宋体" w:hAnsi="宋体"/>
                <w:color w:val="000000"/>
                <w:sz w:val="24"/>
                <w:szCs w:val="24"/>
              </w:rPr>
              <w:t>(6)响应供应商提交的是可选择的报价；</w:t>
            </w:r>
          </w:p>
          <w:p>
            <w:pPr>
              <w:spacing w:line="360" w:lineRule="auto"/>
              <w:ind w:left="69" w:firstLine="480" w:firstLineChars="200"/>
              <w:rPr>
                <w:rFonts w:ascii="宋体" w:hAnsi="宋体"/>
                <w:color w:val="000000"/>
                <w:sz w:val="24"/>
                <w:szCs w:val="24"/>
              </w:rPr>
            </w:pPr>
            <w:r>
              <w:rPr>
                <w:rFonts w:hint="eastAsia" w:ascii="宋体" w:hAnsi="宋体"/>
                <w:color w:val="000000"/>
                <w:sz w:val="24"/>
                <w:szCs w:val="24"/>
              </w:rPr>
              <w:t>(7)响应供应商未按磋商文件要求进行分项报价；</w:t>
            </w:r>
          </w:p>
          <w:p>
            <w:pPr>
              <w:spacing w:line="360" w:lineRule="auto"/>
              <w:ind w:left="69" w:firstLine="480" w:firstLineChars="200"/>
              <w:rPr>
                <w:rFonts w:ascii="宋体" w:hAnsi="宋体"/>
                <w:color w:val="000000"/>
                <w:sz w:val="24"/>
                <w:szCs w:val="24"/>
              </w:rPr>
            </w:pPr>
            <w:r>
              <w:rPr>
                <w:rFonts w:hint="eastAsia" w:ascii="宋体" w:hAnsi="宋体"/>
                <w:color w:val="000000"/>
                <w:sz w:val="24"/>
                <w:szCs w:val="24"/>
              </w:rPr>
              <w:t>(8)响应文件中提供虚假或失实资料的；</w:t>
            </w:r>
          </w:p>
          <w:p>
            <w:pPr>
              <w:spacing w:line="360" w:lineRule="auto"/>
              <w:ind w:left="69" w:firstLine="480" w:firstLineChars="200"/>
              <w:rPr>
                <w:rFonts w:ascii="宋体" w:hAnsi="宋体"/>
                <w:color w:val="000000"/>
                <w:sz w:val="24"/>
                <w:szCs w:val="24"/>
              </w:rPr>
            </w:pPr>
            <w:r>
              <w:rPr>
                <w:rFonts w:hint="eastAsia" w:ascii="宋体" w:hAnsi="宋体"/>
                <w:color w:val="000000"/>
                <w:sz w:val="24"/>
                <w:szCs w:val="24"/>
              </w:rPr>
              <w:t xml:space="preserve">(9)不符合磋商文件中规定的其它实质性条款。 </w:t>
            </w:r>
          </w:p>
          <w:p>
            <w:pPr>
              <w:spacing w:line="360" w:lineRule="auto"/>
              <w:ind w:left="69" w:leftChars="33" w:firstLine="480" w:firstLineChars="200"/>
              <w:rPr>
                <w:rFonts w:ascii="宋体" w:hAnsi="宋体"/>
                <w:color w:val="000000"/>
                <w:sz w:val="24"/>
                <w:szCs w:val="24"/>
              </w:rPr>
            </w:pPr>
            <w:r>
              <w:rPr>
                <w:rFonts w:hint="eastAsia" w:ascii="宋体" w:hAnsi="宋体"/>
                <w:color w:val="000000"/>
                <w:sz w:val="24"/>
                <w:szCs w:val="24"/>
              </w:rPr>
              <w:t>磋商小组决定磋商响应供应商的响应性只根据响应文件本身的内容，而不寻求其他的外部证据。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7</w:t>
            </w:r>
          </w:p>
        </w:tc>
        <w:tc>
          <w:tcPr>
            <w:tcW w:w="48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二</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19.2</w:t>
            </w:r>
          </w:p>
        </w:tc>
        <w:tc>
          <w:tcPr>
            <w:tcW w:w="694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ascii="宋体" w:hAnsi="宋体"/>
                <w:color w:val="000000"/>
                <w:sz w:val="24"/>
                <w:szCs w:val="24"/>
              </w:rPr>
            </w:pPr>
            <w:r>
              <w:rPr>
                <w:rFonts w:hint="eastAsia" w:ascii="宋体" w:hAnsi="宋体"/>
                <w:color w:val="000000"/>
                <w:sz w:val="24"/>
                <w:szCs w:val="24"/>
              </w:rPr>
              <w:t>若磋商供应商的报价明显低于其他报价，使得其报价可能低于其个别成本的，有可能影响商品质量或不能诚信履约的，磋商供应商应按磋商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sz w:val="24"/>
                <w:szCs w:val="24"/>
              </w:rPr>
            </w:pPr>
            <w:r>
              <w:rPr>
                <w:rFonts w:hint="eastAsia" w:ascii="宋体" w:hAnsi="宋体"/>
                <w:color w:val="000000"/>
                <w:sz w:val="24"/>
                <w:szCs w:val="24"/>
              </w:rPr>
              <w:t>8</w:t>
            </w:r>
          </w:p>
        </w:tc>
        <w:tc>
          <w:tcPr>
            <w:tcW w:w="487"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sz w:val="24"/>
                <w:szCs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sz w:val="24"/>
                <w:szCs w:val="24"/>
              </w:rPr>
            </w:pPr>
          </w:p>
        </w:tc>
        <w:tc>
          <w:tcPr>
            <w:tcW w:w="6946" w:type="dxa"/>
            <w:tcBorders>
              <w:top w:val="single" w:color="auto" w:sz="4" w:space="0"/>
              <w:left w:val="single" w:color="auto" w:sz="4" w:space="0"/>
              <w:bottom w:val="single" w:color="auto" w:sz="4" w:space="0"/>
              <w:right w:val="single" w:color="auto" w:sz="4" w:space="0"/>
            </w:tcBorders>
            <w:noWrap w:val="0"/>
            <w:vAlign w:val="top"/>
          </w:tcPr>
          <w:p>
            <w:pPr>
              <w:tabs>
                <w:tab w:val="left" w:pos="2145"/>
              </w:tabs>
              <w:spacing w:line="360" w:lineRule="auto"/>
              <w:ind w:firstLine="480" w:firstLineChars="200"/>
              <w:rPr>
                <w:rFonts w:ascii="宋体" w:hAnsi="宋体"/>
                <w:color w:val="000000"/>
                <w:sz w:val="24"/>
                <w:szCs w:val="24"/>
              </w:rPr>
            </w:pPr>
            <w:r>
              <w:rPr>
                <w:rFonts w:ascii="宋体" w:hAnsi="宋体" w:cs="Arial"/>
                <w:color w:val="000000"/>
                <w:sz w:val="24"/>
                <w:szCs w:val="24"/>
              </w:rPr>
              <w:t>磋商小组将对</w:t>
            </w:r>
            <w:r>
              <w:rPr>
                <w:rFonts w:hint="eastAsia" w:ascii="宋体" w:hAnsi="宋体" w:cs="Arial"/>
                <w:color w:val="000000"/>
                <w:sz w:val="24"/>
                <w:szCs w:val="24"/>
              </w:rPr>
              <w:t>磋商文件</w:t>
            </w:r>
            <w:r>
              <w:rPr>
                <w:rFonts w:ascii="宋体" w:hAnsi="宋体" w:cs="Arial"/>
                <w:color w:val="000000"/>
                <w:sz w:val="24"/>
                <w:szCs w:val="24"/>
              </w:rPr>
              <w:t>中</w:t>
            </w:r>
            <w:r>
              <w:rPr>
                <w:rFonts w:hint="eastAsia" w:ascii="宋体" w:hAnsi="宋体" w:cs="Arial"/>
                <w:color w:val="000000"/>
                <w:sz w:val="24"/>
                <w:szCs w:val="24"/>
              </w:rPr>
              <w:t>列明的</w:t>
            </w:r>
            <w:r>
              <w:rPr>
                <w:rFonts w:ascii="宋体" w:hAnsi="宋体" w:cs="Arial"/>
                <w:color w:val="000000"/>
                <w:sz w:val="24"/>
                <w:szCs w:val="24"/>
              </w:rPr>
              <w:t>合格磋商</w:t>
            </w:r>
            <w:r>
              <w:rPr>
                <w:rFonts w:hint="eastAsia" w:ascii="宋体" w:hAnsi="宋体" w:cs="Arial"/>
                <w:color w:val="000000"/>
                <w:sz w:val="24"/>
                <w:szCs w:val="24"/>
              </w:rPr>
              <w:t>供应商应符合“资格性要求”</w:t>
            </w:r>
            <w:r>
              <w:rPr>
                <w:rFonts w:ascii="宋体" w:hAnsi="宋体" w:cs="Arial"/>
                <w:color w:val="000000"/>
                <w:sz w:val="24"/>
                <w:szCs w:val="24"/>
              </w:rPr>
              <w:t>部分做资格</w:t>
            </w:r>
            <w:r>
              <w:rPr>
                <w:rFonts w:hint="eastAsia" w:ascii="宋体" w:hAnsi="宋体" w:cs="Arial"/>
                <w:color w:val="000000"/>
                <w:sz w:val="24"/>
                <w:szCs w:val="24"/>
              </w:rPr>
              <w:t>审查</w:t>
            </w:r>
            <w:r>
              <w:rPr>
                <w:rFonts w:ascii="宋体" w:hAnsi="宋体" w:cs="Arial"/>
                <w:color w:val="000000"/>
                <w:sz w:val="24"/>
                <w:szCs w:val="24"/>
              </w:rPr>
              <w:t>，没有提供</w:t>
            </w:r>
            <w:r>
              <w:rPr>
                <w:rFonts w:hint="eastAsia" w:ascii="宋体" w:hAnsi="宋体" w:cs="Arial"/>
                <w:color w:val="000000"/>
                <w:sz w:val="24"/>
                <w:szCs w:val="24"/>
              </w:rPr>
              <w:t>相关</w:t>
            </w:r>
            <w:r>
              <w:rPr>
                <w:rFonts w:ascii="宋体" w:hAnsi="宋体" w:cs="Arial"/>
                <w:color w:val="000000"/>
                <w:sz w:val="24"/>
                <w:szCs w:val="24"/>
              </w:rPr>
              <w:t>证明文件或文件未按规定签署盖章者</w:t>
            </w:r>
            <w:r>
              <w:rPr>
                <w:rFonts w:hint="eastAsia" w:ascii="宋体" w:hAnsi="宋体" w:cs="Arial"/>
                <w:color w:val="000000"/>
                <w:sz w:val="24"/>
                <w:szCs w:val="24"/>
              </w:rPr>
              <w:t>将导致响应无效。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sz w:val="24"/>
                <w:szCs w:val="24"/>
              </w:rPr>
            </w:pPr>
            <w:r>
              <w:rPr>
                <w:rFonts w:ascii="宋体" w:hAnsi="宋体"/>
                <w:color w:val="000000"/>
                <w:sz w:val="24"/>
                <w:szCs w:val="24"/>
              </w:rPr>
              <w:t>…</w:t>
            </w:r>
          </w:p>
        </w:tc>
        <w:tc>
          <w:tcPr>
            <w:tcW w:w="487"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sz w:val="24"/>
                <w:szCs w:val="24"/>
              </w:rPr>
            </w:pPr>
            <w:r>
              <w:rPr>
                <w:rFonts w:ascii="宋体" w:hAnsi="宋体"/>
                <w:color w:val="000000"/>
                <w:sz w:val="24"/>
                <w:szCs w:val="24"/>
              </w:rPr>
              <w:t>…</w:t>
            </w:r>
          </w:p>
        </w:tc>
        <w:tc>
          <w:tcPr>
            <w:tcW w:w="992"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sz w:val="24"/>
                <w:szCs w:val="24"/>
              </w:rPr>
            </w:pPr>
            <w:r>
              <w:rPr>
                <w:rFonts w:ascii="宋体" w:hAnsi="宋体"/>
                <w:color w:val="000000"/>
                <w:sz w:val="24"/>
                <w:szCs w:val="24"/>
              </w:rPr>
              <w:t>…</w:t>
            </w:r>
          </w:p>
        </w:tc>
        <w:tc>
          <w:tcPr>
            <w:tcW w:w="694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color w:val="000000"/>
                <w:sz w:val="24"/>
                <w:szCs w:val="24"/>
              </w:rPr>
            </w:pPr>
            <w:r>
              <w:rPr>
                <w:rFonts w:ascii="宋体" w:hAnsi="宋体"/>
                <w:b/>
                <w:color w:val="000000"/>
                <w:sz w:val="24"/>
                <w:szCs w:val="24"/>
              </w:rPr>
              <w:t>……</w:t>
            </w:r>
          </w:p>
        </w:tc>
      </w:tr>
    </w:tbl>
    <w:p>
      <w:pPr>
        <w:spacing w:line="360" w:lineRule="auto"/>
        <w:rPr>
          <w:rFonts w:ascii="宋体" w:hAnsi="宋体"/>
          <w:b/>
          <w:color w:val="000000"/>
          <w:sz w:val="24"/>
          <w:szCs w:val="24"/>
          <w:u w:val="single"/>
        </w:rPr>
      </w:pPr>
    </w:p>
    <w:p>
      <w:pPr>
        <w:spacing w:line="360" w:lineRule="auto"/>
        <w:rPr>
          <w:rFonts w:ascii="宋体" w:hAnsi="宋体"/>
          <w:b/>
          <w:color w:val="000000"/>
          <w:sz w:val="24"/>
          <w:szCs w:val="24"/>
          <w:u w:val="single"/>
        </w:rPr>
      </w:pPr>
    </w:p>
    <w:p>
      <w:pPr>
        <w:spacing w:line="360" w:lineRule="auto"/>
        <w:rPr>
          <w:rFonts w:ascii="宋体" w:hAnsi="宋体"/>
          <w:b/>
          <w:color w:val="000000"/>
          <w:sz w:val="24"/>
          <w:szCs w:val="24"/>
          <w:u w:val="single"/>
        </w:rPr>
      </w:pPr>
    </w:p>
    <w:p>
      <w:pPr>
        <w:spacing w:line="360" w:lineRule="auto"/>
        <w:rPr>
          <w:rFonts w:ascii="宋体" w:hAnsi="宋体"/>
          <w:b/>
          <w:color w:val="000000"/>
          <w:sz w:val="24"/>
          <w:szCs w:val="24"/>
          <w:u w:val="single"/>
        </w:rPr>
      </w:pPr>
    </w:p>
    <w:p>
      <w:pPr>
        <w:spacing w:line="360" w:lineRule="auto"/>
        <w:rPr>
          <w:rFonts w:ascii="宋体" w:hAnsi="宋体"/>
          <w:b/>
          <w:color w:val="000000"/>
          <w:sz w:val="24"/>
          <w:szCs w:val="24"/>
          <w:u w:val="single"/>
        </w:rPr>
      </w:pPr>
    </w:p>
    <w:p>
      <w:pPr>
        <w:spacing w:line="360" w:lineRule="auto"/>
        <w:jc w:val="center"/>
        <w:rPr>
          <w:rFonts w:ascii="宋体" w:hAnsi="宋体"/>
          <w:b/>
          <w:color w:val="000000"/>
          <w:sz w:val="24"/>
          <w:szCs w:val="24"/>
          <w:u w:val="single"/>
        </w:rPr>
      </w:pPr>
      <w:r>
        <w:rPr>
          <w:rFonts w:hint="eastAsia" w:ascii="宋体" w:hAnsi="宋体"/>
          <w:b/>
          <w:color w:val="000000"/>
          <w:sz w:val="24"/>
          <w:szCs w:val="24"/>
          <w:u w:val="single"/>
        </w:rPr>
        <w:t>磋商供应商须知前附表3：磋商规则、评审标准</w:t>
      </w:r>
    </w:p>
    <w:p>
      <w:pPr>
        <w:spacing w:line="360" w:lineRule="auto"/>
        <w:jc w:val="center"/>
        <w:rPr>
          <w:rFonts w:ascii="宋体" w:hAnsi="宋体"/>
          <w:b/>
          <w:color w:val="000000"/>
          <w:sz w:val="24"/>
          <w:szCs w:val="24"/>
          <w:u w:val="singl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1" w:type="dxa"/>
            <w:noWrap w:val="0"/>
            <w:vAlign w:val="top"/>
          </w:tcPr>
          <w:p>
            <w:pPr>
              <w:spacing w:line="360" w:lineRule="auto"/>
              <w:outlineLvl w:val="0"/>
              <w:rPr>
                <w:rFonts w:ascii="宋体" w:hAnsi="宋体"/>
                <w:b/>
                <w:bCs/>
                <w:color w:val="000000"/>
                <w:sz w:val="24"/>
                <w:szCs w:val="24"/>
              </w:rPr>
            </w:pPr>
            <w:r>
              <w:rPr>
                <w:rFonts w:hint="eastAsia" w:ascii="宋体" w:hAnsi="宋体"/>
                <w:b/>
                <w:bCs/>
                <w:color w:val="000000"/>
                <w:sz w:val="24"/>
                <w:szCs w:val="24"/>
              </w:rPr>
              <w:t>一、磋商规则</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1.采购代理机构按有关规定编制磋商文件，组建磋商小组。供应商按照磋商文件规定提交响应文件。</w:t>
            </w:r>
          </w:p>
          <w:p>
            <w:pPr>
              <w:tabs>
                <w:tab w:val="left" w:pos="-5801"/>
              </w:tabs>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2.磋商小组审对磋商响应供应商进行资格性和符合性审查，磋商响应供应商不符合资格性及符合性条款和“*”条款要求，不进入磋商程序；磋商小组在对响应文件的有效性、完整性和响应程度进行审查时，可以要求磋商响应供应商对响应文件中含义不明确、同类问题表述不一致或者有明显文字和计算错误的内容等作出必要的澄清、说明或者更正。磋商响应供应商需以书面形式作出澄清、说明或者更正，但澄清、说明或者更正不得超出响应文件的范围或者改变响应文件的实质性内容，同时也不接受磋商响应供应商主动澄清。符合实质性响应要求的磋商响应供应商进入磋商程序。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3. 磋商小组所有成员应当集中与单一磋商响应供应商分别进行磋商，磋商顺序采用随机抽取的方法确认。</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4.磋商小组对磋商文件和响应文件提出重点的磋商内容，根据磋商文件及有关规定，磋商小组与进入磋商程序的磋商响应供应商进行一轮或多轮磋商。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5.每轮磋商结束前由磋商小组决定是否需要进行下一轮磋商，如需要进行下一轮磋商，采购代理机构提前告知磋商响应供应商下一轮磋商时间。</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6.在磋商过程中，磋商小组可以根据磋商文件明确规定的可能实质性变动内容变动磋商文件；有实质性变动的，磋商小组应当以书面形式通知所有参加磋商的磋商响应供应商。</w:t>
            </w:r>
          </w:p>
          <w:p>
            <w:pPr>
              <w:tabs>
                <w:tab w:val="left" w:pos="-5801"/>
              </w:tabs>
              <w:spacing w:line="360" w:lineRule="auto"/>
              <w:ind w:firstLine="480" w:firstLineChars="200"/>
              <w:rPr>
                <w:rFonts w:ascii="宋体" w:hAnsi="宋体"/>
                <w:color w:val="000000"/>
                <w:sz w:val="24"/>
                <w:szCs w:val="24"/>
              </w:rPr>
            </w:pPr>
            <w:r>
              <w:rPr>
                <w:rFonts w:hint="eastAsia" w:ascii="宋体" w:hAnsi="宋体"/>
                <w:color w:val="000000"/>
                <w:sz w:val="24"/>
                <w:szCs w:val="24"/>
              </w:rPr>
              <w:t>7.除非磋商文件的采购需求中的技术、服务要求以及合同草案条款有实质性变动的，否则后一次的报价不得高于前一次的报价。若出现后一次的报价高于前一次报价的，则后一次的报价无效，以前一次的报价为准。</w:t>
            </w:r>
          </w:p>
          <w:p>
            <w:pPr>
              <w:tabs>
                <w:tab w:val="left" w:pos="-5801"/>
              </w:tabs>
              <w:spacing w:line="360" w:lineRule="auto"/>
              <w:ind w:firstLine="480" w:firstLineChars="200"/>
              <w:rPr>
                <w:rFonts w:ascii="宋体" w:hAnsi="宋体"/>
                <w:color w:val="000000"/>
                <w:sz w:val="24"/>
                <w:szCs w:val="24"/>
              </w:rPr>
            </w:pPr>
            <w:r>
              <w:rPr>
                <w:rFonts w:hint="eastAsia" w:ascii="宋体" w:hAnsi="宋体"/>
                <w:color w:val="000000"/>
                <w:sz w:val="24"/>
                <w:szCs w:val="24"/>
              </w:rPr>
              <w:t>8.磋商响应供应商递交的响应文件澄清、更正等文件、最终报价应予密封并交至采购代理机构指定人员，报价部分单独密封。采购代理机构工作人员在收齐全部响应供应商材料后，统一送达磋商小组。</w:t>
            </w:r>
          </w:p>
          <w:p>
            <w:pPr>
              <w:tabs>
                <w:tab w:val="left" w:pos="-5801"/>
              </w:tabs>
              <w:spacing w:line="360" w:lineRule="auto"/>
              <w:ind w:firstLine="480" w:firstLineChars="200"/>
              <w:rPr>
                <w:rFonts w:ascii="宋体" w:hAnsi="宋体"/>
                <w:color w:val="000000"/>
                <w:sz w:val="24"/>
                <w:szCs w:val="24"/>
              </w:rPr>
            </w:pPr>
            <w:r>
              <w:rPr>
                <w:rFonts w:hint="eastAsia" w:ascii="宋体" w:hAnsi="宋体"/>
                <w:color w:val="000000"/>
                <w:sz w:val="24"/>
                <w:szCs w:val="24"/>
              </w:rPr>
              <w:t>9.经磋商确定最终采购需求和提交最后报价的磋商响应供应商后，由磋商小组采用综合评分法对提交最后报价的磋商响应供应商的响应文件和最后报价进行综合评分。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10.参加磋商并代表磋商响应供应商签署响应文件的应该是磋商文件要求的响应供应商代表，磋商时应出示身份证原件。</w:t>
            </w:r>
          </w:p>
          <w:p>
            <w:pPr>
              <w:spacing w:line="360" w:lineRule="auto"/>
              <w:ind w:right="-120" w:rightChars="-57" w:firstLine="480" w:firstLineChars="200"/>
              <w:rPr>
                <w:rFonts w:ascii="宋体" w:hAnsi="宋体"/>
                <w:color w:val="000000"/>
                <w:sz w:val="24"/>
                <w:szCs w:val="24"/>
              </w:rPr>
            </w:pPr>
            <w:r>
              <w:rPr>
                <w:rFonts w:hint="eastAsia" w:ascii="宋体" w:hAnsi="宋体"/>
                <w:color w:val="000000"/>
                <w:sz w:val="24"/>
                <w:szCs w:val="24"/>
              </w:rPr>
              <w:t>11.在磋商活动中，有关人员不得透露与磋商有关的一切技术资料、价格和其它信息给其他磋商响应供应商。</w:t>
            </w:r>
          </w:p>
          <w:p>
            <w:pPr>
              <w:spacing w:line="360" w:lineRule="auto"/>
              <w:ind w:left="55" w:leftChars="26" w:right="-120" w:rightChars="-57" w:firstLine="482" w:firstLineChars="200"/>
              <w:rPr>
                <w:rFonts w:ascii="宋体" w:hAnsi="宋体"/>
                <w:color w:val="000000"/>
                <w:sz w:val="24"/>
                <w:szCs w:val="24"/>
              </w:rPr>
            </w:pPr>
            <w:r>
              <w:rPr>
                <w:rFonts w:hint="eastAsia" w:ascii="宋体" w:hAnsi="宋体"/>
                <w:b/>
                <w:color w:val="000000"/>
                <w:sz w:val="24"/>
                <w:szCs w:val="24"/>
              </w:rPr>
              <w:t>确定候选供应商原则</w:t>
            </w:r>
            <w:r>
              <w:rPr>
                <w:rFonts w:hint="eastAsia" w:ascii="宋体" w:hAnsi="宋体"/>
                <w:color w:val="000000"/>
                <w:sz w:val="24"/>
                <w:szCs w:val="24"/>
              </w:rPr>
              <w:t>：</w:t>
            </w:r>
          </w:p>
          <w:p>
            <w:pPr>
              <w:spacing w:line="360" w:lineRule="auto"/>
              <w:ind w:left="55" w:leftChars="26" w:right="-120" w:rightChars="-57" w:firstLine="480" w:firstLineChars="200"/>
              <w:rPr>
                <w:rFonts w:ascii="宋体" w:hAnsi="宋体"/>
                <w:color w:val="000000"/>
                <w:sz w:val="24"/>
                <w:szCs w:val="24"/>
              </w:rPr>
            </w:pPr>
            <w:r>
              <w:rPr>
                <w:rFonts w:hint="eastAsia" w:ascii="宋体" w:hAnsi="宋体"/>
                <w:color w:val="000000"/>
                <w:sz w:val="24"/>
                <w:szCs w:val="24"/>
              </w:rPr>
              <w:t>A.</w:t>
            </w:r>
            <w:r>
              <w:rPr>
                <w:rFonts w:ascii="宋体" w:hAnsi="宋体"/>
                <w:color w:val="000000"/>
                <w:sz w:val="24"/>
                <w:szCs w:val="24"/>
              </w:rPr>
              <w:t>磋商小组采用综合评分的方法确定成交候选</w:t>
            </w:r>
            <w:r>
              <w:rPr>
                <w:rFonts w:hint="eastAsia" w:ascii="宋体" w:hAnsi="宋体"/>
                <w:color w:val="000000"/>
                <w:sz w:val="24"/>
                <w:szCs w:val="24"/>
              </w:rPr>
              <w:t>供应商</w:t>
            </w:r>
            <w:r>
              <w:rPr>
                <w:rFonts w:ascii="宋体" w:hAnsi="宋体"/>
                <w:color w:val="000000"/>
                <w:sz w:val="24"/>
                <w:szCs w:val="24"/>
              </w:rPr>
              <w:t>，磋商小组按照：综合得分相同的，按照最后报价由低到高的顺序推荐</w:t>
            </w:r>
            <w:r>
              <w:rPr>
                <w:rFonts w:hint="eastAsia" w:ascii="宋体" w:hAnsi="宋体"/>
                <w:color w:val="000000"/>
                <w:sz w:val="24"/>
                <w:szCs w:val="24"/>
              </w:rPr>
              <w:t>；</w:t>
            </w:r>
            <w:r>
              <w:rPr>
                <w:rFonts w:ascii="宋体" w:hAnsi="宋体"/>
                <w:color w:val="000000"/>
                <w:sz w:val="24"/>
                <w:szCs w:val="24"/>
              </w:rPr>
              <w:t>综合得分且最后报价相同的，按照技术评分得分</w:t>
            </w:r>
            <w:r>
              <w:rPr>
                <w:rFonts w:hint="eastAsia" w:ascii="宋体" w:hAnsi="宋体"/>
                <w:color w:val="000000"/>
                <w:sz w:val="24"/>
                <w:szCs w:val="24"/>
              </w:rPr>
              <w:t>高低的</w:t>
            </w:r>
            <w:r>
              <w:rPr>
                <w:rFonts w:ascii="宋体" w:hAnsi="宋体"/>
                <w:color w:val="000000"/>
                <w:sz w:val="24"/>
                <w:szCs w:val="24"/>
              </w:rPr>
              <w:t>顺序推荐</w:t>
            </w:r>
            <w:r>
              <w:rPr>
                <w:rFonts w:hint="eastAsia" w:ascii="宋体" w:hAnsi="宋体"/>
                <w:color w:val="000000"/>
                <w:sz w:val="24"/>
                <w:szCs w:val="24"/>
              </w:rPr>
              <w:t>；</w:t>
            </w:r>
            <w:r>
              <w:rPr>
                <w:rFonts w:ascii="宋体" w:hAnsi="宋体"/>
                <w:color w:val="000000"/>
                <w:sz w:val="24"/>
                <w:szCs w:val="24"/>
              </w:rPr>
              <w:t>综合得分且最后报价</w:t>
            </w:r>
            <w:r>
              <w:rPr>
                <w:rFonts w:hint="eastAsia" w:ascii="宋体" w:hAnsi="宋体"/>
                <w:color w:val="000000"/>
                <w:sz w:val="24"/>
                <w:szCs w:val="24"/>
              </w:rPr>
              <w:t>及技术评分得分</w:t>
            </w:r>
            <w:r>
              <w:rPr>
                <w:rFonts w:ascii="宋体" w:hAnsi="宋体"/>
                <w:color w:val="000000"/>
                <w:sz w:val="24"/>
                <w:szCs w:val="24"/>
              </w:rPr>
              <w:t>相同的，按照</w:t>
            </w:r>
            <w:r>
              <w:rPr>
                <w:rFonts w:hint="eastAsia" w:ascii="宋体" w:hAnsi="宋体"/>
                <w:color w:val="000000"/>
                <w:sz w:val="24"/>
                <w:szCs w:val="24"/>
              </w:rPr>
              <w:t>商务</w:t>
            </w:r>
            <w:r>
              <w:rPr>
                <w:rFonts w:ascii="宋体" w:hAnsi="宋体"/>
                <w:color w:val="000000"/>
                <w:sz w:val="24"/>
                <w:szCs w:val="24"/>
              </w:rPr>
              <w:t>评分得分优劣顺序推荐</w:t>
            </w:r>
            <w:r>
              <w:rPr>
                <w:rFonts w:hint="eastAsia" w:ascii="宋体" w:hAnsi="宋体"/>
                <w:color w:val="000000"/>
                <w:sz w:val="24"/>
                <w:szCs w:val="24"/>
              </w:rPr>
              <w:t>。</w:t>
            </w:r>
          </w:p>
          <w:p>
            <w:pPr>
              <w:spacing w:line="360" w:lineRule="auto"/>
              <w:ind w:left="8" w:leftChars="4" w:right="-120" w:rightChars="-57" w:firstLine="480" w:firstLineChars="200"/>
              <w:rPr>
                <w:rFonts w:ascii="宋体" w:hAnsi="宋体"/>
                <w:color w:val="000000"/>
                <w:sz w:val="24"/>
                <w:szCs w:val="24"/>
              </w:rPr>
            </w:pPr>
            <w:r>
              <w:rPr>
                <w:rFonts w:hint="eastAsia" w:ascii="宋体" w:hAnsi="宋体"/>
                <w:color w:val="000000"/>
                <w:sz w:val="24"/>
                <w:szCs w:val="24"/>
              </w:rPr>
              <w:t>B. （</w:t>
            </w:r>
            <w:r>
              <w:rPr>
                <w:rFonts w:hint="eastAsia" w:ascii="宋体" w:hAnsi="宋体"/>
                <w:b/>
                <w:color w:val="000000"/>
                <w:sz w:val="24"/>
                <w:szCs w:val="24"/>
              </w:rPr>
              <w:t>□</w:t>
            </w:r>
            <w:r>
              <w:rPr>
                <w:rFonts w:hint="eastAsia" w:ascii="宋体" w:hAnsi="宋体"/>
                <w:color w:val="000000"/>
                <w:sz w:val="24"/>
                <w:szCs w:val="24"/>
              </w:rPr>
              <w:t xml:space="preserve">是/ </w:t>
            </w:r>
            <w:r>
              <w:rPr>
                <w:rFonts w:hint="eastAsia" w:ascii="宋体" w:hAnsi="宋体"/>
                <w:b/>
                <w:color w:val="000000"/>
                <w:sz w:val="24"/>
                <w:szCs w:val="24"/>
              </w:rPr>
              <w:t>■</w:t>
            </w:r>
            <w:r>
              <w:rPr>
                <w:rFonts w:hint="eastAsia" w:ascii="宋体" w:hAnsi="宋体"/>
                <w:color w:val="000000"/>
                <w:sz w:val="24"/>
                <w:szCs w:val="24"/>
              </w:rPr>
              <w:t>否）属于市场竞争不充分的科研项目以及需要扶持的科技成果转化项目，成交候选供应商可以为2家；</w:t>
            </w:r>
          </w:p>
          <w:p>
            <w:pPr>
              <w:spacing w:line="360" w:lineRule="auto"/>
              <w:ind w:left="55" w:leftChars="26" w:right="-120" w:rightChars="-57" w:firstLine="480" w:firstLineChars="200"/>
              <w:rPr>
                <w:rFonts w:ascii="宋体" w:hAnsi="宋体"/>
                <w:color w:val="000000"/>
                <w:sz w:val="24"/>
                <w:szCs w:val="24"/>
              </w:rPr>
            </w:pPr>
            <w:r>
              <w:rPr>
                <w:rFonts w:hint="eastAsia" w:ascii="宋体" w:hAnsi="宋体"/>
                <w:color w:val="000000"/>
                <w:sz w:val="24"/>
                <w:szCs w:val="24"/>
              </w:rPr>
              <w:t xml:space="preserve">C.采用竞争性磋商采购方式的政府购买服务项目，在采购过程中符合要求的供应商只有2家的，竞争性磋商采购活动可以继续进行。采购过程中符合要求的供应商只有1家的，应当终止竞争性采购活动，发布终止公告并说明原因，重新开展采购活动。 </w:t>
            </w:r>
          </w:p>
          <w:p>
            <w:pPr>
              <w:spacing w:line="360" w:lineRule="auto"/>
              <w:ind w:left="55" w:leftChars="26" w:right="-120" w:rightChars="-57" w:firstLine="480" w:firstLineChars="200"/>
              <w:rPr>
                <w:rFonts w:ascii="宋体" w:hAnsi="宋体"/>
                <w:color w:val="000000"/>
                <w:sz w:val="24"/>
                <w:szCs w:val="24"/>
              </w:rPr>
            </w:pPr>
            <w:r>
              <w:rPr>
                <w:rFonts w:hint="eastAsia" w:ascii="宋体" w:hAnsi="宋体"/>
                <w:color w:val="000000"/>
                <w:sz w:val="24"/>
                <w:szCs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磋商小组，磋商</w:t>
            </w:r>
            <w:r>
              <w:rPr>
                <w:rFonts w:ascii="宋体" w:hAnsi="宋体"/>
                <w:color w:val="000000"/>
                <w:sz w:val="24"/>
                <w:szCs w:val="24"/>
              </w:rPr>
              <w:t>小组将拒绝邀请该供应商进行</w:t>
            </w:r>
            <w:r>
              <w:rPr>
                <w:rFonts w:hint="eastAsia" w:ascii="宋体" w:hAnsi="宋体"/>
                <w:color w:val="000000"/>
                <w:sz w:val="24"/>
                <w:szCs w:val="24"/>
              </w:rPr>
              <w:t>磋商</w:t>
            </w:r>
            <w:r>
              <w:rPr>
                <w:rFonts w:ascii="宋体" w:hAnsi="宋体"/>
                <w:color w:val="000000"/>
                <w:sz w:val="24"/>
                <w:szCs w:val="24"/>
              </w:rPr>
              <w:t>和报价</w:t>
            </w:r>
            <w:r>
              <w:rPr>
                <w:rFonts w:hint="eastAsia" w:ascii="宋体" w:hAnsi="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391" w:type="dxa"/>
            <w:noWrap w:val="0"/>
            <w:vAlign w:val="top"/>
          </w:tcPr>
          <w:p>
            <w:pPr>
              <w:tabs>
                <w:tab w:val="left" w:pos="1080"/>
              </w:tabs>
              <w:spacing w:line="360" w:lineRule="auto"/>
              <w:rPr>
                <w:rFonts w:ascii="宋体" w:hAnsi="宋体"/>
                <w:b/>
                <w:color w:val="000000"/>
                <w:sz w:val="24"/>
                <w:szCs w:val="24"/>
              </w:rPr>
            </w:pPr>
            <w:r>
              <w:rPr>
                <w:rFonts w:hint="eastAsia" w:ascii="宋体" w:hAnsi="宋体"/>
                <w:b/>
                <w:color w:val="000000"/>
                <w:sz w:val="24"/>
                <w:szCs w:val="24"/>
              </w:rPr>
              <w:t>二、磋商可能实质性变动的内容：</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1.采购需求技术内容</w:t>
            </w:r>
            <w:r>
              <w:rPr>
                <w:rFonts w:hint="eastAsia" w:ascii="宋体" w:hAnsi="宋体"/>
                <w:color w:val="000000"/>
                <w:sz w:val="24"/>
                <w:szCs w:val="24"/>
                <w:u w:val="single"/>
              </w:rPr>
              <w:t xml:space="preserve">：              </w:t>
            </w:r>
          </w:p>
          <w:p>
            <w:pPr>
              <w:tabs>
                <w:tab w:val="left" w:pos="-5801"/>
              </w:tabs>
              <w:spacing w:line="360" w:lineRule="auto"/>
              <w:ind w:firstLine="480" w:firstLineChars="200"/>
              <w:rPr>
                <w:rFonts w:ascii="宋体" w:hAnsi="宋体"/>
                <w:color w:val="000000"/>
                <w:sz w:val="24"/>
                <w:szCs w:val="24"/>
              </w:rPr>
            </w:pPr>
            <w:r>
              <w:rPr>
                <w:rFonts w:hint="eastAsia" w:ascii="宋体" w:hAnsi="宋体"/>
                <w:color w:val="000000"/>
                <w:sz w:val="24"/>
                <w:szCs w:val="24"/>
              </w:rPr>
              <w:t>2.采购需求服务内容</w:t>
            </w:r>
            <w:r>
              <w:rPr>
                <w:rFonts w:hint="eastAsia" w:ascii="宋体" w:hAnsi="宋体"/>
                <w:color w:val="000000"/>
                <w:sz w:val="24"/>
                <w:szCs w:val="24"/>
                <w:u w:val="single"/>
              </w:rPr>
              <w:t xml:space="preserve">：              </w:t>
            </w:r>
          </w:p>
          <w:p>
            <w:pPr>
              <w:tabs>
                <w:tab w:val="left" w:pos="-5801"/>
              </w:tabs>
              <w:spacing w:line="360" w:lineRule="auto"/>
              <w:ind w:firstLine="480" w:firstLineChars="200"/>
              <w:rPr>
                <w:rFonts w:ascii="宋体" w:hAnsi="宋体"/>
                <w:color w:val="000000"/>
                <w:sz w:val="24"/>
                <w:szCs w:val="24"/>
                <w:u w:val="single"/>
              </w:rPr>
            </w:pPr>
            <w:r>
              <w:rPr>
                <w:rFonts w:hint="eastAsia" w:ascii="宋体" w:hAnsi="宋体"/>
                <w:color w:val="000000"/>
                <w:sz w:val="24"/>
                <w:szCs w:val="24"/>
              </w:rPr>
              <w:t>3. 合同草案条款</w:t>
            </w:r>
            <w:r>
              <w:rPr>
                <w:rFonts w:hint="eastAsia" w:ascii="宋体" w:hAnsi="宋体"/>
                <w:color w:val="00000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1" w:type="dxa"/>
            <w:noWrap w:val="0"/>
            <w:vAlign w:val="top"/>
          </w:tcPr>
          <w:p>
            <w:pPr>
              <w:pStyle w:val="3"/>
              <w:snapToGrid w:val="0"/>
              <w:spacing w:line="420" w:lineRule="atLeast"/>
              <w:ind w:firstLine="0"/>
              <w:rPr>
                <w:rFonts w:ascii="宋体" w:hAnsi="宋体"/>
                <w:color w:val="000000"/>
                <w:sz w:val="24"/>
                <w:szCs w:val="24"/>
              </w:rPr>
            </w:pPr>
            <w:r>
              <w:rPr>
                <w:rFonts w:hint="eastAsia" w:ascii="宋体" w:hAnsi="宋体"/>
                <w:color w:val="000000"/>
                <w:sz w:val="24"/>
                <w:szCs w:val="24"/>
              </w:rPr>
              <w:t>二、评标标准：</w:t>
            </w:r>
          </w:p>
          <w:p>
            <w:pPr>
              <w:pStyle w:val="3"/>
              <w:snapToGrid w:val="0"/>
              <w:spacing w:line="420" w:lineRule="atLeast"/>
              <w:ind w:firstLine="482" w:firstLineChars="200"/>
              <w:rPr>
                <w:rFonts w:ascii="宋体" w:hAnsi="宋体"/>
                <w:b/>
                <w:color w:val="000000"/>
                <w:sz w:val="24"/>
                <w:szCs w:val="24"/>
              </w:rPr>
            </w:pPr>
            <w:r>
              <w:rPr>
                <w:rFonts w:hint="eastAsia" w:ascii="宋体" w:hAnsi="宋体"/>
                <w:b/>
                <w:color w:val="000000"/>
                <w:sz w:val="24"/>
                <w:szCs w:val="24"/>
              </w:rPr>
              <w:t>（一）具体的评标标准。</w:t>
            </w:r>
          </w:p>
          <w:p>
            <w:pPr>
              <w:spacing w:after="136"/>
              <w:ind w:left="497"/>
              <w:rPr>
                <w:rFonts w:ascii="宋体" w:hAnsi="宋体"/>
                <w:sz w:val="24"/>
              </w:rPr>
            </w:pPr>
            <w:r>
              <w:rPr>
                <w:rFonts w:ascii="宋体" w:hAnsi="宋体"/>
                <w:sz w:val="24"/>
              </w:rPr>
              <w:t>本次评标采用综合评分法。</w:t>
            </w:r>
          </w:p>
          <w:p>
            <w:pPr>
              <w:spacing w:line="358" w:lineRule="auto"/>
              <w:ind w:firstLine="487"/>
              <w:rPr>
                <w:rFonts w:ascii="宋体" w:hAnsi="宋体"/>
                <w:sz w:val="24"/>
              </w:rPr>
            </w:pPr>
            <w:r>
              <w:rPr>
                <w:rFonts w:ascii="宋体" w:hAnsi="宋体"/>
                <w:sz w:val="24"/>
              </w:rPr>
              <w:t>将评标因素量化，对各投标文件进行评分的满分为100分，将对商务、技术、价格3个方面的评价指标分别进行打分，各投标人3个评价指标得分之和就是该投标人的综合得分。投标人综合得分的高低，即表示该投标人综合实力的强弱，得分越高，中标的可能性越大。本项目评标因素包括：投标报价及合理性、产品技术性能、产品质量、技术培训及技术服务、用户反馈、交货期、交货地点、付款方式和售后服务承诺等。</w:t>
            </w:r>
          </w:p>
          <w:p>
            <w:pPr>
              <w:rPr>
                <w:rFonts w:ascii="宋体" w:hAnsi="宋体"/>
                <w:sz w:val="24"/>
              </w:rPr>
            </w:pPr>
            <w:r>
              <w:rPr>
                <w:rFonts w:hint="eastAsia" w:ascii="宋体" w:hAnsi="宋体"/>
                <w:sz w:val="24"/>
              </w:rPr>
              <w:t>一</w:t>
            </w:r>
            <w:r>
              <w:rPr>
                <w:rFonts w:ascii="宋体" w:hAnsi="宋体"/>
                <w:sz w:val="24"/>
              </w:rPr>
              <w:t>、评价指标（评分因素）的名称见下表：</w:t>
            </w:r>
          </w:p>
          <w:tbl>
            <w:tblPr>
              <w:tblStyle w:val="8"/>
              <w:tblW w:w="0" w:type="auto"/>
              <w:jc w:val="center"/>
              <w:tblLayout w:type="fixed"/>
              <w:tblCellMar>
                <w:top w:w="52" w:type="dxa"/>
                <w:left w:w="115" w:type="dxa"/>
                <w:bottom w:w="0" w:type="dxa"/>
                <w:right w:w="115" w:type="dxa"/>
              </w:tblCellMar>
            </w:tblPr>
            <w:tblGrid>
              <w:gridCol w:w="3203"/>
              <w:gridCol w:w="3524"/>
            </w:tblGrid>
            <w:tr>
              <w:tblPrEx>
                <w:tblCellMar>
                  <w:top w:w="52" w:type="dxa"/>
                  <w:left w:w="115" w:type="dxa"/>
                  <w:bottom w:w="0" w:type="dxa"/>
                  <w:right w:w="115" w:type="dxa"/>
                </w:tblCellMar>
              </w:tblPrEx>
              <w:trPr>
                <w:trHeight w:val="608" w:hRule="atLeast"/>
                <w:jc w:val="center"/>
              </w:trPr>
              <w:tc>
                <w:tcPr>
                  <w:tcW w:w="3203" w:type="dxa"/>
                  <w:tcBorders>
                    <w:top w:val="double" w:color="000000" w:sz="4" w:space="0"/>
                    <w:left w:val="double" w:color="000000" w:sz="4" w:space="0"/>
                    <w:bottom w:val="double" w:color="000000" w:sz="4" w:space="0"/>
                    <w:right w:val="double" w:color="000000" w:sz="4" w:space="0"/>
                  </w:tcBorders>
                  <w:noWrap w:val="0"/>
                  <w:vAlign w:val="top"/>
                </w:tcPr>
                <w:p>
                  <w:pPr>
                    <w:spacing w:line="259" w:lineRule="auto"/>
                    <w:ind w:right="3"/>
                    <w:jc w:val="center"/>
                    <w:rPr>
                      <w:rFonts w:ascii="宋体" w:hAnsi="宋体" w:eastAsia="宋体" w:cs="Times New Roman"/>
                      <w:sz w:val="24"/>
                    </w:rPr>
                  </w:pPr>
                  <w:r>
                    <w:rPr>
                      <w:rFonts w:ascii="宋体" w:hAnsi="宋体" w:eastAsia="宋体" w:cs="Times New Roman"/>
                      <w:sz w:val="24"/>
                    </w:rPr>
                    <w:t>评分细则</w:t>
                  </w:r>
                </w:p>
              </w:tc>
              <w:tc>
                <w:tcPr>
                  <w:tcW w:w="3524" w:type="dxa"/>
                  <w:tcBorders>
                    <w:top w:val="double" w:color="000000" w:sz="4" w:space="0"/>
                    <w:left w:val="double" w:color="000000" w:sz="4" w:space="0"/>
                    <w:bottom w:val="double" w:color="000000" w:sz="4" w:space="0"/>
                    <w:right w:val="double" w:color="000000" w:sz="4" w:space="0"/>
                  </w:tcBorders>
                  <w:noWrap w:val="0"/>
                  <w:vAlign w:val="top"/>
                </w:tcPr>
                <w:p>
                  <w:pPr>
                    <w:spacing w:line="259" w:lineRule="auto"/>
                    <w:ind w:right="3"/>
                    <w:jc w:val="center"/>
                    <w:rPr>
                      <w:rFonts w:ascii="宋体" w:hAnsi="宋体" w:eastAsia="宋体" w:cs="Times New Roman"/>
                      <w:sz w:val="24"/>
                    </w:rPr>
                  </w:pPr>
                  <w:r>
                    <w:rPr>
                      <w:rFonts w:ascii="宋体" w:hAnsi="宋体" w:eastAsia="宋体" w:cs="Times New Roman"/>
                      <w:sz w:val="24"/>
                    </w:rPr>
                    <w:t>实得分值</w:t>
                  </w:r>
                </w:p>
              </w:tc>
            </w:tr>
            <w:tr>
              <w:tblPrEx>
                <w:tblCellMar>
                  <w:top w:w="52" w:type="dxa"/>
                  <w:left w:w="115" w:type="dxa"/>
                  <w:bottom w:w="0" w:type="dxa"/>
                  <w:right w:w="115" w:type="dxa"/>
                </w:tblCellMar>
              </w:tblPrEx>
              <w:trPr>
                <w:trHeight w:val="517" w:hRule="atLeast"/>
                <w:jc w:val="center"/>
              </w:trPr>
              <w:tc>
                <w:tcPr>
                  <w:tcW w:w="3203" w:type="dxa"/>
                  <w:tcBorders>
                    <w:top w:val="double" w:color="000000" w:sz="4" w:space="0"/>
                    <w:left w:val="double" w:color="000000" w:sz="4" w:space="0"/>
                    <w:bottom w:val="double" w:color="000000" w:sz="4" w:space="0"/>
                    <w:right w:val="double" w:color="000000" w:sz="4" w:space="0"/>
                  </w:tcBorders>
                  <w:shd w:val="clear" w:color="auto" w:fill="auto"/>
                  <w:noWrap w:val="0"/>
                  <w:vAlign w:val="top"/>
                </w:tcPr>
                <w:p>
                  <w:pPr>
                    <w:spacing w:line="259" w:lineRule="auto"/>
                    <w:ind w:right="3"/>
                    <w:jc w:val="center"/>
                    <w:rPr>
                      <w:rFonts w:ascii="宋体" w:hAnsi="宋体" w:eastAsia="宋体" w:cs="Times New Roman"/>
                      <w:sz w:val="24"/>
                    </w:rPr>
                  </w:pPr>
                  <w:r>
                    <w:rPr>
                      <w:rFonts w:ascii="宋体" w:hAnsi="宋体" w:eastAsia="宋体" w:cs="Times New Roman"/>
                      <w:sz w:val="24"/>
                    </w:rPr>
                    <w:t>报价分</w:t>
                  </w:r>
                </w:p>
              </w:tc>
              <w:tc>
                <w:tcPr>
                  <w:tcW w:w="3524" w:type="dxa"/>
                  <w:tcBorders>
                    <w:top w:val="double" w:color="000000" w:sz="4" w:space="0"/>
                    <w:left w:val="double" w:color="000000" w:sz="4" w:space="0"/>
                    <w:bottom w:val="double" w:color="000000" w:sz="4" w:space="0"/>
                    <w:right w:val="double" w:color="000000" w:sz="4" w:space="0"/>
                  </w:tcBorders>
                  <w:shd w:val="clear" w:color="auto" w:fill="FFFFFF"/>
                  <w:noWrap w:val="0"/>
                  <w:vAlign w:val="top"/>
                </w:tcPr>
                <w:p>
                  <w:pPr>
                    <w:spacing w:line="259" w:lineRule="auto"/>
                    <w:ind w:right="3"/>
                    <w:jc w:val="center"/>
                    <w:rPr>
                      <w:rFonts w:ascii="宋体" w:hAnsi="宋体" w:eastAsia="宋体" w:cs="Times New Roman"/>
                      <w:sz w:val="24"/>
                      <w:highlight w:val="yellow"/>
                    </w:rPr>
                  </w:pPr>
                  <w:r>
                    <w:rPr>
                      <w:rFonts w:hint="eastAsia" w:ascii="宋体" w:hAnsi="宋体" w:eastAsia="宋体" w:cs="Times New Roman"/>
                      <w:sz w:val="24"/>
                      <w:highlight w:val="yellow"/>
                    </w:rPr>
                    <w:t>30</w:t>
                  </w:r>
                  <w:r>
                    <w:rPr>
                      <w:rFonts w:ascii="宋体" w:hAnsi="宋体" w:eastAsia="宋体" w:cs="Times New Roman"/>
                      <w:sz w:val="24"/>
                      <w:highlight w:val="yellow"/>
                    </w:rPr>
                    <w:t>分</w:t>
                  </w:r>
                </w:p>
              </w:tc>
            </w:tr>
            <w:tr>
              <w:tblPrEx>
                <w:tblCellMar>
                  <w:top w:w="52" w:type="dxa"/>
                  <w:left w:w="115" w:type="dxa"/>
                  <w:bottom w:w="0" w:type="dxa"/>
                  <w:right w:w="115" w:type="dxa"/>
                </w:tblCellMar>
              </w:tblPrEx>
              <w:trPr>
                <w:trHeight w:val="480" w:hRule="atLeast"/>
                <w:jc w:val="center"/>
              </w:trPr>
              <w:tc>
                <w:tcPr>
                  <w:tcW w:w="3203" w:type="dxa"/>
                  <w:tcBorders>
                    <w:top w:val="double" w:color="000000" w:sz="4" w:space="0"/>
                    <w:left w:val="double" w:color="000000" w:sz="4" w:space="0"/>
                    <w:bottom w:val="double" w:color="000000" w:sz="4" w:space="0"/>
                    <w:right w:val="double" w:color="000000" w:sz="4" w:space="0"/>
                  </w:tcBorders>
                  <w:noWrap w:val="0"/>
                  <w:vAlign w:val="top"/>
                </w:tcPr>
                <w:p>
                  <w:pPr>
                    <w:spacing w:line="259" w:lineRule="auto"/>
                    <w:ind w:right="3"/>
                    <w:jc w:val="center"/>
                    <w:rPr>
                      <w:rFonts w:ascii="宋体" w:hAnsi="宋体" w:eastAsia="宋体" w:cs="Times New Roman"/>
                      <w:sz w:val="24"/>
                    </w:rPr>
                  </w:pPr>
                  <w:r>
                    <w:rPr>
                      <w:rFonts w:ascii="宋体" w:hAnsi="宋体" w:eastAsia="宋体" w:cs="Times New Roman"/>
                      <w:sz w:val="24"/>
                    </w:rPr>
                    <w:t>商务分</w:t>
                  </w:r>
                </w:p>
              </w:tc>
              <w:tc>
                <w:tcPr>
                  <w:tcW w:w="3524" w:type="dxa"/>
                  <w:tcBorders>
                    <w:top w:val="double" w:color="000000" w:sz="4" w:space="0"/>
                    <w:left w:val="double" w:color="000000" w:sz="4" w:space="0"/>
                    <w:bottom w:val="double" w:color="000000" w:sz="4" w:space="0"/>
                    <w:right w:val="double" w:color="000000" w:sz="4" w:space="0"/>
                  </w:tcBorders>
                  <w:noWrap w:val="0"/>
                  <w:vAlign w:val="top"/>
                </w:tcPr>
                <w:p>
                  <w:pPr>
                    <w:spacing w:line="259" w:lineRule="auto"/>
                    <w:ind w:right="3"/>
                    <w:jc w:val="center"/>
                    <w:rPr>
                      <w:rFonts w:ascii="宋体" w:hAnsi="宋体" w:eastAsia="宋体" w:cs="Times New Roman"/>
                      <w:sz w:val="24"/>
                      <w:highlight w:val="yellow"/>
                    </w:rPr>
                  </w:pPr>
                  <w:r>
                    <w:rPr>
                      <w:rFonts w:hint="eastAsia" w:ascii="宋体" w:hAnsi="宋体" w:eastAsia="宋体" w:cs="Times New Roman"/>
                      <w:sz w:val="24"/>
                      <w:highlight w:val="yellow"/>
                    </w:rPr>
                    <w:t>20</w:t>
                  </w:r>
                  <w:r>
                    <w:rPr>
                      <w:rFonts w:ascii="宋体" w:hAnsi="宋体" w:eastAsia="宋体" w:cs="Times New Roman"/>
                      <w:sz w:val="24"/>
                      <w:highlight w:val="yellow"/>
                    </w:rPr>
                    <w:t>分</w:t>
                  </w:r>
                </w:p>
              </w:tc>
            </w:tr>
            <w:tr>
              <w:tblPrEx>
                <w:tblCellMar>
                  <w:top w:w="52" w:type="dxa"/>
                  <w:left w:w="115" w:type="dxa"/>
                  <w:bottom w:w="0" w:type="dxa"/>
                  <w:right w:w="115" w:type="dxa"/>
                </w:tblCellMar>
              </w:tblPrEx>
              <w:trPr>
                <w:trHeight w:val="501" w:hRule="atLeast"/>
                <w:jc w:val="center"/>
              </w:trPr>
              <w:tc>
                <w:tcPr>
                  <w:tcW w:w="3203" w:type="dxa"/>
                  <w:tcBorders>
                    <w:top w:val="double" w:color="000000" w:sz="4" w:space="0"/>
                    <w:left w:val="double" w:color="000000" w:sz="4" w:space="0"/>
                    <w:bottom w:val="double" w:color="000000" w:sz="4" w:space="0"/>
                    <w:right w:val="double" w:color="000000" w:sz="4" w:space="0"/>
                  </w:tcBorders>
                  <w:noWrap w:val="0"/>
                  <w:vAlign w:val="top"/>
                </w:tcPr>
                <w:p>
                  <w:pPr>
                    <w:spacing w:line="259" w:lineRule="auto"/>
                    <w:ind w:right="3"/>
                    <w:jc w:val="center"/>
                    <w:rPr>
                      <w:rFonts w:ascii="宋体" w:hAnsi="宋体" w:eastAsia="宋体" w:cs="Times New Roman"/>
                      <w:sz w:val="24"/>
                    </w:rPr>
                  </w:pPr>
                  <w:r>
                    <w:rPr>
                      <w:rFonts w:ascii="宋体" w:hAnsi="宋体" w:eastAsia="宋体" w:cs="Times New Roman"/>
                      <w:sz w:val="24"/>
                    </w:rPr>
                    <w:t>技术分</w:t>
                  </w:r>
                </w:p>
              </w:tc>
              <w:tc>
                <w:tcPr>
                  <w:tcW w:w="3524" w:type="dxa"/>
                  <w:tcBorders>
                    <w:top w:val="double" w:color="000000" w:sz="4" w:space="0"/>
                    <w:left w:val="double" w:color="000000" w:sz="4" w:space="0"/>
                    <w:bottom w:val="double" w:color="000000" w:sz="4" w:space="0"/>
                    <w:right w:val="double" w:color="000000" w:sz="4" w:space="0"/>
                  </w:tcBorders>
                  <w:noWrap w:val="0"/>
                  <w:vAlign w:val="top"/>
                </w:tcPr>
                <w:p>
                  <w:pPr>
                    <w:spacing w:line="259" w:lineRule="auto"/>
                    <w:ind w:right="3"/>
                    <w:jc w:val="center"/>
                    <w:rPr>
                      <w:rFonts w:ascii="宋体" w:hAnsi="宋体" w:eastAsia="宋体" w:cs="Times New Roman"/>
                      <w:sz w:val="24"/>
                      <w:highlight w:val="yellow"/>
                    </w:rPr>
                  </w:pPr>
                  <w:r>
                    <w:rPr>
                      <w:rFonts w:hint="eastAsia" w:ascii="宋体" w:hAnsi="宋体" w:eastAsia="宋体" w:cs="Times New Roman"/>
                      <w:sz w:val="24"/>
                      <w:highlight w:val="yellow"/>
                    </w:rPr>
                    <w:t>40</w:t>
                  </w:r>
                  <w:r>
                    <w:rPr>
                      <w:rFonts w:ascii="宋体" w:hAnsi="宋体" w:eastAsia="宋体" w:cs="Times New Roman"/>
                      <w:sz w:val="24"/>
                      <w:highlight w:val="yellow"/>
                    </w:rPr>
                    <w:t>分</w:t>
                  </w:r>
                </w:p>
              </w:tc>
            </w:tr>
            <w:tr>
              <w:tblPrEx>
                <w:tblCellMar>
                  <w:top w:w="52" w:type="dxa"/>
                  <w:left w:w="115" w:type="dxa"/>
                  <w:bottom w:w="0" w:type="dxa"/>
                  <w:right w:w="115" w:type="dxa"/>
                </w:tblCellMar>
              </w:tblPrEx>
              <w:trPr>
                <w:trHeight w:val="499" w:hRule="atLeast"/>
                <w:jc w:val="center"/>
              </w:trPr>
              <w:tc>
                <w:tcPr>
                  <w:tcW w:w="3203" w:type="dxa"/>
                  <w:tcBorders>
                    <w:top w:val="double" w:color="000000" w:sz="4" w:space="0"/>
                    <w:left w:val="double" w:color="000000" w:sz="4" w:space="0"/>
                    <w:bottom w:val="double" w:color="000000" w:sz="4" w:space="0"/>
                    <w:right w:val="double" w:color="000000" w:sz="4" w:space="0"/>
                  </w:tcBorders>
                  <w:noWrap w:val="0"/>
                  <w:vAlign w:val="top"/>
                </w:tcPr>
                <w:p>
                  <w:pPr>
                    <w:spacing w:line="259" w:lineRule="auto"/>
                    <w:ind w:right="3"/>
                    <w:jc w:val="center"/>
                    <w:rPr>
                      <w:rFonts w:ascii="宋体" w:hAnsi="宋体" w:eastAsia="宋体" w:cs="Times New Roman"/>
                      <w:sz w:val="24"/>
                    </w:rPr>
                  </w:pPr>
                  <w:r>
                    <w:rPr>
                      <w:rFonts w:ascii="宋体" w:hAnsi="宋体" w:eastAsia="宋体" w:cs="Times New Roman"/>
                      <w:sz w:val="24"/>
                    </w:rPr>
                    <w:t>政策性加分</w:t>
                  </w:r>
                </w:p>
              </w:tc>
              <w:tc>
                <w:tcPr>
                  <w:tcW w:w="3524" w:type="dxa"/>
                  <w:tcBorders>
                    <w:top w:val="double" w:color="000000" w:sz="4" w:space="0"/>
                    <w:left w:val="double" w:color="000000" w:sz="4" w:space="0"/>
                    <w:bottom w:val="double" w:color="000000" w:sz="4" w:space="0"/>
                    <w:right w:val="double" w:color="000000" w:sz="4" w:space="0"/>
                  </w:tcBorders>
                  <w:noWrap w:val="0"/>
                  <w:vAlign w:val="top"/>
                </w:tcPr>
                <w:p>
                  <w:pPr>
                    <w:spacing w:line="259" w:lineRule="auto"/>
                    <w:ind w:right="6"/>
                    <w:jc w:val="center"/>
                    <w:rPr>
                      <w:rFonts w:ascii="宋体" w:hAnsi="宋体" w:eastAsia="宋体" w:cs="Times New Roman"/>
                      <w:sz w:val="24"/>
                      <w:highlight w:val="yellow"/>
                    </w:rPr>
                  </w:pPr>
                  <w:r>
                    <w:rPr>
                      <w:rFonts w:hint="eastAsia" w:ascii="宋体" w:hAnsi="宋体" w:eastAsia="宋体" w:cs="Times New Roman"/>
                      <w:sz w:val="24"/>
                      <w:highlight w:val="yellow"/>
                    </w:rPr>
                    <w:t>10</w:t>
                  </w:r>
                  <w:r>
                    <w:rPr>
                      <w:rFonts w:ascii="宋体" w:hAnsi="宋体" w:eastAsia="宋体" w:cs="Times New Roman"/>
                      <w:sz w:val="24"/>
                      <w:highlight w:val="yellow"/>
                    </w:rPr>
                    <w:t>分</w:t>
                  </w:r>
                </w:p>
              </w:tc>
            </w:tr>
            <w:tr>
              <w:tblPrEx>
                <w:tblCellMar>
                  <w:top w:w="52" w:type="dxa"/>
                  <w:left w:w="115" w:type="dxa"/>
                  <w:bottom w:w="0" w:type="dxa"/>
                  <w:right w:w="115" w:type="dxa"/>
                </w:tblCellMar>
              </w:tblPrEx>
              <w:trPr>
                <w:trHeight w:val="499" w:hRule="atLeast"/>
                <w:jc w:val="center"/>
              </w:trPr>
              <w:tc>
                <w:tcPr>
                  <w:tcW w:w="3203" w:type="dxa"/>
                  <w:tcBorders>
                    <w:top w:val="double" w:color="000000" w:sz="4" w:space="0"/>
                    <w:left w:val="double" w:color="000000" w:sz="4" w:space="0"/>
                    <w:bottom w:val="double" w:color="000000" w:sz="4" w:space="0"/>
                    <w:right w:val="double" w:color="000000" w:sz="4" w:space="0"/>
                  </w:tcBorders>
                  <w:noWrap w:val="0"/>
                  <w:vAlign w:val="top"/>
                </w:tcPr>
                <w:p>
                  <w:pPr>
                    <w:spacing w:line="259" w:lineRule="auto"/>
                    <w:ind w:right="5"/>
                    <w:jc w:val="center"/>
                    <w:rPr>
                      <w:rFonts w:ascii="宋体" w:hAnsi="宋体" w:eastAsia="宋体" w:cs="Times New Roman"/>
                      <w:sz w:val="24"/>
                    </w:rPr>
                  </w:pPr>
                  <w:r>
                    <w:rPr>
                      <w:rFonts w:ascii="宋体" w:hAnsi="宋体" w:eastAsia="宋体" w:cs="Times New Roman"/>
                      <w:sz w:val="24"/>
                    </w:rPr>
                    <w:t>总分</w:t>
                  </w:r>
                </w:p>
              </w:tc>
              <w:tc>
                <w:tcPr>
                  <w:tcW w:w="3524" w:type="dxa"/>
                  <w:tcBorders>
                    <w:top w:val="double" w:color="000000" w:sz="4" w:space="0"/>
                    <w:left w:val="double" w:color="000000" w:sz="4" w:space="0"/>
                    <w:bottom w:val="double" w:color="000000" w:sz="4" w:space="0"/>
                    <w:right w:val="double" w:color="000000" w:sz="4" w:space="0"/>
                  </w:tcBorders>
                  <w:noWrap w:val="0"/>
                  <w:vAlign w:val="top"/>
                </w:tcPr>
                <w:p>
                  <w:pPr>
                    <w:spacing w:line="259" w:lineRule="auto"/>
                    <w:ind w:right="3"/>
                    <w:jc w:val="center"/>
                    <w:rPr>
                      <w:rFonts w:ascii="宋体" w:hAnsi="宋体" w:eastAsia="宋体" w:cs="Times New Roman"/>
                      <w:sz w:val="24"/>
                      <w:highlight w:val="yellow"/>
                    </w:rPr>
                  </w:pPr>
                  <w:r>
                    <w:rPr>
                      <w:rFonts w:ascii="宋体" w:hAnsi="宋体" w:eastAsia="宋体" w:cs="Times New Roman"/>
                      <w:sz w:val="24"/>
                      <w:highlight w:val="yellow"/>
                    </w:rPr>
                    <w:t>10</w:t>
                  </w:r>
                  <w:r>
                    <w:rPr>
                      <w:rFonts w:hint="eastAsia" w:ascii="宋体" w:hAnsi="宋体" w:eastAsia="宋体" w:cs="Times New Roman"/>
                      <w:sz w:val="24"/>
                      <w:highlight w:val="yellow"/>
                    </w:rPr>
                    <w:t>0</w:t>
                  </w:r>
                  <w:r>
                    <w:rPr>
                      <w:rFonts w:ascii="宋体" w:hAnsi="宋体" w:eastAsia="宋体" w:cs="Times New Roman"/>
                      <w:sz w:val="24"/>
                      <w:highlight w:val="yellow"/>
                    </w:rPr>
                    <w:t>分</w:t>
                  </w:r>
                </w:p>
              </w:tc>
            </w:tr>
          </w:tbl>
          <w:p>
            <w:pPr>
              <w:numPr>
                <w:ilvl w:val="0"/>
                <w:numId w:val="0"/>
              </w:numPr>
              <w:spacing w:after="133"/>
              <w:ind w:leftChars="0"/>
              <w:rPr>
                <w:rFonts w:hint="eastAsia" w:ascii="宋体" w:hAnsi="宋体"/>
                <w:sz w:val="24"/>
                <w:lang w:eastAsia="zh-CN"/>
              </w:rPr>
            </w:pPr>
          </w:p>
          <w:p>
            <w:pPr>
              <w:numPr>
                <w:ilvl w:val="0"/>
                <w:numId w:val="0"/>
              </w:numPr>
              <w:spacing w:after="133"/>
              <w:ind w:leftChars="0"/>
              <w:rPr>
                <w:rFonts w:ascii="宋体" w:hAnsi="宋体"/>
                <w:sz w:val="24"/>
              </w:rPr>
            </w:pPr>
            <w:r>
              <w:rPr>
                <w:rFonts w:hint="eastAsia" w:ascii="宋体" w:hAnsi="宋体"/>
                <w:sz w:val="24"/>
                <w:lang w:eastAsia="zh-CN"/>
              </w:rPr>
              <w:t>二、</w:t>
            </w:r>
            <w:r>
              <w:rPr>
                <w:rFonts w:ascii="宋体" w:hAnsi="宋体"/>
                <w:sz w:val="24"/>
              </w:rPr>
              <w:t>评标标准</w:t>
            </w:r>
          </w:p>
          <w:p>
            <w:pPr>
              <w:numPr>
                <w:ilvl w:val="0"/>
                <w:numId w:val="1"/>
              </w:numPr>
              <w:spacing w:after="136"/>
              <w:ind w:hanging="362"/>
              <w:rPr>
                <w:rFonts w:ascii="宋体" w:hAnsi="宋体"/>
                <w:sz w:val="24"/>
              </w:rPr>
            </w:pPr>
            <w:r>
              <w:rPr>
                <w:rFonts w:ascii="宋体" w:hAnsi="宋体"/>
                <w:sz w:val="24"/>
              </w:rPr>
              <w:t xml:space="preserve">报价分 </w:t>
            </w:r>
          </w:p>
          <w:p>
            <w:pPr>
              <w:spacing w:after="133"/>
              <w:ind w:left="862"/>
              <w:rPr>
                <w:rFonts w:ascii="宋体" w:hAnsi="宋体"/>
                <w:sz w:val="24"/>
              </w:rPr>
            </w:pPr>
            <w:r>
              <w:rPr>
                <w:rFonts w:ascii="宋体" w:hAnsi="宋体"/>
                <w:sz w:val="24"/>
              </w:rPr>
              <w:t>计算公式如下：</w:t>
            </w:r>
          </w:p>
          <w:p>
            <w:pPr>
              <w:spacing w:after="136"/>
              <w:ind w:left="862"/>
              <w:rPr>
                <w:rFonts w:ascii="宋体" w:hAnsi="宋体"/>
                <w:sz w:val="24"/>
              </w:rPr>
            </w:pPr>
            <w:r>
              <w:rPr>
                <w:rFonts w:ascii="宋体" w:hAnsi="宋体"/>
                <w:sz w:val="24"/>
              </w:rPr>
              <w:t>投标报价得分=(评标基准价／投标报价)×3</w:t>
            </w:r>
            <w:r>
              <w:rPr>
                <w:rFonts w:hint="eastAsia" w:ascii="宋体" w:hAnsi="宋体"/>
                <w:sz w:val="24"/>
              </w:rPr>
              <w:t>0</w:t>
            </w:r>
          </w:p>
          <w:p>
            <w:pPr>
              <w:spacing w:line="360" w:lineRule="auto"/>
              <w:ind w:left="12" w:firstLine="840"/>
              <w:rPr>
                <w:rFonts w:ascii="宋体" w:hAnsi="宋体"/>
                <w:sz w:val="24"/>
              </w:rPr>
            </w:pPr>
            <w:r>
              <w:rPr>
                <w:rFonts w:ascii="宋体" w:hAnsi="宋体"/>
                <w:sz w:val="24"/>
              </w:rPr>
              <w:t>注：①评标基准价指满足采购文件要求且投标价格最低的投标报价，投标报价指满足采购文件要求的各投标供应商的投标报价。</w:t>
            </w:r>
          </w:p>
          <w:p>
            <w:pPr>
              <w:spacing w:after="470" w:line="358" w:lineRule="auto"/>
              <w:ind w:left="12" w:firstLine="840"/>
              <w:rPr>
                <w:rFonts w:ascii="宋体" w:hAnsi="宋体"/>
                <w:sz w:val="24"/>
              </w:rPr>
            </w:pPr>
            <w:r>
              <w:rPr>
                <w:rFonts w:ascii="宋体" w:hAnsi="宋体"/>
                <w:sz w:val="24"/>
              </w:rPr>
              <w:t>②对小型、微型企业（含监狱企业）产品的价格给予6%的扣除，用扣除后的价格参与评审，但须提供中小企业声明函，严格按照财库〔2011〕181号《政府采购促进中小企业发展暂行办法》执行。提供的声明函必须真实，如有虚假（按照（工信部联企业[2011]300号），将依法承担相应责任。</w:t>
            </w:r>
          </w:p>
          <w:p>
            <w:pPr>
              <w:numPr>
                <w:ilvl w:val="0"/>
                <w:numId w:val="0"/>
              </w:numPr>
              <w:spacing w:after="136"/>
              <w:ind w:left="372" w:leftChars="0"/>
              <w:rPr>
                <w:rFonts w:hint="eastAsia" w:ascii="宋体" w:hAnsi="宋体"/>
                <w:sz w:val="24"/>
                <w:lang w:val="en-US" w:eastAsia="zh-CN"/>
              </w:rPr>
            </w:pPr>
          </w:p>
          <w:p>
            <w:pPr>
              <w:numPr>
                <w:ilvl w:val="0"/>
                <w:numId w:val="0"/>
              </w:numPr>
              <w:spacing w:after="136"/>
              <w:ind w:left="372" w:leftChars="0"/>
              <w:rPr>
                <w:rFonts w:hint="eastAsia" w:ascii="宋体" w:hAnsi="宋体"/>
                <w:sz w:val="24"/>
                <w:lang w:val="en-US" w:eastAsia="zh-CN"/>
              </w:rPr>
            </w:pPr>
          </w:p>
          <w:p>
            <w:pPr>
              <w:numPr>
                <w:ilvl w:val="0"/>
                <w:numId w:val="0"/>
              </w:numPr>
              <w:spacing w:after="136"/>
              <w:ind w:left="372" w:leftChars="0"/>
              <w:rPr>
                <w:rFonts w:hint="eastAsia" w:ascii="宋体" w:hAnsi="宋体"/>
                <w:sz w:val="24"/>
                <w:lang w:val="en-US" w:eastAsia="zh-CN"/>
              </w:rPr>
            </w:pPr>
          </w:p>
          <w:p>
            <w:pPr>
              <w:numPr>
                <w:ilvl w:val="0"/>
                <w:numId w:val="0"/>
              </w:numPr>
              <w:spacing w:after="136"/>
              <w:ind w:left="372" w:leftChars="0"/>
              <w:rPr>
                <w:rFonts w:hint="eastAsia" w:ascii="宋体" w:hAnsi="宋体"/>
                <w:sz w:val="24"/>
                <w:lang w:val="en-US" w:eastAsia="zh-CN"/>
              </w:rPr>
            </w:pPr>
          </w:p>
          <w:p>
            <w:pPr>
              <w:numPr>
                <w:ilvl w:val="0"/>
                <w:numId w:val="0"/>
              </w:numPr>
              <w:spacing w:after="136"/>
              <w:ind w:left="372" w:leftChars="0"/>
              <w:rPr>
                <w:rFonts w:hint="eastAsia" w:ascii="宋体" w:hAnsi="宋体"/>
                <w:sz w:val="24"/>
                <w:lang w:val="en-US" w:eastAsia="zh-CN"/>
              </w:rPr>
            </w:pPr>
          </w:p>
          <w:p>
            <w:pPr>
              <w:numPr>
                <w:ilvl w:val="0"/>
                <w:numId w:val="0"/>
              </w:numPr>
              <w:spacing w:after="136"/>
              <w:ind w:left="372" w:leftChars="0"/>
              <w:rPr>
                <w:rFonts w:hint="eastAsia" w:ascii="宋体" w:hAnsi="宋体"/>
                <w:sz w:val="24"/>
                <w:lang w:val="en-US" w:eastAsia="zh-CN"/>
              </w:rPr>
            </w:pPr>
          </w:p>
          <w:p>
            <w:pPr>
              <w:numPr>
                <w:ilvl w:val="0"/>
                <w:numId w:val="0"/>
              </w:numPr>
              <w:spacing w:after="136"/>
              <w:ind w:left="372" w:leftChars="0"/>
              <w:rPr>
                <w:rFonts w:ascii="宋体" w:hAnsi="宋体"/>
                <w:sz w:val="24"/>
              </w:rPr>
            </w:pPr>
            <w:r>
              <w:rPr>
                <w:rFonts w:hint="eastAsia" w:ascii="宋体" w:hAnsi="宋体"/>
                <w:sz w:val="24"/>
                <w:lang w:val="en-US" w:eastAsia="zh-CN"/>
              </w:rPr>
              <w:t>2、</w:t>
            </w:r>
            <w:r>
              <w:rPr>
                <w:rFonts w:hint="eastAsia" w:ascii="宋体" w:hAnsi="宋体"/>
                <w:sz w:val="24"/>
              </w:rPr>
              <w:t xml:space="preserve">商务分 </w:t>
            </w:r>
          </w:p>
          <w:tbl>
            <w:tblPr>
              <w:tblStyle w:val="8"/>
              <w:tblW w:w="0" w:type="auto"/>
              <w:tblInd w:w="0" w:type="dxa"/>
              <w:tblLayout w:type="fixed"/>
              <w:tblCellMar>
                <w:top w:w="39" w:type="dxa"/>
                <w:left w:w="109" w:type="dxa"/>
                <w:bottom w:w="0" w:type="dxa"/>
                <w:right w:w="47" w:type="dxa"/>
              </w:tblCellMar>
            </w:tblPr>
            <w:tblGrid>
              <w:gridCol w:w="846"/>
              <w:gridCol w:w="1417"/>
              <w:gridCol w:w="851"/>
              <w:gridCol w:w="6174"/>
            </w:tblGrid>
            <w:tr>
              <w:tblPrEx>
                <w:tblCellMar>
                  <w:top w:w="39" w:type="dxa"/>
                  <w:left w:w="109" w:type="dxa"/>
                  <w:bottom w:w="0" w:type="dxa"/>
                  <w:right w:w="47" w:type="dxa"/>
                </w:tblCellMar>
              </w:tblPrEx>
              <w:trPr>
                <w:trHeight w:val="944"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spacing w:line="259" w:lineRule="auto"/>
                    <w:jc w:val="center"/>
                    <w:rPr>
                      <w:rFonts w:ascii="宋体" w:hAnsi="宋体" w:eastAsia="宋体" w:cs="Times New Roman"/>
                      <w:sz w:val="24"/>
                    </w:rPr>
                  </w:pPr>
                  <w:r>
                    <w:rPr>
                      <w:rFonts w:ascii="宋体" w:hAnsi="宋体" w:eastAsia="宋体" w:cs="Times New Roman"/>
                      <w:sz w:val="24"/>
                    </w:rPr>
                    <w:t>名称</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59" w:lineRule="auto"/>
                    <w:jc w:val="center"/>
                    <w:rPr>
                      <w:rFonts w:ascii="宋体" w:hAnsi="宋体" w:eastAsia="宋体" w:cs="Times New Roman"/>
                      <w:sz w:val="24"/>
                    </w:rPr>
                  </w:pPr>
                  <w:r>
                    <w:rPr>
                      <w:rFonts w:ascii="宋体" w:hAnsi="宋体" w:eastAsia="宋体" w:cs="Times New Roman"/>
                      <w:sz w:val="24"/>
                    </w:rPr>
                    <w:t>评审项目</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259" w:lineRule="auto"/>
                    <w:ind w:left="7"/>
                    <w:jc w:val="center"/>
                    <w:rPr>
                      <w:rFonts w:ascii="宋体" w:hAnsi="宋体" w:eastAsia="宋体" w:cs="Times New Roman"/>
                      <w:sz w:val="24"/>
                    </w:rPr>
                  </w:pPr>
                  <w:r>
                    <w:rPr>
                      <w:rFonts w:ascii="宋体" w:hAnsi="宋体" w:eastAsia="宋体" w:cs="Times New Roman"/>
                      <w:sz w:val="24"/>
                    </w:rPr>
                    <w:t>分值</w:t>
                  </w:r>
                </w:p>
              </w:tc>
              <w:tc>
                <w:tcPr>
                  <w:tcW w:w="6174" w:type="dxa"/>
                  <w:tcBorders>
                    <w:top w:val="single" w:color="000000" w:sz="4" w:space="0"/>
                    <w:left w:val="single" w:color="000000" w:sz="4" w:space="0"/>
                    <w:bottom w:val="single" w:color="000000" w:sz="4" w:space="0"/>
                    <w:right w:val="single" w:color="000000" w:sz="4" w:space="0"/>
                  </w:tcBorders>
                  <w:noWrap w:val="0"/>
                  <w:vAlign w:val="center"/>
                </w:tcPr>
                <w:p>
                  <w:pPr>
                    <w:spacing w:line="259" w:lineRule="auto"/>
                    <w:ind w:right="62"/>
                    <w:jc w:val="center"/>
                    <w:rPr>
                      <w:rFonts w:ascii="宋体" w:hAnsi="宋体" w:eastAsia="宋体" w:cs="Times New Roman"/>
                      <w:sz w:val="24"/>
                    </w:rPr>
                  </w:pPr>
                  <w:r>
                    <w:rPr>
                      <w:rFonts w:ascii="宋体" w:hAnsi="宋体" w:eastAsia="宋体" w:cs="Times New Roman"/>
                      <w:sz w:val="24"/>
                    </w:rPr>
                    <w:t>评分细则</w:t>
                  </w:r>
                </w:p>
              </w:tc>
            </w:tr>
            <w:tr>
              <w:tblPrEx>
                <w:tblCellMar>
                  <w:top w:w="39" w:type="dxa"/>
                  <w:left w:w="109" w:type="dxa"/>
                  <w:bottom w:w="0" w:type="dxa"/>
                  <w:right w:w="47" w:type="dxa"/>
                </w:tblCellMar>
              </w:tblPrEx>
              <w:trPr>
                <w:trHeight w:val="1341" w:hRule="atLeast"/>
              </w:trPr>
              <w:tc>
                <w:tcPr>
                  <w:tcW w:w="846" w:type="dxa"/>
                  <w:vMerge w:val="restart"/>
                  <w:tcBorders>
                    <w:top w:val="single" w:color="000000" w:sz="4" w:space="0"/>
                    <w:left w:val="single" w:color="000000" w:sz="4" w:space="0"/>
                    <w:right w:val="single" w:color="000000" w:sz="4" w:space="0"/>
                  </w:tcBorders>
                  <w:noWrap w:val="0"/>
                  <w:vAlign w:val="center"/>
                </w:tcPr>
                <w:p>
                  <w:pPr>
                    <w:spacing w:line="259" w:lineRule="auto"/>
                    <w:jc w:val="center"/>
                    <w:rPr>
                      <w:rFonts w:hint="eastAsia" w:ascii="宋体" w:hAnsi="宋体" w:eastAsia="宋体" w:cs="Times New Roman"/>
                      <w:color w:val="FF0000"/>
                      <w:sz w:val="24"/>
                    </w:rPr>
                  </w:pPr>
                  <w:r>
                    <w:rPr>
                      <w:rFonts w:hint="eastAsia" w:ascii="宋体" w:hAnsi="宋体" w:eastAsia="宋体" w:cs="Times New Roman"/>
                      <w:color w:val="FF0000"/>
                      <w:sz w:val="24"/>
                    </w:rPr>
                    <w:t>商务部分</w:t>
                  </w:r>
                </w:p>
                <w:p>
                  <w:pPr>
                    <w:pStyle w:val="2"/>
                    <w:rPr>
                      <w:rFonts w:hint="eastAsia" w:eastAsia="宋体"/>
                      <w:color w:val="FF0000"/>
                      <w:sz w:val="24"/>
                      <w:szCs w:val="24"/>
                    </w:rPr>
                  </w:pPr>
                  <w:r>
                    <w:rPr>
                      <w:rFonts w:hint="eastAsia" w:eastAsia="宋体"/>
                      <w:color w:val="FF0000"/>
                      <w:sz w:val="24"/>
                      <w:szCs w:val="24"/>
                    </w:rPr>
                    <w:t>（20）</w:t>
                  </w:r>
                </w:p>
                <w:p>
                  <w:pPr>
                    <w:pStyle w:val="2"/>
                    <w:rPr>
                      <w:rFonts w:eastAsia="宋体"/>
                      <w:sz w:val="24"/>
                      <w:szCs w:val="24"/>
                    </w:rPr>
                  </w:pPr>
                  <w:r>
                    <w:rPr>
                      <w:rFonts w:hint="eastAsia" w:eastAsia="宋体"/>
                      <w:color w:val="FF0000"/>
                      <w:sz w:val="24"/>
                      <w:szCs w:val="24"/>
                    </w:rPr>
                    <w:t>分</w:t>
                  </w:r>
                </w:p>
              </w:tc>
              <w:tc>
                <w:tcPr>
                  <w:tcW w:w="1417" w:type="dxa"/>
                  <w:tcBorders>
                    <w:top w:val="single" w:color="000000" w:sz="4" w:space="0"/>
                    <w:left w:val="single" w:color="000000" w:sz="4" w:space="0"/>
                    <w:right w:val="single" w:color="000000" w:sz="4" w:space="0"/>
                  </w:tcBorders>
                  <w:noWrap w:val="0"/>
                  <w:vAlign w:val="top"/>
                </w:tcPr>
                <w:p>
                  <w:pPr>
                    <w:spacing w:line="259" w:lineRule="auto"/>
                    <w:rPr>
                      <w:rFonts w:ascii="宋体" w:hAnsi="宋体" w:eastAsia="宋体" w:cs="Times New Roman"/>
                      <w:sz w:val="24"/>
                    </w:rPr>
                  </w:pPr>
                  <w:r>
                    <w:rPr>
                      <w:rFonts w:ascii="宋体" w:hAnsi="宋体" w:eastAsia="宋体" w:cs="Times New Roman"/>
                      <w:sz w:val="24"/>
                    </w:rPr>
                    <w:t>投标文件规范性</w:t>
                  </w:r>
                </w:p>
              </w:tc>
              <w:tc>
                <w:tcPr>
                  <w:tcW w:w="851" w:type="dxa"/>
                  <w:tcBorders>
                    <w:top w:val="single" w:color="000000" w:sz="4" w:space="0"/>
                    <w:left w:val="single" w:color="000000" w:sz="4" w:space="0"/>
                    <w:right w:val="single" w:color="000000" w:sz="4" w:space="0"/>
                  </w:tcBorders>
                  <w:noWrap w:val="0"/>
                  <w:vAlign w:val="top"/>
                </w:tcPr>
                <w:p>
                  <w:pPr>
                    <w:spacing w:line="259" w:lineRule="auto"/>
                    <w:ind w:left="36"/>
                    <w:rPr>
                      <w:rFonts w:ascii="宋体" w:hAnsi="宋体" w:eastAsia="宋体" w:cs="Times New Roman"/>
                      <w:sz w:val="24"/>
                    </w:rPr>
                  </w:pPr>
                  <w:r>
                    <w:rPr>
                      <w:rFonts w:hint="eastAsia" w:ascii="宋体" w:hAnsi="宋体" w:eastAsia="宋体" w:cs="Times New Roman"/>
                      <w:sz w:val="24"/>
                    </w:rPr>
                    <w:t>2</w:t>
                  </w:r>
                  <w:r>
                    <w:rPr>
                      <w:rFonts w:ascii="宋体" w:hAnsi="宋体" w:eastAsia="宋体" w:cs="Times New Roman"/>
                      <w:sz w:val="24"/>
                    </w:rPr>
                    <w:t>分</w:t>
                  </w:r>
                </w:p>
              </w:tc>
              <w:tc>
                <w:tcPr>
                  <w:tcW w:w="6174" w:type="dxa"/>
                  <w:tcBorders>
                    <w:top w:val="single" w:color="000000" w:sz="4" w:space="0"/>
                    <w:left w:val="single" w:color="000000" w:sz="4" w:space="0"/>
                    <w:bottom w:val="single" w:color="000000" w:sz="4" w:space="0"/>
                    <w:right w:val="single" w:color="000000" w:sz="4" w:space="0"/>
                  </w:tcBorders>
                  <w:noWrap w:val="0"/>
                  <w:vAlign w:val="top"/>
                </w:tcPr>
                <w:p>
                  <w:pPr>
                    <w:spacing w:line="259" w:lineRule="auto"/>
                    <w:rPr>
                      <w:rFonts w:ascii="宋体" w:hAnsi="宋体" w:eastAsia="宋体" w:cs="Times New Roman"/>
                      <w:sz w:val="24"/>
                    </w:rPr>
                  </w:pPr>
                  <w:r>
                    <w:rPr>
                      <w:rFonts w:ascii="宋体" w:hAnsi="宋体" w:eastAsia="宋体" w:cs="Times New Roman"/>
                      <w:sz w:val="24"/>
                    </w:rPr>
                    <w:t>评标委员会根据投标文件内容的完整性、规范性和整洁性、美观性、目录清楚、顺序正确、查找方便进进综合评分。</w:t>
                  </w:r>
                  <w:r>
                    <w:rPr>
                      <w:rFonts w:hint="eastAsia" w:ascii="宋体" w:hAnsi="宋体" w:eastAsia="宋体" w:cs="Times New Roman"/>
                      <w:sz w:val="24"/>
                    </w:rPr>
                    <w:t>优得2-</w:t>
                  </w:r>
                  <w:r>
                    <w:rPr>
                      <w:rFonts w:ascii="宋体" w:hAnsi="宋体" w:eastAsia="宋体" w:cs="Times New Roman"/>
                      <w:sz w:val="24"/>
                    </w:rPr>
                    <w:t>1</w:t>
                  </w:r>
                  <w:r>
                    <w:rPr>
                      <w:rFonts w:hint="eastAsia" w:ascii="宋体" w:hAnsi="宋体" w:eastAsia="宋体" w:cs="Times New Roman"/>
                      <w:sz w:val="24"/>
                    </w:rPr>
                    <w:t>.</w:t>
                  </w:r>
                  <w:r>
                    <w:rPr>
                      <w:rFonts w:ascii="宋体" w:hAnsi="宋体" w:eastAsia="宋体" w:cs="Times New Roman"/>
                      <w:sz w:val="24"/>
                    </w:rPr>
                    <w:t>4</w:t>
                  </w:r>
                  <w:r>
                    <w:rPr>
                      <w:rFonts w:hint="eastAsia" w:ascii="宋体" w:hAnsi="宋体" w:eastAsia="宋体" w:cs="Times New Roman"/>
                      <w:sz w:val="24"/>
                    </w:rPr>
                    <w:t>分，良得1.</w:t>
                  </w:r>
                  <w:r>
                    <w:rPr>
                      <w:rFonts w:ascii="宋体" w:hAnsi="宋体" w:eastAsia="宋体" w:cs="Times New Roman"/>
                      <w:sz w:val="24"/>
                    </w:rPr>
                    <w:t>4</w:t>
                  </w:r>
                  <w:r>
                    <w:rPr>
                      <w:rFonts w:hint="eastAsia" w:ascii="宋体" w:hAnsi="宋体" w:eastAsia="宋体" w:cs="Times New Roman"/>
                      <w:sz w:val="24"/>
                    </w:rPr>
                    <w:t>-</w:t>
                  </w:r>
                  <w:r>
                    <w:rPr>
                      <w:rFonts w:ascii="宋体" w:hAnsi="宋体" w:eastAsia="宋体" w:cs="Times New Roman"/>
                      <w:sz w:val="24"/>
                    </w:rPr>
                    <w:t>0</w:t>
                  </w:r>
                  <w:r>
                    <w:rPr>
                      <w:rFonts w:hint="eastAsia" w:ascii="宋体" w:hAnsi="宋体" w:eastAsia="宋体" w:cs="Times New Roman"/>
                      <w:sz w:val="24"/>
                    </w:rPr>
                    <w:t>.</w:t>
                  </w:r>
                  <w:r>
                    <w:rPr>
                      <w:rFonts w:ascii="宋体" w:hAnsi="宋体" w:eastAsia="宋体" w:cs="Times New Roman"/>
                      <w:sz w:val="24"/>
                    </w:rPr>
                    <w:t>8</w:t>
                  </w:r>
                  <w:r>
                    <w:rPr>
                      <w:rFonts w:hint="eastAsia" w:ascii="宋体" w:hAnsi="宋体" w:eastAsia="宋体" w:cs="Times New Roman"/>
                      <w:sz w:val="24"/>
                    </w:rPr>
                    <w:t>分，一般得0.</w:t>
                  </w:r>
                  <w:r>
                    <w:rPr>
                      <w:rFonts w:ascii="宋体" w:hAnsi="宋体" w:eastAsia="宋体" w:cs="Times New Roman"/>
                      <w:sz w:val="24"/>
                    </w:rPr>
                    <w:t>8</w:t>
                  </w:r>
                  <w:r>
                    <w:rPr>
                      <w:rFonts w:hint="eastAsia" w:ascii="宋体" w:hAnsi="宋体" w:eastAsia="宋体" w:cs="Times New Roman"/>
                      <w:sz w:val="24"/>
                    </w:rPr>
                    <w:t>-</w:t>
                  </w:r>
                  <w:r>
                    <w:rPr>
                      <w:rFonts w:ascii="宋体" w:hAnsi="宋体" w:eastAsia="宋体" w:cs="Times New Roman"/>
                      <w:sz w:val="24"/>
                    </w:rPr>
                    <w:t>0</w:t>
                  </w:r>
                  <w:r>
                    <w:rPr>
                      <w:rFonts w:hint="eastAsia" w:ascii="宋体" w:hAnsi="宋体" w:eastAsia="宋体" w:cs="Times New Roman"/>
                      <w:sz w:val="24"/>
                    </w:rPr>
                    <w:t>分</w:t>
                  </w:r>
                  <w:r>
                    <w:rPr>
                      <w:rFonts w:ascii="宋体" w:hAnsi="宋体" w:eastAsia="宋体" w:cs="Times New Roman"/>
                      <w:sz w:val="24"/>
                    </w:rPr>
                    <w:t>。</w:t>
                  </w:r>
                </w:p>
              </w:tc>
            </w:tr>
            <w:tr>
              <w:tblPrEx>
                <w:tblCellMar>
                  <w:top w:w="39" w:type="dxa"/>
                  <w:left w:w="109" w:type="dxa"/>
                  <w:bottom w:w="0" w:type="dxa"/>
                  <w:right w:w="47" w:type="dxa"/>
                </w:tblCellMar>
              </w:tblPrEx>
              <w:trPr>
                <w:trHeight w:val="1038" w:hRule="atLeast"/>
              </w:trPr>
              <w:tc>
                <w:tcPr>
                  <w:tcW w:w="846" w:type="dxa"/>
                  <w:vMerge w:val="continue"/>
                  <w:tcBorders>
                    <w:left w:val="single" w:color="000000" w:sz="4" w:space="0"/>
                    <w:right w:val="single" w:color="000000" w:sz="4" w:space="0"/>
                  </w:tcBorders>
                  <w:noWrap w:val="0"/>
                  <w:vAlign w:val="top"/>
                </w:tcPr>
                <w:p>
                  <w:pPr>
                    <w:spacing w:after="160" w:line="259" w:lineRule="auto"/>
                    <w:rPr>
                      <w:rFonts w:ascii="宋体" w:hAnsi="宋体" w:eastAsia="宋体" w:cs="Times New Roman"/>
                      <w:sz w:val="24"/>
                    </w:rPr>
                  </w:pPr>
                </w:p>
              </w:tc>
              <w:tc>
                <w:tcPr>
                  <w:tcW w:w="1417" w:type="dxa"/>
                  <w:tcBorders>
                    <w:top w:val="single" w:color="000000" w:sz="4" w:space="0"/>
                    <w:left w:val="single" w:color="000000" w:sz="4" w:space="0"/>
                    <w:right w:val="single" w:color="000000" w:sz="4" w:space="0"/>
                  </w:tcBorders>
                  <w:noWrap w:val="0"/>
                  <w:vAlign w:val="top"/>
                </w:tcPr>
                <w:p>
                  <w:pPr>
                    <w:spacing w:line="259" w:lineRule="auto"/>
                    <w:rPr>
                      <w:rFonts w:ascii="宋体" w:hAnsi="宋体" w:eastAsia="宋体" w:cs="Times New Roman"/>
                      <w:sz w:val="24"/>
                    </w:rPr>
                  </w:pPr>
                  <w:r>
                    <w:rPr>
                      <w:rFonts w:ascii="宋体" w:hAnsi="宋体" w:eastAsia="宋体" w:cs="Times New Roman"/>
                      <w:sz w:val="24"/>
                    </w:rPr>
                    <w:t>售后服务及信誉</w:t>
                  </w:r>
                </w:p>
              </w:tc>
              <w:tc>
                <w:tcPr>
                  <w:tcW w:w="851" w:type="dxa"/>
                  <w:tcBorders>
                    <w:top w:val="single" w:color="000000" w:sz="4" w:space="0"/>
                    <w:left w:val="single" w:color="000000" w:sz="4" w:space="0"/>
                    <w:right w:val="single" w:color="000000" w:sz="4" w:space="0"/>
                  </w:tcBorders>
                  <w:noWrap w:val="0"/>
                  <w:vAlign w:val="top"/>
                </w:tcPr>
                <w:p>
                  <w:pPr>
                    <w:spacing w:line="259" w:lineRule="auto"/>
                    <w:ind w:left="36"/>
                    <w:rPr>
                      <w:rFonts w:ascii="宋体" w:hAnsi="宋体" w:eastAsia="宋体" w:cs="Times New Roman"/>
                      <w:sz w:val="24"/>
                    </w:rPr>
                  </w:pPr>
                  <w:r>
                    <w:rPr>
                      <w:rFonts w:hint="eastAsia" w:ascii="宋体" w:hAnsi="宋体" w:eastAsia="宋体" w:cs="Times New Roman"/>
                      <w:sz w:val="24"/>
                    </w:rPr>
                    <w:t>2</w:t>
                  </w:r>
                  <w:r>
                    <w:rPr>
                      <w:rFonts w:ascii="宋体" w:hAnsi="宋体" w:eastAsia="宋体" w:cs="Times New Roman"/>
                      <w:sz w:val="24"/>
                    </w:rPr>
                    <w:t>分</w:t>
                  </w:r>
                </w:p>
              </w:tc>
              <w:tc>
                <w:tcPr>
                  <w:tcW w:w="6174" w:type="dxa"/>
                  <w:tcBorders>
                    <w:top w:val="single" w:color="000000" w:sz="4" w:space="0"/>
                    <w:left w:val="single" w:color="000000" w:sz="4" w:space="0"/>
                    <w:bottom w:val="single" w:color="000000" w:sz="4" w:space="0"/>
                    <w:right w:val="single" w:color="000000" w:sz="4" w:space="0"/>
                  </w:tcBorders>
                  <w:noWrap w:val="0"/>
                  <w:vAlign w:val="top"/>
                </w:tcPr>
                <w:p>
                  <w:pPr>
                    <w:spacing w:line="359" w:lineRule="auto"/>
                    <w:rPr>
                      <w:rFonts w:ascii="宋体" w:hAnsi="宋体" w:eastAsia="宋体" w:cs="Times New Roman"/>
                      <w:sz w:val="24"/>
                    </w:rPr>
                  </w:pPr>
                  <w:r>
                    <w:rPr>
                      <w:rFonts w:ascii="宋体" w:hAnsi="宋体" w:eastAsia="宋体" w:cs="Times New Roman"/>
                      <w:sz w:val="24"/>
                    </w:rPr>
                    <w:t>1.售后服务：优得</w:t>
                  </w:r>
                  <w:r>
                    <w:rPr>
                      <w:rFonts w:hint="eastAsia" w:ascii="宋体" w:hAnsi="宋体" w:eastAsia="宋体" w:cs="Times New Roman"/>
                      <w:sz w:val="24"/>
                    </w:rPr>
                    <w:t>1</w:t>
                  </w:r>
                  <w:r>
                    <w:rPr>
                      <w:rFonts w:ascii="宋体" w:hAnsi="宋体" w:eastAsia="宋体" w:cs="Times New Roman"/>
                      <w:sz w:val="24"/>
                    </w:rPr>
                    <w:t>-</w:t>
                  </w:r>
                  <w:r>
                    <w:rPr>
                      <w:rFonts w:hint="eastAsia" w:ascii="宋体" w:hAnsi="宋体" w:eastAsia="宋体" w:cs="Times New Roman"/>
                      <w:sz w:val="24"/>
                    </w:rPr>
                    <w:t>0.8</w:t>
                  </w:r>
                  <w:r>
                    <w:rPr>
                      <w:rFonts w:ascii="宋体" w:hAnsi="宋体" w:eastAsia="宋体" w:cs="Times New Roman"/>
                      <w:sz w:val="24"/>
                    </w:rPr>
                    <w:t>分，良得</w:t>
                  </w:r>
                  <w:r>
                    <w:rPr>
                      <w:rFonts w:hint="eastAsia" w:ascii="宋体" w:hAnsi="宋体" w:eastAsia="宋体" w:cs="Times New Roman"/>
                      <w:sz w:val="24"/>
                    </w:rPr>
                    <w:t>0.8</w:t>
                  </w:r>
                  <w:r>
                    <w:rPr>
                      <w:rFonts w:ascii="宋体" w:hAnsi="宋体" w:eastAsia="宋体" w:cs="Times New Roman"/>
                      <w:sz w:val="24"/>
                    </w:rPr>
                    <w:t>-0.5分，一般得0.5-0 分；2.省级</w:t>
                  </w:r>
                  <w:r>
                    <w:rPr>
                      <w:rFonts w:hint="eastAsia" w:ascii="宋体" w:hAnsi="宋体" w:eastAsia="宋体" w:cs="Times New Roman"/>
                      <w:sz w:val="24"/>
                    </w:rPr>
                    <w:t>及以上</w:t>
                  </w:r>
                  <w:r>
                    <w:rPr>
                      <w:rFonts w:ascii="宋体" w:hAnsi="宋体" w:eastAsia="宋体" w:cs="Times New Roman"/>
                      <w:sz w:val="24"/>
                    </w:rPr>
                    <w:t>重合同守信用称号得</w:t>
                  </w:r>
                  <w:r>
                    <w:rPr>
                      <w:rFonts w:hint="eastAsia" w:ascii="宋体" w:hAnsi="宋体" w:eastAsia="宋体" w:cs="Times New Roman"/>
                      <w:sz w:val="24"/>
                    </w:rPr>
                    <w:t>1</w:t>
                  </w:r>
                  <w:r>
                    <w:rPr>
                      <w:rFonts w:ascii="宋体" w:hAnsi="宋体" w:eastAsia="宋体" w:cs="Times New Roman"/>
                      <w:sz w:val="24"/>
                    </w:rPr>
                    <w:t>分</w:t>
                  </w:r>
                  <w:r>
                    <w:rPr>
                      <w:rFonts w:hint="eastAsia" w:ascii="宋体" w:hAnsi="宋体" w:eastAsia="宋体" w:cs="Times New Roman"/>
                      <w:sz w:val="24"/>
                    </w:rPr>
                    <w:t>。</w:t>
                  </w:r>
                </w:p>
              </w:tc>
            </w:tr>
            <w:tr>
              <w:tblPrEx>
                <w:tblCellMar>
                  <w:top w:w="39" w:type="dxa"/>
                  <w:left w:w="109" w:type="dxa"/>
                  <w:bottom w:w="0" w:type="dxa"/>
                  <w:right w:w="47" w:type="dxa"/>
                </w:tblCellMar>
              </w:tblPrEx>
              <w:trPr>
                <w:trHeight w:val="981" w:hRule="atLeast"/>
              </w:trPr>
              <w:tc>
                <w:tcPr>
                  <w:tcW w:w="846" w:type="dxa"/>
                  <w:vMerge w:val="continue"/>
                  <w:tcBorders>
                    <w:left w:val="single" w:color="000000" w:sz="4" w:space="0"/>
                    <w:bottom w:val="single" w:color="000000" w:sz="4" w:space="0"/>
                    <w:right w:val="single" w:color="000000" w:sz="4" w:space="0"/>
                  </w:tcBorders>
                  <w:noWrap w:val="0"/>
                  <w:vAlign w:val="top"/>
                </w:tcPr>
                <w:p>
                  <w:pPr>
                    <w:spacing w:after="160" w:line="259" w:lineRule="auto"/>
                    <w:rPr>
                      <w:rFonts w:ascii="宋体" w:hAnsi="宋体" w:eastAsia="宋体" w:cs="Times New Roman"/>
                      <w:sz w:val="24"/>
                    </w:rPr>
                  </w:pPr>
                </w:p>
              </w:tc>
              <w:tc>
                <w:tcPr>
                  <w:tcW w:w="1417" w:type="dxa"/>
                  <w:tcBorders>
                    <w:top w:val="single" w:color="000000" w:sz="4" w:space="0"/>
                    <w:left w:val="single" w:color="000000" w:sz="4" w:space="0"/>
                    <w:bottom w:val="single" w:color="auto" w:sz="4" w:space="0"/>
                    <w:right w:val="single" w:color="000000" w:sz="4" w:space="0"/>
                  </w:tcBorders>
                  <w:noWrap w:val="0"/>
                  <w:vAlign w:val="top"/>
                </w:tcPr>
                <w:p>
                  <w:pPr>
                    <w:spacing w:line="259" w:lineRule="auto"/>
                    <w:ind w:right="60"/>
                    <w:jc w:val="center"/>
                    <w:rPr>
                      <w:rFonts w:ascii="宋体" w:hAnsi="宋体" w:eastAsia="宋体" w:cs="Times New Roman"/>
                      <w:sz w:val="24"/>
                    </w:rPr>
                  </w:pPr>
                  <w:r>
                    <w:rPr>
                      <w:rFonts w:ascii="宋体" w:hAnsi="宋体" w:eastAsia="宋体" w:cs="Times New Roman"/>
                      <w:sz w:val="24"/>
                    </w:rPr>
                    <w:t>质保期</w:t>
                  </w:r>
                </w:p>
              </w:tc>
              <w:tc>
                <w:tcPr>
                  <w:tcW w:w="851" w:type="dxa"/>
                  <w:tcBorders>
                    <w:top w:val="single" w:color="000000" w:sz="4" w:space="0"/>
                    <w:left w:val="single" w:color="000000" w:sz="4" w:space="0"/>
                    <w:bottom w:val="single" w:color="auto" w:sz="4" w:space="0"/>
                    <w:right w:val="single" w:color="000000" w:sz="4" w:space="0"/>
                  </w:tcBorders>
                  <w:noWrap w:val="0"/>
                  <w:vAlign w:val="top"/>
                </w:tcPr>
                <w:p>
                  <w:pPr>
                    <w:spacing w:line="259" w:lineRule="auto"/>
                    <w:ind w:left="36"/>
                    <w:rPr>
                      <w:rFonts w:ascii="宋体" w:hAnsi="宋体" w:eastAsia="宋体" w:cs="Times New Roman"/>
                      <w:sz w:val="24"/>
                    </w:rPr>
                  </w:pPr>
                  <w:r>
                    <w:rPr>
                      <w:rFonts w:hint="eastAsia" w:ascii="宋体" w:hAnsi="宋体" w:eastAsia="宋体" w:cs="Times New Roman"/>
                      <w:sz w:val="24"/>
                      <w:lang w:val="en-US" w:eastAsia="zh-CN"/>
                    </w:rPr>
                    <w:t>3</w:t>
                  </w:r>
                  <w:r>
                    <w:rPr>
                      <w:rFonts w:ascii="宋体" w:hAnsi="宋体" w:eastAsia="宋体" w:cs="Times New Roman"/>
                      <w:sz w:val="24"/>
                    </w:rPr>
                    <w:t>分</w:t>
                  </w:r>
                </w:p>
              </w:tc>
              <w:tc>
                <w:tcPr>
                  <w:tcW w:w="6174" w:type="dxa"/>
                  <w:tcBorders>
                    <w:top w:val="single" w:color="000000" w:sz="4" w:space="0"/>
                    <w:left w:val="single" w:color="000000" w:sz="4" w:space="0"/>
                    <w:bottom w:val="single" w:color="auto" w:sz="4" w:space="0"/>
                    <w:right w:val="single" w:color="000000" w:sz="4" w:space="0"/>
                  </w:tcBorders>
                  <w:noWrap w:val="0"/>
                  <w:vAlign w:val="top"/>
                </w:tcPr>
                <w:p>
                  <w:pPr>
                    <w:spacing w:line="360" w:lineRule="auto"/>
                    <w:rPr>
                      <w:rFonts w:hint="default" w:ascii="宋体" w:hAnsi="宋体" w:eastAsia="宋体" w:cs="Times New Roman"/>
                      <w:sz w:val="24"/>
                      <w:lang w:val="en-US" w:eastAsia="zh-CN"/>
                    </w:rPr>
                  </w:pPr>
                  <w:r>
                    <w:rPr>
                      <w:rFonts w:ascii="宋体" w:hAnsi="宋体" w:eastAsia="宋体" w:cs="Times New Roman"/>
                      <w:sz w:val="24"/>
                    </w:rPr>
                    <w:t>在满足</w:t>
                  </w:r>
                  <w:r>
                    <w:rPr>
                      <w:rFonts w:hint="eastAsia" w:ascii="宋体" w:hAnsi="宋体" w:eastAsia="宋体" w:cs="Times New Roman"/>
                      <w:sz w:val="24"/>
                    </w:rPr>
                    <w:t>两</w:t>
                  </w:r>
                  <w:r>
                    <w:rPr>
                      <w:rFonts w:ascii="宋体" w:hAnsi="宋体" w:eastAsia="宋体" w:cs="Times New Roman"/>
                      <w:sz w:val="24"/>
                    </w:rPr>
                    <w:t>年免费质保要求的基础上，每增加1年得</w:t>
                  </w:r>
                  <w:r>
                    <w:rPr>
                      <w:rFonts w:hint="eastAsia" w:ascii="宋体" w:hAnsi="宋体" w:eastAsia="宋体" w:cs="Times New Roman"/>
                      <w:sz w:val="24"/>
                      <w:lang w:val="en-US" w:eastAsia="zh-CN"/>
                    </w:rPr>
                    <w:t>1.5</w:t>
                  </w:r>
                </w:p>
                <w:p>
                  <w:pPr>
                    <w:spacing w:line="360" w:lineRule="auto"/>
                    <w:rPr>
                      <w:rFonts w:ascii="宋体" w:hAnsi="宋体" w:eastAsia="宋体" w:cs="Times New Roman"/>
                      <w:sz w:val="24"/>
                    </w:rPr>
                  </w:pPr>
                  <w:r>
                    <w:rPr>
                      <w:rFonts w:ascii="宋体" w:hAnsi="宋体" w:eastAsia="宋体" w:cs="Times New Roman"/>
                      <w:sz w:val="24"/>
                    </w:rPr>
                    <w:t>分，本项最高得分</w:t>
                  </w:r>
                  <w:r>
                    <w:rPr>
                      <w:rFonts w:hint="eastAsia" w:ascii="宋体" w:hAnsi="宋体" w:eastAsia="宋体" w:cs="Times New Roman"/>
                      <w:sz w:val="24"/>
                      <w:lang w:val="en-US" w:eastAsia="zh-CN"/>
                    </w:rPr>
                    <w:t>3</w:t>
                  </w:r>
                  <w:r>
                    <w:rPr>
                      <w:rFonts w:ascii="宋体" w:hAnsi="宋体" w:eastAsia="宋体" w:cs="Times New Roman"/>
                      <w:sz w:val="24"/>
                    </w:rPr>
                    <w:t>分。（增加的质保期不足1年的</w:t>
                  </w:r>
                </w:p>
                <w:p>
                  <w:pPr>
                    <w:spacing w:line="360" w:lineRule="auto"/>
                    <w:rPr>
                      <w:rFonts w:ascii="宋体" w:hAnsi="宋体" w:eastAsia="宋体" w:cs="Times New Roman"/>
                      <w:sz w:val="24"/>
                    </w:rPr>
                  </w:pPr>
                  <w:r>
                    <w:rPr>
                      <w:rFonts w:ascii="宋体" w:hAnsi="宋体" w:eastAsia="宋体" w:cs="Times New Roman"/>
                      <w:sz w:val="24"/>
                    </w:rPr>
                    <w:t>不加分）。</w:t>
                  </w:r>
                </w:p>
              </w:tc>
            </w:tr>
            <w:tr>
              <w:tblPrEx>
                <w:tblCellMar>
                  <w:top w:w="39" w:type="dxa"/>
                  <w:left w:w="109" w:type="dxa"/>
                  <w:bottom w:w="0" w:type="dxa"/>
                  <w:right w:w="47" w:type="dxa"/>
                </w:tblCellMar>
              </w:tblPrEx>
              <w:trPr>
                <w:trHeight w:val="860" w:hRule="atLeast"/>
              </w:trPr>
              <w:tc>
                <w:tcPr>
                  <w:tcW w:w="846" w:type="dxa"/>
                  <w:vMerge w:val="continue"/>
                  <w:tcBorders>
                    <w:left w:val="single" w:color="000000" w:sz="4" w:space="0"/>
                    <w:bottom w:val="single" w:color="000000" w:sz="4" w:space="0"/>
                    <w:right w:val="single" w:color="000000" w:sz="4" w:space="0"/>
                  </w:tcBorders>
                  <w:noWrap w:val="0"/>
                  <w:vAlign w:val="top"/>
                </w:tcPr>
                <w:p>
                  <w:pPr>
                    <w:spacing w:after="160" w:line="259" w:lineRule="auto"/>
                    <w:rPr>
                      <w:rFonts w:ascii="宋体" w:hAnsi="宋体" w:eastAsia="宋体" w:cs="Times New Roman"/>
                      <w:sz w:val="24"/>
                    </w:rPr>
                  </w:pPr>
                </w:p>
              </w:tc>
              <w:tc>
                <w:tcPr>
                  <w:tcW w:w="1417" w:type="dxa"/>
                  <w:tcBorders>
                    <w:top w:val="single" w:color="auto" w:sz="4" w:space="0"/>
                    <w:left w:val="single" w:color="000000" w:sz="4" w:space="0"/>
                    <w:bottom w:val="single" w:color="auto" w:sz="4" w:space="0"/>
                    <w:right w:val="single" w:color="000000" w:sz="4" w:space="0"/>
                  </w:tcBorders>
                  <w:noWrap w:val="0"/>
                  <w:vAlign w:val="top"/>
                </w:tcPr>
                <w:p>
                  <w:pPr>
                    <w:spacing w:line="259" w:lineRule="auto"/>
                    <w:rPr>
                      <w:rFonts w:ascii="宋体" w:hAnsi="宋体" w:eastAsia="宋体" w:cs="Times New Roman"/>
                      <w:sz w:val="24"/>
                    </w:rPr>
                  </w:pPr>
                  <w:r>
                    <w:rPr>
                      <w:rFonts w:ascii="宋体" w:hAnsi="宋体" w:eastAsia="宋体" w:cs="Times New Roman"/>
                      <w:sz w:val="24"/>
                    </w:rPr>
                    <w:t>技术培训</w:t>
                  </w:r>
                </w:p>
              </w:tc>
              <w:tc>
                <w:tcPr>
                  <w:tcW w:w="851" w:type="dxa"/>
                  <w:tcBorders>
                    <w:top w:val="single" w:color="auto" w:sz="4" w:space="0"/>
                    <w:left w:val="single" w:color="000000" w:sz="4" w:space="0"/>
                    <w:bottom w:val="single" w:color="auto" w:sz="4" w:space="0"/>
                    <w:right w:val="single" w:color="000000" w:sz="4" w:space="0"/>
                  </w:tcBorders>
                  <w:noWrap w:val="0"/>
                  <w:vAlign w:val="top"/>
                </w:tcPr>
                <w:p>
                  <w:pPr>
                    <w:spacing w:line="259" w:lineRule="auto"/>
                    <w:ind w:left="36"/>
                    <w:rPr>
                      <w:rFonts w:ascii="宋体" w:hAnsi="宋体" w:eastAsia="宋体" w:cs="Times New Roman"/>
                      <w:sz w:val="24"/>
                    </w:rPr>
                  </w:pPr>
                  <w:r>
                    <w:rPr>
                      <w:rFonts w:ascii="宋体" w:hAnsi="宋体" w:eastAsia="宋体" w:cs="Times New Roman"/>
                      <w:sz w:val="24"/>
                    </w:rPr>
                    <w:t>2分</w:t>
                  </w:r>
                </w:p>
              </w:tc>
              <w:tc>
                <w:tcPr>
                  <w:tcW w:w="6174" w:type="dxa"/>
                  <w:tcBorders>
                    <w:top w:val="single" w:color="auto" w:sz="4" w:space="0"/>
                    <w:left w:val="single" w:color="000000" w:sz="4" w:space="0"/>
                    <w:bottom w:val="single" w:color="auto" w:sz="4" w:space="0"/>
                    <w:right w:val="single" w:color="000000" w:sz="4" w:space="0"/>
                  </w:tcBorders>
                  <w:noWrap w:val="0"/>
                  <w:vAlign w:val="top"/>
                </w:tcPr>
                <w:p>
                  <w:pPr>
                    <w:spacing w:line="259" w:lineRule="auto"/>
                    <w:rPr>
                      <w:rFonts w:ascii="宋体" w:hAnsi="宋体" w:eastAsia="宋体" w:cs="Times New Roman"/>
                      <w:sz w:val="24"/>
                    </w:rPr>
                  </w:pPr>
                  <w:r>
                    <w:rPr>
                      <w:rFonts w:ascii="宋体" w:hAnsi="宋体" w:eastAsia="宋体" w:cs="Times New Roman"/>
                      <w:sz w:val="24"/>
                    </w:rPr>
                    <w:t>提供免费上门培训，且培训方案合理完善：优得2分；良得1分；差的或未提供的得0分。</w:t>
                  </w:r>
                </w:p>
              </w:tc>
            </w:tr>
            <w:tr>
              <w:tblPrEx>
                <w:tblCellMar>
                  <w:top w:w="39" w:type="dxa"/>
                  <w:left w:w="109" w:type="dxa"/>
                  <w:bottom w:w="0" w:type="dxa"/>
                  <w:right w:w="47" w:type="dxa"/>
                </w:tblCellMar>
              </w:tblPrEx>
              <w:trPr>
                <w:trHeight w:val="215" w:hRule="atLeast"/>
              </w:trPr>
              <w:tc>
                <w:tcPr>
                  <w:tcW w:w="846" w:type="dxa"/>
                  <w:vMerge w:val="continue"/>
                  <w:tcBorders>
                    <w:left w:val="single" w:color="000000" w:sz="4" w:space="0"/>
                    <w:bottom w:val="single" w:color="000000" w:sz="4" w:space="0"/>
                    <w:right w:val="single" w:color="000000" w:sz="4" w:space="0"/>
                  </w:tcBorders>
                  <w:noWrap w:val="0"/>
                  <w:vAlign w:val="top"/>
                </w:tcPr>
                <w:p>
                  <w:pPr>
                    <w:spacing w:after="160" w:line="259" w:lineRule="auto"/>
                    <w:rPr>
                      <w:rFonts w:ascii="宋体" w:hAnsi="宋体" w:eastAsia="宋体" w:cs="Times New Roman"/>
                      <w:sz w:val="24"/>
                    </w:rPr>
                  </w:pPr>
                </w:p>
              </w:tc>
              <w:tc>
                <w:tcPr>
                  <w:tcW w:w="1417" w:type="dxa"/>
                  <w:tcBorders>
                    <w:top w:val="single" w:color="auto" w:sz="4" w:space="0"/>
                    <w:left w:val="single" w:color="000000" w:sz="4" w:space="0"/>
                    <w:bottom w:val="single" w:color="auto" w:sz="4" w:space="0"/>
                    <w:right w:val="single" w:color="000000" w:sz="4" w:space="0"/>
                  </w:tcBorders>
                  <w:noWrap w:val="0"/>
                  <w:vAlign w:val="top"/>
                </w:tcPr>
                <w:p>
                  <w:pPr>
                    <w:spacing w:line="259" w:lineRule="auto"/>
                    <w:rPr>
                      <w:rFonts w:ascii="宋体" w:hAnsi="宋体" w:eastAsia="宋体" w:cs="Times New Roman"/>
                      <w:sz w:val="24"/>
                    </w:rPr>
                  </w:pPr>
                  <w:r>
                    <w:rPr>
                      <w:rFonts w:ascii="宋体" w:hAnsi="宋体" w:eastAsia="宋体" w:cs="Times New Roman"/>
                      <w:sz w:val="24"/>
                    </w:rPr>
                    <w:t>业绩证明</w:t>
                  </w:r>
                </w:p>
              </w:tc>
              <w:tc>
                <w:tcPr>
                  <w:tcW w:w="851" w:type="dxa"/>
                  <w:tcBorders>
                    <w:top w:val="single" w:color="auto" w:sz="4" w:space="0"/>
                    <w:left w:val="single" w:color="000000" w:sz="4" w:space="0"/>
                    <w:bottom w:val="single" w:color="auto" w:sz="4" w:space="0"/>
                    <w:right w:val="single" w:color="000000" w:sz="4" w:space="0"/>
                  </w:tcBorders>
                  <w:noWrap w:val="0"/>
                  <w:vAlign w:val="top"/>
                </w:tcPr>
                <w:p>
                  <w:pPr>
                    <w:spacing w:line="259" w:lineRule="auto"/>
                    <w:ind w:left="36"/>
                    <w:rPr>
                      <w:rFonts w:ascii="宋体" w:hAnsi="宋体" w:eastAsia="宋体" w:cs="Times New Roman"/>
                      <w:sz w:val="24"/>
                    </w:rPr>
                  </w:pPr>
                  <w:r>
                    <w:rPr>
                      <w:rFonts w:hint="eastAsia" w:ascii="宋体" w:hAnsi="宋体" w:eastAsia="宋体" w:cs="Times New Roman"/>
                      <w:sz w:val="24"/>
                      <w:lang w:val="en-US" w:eastAsia="zh-CN"/>
                    </w:rPr>
                    <w:t>6</w:t>
                  </w:r>
                  <w:r>
                    <w:rPr>
                      <w:rFonts w:ascii="宋体" w:hAnsi="宋体" w:eastAsia="宋体" w:cs="Times New Roman"/>
                      <w:sz w:val="24"/>
                    </w:rPr>
                    <w:t>分</w:t>
                  </w:r>
                </w:p>
              </w:tc>
              <w:tc>
                <w:tcPr>
                  <w:tcW w:w="6174" w:type="dxa"/>
                  <w:tcBorders>
                    <w:top w:val="single" w:color="auto" w:sz="4" w:space="0"/>
                    <w:left w:val="single" w:color="000000" w:sz="4" w:space="0"/>
                    <w:bottom w:val="single" w:color="auto" w:sz="4" w:space="0"/>
                    <w:right w:val="single" w:color="000000" w:sz="4" w:space="0"/>
                  </w:tcBorders>
                  <w:noWrap w:val="0"/>
                  <w:vAlign w:val="top"/>
                </w:tcPr>
                <w:p>
                  <w:pPr>
                    <w:spacing w:line="259" w:lineRule="auto"/>
                    <w:rPr>
                      <w:rFonts w:ascii="宋体" w:hAnsi="宋体" w:eastAsia="宋体" w:cs="Times New Roman"/>
                      <w:sz w:val="24"/>
                    </w:rPr>
                  </w:pPr>
                  <w:r>
                    <w:rPr>
                      <w:rFonts w:ascii="宋体" w:hAnsi="宋体" w:eastAsia="宋体" w:cs="Times New Roman"/>
                      <w:sz w:val="24"/>
                    </w:rPr>
                    <w:t>类似业绩：提供201</w:t>
                  </w:r>
                  <w:r>
                    <w:rPr>
                      <w:rFonts w:hint="eastAsia" w:ascii="宋体" w:hAnsi="宋体" w:eastAsia="宋体" w:cs="Times New Roman"/>
                      <w:sz w:val="24"/>
                      <w:lang w:val="en-US" w:eastAsia="zh-CN"/>
                    </w:rPr>
                    <w:t>7</w:t>
                  </w:r>
                  <w:r>
                    <w:rPr>
                      <w:rFonts w:ascii="宋体" w:hAnsi="宋体" w:eastAsia="宋体" w:cs="Times New Roman"/>
                      <w:sz w:val="24"/>
                    </w:rPr>
                    <w:t>年</w:t>
                  </w:r>
                  <w:r>
                    <w:rPr>
                      <w:rFonts w:hint="eastAsia" w:ascii="宋体" w:hAnsi="宋体" w:eastAsia="宋体" w:cs="Times New Roman"/>
                      <w:sz w:val="24"/>
                      <w:lang w:val="en-US" w:eastAsia="zh-CN"/>
                    </w:rPr>
                    <w:t>8</w:t>
                  </w:r>
                  <w:r>
                    <w:rPr>
                      <w:rFonts w:ascii="宋体" w:hAnsi="宋体" w:eastAsia="宋体" w:cs="Times New Roman"/>
                      <w:sz w:val="24"/>
                    </w:rPr>
                    <w:t>月至20</w:t>
                  </w:r>
                  <w:r>
                    <w:rPr>
                      <w:rFonts w:hint="eastAsia" w:ascii="宋体" w:hAnsi="宋体" w:eastAsia="宋体" w:cs="Times New Roman"/>
                      <w:sz w:val="24"/>
                      <w:lang w:val="en-US" w:eastAsia="zh-CN"/>
                    </w:rPr>
                    <w:t>20</w:t>
                  </w:r>
                  <w:r>
                    <w:rPr>
                      <w:rFonts w:ascii="宋体" w:hAnsi="宋体" w:eastAsia="宋体" w:cs="Times New Roman"/>
                      <w:sz w:val="24"/>
                    </w:rPr>
                    <w:t>年</w:t>
                  </w:r>
                  <w:r>
                    <w:rPr>
                      <w:rFonts w:hint="eastAsia" w:ascii="宋体" w:hAnsi="宋体" w:eastAsia="宋体" w:cs="Times New Roman"/>
                      <w:sz w:val="24"/>
                      <w:lang w:val="en-US" w:eastAsia="zh-CN"/>
                    </w:rPr>
                    <w:t>8</w:t>
                  </w:r>
                  <w:r>
                    <w:rPr>
                      <w:rFonts w:ascii="宋体" w:hAnsi="宋体" w:eastAsia="宋体" w:cs="Times New Roman"/>
                      <w:sz w:val="24"/>
                    </w:rPr>
                    <w:t>月</w:t>
                  </w:r>
                  <w:r>
                    <w:rPr>
                      <w:rFonts w:hint="eastAsia" w:ascii="宋体" w:hAnsi="宋体" w:eastAsia="宋体" w:cs="Times New Roman"/>
                      <w:sz w:val="24"/>
                    </w:rPr>
                    <w:t>类似</w:t>
                  </w:r>
                  <w:r>
                    <w:rPr>
                      <w:rFonts w:ascii="宋体" w:hAnsi="宋体" w:eastAsia="宋体" w:cs="Times New Roman"/>
                      <w:sz w:val="24"/>
                    </w:rPr>
                    <w:t>采购</w:t>
                  </w:r>
                </w:p>
                <w:p>
                  <w:pPr>
                    <w:spacing w:line="259" w:lineRule="auto"/>
                    <w:rPr>
                      <w:rFonts w:hint="eastAsia" w:ascii="宋体" w:hAnsi="宋体" w:eastAsia="宋体" w:cs="Times New Roman"/>
                      <w:sz w:val="24"/>
                    </w:rPr>
                  </w:pPr>
                  <w:r>
                    <w:rPr>
                      <w:rFonts w:ascii="宋体" w:hAnsi="宋体" w:eastAsia="宋体" w:cs="Times New Roman"/>
                      <w:sz w:val="24"/>
                    </w:rPr>
                    <w:t>项目。以签约合同为准，每提供</w:t>
                  </w:r>
                  <w:r>
                    <w:rPr>
                      <w:rFonts w:hint="eastAsia" w:ascii="宋体" w:hAnsi="宋体" w:eastAsia="宋体" w:cs="Times New Roman"/>
                      <w:sz w:val="24"/>
                    </w:rPr>
                    <w:t>1个有效业绩的得</w:t>
                  </w:r>
                  <w:r>
                    <w:rPr>
                      <w:rFonts w:hint="eastAsia" w:ascii="宋体" w:hAnsi="宋体" w:eastAsia="宋体" w:cs="Times New Roman"/>
                      <w:sz w:val="24"/>
                      <w:lang w:val="en-US" w:eastAsia="zh-CN"/>
                    </w:rPr>
                    <w:t>2</w:t>
                  </w:r>
                  <w:r>
                    <w:rPr>
                      <w:rFonts w:hint="eastAsia" w:ascii="宋体" w:hAnsi="宋体" w:eastAsia="宋体" w:cs="Times New Roman"/>
                      <w:sz w:val="24"/>
                    </w:rPr>
                    <w:t>分，满分</w:t>
                  </w:r>
                  <w:r>
                    <w:rPr>
                      <w:rFonts w:hint="eastAsia" w:ascii="宋体" w:hAnsi="宋体" w:eastAsia="宋体" w:cs="Times New Roman"/>
                      <w:sz w:val="24"/>
                      <w:lang w:val="en-US" w:eastAsia="zh-CN"/>
                    </w:rPr>
                    <w:t>6</w:t>
                  </w:r>
                  <w:r>
                    <w:rPr>
                      <w:rFonts w:hint="eastAsia" w:ascii="宋体" w:hAnsi="宋体" w:eastAsia="宋体" w:cs="Times New Roman"/>
                      <w:sz w:val="24"/>
                    </w:rPr>
                    <w:t>分。（必须提供中标通知书或合同加盖投</w:t>
                  </w:r>
                </w:p>
                <w:p>
                  <w:pPr>
                    <w:spacing w:line="259" w:lineRule="auto"/>
                    <w:rPr>
                      <w:rFonts w:ascii="宋体" w:hAnsi="宋体" w:eastAsia="宋体" w:cs="Times New Roman"/>
                      <w:sz w:val="24"/>
                    </w:rPr>
                  </w:pPr>
                  <w:r>
                    <w:rPr>
                      <w:rFonts w:hint="eastAsia" w:ascii="宋体" w:hAnsi="宋体" w:eastAsia="宋体" w:cs="Times New Roman"/>
                      <w:sz w:val="24"/>
                    </w:rPr>
                    <w:t>标单位公章的复印件。）</w:t>
                  </w:r>
                </w:p>
              </w:tc>
            </w:tr>
            <w:tr>
              <w:tblPrEx>
                <w:tblCellMar>
                  <w:top w:w="39" w:type="dxa"/>
                  <w:left w:w="109" w:type="dxa"/>
                  <w:bottom w:w="0" w:type="dxa"/>
                  <w:right w:w="47" w:type="dxa"/>
                </w:tblCellMar>
              </w:tblPrEx>
              <w:trPr>
                <w:trHeight w:val="169" w:hRule="atLeast"/>
              </w:trPr>
              <w:tc>
                <w:tcPr>
                  <w:tcW w:w="846" w:type="dxa"/>
                  <w:vMerge w:val="continue"/>
                  <w:tcBorders>
                    <w:left w:val="single" w:color="000000" w:sz="4" w:space="0"/>
                    <w:bottom w:val="single" w:color="000000" w:sz="4" w:space="0"/>
                    <w:right w:val="single" w:color="000000" w:sz="4" w:space="0"/>
                  </w:tcBorders>
                  <w:noWrap w:val="0"/>
                  <w:vAlign w:val="top"/>
                </w:tcPr>
                <w:p>
                  <w:pPr>
                    <w:spacing w:after="160" w:line="259" w:lineRule="auto"/>
                    <w:rPr>
                      <w:rFonts w:ascii="宋体" w:hAnsi="宋体" w:eastAsia="宋体" w:cs="Times New Roman"/>
                      <w:sz w:val="24"/>
                    </w:rPr>
                  </w:pPr>
                </w:p>
              </w:tc>
              <w:tc>
                <w:tcPr>
                  <w:tcW w:w="1417" w:type="dxa"/>
                  <w:tcBorders>
                    <w:top w:val="single" w:color="auto" w:sz="4" w:space="0"/>
                    <w:left w:val="single" w:color="000000" w:sz="4" w:space="0"/>
                    <w:bottom w:val="single" w:color="000000" w:sz="4" w:space="0"/>
                    <w:right w:val="single" w:color="000000" w:sz="4" w:space="0"/>
                  </w:tcBorders>
                  <w:noWrap w:val="0"/>
                  <w:vAlign w:val="top"/>
                </w:tcPr>
                <w:p>
                  <w:pPr>
                    <w:spacing w:after="160" w:line="259" w:lineRule="auto"/>
                    <w:rPr>
                      <w:rFonts w:ascii="宋体" w:hAnsi="宋体" w:eastAsia="宋体" w:cs="Times New Roman"/>
                      <w:sz w:val="24"/>
                    </w:rPr>
                  </w:pPr>
                  <w:r>
                    <w:rPr>
                      <w:rFonts w:hint="eastAsia" w:ascii="宋体" w:hAnsi="宋体" w:eastAsia="宋体" w:cs="Times New Roman"/>
                      <w:sz w:val="24"/>
                    </w:rPr>
                    <w:t>本地服务机构设置</w:t>
                  </w:r>
                </w:p>
              </w:tc>
              <w:tc>
                <w:tcPr>
                  <w:tcW w:w="851" w:type="dxa"/>
                  <w:tcBorders>
                    <w:top w:val="single" w:color="auto" w:sz="4" w:space="0"/>
                    <w:left w:val="single" w:color="000000" w:sz="4" w:space="0"/>
                    <w:bottom w:val="single" w:color="000000" w:sz="4" w:space="0"/>
                    <w:right w:val="single" w:color="000000" w:sz="4" w:space="0"/>
                  </w:tcBorders>
                  <w:noWrap w:val="0"/>
                  <w:vAlign w:val="top"/>
                </w:tcPr>
                <w:p>
                  <w:pPr>
                    <w:spacing w:after="160" w:line="259" w:lineRule="auto"/>
                    <w:rPr>
                      <w:rFonts w:ascii="宋体" w:hAnsi="宋体" w:eastAsia="宋体" w:cs="Times New Roman"/>
                      <w:sz w:val="24"/>
                    </w:rPr>
                  </w:pPr>
                  <w:r>
                    <w:rPr>
                      <w:rFonts w:hint="eastAsia" w:ascii="宋体" w:hAnsi="宋体" w:eastAsia="宋体" w:cs="Times New Roman"/>
                      <w:sz w:val="24"/>
                    </w:rPr>
                    <w:t>5分</w:t>
                  </w:r>
                </w:p>
              </w:tc>
              <w:tc>
                <w:tcPr>
                  <w:tcW w:w="6174" w:type="dxa"/>
                  <w:tcBorders>
                    <w:top w:val="single" w:color="auto" w:sz="4" w:space="0"/>
                    <w:left w:val="single" w:color="000000" w:sz="4" w:space="0"/>
                    <w:bottom w:val="single" w:color="000000" w:sz="4" w:space="0"/>
                    <w:right w:val="single" w:color="000000" w:sz="4" w:space="0"/>
                  </w:tcBorders>
                  <w:noWrap w:val="0"/>
                  <w:vAlign w:val="top"/>
                </w:tcPr>
                <w:p>
                  <w:pPr>
                    <w:spacing w:line="259" w:lineRule="auto"/>
                    <w:rPr>
                      <w:rFonts w:ascii="宋体" w:hAnsi="宋体" w:eastAsia="宋体" w:cs="Times New Roman"/>
                      <w:sz w:val="24"/>
                    </w:rPr>
                  </w:pPr>
                  <w:r>
                    <w:rPr>
                      <w:rFonts w:hint="eastAsia" w:ascii="宋体" w:hAnsi="宋体" w:eastAsia="宋体" w:cs="Times New Roman"/>
                      <w:sz w:val="24"/>
                    </w:rPr>
                    <w:t>在当地有常驻服务机构或办事机构得5分（必须提供相应的有效证明，如办公场所，</w:t>
                  </w:r>
                  <w:r>
                    <w:rPr>
                      <w:rFonts w:hint="eastAsia" w:ascii="宋体" w:hAnsi="宋体" w:eastAsia="宋体" w:cs="Times New Roman"/>
                      <w:sz w:val="24"/>
                      <w:u w:val="single"/>
                    </w:rPr>
                    <w:t>人员配置等。</w:t>
                  </w:r>
                  <w:r>
                    <w:rPr>
                      <w:rFonts w:hint="eastAsia" w:ascii="宋体" w:hAnsi="宋体" w:eastAsia="宋体" w:cs="Times New Roman"/>
                      <w:sz w:val="24"/>
                    </w:rPr>
                    <w:t>）其余情况不得分。</w:t>
                  </w:r>
                </w:p>
              </w:tc>
            </w:tr>
          </w:tbl>
          <w:p>
            <w:pPr>
              <w:spacing w:after="136"/>
              <w:ind w:left="372"/>
              <w:rPr>
                <w:rFonts w:ascii="宋体" w:hAnsi="宋体"/>
                <w:sz w:val="24"/>
              </w:rPr>
            </w:pPr>
          </w:p>
          <w:p>
            <w:pPr>
              <w:pStyle w:val="2"/>
            </w:pPr>
          </w:p>
          <w:p>
            <w:pPr>
              <w:numPr>
                <w:ilvl w:val="0"/>
                <w:numId w:val="1"/>
              </w:numPr>
              <w:spacing w:after="136"/>
              <w:ind w:hanging="362"/>
              <w:rPr>
                <w:rFonts w:ascii="宋体" w:hAnsi="宋体"/>
                <w:sz w:val="24"/>
              </w:rPr>
            </w:pPr>
            <w:r>
              <w:rPr>
                <w:rFonts w:hint="eastAsia" w:ascii="宋体" w:hAnsi="宋体"/>
                <w:sz w:val="24"/>
              </w:rPr>
              <w:t>技术分</w:t>
            </w:r>
          </w:p>
          <w:p>
            <w:pPr>
              <w:spacing w:line="259" w:lineRule="auto"/>
              <w:ind w:right="3"/>
              <w:jc w:val="center"/>
              <w:rPr>
                <w:rFonts w:hint="eastAsia" w:ascii="宋体" w:hAnsi="宋体" w:eastAsia="宋体" w:cs="Times New Roman"/>
                <w:sz w:val="24"/>
              </w:rPr>
            </w:pPr>
            <w:r>
              <w:rPr>
                <w:rFonts w:ascii="宋体" w:hAnsi="宋体" w:eastAsia="宋体" w:cs="Times New Roman"/>
                <w:sz w:val="24"/>
              </w:rPr>
              <w:t>投标设备技术性能综合评价分，以第</w:t>
            </w:r>
            <w:r>
              <w:rPr>
                <w:rFonts w:hint="eastAsia" w:ascii="宋体" w:hAnsi="宋体" w:eastAsia="宋体" w:cs="Times New Roman"/>
                <w:sz w:val="24"/>
              </w:rPr>
              <w:t>3章磋商内容及要求</w:t>
            </w:r>
            <w:r>
              <w:rPr>
                <w:rFonts w:ascii="宋体" w:hAnsi="宋体" w:eastAsia="宋体" w:cs="Times New Roman"/>
                <w:sz w:val="24"/>
              </w:rPr>
              <w:t>为</w:t>
            </w:r>
            <w:r>
              <w:rPr>
                <w:rFonts w:hint="eastAsia" w:ascii="宋体" w:hAnsi="宋体" w:eastAsia="宋体" w:cs="Times New Roman"/>
                <w:sz w:val="24"/>
                <w:lang w:eastAsia="zh-CN"/>
              </w:rPr>
              <w:t>依据</w:t>
            </w:r>
            <w:r>
              <w:rPr>
                <w:rFonts w:hint="eastAsia" w:ascii="宋体" w:hAnsi="宋体" w:eastAsia="宋体" w:cs="Times New Roman"/>
                <w:sz w:val="24"/>
              </w:rPr>
              <w:t>。</w:t>
            </w:r>
          </w:p>
          <w:p>
            <w:pPr>
              <w:spacing w:line="259" w:lineRule="auto"/>
              <w:ind w:right="3"/>
              <w:jc w:val="center"/>
              <w:rPr>
                <w:rFonts w:hint="eastAsia" w:ascii="宋体" w:hAnsi="宋体" w:eastAsia="宋体" w:cs="Times New Roman"/>
                <w:sz w:val="24"/>
              </w:rPr>
            </w:pPr>
          </w:p>
          <w:tbl>
            <w:tblPr>
              <w:tblStyle w:val="8"/>
              <w:tblW w:w="0" w:type="auto"/>
              <w:tblInd w:w="0" w:type="dxa"/>
              <w:tblLayout w:type="fixed"/>
              <w:tblCellMar>
                <w:top w:w="40" w:type="dxa"/>
                <w:left w:w="108" w:type="dxa"/>
                <w:bottom w:w="0" w:type="dxa"/>
                <w:right w:w="0" w:type="dxa"/>
              </w:tblCellMar>
            </w:tblPr>
            <w:tblGrid>
              <w:gridCol w:w="846"/>
              <w:gridCol w:w="2008"/>
              <w:gridCol w:w="1044"/>
              <w:gridCol w:w="5342"/>
            </w:tblGrid>
            <w:tr>
              <w:tblPrEx>
                <w:tblCellMar>
                  <w:top w:w="40" w:type="dxa"/>
                  <w:left w:w="108" w:type="dxa"/>
                  <w:bottom w:w="0" w:type="dxa"/>
                  <w:right w:w="0" w:type="dxa"/>
                </w:tblCellMar>
              </w:tblPrEx>
              <w:trPr>
                <w:trHeight w:val="716"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spacing w:line="259" w:lineRule="auto"/>
                    <w:jc w:val="center"/>
                    <w:rPr>
                      <w:rFonts w:ascii="宋体" w:hAnsi="宋体" w:eastAsia="宋体" w:cs="Times New Roman"/>
                      <w:sz w:val="24"/>
                    </w:rPr>
                  </w:pPr>
                  <w:r>
                    <w:rPr>
                      <w:rFonts w:ascii="宋体" w:hAnsi="宋体" w:eastAsia="宋体" w:cs="Times New Roman"/>
                      <w:sz w:val="24"/>
                    </w:rPr>
                    <w:t>名称</w:t>
                  </w:r>
                </w:p>
              </w:tc>
              <w:tc>
                <w:tcPr>
                  <w:tcW w:w="2008" w:type="dxa"/>
                  <w:tcBorders>
                    <w:top w:val="single" w:color="000000" w:sz="4" w:space="0"/>
                    <w:left w:val="single" w:color="000000" w:sz="4" w:space="0"/>
                    <w:bottom w:val="single" w:color="000000" w:sz="4" w:space="0"/>
                    <w:right w:val="single" w:color="000000" w:sz="4" w:space="0"/>
                  </w:tcBorders>
                  <w:noWrap w:val="0"/>
                  <w:vAlign w:val="center"/>
                </w:tcPr>
                <w:p>
                  <w:pPr>
                    <w:spacing w:line="259" w:lineRule="auto"/>
                    <w:ind w:left="317"/>
                    <w:jc w:val="center"/>
                    <w:rPr>
                      <w:rFonts w:ascii="宋体" w:hAnsi="宋体" w:eastAsia="宋体" w:cs="Times New Roman"/>
                      <w:sz w:val="24"/>
                    </w:rPr>
                  </w:pPr>
                  <w:r>
                    <w:rPr>
                      <w:rFonts w:ascii="宋体" w:hAnsi="宋体" w:eastAsia="宋体" w:cs="Times New Roman"/>
                      <w:sz w:val="24"/>
                    </w:rPr>
                    <w:t>评审项目</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259" w:lineRule="auto"/>
                    <w:ind w:left="7"/>
                    <w:jc w:val="center"/>
                    <w:rPr>
                      <w:rFonts w:ascii="宋体" w:hAnsi="宋体" w:eastAsia="宋体" w:cs="Times New Roman"/>
                      <w:sz w:val="24"/>
                    </w:rPr>
                  </w:pPr>
                  <w:r>
                    <w:rPr>
                      <w:rFonts w:ascii="宋体" w:hAnsi="宋体" w:eastAsia="宋体" w:cs="Times New Roman"/>
                      <w:sz w:val="24"/>
                    </w:rPr>
                    <w:t>分值</w:t>
                  </w:r>
                </w:p>
              </w:tc>
              <w:tc>
                <w:tcPr>
                  <w:tcW w:w="5342" w:type="dxa"/>
                  <w:tcBorders>
                    <w:top w:val="single" w:color="000000" w:sz="4" w:space="0"/>
                    <w:left w:val="single" w:color="000000" w:sz="4" w:space="0"/>
                    <w:bottom w:val="single" w:color="000000" w:sz="4" w:space="0"/>
                    <w:right w:val="single" w:color="000000" w:sz="4" w:space="0"/>
                  </w:tcBorders>
                  <w:noWrap w:val="0"/>
                  <w:vAlign w:val="center"/>
                </w:tcPr>
                <w:p>
                  <w:pPr>
                    <w:spacing w:line="259" w:lineRule="auto"/>
                    <w:ind w:right="3"/>
                    <w:jc w:val="center"/>
                    <w:rPr>
                      <w:rFonts w:ascii="宋体" w:hAnsi="宋体" w:eastAsia="宋体" w:cs="Times New Roman"/>
                      <w:sz w:val="24"/>
                    </w:rPr>
                  </w:pPr>
                  <w:r>
                    <w:rPr>
                      <w:rFonts w:ascii="宋体" w:hAnsi="宋体" w:eastAsia="宋体" w:cs="Times New Roman"/>
                      <w:sz w:val="24"/>
                    </w:rPr>
                    <w:t>评分细则</w:t>
                  </w:r>
                </w:p>
              </w:tc>
            </w:tr>
            <w:tr>
              <w:tblPrEx>
                <w:tblCellMar>
                  <w:top w:w="40" w:type="dxa"/>
                  <w:left w:w="108" w:type="dxa"/>
                  <w:bottom w:w="0" w:type="dxa"/>
                  <w:right w:w="0" w:type="dxa"/>
                </w:tblCellMar>
              </w:tblPrEx>
              <w:trPr>
                <w:trHeight w:val="850" w:hRule="atLeast"/>
              </w:trPr>
              <w:tc>
                <w:tcPr>
                  <w:tcW w:w="846" w:type="dxa"/>
                  <w:vMerge w:val="restart"/>
                  <w:tcBorders>
                    <w:top w:val="single" w:color="000000" w:sz="4" w:space="0"/>
                    <w:left w:val="single" w:color="000000" w:sz="4" w:space="0"/>
                    <w:right w:val="single" w:color="000000" w:sz="4" w:space="0"/>
                  </w:tcBorders>
                  <w:noWrap w:val="0"/>
                  <w:vAlign w:val="top"/>
                </w:tcPr>
                <w:p>
                  <w:pPr>
                    <w:spacing w:line="259" w:lineRule="auto"/>
                    <w:jc w:val="center"/>
                    <w:rPr>
                      <w:rFonts w:ascii="宋体" w:hAnsi="宋体" w:eastAsia="宋体" w:cs="Times New Roman"/>
                      <w:sz w:val="24"/>
                    </w:rPr>
                  </w:pPr>
                </w:p>
                <w:p>
                  <w:pPr>
                    <w:spacing w:line="259" w:lineRule="auto"/>
                    <w:jc w:val="center"/>
                    <w:rPr>
                      <w:rFonts w:hint="eastAsia" w:ascii="宋体" w:hAnsi="宋体" w:eastAsia="宋体" w:cs="Times New Roman"/>
                      <w:sz w:val="24"/>
                    </w:rPr>
                  </w:pPr>
                  <w:r>
                    <w:rPr>
                      <w:rFonts w:ascii="宋体" w:hAnsi="宋体" w:eastAsia="宋体" w:cs="Times New Roman"/>
                      <w:sz w:val="24"/>
                    </w:rPr>
                    <w:t>技术</w:t>
                  </w:r>
                </w:p>
                <w:p>
                  <w:pPr>
                    <w:spacing w:line="259" w:lineRule="auto"/>
                    <w:jc w:val="center"/>
                    <w:rPr>
                      <w:rFonts w:hint="eastAsia" w:ascii="宋体" w:hAnsi="宋体" w:eastAsia="宋体" w:cs="Times New Roman"/>
                      <w:sz w:val="24"/>
                    </w:rPr>
                  </w:pPr>
                  <w:r>
                    <w:rPr>
                      <w:rFonts w:ascii="宋体" w:hAnsi="宋体" w:eastAsia="宋体" w:cs="Times New Roman"/>
                      <w:sz w:val="24"/>
                    </w:rPr>
                    <w:t>部分</w:t>
                  </w:r>
                </w:p>
                <w:p>
                  <w:pPr>
                    <w:pStyle w:val="2"/>
                    <w:jc w:val="both"/>
                    <w:rPr>
                      <w:rFonts w:hint="eastAsia" w:ascii="宋体" w:hAnsi="宋体" w:eastAsia="宋体" w:cs="Times New Roman"/>
                      <w:b w:val="0"/>
                      <w:bCs w:val="0"/>
                      <w:color w:val="FF0000"/>
                      <w:sz w:val="24"/>
                      <w:szCs w:val="24"/>
                    </w:rPr>
                  </w:pPr>
                  <w:r>
                    <w:rPr>
                      <w:rFonts w:hint="eastAsia" w:ascii="宋体" w:hAnsi="宋体" w:eastAsia="宋体" w:cs="Times New Roman"/>
                      <w:b w:val="0"/>
                      <w:bCs w:val="0"/>
                      <w:color w:val="FF0000"/>
                      <w:sz w:val="24"/>
                      <w:szCs w:val="24"/>
                    </w:rPr>
                    <w:t>（40）</w:t>
                  </w:r>
                </w:p>
                <w:p>
                  <w:pPr>
                    <w:pStyle w:val="2"/>
                    <w:ind w:firstLine="120" w:firstLineChars="50"/>
                    <w:jc w:val="both"/>
                    <w:rPr>
                      <w:rFonts w:eastAsia="宋体"/>
                    </w:rPr>
                  </w:pPr>
                  <w:r>
                    <w:rPr>
                      <w:rFonts w:hint="eastAsia" w:ascii="宋体" w:hAnsi="宋体" w:eastAsia="宋体" w:cs="Times New Roman"/>
                      <w:b w:val="0"/>
                      <w:bCs w:val="0"/>
                      <w:color w:val="FF0000"/>
                      <w:sz w:val="24"/>
                      <w:szCs w:val="24"/>
                    </w:rPr>
                    <w:t>分</w:t>
                  </w:r>
                </w:p>
              </w:tc>
              <w:tc>
                <w:tcPr>
                  <w:tcW w:w="2008" w:type="dxa"/>
                  <w:tcBorders>
                    <w:top w:val="single" w:color="000000" w:sz="4" w:space="0"/>
                    <w:left w:val="single" w:color="000000" w:sz="4" w:space="0"/>
                    <w:bottom w:val="single" w:color="000000" w:sz="4" w:space="0"/>
                    <w:right w:val="single" w:color="000000" w:sz="4" w:space="0"/>
                  </w:tcBorders>
                  <w:noWrap w:val="0"/>
                  <w:vAlign w:val="top"/>
                </w:tcPr>
                <w:p>
                  <w:pPr>
                    <w:spacing w:line="259" w:lineRule="auto"/>
                    <w:jc w:val="center"/>
                    <w:rPr>
                      <w:rFonts w:ascii="宋体" w:hAnsi="宋体" w:eastAsia="宋体" w:cs="Times New Roman"/>
                      <w:color w:val="FF0000"/>
                      <w:sz w:val="24"/>
                    </w:rPr>
                  </w:pPr>
                  <w:r>
                    <w:rPr>
                      <w:rFonts w:ascii="宋体" w:hAnsi="宋体" w:eastAsia="宋体" w:cs="Times New Roman"/>
                      <w:color w:val="FF0000"/>
                      <w:sz w:val="24"/>
                    </w:rPr>
                    <w:t>产品重要技术参数</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after="128" w:line="259" w:lineRule="auto"/>
                    <w:ind w:left="127"/>
                    <w:jc w:val="center"/>
                    <w:rPr>
                      <w:rFonts w:ascii="宋体" w:hAnsi="宋体" w:eastAsia="宋体" w:cs="Times New Roman"/>
                      <w:color w:val="FF0000"/>
                      <w:sz w:val="24"/>
                    </w:rPr>
                  </w:pPr>
                  <w:r>
                    <w:rPr>
                      <w:rFonts w:hint="eastAsia" w:ascii="宋体" w:hAnsi="宋体" w:eastAsia="宋体" w:cs="Times New Roman"/>
                      <w:color w:val="FF0000"/>
                      <w:sz w:val="24"/>
                    </w:rPr>
                    <w:t>30分</w:t>
                  </w:r>
                </w:p>
              </w:tc>
              <w:tc>
                <w:tcPr>
                  <w:tcW w:w="5342" w:type="dxa"/>
                  <w:tcBorders>
                    <w:top w:val="single" w:color="000000" w:sz="4" w:space="0"/>
                    <w:left w:val="single" w:color="000000" w:sz="4" w:space="0"/>
                    <w:bottom w:val="single" w:color="000000" w:sz="4" w:space="0"/>
                    <w:right w:val="single" w:color="000000" w:sz="4" w:space="0"/>
                  </w:tcBorders>
                  <w:noWrap w:val="0"/>
                  <w:vAlign w:val="top"/>
                </w:tcPr>
                <w:p>
                  <w:pPr>
                    <w:spacing w:line="259" w:lineRule="auto"/>
                    <w:rPr>
                      <w:rFonts w:ascii="宋体" w:hAnsi="宋体" w:eastAsia="宋体" w:cs="Times New Roman"/>
                      <w:color w:val="FF0000"/>
                      <w:sz w:val="24"/>
                    </w:rPr>
                  </w:pPr>
                  <w:r>
                    <w:rPr>
                      <w:rFonts w:ascii="宋体" w:hAnsi="宋体" w:eastAsia="宋体" w:cs="Times New Roman"/>
                      <w:color w:val="FF0000"/>
                      <w:sz w:val="24"/>
                    </w:rPr>
                    <w:t>技术参数，</w:t>
                  </w:r>
                  <w:r>
                    <w:rPr>
                      <w:rFonts w:hint="eastAsia" w:ascii="宋体" w:hAnsi="宋体" w:eastAsia="宋体" w:cs="Times New Roman"/>
                      <w:color w:val="FF0000"/>
                      <w:sz w:val="24"/>
                    </w:rPr>
                    <w:t>优于</w:t>
                  </w:r>
                  <w:r>
                    <w:rPr>
                      <w:rFonts w:ascii="宋体" w:hAnsi="宋体" w:eastAsia="宋体" w:cs="Times New Roman"/>
                      <w:color w:val="FF0000"/>
                      <w:sz w:val="24"/>
                    </w:rPr>
                    <w:t>采购文件各项产品技术参数指标得</w:t>
                  </w:r>
                  <w:r>
                    <w:rPr>
                      <w:rFonts w:hint="eastAsia" w:ascii="宋体" w:hAnsi="宋体" w:eastAsia="宋体" w:cs="Times New Roman"/>
                      <w:color w:val="FF0000"/>
                      <w:sz w:val="24"/>
                    </w:rPr>
                    <w:t>30</w:t>
                  </w:r>
                  <w:r>
                    <w:rPr>
                      <w:rFonts w:ascii="宋体" w:hAnsi="宋体" w:eastAsia="宋体" w:cs="Times New Roman"/>
                      <w:color w:val="FF0000"/>
                      <w:sz w:val="24"/>
                    </w:rPr>
                    <w:t>分</w:t>
                  </w:r>
                  <w:r>
                    <w:rPr>
                      <w:rFonts w:hint="eastAsia" w:ascii="宋体" w:hAnsi="宋体" w:eastAsia="宋体" w:cs="Times New Roman"/>
                      <w:color w:val="FF0000"/>
                      <w:sz w:val="24"/>
                    </w:rPr>
                    <w:t>，达到</w:t>
                  </w:r>
                  <w:r>
                    <w:rPr>
                      <w:rFonts w:ascii="宋体" w:hAnsi="宋体" w:eastAsia="宋体" w:cs="Times New Roman"/>
                      <w:color w:val="FF0000"/>
                      <w:sz w:val="24"/>
                    </w:rPr>
                    <w:t>采购文件各项产品一般技术参数指标得</w:t>
                  </w:r>
                  <w:r>
                    <w:rPr>
                      <w:rFonts w:hint="eastAsia" w:ascii="宋体" w:hAnsi="宋体" w:eastAsia="宋体" w:cs="Times New Roman"/>
                      <w:color w:val="FF0000"/>
                      <w:sz w:val="24"/>
                    </w:rPr>
                    <w:t>20</w:t>
                  </w:r>
                  <w:r>
                    <w:rPr>
                      <w:rFonts w:ascii="宋体" w:hAnsi="宋体" w:eastAsia="宋体" w:cs="Times New Roman"/>
                      <w:color w:val="FF0000"/>
                      <w:sz w:val="24"/>
                    </w:rPr>
                    <w:t>分。一般技术参数负偏离的每项减3分，超过</w:t>
                  </w:r>
                  <w:r>
                    <w:rPr>
                      <w:rFonts w:hint="eastAsia" w:ascii="宋体" w:hAnsi="宋体" w:eastAsia="宋体" w:cs="Times New Roman"/>
                      <w:color w:val="FF0000"/>
                      <w:sz w:val="24"/>
                      <w:lang w:eastAsia="zh-CN"/>
                    </w:rPr>
                    <w:t>三</w:t>
                  </w:r>
                  <w:r>
                    <w:rPr>
                      <w:rFonts w:ascii="宋体" w:hAnsi="宋体" w:eastAsia="宋体" w:cs="Times New Roman"/>
                      <w:color w:val="FF0000"/>
                      <w:sz w:val="24"/>
                    </w:rPr>
                    <w:t>项负偏离本项得0分。</w:t>
                  </w:r>
                </w:p>
              </w:tc>
            </w:tr>
            <w:tr>
              <w:tblPrEx>
                <w:tblCellMar>
                  <w:top w:w="40" w:type="dxa"/>
                  <w:left w:w="108" w:type="dxa"/>
                  <w:bottom w:w="0" w:type="dxa"/>
                  <w:right w:w="0" w:type="dxa"/>
                </w:tblCellMar>
              </w:tblPrEx>
              <w:trPr>
                <w:trHeight w:val="615" w:hRule="atLeast"/>
              </w:trPr>
              <w:tc>
                <w:tcPr>
                  <w:tcW w:w="846" w:type="dxa"/>
                  <w:vMerge w:val="continue"/>
                  <w:tcBorders>
                    <w:left w:val="single" w:color="000000" w:sz="4" w:space="0"/>
                    <w:right w:val="single" w:color="000000" w:sz="4" w:space="0"/>
                  </w:tcBorders>
                  <w:noWrap w:val="0"/>
                  <w:vAlign w:val="top"/>
                </w:tcPr>
                <w:p>
                  <w:pPr>
                    <w:spacing w:after="160" w:line="259" w:lineRule="auto"/>
                    <w:rPr>
                      <w:rFonts w:ascii="宋体" w:hAnsi="宋体" w:eastAsia="宋体" w:cs="Times New Roman"/>
                      <w:sz w:val="24"/>
                    </w:rPr>
                  </w:pPr>
                </w:p>
              </w:tc>
              <w:tc>
                <w:tcPr>
                  <w:tcW w:w="2008" w:type="dxa"/>
                  <w:tcBorders>
                    <w:top w:val="single" w:color="000000" w:sz="4" w:space="0"/>
                    <w:left w:val="single" w:color="000000" w:sz="4" w:space="0"/>
                    <w:bottom w:val="single" w:color="auto" w:sz="4" w:space="0"/>
                    <w:right w:val="single" w:color="000000" w:sz="4" w:space="0"/>
                  </w:tcBorders>
                  <w:noWrap w:val="0"/>
                  <w:vAlign w:val="top"/>
                </w:tcPr>
                <w:p>
                  <w:pPr>
                    <w:spacing w:line="259" w:lineRule="auto"/>
                    <w:ind w:left="1"/>
                    <w:rPr>
                      <w:rFonts w:ascii="宋体" w:hAnsi="宋体" w:eastAsia="宋体" w:cs="Times New Roman"/>
                      <w:sz w:val="24"/>
                    </w:rPr>
                  </w:pPr>
                  <w:r>
                    <w:rPr>
                      <w:rFonts w:ascii="宋体" w:hAnsi="宋体" w:eastAsia="宋体" w:cs="Times New Roman"/>
                      <w:sz w:val="24"/>
                    </w:rPr>
                    <w:t>安装、调试、验收的方案和措施</w:t>
                  </w:r>
                </w:p>
              </w:tc>
              <w:tc>
                <w:tcPr>
                  <w:tcW w:w="1044" w:type="dxa"/>
                  <w:tcBorders>
                    <w:top w:val="single" w:color="000000" w:sz="4" w:space="0"/>
                    <w:left w:val="single" w:color="000000" w:sz="4" w:space="0"/>
                    <w:bottom w:val="single" w:color="auto" w:sz="4" w:space="0"/>
                    <w:right w:val="single" w:color="000000" w:sz="4" w:space="0"/>
                  </w:tcBorders>
                  <w:noWrap w:val="0"/>
                  <w:vAlign w:val="center"/>
                </w:tcPr>
                <w:p>
                  <w:pPr>
                    <w:spacing w:after="128" w:line="259" w:lineRule="auto"/>
                    <w:ind w:left="127"/>
                    <w:jc w:val="center"/>
                    <w:rPr>
                      <w:rFonts w:ascii="宋体" w:hAnsi="宋体" w:eastAsia="宋体" w:cs="Times New Roman"/>
                      <w:sz w:val="24"/>
                    </w:rPr>
                  </w:pPr>
                  <w:r>
                    <w:rPr>
                      <w:rFonts w:hint="eastAsia" w:ascii="宋体" w:hAnsi="宋体" w:eastAsia="宋体" w:cs="Times New Roman"/>
                      <w:sz w:val="24"/>
                    </w:rPr>
                    <w:t>5</w:t>
                  </w:r>
                </w:p>
              </w:tc>
              <w:tc>
                <w:tcPr>
                  <w:tcW w:w="5342" w:type="dxa"/>
                  <w:tcBorders>
                    <w:top w:val="single" w:color="000000" w:sz="4" w:space="0"/>
                    <w:left w:val="single" w:color="000000" w:sz="4" w:space="0"/>
                    <w:bottom w:val="single" w:color="auto" w:sz="4" w:space="0"/>
                    <w:right w:val="single" w:color="000000" w:sz="4" w:space="0"/>
                  </w:tcBorders>
                  <w:noWrap w:val="0"/>
                  <w:vAlign w:val="top"/>
                </w:tcPr>
                <w:p>
                  <w:pPr>
                    <w:spacing w:line="358" w:lineRule="auto"/>
                    <w:rPr>
                      <w:rFonts w:ascii="宋体" w:hAnsi="宋体" w:eastAsia="宋体" w:cs="Times New Roman"/>
                      <w:sz w:val="24"/>
                    </w:rPr>
                  </w:pPr>
                  <w:r>
                    <w:rPr>
                      <w:rFonts w:ascii="宋体" w:hAnsi="宋体" w:eastAsia="宋体" w:cs="Times New Roman"/>
                      <w:sz w:val="24"/>
                    </w:rPr>
                    <w:t>对投标文件中体现的安装、调试、验收的方案和措施科学合理进行综合评价。优得</w:t>
                  </w:r>
                  <w:r>
                    <w:rPr>
                      <w:rFonts w:hint="eastAsia" w:ascii="宋体" w:hAnsi="宋体" w:eastAsia="宋体" w:cs="Times New Roman"/>
                      <w:sz w:val="24"/>
                    </w:rPr>
                    <w:t>5</w:t>
                  </w:r>
                  <w:r>
                    <w:rPr>
                      <w:rFonts w:ascii="宋体" w:hAnsi="宋体" w:eastAsia="宋体" w:cs="Times New Roman"/>
                      <w:sz w:val="24"/>
                    </w:rPr>
                    <w:t>-</w:t>
                  </w:r>
                  <w:r>
                    <w:rPr>
                      <w:rFonts w:hint="eastAsia" w:ascii="宋体" w:hAnsi="宋体" w:eastAsia="宋体" w:cs="Times New Roman"/>
                      <w:sz w:val="24"/>
                    </w:rPr>
                    <w:t>3</w:t>
                  </w:r>
                  <w:r>
                    <w:rPr>
                      <w:rFonts w:ascii="宋体" w:hAnsi="宋体" w:eastAsia="宋体" w:cs="Times New Roman"/>
                      <w:sz w:val="24"/>
                    </w:rPr>
                    <w:t>分，良得</w:t>
                  </w:r>
                  <w:r>
                    <w:rPr>
                      <w:rFonts w:hint="eastAsia" w:ascii="宋体" w:hAnsi="宋体" w:eastAsia="宋体" w:cs="Times New Roman"/>
                      <w:color w:val="FF0000"/>
                      <w:sz w:val="24"/>
                    </w:rPr>
                    <w:t>3</w:t>
                  </w:r>
                  <w:r>
                    <w:rPr>
                      <w:rFonts w:ascii="宋体" w:hAnsi="宋体" w:eastAsia="宋体" w:cs="Times New Roman"/>
                      <w:color w:val="FF0000"/>
                      <w:sz w:val="24"/>
                    </w:rPr>
                    <w:t>-</w:t>
                  </w:r>
                  <w:r>
                    <w:rPr>
                      <w:rFonts w:hint="eastAsia" w:ascii="宋体" w:hAnsi="宋体" w:eastAsia="宋体" w:cs="Times New Roman"/>
                      <w:color w:val="FF0000"/>
                      <w:sz w:val="24"/>
                    </w:rPr>
                    <w:t>1</w:t>
                  </w:r>
                  <w:r>
                    <w:rPr>
                      <w:rFonts w:ascii="宋体" w:hAnsi="宋体" w:eastAsia="宋体" w:cs="Times New Roman"/>
                      <w:sz w:val="24"/>
                    </w:rPr>
                    <w:t>分，差得1-0分。</w:t>
                  </w:r>
                </w:p>
              </w:tc>
            </w:tr>
            <w:tr>
              <w:tblPrEx>
                <w:tblCellMar>
                  <w:top w:w="40" w:type="dxa"/>
                  <w:left w:w="108" w:type="dxa"/>
                  <w:bottom w:w="0" w:type="dxa"/>
                  <w:right w:w="0" w:type="dxa"/>
                </w:tblCellMar>
              </w:tblPrEx>
              <w:trPr>
                <w:trHeight w:val="770" w:hRule="atLeast"/>
              </w:trPr>
              <w:tc>
                <w:tcPr>
                  <w:tcW w:w="846" w:type="dxa"/>
                  <w:vMerge w:val="continue"/>
                  <w:tcBorders>
                    <w:left w:val="single" w:color="000000" w:sz="4" w:space="0"/>
                    <w:right w:val="single" w:color="000000" w:sz="4" w:space="0"/>
                  </w:tcBorders>
                  <w:noWrap w:val="0"/>
                  <w:vAlign w:val="top"/>
                </w:tcPr>
                <w:p>
                  <w:pPr>
                    <w:spacing w:after="160" w:line="259" w:lineRule="auto"/>
                    <w:rPr>
                      <w:rFonts w:ascii="宋体" w:hAnsi="宋体" w:eastAsia="宋体" w:cs="Times New Roman"/>
                      <w:sz w:val="24"/>
                    </w:rPr>
                  </w:pPr>
                </w:p>
              </w:tc>
              <w:tc>
                <w:tcPr>
                  <w:tcW w:w="2008" w:type="dxa"/>
                  <w:tcBorders>
                    <w:top w:val="single" w:color="auto" w:sz="4" w:space="0"/>
                    <w:left w:val="single" w:color="000000" w:sz="4" w:space="0"/>
                    <w:right w:val="single" w:color="000000" w:sz="4" w:space="0"/>
                  </w:tcBorders>
                  <w:noWrap w:val="0"/>
                  <w:vAlign w:val="top"/>
                </w:tcPr>
                <w:p>
                  <w:pPr>
                    <w:spacing w:line="259" w:lineRule="auto"/>
                    <w:ind w:left="1"/>
                    <w:rPr>
                      <w:rFonts w:ascii="宋体" w:hAnsi="宋体" w:eastAsia="宋体" w:cs="Times New Roman"/>
                      <w:sz w:val="24"/>
                    </w:rPr>
                  </w:pPr>
                  <w:r>
                    <w:rPr>
                      <w:rFonts w:ascii="宋体" w:hAnsi="宋体" w:eastAsia="宋体" w:cs="Times New Roman"/>
                      <w:sz w:val="24"/>
                    </w:rPr>
                    <w:t>所投产品综合评价</w:t>
                  </w:r>
                </w:p>
              </w:tc>
              <w:tc>
                <w:tcPr>
                  <w:tcW w:w="1044" w:type="dxa"/>
                  <w:tcBorders>
                    <w:top w:val="single" w:color="auto" w:sz="4" w:space="0"/>
                    <w:left w:val="single" w:color="000000" w:sz="4" w:space="0"/>
                    <w:right w:val="single" w:color="000000" w:sz="4" w:space="0"/>
                  </w:tcBorders>
                  <w:noWrap w:val="0"/>
                  <w:vAlign w:val="center"/>
                </w:tcPr>
                <w:p>
                  <w:pPr>
                    <w:spacing w:after="128" w:line="259" w:lineRule="auto"/>
                    <w:ind w:left="127"/>
                    <w:jc w:val="center"/>
                    <w:rPr>
                      <w:rFonts w:ascii="宋体" w:hAnsi="宋体" w:eastAsia="宋体" w:cs="Times New Roman"/>
                      <w:sz w:val="24"/>
                    </w:rPr>
                  </w:pPr>
                  <w:r>
                    <w:rPr>
                      <w:rFonts w:hint="eastAsia" w:ascii="宋体" w:hAnsi="宋体" w:eastAsia="宋体" w:cs="Times New Roman"/>
                      <w:sz w:val="24"/>
                    </w:rPr>
                    <w:t>5</w:t>
                  </w:r>
                </w:p>
              </w:tc>
              <w:tc>
                <w:tcPr>
                  <w:tcW w:w="5342" w:type="dxa"/>
                  <w:tcBorders>
                    <w:top w:val="single" w:color="auto" w:sz="4" w:space="0"/>
                    <w:left w:val="single" w:color="000000" w:sz="4" w:space="0"/>
                    <w:right w:val="single" w:color="000000" w:sz="4" w:space="0"/>
                  </w:tcBorders>
                  <w:noWrap w:val="0"/>
                  <w:vAlign w:val="top"/>
                </w:tcPr>
                <w:p>
                  <w:pPr>
                    <w:spacing w:line="259" w:lineRule="auto"/>
                    <w:rPr>
                      <w:rFonts w:ascii="宋体" w:hAnsi="宋体" w:eastAsia="宋体" w:cs="Times New Roman"/>
                      <w:sz w:val="24"/>
                    </w:rPr>
                  </w:pPr>
                  <w:r>
                    <w:rPr>
                      <w:rFonts w:ascii="宋体" w:hAnsi="宋体" w:eastAsia="宋体" w:cs="Times New Roman"/>
                      <w:sz w:val="24"/>
                    </w:rPr>
                    <w:t>评标委员会根据投标供应商所投产品的品牌、市场、信誉、易用性、授权等综合性能进行评分。优得</w:t>
                  </w:r>
                  <w:r>
                    <w:rPr>
                      <w:rFonts w:hint="eastAsia" w:ascii="宋体" w:hAnsi="宋体" w:eastAsia="宋体" w:cs="Times New Roman"/>
                      <w:sz w:val="24"/>
                    </w:rPr>
                    <w:t>5</w:t>
                  </w:r>
                  <w:r>
                    <w:rPr>
                      <w:rFonts w:ascii="宋体" w:hAnsi="宋体" w:eastAsia="宋体" w:cs="Times New Roman"/>
                      <w:sz w:val="24"/>
                    </w:rPr>
                    <w:t>-</w:t>
                  </w:r>
                  <w:r>
                    <w:rPr>
                      <w:rFonts w:hint="eastAsia" w:ascii="宋体" w:hAnsi="宋体" w:eastAsia="宋体" w:cs="Times New Roman"/>
                      <w:sz w:val="24"/>
                    </w:rPr>
                    <w:t>3</w:t>
                  </w:r>
                  <w:r>
                    <w:rPr>
                      <w:rFonts w:ascii="宋体" w:hAnsi="宋体" w:eastAsia="宋体" w:cs="Times New Roman"/>
                      <w:sz w:val="24"/>
                    </w:rPr>
                    <w:t>分，良得</w:t>
                  </w:r>
                  <w:r>
                    <w:rPr>
                      <w:rFonts w:hint="eastAsia" w:ascii="宋体" w:hAnsi="宋体" w:eastAsia="宋体" w:cs="Times New Roman"/>
                      <w:color w:val="FF0000"/>
                      <w:sz w:val="24"/>
                    </w:rPr>
                    <w:t>3</w:t>
                  </w:r>
                  <w:r>
                    <w:rPr>
                      <w:rFonts w:ascii="宋体" w:hAnsi="宋体" w:eastAsia="宋体" w:cs="Times New Roman"/>
                      <w:color w:val="FF0000"/>
                      <w:sz w:val="24"/>
                    </w:rPr>
                    <w:t>-</w:t>
                  </w:r>
                  <w:r>
                    <w:rPr>
                      <w:rFonts w:hint="eastAsia" w:ascii="宋体" w:hAnsi="宋体" w:eastAsia="宋体" w:cs="Times New Roman"/>
                      <w:color w:val="FF0000"/>
                      <w:sz w:val="24"/>
                    </w:rPr>
                    <w:t>1</w:t>
                  </w:r>
                  <w:r>
                    <w:rPr>
                      <w:rFonts w:ascii="宋体" w:hAnsi="宋体" w:eastAsia="宋体" w:cs="Times New Roman"/>
                      <w:sz w:val="24"/>
                    </w:rPr>
                    <w:t xml:space="preserve"> 分，差得1-0分</w:t>
                  </w:r>
                </w:p>
              </w:tc>
            </w:tr>
            <w:tr>
              <w:tblPrEx>
                <w:tblCellMar>
                  <w:top w:w="40" w:type="dxa"/>
                  <w:left w:w="108" w:type="dxa"/>
                  <w:bottom w:w="0" w:type="dxa"/>
                  <w:right w:w="0" w:type="dxa"/>
                </w:tblCellMar>
              </w:tblPrEx>
              <w:trPr>
                <w:trHeight w:val="653" w:hRule="atLeast"/>
              </w:trPr>
              <w:tc>
                <w:tcPr>
                  <w:tcW w:w="2854"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259" w:lineRule="auto"/>
                    <w:ind w:right="108"/>
                    <w:jc w:val="center"/>
                    <w:rPr>
                      <w:rFonts w:ascii="宋体" w:hAnsi="宋体" w:eastAsia="宋体" w:cs="Times New Roman"/>
                      <w:sz w:val="24"/>
                    </w:rPr>
                  </w:pPr>
                  <w:r>
                    <w:rPr>
                      <w:rFonts w:ascii="宋体" w:hAnsi="宋体" w:eastAsia="宋体" w:cs="Times New Roman"/>
                      <w:sz w:val="24"/>
                    </w:rPr>
                    <w:t>技术分合计</w:t>
                  </w:r>
                </w:p>
              </w:tc>
              <w:tc>
                <w:tcPr>
                  <w:tcW w:w="6386" w:type="dxa"/>
                  <w:gridSpan w:val="2"/>
                  <w:tcBorders>
                    <w:top w:val="single" w:color="000000" w:sz="4" w:space="0"/>
                    <w:left w:val="single" w:color="000000" w:sz="4" w:space="0"/>
                    <w:bottom w:val="single" w:color="000000" w:sz="4" w:space="0"/>
                    <w:right w:val="single" w:color="000000" w:sz="4" w:space="0"/>
                  </w:tcBorders>
                  <w:noWrap w:val="0"/>
                  <w:vAlign w:val="top"/>
                </w:tcPr>
                <w:p>
                  <w:pPr>
                    <w:spacing w:after="160" w:line="259" w:lineRule="auto"/>
                    <w:rPr>
                      <w:rFonts w:ascii="宋体" w:hAnsi="宋体" w:eastAsia="宋体" w:cs="Times New Roman"/>
                      <w:sz w:val="24"/>
                    </w:rPr>
                  </w:pPr>
                  <w:r>
                    <w:rPr>
                      <w:rFonts w:hint="eastAsia" w:ascii="宋体" w:hAnsi="宋体" w:eastAsia="宋体" w:cs="Times New Roman"/>
                      <w:sz w:val="24"/>
                    </w:rPr>
                    <w:t>4</w:t>
                  </w:r>
                  <w:r>
                    <w:rPr>
                      <w:rFonts w:ascii="宋体" w:hAnsi="宋体" w:eastAsia="宋体" w:cs="Times New Roman"/>
                      <w:sz w:val="24"/>
                    </w:rPr>
                    <w:t>0分</w:t>
                  </w:r>
                </w:p>
              </w:tc>
            </w:tr>
          </w:tbl>
          <w:p>
            <w:pPr>
              <w:spacing w:after="121" w:line="359" w:lineRule="auto"/>
              <w:ind w:left="22"/>
              <w:rPr>
                <w:rFonts w:ascii="宋体" w:hAnsi="宋体"/>
                <w:sz w:val="24"/>
              </w:rPr>
            </w:pPr>
          </w:p>
          <w:p>
            <w:pPr>
              <w:spacing w:after="121" w:line="359" w:lineRule="auto"/>
              <w:ind w:left="22"/>
              <w:rPr>
                <w:rFonts w:ascii="宋体" w:hAnsi="宋体"/>
                <w:sz w:val="24"/>
              </w:rPr>
            </w:pPr>
            <w:r>
              <w:rPr>
                <w:rFonts w:ascii="宋体" w:hAnsi="宋体"/>
                <w:sz w:val="24"/>
              </w:rPr>
              <w:t>注：投标人在中标后，采购人有权要求中标人提供合同、中标通知书、检验报告、认证证书等相关资料的原件进行审核，如中标人不能提供或采购人发现有作假行为将向主管部门举报中标人不诚信的行为，中标人的投标保证金将不予退还。</w:t>
            </w:r>
          </w:p>
          <w:p>
            <w:pPr>
              <w:numPr>
                <w:ilvl w:val="0"/>
                <w:numId w:val="1"/>
              </w:numPr>
              <w:spacing w:after="133"/>
              <w:ind w:hanging="362"/>
              <w:rPr>
                <w:rFonts w:ascii="宋体" w:hAnsi="宋体"/>
                <w:sz w:val="24"/>
              </w:rPr>
            </w:pPr>
            <w:r>
              <w:rPr>
                <w:rFonts w:ascii="宋体" w:hAnsi="宋体"/>
                <w:sz w:val="24"/>
              </w:rPr>
              <w:t>政策性加分：【满分：</w:t>
            </w:r>
            <w:r>
              <w:rPr>
                <w:rFonts w:hint="eastAsia" w:ascii="宋体" w:hAnsi="宋体"/>
                <w:sz w:val="24"/>
              </w:rPr>
              <w:t>10</w:t>
            </w:r>
            <w:r>
              <w:rPr>
                <w:rFonts w:ascii="宋体" w:hAnsi="宋体"/>
                <w:sz w:val="24"/>
              </w:rPr>
              <w:t>分】</w:t>
            </w:r>
          </w:p>
          <w:p>
            <w:pPr>
              <w:numPr>
                <w:ilvl w:val="0"/>
                <w:numId w:val="2"/>
              </w:numPr>
              <w:spacing w:line="359" w:lineRule="auto"/>
              <w:ind w:left="487" w:firstLine="480" w:firstLineChars="200"/>
              <w:rPr>
                <w:rFonts w:ascii="宋体" w:hAnsi="宋体"/>
                <w:sz w:val="24"/>
              </w:rPr>
            </w:pPr>
            <w:r>
              <w:rPr>
                <w:rFonts w:ascii="宋体" w:hAnsi="宋体"/>
                <w:sz w:val="24"/>
              </w:rPr>
              <w:t>投标产品属于“节能产品清单”或“环保产品清单”有效期内中的产品（强制采购产品除外），在评审过程中，给予适当加分，即在总得分基础上，每一项加0.3 分；如投标产品同时属于“节能产品清单”和“环保产品清单”两个清单中产品的，每一项加0.5分，最高不得超过</w:t>
            </w:r>
            <w:r>
              <w:rPr>
                <w:rFonts w:hint="eastAsia" w:ascii="宋体" w:hAnsi="宋体"/>
                <w:sz w:val="24"/>
              </w:rPr>
              <w:t>5</w:t>
            </w:r>
            <w:r>
              <w:rPr>
                <w:rFonts w:ascii="宋体" w:hAnsi="宋体"/>
                <w:sz w:val="24"/>
              </w:rPr>
              <w:t>分。提供投标产品所在清单页复印件，并加盖投标单位公章。</w:t>
            </w:r>
          </w:p>
          <w:p>
            <w:pPr>
              <w:spacing w:line="359" w:lineRule="auto"/>
              <w:ind w:firstLine="480" w:firstLineChars="200"/>
              <w:rPr>
                <w:rFonts w:ascii="宋体" w:hAnsi="宋体"/>
                <w:sz w:val="24"/>
              </w:rPr>
            </w:pPr>
            <w:r>
              <w:rPr>
                <w:rFonts w:hint="eastAsia" w:ascii="宋体" w:hAnsi="宋体"/>
                <w:sz w:val="24"/>
              </w:rPr>
              <w:t xml:space="preserve">（2） </w:t>
            </w:r>
            <w:r>
              <w:rPr>
                <w:rFonts w:ascii="宋体" w:hAnsi="宋体"/>
                <w:sz w:val="24"/>
              </w:rPr>
              <w:t>对原产地在少数民族自治区和享受少数民族自治待遇的省份的投标主产品(不含附带产品)，享受政策性加分和价格扣除，</w:t>
            </w:r>
            <w:r>
              <w:rPr>
                <w:rFonts w:hint="eastAsia" w:ascii="宋体" w:hAnsi="宋体"/>
                <w:sz w:val="24"/>
              </w:rPr>
              <w:t>在总得分基础上加5分，投标主产品按照不得低于本采购项目预算金额50%进行确下。</w:t>
            </w:r>
          </w:p>
          <w:p>
            <w:pPr>
              <w:numPr>
                <w:ilvl w:val="1"/>
                <w:numId w:val="3"/>
              </w:numPr>
              <w:spacing w:line="377" w:lineRule="auto"/>
              <w:ind w:firstLine="480"/>
              <w:rPr>
                <w:rFonts w:ascii="宋体" w:hAnsi="宋体"/>
                <w:sz w:val="24"/>
              </w:rPr>
            </w:pPr>
            <w:r>
              <w:rPr>
                <w:rFonts w:ascii="宋体" w:hAnsi="宋体"/>
                <w:sz w:val="24"/>
              </w:rPr>
              <w:t>少数民族自治区：内蒙古自治区、新疆维吾尔自治区、宁夏回族自治区、广西壮族自治区、西藏自治区；</w:t>
            </w:r>
          </w:p>
          <w:p>
            <w:pPr>
              <w:numPr>
                <w:ilvl w:val="1"/>
                <w:numId w:val="3"/>
              </w:numPr>
              <w:spacing w:after="280"/>
              <w:ind w:firstLine="480"/>
              <w:rPr>
                <w:rFonts w:ascii="宋体" w:hAnsi="宋体"/>
                <w:sz w:val="24"/>
              </w:rPr>
            </w:pPr>
            <w:r>
              <w:rPr>
                <w:rFonts w:ascii="宋体" w:hAnsi="宋体"/>
                <w:sz w:val="24"/>
              </w:rPr>
              <w:t>享受少数民族自治待遇的省份：青海省、云南省、贵州省。</w:t>
            </w:r>
          </w:p>
          <w:p>
            <w:pPr>
              <w:spacing w:after="136"/>
              <w:ind w:left="502"/>
              <w:rPr>
                <w:rFonts w:ascii="宋体" w:hAnsi="宋体"/>
                <w:sz w:val="24"/>
              </w:rPr>
            </w:pPr>
            <w:r>
              <w:rPr>
                <w:rFonts w:hint="eastAsia" w:ascii="宋体" w:hAnsi="宋体"/>
                <w:sz w:val="24"/>
              </w:rPr>
              <w:t>（3）</w:t>
            </w:r>
            <w:r>
              <w:rPr>
                <w:rFonts w:ascii="宋体" w:hAnsi="宋体"/>
                <w:sz w:val="24"/>
              </w:rPr>
              <w:t>评标总得分计算方法：</w:t>
            </w:r>
          </w:p>
          <w:p>
            <w:pPr>
              <w:spacing w:after="133"/>
              <w:ind w:left="502"/>
              <w:rPr>
                <w:rFonts w:ascii="宋体" w:hAnsi="宋体"/>
                <w:sz w:val="24"/>
              </w:rPr>
            </w:pPr>
            <w:r>
              <w:rPr>
                <w:rFonts w:ascii="宋体" w:hAnsi="宋体"/>
                <w:sz w:val="24"/>
              </w:rPr>
              <w:t>评标总得分＝F1＋F2＋F3＋……＋Fn/n</w:t>
            </w:r>
          </w:p>
          <w:p>
            <w:pPr>
              <w:spacing w:line="360" w:lineRule="auto"/>
              <w:ind w:left="502"/>
              <w:rPr>
                <w:rFonts w:ascii="宋体" w:hAnsi="宋体"/>
                <w:sz w:val="24"/>
              </w:rPr>
            </w:pPr>
            <w:r>
              <w:rPr>
                <w:rFonts w:ascii="宋体" w:hAnsi="宋体"/>
                <w:sz w:val="24"/>
              </w:rPr>
              <w:t>F1、F2……Fn分别为各项评分因素的汇总得分</w:t>
            </w:r>
            <w:r>
              <w:rPr>
                <w:rFonts w:hint="eastAsia" w:ascii="宋体" w:hAnsi="宋体"/>
                <w:sz w:val="24"/>
              </w:rPr>
              <w:t>，</w:t>
            </w:r>
            <w:r>
              <w:rPr>
                <w:rFonts w:ascii="宋体" w:hAnsi="宋体"/>
                <w:sz w:val="24"/>
              </w:rPr>
              <w:t>n为专家人数</w:t>
            </w:r>
            <w:r>
              <w:rPr>
                <w:rFonts w:hint="eastAsia" w:ascii="宋体" w:hAnsi="宋体"/>
                <w:sz w:val="24"/>
              </w:rPr>
              <w:t>，计</w:t>
            </w:r>
            <w:r>
              <w:rPr>
                <w:rFonts w:ascii="宋体" w:hAnsi="宋体"/>
                <w:sz w:val="24"/>
              </w:rPr>
              <w:t>算最终得分保留小数二位</w:t>
            </w:r>
            <w:r>
              <w:rPr>
                <w:rFonts w:hint="eastAsia" w:ascii="宋体" w:hAnsi="宋体"/>
                <w:sz w:val="24"/>
              </w:rPr>
              <w:t>。</w:t>
            </w:r>
          </w:p>
          <w:p>
            <w:pPr>
              <w:pStyle w:val="3"/>
              <w:snapToGrid w:val="0"/>
              <w:spacing w:line="420" w:lineRule="atLeast"/>
              <w:ind w:firstLine="0"/>
              <w:rPr>
                <w:rFonts w:ascii="宋体" w:hAnsi="宋体"/>
                <w:color w:val="000000"/>
                <w:sz w:val="24"/>
                <w:szCs w:val="24"/>
              </w:rPr>
            </w:pPr>
            <w:r>
              <w:rPr>
                <w:rFonts w:hint="eastAsia" w:ascii="宋体" w:hAnsi="宋体"/>
                <w:color w:val="000000"/>
                <w:sz w:val="24"/>
                <w:szCs w:val="24"/>
              </w:rPr>
              <w:t>（二）推荐拟中标候选供应商名单。1、中标候选供应商数量：</w:t>
            </w:r>
            <w:r>
              <w:rPr>
                <w:rFonts w:hint="eastAsia" w:ascii="宋体" w:hAnsi="宋体"/>
                <w:color w:val="000000"/>
                <w:sz w:val="24"/>
                <w:szCs w:val="24"/>
                <w:u w:val="single"/>
              </w:rPr>
              <w:t xml:space="preserve"> 3 </w:t>
            </w:r>
            <w:r>
              <w:rPr>
                <w:rFonts w:hint="eastAsia" w:ascii="宋体" w:hAnsi="宋体"/>
                <w:color w:val="000000"/>
                <w:sz w:val="24"/>
                <w:szCs w:val="24"/>
              </w:rPr>
              <w:t>个。2、中标候选供应商排列顺序。经投标文件初审、澄清有关问题、比较与评价评标程序后，按以下办法推荐中标候选供应商名单的排列顺序（请按采购项目的评标方法从以下三项中选择一项打“√”）：</w:t>
            </w:r>
          </w:p>
          <w:p>
            <w:pPr>
              <w:pStyle w:val="3"/>
              <w:snapToGrid w:val="0"/>
              <w:spacing w:line="420" w:lineRule="atLeast"/>
              <w:rPr>
                <w:rFonts w:ascii="宋体" w:hAnsi="宋体"/>
                <w:color w:val="000000"/>
                <w:sz w:val="24"/>
                <w:szCs w:val="24"/>
              </w:rPr>
            </w:pPr>
            <w:r>
              <w:rPr>
                <w:rFonts w:hint="eastAsia" w:ascii="宋体" w:hAnsi="宋体"/>
                <w:color w:val="000000"/>
                <w:sz w:val="24"/>
                <w:szCs w:val="24"/>
              </w:rPr>
              <w:t xml:space="preserve"> □采用最低评标价法的，评标结果按投标报价由低到高顺序排列。投标报价相同的并列。投标文件满足采购文件全部实质性要求且投标报价最低的投标人为排名第一的中标候选人。</w:t>
            </w:r>
          </w:p>
          <w:p>
            <w:pPr>
              <w:pStyle w:val="3"/>
              <w:snapToGrid w:val="0"/>
              <w:spacing w:line="420" w:lineRule="atLeast"/>
              <w:ind w:firstLine="480" w:firstLineChars="200"/>
              <w:rPr>
                <w:rFonts w:ascii="宋体" w:hAnsi="宋体"/>
                <w:color w:val="000000"/>
                <w:sz w:val="24"/>
                <w:szCs w:val="24"/>
              </w:rPr>
            </w:pPr>
            <w:r>
              <w:rPr>
                <w:rFonts w:ascii="宋体" w:hAnsi="宋体"/>
                <w:color w:val="000000"/>
                <w:sz w:val="24"/>
                <w:szCs w:val="24"/>
              </w:rPr>
              <w:fldChar w:fldCharType="begin"/>
            </w:r>
            <w:r>
              <w:rPr>
                <w:rFonts w:ascii="宋体" w:hAnsi="宋体"/>
                <w:color w:val="000000"/>
                <w:sz w:val="24"/>
                <w:szCs w:val="24"/>
              </w:rPr>
              <w:instrText xml:space="preserve"> </w:instrText>
            </w:r>
            <w:r>
              <w:rPr>
                <w:rFonts w:hint="eastAsia" w:ascii="宋体" w:hAnsi="宋体"/>
                <w:color w:val="000000"/>
                <w:sz w:val="24"/>
                <w:szCs w:val="24"/>
              </w:rPr>
              <w:instrText xml:space="preserve">eq \o\ac(□,</w:instrText>
            </w:r>
            <w:r>
              <w:rPr>
                <w:rFonts w:hint="eastAsia" w:ascii="宋体" w:hAnsi="宋体"/>
                <w:color w:val="000000"/>
                <w:position w:val="2"/>
                <w:sz w:val="16"/>
                <w:szCs w:val="24"/>
              </w:rPr>
              <w:instrText xml:space="preserve">√</w:instrText>
            </w:r>
            <w:r>
              <w:rPr>
                <w:rFonts w:hint="eastAsia" w:ascii="宋体" w:hAnsi="宋体"/>
                <w:color w:val="000000"/>
                <w:sz w:val="24"/>
                <w:szCs w:val="24"/>
              </w:rPr>
              <w:instrText xml:space="preserve">)</w:instrText>
            </w:r>
            <w:r>
              <w:rPr>
                <w:rFonts w:ascii="宋体" w:hAnsi="宋体"/>
                <w:color w:val="000000"/>
                <w:sz w:val="24"/>
                <w:szCs w:val="24"/>
              </w:rPr>
              <w:fldChar w:fldCharType="end"/>
            </w:r>
            <w:r>
              <w:rPr>
                <w:rFonts w:hint="eastAsia" w:ascii="宋体" w:hAnsi="宋体"/>
                <w:color w:val="000000"/>
                <w:sz w:val="24"/>
                <w:szCs w:val="24"/>
              </w:rPr>
              <w:t>采用综合评分法的，评标结果按评审后得分由高到低顺序排列。得分相同的，按投标报价由低到高顺序排列。得分且投标报价相同的并列。投标文件满足采购文件全部实质性要求，且按照评审因素的量化指标评审得分最高的投标人为排名第一的中标候选人。</w:t>
            </w:r>
          </w:p>
        </w:tc>
      </w:tr>
    </w:tbl>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r>
        <w:rPr>
          <w:rFonts w:hint="eastAsia" w:ascii="宋体" w:hAnsi="宋体"/>
          <w:b/>
          <w:bCs/>
          <w:sz w:val="36"/>
          <w:szCs w:val="36"/>
          <w:lang w:eastAsia="zh-CN"/>
        </w:rPr>
        <w:drawing>
          <wp:inline distT="0" distB="0" distL="114300" distR="114300">
            <wp:extent cx="5274310" cy="7534910"/>
            <wp:effectExtent l="0" t="0" r="2540" b="8890"/>
            <wp:docPr id="1" name="图片 1" descr="技术指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技术指标"/>
                    <pic:cNvPicPr>
                      <a:picLocks noChangeAspect="1"/>
                    </pic:cNvPicPr>
                  </pic:nvPicPr>
                  <pic:blipFill>
                    <a:blip r:embed="rId4"/>
                    <a:stretch>
                      <a:fillRect/>
                    </a:stretch>
                  </pic:blipFill>
                  <pic:spPr>
                    <a:xfrm>
                      <a:off x="0" y="0"/>
                      <a:ext cx="5274310" cy="7534910"/>
                    </a:xfrm>
                    <a:prstGeom prst="rect">
                      <a:avLst/>
                    </a:prstGeom>
                    <a:noFill/>
                    <a:ln>
                      <a:noFill/>
                    </a:ln>
                  </pic:spPr>
                </pic:pic>
              </a:graphicData>
            </a:graphic>
          </wp:inline>
        </w:drawing>
      </w:r>
    </w:p>
    <w:p>
      <w:pPr>
        <w:pStyle w:val="2"/>
      </w:pPr>
    </w:p>
    <w:p>
      <w:pPr>
        <w:pStyle w:val="2"/>
      </w:pPr>
    </w:p>
    <w:p>
      <w:pPr>
        <w:pStyle w:val="2"/>
        <w:jc w:val="both"/>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D4DBD"/>
    <w:multiLevelType w:val="multilevel"/>
    <w:tmpl w:val="3F7D4DBD"/>
    <w:lvl w:ilvl="0" w:tentative="0">
      <w:start w:val="1"/>
      <w:numFmt w:val="decimal"/>
      <w:lvlText w:val="%1"/>
      <w:lvlJc w:val="left"/>
      <w:pPr>
        <w:ind w:left="360"/>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decimalEnclosedCircle"/>
      <w:lvlText w:val="%2"/>
      <w:lvlJc w:val="left"/>
      <w:pPr>
        <w:ind w:left="492"/>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560"/>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280"/>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000"/>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720"/>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440"/>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160"/>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880"/>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1">
    <w:nsid w:val="5A4B4FD1"/>
    <w:multiLevelType w:val="singleLevel"/>
    <w:tmpl w:val="5A4B4FD1"/>
    <w:lvl w:ilvl="0" w:tentative="0">
      <w:start w:val="1"/>
      <w:numFmt w:val="decimal"/>
      <w:suff w:val="space"/>
      <w:lvlText w:val="（%1）"/>
      <w:lvlJc w:val="left"/>
    </w:lvl>
  </w:abstractNum>
  <w:abstractNum w:abstractNumId="2">
    <w:nsid w:val="70732E67"/>
    <w:multiLevelType w:val="multilevel"/>
    <w:tmpl w:val="70732E67"/>
    <w:lvl w:ilvl="0" w:tentative="0">
      <w:start w:val="1"/>
      <w:numFmt w:val="decimal"/>
      <w:lvlText w:val="%1、"/>
      <w:lvlJc w:val="left"/>
      <w:pPr>
        <w:ind w:left="734"/>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decimal"/>
      <w:lvlText w:val="（%2）"/>
      <w:lvlJc w:val="left"/>
      <w:pPr>
        <w:ind w:left="1092"/>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560"/>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280"/>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000"/>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720"/>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440"/>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160"/>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880"/>
      </w:pPr>
      <w:rPr>
        <w:rFonts w:ascii="宋体" w:hAnsi="宋体" w:eastAsia="宋体" w:cs="宋体"/>
        <w:b w:val="0"/>
        <w:i w:val="0"/>
        <w:strike w:val="0"/>
        <w:dstrike w:val="0"/>
        <w:color w:val="000000"/>
        <w:sz w:val="24"/>
        <w:szCs w:val="24"/>
        <w:u w:val="none" w:color="000000"/>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925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标题 Char Char"/>
    <w:basedOn w:val="1"/>
    <w:qFormat/>
    <w:uiPriority w:val="0"/>
    <w:pPr>
      <w:jc w:val="center"/>
      <w:outlineLvl w:val="0"/>
    </w:pPr>
    <w:rPr>
      <w:rFonts w:ascii="Arial" w:hAnsi="Arial" w:cs="Arial"/>
      <w:b/>
      <w:bCs/>
      <w:sz w:val="32"/>
      <w:szCs w:val="32"/>
    </w:rPr>
  </w:style>
  <w:style w:type="paragraph" w:styleId="3">
    <w:name w:val="Normal Indent"/>
    <w:basedOn w:val="1"/>
    <w:qFormat/>
    <w:uiPriority w:val="0"/>
    <w:pPr>
      <w:ind w:firstLine="420"/>
    </w:pPr>
    <w:rPr>
      <w:rFonts w:ascii="宋体" w:hAnsi="宋体"/>
      <w:kern w:val="0"/>
      <w:sz w:val="20"/>
      <w:szCs w:val="20"/>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7">
    <w:name w:val="正文+宋体"/>
    <w:basedOn w:val="4"/>
    <w:qFormat/>
    <w:uiPriority w:val="0"/>
    <w:pPr>
      <w:shd w:val="clear" w:color="auto" w:fill="FFFFFF"/>
      <w:spacing w:before="0" w:beforeLines="0" w:beforeAutospacing="0" w:after="0" w:afterLines="0" w:afterAutospacing="0"/>
      <w:ind w:firstLine="480" w:firstLineChars="200"/>
    </w:pPr>
    <w:rPr>
      <w:kern w:val="2"/>
    </w:rPr>
  </w:style>
  <w:style w:type="table" w:customStyle="1" w:styleId="8">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酸＆香蕉ヴ</cp:lastModifiedBy>
  <dcterms:modified xsi:type="dcterms:W3CDTF">2020-09-09T07:16:41Z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