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2"/>
      <w:bookmarkStart w:id="1" w:name="OLE_LINK4"/>
      <w:bookmarkStart w:id="2" w:name="OLE_LINK1"/>
      <w:r>
        <w:rPr>
          <w:rFonts w:hint="eastAsia" w:ascii="宋体" w:hAnsi="宋体" w:cs="宋体"/>
          <w:b/>
          <w:bCs/>
          <w:color w:val="000000"/>
          <w:sz w:val="28"/>
          <w:szCs w:val="28"/>
          <w:lang w:val="en-US" w:eastAsia="zh-CN"/>
        </w:rPr>
        <w:t>1.项目名称：2020年梵净山森林防火物资采购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2.项目编号：TRZFCG-2020-127</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2020年9月7日-2020年9月8日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采购预算：656000.00元（最高限价：656000.00元）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7.采购人名称：贵州梵净山国家级自然保护区管理局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联系地址：贵州梵净山国家级自然保护区管理局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项目联系人：钟科长</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联系电话：15285793755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2020年梵净山森林防火物资采购</w:t>
      </w: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pPr>
      <w:r>
        <w:rPr>
          <w:rFonts w:hint="eastAsia" w:cs="宋体" w:asciiTheme="minorHAnsi" w:hAnsiTheme="minorHAnsi"/>
          <w:b/>
          <w:bCs/>
          <w:kern w:val="44"/>
          <w:sz w:val="32"/>
          <w:szCs w:val="44"/>
          <w:lang w:val="en-US" w:eastAsia="zh-CN" w:bidi="ar-SA"/>
        </w:rPr>
        <w:t>项目需求书</w:t>
      </w:r>
    </w:p>
    <w:tbl>
      <w:tblPr>
        <w:tblStyle w:val="1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445"/>
        <w:gridCol w:w="5327"/>
        <w:gridCol w:w="737"/>
        <w:gridCol w:w="7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序号</w:t>
            </w:r>
          </w:p>
        </w:tc>
        <w:tc>
          <w:tcPr>
            <w:tcW w:w="1445"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名称</w:t>
            </w:r>
          </w:p>
        </w:tc>
        <w:tc>
          <w:tcPr>
            <w:tcW w:w="5327"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型号（参数）</w:t>
            </w:r>
          </w:p>
        </w:tc>
        <w:tc>
          <w:tcPr>
            <w:tcW w:w="737"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单位</w:t>
            </w:r>
          </w:p>
        </w:tc>
        <w:tc>
          <w:tcPr>
            <w:tcW w:w="750"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数量</w:t>
            </w:r>
          </w:p>
        </w:tc>
        <w:tc>
          <w:tcPr>
            <w:tcW w:w="709"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新式扑火服（服装、头盔、鞋子、防护手套）</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（一）扑火服（衣、裤）1、防火服阻燃性能及款式符合《GB/T 33536-2017防护服装森林防火服》标准要求。2、扑火服（衣、裤）材质：采用永久阻燃、防静电高强度芳纶纤维布料。3、颜色：森林防火的颜色为桔红色，合国际标准色卡潘通，色号值为16-1462TPX,色差ΔΕ＜3.5.4、阻燃性能：（1）续燃时间： 经向≤0.5s , 纬向≤0.5s；（2）阴燃时间：经向≤0.5s,纬向≤0.5s；（3）损毁长度：经向≤30mm , 纬向≤30mm；（4）熔融、滴落：无；（5）面料热稳定性：经向≤5%, 纬向≤5%。5、物理性能：（1）面料断裂强力：经向≥1300N , 纬向≥1100N；（2）面料撕破强力：经向≥200N , 纬向≥150N；（3）甲醛含量：0；（4）耐洗色牢度：变色≥4级，沾色≥4级；（5）电荷面密度：≤1.5μC/㎡；（6）裤后裆接缝和肩缝强力：≥650N；（7）尺寸变化率：±2.0%之间；（8）色牢度：耐汗≥4 级，耐摩擦≥3 级；（9）单位面积质量：≤210g/㎡。5、其他：以上条款未列出的技术参数，应当满足《GB/T33536-2017防护服装森林防火服》标准要求。包括前胸、后背、手臂、腿部有醒目阻燃反光材料；背后反光线绣字：“森林防火-梵净山自然遗产管理局”，手臂有国家森林防火标志，整体保证：袖口、领口、裤口紧，上衣穿着时盖住裤子上端，裤腿下部采用阻燃魔术贴包或阻燃钮扣缝制，腋下、裤裆采用双排芳纶线缝制，服采用阻燃金属双头拉链+金属四合扣+阻燃魔术贴闭合，所有金属拉链和金属扣均必须设有内襟掩饰，不允许与皮肤直接接触等。（二）扑火头盔1、材质：高强度ABS增强塑料模压而成。2、外置加长头盔面罩，视角宽阔、清晰，面罩透光率：≥90％。3、头盔顶部有加强凸棱，后部有≥5cm帽沿，对头顶、颈部有很好的缓冲保护。4、头盔内部大小、松紧可调节，舒适性更强。5、阻燃铝箔披肩可与扑火服连成一体，防热辐射，能够更好第保护扑火队员头部、颈部。6、头盔右侧配有头灯（手电）支架。7、前部有森林防火帽徽，两侧有森林防火字样。（三）扑火鞋1、材质：鞋面为反毛皮，鞋帮为纯棉阻燃防水帆布、反毛皮高帮。2、鞋帮舌与鞋帮面一体设计，可防止灰尘、火星进入；帮高≥220mm，鞋帮内侧设有防水透气铝合金材质透气孔。3、帮底剥离强度：≥85N/cm。4、鞋底：采用耐高温合成阻燃橡胶与非金属防扎网膜压。5、外底耐磨性能：≤5mm。6、阻燃性能：阴燃时间≤1s，续燃时间≤1s。7、功能特点：具有阻燃、防水，防尘，防滑，防割，防扎功能；具有穿着轻便舒适，美观，适合野外灭火实战的特点。（四）扑火手套1、扑火手套由复合羊皮材料制作，具有防刺、防滑、隔热性能；2、手臂护套由阻燃纯棉面料制作，加强保护作用，戴着舒适，手臂护套长度不小于25cm。</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套</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背负式割灌机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1、汽油机型式：单缸、四冲程、强制空气冷却； 2、排量：≤35.8 ml； 3、功率：≥0.8kw/7000r/min； 4、燃油箱容积：≥0.63L； 5、润滑油容积：≥0.1L；6、重量：≤8.5kg； 7、工作形式：侧挂式；8、刀具类型：直刀刀片或圆锯片。</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油锯</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1、动力：两冲程风冷汽油发动机；2、排量：≥58cc；功率：≥3.0kw/4.1ps；3、燃油箱：≥0.55L；4、链条润滑油箱：≥0.26L；5、锯链节距：0.325inch；6、导板尺寸：18inch；7、重量：≤5.6kg。</w:t>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脉冲式森林灭火弹</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射程：射角30°时≥70m；2、全弹长：≤400mm；3、全弹重：≤1kg；4、点火方式：脉冲高压气体冲击；5、发射方式：脉冲气压；6、灭火剂抛洒半径：≥2.5m；7、灭火剂种类：水基灭火剂；8、灭火剂装填量：≥0.75kg；9、密集度：15°射角，65米处立靶，纵向≤3m,横向≤3m；10、安全半径：≥20m；11、保质期：≥5年。</w:t>
            </w:r>
            <w:r>
              <w:rPr>
                <w:rFonts w:hint="eastAsia" w:ascii="宋体" w:hAnsi="宋体" w:eastAsia="宋体" w:cs="宋体"/>
                <w:b/>
                <w:i w:val="0"/>
                <w:color w:val="000000"/>
                <w:kern w:val="0"/>
                <w:sz w:val="22"/>
                <w:szCs w:val="22"/>
                <w:u w:val="none"/>
                <w:lang w:val="en-US" w:eastAsia="zh-CN" w:bidi="ar"/>
              </w:rPr>
              <w:t>提供具有检测资质的检测机构出具的加盖制造商公章的产品检验报告。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枚</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350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对讲机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1、频率范围：UFH:400-470MHz   VHF:136-174MHz；2、信道容量：≥32；3、区域容量：≥3；4、信道间隔25/12.5KHz；5、工作电压：≥7.4V（额定）；6、电池：≥1500mAh锂电池；7、电池工作时间：模拟/数字：≥12小时8、重量（带标配电池和天线）：≤270g；9、频率稳定度：±0.5ppm；10、天线阻抗：≥50Ω；接收部分：11、额定音频输出功率：≥0.5W；12、额定音频失真：≤3%；13、传导发射杂散：＜-57dBm；发射部分：14、输出功率：VHF高功率≥5W，VHF低功率≥1W，UHF高功率≥4W ,UHF低功率≥1W；15、音频失真：≤3%；16、环境标准：工作温度范围：-30℃~+60℃，储存温度范围：-40℃~+85℃；17、使用范围：≥5公里。</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砍刀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砍刀材质：65锰钢。2、刀柄材质：镀锌钢管。3、总长度：约600mm；刀刃长：约280mm；刀身宽：5cm；刀柄长：约320mm；350cm。4、刀体重量：≥1.0kg，刀刃锋利，可反复磨，重复使用5、刀尖部成月牙形设计；手柄端头配置橡胶护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消防斧</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斧头45#碳钢锻打，刃口热处理，硬度48-55之间，手柄为一级硬杂木，无毛刺，无结疤；可以砍断钢板钢丝等金属物品。</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8</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消防水带</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1、水带材质为PU（聚氨脂），有衬里、耐腐蚀；2、规格：通径40mm（内径：38 mm），30m/根，工作压力≥2.0MPa，爆破压力：≥5.5MPa；3、延伸率：≤4%，膨胀率：≤6%；4、水带接头连接旋角小于90度；5、与水带连接处抗拉力≥1.2吨不脱落，接头连接口密封压力≥41兆帕；6、铸铝合金均须阳极电镀防腐处理。</w:t>
            </w:r>
            <w:r>
              <w:rPr>
                <w:rFonts w:hint="eastAsia" w:ascii="宋体" w:hAnsi="宋体" w:eastAsia="宋体" w:cs="宋体"/>
                <w:b/>
                <w:i w:val="0"/>
                <w:color w:val="000000"/>
                <w:kern w:val="0"/>
                <w:sz w:val="24"/>
                <w:szCs w:val="24"/>
                <w:u w:val="none"/>
                <w:lang w:val="en-US" w:eastAsia="zh-CN" w:bidi="ar"/>
              </w:rPr>
              <w:t>提供</w:t>
            </w:r>
            <w:r>
              <w:rPr>
                <w:rFonts w:hint="eastAsia" w:ascii="宋体" w:hAnsi="宋体" w:eastAsia="宋体" w:cs="宋体"/>
                <w:b/>
                <w:i w:val="0"/>
                <w:color w:val="000000"/>
                <w:kern w:val="0"/>
                <w:sz w:val="22"/>
                <w:szCs w:val="22"/>
                <w:u w:val="none"/>
                <w:lang w:val="en-US" w:eastAsia="zh-CN" w:bidi="ar"/>
              </w:rPr>
              <w:t>具有检测资质的</w:t>
            </w:r>
            <w:r>
              <w:rPr>
                <w:rFonts w:hint="eastAsia" w:ascii="宋体" w:hAnsi="宋体" w:eastAsia="宋体" w:cs="宋体"/>
                <w:b/>
                <w:i w:val="0"/>
                <w:color w:val="000000"/>
                <w:kern w:val="0"/>
                <w:sz w:val="24"/>
                <w:szCs w:val="24"/>
                <w:u w:val="none"/>
                <w:lang w:val="en-US" w:eastAsia="zh-CN" w:bidi="ar"/>
              </w:rPr>
              <w:t>检测机构出具的加盖制造商公章的产品检验报告。</w:t>
            </w:r>
          </w:p>
        </w:tc>
        <w:tc>
          <w:tcPr>
            <w:tcW w:w="737" w:type="dxa"/>
            <w:vAlign w:val="center"/>
          </w:tcPr>
          <w:p>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9</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便携式望远镜</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1、放大倍率：≥12X；2、物镜直径：≥50mm；3、目镜尺寸：≥18mm；4、出瞳直径：≥4.7mm；5、棱镜系统：保罗；6、重量：≤1.2kg。</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消防铲</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1、把柄材质：木质，主体材质：高碳钢；2、铁锹全长：≥1.5米；3、形状：尖锹。</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11</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背负式风力灭火机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发动机：符合国家强制排放法规国二标准，风冷二冲程发动机，含有催化转化器；2、排量（cm3）：≤63.3；3、发动机功率/标定转速（kw/r/min)：≥3.05kw/8000r/min；4、燃油箱容积：≥2L，最大功率下的油耗：≥1.8L/h；5、一次加油连续工作时间（min）≥85；6、重量（kg）含风管≤11KG；净重（kg）≤9.3kg；7、实际使用时风量（m3/h）≥1290（根据ANSI/B175.2标准检测）；8、风速（m3/sec):≥104.6（根据ANSI/B175.2标准检测）；9、含有除静电装置（风管内含有除静电导线）；</w:t>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12</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二号工具</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1、直径：≥2.5cm；2、长≥1.2米，不易断裂；3、扑火带长为≥55cm、宽≥2cm、厚为≥2㎜、每条扑火带均含有加强线/梱绑处用2道钢箍加固、具有耐用不脱落的特点,每把扑火带均在18条或以上。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900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压缩机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驱动方式：汽油机；2、冷却方式：风冷；3、驱动功率：≥3.3kw；4、耳旁噪音：≤85dB(A)；5、额定压力下自由空气输出量：≥100L/min；6、额定工作压力：≥300bar；7、功能要求：可以持续工作，连续充满2个6.8L气瓶；必须配备空气过滤器，压缩后的空气必须满足空气呼吸器的空气质量要求；3缸3级压缩设计，可有效的防止抱死现象的发生；8、重量：≤54kg。</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2"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背负式水泵</w:t>
            </w:r>
          </w:p>
        </w:tc>
        <w:tc>
          <w:tcPr>
            <w:tcW w:w="5327" w:type="dxa"/>
            <w:vAlign w:val="center"/>
          </w:tcPr>
          <w:p>
            <w:pPr>
              <w:keepNext w:val="0"/>
              <w:keepLines w:val="0"/>
              <w:widowControl/>
              <w:suppressLineNumbers w:val="0"/>
              <w:ind w:firstLine="440" w:firstLineChars="20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"mailto:198L/min@7.0bar,126L/min@10.0bar；" \o "mailto:198L/min@7.0bar,126L/min@10.0bar；"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一）动力1、动力类型：两冲程单缸风冷汽油发动机；2、功率：8ps（5.88kw）/7000r；3、超速控制：数字电子打火超速控制系统（非模拟）；4、启动：防水直接启动（手拉启动、电启动两种方式）；5、空气过滤器：不锈钢网状过滤器，空滤两边有不锈钢套管，永不变形，外带金属防护罩；6、燃油过滤器：75微米内置燃油过滤器，油泵中装有滤网；7、燃油油箱：容积≥24L卧式油箱，设置独立加油口，可实现不停机加油。（二）泵1、类型：单级离心泵，采用闭合式青铜合金或不锈钢叶轮，叶轮均通过7000转动平衡检测，对水质要求低，以达到最高效率和稳定性；2、泵壳、泵体：轻质高强度抗腐蚀铝合金材质，经阳极氧化处理；3、泵轴密封：采用轴向陶瓷密封，可以自调节、自润滑、防震动、耐摩擦；4、引水：标配铜质手动引水泵；5、不锈钢水泵背架即是水泵支架，与水泵连为一体；可手提，也可背负（配有可调节阻燃背带），携行方便。（三）性能：1、最大出水口压力：≥15.5bar，水泵最大扬程：≥155m；2、最大流量：≥300L/min；3、主要工况点（1.6米吸深198L/min@7.0bar,126L/min@10.0bar；3、吸水口：2.0inch （50.8mm），出水口：1.5”(38mm)；4、水泵重量：15kg；5、水泵可实现无限串联及并联；6、启动电源与主机分离，减轻主机重量，方便多台水泵快速启动。（四）辅件 1、合金配件箱一个。内装：直流水枪一支、开花水枪一支、铝合金三通阀一个、单向阀一个、止水钳两把、水带修补环两个、进水口快速接头一个、出水口快速接头两个、火花塞一个、工具包一个（含：梅花螺丝刀、火花塞套筒扳手各一把、固定扳手五把）；2、进水管（配齐必备配件）一根：Φ50.8mm×3000mm；3、红色耐磨出水管（5m）1根。</w:t>
            </w:r>
            <w:r>
              <w:rPr>
                <w:rFonts w:hint="eastAsia" w:ascii="宋体" w:hAnsi="宋体" w:eastAsia="宋体" w:cs="宋体"/>
                <w:b/>
                <w:bCs/>
                <w:i w:val="0"/>
                <w:color w:val="000000"/>
                <w:kern w:val="0"/>
                <w:sz w:val="22"/>
                <w:szCs w:val="22"/>
                <w:u w:val="none"/>
                <w:lang w:val="en-US" w:eastAsia="zh-CN" w:bidi="ar"/>
              </w:rPr>
              <w:t>提供</w:t>
            </w:r>
            <w:r>
              <w:rPr>
                <w:rFonts w:hint="eastAsia" w:ascii="宋体" w:hAnsi="宋体" w:eastAsia="宋体" w:cs="宋体"/>
                <w:b/>
                <w:i w:val="0"/>
                <w:color w:val="000000"/>
                <w:kern w:val="0"/>
                <w:sz w:val="22"/>
                <w:szCs w:val="22"/>
                <w:u w:val="none"/>
                <w:lang w:val="en-US" w:eastAsia="zh-CN" w:bidi="ar"/>
              </w:rPr>
              <w:t>具有检测资质的</w:t>
            </w:r>
            <w:r>
              <w:rPr>
                <w:rFonts w:hint="eastAsia" w:ascii="宋体" w:hAnsi="宋体" w:eastAsia="宋体" w:cs="宋体"/>
                <w:b/>
                <w:bCs/>
                <w:i w:val="0"/>
                <w:color w:val="000000"/>
                <w:kern w:val="0"/>
                <w:sz w:val="22"/>
                <w:szCs w:val="22"/>
                <w:u w:val="none"/>
                <w:lang w:val="en-US" w:eastAsia="zh-CN" w:bidi="ar"/>
              </w:rPr>
              <w:t>检测机构出具的加盖制造商公章的产品检验报告，现场提供全套产品样品。</w:t>
            </w:r>
            <w:r>
              <w:rPr>
                <w:rFonts w:hint="eastAsia" w:ascii="宋体" w:hAnsi="宋体" w:eastAsia="宋体" w:cs="宋体"/>
                <w:i w:val="0"/>
                <w:color w:val="000000"/>
                <w:kern w:val="0"/>
                <w:sz w:val="22"/>
                <w:szCs w:val="22"/>
                <w:u w:val="none"/>
                <w:lang w:val="en-US" w:eastAsia="zh-CN" w:bidi="ar"/>
              </w:rPr>
              <w:fldChar w:fldCharType="end"/>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柴刀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1、刀总长度：≥600mm；2、砍刀硬度：≥50HRC；3、材质：汽车钢板；4、手柄：木柄，不易折断。</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16</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镰刀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1、刃长：≥230mm；2、砍刀硬度：≥50HRC；3、材质：加厚锰钢；4、手柄：木柄，不易折断。</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700</w:t>
            </w:r>
          </w:p>
        </w:tc>
        <w:tc>
          <w:tcPr>
            <w:tcW w:w="709" w:type="dxa"/>
            <w:vAlign w:val="center"/>
          </w:tcPr>
          <w:p>
            <w:pPr>
              <w:jc w:val="center"/>
              <w:rPr>
                <w:rFonts w:hint="eastAsia"/>
                <w:vertAlign w:val="baseline"/>
                <w:lang w:eastAsia="zh-CN"/>
              </w:rPr>
            </w:pPr>
          </w:p>
        </w:tc>
      </w:tr>
    </w:tbl>
    <w:p>
      <w:pPr>
        <w:pStyle w:val="16"/>
        <w:ind w:left="0" w:leftChars="0" w:firstLine="0" w:firstLineChars="0"/>
        <w:rPr>
          <w:rFonts w:hint="eastAsia"/>
          <w:lang w:eastAsia="zh-CN"/>
        </w:rPr>
      </w:pPr>
    </w:p>
    <w:p>
      <w:pPr>
        <w:pStyle w:val="16"/>
        <w:rPr>
          <w:rFonts w:hint="eastAsia"/>
          <w:lang w:val="en-US" w:eastAsia="zh-CN"/>
        </w:rPr>
      </w:pPr>
      <w:r>
        <w:rPr>
          <w:rFonts w:hint="eastAsia"/>
          <w:lang w:eastAsia="zh-CN"/>
        </w:rPr>
        <w:t>供货时间：签订合同后</w:t>
      </w:r>
      <w:r>
        <w:rPr>
          <w:rFonts w:hint="eastAsia"/>
          <w:lang w:val="en-US" w:eastAsia="zh-CN"/>
        </w:rPr>
        <w:t>1个月内供货。</w:t>
      </w:r>
    </w:p>
    <w:p>
      <w:pPr>
        <w:pStyle w:val="16"/>
        <w:rPr>
          <w:rFonts w:hint="default"/>
          <w:lang w:val="en-US" w:eastAsia="zh-CN"/>
        </w:rPr>
      </w:pPr>
      <w:r>
        <w:rPr>
          <w:rFonts w:hint="eastAsia"/>
          <w:lang w:val="en-US" w:eastAsia="zh-CN"/>
        </w:rPr>
        <w:t>供货地点：采购人指定地点。</w:t>
      </w:r>
    </w:p>
    <w:p>
      <w:pPr>
        <w:pStyle w:val="16"/>
        <w:rPr>
          <w:rFonts w:hint="eastAsia"/>
          <w:lang w:eastAsia="zh-CN"/>
        </w:rPr>
      </w:pPr>
    </w:p>
    <w:p>
      <w:pPr>
        <w:pStyle w:val="26"/>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2"/>
          <w:szCs w:val="32"/>
          <w:lang w:eastAsia="zh-CN"/>
          <w14:textFill>
            <w14:solidFill>
              <w14:schemeClr w14:val="tx1"/>
            </w14:solidFill>
          </w14:textFill>
        </w:rPr>
      </w:pPr>
      <w:bookmarkStart w:id="3" w:name="_GoBack"/>
      <w:bookmarkEnd w:id="3"/>
    </w:p>
    <w:p>
      <w:pPr>
        <w:pStyle w:val="26"/>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DFB"/>
    <w:multiLevelType w:val="singleLevel"/>
    <w:tmpl w:val="08130DFB"/>
    <w:lvl w:ilvl="0" w:tentative="0">
      <w:start w:val="5"/>
      <w:numFmt w:val="decimal"/>
      <w:lvlText w:val="%1."/>
      <w:lvlJc w:val="left"/>
      <w:pPr>
        <w:tabs>
          <w:tab w:val="left" w:pos="312"/>
        </w:tabs>
      </w:p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0C0AE9"/>
    <w:rsid w:val="02A03C48"/>
    <w:rsid w:val="03385080"/>
    <w:rsid w:val="04053D83"/>
    <w:rsid w:val="040C3561"/>
    <w:rsid w:val="04A04175"/>
    <w:rsid w:val="05406A7D"/>
    <w:rsid w:val="09001FF7"/>
    <w:rsid w:val="09BD7216"/>
    <w:rsid w:val="0A0A1093"/>
    <w:rsid w:val="0A2948D5"/>
    <w:rsid w:val="0AFA01CF"/>
    <w:rsid w:val="0BE52170"/>
    <w:rsid w:val="0F615CB4"/>
    <w:rsid w:val="0F723765"/>
    <w:rsid w:val="11977DDA"/>
    <w:rsid w:val="13B77EA7"/>
    <w:rsid w:val="156108C9"/>
    <w:rsid w:val="156C1119"/>
    <w:rsid w:val="1624122A"/>
    <w:rsid w:val="16674D3D"/>
    <w:rsid w:val="171A2DD3"/>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17A6BF2"/>
    <w:rsid w:val="22717992"/>
    <w:rsid w:val="229C33A8"/>
    <w:rsid w:val="23103604"/>
    <w:rsid w:val="2322146C"/>
    <w:rsid w:val="26A872DC"/>
    <w:rsid w:val="27B96CE8"/>
    <w:rsid w:val="2923306D"/>
    <w:rsid w:val="2B4937C0"/>
    <w:rsid w:val="2BFD537A"/>
    <w:rsid w:val="2D8C041A"/>
    <w:rsid w:val="2DD0334B"/>
    <w:rsid w:val="2F000D0A"/>
    <w:rsid w:val="2F3F2D05"/>
    <w:rsid w:val="318A1C77"/>
    <w:rsid w:val="340F7004"/>
    <w:rsid w:val="345D6BCD"/>
    <w:rsid w:val="34E105F2"/>
    <w:rsid w:val="351F7BA9"/>
    <w:rsid w:val="35282B49"/>
    <w:rsid w:val="35C04321"/>
    <w:rsid w:val="36F0664F"/>
    <w:rsid w:val="37DE6A3D"/>
    <w:rsid w:val="37E76C1D"/>
    <w:rsid w:val="39AC072B"/>
    <w:rsid w:val="3AB406EF"/>
    <w:rsid w:val="3B021532"/>
    <w:rsid w:val="3D067007"/>
    <w:rsid w:val="3D374A05"/>
    <w:rsid w:val="3F0A2DB7"/>
    <w:rsid w:val="3F2C1931"/>
    <w:rsid w:val="42E66127"/>
    <w:rsid w:val="432021F2"/>
    <w:rsid w:val="43D2755A"/>
    <w:rsid w:val="44105AD8"/>
    <w:rsid w:val="4572509D"/>
    <w:rsid w:val="462712D8"/>
    <w:rsid w:val="46401E44"/>
    <w:rsid w:val="47780405"/>
    <w:rsid w:val="47C86602"/>
    <w:rsid w:val="495816D1"/>
    <w:rsid w:val="496D7653"/>
    <w:rsid w:val="49805174"/>
    <w:rsid w:val="4B0B0FAA"/>
    <w:rsid w:val="4CA0565A"/>
    <w:rsid w:val="4DA9005F"/>
    <w:rsid w:val="4DCB07C7"/>
    <w:rsid w:val="4E595DA0"/>
    <w:rsid w:val="4E98237F"/>
    <w:rsid w:val="4F773CDF"/>
    <w:rsid w:val="526C288D"/>
    <w:rsid w:val="52725823"/>
    <w:rsid w:val="541D45D8"/>
    <w:rsid w:val="5445294F"/>
    <w:rsid w:val="547C3A7F"/>
    <w:rsid w:val="54ED528B"/>
    <w:rsid w:val="557D625A"/>
    <w:rsid w:val="55EE2384"/>
    <w:rsid w:val="56C34F82"/>
    <w:rsid w:val="58BB66F0"/>
    <w:rsid w:val="58F0181A"/>
    <w:rsid w:val="58F870CD"/>
    <w:rsid w:val="592B113D"/>
    <w:rsid w:val="5A213645"/>
    <w:rsid w:val="5A793414"/>
    <w:rsid w:val="5ADC5924"/>
    <w:rsid w:val="5B8B7574"/>
    <w:rsid w:val="5BD32A41"/>
    <w:rsid w:val="5C7930FC"/>
    <w:rsid w:val="5CC5665E"/>
    <w:rsid w:val="5CCF1722"/>
    <w:rsid w:val="5D2B3C75"/>
    <w:rsid w:val="5D301470"/>
    <w:rsid w:val="5E534C59"/>
    <w:rsid w:val="5E7002E1"/>
    <w:rsid w:val="5F131865"/>
    <w:rsid w:val="5FAB543B"/>
    <w:rsid w:val="60115372"/>
    <w:rsid w:val="62AC5CB7"/>
    <w:rsid w:val="63B12314"/>
    <w:rsid w:val="66E358D5"/>
    <w:rsid w:val="68D739A2"/>
    <w:rsid w:val="68F74FEB"/>
    <w:rsid w:val="692449EE"/>
    <w:rsid w:val="6ADB5827"/>
    <w:rsid w:val="6AE44653"/>
    <w:rsid w:val="6B0C104F"/>
    <w:rsid w:val="6C552E96"/>
    <w:rsid w:val="6D276FAC"/>
    <w:rsid w:val="6D40715A"/>
    <w:rsid w:val="6D535020"/>
    <w:rsid w:val="6DEA7494"/>
    <w:rsid w:val="6DFA46C3"/>
    <w:rsid w:val="72385C09"/>
    <w:rsid w:val="72A01582"/>
    <w:rsid w:val="738744BB"/>
    <w:rsid w:val="744F23EB"/>
    <w:rsid w:val="74594D5B"/>
    <w:rsid w:val="753C709E"/>
    <w:rsid w:val="75854221"/>
    <w:rsid w:val="75A77F5F"/>
    <w:rsid w:val="765C2FCD"/>
    <w:rsid w:val="76A668B1"/>
    <w:rsid w:val="7883182C"/>
    <w:rsid w:val="79881788"/>
    <w:rsid w:val="79D225D2"/>
    <w:rsid w:val="7A427D47"/>
    <w:rsid w:val="7A4C450A"/>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2020-09-04T08:01:01Z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