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1"/>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1"/>
        <w:spacing w:line="700" w:lineRule="exact"/>
        <w:jc w:val="center"/>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11"/>
        <w:spacing w:line="560" w:lineRule="exact"/>
        <w:ind w:firstLine="281" w:firstLineChars="100"/>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铜仁市疾病预防控制中心秋冬季疫情防控物资采购项目</w:t>
      </w:r>
    </w:p>
    <w:p>
      <w:pPr>
        <w:pStyle w:val="11"/>
        <w:spacing w:line="560" w:lineRule="exact"/>
        <w:ind w:firstLine="281" w:firstLineChars="1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TRZFCG-2020-126</w:t>
      </w:r>
    </w:p>
    <w:p>
      <w:pPr>
        <w:pStyle w:val="11"/>
        <w:spacing w:line="560" w:lineRule="exact"/>
        <w:ind w:firstLine="281" w:firstLineChars="1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1"/>
        <w:spacing w:line="560" w:lineRule="exact"/>
        <w:ind w:firstLine="281" w:firstLineChars="1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1"/>
        <w:spacing w:line="560" w:lineRule="exact"/>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1"/>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4"/>
      </w:pPr>
    </w:p>
    <w:p>
      <w:pPr>
        <w:jc w:val="center"/>
        <w:rPr>
          <w:color w:val="000000"/>
          <w:sz w:val="36"/>
          <w:szCs w:val="36"/>
        </w:rPr>
      </w:pPr>
      <w:r>
        <w:rPr>
          <w:rFonts w:hint="eastAsia" w:ascii="宋体" w:hAnsi="宋体"/>
          <w:b/>
          <w:color w:val="000000"/>
          <w:sz w:val="36"/>
          <w:szCs w:val="36"/>
        </w:rPr>
        <w:t>第一章  谈判公告</w:t>
      </w:r>
    </w:p>
    <w:p>
      <w:pPr>
        <w:pStyle w:val="11"/>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铜仁市疾病预防控制中心</w:t>
      </w:r>
      <w:r>
        <w:rPr>
          <w:rFonts w:hint="eastAsia" w:hAnsi="宋体"/>
          <w:color w:val="000000"/>
          <w:sz w:val="24"/>
          <w:szCs w:val="24"/>
        </w:rPr>
        <w:t>委托，对</w:t>
      </w:r>
      <w:r>
        <w:rPr>
          <w:rFonts w:hint="eastAsia" w:hAnsi="宋体"/>
          <w:b/>
          <w:bCs/>
          <w:color w:val="000000"/>
          <w:sz w:val="24"/>
          <w:szCs w:val="24"/>
          <w:lang w:eastAsia="zh-CN"/>
        </w:rPr>
        <w:t>铜仁市疾病预防控制中心秋冬季疫情防控物资采购项目</w:t>
      </w:r>
      <w:r>
        <w:rPr>
          <w:rFonts w:hint="eastAsia" w:hAnsi="宋体"/>
          <w:color w:val="000000"/>
          <w:sz w:val="24"/>
          <w:szCs w:val="24"/>
        </w:rPr>
        <w:t>采用竞争性谈判的方式进行采购，欢迎具备投标资质条件的供货商参加投标。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铜仁市疾病预防控制中心秋冬季疫情防控物资采购项目</w:t>
      </w:r>
    </w:p>
    <w:p>
      <w:pPr>
        <w:pStyle w:val="11"/>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TRZFCG-2020-126</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9</w:t>
      </w:r>
      <w:r>
        <w:rPr>
          <w:rFonts w:hint="eastAsia" w:ascii="宋体" w:hAnsi="宋体"/>
          <w:color w:val="0000FF"/>
          <w:sz w:val="24"/>
        </w:rPr>
        <w:t>月</w:t>
      </w:r>
      <w:r>
        <w:rPr>
          <w:rFonts w:hint="eastAsia" w:ascii="宋体" w:hAnsi="宋体"/>
          <w:color w:val="0000FF"/>
          <w:sz w:val="24"/>
          <w:lang w:val="en-US" w:eastAsia="zh-CN"/>
        </w:rPr>
        <w:t>7</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9</w:t>
      </w:r>
      <w:r>
        <w:rPr>
          <w:rFonts w:hint="eastAsia" w:ascii="宋体" w:hAnsi="宋体"/>
          <w:b w:val="0"/>
          <w:bCs w:val="0"/>
          <w:color w:val="0000FF"/>
          <w:sz w:val="24"/>
        </w:rPr>
        <w:t>月</w:t>
      </w:r>
      <w:r>
        <w:rPr>
          <w:rFonts w:hint="eastAsia" w:ascii="宋体" w:hAnsi="宋体"/>
          <w:b w:val="0"/>
          <w:bCs w:val="0"/>
          <w:color w:val="0000FF"/>
          <w:sz w:val="24"/>
          <w:lang w:val="en-US" w:eastAsia="zh-CN"/>
        </w:rPr>
        <w:t>9</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2"/>
          <w:color w:val="000000"/>
          <w:sz w:val="24"/>
          <w:szCs w:val="24"/>
        </w:rPr>
        <w:t>http://</w:t>
      </w:r>
      <w:r>
        <w:rPr>
          <w:rStyle w:val="22"/>
          <w:rFonts w:hint="eastAsia"/>
          <w:color w:val="000000"/>
          <w:sz w:val="24"/>
          <w:szCs w:val="24"/>
          <w:lang w:eastAsia="zh-CN"/>
        </w:rPr>
        <w:t>jyzx.trs.gov.cn</w:t>
      </w:r>
      <w:r>
        <w:rPr>
          <w:rStyle w:val="22"/>
          <w:color w:val="000000"/>
          <w:sz w:val="24"/>
          <w:szCs w:val="24"/>
        </w:rPr>
        <w:fldChar w:fldCharType="end"/>
      </w:r>
      <w:r>
        <w:rPr>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1"/>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1"/>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cs="宋体"/>
          <w:bCs/>
          <w:color w:val="000000"/>
          <w:sz w:val="24"/>
          <w:szCs w:val="24"/>
          <w:lang w:val="en-US" w:eastAsia="zh-CN"/>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）医疗器械生产许可证或医疗器械经营许可证。</w:t>
      </w:r>
    </w:p>
    <w:p>
      <w:pPr>
        <w:pStyle w:val="11"/>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10000</w:t>
      </w:r>
      <w:r>
        <w:rPr>
          <w:rFonts w:hint="eastAsia"/>
          <w:kern w:val="0"/>
          <w:sz w:val="24"/>
        </w:rPr>
        <w:t>元人民币</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rPr>
      </w:pPr>
      <w:r>
        <w:rPr>
          <w:rFonts w:hint="eastAsia" w:ascii="宋体" w:hAnsi="宋体" w:cs="宋体"/>
          <w:b/>
          <w:bCs/>
          <w:color w:val="000000" w:themeColor="text1"/>
          <w:sz w:val="24"/>
          <w:shd w:val="clear" w:color="auto" w:fill="FFFFFF"/>
          <w:lang w:eastAsia="zh-CN"/>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b/>
          <w:bCs/>
          <w:color w:val="000000"/>
          <w:sz w:val="24"/>
          <w:lang w:eastAsia="zh-CN"/>
        </w:rPr>
        <w:t>：</w:t>
      </w:r>
      <w:r>
        <w:rPr>
          <w:rFonts w:hint="eastAsia" w:ascii="宋体" w:hAnsi="宋体"/>
          <w:color w:val="000000"/>
          <w:sz w:val="24"/>
          <w:lang w:val="en-US" w:eastAsia="zh-CN"/>
        </w:rPr>
        <w:t>2804252.00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2804252.00元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9月10</w:t>
      </w:r>
      <w:r>
        <w:rPr>
          <w:rFonts w:hint="eastAsia" w:ascii="宋体" w:hAnsi="宋体"/>
          <w:color w:val="0000FF"/>
          <w:sz w:val="24"/>
        </w:rPr>
        <w:t>日</w:t>
      </w:r>
      <w:r>
        <w:rPr>
          <w:rFonts w:hint="eastAsia" w:ascii="宋体" w:hAnsi="宋体"/>
          <w:color w:val="0000FF"/>
          <w:sz w:val="24"/>
          <w:lang w:val="en-US" w:eastAsia="zh-CN"/>
        </w:rPr>
        <w:t>14:00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黄丽</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铜仁市疾病预防控制中心</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甘科长</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0856-8169510</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6"/>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铜仁市疾病预防控制中心秋冬季疫情防控物资采购项目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铜仁市疾病预防控制中心</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铜仁市疾病预防控制中心</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秋冬季疫情防控物资采购</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TRZFCG-2020-126</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280.</w:t>
            </w:r>
            <w:bookmarkStart w:id="7" w:name="_GoBack"/>
            <w:bookmarkEnd w:id="7"/>
            <w:r>
              <w:rPr>
                <w:rFonts w:hint="eastAsia" w:ascii="Arial" w:hAnsi="Arial" w:cs="Arial"/>
                <w:sz w:val="24"/>
                <w:u w:val="single"/>
                <w:lang w:val="en-US" w:eastAsia="zh-CN"/>
              </w:rPr>
              <w:t>4252万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10</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7"/>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1"/>
        <w:spacing w:line="400" w:lineRule="exact"/>
        <w:jc w:val="center"/>
        <w:rPr>
          <w:rFonts w:hAnsi="宋体"/>
          <w:b/>
          <w:sz w:val="24"/>
        </w:rPr>
      </w:pPr>
      <w:r>
        <w:rPr>
          <w:rFonts w:hint="eastAsia" w:hAnsi="宋体"/>
          <w:b/>
          <w:sz w:val="24"/>
        </w:rPr>
        <w:t>一、</w:t>
      </w:r>
      <w:r>
        <w:rPr>
          <w:rFonts w:hAnsi="宋体"/>
          <w:b/>
          <w:sz w:val="24"/>
        </w:rPr>
        <w:t>说明</w:t>
      </w:r>
    </w:p>
    <w:p>
      <w:pPr>
        <w:pStyle w:val="11"/>
        <w:spacing w:line="400" w:lineRule="exact"/>
        <w:jc w:val="left"/>
        <w:rPr>
          <w:rFonts w:hAnsi="宋体"/>
          <w:b/>
          <w:sz w:val="24"/>
        </w:rPr>
      </w:pPr>
      <w:r>
        <w:rPr>
          <w:rFonts w:hAnsi="宋体"/>
          <w:b/>
          <w:sz w:val="24"/>
        </w:rPr>
        <w:t>1.适用范围</w:t>
      </w:r>
    </w:p>
    <w:p>
      <w:pPr>
        <w:pStyle w:val="11"/>
        <w:spacing w:line="400" w:lineRule="exact"/>
        <w:ind w:firstLine="480" w:firstLineChars="200"/>
        <w:jc w:val="left"/>
        <w:rPr>
          <w:rFonts w:hAnsi="宋体"/>
          <w:sz w:val="24"/>
        </w:rPr>
      </w:pPr>
      <w:r>
        <w:rPr>
          <w:rFonts w:hAnsi="宋体"/>
          <w:sz w:val="24"/>
        </w:rPr>
        <w:t>1.1本谈判文件仅适用于邀请中所叙述项目的货物采购。</w:t>
      </w:r>
    </w:p>
    <w:p>
      <w:pPr>
        <w:pStyle w:val="11"/>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1"/>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1"/>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1"/>
        <w:spacing w:line="400" w:lineRule="exact"/>
        <w:jc w:val="left"/>
        <w:rPr>
          <w:rFonts w:hAnsi="宋体"/>
          <w:b/>
          <w:sz w:val="24"/>
        </w:rPr>
      </w:pPr>
      <w:r>
        <w:rPr>
          <w:rFonts w:hAnsi="宋体"/>
          <w:b/>
          <w:sz w:val="24"/>
        </w:rPr>
        <w:t>4.谈判费用</w:t>
      </w:r>
    </w:p>
    <w:p>
      <w:pPr>
        <w:pStyle w:val="11"/>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1"/>
        <w:spacing w:line="400" w:lineRule="exact"/>
        <w:jc w:val="left"/>
        <w:rPr>
          <w:rFonts w:hAnsi="宋体"/>
          <w:b/>
          <w:sz w:val="24"/>
        </w:rPr>
      </w:pPr>
      <w:r>
        <w:rPr>
          <w:rFonts w:hAnsi="宋体"/>
          <w:b/>
          <w:sz w:val="24"/>
        </w:rPr>
        <w:t>5.知识产权</w:t>
      </w:r>
    </w:p>
    <w:p>
      <w:pPr>
        <w:pStyle w:val="11"/>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0"/>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2"/>
          <w:rFonts w:hint="eastAsia" w:hAnsi="宋体"/>
          <w:sz w:val="24"/>
        </w:rPr>
        <w:t>trggzyjyzxzfcg@163.com，该邮箱仅用于发送文件）。</w:t>
      </w:r>
      <w:r>
        <w:rPr>
          <w:rStyle w:val="22"/>
          <w:rFonts w:hint="eastAsia" w:hAnsi="宋体"/>
          <w:sz w:val="24"/>
        </w:rPr>
        <w:fldChar w:fldCharType="end"/>
      </w:r>
    </w:p>
    <w:p>
      <w:pPr>
        <w:pStyle w:val="30"/>
        <w:spacing w:line="400" w:lineRule="exact"/>
        <w:jc w:val="center"/>
        <w:outlineLvl w:val="9"/>
        <w:rPr>
          <w:rFonts w:hAnsi="宋体"/>
          <w:b/>
          <w:sz w:val="24"/>
        </w:rPr>
      </w:pPr>
      <w:r>
        <w:rPr>
          <w:rFonts w:hint="eastAsia" w:hAnsi="宋体"/>
          <w:b/>
          <w:sz w:val="24"/>
        </w:rPr>
        <w:t>二、谈判文件</w:t>
      </w:r>
    </w:p>
    <w:p>
      <w:pPr>
        <w:pStyle w:val="11"/>
        <w:spacing w:line="400" w:lineRule="exact"/>
        <w:jc w:val="left"/>
        <w:rPr>
          <w:rFonts w:hAnsi="宋体"/>
          <w:b/>
          <w:sz w:val="24"/>
        </w:rPr>
      </w:pPr>
      <w:r>
        <w:rPr>
          <w:rFonts w:hint="eastAsia" w:hAnsi="宋体"/>
          <w:b/>
          <w:sz w:val="24"/>
        </w:rPr>
        <w:t>7</w:t>
      </w:r>
      <w:r>
        <w:rPr>
          <w:rFonts w:hAnsi="宋体"/>
          <w:b/>
          <w:sz w:val="24"/>
        </w:rPr>
        <w:t>.谈判文件的组成</w:t>
      </w:r>
    </w:p>
    <w:p>
      <w:pPr>
        <w:pStyle w:val="11"/>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1"/>
        <w:spacing w:line="400" w:lineRule="exact"/>
        <w:jc w:val="left"/>
        <w:rPr>
          <w:rFonts w:hAnsi="宋体"/>
          <w:sz w:val="24"/>
        </w:rPr>
      </w:pPr>
      <w:r>
        <w:rPr>
          <w:rFonts w:hAnsi="宋体"/>
          <w:sz w:val="24"/>
        </w:rPr>
        <w:t>（1）</w:t>
      </w:r>
      <w:r>
        <w:rPr>
          <w:rFonts w:hint="eastAsia" w:hAnsi="宋体"/>
          <w:sz w:val="24"/>
        </w:rPr>
        <w:t>谈判邀请</w:t>
      </w:r>
    </w:p>
    <w:p>
      <w:pPr>
        <w:pStyle w:val="11"/>
        <w:spacing w:line="400" w:lineRule="exact"/>
        <w:jc w:val="left"/>
        <w:rPr>
          <w:rFonts w:hAnsi="宋体"/>
          <w:sz w:val="24"/>
        </w:rPr>
      </w:pPr>
      <w:r>
        <w:rPr>
          <w:rFonts w:hAnsi="宋体"/>
          <w:sz w:val="24"/>
        </w:rPr>
        <w:t>（2）</w:t>
      </w:r>
      <w:r>
        <w:rPr>
          <w:rFonts w:hint="eastAsia" w:hAnsi="宋体"/>
          <w:sz w:val="24"/>
        </w:rPr>
        <w:t>谈判响应供应商须知</w:t>
      </w:r>
    </w:p>
    <w:p>
      <w:pPr>
        <w:pStyle w:val="11"/>
        <w:spacing w:line="400" w:lineRule="exact"/>
        <w:jc w:val="left"/>
        <w:rPr>
          <w:rFonts w:hAnsi="宋体"/>
          <w:sz w:val="24"/>
        </w:rPr>
      </w:pPr>
      <w:r>
        <w:rPr>
          <w:rFonts w:hint="eastAsia" w:hAnsi="宋体"/>
          <w:sz w:val="24"/>
        </w:rPr>
        <w:t>（3）谈判供应商须知正文部分</w:t>
      </w:r>
    </w:p>
    <w:p>
      <w:pPr>
        <w:pStyle w:val="11"/>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1"/>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1"/>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1"/>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1"/>
        <w:spacing w:line="400" w:lineRule="exact"/>
        <w:jc w:val="left"/>
        <w:rPr>
          <w:rFonts w:hAnsi="宋体"/>
          <w:b/>
          <w:sz w:val="24"/>
        </w:rPr>
      </w:pPr>
      <w:r>
        <w:rPr>
          <w:rFonts w:hint="eastAsia" w:hAnsi="宋体"/>
          <w:b/>
          <w:sz w:val="24"/>
        </w:rPr>
        <w:t>9</w:t>
      </w:r>
      <w:r>
        <w:rPr>
          <w:rFonts w:hAnsi="宋体"/>
          <w:b/>
          <w:sz w:val="24"/>
        </w:rPr>
        <w:t>.要求</w:t>
      </w:r>
    </w:p>
    <w:p>
      <w:pPr>
        <w:pStyle w:val="11"/>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1"/>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1"/>
        <w:spacing w:line="400" w:lineRule="exact"/>
        <w:jc w:val="left"/>
        <w:rPr>
          <w:rFonts w:hAnsi="宋体"/>
          <w:b/>
          <w:sz w:val="24"/>
        </w:rPr>
      </w:pPr>
      <w:r>
        <w:rPr>
          <w:rFonts w:hint="eastAsia" w:hAnsi="宋体"/>
          <w:b/>
          <w:sz w:val="24"/>
        </w:rPr>
        <w:t>10.谈判响应文件语言及报价要求</w:t>
      </w:r>
    </w:p>
    <w:p>
      <w:pPr>
        <w:pStyle w:val="11"/>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1"/>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1"/>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1"/>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1"/>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1"/>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1"/>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1"/>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1"/>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1"/>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1"/>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1"/>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1"/>
        <w:spacing w:line="400" w:lineRule="exact"/>
        <w:jc w:val="left"/>
        <w:rPr>
          <w:rFonts w:hAnsi="宋体"/>
          <w:sz w:val="24"/>
        </w:rPr>
      </w:pPr>
      <w:r>
        <w:rPr>
          <w:rFonts w:hint="eastAsia" w:hAnsi="宋体"/>
          <w:sz w:val="24"/>
        </w:rPr>
        <w:t xml:space="preserve">   （4）谈判响应供应商在响应文件中提供虚假材料的；</w:t>
      </w:r>
    </w:p>
    <w:p>
      <w:pPr>
        <w:pStyle w:val="11"/>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1"/>
        <w:spacing w:line="400" w:lineRule="exact"/>
        <w:ind w:firstLine="360" w:firstLineChars="150"/>
        <w:jc w:val="left"/>
        <w:rPr>
          <w:rFonts w:hAnsi="宋体"/>
          <w:sz w:val="24"/>
        </w:rPr>
      </w:pPr>
      <w:r>
        <w:rPr>
          <w:rFonts w:hint="eastAsia" w:hAnsi="宋体"/>
          <w:sz w:val="24"/>
        </w:rPr>
        <w:t>（6）以不正当手段诋毁、排挤其他供应商的；</w:t>
      </w:r>
    </w:p>
    <w:p>
      <w:pPr>
        <w:pStyle w:val="11"/>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1"/>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1"/>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1"/>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1"/>
        <w:spacing w:line="400" w:lineRule="exact"/>
        <w:ind w:firstLine="480" w:firstLineChars="200"/>
        <w:rPr>
          <w:rFonts w:hAnsi="宋体"/>
          <w:sz w:val="24"/>
        </w:rPr>
      </w:pPr>
      <w:r>
        <w:rPr>
          <w:rFonts w:hint="eastAsia" w:hAnsi="宋体"/>
          <w:sz w:val="24"/>
        </w:rPr>
        <w:t>13.9网上缴纳保证金流程</w:t>
      </w:r>
    </w:p>
    <w:p>
      <w:pPr>
        <w:pStyle w:val="11"/>
        <w:spacing w:line="400" w:lineRule="exact"/>
        <w:ind w:firstLine="480" w:firstLineChars="200"/>
        <w:rPr>
          <w:rFonts w:hAnsi="宋体"/>
          <w:sz w:val="24"/>
        </w:rPr>
      </w:pPr>
      <w:r>
        <w:rPr>
          <w:rFonts w:hint="eastAsia" w:hAnsi="宋体"/>
          <w:sz w:val="24"/>
        </w:rPr>
        <w:t>1.线上报名获取缴纳随机码</w:t>
      </w:r>
    </w:p>
    <w:p>
      <w:pPr>
        <w:pStyle w:val="11"/>
        <w:spacing w:line="400" w:lineRule="exact"/>
        <w:ind w:firstLine="480" w:firstLineChars="200"/>
        <w:rPr>
          <w:rFonts w:hAnsi="宋体"/>
          <w:sz w:val="24"/>
        </w:rPr>
      </w:pPr>
      <w:r>
        <w:rPr>
          <w:rFonts w:hint="eastAsia" w:hAnsi="宋体"/>
          <w:sz w:val="24"/>
        </w:rPr>
        <w:t>·登录公共资源电子交易系统（jyzx.trs.gov.cn）</w:t>
      </w:r>
    </w:p>
    <w:p>
      <w:pPr>
        <w:pStyle w:val="11"/>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1"/>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1"/>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1"/>
        <w:spacing w:line="400" w:lineRule="exact"/>
        <w:ind w:firstLine="480" w:firstLineChars="200"/>
        <w:rPr>
          <w:rFonts w:hAnsi="宋体"/>
          <w:sz w:val="24"/>
        </w:rPr>
      </w:pPr>
      <w:r>
        <w:rPr>
          <w:rFonts w:hint="eastAsia" w:hAnsi="宋体"/>
          <w:sz w:val="24"/>
        </w:rPr>
        <w:t>2.缴纳保证金</w:t>
      </w:r>
    </w:p>
    <w:p>
      <w:pPr>
        <w:pStyle w:val="11"/>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1"/>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1"/>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1"/>
        <w:spacing w:line="400" w:lineRule="exact"/>
        <w:ind w:firstLine="480" w:firstLineChars="200"/>
        <w:rPr>
          <w:rFonts w:hAnsi="宋体"/>
          <w:sz w:val="24"/>
        </w:rPr>
      </w:pPr>
      <w:r>
        <w:rPr>
          <w:rFonts w:hint="eastAsia" w:hAnsi="宋体"/>
          <w:sz w:val="24"/>
        </w:rPr>
        <w:t>3.打印回执</w:t>
      </w:r>
    </w:p>
    <w:p>
      <w:pPr>
        <w:pStyle w:val="11"/>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1"/>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1"/>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1"/>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1"/>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0"/>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0"/>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0"/>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0"/>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0"/>
        <w:spacing w:line="400" w:lineRule="exact"/>
        <w:ind w:firstLine="482" w:firstLineChars="200"/>
        <w:jc w:val="center"/>
        <w:outlineLvl w:val="9"/>
        <w:rPr>
          <w:rFonts w:hAnsi="宋体"/>
          <w:b/>
          <w:sz w:val="24"/>
        </w:rPr>
      </w:pPr>
    </w:p>
    <w:p>
      <w:pPr>
        <w:pStyle w:val="30"/>
        <w:spacing w:line="400" w:lineRule="exact"/>
        <w:ind w:firstLine="482" w:firstLineChars="200"/>
        <w:jc w:val="center"/>
        <w:outlineLvl w:val="9"/>
        <w:rPr>
          <w:rFonts w:hAnsi="宋体"/>
          <w:b/>
          <w:sz w:val="24"/>
        </w:rPr>
      </w:pPr>
      <w:r>
        <w:rPr>
          <w:rFonts w:hint="eastAsia" w:hAnsi="宋体"/>
          <w:b/>
          <w:sz w:val="24"/>
        </w:rPr>
        <w:t>四、响应文件的提交</w:t>
      </w:r>
    </w:p>
    <w:p>
      <w:pPr>
        <w:pStyle w:val="30"/>
        <w:spacing w:line="400" w:lineRule="exact"/>
        <w:outlineLvl w:val="9"/>
        <w:rPr>
          <w:rFonts w:hAnsi="宋体"/>
          <w:b/>
          <w:sz w:val="24"/>
        </w:rPr>
      </w:pPr>
      <w:r>
        <w:rPr>
          <w:rFonts w:hint="eastAsia" w:hAnsi="宋体"/>
          <w:b/>
          <w:sz w:val="24"/>
        </w:rPr>
        <w:t>15.响应文件的密封、标记和递交</w:t>
      </w:r>
    </w:p>
    <w:p>
      <w:pPr>
        <w:pStyle w:val="30"/>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1"/>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0"/>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0"/>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0"/>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1"/>
        <w:spacing w:line="400" w:lineRule="exact"/>
        <w:jc w:val="left"/>
        <w:rPr>
          <w:rFonts w:hAnsi="宋体"/>
          <w:b/>
          <w:sz w:val="24"/>
        </w:rPr>
      </w:pPr>
      <w:r>
        <w:rPr>
          <w:rFonts w:hint="eastAsia" w:hAnsi="宋体"/>
          <w:b/>
          <w:sz w:val="24"/>
        </w:rPr>
        <w:t>16.谈判时间</w:t>
      </w:r>
    </w:p>
    <w:p>
      <w:pPr>
        <w:pStyle w:val="11"/>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1"/>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1"/>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1"/>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1"/>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1"/>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1"/>
        <w:spacing w:line="400" w:lineRule="exact"/>
        <w:ind w:firstLine="475" w:firstLineChars="198"/>
        <w:rPr>
          <w:rFonts w:hAnsi="宋体"/>
          <w:sz w:val="24"/>
        </w:rPr>
      </w:pPr>
      <w:r>
        <w:rPr>
          <w:rFonts w:hint="eastAsia" w:hAnsi="宋体"/>
          <w:sz w:val="24"/>
        </w:rPr>
        <w:t>（1）工商营业执照副本；</w:t>
      </w:r>
    </w:p>
    <w:p>
      <w:pPr>
        <w:pStyle w:val="11"/>
        <w:spacing w:line="400" w:lineRule="exact"/>
        <w:ind w:firstLine="475" w:firstLineChars="198"/>
        <w:rPr>
          <w:rFonts w:hAnsi="宋体"/>
          <w:sz w:val="24"/>
        </w:rPr>
      </w:pPr>
      <w:r>
        <w:rPr>
          <w:rFonts w:hint="eastAsia" w:hAnsi="宋体"/>
          <w:sz w:val="24"/>
        </w:rPr>
        <w:t>（2）税务登记证；</w:t>
      </w:r>
    </w:p>
    <w:p>
      <w:pPr>
        <w:pStyle w:val="11"/>
        <w:spacing w:line="400" w:lineRule="exact"/>
        <w:ind w:firstLine="475" w:firstLineChars="198"/>
        <w:rPr>
          <w:rFonts w:hAnsi="宋体"/>
          <w:sz w:val="24"/>
        </w:rPr>
      </w:pPr>
      <w:r>
        <w:rPr>
          <w:rFonts w:hint="eastAsia" w:hAnsi="宋体"/>
          <w:sz w:val="24"/>
        </w:rPr>
        <w:t>（3）组织机构代码证；</w:t>
      </w:r>
    </w:p>
    <w:p>
      <w:pPr>
        <w:pStyle w:val="11"/>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1"/>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1"/>
        <w:spacing w:line="400" w:lineRule="exact"/>
        <w:ind w:firstLine="475" w:firstLineChars="198"/>
        <w:rPr>
          <w:rFonts w:hint="eastAsia"/>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cs="宋体"/>
          <w:bCs/>
          <w:color w:val="000000"/>
          <w:sz w:val="24"/>
          <w:szCs w:val="24"/>
          <w:lang w:val="en-US" w:eastAsia="zh-CN"/>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）医疗器械生产许可证或医疗器械经营许可证。</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1"/>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1"/>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1"/>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1"/>
        <w:spacing w:line="400" w:lineRule="exact"/>
        <w:ind w:firstLine="480" w:firstLineChars="200"/>
        <w:jc w:val="left"/>
        <w:rPr>
          <w:rFonts w:hAnsi="宋体"/>
          <w:sz w:val="24"/>
        </w:rPr>
      </w:pPr>
      <w:r>
        <w:rPr>
          <w:rFonts w:hint="eastAsia" w:hAnsi="宋体"/>
          <w:sz w:val="24"/>
        </w:rPr>
        <w:t>21.项目采购失败处理</w:t>
      </w:r>
    </w:p>
    <w:p>
      <w:pPr>
        <w:pStyle w:val="11"/>
        <w:spacing w:line="400" w:lineRule="exact"/>
        <w:ind w:firstLine="480" w:firstLineChars="200"/>
        <w:jc w:val="left"/>
        <w:rPr>
          <w:rFonts w:hAnsi="宋体"/>
          <w:sz w:val="24"/>
        </w:rPr>
      </w:pPr>
      <w:r>
        <w:rPr>
          <w:rFonts w:hint="eastAsia" w:hAnsi="宋体"/>
          <w:sz w:val="24"/>
        </w:rPr>
        <w:t>出现下列情况将作采购失败处理：</w:t>
      </w:r>
    </w:p>
    <w:p>
      <w:pPr>
        <w:pStyle w:val="11"/>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1"/>
        <w:spacing w:line="400" w:lineRule="exact"/>
        <w:ind w:firstLine="480" w:firstLineChars="200"/>
        <w:jc w:val="left"/>
        <w:rPr>
          <w:rFonts w:hAnsi="宋体"/>
          <w:sz w:val="24"/>
        </w:rPr>
      </w:pPr>
      <w:r>
        <w:rPr>
          <w:rFonts w:hint="eastAsia" w:hAnsi="宋体"/>
          <w:sz w:val="24"/>
        </w:rPr>
        <w:t>(二)出现影响采购公正的违法、违规行为的；</w:t>
      </w:r>
    </w:p>
    <w:p>
      <w:pPr>
        <w:pStyle w:val="11"/>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1"/>
        <w:spacing w:line="400" w:lineRule="exact"/>
        <w:ind w:firstLine="480" w:firstLineChars="200"/>
        <w:jc w:val="left"/>
        <w:rPr>
          <w:rFonts w:hAnsi="宋体"/>
          <w:sz w:val="24"/>
        </w:rPr>
      </w:pPr>
      <w:r>
        <w:rPr>
          <w:rFonts w:hint="eastAsia" w:hAnsi="宋体"/>
          <w:sz w:val="24"/>
        </w:rPr>
        <w:t>（四）因重大变故，采购任务取消的。</w:t>
      </w:r>
    </w:p>
    <w:p>
      <w:pPr>
        <w:pStyle w:val="30"/>
        <w:spacing w:line="400" w:lineRule="exact"/>
        <w:jc w:val="center"/>
        <w:outlineLvl w:val="9"/>
        <w:rPr>
          <w:rFonts w:hAnsi="宋体"/>
          <w:b/>
          <w:sz w:val="24"/>
        </w:rPr>
      </w:pPr>
      <w:r>
        <w:rPr>
          <w:rFonts w:hint="eastAsia" w:hAnsi="宋体"/>
          <w:b/>
          <w:sz w:val="24"/>
        </w:rPr>
        <w:t>六、成交与签订合同</w:t>
      </w:r>
    </w:p>
    <w:p>
      <w:pPr>
        <w:pStyle w:val="11"/>
        <w:spacing w:line="400" w:lineRule="exact"/>
        <w:jc w:val="left"/>
        <w:rPr>
          <w:rFonts w:hAnsi="宋体"/>
          <w:sz w:val="24"/>
        </w:rPr>
      </w:pPr>
      <w:r>
        <w:rPr>
          <w:rFonts w:hint="eastAsia" w:hAnsi="宋体"/>
          <w:sz w:val="24"/>
        </w:rPr>
        <w:t>22.成交准则</w:t>
      </w:r>
    </w:p>
    <w:p>
      <w:pPr>
        <w:pStyle w:val="11"/>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spacing w:line="400" w:lineRule="exact"/>
        <w:jc w:val="left"/>
        <w:rPr>
          <w:rFonts w:hAnsi="宋体"/>
          <w:b/>
          <w:sz w:val="24"/>
        </w:rPr>
      </w:pPr>
      <w:r>
        <w:rPr>
          <w:rFonts w:hint="eastAsia" w:hAnsi="宋体"/>
          <w:b/>
          <w:sz w:val="24"/>
        </w:rPr>
        <w:t>23</w:t>
      </w:r>
      <w:r>
        <w:rPr>
          <w:rFonts w:hAnsi="宋体"/>
          <w:b/>
          <w:sz w:val="24"/>
        </w:rPr>
        <w:t>.成交通知</w:t>
      </w:r>
    </w:p>
    <w:p>
      <w:pPr>
        <w:pStyle w:val="11"/>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spacing w:line="400" w:lineRule="exact"/>
        <w:jc w:val="left"/>
        <w:rPr>
          <w:rFonts w:hAnsi="宋体"/>
          <w:b/>
          <w:sz w:val="24"/>
        </w:rPr>
      </w:pPr>
      <w:r>
        <w:rPr>
          <w:rFonts w:hint="eastAsia" w:hAnsi="宋体"/>
          <w:b/>
          <w:sz w:val="24"/>
        </w:rPr>
        <w:t>24.</w:t>
      </w:r>
      <w:r>
        <w:rPr>
          <w:rFonts w:hAnsi="宋体"/>
          <w:b/>
          <w:sz w:val="24"/>
        </w:rPr>
        <w:t>签订合同</w:t>
      </w:r>
    </w:p>
    <w:p>
      <w:pPr>
        <w:pStyle w:val="11"/>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1"/>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tbl>
      <w:tblPr>
        <w:tblStyle w:val="17"/>
        <w:tblW w:w="8540" w:type="dxa"/>
        <w:jc w:val="center"/>
        <w:shd w:val="clear" w:color="auto" w:fill="auto"/>
        <w:tblLayout w:type="fixed"/>
        <w:tblCellMar>
          <w:top w:w="0" w:type="dxa"/>
          <w:left w:w="0" w:type="dxa"/>
          <w:bottom w:w="0" w:type="dxa"/>
          <w:right w:w="0" w:type="dxa"/>
        </w:tblCellMar>
      </w:tblPr>
      <w:tblGrid>
        <w:gridCol w:w="732"/>
        <w:gridCol w:w="2156"/>
        <w:gridCol w:w="1630"/>
        <w:gridCol w:w="1437"/>
        <w:gridCol w:w="912"/>
        <w:gridCol w:w="731"/>
        <w:gridCol w:w="942"/>
      </w:tblGrid>
      <w:tr>
        <w:tblPrEx>
          <w:shd w:val="clear" w:color="auto" w:fill="auto"/>
          <w:tblCellMar>
            <w:top w:w="0" w:type="dxa"/>
            <w:left w:w="0" w:type="dxa"/>
            <w:bottom w:w="0" w:type="dxa"/>
            <w:right w:w="0" w:type="dxa"/>
          </w:tblCellMar>
        </w:tblPrEx>
        <w:trPr>
          <w:trHeight w:val="364"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序号</w:t>
            </w:r>
          </w:p>
        </w:tc>
        <w:tc>
          <w:tcPr>
            <w:tcW w:w="21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商品名称</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配置及参数</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1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AGS4800实时荧光定量PCR仪</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详见技术参数</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须提供生产厂家授权书</w:t>
            </w:r>
          </w:p>
        </w:tc>
      </w:tr>
      <w:tr>
        <w:tblPrEx>
          <w:tblCellMar>
            <w:top w:w="0" w:type="dxa"/>
            <w:left w:w="0" w:type="dxa"/>
            <w:bottom w:w="0" w:type="dxa"/>
            <w:right w:w="0" w:type="dxa"/>
          </w:tblCellMar>
        </w:tblPrEx>
        <w:trPr>
          <w:trHeight w:val="61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Stream SP96全自动核酸提取仪</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详见技术参数</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98"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新冠核酸检测试剂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50人份</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★须为贵州省医疗保障局采购目录中标产品且投标报价不能高于中标单价</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人份</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新冠核酸检测试剂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48人份</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9984</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人份</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9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核酸提取试剂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64人份</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★西安天隆 GeneRortx96核酸提取仪专用</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20032</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人份</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9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核酸提取试剂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32人份</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★达安Stream SP96全自动核酸提取仪专用</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9984</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人份</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5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1000ul AutoDA枪头（带滤芯）</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96个</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r>
              <w:rPr>
                <w:rFonts w:hint="default" w:ascii="Times New Roman" w:hAnsi="Times New Roman" w:eastAsia="宋体" w:cs="Times New Roman"/>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盒</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箱（</w:t>
            </w:r>
            <w:r>
              <w:rPr>
                <w:rFonts w:hint="default" w:ascii="Times New Roman" w:hAnsi="Times New Roman" w:eastAsia="宋体" w:cs="Times New Roman"/>
                <w:i w:val="0"/>
                <w:color w:val="000000"/>
                <w:kern w:val="0"/>
                <w:sz w:val="20"/>
                <w:szCs w:val="20"/>
                <w:u w:val="none"/>
                <w:lang w:val="en-US" w:eastAsia="zh-CN" w:bidi="ar"/>
              </w:rPr>
              <w:t>2304</w:t>
            </w:r>
            <w:r>
              <w:rPr>
                <w:rFonts w:hint="eastAsia" w:ascii="宋体" w:hAnsi="宋体" w:eastAsia="宋体" w:cs="宋体"/>
                <w:i w:val="0"/>
                <w:color w:val="000000"/>
                <w:kern w:val="0"/>
                <w:sz w:val="20"/>
                <w:szCs w:val="20"/>
                <w:u w:val="none"/>
                <w:lang w:val="en-US" w:eastAsia="zh-CN" w:bidi="ar"/>
              </w:rPr>
              <w:t>个</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箱）</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★达安Stream SP96全自动核酸提取仪专用</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8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200ul AutoDA枪头（带滤芯）</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96个</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r>
              <w:rPr>
                <w:rFonts w:hint="default" w:ascii="Times New Roman" w:hAnsi="Times New Roman" w:eastAsia="宋体" w:cs="Times New Roman"/>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盒</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箱（</w:t>
            </w:r>
            <w:r>
              <w:rPr>
                <w:rFonts w:hint="default" w:ascii="Times New Roman" w:hAnsi="Times New Roman" w:eastAsia="宋体" w:cs="Times New Roman"/>
                <w:i w:val="0"/>
                <w:color w:val="000000"/>
                <w:kern w:val="0"/>
                <w:sz w:val="20"/>
                <w:szCs w:val="20"/>
                <w:u w:val="none"/>
                <w:lang w:val="en-US" w:eastAsia="zh-CN" w:bidi="ar"/>
              </w:rPr>
              <w:t>2304</w:t>
            </w:r>
            <w:r>
              <w:rPr>
                <w:rFonts w:hint="eastAsia" w:ascii="宋体" w:hAnsi="宋体" w:eastAsia="宋体" w:cs="宋体"/>
                <w:i w:val="0"/>
                <w:color w:val="000000"/>
                <w:kern w:val="0"/>
                <w:sz w:val="20"/>
                <w:szCs w:val="20"/>
                <w:u w:val="none"/>
                <w:lang w:val="en-US" w:eastAsia="zh-CN" w:bidi="ar"/>
              </w:rPr>
              <w:t>个</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箱）</w:t>
            </w: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84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防污套</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4个</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条，</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条</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包，</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包</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箱，</w:t>
            </w:r>
            <w:r>
              <w:rPr>
                <w:rFonts w:hint="default" w:ascii="Times New Roman" w:hAnsi="Times New Roman" w:eastAsia="宋体" w:cs="Times New Roman"/>
                <w:i w:val="0"/>
                <w:color w:val="000000"/>
                <w:kern w:val="0"/>
                <w:sz w:val="20"/>
                <w:szCs w:val="20"/>
                <w:u w:val="none"/>
                <w:lang w:val="en-US" w:eastAsia="zh-CN" w:bidi="ar"/>
              </w:rPr>
              <w:t>113*85 *232mm</w:t>
            </w: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8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5ml灭菌运输管</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带盖</w:t>
            </w:r>
            <w:r>
              <w:rPr>
                <w:rFonts w:hint="default" w:ascii="Times New Roman" w:hAnsi="Times New Roman" w:eastAsia="宋体" w:cs="Times New Roman"/>
                <w:i w:val="0"/>
                <w:color w:val="000000"/>
                <w:kern w:val="0"/>
                <w:sz w:val="20"/>
                <w:szCs w:val="20"/>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Axygen_SCT-5ML-S 25管</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包</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2.0ml离心管（圆底）</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500个</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包</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采样管</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3.5ml保存液</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200ul枪头</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50盒</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箱</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10ul枪头</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50盒</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箱</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9"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八联管</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0.2ml125条</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★赛默飞世尔，</w:t>
            </w:r>
            <w:r>
              <w:rPr>
                <w:rStyle w:val="50"/>
                <w:rFonts w:eastAsia="宋体"/>
                <w:lang w:val="en-US" w:eastAsia="zh-CN" w:bidi="ar"/>
              </w:rPr>
              <w:t>ABI7500</w:t>
            </w:r>
            <w:r>
              <w:rPr>
                <w:rFonts w:hint="eastAsia" w:ascii="宋体" w:hAnsi="宋体" w:eastAsia="宋体" w:cs="宋体"/>
                <w:i w:val="0"/>
                <w:color w:val="000000"/>
                <w:kern w:val="0"/>
                <w:sz w:val="16"/>
                <w:szCs w:val="16"/>
                <w:u w:val="none"/>
                <w:lang w:val="en-US" w:eastAsia="zh-CN" w:bidi="ar"/>
              </w:rPr>
              <w:t>专用</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八联管盖子</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300条</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8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EP管</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1.5ml250个</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盒</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箱</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29"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生物安全运输箱</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配置样本转运箱体1个、感染性样本运输罐</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套、温度计1个、通用冰排6个</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生物安全运输箱</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适用于UN2814、UN2900、UN3373类生物标本运输</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8"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防护服</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医用（带胶条）</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详件技术参数要求</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护目镜</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（防雾型）</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7"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面屏</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4"/>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宋体" w:hAnsi="宋体"/>
          <w:b/>
          <w:bCs/>
          <w:color w:val="000000" w:themeColor="text1"/>
          <w:sz w:val="32"/>
          <w:szCs w:val="32"/>
          <w:lang w:eastAsia="zh-CN"/>
        </w:rPr>
      </w:pPr>
    </w:p>
    <w:p>
      <w:pPr>
        <w:keepNext w:val="0"/>
        <w:keepLines w:val="0"/>
        <w:pageBreakBefore w:val="0"/>
        <w:widowControl w:val="0"/>
        <w:kinsoku/>
        <w:wordWrap/>
        <w:overflowPunct/>
        <w:topLinePunct w:val="0"/>
        <w:bidi w:val="0"/>
        <w:spacing w:line="500" w:lineRule="exact"/>
        <w:jc w:val="center"/>
        <w:textAlignment w:val="auto"/>
        <w:rPr>
          <w:b/>
          <w:sz w:val="30"/>
          <w:szCs w:val="30"/>
        </w:rPr>
      </w:pPr>
      <w:r>
        <w:rPr>
          <w:rFonts w:hint="eastAsia"/>
          <w:b/>
          <w:sz w:val="30"/>
          <w:szCs w:val="30"/>
        </w:rPr>
        <w:t>全自动核酸提取仪性能参数</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1.工作模式：全自动加样 &amp; 核酸提取 &amp; PCR反应体系加样</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w:t>
      </w:r>
      <w:r>
        <w:rPr>
          <w:rFonts w:hint="eastAsia" w:ascii="宋体" w:hAnsi="宋体" w:eastAsia="宋体" w:cs="Times New Roman"/>
          <w:sz w:val="24"/>
          <w:szCs w:val="24"/>
        </w:rPr>
        <w:t>★</w:t>
      </w:r>
      <w:r>
        <w:rPr>
          <w:rFonts w:hint="eastAsia" w:ascii="宋体" w:hAnsi="宋体"/>
          <w:sz w:val="24"/>
          <w:szCs w:val="24"/>
        </w:rPr>
        <w:t>提取方式：磁珠提取技术，批量、单样同步处理</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3.单次移液范围：1μL～1000μL</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4.</w:t>
      </w:r>
      <w:r>
        <w:rPr>
          <w:rFonts w:hint="eastAsia" w:ascii="宋体" w:hAnsi="宋体" w:eastAsia="宋体" w:cs="Times New Roman"/>
          <w:sz w:val="24"/>
          <w:szCs w:val="24"/>
        </w:rPr>
        <w:t>★</w:t>
      </w:r>
      <w:r>
        <w:rPr>
          <w:rFonts w:hint="eastAsia" w:ascii="宋体" w:hAnsi="宋体"/>
          <w:sz w:val="24"/>
          <w:szCs w:val="24"/>
        </w:rPr>
        <w:t>工作体积：20</w:t>
      </w:r>
      <w:r>
        <w:rPr>
          <w:rFonts w:ascii="宋体" w:hAnsi="宋体"/>
          <w:sz w:val="24"/>
          <w:szCs w:val="24"/>
        </w:rPr>
        <w:t>~</w:t>
      </w:r>
      <w:r>
        <w:rPr>
          <w:rFonts w:hint="eastAsia" w:ascii="宋体" w:hAnsi="宋体"/>
          <w:sz w:val="24"/>
          <w:szCs w:val="24"/>
        </w:rPr>
        <w:t>1</w:t>
      </w:r>
      <w:r>
        <w:rPr>
          <w:rFonts w:ascii="宋体" w:hAnsi="宋体"/>
          <w:sz w:val="24"/>
          <w:szCs w:val="24"/>
        </w:rPr>
        <w:t>000uL</w:t>
      </w:r>
      <w:r>
        <w:rPr>
          <w:rFonts w:hint="eastAsia" w:ascii="宋体" w:hAnsi="宋体"/>
          <w:sz w:val="24"/>
          <w:szCs w:val="24"/>
        </w:rPr>
        <w:t>；样本体积：支持双倍样本提取，适用体积20μL～700μL</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5.处理通量：1～96个样本，最大必须到达96个样本。</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6.提取速度：96样品/60分钟</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7.</w:t>
      </w:r>
      <w:r>
        <w:rPr>
          <w:rFonts w:hint="eastAsia" w:ascii="宋体" w:hAnsi="宋体" w:eastAsia="宋体" w:cs="Times New Roman"/>
          <w:sz w:val="24"/>
          <w:szCs w:val="24"/>
        </w:rPr>
        <w:t>★</w:t>
      </w:r>
      <w:r>
        <w:rPr>
          <w:rFonts w:hint="eastAsia" w:ascii="宋体" w:hAnsi="宋体"/>
          <w:sz w:val="24"/>
          <w:szCs w:val="24"/>
        </w:rPr>
        <w:t>PCR位：最大3*96孔PCR位，可放置288人份PCR管</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8.</w:t>
      </w:r>
      <w:r>
        <w:rPr>
          <w:rFonts w:hint="eastAsia" w:ascii="宋体" w:hAnsi="宋体" w:eastAsia="宋体" w:cs="Times New Roman"/>
          <w:sz w:val="24"/>
          <w:szCs w:val="24"/>
        </w:rPr>
        <w:t>★</w:t>
      </w:r>
      <w:r>
        <w:rPr>
          <w:rFonts w:hint="eastAsia" w:ascii="宋体" w:hAnsi="宋体"/>
          <w:sz w:val="24"/>
          <w:szCs w:val="24"/>
        </w:rPr>
        <w:t>单人份提取：支持单人份提取，避免试剂耗材浪费</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9.</w:t>
      </w:r>
      <w:r>
        <w:rPr>
          <w:rFonts w:hint="eastAsia" w:ascii="宋体" w:hAnsi="宋体" w:eastAsia="宋体" w:cs="Times New Roman"/>
          <w:sz w:val="24"/>
          <w:szCs w:val="24"/>
        </w:rPr>
        <w:t>★</w:t>
      </w:r>
      <w:r>
        <w:rPr>
          <w:rFonts w:hint="eastAsia" w:ascii="宋体" w:hAnsi="宋体"/>
          <w:sz w:val="24"/>
          <w:szCs w:val="24"/>
        </w:rPr>
        <w:t>具备空气过滤系统，排风系统排气流量≥100m3/h</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10.具备UV紫外消毒系统，紫外线灯辐照强度≥95ｕW/cm2</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11.</w:t>
      </w:r>
      <w:r>
        <w:rPr>
          <w:rFonts w:hint="eastAsia" w:ascii="宋体" w:hAnsi="宋体" w:eastAsia="宋体" w:cs="Times New Roman"/>
          <w:sz w:val="24"/>
          <w:szCs w:val="24"/>
        </w:rPr>
        <w:t>★</w:t>
      </w:r>
      <w:r>
        <w:rPr>
          <w:rFonts w:hint="eastAsia" w:ascii="宋体" w:hAnsi="宋体"/>
          <w:sz w:val="24"/>
          <w:szCs w:val="24"/>
        </w:rPr>
        <w:t>具备样本条码扫描功能，样本条及条码扫描状态指示灯指示功能；</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12.具有液面探测功能，有效穿透气泡干扰层进行吸液；</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13.</w:t>
      </w:r>
      <w:r>
        <w:rPr>
          <w:rFonts w:hint="eastAsia" w:ascii="宋体" w:hAnsi="宋体" w:eastAsia="宋体" w:cs="Times New Roman"/>
          <w:sz w:val="24"/>
          <w:szCs w:val="24"/>
        </w:rPr>
        <w:t>★</w:t>
      </w:r>
      <w:r>
        <w:rPr>
          <w:rFonts w:hint="eastAsia" w:ascii="宋体" w:hAnsi="宋体"/>
          <w:sz w:val="24"/>
          <w:szCs w:val="24"/>
        </w:rPr>
        <w:t>核酸污染安全防护：核酸提取区、样品试剂分配区严格物理分，提取区可封闭工作；</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14.</w:t>
      </w:r>
      <w:r>
        <w:rPr>
          <w:rFonts w:hint="eastAsia" w:ascii="宋体" w:hAnsi="宋体" w:eastAsia="宋体" w:cs="Times New Roman"/>
          <w:sz w:val="24"/>
          <w:szCs w:val="24"/>
        </w:rPr>
        <w:t>★</w:t>
      </w:r>
      <w:r>
        <w:rPr>
          <w:rFonts w:hint="eastAsia" w:ascii="宋体" w:hAnsi="宋体"/>
          <w:sz w:val="24"/>
          <w:szCs w:val="24"/>
        </w:rPr>
        <w:t>双独立提取模块，两个提取模块可同时运行不同提取流程提取核酸；</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15.</w:t>
      </w:r>
      <w:r>
        <w:rPr>
          <w:rFonts w:hint="eastAsia" w:ascii="宋体" w:hAnsi="宋体" w:eastAsia="宋体" w:cs="Times New Roman"/>
          <w:sz w:val="24"/>
          <w:szCs w:val="24"/>
        </w:rPr>
        <w:t>★</w:t>
      </w:r>
      <w:r>
        <w:rPr>
          <w:rFonts w:hint="eastAsia" w:ascii="宋体" w:hAnsi="宋体"/>
          <w:sz w:val="24"/>
          <w:szCs w:val="24"/>
        </w:rPr>
        <w:t>枪头丢弃位置可用防污导料套，具备独立密闭的垃圾桶存放空间；</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16.具备气压、湿度、温度和加样修正功能；</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17.</w:t>
      </w:r>
      <w:r>
        <w:rPr>
          <w:rFonts w:hint="eastAsia" w:ascii="宋体" w:hAnsi="宋体" w:eastAsia="宋体" w:cs="Times New Roman"/>
          <w:sz w:val="24"/>
          <w:szCs w:val="24"/>
        </w:rPr>
        <w:t>★</w:t>
      </w:r>
      <w:r>
        <w:rPr>
          <w:rFonts w:hint="eastAsia" w:ascii="宋体" w:hAnsi="宋体"/>
          <w:sz w:val="24"/>
          <w:szCs w:val="24"/>
        </w:rPr>
        <w:t>具备温度设置不超过沸点保护功能（防止试剂沸腾），保护温度可根据海拔（气压）修正；</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18.</w:t>
      </w:r>
      <w:r>
        <w:rPr>
          <w:rFonts w:hint="eastAsia" w:ascii="宋体" w:hAnsi="宋体" w:eastAsia="宋体" w:cs="Times New Roman"/>
          <w:sz w:val="24"/>
          <w:szCs w:val="24"/>
        </w:rPr>
        <w:t>★</w:t>
      </w:r>
      <w:r>
        <w:rPr>
          <w:rFonts w:hint="eastAsia" w:ascii="宋体" w:hAnsi="宋体"/>
          <w:sz w:val="24"/>
          <w:szCs w:val="24"/>
        </w:rPr>
        <w:t>异常报警：具备声光指示运行状态和报警功能、枪头堵塞及凝块报警功能异常报警，在试剂、耗材不足报警提醒，并可进行添加。</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19.试剂冷藏（可选配）：温度2℃-8℃，自动密封，避免冷凝水稀释试剂</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20.独立冷藏模块（可选配）：2组96*2独立模块，同时可放置9组PCR试剂或288人份的PCR管</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21.显示器支架（可选配）：万向支架</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22.加样准确性：加样量为</w:t>
      </w:r>
      <w:r>
        <w:rPr>
          <w:rFonts w:ascii="宋体" w:hAnsi="宋体"/>
          <w:sz w:val="24"/>
          <w:szCs w:val="24"/>
        </w:rPr>
        <w:t>20~</w:t>
      </w:r>
      <w:r>
        <w:rPr>
          <w:rFonts w:hint="eastAsia" w:ascii="宋体" w:hAnsi="宋体"/>
          <w:sz w:val="24"/>
          <w:szCs w:val="24"/>
        </w:rPr>
        <w:t>1</w:t>
      </w:r>
      <w:r>
        <w:rPr>
          <w:rFonts w:ascii="宋体" w:hAnsi="宋体"/>
          <w:sz w:val="24"/>
          <w:szCs w:val="24"/>
        </w:rPr>
        <w:t>00</w:t>
      </w:r>
      <w:r>
        <w:rPr>
          <w:rFonts w:hint="eastAsia" w:ascii="宋体" w:hAnsi="宋体"/>
          <w:sz w:val="24"/>
          <w:szCs w:val="24"/>
        </w:rPr>
        <w:t xml:space="preserve"> uL时，误差不超过±</w:t>
      </w:r>
      <w:r>
        <w:rPr>
          <w:rFonts w:ascii="宋体" w:hAnsi="宋体"/>
          <w:sz w:val="24"/>
          <w:szCs w:val="24"/>
        </w:rPr>
        <w:t>1%</w:t>
      </w:r>
      <w:r>
        <w:rPr>
          <w:rFonts w:hint="eastAsia" w:ascii="宋体" w:hAnsi="宋体"/>
          <w:sz w:val="24"/>
          <w:szCs w:val="24"/>
        </w:rPr>
        <w:t xml:space="preserve"> ；加样量为1</w:t>
      </w:r>
      <w:r>
        <w:rPr>
          <w:rFonts w:ascii="宋体" w:hAnsi="宋体"/>
          <w:sz w:val="24"/>
          <w:szCs w:val="24"/>
        </w:rPr>
        <w:t>00~</w:t>
      </w:r>
      <w:r>
        <w:rPr>
          <w:rFonts w:hint="eastAsia" w:ascii="宋体" w:hAnsi="宋体"/>
          <w:sz w:val="24"/>
          <w:szCs w:val="24"/>
        </w:rPr>
        <w:t>1</w:t>
      </w:r>
      <w:r>
        <w:rPr>
          <w:rFonts w:ascii="宋体" w:hAnsi="宋体"/>
          <w:sz w:val="24"/>
          <w:szCs w:val="24"/>
        </w:rPr>
        <w:t>000</w:t>
      </w:r>
      <w:r>
        <w:rPr>
          <w:rFonts w:hint="eastAsia" w:ascii="宋体" w:hAnsi="宋体"/>
          <w:sz w:val="24"/>
          <w:szCs w:val="24"/>
        </w:rPr>
        <w:t xml:space="preserve"> uL时，误差不超过±0</w:t>
      </w:r>
      <w:r>
        <w:rPr>
          <w:rFonts w:ascii="宋体" w:hAnsi="宋体"/>
          <w:sz w:val="24"/>
          <w:szCs w:val="24"/>
        </w:rPr>
        <w:t>.8%</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23.</w:t>
      </w:r>
      <w:r>
        <w:rPr>
          <w:rFonts w:hint="eastAsia" w:ascii="宋体" w:hAnsi="宋体" w:eastAsia="宋体" w:cs="Times New Roman"/>
          <w:sz w:val="24"/>
          <w:szCs w:val="24"/>
        </w:rPr>
        <w:t>★</w:t>
      </w:r>
      <w:r>
        <w:rPr>
          <w:rFonts w:hint="eastAsia" w:ascii="宋体" w:hAnsi="宋体"/>
          <w:sz w:val="24"/>
          <w:szCs w:val="24"/>
        </w:rPr>
        <w:t>加样重复性：变异系数不超过</w:t>
      </w:r>
      <w:r>
        <w:rPr>
          <w:rFonts w:ascii="宋体" w:hAnsi="宋体"/>
          <w:sz w:val="24"/>
          <w:szCs w:val="24"/>
        </w:rPr>
        <w:t>0.8</w:t>
      </w:r>
      <w:r>
        <w:rPr>
          <w:rFonts w:hint="eastAsia" w:ascii="宋体" w:hAnsi="宋体"/>
          <w:sz w:val="24"/>
          <w:szCs w:val="24"/>
        </w:rPr>
        <w:t>% (≥</w:t>
      </w:r>
      <w:r>
        <w:rPr>
          <w:rFonts w:ascii="宋体" w:hAnsi="宋体"/>
          <w:sz w:val="24"/>
          <w:szCs w:val="24"/>
        </w:rPr>
        <w:t>2</w:t>
      </w:r>
      <w:r>
        <w:rPr>
          <w:rFonts w:hint="eastAsia" w:ascii="宋体" w:hAnsi="宋体"/>
          <w:sz w:val="24"/>
          <w:szCs w:val="24"/>
        </w:rPr>
        <w:t>0uL)</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 xml:space="preserve">24.提取温度控制范围：室温～99℃ </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25.XYZ机械臂运动精度：≤0.1mm</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 xml:space="preserve">26.具备安全门锁功能； </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27.具备双向LIS或HIS系统通讯功能；</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28.输入电源：100～220V 50Hz</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29.额定功率：1850VA</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30.工作温度范围：10℃～30℃</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31.工作湿度范围：≤80％</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32.重量：</w:t>
      </w:r>
      <w:r>
        <w:rPr>
          <w:rFonts w:hint="eastAsia" w:ascii="宋体" w:hAnsi="宋体"/>
          <w:sz w:val="24"/>
          <w:szCs w:val="24"/>
          <w:lang w:eastAsia="zh-CN"/>
        </w:rPr>
        <w:t>约</w:t>
      </w:r>
      <w:r>
        <w:rPr>
          <w:rFonts w:hint="eastAsia" w:ascii="宋体" w:hAnsi="宋体"/>
          <w:sz w:val="24"/>
          <w:szCs w:val="24"/>
        </w:rPr>
        <w:t>250kg</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33.外形尺寸（长×宽×高）：</w:t>
      </w:r>
      <w:r>
        <w:rPr>
          <w:rFonts w:hint="eastAsia" w:ascii="宋体" w:hAnsi="宋体"/>
          <w:sz w:val="24"/>
          <w:szCs w:val="24"/>
          <w:lang w:eastAsia="zh-CN"/>
        </w:rPr>
        <w:t>约</w:t>
      </w:r>
      <w:r>
        <w:rPr>
          <w:rFonts w:hint="eastAsia" w:ascii="宋体" w:hAnsi="宋体"/>
          <w:sz w:val="24"/>
          <w:szCs w:val="24"/>
        </w:rPr>
        <w:t>1300mm×745mm×1707mm</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34.售后服务：安装验收期间，对用户进行仪器的基本操作和日常维护的现场培训，内容包括仪器原理，使用方法和维护方法等；仪器在安装、调试通过后1年的免费保修期，在保修期内，所有服务及配件全部免费，质保期满后承诺：提供终生维护和维修服务。</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p>
    <w:p>
      <w:pPr>
        <w:keepNext w:val="0"/>
        <w:keepLines w:val="0"/>
        <w:pageBreakBefore w:val="0"/>
        <w:widowControl w:val="0"/>
        <w:kinsoku/>
        <w:wordWrap/>
        <w:overflowPunct/>
        <w:topLinePunct w:val="0"/>
        <w:bidi w:val="0"/>
        <w:spacing w:line="500" w:lineRule="exact"/>
        <w:jc w:val="center"/>
        <w:textAlignment w:val="auto"/>
        <w:rPr>
          <w:rFonts w:hint="eastAsia"/>
          <w:b/>
          <w:sz w:val="30"/>
          <w:szCs w:val="30"/>
        </w:rPr>
      </w:pPr>
      <w:r>
        <w:rPr>
          <w:rFonts w:hint="eastAsia"/>
          <w:b/>
          <w:sz w:val="30"/>
          <w:szCs w:val="30"/>
        </w:rPr>
        <w:t>实时荧光定量PCR性能参数</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1.</w:t>
      </w:r>
      <w:r>
        <w:rPr>
          <w:rFonts w:hint="eastAsia" w:ascii="宋体" w:hAnsi="宋体" w:eastAsia="宋体" w:cs="Times New Roman"/>
          <w:sz w:val="24"/>
          <w:szCs w:val="24"/>
        </w:rPr>
        <w:t>★样本容量</w:t>
      </w:r>
      <w:r>
        <w:rPr>
          <w:rFonts w:hint="eastAsia" w:ascii="宋体" w:hAnsi="宋体"/>
          <w:sz w:val="24"/>
          <w:szCs w:val="24"/>
        </w:rPr>
        <w:t>：</w:t>
      </w:r>
      <w:r>
        <w:rPr>
          <w:rFonts w:hint="eastAsia" w:ascii="宋体" w:hAnsi="宋体" w:eastAsia="宋体" w:cs="Times New Roman"/>
          <w:sz w:val="24"/>
          <w:szCs w:val="24"/>
        </w:rPr>
        <w:t>2*48×0.2ml离心管（10-100μl）,适应12×8联管，可升级至18×8联管，三模块检测系统。</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w:t>
      </w:r>
      <w:r>
        <w:rPr>
          <w:rFonts w:hint="eastAsia" w:ascii="宋体" w:hAnsi="宋体" w:eastAsia="宋体" w:cs="Times New Roman"/>
          <w:sz w:val="24"/>
          <w:szCs w:val="24"/>
        </w:rPr>
        <w:t>★光源</w:t>
      </w:r>
      <w:r>
        <w:rPr>
          <w:rFonts w:hint="eastAsia" w:ascii="宋体" w:hAnsi="宋体"/>
          <w:sz w:val="24"/>
          <w:szCs w:val="24"/>
        </w:rPr>
        <w:t>：</w:t>
      </w:r>
      <w:r>
        <w:rPr>
          <w:rFonts w:hint="eastAsia" w:ascii="宋体" w:hAnsi="宋体" w:eastAsia="宋体" w:cs="Times New Roman"/>
          <w:sz w:val="24"/>
          <w:szCs w:val="24"/>
        </w:rPr>
        <w:t>超高亮度LED</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3.</w:t>
      </w:r>
      <w:r>
        <w:rPr>
          <w:rFonts w:hint="eastAsia" w:ascii="宋体" w:hAnsi="宋体" w:eastAsia="宋体" w:cs="Times New Roman"/>
          <w:sz w:val="24"/>
          <w:szCs w:val="24"/>
        </w:rPr>
        <w:t>★检测器</w:t>
      </w:r>
      <w:r>
        <w:rPr>
          <w:rFonts w:hint="eastAsia" w:ascii="宋体" w:hAnsi="宋体"/>
          <w:sz w:val="24"/>
          <w:szCs w:val="24"/>
        </w:rPr>
        <w:t>：</w:t>
      </w:r>
      <w:r>
        <w:rPr>
          <w:rFonts w:hint="eastAsia" w:ascii="宋体" w:hAnsi="宋体" w:eastAsia="宋体" w:cs="Times New Roman"/>
          <w:sz w:val="24"/>
          <w:szCs w:val="24"/>
        </w:rPr>
        <w:t>高灵敏度光电传感器</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4.</w:t>
      </w:r>
      <w:r>
        <w:rPr>
          <w:rFonts w:hint="eastAsia" w:ascii="宋体" w:hAnsi="宋体" w:eastAsia="宋体" w:cs="Times New Roman"/>
          <w:sz w:val="24"/>
          <w:szCs w:val="24"/>
        </w:rPr>
        <w:t>灵敏度</w:t>
      </w:r>
      <w:r>
        <w:rPr>
          <w:rFonts w:hint="eastAsia" w:ascii="宋体" w:hAnsi="宋体"/>
          <w:sz w:val="24"/>
          <w:szCs w:val="24"/>
        </w:rPr>
        <w:t>：</w:t>
      </w:r>
      <w:r>
        <w:rPr>
          <w:rFonts w:hint="eastAsia" w:ascii="宋体" w:hAnsi="宋体" w:eastAsia="宋体" w:cs="Times New Roman"/>
          <w:sz w:val="24"/>
          <w:szCs w:val="24"/>
        </w:rPr>
        <w:t>低至1个拷贝</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vertAlign w:val="superscript"/>
        </w:rPr>
      </w:pPr>
      <w:r>
        <w:rPr>
          <w:rFonts w:hint="eastAsia" w:ascii="宋体" w:hAnsi="宋体"/>
          <w:sz w:val="24"/>
          <w:szCs w:val="24"/>
        </w:rPr>
        <w:t xml:space="preserve">5. </w:t>
      </w:r>
      <w:r>
        <w:rPr>
          <w:rFonts w:hint="eastAsia" w:ascii="宋体" w:hAnsi="宋体" w:eastAsia="宋体" w:cs="Times New Roman"/>
          <w:sz w:val="24"/>
          <w:szCs w:val="24"/>
        </w:rPr>
        <w:t>检测动力学范围</w:t>
      </w:r>
      <w:r>
        <w:rPr>
          <w:rFonts w:hint="eastAsia" w:ascii="宋体" w:hAnsi="宋体"/>
          <w:sz w:val="24"/>
          <w:szCs w:val="24"/>
        </w:rPr>
        <w:t>：</w:t>
      </w:r>
      <w:r>
        <w:rPr>
          <w:rFonts w:hint="eastAsia" w:ascii="宋体" w:hAnsi="宋体" w:eastAsia="宋体" w:cs="Times New Roman"/>
          <w:sz w:val="24"/>
          <w:szCs w:val="24"/>
        </w:rPr>
        <w:t>10</w:t>
      </w:r>
      <w:r>
        <w:rPr>
          <w:rFonts w:hint="eastAsia" w:ascii="宋体" w:hAnsi="宋体" w:eastAsia="宋体" w:cs="Times New Roman"/>
          <w:sz w:val="24"/>
          <w:szCs w:val="24"/>
          <w:vertAlign w:val="superscript"/>
        </w:rPr>
        <w:t>0</w:t>
      </w:r>
      <w:r>
        <w:rPr>
          <w:rFonts w:hint="eastAsia" w:ascii="宋体" w:hAnsi="宋体" w:eastAsia="宋体" w:cs="Times New Roman"/>
          <w:sz w:val="24"/>
          <w:szCs w:val="24"/>
        </w:rPr>
        <w:t>-10</w:t>
      </w:r>
      <w:r>
        <w:rPr>
          <w:rFonts w:hint="eastAsia" w:ascii="宋体" w:hAnsi="宋体" w:eastAsia="宋体" w:cs="Times New Roman"/>
          <w:sz w:val="24"/>
          <w:szCs w:val="24"/>
          <w:vertAlign w:val="superscript"/>
        </w:rPr>
        <w:t>10</w:t>
      </w:r>
    </w:p>
    <w:p>
      <w:pPr>
        <w:keepNext w:val="0"/>
        <w:keepLines w:val="0"/>
        <w:pageBreakBefore w:val="0"/>
        <w:widowControl w:val="0"/>
        <w:kinsoku/>
        <w:wordWrap/>
        <w:overflowPunct/>
        <w:topLinePunct w:val="0"/>
        <w:bidi w:val="0"/>
        <w:spacing w:line="500" w:lineRule="exact"/>
        <w:textAlignment w:val="auto"/>
        <w:rPr>
          <w:rFonts w:ascii="宋体" w:hAnsi="宋体" w:eastAsia="宋体" w:cs="宋体"/>
          <w:kern w:val="0"/>
          <w:sz w:val="24"/>
          <w:szCs w:val="24"/>
        </w:rPr>
      </w:pPr>
      <w:r>
        <w:rPr>
          <w:rFonts w:hint="eastAsia" w:ascii="宋体" w:hAnsi="宋体"/>
          <w:sz w:val="24"/>
          <w:szCs w:val="24"/>
        </w:rPr>
        <w:t xml:space="preserve">6. </w:t>
      </w:r>
      <w:r>
        <w:rPr>
          <w:rFonts w:hint="eastAsia" w:ascii="宋体" w:hAnsi="宋体" w:eastAsia="宋体" w:cs="Times New Roman"/>
          <w:sz w:val="24"/>
          <w:szCs w:val="24"/>
        </w:rPr>
        <w:t>反应容积</w:t>
      </w:r>
      <w:r>
        <w:rPr>
          <w:rFonts w:hint="eastAsia" w:ascii="宋体" w:hAnsi="宋体"/>
          <w:sz w:val="24"/>
          <w:szCs w:val="24"/>
        </w:rPr>
        <w:t>：</w:t>
      </w:r>
      <w:r>
        <w:rPr>
          <w:rFonts w:hint="eastAsia" w:ascii="宋体" w:hAnsi="宋体" w:eastAsia="宋体" w:cs="Times New Roman"/>
          <w:color w:val="FF0000"/>
          <w:sz w:val="24"/>
          <w:szCs w:val="24"/>
        </w:rPr>
        <w:t>5</w:t>
      </w:r>
      <w:r>
        <w:rPr>
          <w:rFonts w:hint="eastAsia" w:ascii="宋体" w:hAnsi="宋体" w:eastAsia="宋体" w:cs="Times New Roman"/>
          <w:sz w:val="24"/>
          <w:szCs w:val="24"/>
        </w:rPr>
        <w:t>—100</w:t>
      </w:r>
      <w:r>
        <w:rPr>
          <w:rFonts w:hint="eastAsia" w:ascii="宋体" w:hAnsi="宋体" w:eastAsia="宋体" w:cs="宋体"/>
          <w:kern w:val="0"/>
          <w:sz w:val="24"/>
          <w:szCs w:val="24"/>
        </w:rPr>
        <w:t>μL</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eastAsia="宋体" w:cs="Times New Roman"/>
          <w:sz w:val="24"/>
          <w:szCs w:val="24"/>
        </w:rPr>
      </w:pPr>
      <w:r>
        <w:rPr>
          <w:rFonts w:hint="eastAsia" w:ascii="宋体" w:hAnsi="宋体" w:eastAsia="宋体" w:cs="宋体"/>
          <w:kern w:val="0"/>
          <w:sz w:val="24"/>
          <w:szCs w:val="24"/>
        </w:rPr>
        <w:t>7.</w:t>
      </w:r>
      <w:r>
        <w:rPr>
          <w:rFonts w:hint="eastAsia" w:ascii="宋体" w:hAnsi="宋体"/>
          <w:sz w:val="24"/>
          <w:szCs w:val="24"/>
        </w:rPr>
        <w:t xml:space="preserve"> </w:t>
      </w:r>
      <w:r>
        <w:rPr>
          <w:rFonts w:hint="eastAsia" w:ascii="宋体" w:hAnsi="宋体" w:eastAsia="宋体" w:cs="Times New Roman"/>
          <w:sz w:val="24"/>
          <w:szCs w:val="24"/>
        </w:rPr>
        <w:t>★检测的荧光素及染料</w:t>
      </w:r>
      <w:r>
        <w:rPr>
          <w:rFonts w:hint="eastAsia" w:ascii="宋体" w:hAnsi="宋体"/>
          <w:sz w:val="24"/>
          <w:szCs w:val="24"/>
        </w:rPr>
        <w:t>：</w:t>
      </w:r>
      <w:r>
        <w:rPr>
          <w:rFonts w:hint="eastAsia" w:ascii="宋体" w:hAnsi="宋体" w:eastAsia="宋体" w:cs="Times New Roman"/>
          <w:sz w:val="24"/>
          <w:szCs w:val="24"/>
        </w:rPr>
        <w:t>F1：FAM,SYBR GREEN;F2：VIC,HEX,JOE,TET,YELLOW</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eastAsia="宋体" w:cs="Times New Roman"/>
          <w:sz w:val="24"/>
          <w:szCs w:val="24"/>
        </w:rPr>
        <w:t>F3:CY3选配</w:t>
      </w:r>
      <w:r>
        <w:rPr>
          <w:rFonts w:hint="eastAsia" w:ascii="宋体" w:hAnsi="宋体"/>
          <w:sz w:val="24"/>
          <w:szCs w:val="24"/>
        </w:rPr>
        <w:t>；</w:t>
      </w:r>
      <w:r>
        <w:rPr>
          <w:rFonts w:hint="eastAsia" w:ascii="宋体" w:hAnsi="宋体" w:eastAsia="宋体" w:cs="Times New Roman"/>
          <w:sz w:val="24"/>
          <w:szCs w:val="24"/>
        </w:rPr>
        <w:t>F4:ROX选配</w:t>
      </w:r>
      <w:r>
        <w:rPr>
          <w:rFonts w:hint="eastAsia" w:ascii="宋体" w:hAnsi="宋体"/>
          <w:sz w:val="24"/>
          <w:szCs w:val="24"/>
        </w:rPr>
        <w:t xml:space="preserve">； </w:t>
      </w:r>
      <w:r>
        <w:rPr>
          <w:rFonts w:hint="eastAsia" w:ascii="宋体" w:hAnsi="宋体" w:eastAsia="宋体" w:cs="Times New Roman"/>
          <w:sz w:val="24"/>
          <w:szCs w:val="24"/>
        </w:rPr>
        <w:t>F5:CY5选配</w:t>
      </w:r>
      <w:r>
        <w:rPr>
          <w:rFonts w:hint="eastAsia" w:ascii="宋体" w:hAnsi="宋体"/>
          <w:sz w:val="24"/>
          <w:szCs w:val="24"/>
        </w:rPr>
        <w:t xml:space="preserve">； </w:t>
      </w:r>
      <w:r>
        <w:rPr>
          <w:rFonts w:hint="eastAsia" w:ascii="宋体" w:hAnsi="宋体" w:eastAsia="宋体" w:cs="Times New Roman"/>
          <w:sz w:val="24"/>
          <w:szCs w:val="24"/>
        </w:rPr>
        <w:t>FF6:CY5.5</w:t>
      </w:r>
      <w:r>
        <w:rPr>
          <w:rFonts w:hint="eastAsia" w:ascii="宋体" w:hAnsi="宋体"/>
          <w:sz w:val="24"/>
          <w:szCs w:val="24"/>
        </w:rPr>
        <w:t>；</w:t>
      </w:r>
      <w:r>
        <w:rPr>
          <w:rFonts w:hint="eastAsia" w:ascii="宋体" w:hAnsi="宋体" w:eastAsia="宋体" w:cs="Times New Roman"/>
          <w:sz w:val="24"/>
          <w:szCs w:val="24"/>
        </w:rPr>
        <w:t>选配</w:t>
      </w:r>
      <w:r>
        <w:rPr>
          <w:rFonts w:hint="eastAsia" w:ascii="宋体" w:hAnsi="宋体"/>
          <w:sz w:val="24"/>
          <w:szCs w:val="24"/>
        </w:rPr>
        <w:t xml:space="preserve">； </w:t>
      </w:r>
      <w:r>
        <w:rPr>
          <w:rFonts w:hint="eastAsia" w:ascii="宋体" w:hAnsi="宋体" w:eastAsia="宋体" w:cs="Times New Roman"/>
          <w:sz w:val="24"/>
          <w:szCs w:val="24"/>
        </w:rPr>
        <w:t>F7:选配</w:t>
      </w:r>
      <w:r>
        <w:rPr>
          <w:rFonts w:hint="eastAsia" w:ascii="宋体" w:hAnsi="宋体"/>
          <w:sz w:val="24"/>
          <w:szCs w:val="24"/>
        </w:rPr>
        <w:t xml:space="preserve">； </w:t>
      </w:r>
      <w:r>
        <w:rPr>
          <w:rFonts w:hint="eastAsia" w:ascii="宋体" w:hAnsi="宋体" w:eastAsia="宋体" w:cs="Times New Roman"/>
          <w:sz w:val="24"/>
          <w:szCs w:val="24"/>
        </w:rPr>
        <w:t>F8：选配</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8. </w:t>
      </w:r>
      <w:r>
        <w:rPr>
          <w:rFonts w:hint="eastAsia" w:ascii="宋体" w:hAnsi="宋体" w:eastAsia="宋体" w:cs="Times New Roman"/>
          <w:sz w:val="24"/>
          <w:szCs w:val="24"/>
        </w:rPr>
        <w:t>★热盖</w:t>
      </w:r>
      <w:r>
        <w:rPr>
          <w:rFonts w:hint="eastAsia" w:ascii="宋体" w:hAnsi="宋体"/>
          <w:sz w:val="24"/>
          <w:szCs w:val="24"/>
        </w:rPr>
        <w:t>：</w:t>
      </w:r>
      <w:r>
        <w:rPr>
          <w:rFonts w:hint="eastAsia" w:ascii="宋体" w:hAnsi="宋体" w:eastAsia="宋体" w:cs="Times New Roman"/>
          <w:sz w:val="24"/>
          <w:szCs w:val="24"/>
        </w:rPr>
        <w:t>自动进样，电子自动热盖</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9. </w:t>
      </w:r>
      <w:r>
        <w:rPr>
          <w:rFonts w:hint="eastAsia" w:ascii="宋体" w:hAnsi="宋体" w:eastAsia="宋体" w:cs="Times New Roman"/>
          <w:sz w:val="24"/>
          <w:szCs w:val="24"/>
        </w:rPr>
        <w:t>温度范围</w:t>
      </w:r>
      <w:r>
        <w:rPr>
          <w:rFonts w:hint="eastAsia" w:ascii="宋体" w:hAnsi="宋体"/>
          <w:sz w:val="24"/>
          <w:szCs w:val="24"/>
        </w:rPr>
        <w:t>：</w:t>
      </w:r>
      <w:r>
        <w:rPr>
          <w:rFonts w:hint="eastAsia" w:ascii="宋体" w:hAnsi="宋体" w:eastAsia="宋体" w:cs="Times New Roman"/>
          <w:sz w:val="24"/>
          <w:szCs w:val="24"/>
        </w:rPr>
        <w:t>4-100℃</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10. </w:t>
      </w:r>
      <w:r>
        <w:rPr>
          <w:rFonts w:hint="eastAsia" w:ascii="宋体" w:hAnsi="宋体" w:eastAsia="宋体" w:cs="Times New Roman"/>
          <w:sz w:val="24"/>
          <w:szCs w:val="24"/>
        </w:rPr>
        <w:t>控温模式</w:t>
      </w:r>
      <w:r>
        <w:rPr>
          <w:rFonts w:hint="eastAsia" w:ascii="宋体" w:hAnsi="宋体"/>
          <w:sz w:val="24"/>
          <w:szCs w:val="24"/>
        </w:rPr>
        <w:t>：</w:t>
      </w:r>
      <w:r>
        <w:rPr>
          <w:rFonts w:hint="eastAsia" w:ascii="宋体" w:hAnsi="宋体" w:eastAsia="宋体" w:cs="Times New Roman"/>
          <w:sz w:val="24"/>
          <w:szCs w:val="24"/>
        </w:rPr>
        <w:t>半导体热电模块</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11. </w:t>
      </w:r>
      <w:r>
        <w:rPr>
          <w:rFonts w:hint="eastAsia" w:ascii="宋体" w:hAnsi="宋体" w:eastAsia="宋体" w:cs="Times New Roman"/>
          <w:sz w:val="24"/>
          <w:szCs w:val="24"/>
        </w:rPr>
        <w:t>均匀性</w:t>
      </w:r>
      <w:r>
        <w:rPr>
          <w:rFonts w:hint="eastAsia" w:ascii="宋体" w:hAnsi="宋体"/>
          <w:sz w:val="24"/>
          <w:szCs w:val="24"/>
        </w:rPr>
        <w:t>：</w:t>
      </w:r>
      <w:r>
        <w:rPr>
          <w:rFonts w:hint="eastAsia" w:ascii="宋体" w:hAnsi="宋体" w:eastAsia="宋体" w:cs="Times New Roman"/>
          <w:sz w:val="24"/>
          <w:szCs w:val="24"/>
        </w:rPr>
        <w:t>±0.1℃</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12. </w:t>
      </w:r>
      <w:r>
        <w:rPr>
          <w:rFonts w:hint="eastAsia" w:ascii="宋体" w:hAnsi="宋体" w:eastAsia="宋体" w:cs="Times New Roman"/>
          <w:sz w:val="24"/>
          <w:szCs w:val="24"/>
        </w:rPr>
        <w:t>温控精度</w:t>
      </w:r>
      <w:r>
        <w:rPr>
          <w:rFonts w:hint="eastAsia" w:ascii="宋体" w:hAnsi="宋体"/>
          <w:sz w:val="24"/>
          <w:szCs w:val="24"/>
        </w:rPr>
        <w:t>：</w:t>
      </w:r>
      <w:r>
        <w:rPr>
          <w:rFonts w:hint="eastAsia" w:ascii="宋体" w:hAnsi="宋体" w:eastAsia="宋体" w:cs="Times New Roman"/>
          <w:sz w:val="24"/>
          <w:szCs w:val="24"/>
        </w:rPr>
        <w:t>±0.1℃</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13. </w:t>
      </w:r>
      <w:r>
        <w:rPr>
          <w:rFonts w:hint="eastAsia" w:ascii="宋体" w:hAnsi="宋体" w:eastAsia="宋体" w:cs="Times New Roman"/>
          <w:sz w:val="24"/>
          <w:szCs w:val="24"/>
        </w:rPr>
        <w:t>升温速率</w:t>
      </w:r>
      <w:r>
        <w:rPr>
          <w:rFonts w:hint="eastAsia" w:ascii="宋体" w:hAnsi="宋体"/>
          <w:sz w:val="24"/>
          <w:szCs w:val="24"/>
        </w:rPr>
        <w:t>：</w:t>
      </w:r>
      <w:r>
        <w:rPr>
          <w:rFonts w:hint="eastAsia" w:ascii="宋体" w:hAnsi="宋体" w:eastAsia="宋体" w:cs="Times New Roman"/>
          <w:sz w:val="24"/>
          <w:szCs w:val="24"/>
        </w:rPr>
        <w:t>（MAX）≥6.5℃/s</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14. </w:t>
      </w:r>
      <w:r>
        <w:rPr>
          <w:rFonts w:hint="eastAsia" w:ascii="宋体" w:hAnsi="宋体" w:eastAsia="宋体" w:cs="Times New Roman"/>
          <w:sz w:val="24"/>
          <w:szCs w:val="24"/>
        </w:rPr>
        <w:t>降温速率</w:t>
      </w:r>
      <w:r>
        <w:rPr>
          <w:rFonts w:hint="eastAsia" w:ascii="宋体" w:hAnsi="宋体"/>
          <w:sz w:val="24"/>
          <w:szCs w:val="24"/>
        </w:rPr>
        <w:t>：</w:t>
      </w:r>
      <w:r>
        <w:rPr>
          <w:rFonts w:hint="eastAsia" w:ascii="宋体" w:hAnsi="宋体" w:eastAsia="宋体" w:cs="Times New Roman"/>
          <w:sz w:val="24"/>
          <w:szCs w:val="24"/>
        </w:rPr>
        <w:t>（MAX）≥6.5℃/s</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15. </w:t>
      </w:r>
      <w:r>
        <w:rPr>
          <w:rFonts w:hint="eastAsia" w:ascii="宋体" w:hAnsi="宋体" w:eastAsia="宋体" w:cs="Times New Roman"/>
          <w:sz w:val="24"/>
          <w:szCs w:val="24"/>
        </w:rPr>
        <w:t>热盖温度范围</w:t>
      </w:r>
      <w:r>
        <w:rPr>
          <w:rFonts w:hint="eastAsia" w:ascii="宋体" w:hAnsi="宋体"/>
          <w:sz w:val="24"/>
          <w:szCs w:val="24"/>
        </w:rPr>
        <w:t>：</w:t>
      </w:r>
      <w:r>
        <w:rPr>
          <w:rFonts w:hint="eastAsia" w:ascii="宋体" w:hAnsi="宋体" w:eastAsia="宋体" w:cs="Times New Roman"/>
          <w:sz w:val="24"/>
          <w:szCs w:val="24"/>
        </w:rPr>
        <w:t>30-110℃（可调默认105℃）</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16. </w:t>
      </w:r>
      <w:r>
        <w:rPr>
          <w:rFonts w:hint="eastAsia" w:ascii="宋体" w:hAnsi="宋体" w:eastAsia="宋体" w:cs="Times New Roman"/>
          <w:sz w:val="24"/>
          <w:szCs w:val="24"/>
        </w:rPr>
        <w:t>荧光强度检测重复性</w:t>
      </w:r>
      <w:r>
        <w:rPr>
          <w:rFonts w:hint="eastAsia" w:ascii="宋体" w:hAnsi="宋体"/>
          <w:sz w:val="24"/>
          <w:szCs w:val="24"/>
        </w:rPr>
        <w:t>：</w:t>
      </w:r>
      <w:r>
        <w:rPr>
          <w:rFonts w:hint="eastAsia" w:ascii="宋体" w:hAnsi="宋体" w:eastAsia="宋体" w:cs="Times New Roman"/>
          <w:sz w:val="24"/>
          <w:szCs w:val="24"/>
        </w:rPr>
        <w:t>CV≤0.5%</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17. </w:t>
      </w:r>
      <w:r>
        <w:rPr>
          <w:rFonts w:hint="eastAsia" w:ascii="宋体" w:hAnsi="宋体" w:eastAsia="宋体" w:cs="Times New Roman"/>
          <w:sz w:val="24"/>
          <w:szCs w:val="24"/>
        </w:rPr>
        <w:t>样本检测重复性</w:t>
      </w:r>
      <w:r>
        <w:rPr>
          <w:rFonts w:hint="eastAsia" w:ascii="宋体" w:hAnsi="宋体"/>
          <w:sz w:val="24"/>
          <w:szCs w:val="24"/>
        </w:rPr>
        <w:t>：</w:t>
      </w:r>
      <w:r>
        <w:rPr>
          <w:rFonts w:hint="eastAsia" w:ascii="宋体" w:hAnsi="宋体" w:eastAsia="宋体" w:cs="Times New Roman"/>
          <w:sz w:val="24"/>
          <w:szCs w:val="24"/>
        </w:rPr>
        <w:t>CV≤0.5%</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18. </w:t>
      </w:r>
      <w:r>
        <w:rPr>
          <w:rFonts w:hint="eastAsia" w:ascii="宋体" w:hAnsi="宋体" w:eastAsia="宋体" w:cs="Times New Roman"/>
          <w:sz w:val="24"/>
          <w:szCs w:val="24"/>
        </w:rPr>
        <w:t>样本线性</w:t>
      </w:r>
      <w:r>
        <w:rPr>
          <w:rFonts w:hint="eastAsia" w:ascii="宋体" w:hAnsi="宋体"/>
          <w:sz w:val="24"/>
          <w:szCs w:val="24"/>
        </w:rPr>
        <w:t>：</w:t>
      </w:r>
      <w:r>
        <w:rPr>
          <w:rFonts w:hint="eastAsia" w:ascii="宋体" w:hAnsi="宋体" w:eastAsia="宋体" w:cs="Times New Roman"/>
          <w:sz w:val="24"/>
          <w:szCs w:val="24"/>
        </w:rPr>
        <w:t>线性回归系数r ≥0.999</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19. </w:t>
      </w:r>
      <w:r>
        <w:rPr>
          <w:rFonts w:hint="eastAsia" w:ascii="宋体" w:hAnsi="宋体" w:eastAsia="宋体" w:cs="Times New Roman"/>
          <w:sz w:val="24"/>
          <w:szCs w:val="24"/>
        </w:rPr>
        <w:t>荧光线性</w:t>
      </w:r>
      <w:r>
        <w:rPr>
          <w:rFonts w:hint="eastAsia" w:ascii="宋体" w:hAnsi="宋体"/>
          <w:sz w:val="24"/>
          <w:szCs w:val="24"/>
        </w:rPr>
        <w:t>：</w:t>
      </w:r>
      <w:r>
        <w:rPr>
          <w:rFonts w:hint="eastAsia" w:ascii="宋体" w:hAnsi="宋体" w:eastAsia="宋体" w:cs="Times New Roman"/>
          <w:sz w:val="24"/>
          <w:szCs w:val="24"/>
        </w:rPr>
        <w:t>线性回归系数r≥0.999</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20. </w:t>
      </w:r>
      <w:r>
        <w:rPr>
          <w:rFonts w:hint="eastAsia" w:ascii="宋体" w:hAnsi="宋体" w:eastAsia="宋体" w:cs="Times New Roman"/>
          <w:sz w:val="24"/>
          <w:szCs w:val="24"/>
        </w:rPr>
        <w:t>★自动预警</w:t>
      </w:r>
      <w:r>
        <w:rPr>
          <w:rFonts w:hint="eastAsia" w:ascii="宋体" w:hAnsi="宋体"/>
          <w:sz w:val="24"/>
          <w:szCs w:val="24"/>
        </w:rPr>
        <w:t>：</w:t>
      </w:r>
      <w:r>
        <w:rPr>
          <w:rFonts w:hint="eastAsia" w:ascii="宋体" w:hAnsi="宋体" w:eastAsia="宋体" w:cs="Times New Roman"/>
          <w:sz w:val="24"/>
          <w:szCs w:val="24"/>
        </w:rPr>
        <w:t>仪器可实现污染自动预警</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21. </w:t>
      </w:r>
      <w:r>
        <w:rPr>
          <w:rFonts w:hint="eastAsia" w:ascii="宋体" w:hAnsi="宋体" w:eastAsia="宋体" w:cs="Times New Roman"/>
          <w:sz w:val="24"/>
          <w:szCs w:val="24"/>
        </w:rPr>
        <w:t>★仪器通讯接口</w:t>
      </w:r>
      <w:r>
        <w:rPr>
          <w:rFonts w:hint="eastAsia" w:ascii="宋体" w:hAnsi="宋体"/>
          <w:sz w:val="24"/>
          <w:szCs w:val="24"/>
        </w:rPr>
        <w:t>：</w:t>
      </w:r>
      <w:r>
        <w:rPr>
          <w:rFonts w:hint="eastAsia" w:ascii="宋体" w:hAnsi="宋体" w:eastAsia="宋体" w:cs="Times New Roman"/>
          <w:sz w:val="24"/>
          <w:szCs w:val="24"/>
        </w:rPr>
        <w:t>USB 2.0，仪器可选平板电脑，可实现远程无线控制</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sz w:val="24"/>
          <w:szCs w:val="24"/>
        </w:rPr>
      </w:pPr>
      <w:r>
        <w:rPr>
          <w:rFonts w:hint="eastAsia" w:ascii="宋体" w:hAnsi="宋体"/>
          <w:sz w:val="24"/>
          <w:szCs w:val="24"/>
        </w:rPr>
        <w:t xml:space="preserve">22. </w:t>
      </w:r>
      <w:r>
        <w:rPr>
          <w:rFonts w:hint="eastAsia" w:ascii="宋体" w:hAnsi="宋体" w:eastAsia="宋体" w:cs="Times New Roman"/>
          <w:sz w:val="24"/>
          <w:szCs w:val="24"/>
        </w:rPr>
        <w:t>操作系统</w:t>
      </w:r>
      <w:r>
        <w:rPr>
          <w:rFonts w:hint="eastAsia" w:ascii="宋体" w:hAnsi="宋体"/>
          <w:sz w:val="24"/>
          <w:szCs w:val="24"/>
        </w:rPr>
        <w:t>：</w:t>
      </w:r>
      <w:r>
        <w:rPr>
          <w:rFonts w:hint="eastAsia" w:ascii="宋体" w:hAnsi="宋体" w:eastAsia="宋体" w:cs="Times New Roman"/>
          <w:sz w:val="24"/>
          <w:szCs w:val="24"/>
        </w:rPr>
        <w:t>Windows Vista /7/8/10</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b w:val="0"/>
          <w:bCs w:val="0"/>
          <w:color w:val="auto"/>
          <w:sz w:val="24"/>
          <w:szCs w:val="24"/>
        </w:rPr>
      </w:pPr>
      <w:r>
        <w:rPr>
          <w:rFonts w:hint="eastAsia" w:ascii="宋体" w:hAnsi="宋体"/>
          <w:sz w:val="24"/>
          <w:szCs w:val="24"/>
        </w:rPr>
        <w:t xml:space="preserve">23. </w:t>
      </w:r>
      <w:r>
        <w:rPr>
          <w:rFonts w:hint="eastAsia" w:ascii="宋体" w:hAnsi="宋体" w:eastAsia="宋体" w:cs="Times New Roman"/>
          <w:sz w:val="24"/>
          <w:szCs w:val="24"/>
        </w:rPr>
        <w:t>输入电</w:t>
      </w:r>
      <w:r>
        <w:rPr>
          <w:rFonts w:hint="eastAsia" w:ascii="宋体" w:hAnsi="宋体" w:eastAsia="宋体" w:cs="Times New Roman"/>
          <w:b w:val="0"/>
          <w:bCs w:val="0"/>
          <w:color w:val="auto"/>
          <w:sz w:val="24"/>
          <w:szCs w:val="24"/>
        </w:rPr>
        <w:t>源</w:t>
      </w:r>
      <w:r>
        <w:rPr>
          <w:rFonts w:hint="eastAsia" w:ascii="宋体" w:hAnsi="宋体"/>
          <w:b w:val="0"/>
          <w:bCs w:val="0"/>
          <w:color w:val="auto"/>
          <w:sz w:val="24"/>
          <w:szCs w:val="24"/>
        </w:rPr>
        <w:t>：</w:t>
      </w:r>
      <w:r>
        <w:rPr>
          <w:rFonts w:hint="eastAsia" w:ascii="宋体" w:hAnsi="宋体" w:eastAsia="宋体" w:cs="Times New Roman"/>
          <w:b w:val="0"/>
          <w:bCs w:val="0"/>
          <w:color w:val="auto"/>
          <w:sz w:val="24"/>
          <w:szCs w:val="24"/>
        </w:rPr>
        <w:t xml:space="preserve">100-240V </w:t>
      </w:r>
      <w:r>
        <w:rPr>
          <w:rFonts w:ascii="Arial" w:hAnsi="Arial" w:eastAsia="Arial Unicode MS" w:cs="Arial"/>
          <w:b w:val="0"/>
          <w:bCs w:val="0"/>
          <w:color w:val="auto"/>
          <w:sz w:val="24"/>
          <w:szCs w:val="24"/>
        </w:rPr>
        <w:t>~</w:t>
      </w:r>
      <w:r>
        <w:rPr>
          <w:rFonts w:hint="eastAsia" w:ascii="宋体" w:hAnsi="宋体" w:eastAsia="宋体" w:cs="Times New Roman"/>
          <w:b w:val="0"/>
          <w:bCs w:val="0"/>
          <w:color w:val="auto"/>
          <w:sz w:val="24"/>
          <w:szCs w:val="24"/>
        </w:rPr>
        <w:t xml:space="preserve"> 50/60Hz 500W</w:t>
      </w:r>
    </w:p>
    <w:p>
      <w:pPr>
        <w:pStyle w:val="7"/>
        <w:keepNext w:val="0"/>
        <w:keepLines w:val="0"/>
        <w:pageBreakBefore w:val="0"/>
        <w:widowControl w:val="0"/>
        <w:kinsoku/>
        <w:wordWrap/>
        <w:overflowPunct/>
        <w:topLinePunct w:val="0"/>
        <w:bidi w:val="0"/>
        <w:spacing w:line="500" w:lineRule="exact"/>
        <w:ind w:firstLine="0" w:firstLineChars="0"/>
        <w:textAlignment w:val="auto"/>
        <w:rPr>
          <w:rFonts w:ascii="宋体" w:hAnsi="宋体"/>
          <w:b w:val="0"/>
          <w:bCs w:val="0"/>
          <w:color w:val="auto"/>
          <w:sz w:val="24"/>
          <w:szCs w:val="24"/>
        </w:rPr>
      </w:pPr>
      <w:r>
        <w:rPr>
          <w:rFonts w:hint="eastAsia" w:ascii="宋体" w:hAnsi="宋体"/>
          <w:b w:val="0"/>
          <w:bCs w:val="0"/>
          <w:color w:val="auto"/>
          <w:sz w:val="24"/>
          <w:szCs w:val="24"/>
        </w:rPr>
        <w:t xml:space="preserve">24. </w:t>
      </w:r>
      <w:r>
        <w:rPr>
          <w:rFonts w:hint="eastAsia" w:ascii="宋体" w:hAnsi="宋体" w:eastAsia="宋体" w:cs="Times New Roman"/>
          <w:b w:val="0"/>
          <w:bCs w:val="0"/>
          <w:color w:val="auto"/>
          <w:sz w:val="24"/>
          <w:szCs w:val="24"/>
        </w:rPr>
        <w:t>注册认证</w:t>
      </w:r>
      <w:r>
        <w:rPr>
          <w:rFonts w:hint="eastAsia" w:ascii="宋体" w:hAnsi="宋体"/>
          <w:b w:val="0"/>
          <w:bCs w:val="0"/>
          <w:color w:val="auto"/>
          <w:sz w:val="24"/>
          <w:szCs w:val="24"/>
        </w:rPr>
        <w:t>：</w:t>
      </w:r>
      <w:r>
        <w:rPr>
          <w:rFonts w:hint="eastAsia" w:ascii="宋体" w:hAnsi="宋体" w:eastAsia="宋体" w:cs="Times New Roman"/>
          <w:b w:val="0"/>
          <w:bCs w:val="0"/>
          <w:color w:val="auto"/>
          <w:sz w:val="24"/>
          <w:szCs w:val="24"/>
        </w:rPr>
        <w:t>CFDA</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hint="eastAsia" w:ascii="宋体" w:hAnsi="宋体"/>
          <w:sz w:val="24"/>
          <w:szCs w:val="24"/>
        </w:rPr>
        <w:t>25.售后服务：安装验收期间，对用户进行仪器的基本操作和日常维护的现场培训，内容包括仪器原理，使用方法和维护方法等；仪器在安装、调试通过后1年的免费保修期，在保修期内，所有服务及配件全部免费，质保期满后承诺：提供终生维护和维修服务。</w:t>
      </w:r>
    </w:p>
    <w:p>
      <w:pPr>
        <w:keepNext w:val="0"/>
        <w:keepLines w:val="0"/>
        <w:pageBreakBefore w:val="0"/>
        <w:widowControl w:val="0"/>
        <w:kinsoku/>
        <w:wordWrap/>
        <w:overflowPunct/>
        <w:topLinePunct w:val="0"/>
        <w:bidi w:val="0"/>
        <w:spacing w:line="500" w:lineRule="exact"/>
        <w:jc w:val="center"/>
        <w:textAlignment w:val="auto"/>
        <w:rPr>
          <w:rFonts w:hint="eastAsia"/>
          <w:b/>
          <w:sz w:val="30"/>
          <w:szCs w:val="30"/>
        </w:rPr>
      </w:pPr>
    </w:p>
    <w:p>
      <w:pPr>
        <w:keepNext w:val="0"/>
        <w:keepLines w:val="0"/>
        <w:pageBreakBefore w:val="0"/>
        <w:widowControl w:val="0"/>
        <w:kinsoku/>
        <w:wordWrap/>
        <w:overflowPunct/>
        <w:topLinePunct w:val="0"/>
        <w:bidi w:val="0"/>
        <w:spacing w:line="500" w:lineRule="exact"/>
        <w:jc w:val="center"/>
        <w:textAlignment w:val="auto"/>
        <w:rPr>
          <w:rFonts w:hint="eastAsia"/>
          <w:b/>
          <w:sz w:val="30"/>
          <w:szCs w:val="30"/>
        </w:rPr>
      </w:pPr>
      <w:r>
        <w:rPr>
          <w:rFonts w:hint="eastAsia"/>
          <w:b/>
          <w:sz w:val="30"/>
          <w:szCs w:val="30"/>
        </w:rPr>
        <w:t>4565医用防护服</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sz w:val="24"/>
          <w:szCs w:val="24"/>
        </w:rPr>
        <w:t>符合GB19082-2003、GB19082-2009标准，CE认证，有效防护液体浸润、液态化学品喷洒（第四类防护），颗粒物（第五类防护）或液体有限喷溅（第六类防护）</w:t>
      </w:r>
      <w:r>
        <w:rPr>
          <w:sz w:val="24"/>
          <w:szCs w:val="24"/>
        </w:rPr>
        <w:br w:type="textWrapping"/>
      </w:r>
      <w:r>
        <w:rPr>
          <w:rFonts w:ascii="宋体" w:hAnsi="宋体"/>
          <w:sz w:val="24"/>
          <w:szCs w:val="24"/>
        </w:rPr>
        <w:t>1.新型碾压材料，在防护化学品喷洒、浸润、喷溅性能上尤其优异</w:t>
      </w:r>
      <w:r>
        <w:rPr>
          <w:rFonts w:ascii="宋体" w:hAnsi="宋体"/>
          <w:sz w:val="24"/>
          <w:szCs w:val="24"/>
        </w:rPr>
        <w:br w:type="textWrapping"/>
      </w:r>
      <w:r>
        <w:rPr>
          <w:rFonts w:ascii="宋体" w:hAnsi="宋体"/>
          <w:sz w:val="24"/>
          <w:szCs w:val="24"/>
        </w:rPr>
        <w:t>2.可与其它个体防护用品配合使用，有效提高安全性</w:t>
      </w:r>
      <w:r>
        <w:rPr>
          <w:rFonts w:ascii="宋体" w:hAnsi="宋体"/>
          <w:sz w:val="24"/>
          <w:szCs w:val="24"/>
        </w:rPr>
        <w:br w:type="textWrapping"/>
      </w:r>
      <w:r>
        <w:rPr>
          <w:rFonts w:ascii="宋体" w:hAnsi="宋体"/>
          <w:sz w:val="24"/>
          <w:szCs w:val="24"/>
        </w:rPr>
        <w:t>3.</w:t>
      </w:r>
      <w:r>
        <w:rPr>
          <w:rFonts w:hint="eastAsia" w:ascii="宋体" w:hAnsi="宋体"/>
          <w:sz w:val="24"/>
          <w:szCs w:val="24"/>
        </w:rPr>
        <w:t>★</w:t>
      </w:r>
      <w:r>
        <w:rPr>
          <w:rFonts w:ascii="宋体" w:hAnsi="宋体"/>
          <w:sz w:val="24"/>
          <w:szCs w:val="24"/>
        </w:rPr>
        <w:t>三片头罩设计，更好与全面罩配合</w:t>
      </w:r>
      <w:r>
        <w:rPr>
          <w:rFonts w:ascii="宋体" w:hAnsi="宋体"/>
          <w:sz w:val="24"/>
          <w:szCs w:val="24"/>
        </w:rPr>
        <w:br w:type="textWrapping"/>
      </w:r>
      <w:r>
        <w:rPr>
          <w:rFonts w:ascii="宋体" w:hAnsi="宋体"/>
          <w:sz w:val="24"/>
          <w:szCs w:val="24"/>
        </w:rPr>
        <w:t>4.加强型甲胄设计，增强耐用性</w:t>
      </w:r>
      <w:r>
        <w:rPr>
          <w:rFonts w:ascii="宋体" w:hAnsi="宋体"/>
          <w:sz w:val="24"/>
          <w:szCs w:val="24"/>
        </w:rPr>
        <w:br w:type="textWrapping"/>
      </w:r>
      <w:r>
        <w:rPr>
          <w:rFonts w:ascii="宋体" w:hAnsi="宋体"/>
          <w:sz w:val="24"/>
          <w:szCs w:val="24"/>
        </w:rPr>
        <w:t>5.编织袖口设计，穿着更舒适</w:t>
      </w:r>
      <w:r>
        <w:rPr>
          <w:rFonts w:ascii="宋体" w:hAnsi="宋体"/>
          <w:sz w:val="24"/>
          <w:szCs w:val="24"/>
        </w:rPr>
        <w:br w:type="textWrapping"/>
      </w:r>
      <w:r>
        <w:rPr>
          <w:rFonts w:ascii="宋体" w:hAnsi="宋体"/>
          <w:sz w:val="24"/>
          <w:szCs w:val="24"/>
        </w:rPr>
        <w:t>6.抗静电，适合应用在电子等需静电控制的领域</w:t>
      </w:r>
      <w:r>
        <w:rPr>
          <w:rFonts w:ascii="宋体" w:hAnsi="宋体"/>
          <w:sz w:val="24"/>
          <w:szCs w:val="24"/>
        </w:rPr>
        <w:br w:type="textWrapping"/>
      </w:r>
      <w:r>
        <w:rPr>
          <w:rFonts w:ascii="宋体" w:hAnsi="宋体"/>
          <w:sz w:val="24"/>
          <w:szCs w:val="24"/>
        </w:rPr>
        <w:t>7.</w:t>
      </w:r>
      <w:r>
        <w:rPr>
          <w:rFonts w:hint="eastAsia" w:ascii="宋体" w:hAnsi="宋体" w:eastAsia="宋体" w:cs="Times New Roman"/>
          <w:sz w:val="24"/>
          <w:szCs w:val="24"/>
        </w:rPr>
        <w:t>★</w:t>
      </w:r>
      <w:r>
        <w:rPr>
          <w:rFonts w:ascii="宋体" w:hAnsi="宋体"/>
          <w:sz w:val="24"/>
          <w:szCs w:val="24"/>
        </w:rPr>
        <w:t>胶条型接缝方式</w:t>
      </w:r>
      <w:r>
        <w:rPr>
          <w:rFonts w:ascii="宋体" w:hAnsi="宋体"/>
          <w:sz w:val="24"/>
          <w:szCs w:val="24"/>
        </w:rPr>
        <w:br w:type="textWrapping"/>
      </w:r>
      <w:r>
        <w:rPr>
          <w:rFonts w:ascii="宋体" w:hAnsi="宋体"/>
          <w:sz w:val="24"/>
          <w:szCs w:val="24"/>
        </w:rPr>
        <w:t>8.适用于生物传染性试剂防护</w:t>
      </w:r>
      <w:r>
        <w:rPr>
          <w:rFonts w:ascii="宋体" w:hAnsi="宋体"/>
          <w:sz w:val="24"/>
          <w:szCs w:val="24"/>
        </w:rPr>
        <w:br w:type="textWrapping"/>
      </w:r>
      <w:r>
        <w:rPr>
          <w:rFonts w:ascii="宋体" w:hAnsi="宋体"/>
          <w:sz w:val="24"/>
          <w:szCs w:val="24"/>
        </w:rPr>
        <w:t>9.低纤维脱落</w:t>
      </w:r>
      <w:r>
        <w:rPr>
          <w:rFonts w:ascii="宋体" w:hAnsi="宋体"/>
          <w:sz w:val="24"/>
          <w:szCs w:val="24"/>
        </w:rPr>
        <w:br w:type="textWrapping"/>
      </w:r>
      <w:r>
        <w:rPr>
          <w:rFonts w:ascii="宋体" w:hAnsi="宋体"/>
          <w:sz w:val="24"/>
          <w:szCs w:val="24"/>
        </w:rPr>
        <w:t>10.尺寸：M</w:t>
      </w:r>
    </w:p>
    <w:p>
      <w:pPr>
        <w:keepNext w:val="0"/>
        <w:keepLines w:val="0"/>
        <w:pageBreakBefore w:val="0"/>
        <w:widowControl w:val="0"/>
        <w:kinsoku/>
        <w:wordWrap/>
        <w:overflowPunct/>
        <w:topLinePunct w:val="0"/>
        <w:bidi w:val="0"/>
        <w:spacing w:line="500" w:lineRule="exact"/>
        <w:textAlignment w:val="auto"/>
        <w:rPr>
          <w:rFonts w:ascii="宋体" w:hAnsi="宋体"/>
          <w:sz w:val="24"/>
          <w:szCs w:val="24"/>
        </w:rPr>
      </w:pPr>
      <w:r>
        <w:rPr>
          <w:rFonts w:ascii="宋体" w:hAnsi="宋体"/>
          <w:sz w:val="24"/>
          <w:szCs w:val="24"/>
        </w:rPr>
        <w:t>11.包装：20件/箱</w:t>
      </w:r>
      <w:r>
        <w:rPr>
          <w:rFonts w:ascii="宋体" w:hAnsi="宋体"/>
          <w:sz w:val="24"/>
          <w:szCs w:val="24"/>
        </w:rPr>
        <w:br w:type="textWrapping"/>
      </w:r>
      <w:r>
        <w:rPr>
          <w:rFonts w:hint="eastAsia" w:ascii="宋体" w:hAnsi="宋体" w:eastAsia="宋体" w:cs="Times New Roman"/>
          <w:sz w:val="24"/>
          <w:szCs w:val="24"/>
        </w:rPr>
        <w:t>★</w:t>
      </w:r>
      <w:r>
        <w:rPr>
          <w:rFonts w:hint="eastAsia" w:ascii="宋体" w:hAnsi="宋体"/>
          <w:sz w:val="24"/>
          <w:szCs w:val="24"/>
          <w:lang w:val="en-US" w:eastAsia="zh-CN"/>
        </w:rPr>
        <w:t>12.</w:t>
      </w:r>
      <w:r>
        <w:rPr>
          <w:rFonts w:hint="eastAsia" w:ascii="宋体" w:hAnsi="宋体"/>
          <w:sz w:val="24"/>
          <w:szCs w:val="24"/>
        </w:rPr>
        <w:t>须为3M、杜邦、稳健三个品牌之一</w:t>
      </w:r>
    </w:p>
    <w:p>
      <w:pPr>
        <w:rPr>
          <w:rFonts w:hint="eastAsia" w:ascii="宋体" w:hAnsi="宋体"/>
          <w:b/>
          <w:bCs/>
          <w:color w:val="000000" w:themeColor="text1"/>
          <w:sz w:val="32"/>
          <w:szCs w:val="32"/>
          <w:lang w:eastAsia="zh-CN"/>
        </w:rPr>
      </w:pPr>
    </w:p>
    <w:p>
      <w:pPr>
        <w:pStyle w:val="2"/>
        <w:rPr>
          <w:rFonts w:hint="eastAsia" w:ascii="宋体" w:hAnsi="宋体"/>
          <w:b/>
          <w:bCs/>
          <w:color w:val="000000" w:themeColor="text1"/>
          <w:sz w:val="32"/>
          <w:szCs w:val="32"/>
          <w:lang w:eastAsia="zh-CN"/>
        </w:rPr>
      </w:pPr>
    </w:p>
    <w:p>
      <w:pPr>
        <w:pStyle w:val="2"/>
        <w:ind w:left="0" w:leftChars="0" w:firstLine="0" w:firstLineChars="0"/>
        <w:rPr>
          <w:rFonts w:hint="default" w:ascii="宋体" w:hAnsi="宋体"/>
          <w:b/>
          <w:bCs/>
          <w:color w:val="000000" w:themeColor="text1"/>
          <w:sz w:val="32"/>
          <w:szCs w:val="32"/>
          <w:lang w:val="en-US" w:eastAsia="zh-CN"/>
        </w:rPr>
      </w:pPr>
      <w:r>
        <w:rPr>
          <w:rFonts w:hint="eastAsia" w:ascii="宋体" w:hAnsi="宋体"/>
          <w:b/>
          <w:bCs/>
          <w:color w:val="000000" w:themeColor="text1"/>
          <w:sz w:val="32"/>
          <w:szCs w:val="32"/>
          <w:lang w:eastAsia="zh-CN"/>
        </w:rPr>
        <w:t>注：商品序列</w:t>
      </w:r>
      <w:r>
        <w:rPr>
          <w:rFonts w:hint="eastAsia" w:ascii="宋体" w:hAnsi="宋体"/>
          <w:b/>
          <w:bCs/>
          <w:color w:val="000000" w:themeColor="text1"/>
          <w:sz w:val="32"/>
          <w:szCs w:val="32"/>
          <w:lang w:val="en-US" w:eastAsia="zh-CN"/>
        </w:rPr>
        <w:t>3-6及20的商品需在中标后10个日历日到货；其余商品供货时间在合同中约定。</w:t>
      </w:r>
    </w:p>
    <w:p>
      <w:pPr>
        <w:pStyle w:val="2"/>
        <w:rPr>
          <w:rFonts w:hint="eastAsia"/>
          <w:lang w:eastAsia="zh-CN"/>
        </w:rPr>
      </w:pPr>
    </w:p>
    <w:p>
      <w:pPr>
        <w:pStyle w:val="2"/>
        <w:rPr>
          <w:rFonts w:hint="eastAsia"/>
          <w:lang w:eastAsia="zh-CN"/>
        </w:rPr>
      </w:pPr>
    </w:p>
    <w:p>
      <w:pPr>
        <w:pStyle w:val="24"/>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6"/>
          <w:szCs w:val="36"/>
          <w:lang w:eastAsia="zh-CN"/>
        </w:rPr>
      </w:pPr>
      <w:r>
        <w:rPr>
          <w:rFonts w:hint="eastAsia" w:hAnsi="宋体"/>
          <w:b/>
          <w:bCs/>
          <w:color w:val="000000" w:themeColor="text1"/>
          <w:sz w:val="32"/>
          <w:szCs w:val="32"/>
          <w:lang w:eastAsia="zh-CN"/>
        </w:rPr>
        <w:t>备</w:t>
      </w:r>
      <w:r>
        <w:rPr>
          <w:rFonts w:hint="eastAsia" w:ascii="宋体" w:hAnsi="宋体"/>
          <w:b/>
          <w:bCs/>
          <w:color w:val="000000" w:themeColor="text1"/>
          <w:sz w:val="32"/>
          <w:szCs w:val="32"/>
          <w:lang w:eastAsia="zh-CN"/>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rPr>
        <w:t>文件论证费和专家评审费由中标人承担。</w:t>
      </w:r>
    </w:p>
    <w:p>
      <w:pPr>
        <w:pStyle w:val="24"/>
        <w:rPr>
          <w:rFonts w:hint="eastAsia"/>
          <w:lang w:eastAsia="zh-CN"/>
        </w:rPr>
      </w:pPr>
    </w:p>
    <w:p>
      <w:pPr>
        <w:sectPr>
          <w:pgSz w:w="11906" w:h="16838"/>
          <w:pgMar w:top="1440" w:right="1752" w:bottom="1440" w:left="1752" w:header="851" w:footer="992" w:gutter="0"/>
          <w:cols w:space="720" w:num="1"/>
          <w:docGrid w:linePitch="312" w:charSpace="0"/>
        </w:sectPr>
      </w:pP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1"/>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1"/>
        <w:spacing w:line="360" w:lineRule="auto"/>
        <w:jc w:val="left"/>
        <w:rPr>
          <w:rFonts w:hAnsi="宋体"/>
          <w:sz w:val="24"/>
        </w:rPr>
      </w:pPr>
    </w:p>
    <w:p>
      <w:pPr>
        <w:pStyle w:val="11"/>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1"/>
        <w:spacing w:line="360" w:lineRule="auto"/>
        <w:jc w:val="center"/>
        <w:rPr>
          <w:rFonts w:hAnsi="宋体"/>
          <w:bCs/>
          <w:sz w:val="24"/>
        </w:rPr>
      </w:pPr>
      <w:r>
        <w:rPr>
          <w:rFonts w:hint="eastAsia" w:hAnsi="宋体"/>
          <w:bCs/>
          <w:sz w:val="24"/>
        </w:rPr>
        <w:t>格式自拟</w:t>
      </w: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30"/>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default" w:ascii="宋体" w:hAnsi="宋体" w:eastAsiaTheme="minorEastAsia"/>
          <w:b/>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1"/>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1"/>
        <w:spacing w:line="360" w:lineRule="auto"/>
        <w:jc w:val="center"/>
        <w:rPr>
          <w:rFonts w:hAnsi="宋体"/>
          <w:b/>
          <w:color w:val="000000"/>
          <w:sz w:val="36"/>
          <w:szCs w:val="36"/>
        </w:rPr>
      </w:pPr>
      <w:r>
        <w:rPr>
          <w:rFonts w:hint="eastAsia" w:hAnsi="宋体"/>
          <w:b/>
          <w:color w:val="000000"/>
          <w:sz w:val="36"/>
          <w:szCs w:val="36"/>
        </w:rPr>
        <w:t>五商务条款偏离表</w:t>
      </w:r>
    </w:p>
    <w:p>
      <w:pPr>
        <w:pStyle w:val="11"/>
        <w:spacing w:line="360" w:lineRule="auto"/>
        <w:rPr>
          <w:rFonts w:hAnsi="宋体"/>
          <w:color w:val="000000"/>
          <w:sz w:val="28"/>
          <w:szCs w:val="28"/>
        </w:rPr>
      </w:pPr>
      <w:r>
        <w:rPr>
          <w:rFonts w:hint="eastAsia" w:hAnsi="宋体"/>
          <w:color w:val="000000"/>
          <w:sz w:val="28"/>
          <w:szCs w:val="28"/>
        </w:rPr>
        <w:t xml:space="preserve">供应商名称：           </w:t>
      </w:r>
    </w:p>
    <w:p>
      <w:pPr>
        <w:pStyle w:val="11"/>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1"/>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1245" w:type="dxa"/>
          </w:tcPr>
          <w:p>
            <w:pPr>
              <w:pStyle w:val="11"/>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bl>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rPr>
          <w:rFonts w:hAnsi="宋体"/>
          <w:b/>
          <w:color w:val="000000"/>
          <w:sz w:val="28"/>
          <w:szCs w:val="28"/>
        </w:rPr>
      </w:pPr>
    </w:p>
    <w:p>
      <w:pPr>
        <w:pStyle w:val="11"/>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3"/>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3"/>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3"/>
        <w:spacing w:line="336" w:lineRule="auto"/>
        <w:ind w:right="84" w:rightChars="40"/>
        <w:rPr>
          <w:rFonts w:ascii="宋体" w:hAnsi="宋体"/>
          <w:sz w:val="24"/>
          <w:szCs w:val="24"/>
        </w:rPr>
      </w:pPr>
    </w:p>
    <w:p>
      <w:pPr>
        <w:pStyle w:val="33"/>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3"/>
        <w:spacing w:line="336" w:lineRule="auto"/>
        <w:ind w:right="84" w:rightChars="40"/>
        <w:rPr>
          <w:rFonts w:ascii="宋体" w:hAnsi="宋体"/>
          <w:sz w:val="24"/>
          <w:szCs w:val="24"/>
        </w:rPr>
      </w:pPr>
    </w:p>
    <w:p>
      <w:pPr>
        <w:pStyle w:val="33"/>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1"/>
        <w:spacing w:line="360" w:lineRule="auto"/>
        <w:ind w:firstLine="840" w:firstLineChars="300"/>
        <w:rPr>
          <w:rFonts w:asciiTheme="minorEastAsia" w:hAnsiTheme="minorEastAsia" w:cstheme="minorEastAsia"/>
          <w:color w:val="000000"/>
          <w:sz w:val="28"/>
          <w:szCs w:val="28"/>
        </w:rPr>
      </w:pPr>
    </w:p>
    <w:p>
      <w:pPr>
        <w:pStyle w:val="11"/>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）医疗器械生产许可证或医疗器械经营许可证。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）财务状况报告，依法缴纳税收和社会保障资金的相关材料（</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）提供参加政府采购活动前3年内在经营活动中没有重大违法记录的书面声明；</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1"/>
        <w:spacing w:line="360" w:lineRule="auto"/>
        <w:rPr>
          <w:rFonts w:hint="eastAsia" w:asciiTheme="minorEastAsia" w:hAnsiTheme="minorEastAsia" w:cstheme="minorEastAsia"/>
          <w:b/>
          <w:color w:val="FF0000"/>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Style w:val="11"/>
        <w:spacing w:line="360" w:lineRule="auto"/>
        <w:rPr>
          <w:rFonts w:hint="eastAsia" w:asciiTheme="minorEastAsia" w:hAnsiTheme="minorEastAsia" w:cstheme="minorEastAsia"/>
          <w:b/>
          <w:color w:val="FF0000"/>
          <w:sz w:val="28"/>
          <w:szCs w:val="28"/>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2"/>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2"/>
        <w:spacing w:line="360" w:lineRule="auto"/>
        <w:jc w:val="center"/>
        <w:rPr>
          <w:rFonts w:ascii="宋体" w:hAnsi="宋体"/>
          <w:b/>
          <w:spacing w:val="6"/>
          <w:sz w:val="28"/>
          <w:szCs w:val="28"/>
        </w:rPr>
      </w:pP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2"/>
        <w:spacing w:line="360" w:lineRule="auto"/>
        <w:ind w:firstLine="504" w:firstLineChars="200"/>
        <w:rPr>
          <w:rFonts w:ascii="宋体" w:hAnsi="宋体"/>
          <w:color w:val="993300"/>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2"/>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34</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63F1"/>
    <w:multiLevelType w:val="singleLevel"/>
    <w:tmpl w:val="AC6663F1"/>
    <w:lvl w:ilvl="0" w:tentative="0">
      <w:start w:val="11"/>
      <w:numFmt w:val="decimal"/>
      <w:suff w:val="nothing"/>
      <w:lvlText w:val="%1、"/>
      <w:lvlJc w:val="left"/>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45127EF"/>
    <w:rsid w:val="05257096"/>
    <w:rsid w:val="055871DA"/>
    <w:rsid w:val="05C06C9E"/>
    <w:rsid w:val="063F4412"/>
    <w:rsid w:val="07CB68F8"/>
    <w:rsid w:val="086F28FF"/>
    <w:rsid w:val="089115FE"/>
    <w:rsid w:val="08C3322C"/>
    <w:rsid w:val="09AA25F0"/>
    <w:rsid w:val="0BEB13C9"/>
    <w:rsid w:val="0C0301D2"/>
    <w:rsid w:val="0D410AF2"/>
    <w:rsid w:val="0D580277"/>
    <w:rsid w:val="0DCB288A"/>
    <w:rsid w:val="0E2139E1"/>
    <w:rsid w:val="0EA70C7C"/>
    <w:rsid w:val="0EFC12F2"/>
    <w:rsid w:val="126157BD"/>
    <w:rsid w:val="12781041"/>
    <w:rsid w:val="132B38CA"/>
    <w:rsid w:val="143A0681"/>
    <w:rsid w:val="148D406E"/>
    <w:rsid w:val="14AA53FA"/>
    <w:rsid w:val="14C14126"/>
    <w:rsid w:val="15563104"/>
    <w:rsid w:val="159D653B"/>
    <w:rsid w:val="15A569C1"/>
    <w:rsid w:val="164B7D6D"/>
    <w:rsid w:val="166D6283"/>
    <w:rsid w:val="1692624F"/>
    <w:rsid w:val="16D308AD"/>
    <w:rsid w:val="17A77B57"/>
    <w:rsid w:val="17B71831"/>
    <w:rsid w:val="17D83125"/>
    <w:rsid w:val="184E6EE6"/>
    <w:rsid w:val="18A425AC"/>
    <w:rsid w:val="1BB31C31"/>
    <w:rsid w:val="1BFB3FAF"/>
    <w:rsid w:val="1C2C34F0"/>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0355F4"/>
    <w:rsid w:val="2350523B"/>
    <w:rsid w:val="23E85B71"/>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592D4D"/>
    <w:rsid w:val="2C792640"/>
    <w:rsid w:val="2C9A28A9"/>
    <w:rsid w:val="2D1456C4"/>
    <w:rsid w:val="2D31580D"/>
    <w:rsid w:val="2D883B70"/>
    <w:rsid w:val="2F65002E"/>
    <w:rsid w:val="2F8D0F40"/>
    <w:rsid w:val="2F902529"/>
    <w:rsid w:val="2FEE5643"/>
    <w:rsid w:val="303C06E3"/>
    <w:rsid w:val="3045244D"/>
    <w:rsid w:val="31092E25"/>
    <w:rsid w:val="321E4A12"/>
    <w:rsid w:val="325E6B41"/>
    <w:rsid w:val="32C64D06"/>
    <w:rsid w:val="32D648A9"/>
    <w:rsid w:val="342F0710"/>
    <w:rsid w:val="34A411A3"/>
    <w:rsid w:val="35FE15A4"/>
    <w:rsid w:val="3604397E"/>
    <w:rsid w:val="364B4308"/>
    <w:rsid w:val="364B7FAB"/>
    <w:rsid w:val="389B2BA8"/>
    <w:rsid w:val="3997377D"/>
    <w:rsid w:val="39DB7A1A"/>
    <w:rsid w:val="3A662DB7"/>
    <w:rsid w:val="3AF84CD2"/>
    <w:rsid w:val="3CA11FCB"/>
    <w:rsid w:val="3D2155D9"/>
    <w:rsid w:val="3D382657"/>
    <w:rsid w:val="3D672D70"/>
    <w:rsid w:val="3DBC23D5"/>
    <w:rsid w:val="3DF83971"/>
    <w:rsid w:val="3EC80975"/>
    <w:rsid w:val="411C1A66"/>
    <w:rsid w:val="413C43C1"/>
    <w:rsid w:val="41DE233D"/>
    <w:rsid w:val="42CE5F42"/>
    <w:rsid w:val="453B37BC"/>
    <w:rsid w:val="453C495E"/>
    <w:rsid w:val="45BC3D7C"/>
    <w:rsid w:val="463B31DD"/>
    <w:rsid w:val="46BB7DFA"/>
    <w:rsid w:val="46CC7F2B"/>
    <w:rsid w:val="46DC72AB"/>
    <w:rsid w:val="470622D8"/>
    <w:rsid w:val="47590A9D"/>
    <w:rsid w:val="48655A11"/>
    <w:rsid w:val="4896454D"/>
    <w:rsid w:val="48BF4B3A"/>
    <w:rsid w:val="493204FD"/>
    <w:rsid w:val="49380E36"/>
    <w:rsid w:val="49AD5DD9"/>
    <w:rsid w:val="4A0E5981"/>
    <w:rsid w:val="4A6B1ABD"/>
    <w:rsid w:val="4A9A0C7A"/>
    <w:rsid w:val="4AB1686E"/>
    <w:rsid w:val="4ABD5AC4"/>
    <w:rsid w:val="4AE85706"/>
    <w:rsid w:val="4BA60B57"/>
    <w:rsid w:val="4C7D5B39"/>
    <w:rsid w:val="4CBF23B2"/>
    <w:rsid w:val="4CCD33C4"/>
    <w:rsid w:val="4D584F09"/>
    <w:rsid w:val="4DE45C90"/>
    <w:rsid w:val="4EAE04CE"/>
    <w:rsid w:val="4ECC2086"/>
    <w:rsid w:val="4EF24C6F"/>
    <w:rsid w:val="4F467944"/>
    <w:rsid w:val="4FE20CB3"/>
    <w:rsid w:val="50501FBD"/>
    <w:rsid w:val="50BF398B"/>
    <w:rsid w:val="50D55B82"/>
    <w:rsid w:val="50E75782"/>
    <w:rsid w:val="510D6AD3"/>
    <w:rsid w:val="51165811"/>
    <w:rsid w:val="514F3257"/>
    <w:rsid w:val="523E3048"/>
    <w:rsid w:val="53994205"/>
    <w:rsid w:val="54632FDB"/>
    <w:rsid w:val="54B829AE"/>
    <w:rsid w:val="55234F42"/>
    <w:rsid w:val="559E7995"/>
    <w:rsid w:val="563E2A91"/>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F9B1E7D"/>
    <w:rsid w:val="5FB72CC4"/>
    <w:rsid w:val="60C27580"/>
    <w:rsid w:val="61454DD1"/>
    <w:rsid w:val="618D189D"/>
    <w:rsid w:val="645D67E9"/>
    <w:rsid w:val="64C5489D"/>
    <w:rsid w:val="66494EC8"/>
    <w:rsid w:val="664F4ABC"/>
    <w:rsid w:val="666618E1"/>
    <w:rsid w:val="66E36A63"/>
    <w:rsid w:val="670A3D62"/>
    <w:rsid w:val="67D51FC3"/>
    <w:rsid w:val="68C57E65"/>
    <w:rsid w:val="68E6427F"/>
    <w:rsid w:val="69077ABD"/>
    <w:rsid w:val="69367FE2"/>
    <w:rsid w:val="69BD4F65"/>
    <w:rsid w:val="6A6722CC"/>
    <w:rsid w:val="6B042BF5"/>
    <w:rsid w:val="6B4E260F"/>
    <w:rsid w:val="6BBF411C"/>
    <w:rsid w:val="6CCA454A"/>
    <w:rsid w:val="6DFF3255"/>
    <w:rsid w:val="6E064B16"/>
    <w:rsid w:val="6E95133D"/>
    <w:rsid w:val="6E9A5852"/>
    <w:rsid w:val="6EA67053"/>
    <w:rsid w:val="6EB804F6"/>
    <w:rsid w:val="702068E9"/>
    <w:rsid w:val="704A2BB3"/>
    <w:rsid w:val="71C74591"/>
    <w:rsid w:val="720F0929"/>
    <w:rsid w:val="721D1CC9"/>
    <w:rsid w:val="72860C33"/>
    <w:rsid w:val="72893860"/>
    <w:rsid w:val="73834DAB"/>
    <w:rsid w:val="739F35AD"/>
    <w:rsid w:val="74490016"/>
    <w:rsid w:val="744A787C"/>
    <w:rsid w:val="74E60DA4"/>
    <w:rsid w:val="75B3776A"/>
    <w:rsid w:val="76281AB3"/>
    <w:rsid w:val="76C45669"/>
    <w:rsid w:val="772D77E1"/>
    <w:rsid w:val="7778700B"/>
    <w:rsid w:val="77D8131B"/>
    <w:rsid w:val="77E0113F"/>
    <w:rsid w:val="77E92280"/>
    <w:rsid w:val="78F834A9"/>
    <w:rsid w:val="79073D5F"/>
    <w:rsid w:val="792719BF"/>
    <w:rsid w:val="7BDC7181"/>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rPr>
      <w:szCs w:val="24"/>
    </w:r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5">
    <w:name w:val="Char Char Char Char Char Char"/>
    <w:basedOn w:val="1"/>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1"/>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Normal_22"/>
    <w:qFormat/>
    <w:uiPriority w:val="0"/>
    <w:rPr>
      <w:rFonts w:ascii="Times New Roman" w:hAnsi="Times New Roman" w:eastAsia="宋体" w:cs="Times New Roman"/>
      <w:sz w:val="21"/>
      <w:lang w:val="en-US" w:eastAsia="zh-CN" w:bidi="ar-SA"/>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0"/>
    <w:pPr>
      <w:ind w:firstLine="420" w:firstLineChars="200"/>
    </w:pPr>
  </w:style>
  <w:style w:type="character" w:customStyle="1" w:styleId="35">
    <w:name w:val="font11"/>
    <w:basedOn w:val="19"/>
    <w:qFormat/>
    <w:uiPriority w:val="0"/>
    <w:rPr>
      <w:rFonts w:hint="eastAsia" w:ascii="宋体" w:hAnsi="宋体" w:eastAsia="宋体" w:cs="宋体"/>
      <w:color w:val="000000"/>
      <w:sz w:val="24"/>
      <w:szCs w:val="24"/>
      <w:u w:val="none"/>
    </w:rPr>
  </w:style>
  <w:style w:type="paragraph" w:customStyle="1" w:styleId="36">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7">
    <w:name w:val="font71"/>
    <w:basedOn w:val="19"/>
    <w:qFormat/>
    <w:uiPriority w:val="0"/>
    <w:rPr>
      <w:rFonts w:hint="default" w:ascii="Arial" w:hAnsi="Arial" w:cs="Arial"/>
      <w:color w:val="000000"/>
      <w:sz w:val="16"/>
      <w:szCs w:val="16"/>
      <w:u w:val="none"/>
    </w:rPr>
  </w:style>
  <w:style w:type="character" w:customStyle="1" w:styleId="38">
    <w:name w:val="font31"/>
    <w:basedOn w:val="19"/>
    <w:qFormat/>
    <w:uiPriority w:val="0"/>
    <w:rPr>
      <w:rFonts w:hint="eastAsia" w:ascii="宋体" w:hAnsi="宋体" w:eastAsia="宋体" w:cs="宋体"/>
      <w:color w:val="000000"/>
      <w:sz w:val="16"/>
      <w:szCs w:val="16"/>
      <w:u w:val="none"/>
    </w:rPr>
  </w:style>
  <w:style w:type="character" w:customStyle="1" w:styleId="39">
    <w:name w:val="font112"/>
    <w:basedOn w:val="19"/>
    <w:qFormat/>
    <w:uiPriority w:val="0"/>
    <w:rPr>
      <w:rFonts w:hint="eastAsia" w:ascii="微软雅黑" w:hAnsi="微软雅黑" w:eastAsia="微软雅黑" w:cs="微软雅黑"/>
      <w:color w:val="FF0000"/>
      <w:sz w:val="18"/>
      <w:szCs w:val="18"/>
      <w:u w:val="none"/>
    </w:rPr>
  </w:style>
  <w:style w:type="character" w:customStyle="1" w:styleId="40">
    <w:name w:val="font01"/>
    <w:basedOn w:val="19"/>
    <w:qFormat/>
    <w:uiPriority w:val="0"/>
    <w:rPr>
      <w:rFonts w:ascii="宋体" w:hAnsi="宋体" w:eastAsia="宋体" w:cs="宋体"/>
      <w:color w:val="FF0000"/>
      <w:sz w:val="20"/>
      <w:szCs w:val="20"/>
      <w:u w:val="none"/>
    </w:rPr>
  </w:style>
  <w:style w:type="character" w:customStyle="1" w:styleId="41">
    <w:name w:val="font81"/>
    <w:basedOn w:val="19"/>
    <w:qFormat/>
    <w:uiPriority w:val="0"/>
    <w:rPr>
      <w:rFonts w:ascii="宋体" w:hAnsi="宋体" w:eastAsia="宋体" w:cs="宋体"/>
      <w:color w:val="000000"/>
      <w:sz w:val="20"/>
      <w:szCs w:val="20"/>
      <w:u w:val="none"/>
    </w:rPr>
  </w:style>
  <w:style w:type="character" w:customStyle="1" w:styleId="42">
    <w:name w:val="font51"/>
    <w:basedOn w:val="19"/>
    <w:qFormat/>
    <w:uiPriority w:val="0"/>
    <w:rPr>
      <w:rFonts w:ascii="宋体" w:hAnsi="宋体" w:eastAsia="宋体" w:cs="宋体"/>
      <w:color w:val="000000"/>
      <w:sz w:val="20"/>
      <w:szCs w:val="20"/>
      <w:u w:val="none"/>
    </w:rPr>
  </w:style>
  <w:style w:type="character" w:customStyle="1" w:styleId="43">
    <w:name w:val="font21"/>
    <w:basedOn w:val="19"/>
    <w:qFormat/>
    <w:uiPriority w:val="0"/>
    <w:rPr>
      <w:rFonts w:ascii="楷体" w:hAnsi="楷体" w:eastAsia="楷体" w:cs="楷体"/>
      <w:color w:val="000000"/>
      <w:sz w:val="32"/>
      <w:szCs w:val="32"/>
      <w:u w:val="none"/>
      <w:vertAlign w:val="superscript"/>
    </w:rPr>
  </w:style>
  <w:style w:type="character" w:customStyle="1" w:styleId="44">
    <w:name w:val="font61"/>
    <w:basedOn w:val="19"/>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1"/>
    <w:pPr>
      <w:ind w:left="103"/>
    </w:pPr>
  </w:style>
  <w:style w:type="paragraph" w:styleId="46">
    <w:name w:val="List Paragraph"/>
    <w:basedOn w:val="1"/>
    <w:qFormat/>
    <w:uiPriority w:val="34"/>
    <w:pPr>
      <w:ind w:firstLine="420" w:firstLineChars="200"/>
    </w:pPr>
  </w:style>
  <w:style w:type="paragraph" w:customStyle="1" w:styleId="47">
    <w:name w:val="纯文本3"/>
    <w:basedOn w:val="1"/>
    <w:qFormat/>
    <w:uiPriority w:val="0"/>
    <w:pPr>
      <w:widowControl/>
    </w:pPr>
    <w:rPr>
      <w:rFonts w:ascii="宋体" w:hAnsi="Courier New" w:cs="宋体"/>
      <w:szCs w:val="24"/>
    </w:rPr>
  </w:style>
  <w:style w:type="character" w:customStyle="1" w:styleId="48">
    <w:name w:val="font41"/>
    <w:basedOn w:val="19"/>
    <w:qFormat/>
    <w:uiPriority w:val="0"/>
    <w:rPr>
      <w:rFonts w:hint="eastAsia" w:ascii="宋体" w:hAnsi="宋体" w:eastAsia="宋体" w:cs="宋体"/>
      <w:color w:val="000000"/>
      <w:sz w:val="20"/>
      <w:szCs w:val="20"/>
      <w:u w:val="none"/>
    </w:rPr>
  </w:style>
  <w:style w:type="paragraph" w:customStyle="1" w:styleId="49">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0">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2</TotalTime>
  <ScaleCrop>false</ScaleCrop>
  <LinksUpToDate>false</LinksUpToDate>
  <CharactersWithSpaces>28719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2020-08-11T01:41:00Z</cp:lastPrinted>
  <dcterms:modified xsi:type="dcterms:W3CDTF">2020-09-04T02:54:12Z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