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700" w:lineRule="exact"/>
        <w:ind w:firstLine="200" w:firstLineChars="100"/>
        <w:jc w:val="center"/>
        <w:rPr>
          <w:rFonts w:hint="eastAsia" w:ascii="黑体" w:hAnsi="宋体" w:eastAsia="黑体"/>
          <w:b/>
          <w:color w:val="auto"/>
          <w:spacing w:val="-4"/>
          <w:sz w:val="36"/>
          <w:szCs w:val="36"/>
          <w:lang w:val="en-US" w:eastAsia="zh-CN"/>
        </w:rPr>
      </w:pPr>
      <w:r>
        <w:drawing>
          <wp:anchor distT="0" distB="0" distL="114300" distR="114300" simplePos="0" relativeHeight="251686912" behindDoc="0" locked="0" layoutInCell="1" allowOverlap="1">
            <wp:simplePos x="0" y="0"/>
            <wp:positionH relativeFrom="column">
              <wp:posOffset>193675</wp:posOffset>
            </wp:positionH>
            <wp:positionV relativeFrom="paragraph">
              <wp:posOffset>-205105</wp:posOffset>
            </wp:positionV>
            <wp:extent cx="5514975" cy="9167495"/>
            <wp:effectExtent l="0" t="0" r="9525" b="1460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514975" cy="9167495"/>
                    </a:xfrm>
                    <a:prstGeom prst="rect">
                      <a:avLst/>
                    </a:prstGeom>
                    <a:noFill/>
                    <a:ln>
                      <a:noFill/>
                    </a:ln>
                  </pic:spPr>
                </pic:pic>
              </a:graphicData>
            </a:graphic>
          </wp:anchor>
        </w:drawing>
      </w:r>
    </w:p>
    <w:p>
      <w:pPr>
        <w:pStyle w:val="36"/>
        <w:spacing w:line="700" w:lineRule="exact"/>
        <w:ind w:firstLine="353" w:firstLineChars="100"/>
        <w:jc w:val="center"/>
        <w:rPr>
          <w:rFonts w:hint="default" w:ascii="黑体" w:hAnsi="宋体" w:eastAsia="黑体"/>
          <w:b/>
          <w:color w:val="auto"/>
          <w:spacing w:val="-4"/>
          <w:sz w:val="36"/>
          <w:szCs w:val="36"/>
          <w:lang w:val="en-US" w:eastAsia="zh-CN"/>
        </w:rPr>
      </w:pPr>
      <w:r>
        <w:rPr>
          <w:rFonts w:hint="eastAsia" w:ascii="黑体" w:hAnsi="宋体" w:eastAsia="黑体"/>
          <w:b/>
          <w:color w:val="auto"/>
          <w:spacing w:val="-4"/>
          <w:sz w:val="36"/>
          <w:szCs w:val="36"/>
          <w:lang w:val="en-US" w:eastAsia="zh-CN"/>
        </w:rPr>
        <w:t>铜仁市第二人民医院发热门诊医用设备采购及安装</w:t>
      </w:r>
    </w:p>
    <w:p>
      <w:pPr>
        <w:pStyle w:val="36"/>
        <w:spacing w:line="700" w:lineRule="exact"/>
        <w:rPr>
          <w:rFonts w:hint="eastAsia" w:ascii="黑体" w:hAnsi="宋体" w:eastAsia="黑体"/>
          <w:b/>
          <w:color w:val="000000"/>
          <w:spacing w:val="-4"/>
          <w:sz w:val="36"/>
          <w:szCs w:val="36"/>
        </w:rPr>
      </w:pPr>
    </w:p>
    <w:p>
      <w:pPr>
        <w:pStyle w:val="36"/>
        <w:spacing w:line="700" w:lineRule="exact"/>
        <w:rPr>
          <w:rFonts w:hint="eastAsia" w:ascii="黑体" w:hAnsi="宋体" w:eastAsia="黑体"/>
          <w:b/>
          <w:color w:val="000000"/>
          <w:spacing w:val="-4"/>
          <w:sz w:val="44"/>
          <w:szCs w:val="44"/>
        </w:rPr>
      </w:pPr>
      <w:r>
        <w:rPr>
          <w:rFonts w:hint="eastAsia" w:ascii="黑体" w:hAnsi="宋体" w:eastAsia="黑体"/>
          <w:b/>
          <w:color w:val="000000"/>
          <w:spacing w:val="-4"/>
          <w:sz w:val="44"/>
          <w:szCs w:val="44"/>
        </w:rPr>
        <w:t xml:space="preserve">           </w:t>
      </w:r>
    </w:p>
    <w:p>
      <w:pPr>
        <w:pStyle w:val="36"/>
        <w:spacing w:line="700" w:lineRule="exact"/>
        <w:rPr>
          <w:rFonts w:hint="eastAsia" w:ascii="黑体" w:hAnsi="宋体" w:eastAsia="黑体"/>
          <w:b/>
          <w:color w:val="000000"/>
          <w:spacing w:val="-4"/>
          <w:sz w:val="44"/>
          <w:szCs w:val="44"/>
        </w:rPr>
      </w:pPr>
    </w:p>
    <w:p>
      <w:pPr>
        <w:pStyle w:val="36"/>
        <w:spacing w:line="700" w:lineRule="exact"/>
        <w:rPr>
          <w:rFonts w:hint="eastAsia" w:ascii="黑体" w:hAnsi="宋体" w:eastAsia="黑体"/>
          <w:b/>
          <w:color w:val="000000"/>
          <w:spacing w:val="-4"/>
          <w:sz w:val="44"/>
          <w:szCs w:val="44"/>
        </w:rPr>
      </w:pPr>
    </w:p>
    <w:p>
      <w:pPr>
        <w:pStyle w:val="36"/>
        <w:spacing w:line="360" w:lineRule="auto"/>
        <w:jc w:val="center"/>
        <w:rPr>
          <w:rFonts w:hint="eastAsia" w:ascii="黑体" w:hAnsi="黑体" w:eastAsia="黑体"/>
          <w:b/>
          <w:color w:val="000000"/>
          <w:sz w:val="48"/>
          <w:szCs w:val="48"/>
        </w:rPr>
      </w:pPr>
      <w:r>
        <w:rPr>
          <w:rFonts w:hint="eastAsia" w:hAnsi="宋体"/>
          <w:b/>
          <w:bCs/>
          <w:sz w:val="48"/>
          <w:szCs w:val="48"/>
          <w:lang w:eastAsia="zh-CN"/>
        </w:rPr>
        <w:t>竞争性谈判</w:t>
      </w:r>
      <w:r>
        <w:rPr>
          <w:rFonts w:hint="eastAsia" w:hAnsi="宋体"/>
          <w:b/>
          <w:bCs/>
          <w:sz w:val="48"/>
          <w:szCs w:val="48"/>
        </w:rPr>
        <w:t>文件</w:t>
      </w:r>
    </w:p>
    <w:p>
      <w:pPr>
        <w:pStyle w:val="36"/>
        <w:spacing w:line="360" w:lineRule="auto"/>
        <w:ind w:firstLine="1265" w:firstLineChars="450"/>
        <w:rPr>
          <w:rFonts w:hint="eastAsia" w:ascii="黑体" w:hAnsi="黑体" w:eastAsia="黑体"/>
          <w:b/>
          <w:color w:val="000000"/>
          <w:sz w:val="28"/>
          <w:szCs w:val="28"/>
        </w:rPr>
      </w:pPr>
    </w:p>
    <w:p>
      <w:pPr>
        <w:pStyle w:val="36"/>
        <w:spacing w:line="360" w:lineRule="auto"/>
        <w:rPr>
          <w:rFonts w:hint="eastAsia" w:ascii="黑体" w:hAnsi="黑体" w:eastAsia="黑体"/>
          <w:b/>
          <w:color w:val="000000"/>
          <w:sz w:val="28"/>
          <w:szCs w:val="28"/>
        </w:rPr>
      </w:pPr>
    </w:p>
    <w:p>
      <w:pPr>
        <w:pStyle w:val="36"/>
        <w:spacing w:line="360" w:lineRule="auto"/>
        <w:rPr>
          <w:rFonts w:hint="eastAsia" w:ascii="黑体" w:hAnsi="黑体" w:eastAsia="黑体"/>
          <w:b/>
          <w:color w:val="000000"/>
          <w:sz w:val="28"/>
          <w:szCs w:val="28"/>
        </w:rPr>
      </w:pPr>
    </w:p>
    <w:p>
      <w:pPr>
        <w:pStyle w:val="36"/>
        <w:spacing w:line="360" w:lineRule="auto"/>
        <w:rPr>
          <w:rFonts w:hint="eastAsia" w:ascii="黑体" w:hAnsi="黑体" w:eastAsia="黑体"/>
          <w:b/>
          <w:color w:val="000000"/>
          <w:sz w:val="28"/>
          <w:szCs w:val="28"/>
        </w:rPr>
      </w:pPr>
    </w:p>
    <w:p>
      <w:pPr>
        <w:pStyle w:val="36"/>
        <w:spacing w:line="360" w:lineRule="auto"/>
        <w:ind w:firstLine="1265" w:firstLineChars="450"/>
        <w:rPr>
          <w:rFonts w:hint="eastAsia" w:ascii="黑体" w:hAnsi="黑体" w:eastAsia="黑体"/>
          <w:b/>
          <w:color w:val="000000"/>
          <w:sz w:val="28"/>
          <w:szCs w:val="28"/>
        </w:rPr>
      </w:pPr>
    </w:p>
    <w:p>
      <w:pPr>
        <w:pStyle w:val="36"/>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36"/>
        <w:spacing w:line="360" w:lineRule="auto"/>
        <w:rPr>
          <w:rFonts w:hint="eastAsia" w:ascii="黑体" w:hAnsi="黑体" w:eastAsia="黑体"/>
          <w:b/>
          <w:color w:val="000000"/>
          <w:sz w:val="28"/>
          <w:szCs w:val="28"/>
        </w:rPr>
      </w:pPr>
    </w:p>
    <w:p>
      <w:pPr>
        <w:pStyle w:val="36"/>
        <w:spacing w:line="360" w:lineRule="auto"/>
        <w:rPr>
          <w:rFonts w:hint="eastAsia" w:ascii="黑体" w:hAnsi="黑体" w:eastAsia="黑体"/>
          <w:b/>
          <w:color w:val="000000"/>
          <w:sz w:val="28"/>
          <w:szCs w:val="28"/>
        </w:rPr>
      </w:pPr>
    </w:p>
    <w:p>
      <w:pPr>
        <w:pStyle w:val="36"/>
        <w:spacing w:line="560" w:lineRule="exact"/>
        <w:ind w:left="2338" w:leftChars="399" w:hanging="1500" w:hangingChars="500"/>
        <w:rPr>
          <w:rFonts w:hint="eastAsia"/>
          <w:sz w:val="30"/>
        </w:rPr>
      </w:pPr>
      <w:r>
        <w:rPr>
          <w:rFonts w:hint="eastAsia"/>
          <w:sz w:val="30"/>
        </w:rPr>
        <w:t xml:space="preserve">      </w:t>
      </w:r>
    </w:p>
    <w:p>
      <w:pPr>
        <w:pStyle w:val="36"/>
        <w:spacing w:line="560" w:lineRule="exact"/>
        <w:ind w:left="2338" w:leftChars="399" w:hanging="1500" w:hangingChars="500"/>
        <w:rPr>
          <w:rFonts w:hint="eastAsia"/>
          <w:sz w:val="30"/>
          <w:u w:val="none"/>
          <w:lang w:val="en-US" w:eastAsia="zh-CN"/>
        </w:rPr>
      </w:pPr>
      <w:r>
        <w:rPr>
          <w:rFonts w:hint="eastAsia"/>
          <w:sz w:val="30"/>
          <w:lang w:eastAsia="zh-CN"/>
        </w:rPr>
        <w:t>项</w:t>
      </w:r>
      <w:r>
        <w:rPr>
          <w:rFonts w:hint="eastAsia"/>
          <w:sz w:val="30"/>
          <w:lang w:val="en-US" w:eastAsia="zh-CN"/>
        </w:rPr>
        <w:t xml:space="preserve"> </w:t>
      </w:r>
      <w:r>
        <w:rPr>
          <w:rFonts w:hint="eastAsia"/>
          <w:sz w:val="30"/>
          <w:lang w:eastAsia="zh-CN"/>
        </w:rPr>
        <w:t>目</w:t>
      </w:r>
      <w:r>
        <w:rPr>
          <w:rFonts w:hint="eastAsia"/>
          <w:sz w:val="30"/>
        </w:rPr>
        <w:t xml:space="preserve"> </w:t>
      </w:r>
      <w:r>
        <w:rPr>
          <w:rFonts w:hint="eastAsia" w:hAnsi="Courier New"/>
          <w:sz w:val="30"/>
          <w:u w:val="none"/>
          <w:lang w:val="en-US" w:eastAsia="zh-CN"/>
        </w:rPr>
        <w:t>编 号：</w:t>
      </w:r>
      <w:r>
        <w:rPr>
          <w:rFonts w:hint="eastAsia"/>
          <w:sz w:val="30"/>
          <w:u w:val="none"/>
          <w:lang w:val="en-US" w:eastAsia="zh-CN"/>
        </w:rPr>
        <w:t>CQXZ</w:t>
      </w:r>
      <w:r>
        <w:rPr>
          <w:rFonts w:hint="eastAsia" w:hAnsi="Courier New"/>
          <w:sz w:val="30"/>
          <w:u w:val="none"/>
          <w:lang w:val="en-US" w:eastAsia="zh-CN"/>
        </w:rPr>
        <w:t>-20</w:t>
      </w:r>
      <w:r>
        <w:rPr>
          <w:rFonts w:hint="eastAsia"/>
          <w:sz w:val="30"/>
          <w:u w:val="none"/>
          <w:lang w:val="en-US" w:eastAsia="zh-CN"/>
        </w:rPr>
        <w:t>20</w:t>
      </w:r>
      <w:r>
        <w:rPr>
          <w:rFonts w:hint="eastAsia" w:hAnsi="Courier New"/>
          <w:sz w:val="30"/>
          <w:u w:val="none"/>
          <w:lang w:val="en-US" w:eastAsia="zh-CN"/>
        </w:rPr>
        <w:t>-01</w:t>
      </w:r>
      <w:r>
        <w:rPr>
          <w:rFonts w:hint="eastAsia"/>
          <w:sz w:val="30"/>
          <w:u w:val="none"/>
          <w:lang w:val="en-US" w:eastAsia="zh-CN"/>
        </w:rPr>
        <w:t>4</w:t>
      </w:r>
    </w:p>
    <w:p>
      <w:pPr>
        <w:pStyle w:val="36"/>
        <w:spacing w:line="560" w:lineRule="exact"/>
        <w:ind w:left="2338" w:leftChars="399" w:hanging="1500" w:hangingChars="500"/>
        <w:rPr>
          <w:rFonts w:hint="eastAsia" w:hAnsi="Courier New"/>
          <w:sz w:val="30"/>
          <w:u w:val="none"/>
          <w:lang w:val="en-US" w:eastAsia="zh-CN"/>
        </w:rPr>
      </w:pPr>
      <w:r>
        <w:rPr>
          <w:rFonts w:hint="eastAsia" w:hAnsi="Courier New"/>
          <w:sz w:val="30"/>
          <w:u w:val="none"/>
          <w:lang w:val="en-US" w:eastAsia="zh-CN"/>
        </w:rPr>
        <w:t>采 购 方 式：竞争性谈判</w:t>
      </w:r>
    </w:p>
    <w:p>
      <w:pPr>
        <w:pStyle w:val="36"/>
        <w:spacing w:line="560" w:lineRule="exact"/>
        <w:ind w:left="2338" w:leftChars="399" w:hanging="1500" w:hangingChars="500"/>
        <w:rPr>
          <w:rFonts w:hint="eastAsia" w:hAnsi="Courier New"/>
          <w:sz w:val="30"/>
          <w:u w:val="none"/>
          <w:lang w:val="en-US" w:eastAsia="zh-CN"/>
        </w:rPr>
      </w:pPr>
      <w:r>
        <w:rPr>
          <w:rFonts w:hint="eastAsia" w:hAnsi="Courier New"/>
          <w:sz w:val="30"/>
          <w:u w:val="none"/>
          <w:lang w:val="en-US" w:eastAsia="zh-CN"/>
        </w:rPr>
        <w:t>项 目 类 别</w:t>
      </w:r>
      <w:r>
        <w:rPr>
          <w:rFonts w:hint="eastAsia" w:hAnsi="Courier New"/>
          <w:color w:val="auto"/>
          <w:sz w:val="30"/>
          <w:u w:val="none"/>
          <w:lang w:val="en-US" w:eastAsia="zh-CN"/>
        </w:rPr>
        <w:t>：</w:t>
      </w:r>
      <w:r>
        <w:rPr>
          <w:rFonts w:hint="eastAsia"/>
          <w:color w:val="auto"/>
          <w:sz w:val="30"/>
          <w:u w:val="none"/>
          <w:lang w:val="en-US" w:eastAsia="zh-CN"/>
        </w:rPr>
        <w:t>货物类</w:t>
      </w:r>
      <w:r>
        <w:rPr>
          <w:rFonts w:hint="eastAsia" w:hAnsi="Courier New"/>
          <w:sz w:val="30"/>
          <w:u w:val="none"/>
          <w:lang w:val="en-US" w:eastAsia="zh-CN"/>
        </w:rPr>
        <w:t xml:space="preserve">                    </w:t>
      </w:r>
    </w:p>
    <w:p>
      <w:pPr>
        <w:pStyle w:val="36"/>
        <w:spacing w:line="560" w:lineRule="exact"/>
        <w:ind w:left="2338" w:leftChars="399" w:hanging="1500" w:hangingChars="500"/>
        <w:rPr>
          <w:rFonts w:hint="eastAsia" w:hAnsi="Courier New"/>
          <w:sz w:val="30"/>
          <w:u w:val="none"/>
          <w:lang w:val="en-US" w:eastAsia="zh-CN"/>
        </w:rPr>
      </w:pPr>
      <w:r>
        <w:rPr>
          <w:rFonts w:hint="eastAsia" w:hAnsi="Courier New"/>
          <w:sz w:val="30"/>
          <w:u w:val="none"/>
          <w:lang w:val="en-US" w:eastAsia="zh-CN"/>
        </w:rPr>
        <w:t>采   购  人：铜仁市第二人民医院</w:t>
      </w:r>
    </w:p>
    <w:p>
      <w:pPr>
        <w:pStyle w:val="36"/>
        <w:spacing w:line="560" w:lineRule="exact"/>
        <w:ind w:left="2338" w:leftChars="399" w:hanging="1500" w:hangingChars="500"/>
        <w:rPr>
          <w:rFonts w:hint="eastAsia" w:hAnsi="Courier New"/>
          <w:sz w:val="30"/>
          <w:u w:val="none"/>
          <w:lang w:val="en-US" w:eastAsia="zh-CN"/>
        </w:rPr>
      </w:pPr>
      <w:r>
        <w:rPr>
          <w:rFonts w:hint="eastAsia" w:hAnsi="Courier New"/>
          <w:sz w:val="30"/>
          <w:u w:val="none"/>
          <w:lang w:val="en-US" w:eastAsia="zh-CN"/>
        </w:rPr>
        <w:t>采购代理机构：</w:t>
      </w:r>
      <w:r>
        <w:rPr>
          <w:rFonts w:hint="eastAsia"/>
          <w:sz w:val="30"/>
          <w:u w:val="none"/>
          <w:lang w:val="en-US" w:eastAsia="zh-CN"/>
        </w:rPr>
        <w:t>重庆西征建设工程咨询有限公司</w:t>
      </w:r>
      <w:r>
        <w:rPr>
          <w:rFonts w:hint="eastAsia" w:hAnsi="Courier New"/>
          <w:sz w:val="30"/>
          <w:u w:val="none"/>
          <w:lang w:val="en-US" w:eastAsia="zh-CN"/>
        </w:rPr>
        <w:t xml:space="preserve"> </w:t>
      </w:r>
    </w:p>
    <w:p>
      <w:pPr>
        <w:spacing w:line="360" w:lineRule="auto"/>
        <w:ind w:firstLine="141" w:firstLineChars="50"/>
        <w:rPr>
          <w:rFonts w:hint="eastAsia"/>
          <w:sz w:val="30"/>
        </w:rPr>
      </w:pPr>
      <w:r>
        <w:rPr>
          <w:rFonts w:hint="eastAsia" w:ascii="黑体" w:hAnsi="黑体" w:eastAsia="黑体"/>
          <w:b/>
          <w:color w:val="000000"/>
          <w:sz w:val="28"/>
          <w:szCs w:val="28"/>
        </w:rPr>
        <w:t xml:space="preserve">     </w:t>
      </w:r>
      <w:r>
        <w:rPr>
          <w:rFonts w:hint="eastAsia"/>
          <w:sz w:val="30"/>
        </w:rPr>
        <w:t>编</w:t>
      </w:r>
      <w:r>
        <w:rPr>
          <w:sz w:val="30"/>
        </w:rPr>
        <w:t xml:space="preserve"> </w:t>
      </w:r>
      <w:r>
        <w:rPr>
          <w:rFonts w:hint="eastAsia"/>
          <w:sz w:val="30"/>
        </w:rPr>
        <w:t>制</w:t>
      </w:r>
      <w:r>
        <w:rPr>
          <w:sz w:val="30"/>
        </w:rPr>
        <w:t xml:space="preserve"> </w:t>
      </w:r>
      <w:r>
        <w:rPr>
          <w:rFonts w:hint="eastAsia"/>
          <w:sz w:val="30"/>
        </w:rPr>
        <w:t xml:space="preserve"> 日</w:t>
      </w:r>
      <w:r>
        <w:rPr>
          <w:sz w:val="30"/>
        </w:rPr>
        <w:t xml:space="preserve"> </w:t>
      </w:r>
      <w:r>
        <w:rPr>
          <w:rFonts w:hint="eastAsia"/>
          <w:sz w:val="30"/>
        </w:rPr>
        <w:t>期：</w:t>
      </w:r>
      <w:r>
        <w:rPr>
          <w:rFonts w:hint="eastAsia"/>
          <w:sz w:val="30"/>
          <w:u w:val="single"/>
        </w:rPr>
        <w:t xml:space="preserve">  </w:t>
      </w:r>
      <w:r>
        <w:rPr>
          <w:rFonts w:hint="eastAsia"/>
          <w:sz w:val="30"/>
          <w:u w:val="single"/>
          <w:lang w:val="en-US" w:eastAsia="zh-CN"/>
        </w:rPr>
        <w:t>2020</w:t>
      </w:r>
      <w:r>
        <w:rPr>
          <w:rFonts w:hint="eastAsia"/>
          <w:sz w:val="30"/>
          <w:u w:val="single"/>
        </w:rPr>
        <w:t xml:space="preserve">  </w:t>
      </w:r>
      <w:r>
        <w:rPr>
          <w:sz w:val="30"/>
        </w:rPr>
        <w:t xml:space="preserve"> 年 </w:t>
      </w:r>
      <w:r>
        <w:rPr>
          <w:rFonts w:hint="eastAsia"/>
          <w:sz w:val="30"/>
          <w:u w:val="single"/>
        </w:rPr>
        <w:t xml:space="preserve">  </w:t>
      </w:r>
      <w:r>
        <w:rPr>
          <w:rFonts w:hint="eastAsia"/>
          <w:sz w:val="30"/>
          <w:u w:val="single"/>
          <w:lang w:val="en-US" w:eastAsia="zh-CN"/>
        </w:rPr>
        <w:t>9</w:t>
      </w:r>
      <w:r>
        <w:rPr>
          <w:rFonts w:hint="eastAsia"/>
          <w:sz w:val="30"/>
          <w:u w:val="single"/>
        </w:rPr>
        <w:t xml:space="preserve"> </w:t>
      </w:r>
      <w:r>
        <w:rPr>
          <w:sz w:val="30"/>
        </w:rPr>
        <w:t xml:space="preserve">月 </w:t>
      </w: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tabs>
          <w:tab w:val="left" w:pos="4052"/>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   录</w:t>
      </w:r>
    </w:p>
    <w:p>
      <w:pPr>
        <w:spacing w:line="360" w:lineRule="auto"/>
        <w:jc w:val="center"/>
        <w:rPr>
          <w:rFonts w:ascii="宋体" w:hAnsi="宋体"/>
          <w:b/>
          <w:color w:val="000000" w:themeColor="text1"/>
          <w:sz w:val="36"/>
          <w:szCs w:val="36"/>
          <w14:textFill>
            <w14:solidFill>
              <w14:schemeClr w14:val="tx1"/>
            </w14:solidFill>
          </w14:textFill>
        </w:rPr>
      </w:pPr>
    </w:p>
    <w:p>
      <w:pPr>
        <w:numPr>
          <w:ilvl w:val="0"/>
          <w:numId w:val="1"/>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谈判公告</w:t>
      </w:r>
    </w:p>
    <w:p>
      <w:pPr>
        <w:numPr>
          <w:ilvl w:val="0"/>
          <w:numId w:val="1"/>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谈判供应商须知</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谈判供应商须知正文部分</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w:t>
      </w:r>
      <w:r>
        <w:rPr>
          <w:rFonts w:hint="eastAsia" w:ascii="宋体" w:hAnsi="宋体"/>
          <w:b/>
          <w:color w:val="auto"/>
          <w:sz w:val="28"/>
          <w:szCs w:val="28"/>
        </w:rPr>
        <w:t xml:space="preserve">  </w:t>
      </w:r>
      <w:r>
        <w:rPr>
          <w:rFonts w:hint="eastAsia" w:ascii="宋体" w:hAnsi="宋体"/>
          <w:b/>
          <w:color w:val="auto"/>
          <w:sz w:val="28"/>
          <w:szCs w:val="28"/>
          <w:lang w:eastAsia="zh-CN"/>
        </w:rPr>
        <w:t>采购内容</w:t>
      </w:r>
      <w:r>
        <w:rPr>
          <w:rFonts w:hint="eastAsia" w:ascii="宋体" w:hAnsi="宋体"/>
          <w:b/>
          <w:color w:val="auto"/>
          <w:sz w:val="28"/>
          <w:szCs w:val="28"/>
        </w:rPr>
        <w:t>清单及</w:t>
      </w:r>
      <w:r>
        <w:rPr>
          <w:rFonts w:hint="eastAsia" w:ascii="宋体" w:hAnsi="宋体"/>
          <w:b/>
          <w:color w:val="auto"/>
          <w:sz w:val="28"/>
          <w:szCs w:val="28"/>
          <w:lang w:eastAsia="zh-CN"/>
        </w:rPr>
        <w:t>商务、技术</w:t>
      </w:r>
      <w:r>
        <w:rPr>
          <w:rFonts w:hint="eastAsia" w:ascii="宋体" w:hAnsi="宋体"/>
          <w:b/>
          <w:color w:val="auto"/>
          <w:sz w:val="28"/>
          <w:szCs w:val="28"/>
        </w:rPr>
        <w:t>要求</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铜仁市政府采购合同（参考文本）</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第六章  响应文件格式</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pStyle w:val="4"/>
      </w:pPr>
      <w:bookmarkStart w:id="0" w:name="_Toc268599006"/>
    </w:p>
    <w:p/>
    <w:p>
      <w:pPr>
        <w:pStyle w:val="14"/>
      </w:pPr>
    </w:p>
    <w:bookmarkEnd w:id="0"/>
    <w:p>
      <w:pPr>
        <w:spacing w:line="560" w:lineRule="exact"/>
        <w:jc w:val="center"/>
        <w:rPr>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第一章  谈判公告</w:t>
      </w:r>
    </w:p>
    <w:p>
      <w:pPr>
        <w:pStyle w:val="2"/>
        <w:spacing w:before="93" w:line="312" w:lineRule="auto"/>
        <w:ind w:left="477" w:right="312" w:firstLine="600"/>
        <w:jc w:val="both"/>
        <w:rPr>
          <w:rFonts w:hint="eastAsia" w:ascii="宋体" w:hAnsi="宋体" w:eastAsiaTheme="minorEastAsia" w:cstheme="minorBidi"/>
          <w:b w:val="0"/>
          <w:bCs/>
          <w:color w:val="auto"/>
          <w:kern w:val="0"/>
          <w:sz w:val="24"/>
          <w:szCs w:val="24"/>
          <w:lang w:val="en-US" w:eastAsia="zh-CN" w:bidi="ar-SA"/>
        </w:rPr>
      </w:pPr>
      <w:r>
        <w:rPr>
          <w:rFonts w:hint="eastAsia" w:ascii="宋体" w:hAnsi="宋体" w:eastAsiaTheme="minorEastAsia" w:cstheme="minorBidi"/>
          <w:b w:val="0"/>
          <w:bCs/>
          <w:color w:val="000000" w:themeColor="text1"/>
          <w:kern w:val="0"/>
          <w:sz w:val="24"/>
          <w:szCs w:val="24"/>
          <w:lang w:val="en-US" w:eastAsia="zh-CN" w:bidi="ar-SA"/>
          <w14:textFill>
            <w14:solidFill>
              <w14:schemeClr w14:val="tx1"/>
            </w14:solidFill>
          </w14:textFill>
        </w:rPr>
        <w:t>根据《中华人民共和国政府采购法》、《政府采购非招标采购方式管理办法》及相关规定，</w:t>
      </w:r>
      <w:r>
        <w:rPr>
          <w:rFonts w:hint="eastAsia" w:ascii="宋体" w:hAnsi="宋体" w:eastAsiaTheme="minorEastAsia" w:cstheme="minorBidi"/>
          <w:b w:val="0"/>
          <w:bCs/>
          <w:color w:val="000000" w:themeColor="text1"/>
          <w:kern w:val="0"/>
          <w:sz w:val="24"/>
          <w:szCs w:val="24"/>
          <w:u w:val="single"/>
          <w:lang w:val="en-US" w:eastAsia="zh-CN" w:bidi="ar-SA"/>
          <w14:textFill>
            <w14:solidFill>
              <w14:schemeClr w14:val="tx1"/>
            </w14:solidFill>
          </w14:textFill>
        </w:rPr>
        <w:t>重庆西征建</w:t>
      </w:r>
      <w:r>
        <w:rPr>
          <w:rFonts w:hint="eastAsia" w:ascii="宋体" w:hAnsi="宋体" w:eastAsiaTheme="minorEastAsia" w:cstheme="minorBidi"/>
          <w:b w:val="0"/>
          <w:bCs/>
          <w:color w:val="auto"/>
          <w:kern w:val="0"/>
          <w:sz w:val="24"/>
          <w:szCs w:val="24"/>
          <w:u w:val="single"/>
          <w:lang w:val="en-US" w:eastAsia="zh-CN" w:bidi="ar-SA"/>
        </w:rPr>
        <w:t>设工程咨询有限公司</w:t>
      </w:r>
      <w:r>
        <w:rPr>
          <w:rFonts w:hint="eastAsia" w:ascii="宋体" w:hAnsi="宋体" w:eastAsiaTheme="minorEastAsia" w:cstheme="minorBidi"/>
          <w:b w:val="0"/>
          <w:bCs/>
          <w:color w:val="auto"/>
          <w:kern w:val="0"/>
          <w:sz w:val="24"/>
          <w:szCs w:val="24"/>
          <w:lang w:val="en-US" w:eastAsia="zh-CN" w:bidi="ar-SA"/>
        </w:rPr>
        <w:t xml:space="preserve">受 </w:t>
      </w:r>
      <w:r>
        <w:rPr>
          <w:rFonts w:hint="eastAsia" w:ascii="宋体" w:hAnsi="宋体" w:eastAsiaTheme="minorEastAsia" w:cstheme="minorBidi"/>
          <w:b w:val="0"/>
          <w:bCs/>
          <w:color w:val="auto"/>
          <w:kern w:val="0"/>
          <w:sz w:val="24"/>
          <w:szCs w:val="24"/>
          <w:u w:val="single"/>
          <w:lang w:val="en-US" w:eastAsia="zh-CN" w:bidi="ar-SA"/>
        </w:rPr>
        <w:t>铜仁市第二人民医院</w:t>
      </w:r>
      <w:r>
        <w:rPr>
          <w:rFonts w:hint="eastAsia" w:ascii="宋体" w:hAnsi="宋体" w:eastAsiaTheme="minorEastAsia" w:cstheme="minorBidi"/>
          <w:b w:val="0"/>
          <w:bCs/>
          <w:color w:val="auto"/>
          <w:kern w:val="0"/>
          <w:sz w:val="24"/>
          <w:szCs w:val="24"/>
          <w:lang w:val="en-US" w:eastAsia="zh-CN" w:bidi="ar-SA"/>
        </w:rPr>
        <w:t xml:space="preserve"> 委托，对</w:t>
      </w:r>
      <w:r>
        <w:rPr>
          <w:rFonts w:hint="eastAsia" w:ascii="宋体" w:hAnsi="宋体" w:eastAsiaTheme="minorEastAsia" w:cstheme="minorBidi"/>
          <w:b w:val="0"/>
          <w:bCs/>
          <w:color w:val="auto"/>
          <w:kern w:val="0"/>
          <w:sz w:val="24"/>
          <w:szCs w:val="24"/>
          <w:u w:val="single"/>
          <w:lang w:val="en-US" w:eastAsia="zh-CN" w:bidi="ar-SA"/>
        </w:rPr>
        <w:t>铜仁市第二人民医院发热门诊</w:t>
      </w:r>
      <w:r>
        <w:rPr>
          <w:rFonts w:hint="eastAsia" w:ascii="宋体" w:hAnsi="宋体" w:cstheme="minorBidi"/>
          <w:b w:val="0"/>
          <w:bCs/>
          <w:color w:val="auto"/>
          <w:kern w:val="0"/>
          <w:sz w:val="24"/>
          <w:szCs w:val="24"/>
          <w:u w:val="single"/>
          <w:lang w:val="en-US" w:eastAsia="zh-CN" w:bidi="ar-SA"/>
        </w:rPr>
        <w:t>医用设备采购及安装</w:t>
      </w:r>
      <w:r>
        <w:rPr>
          <w:rFonts w:hint="eastAsia" w:ascii="宋体" w:hAnsi="宋体" w:eastAsiaTheme="minorEastAsia" w:cstheme="minorBidi"/>
          <w:b w:val="0"/>
          <w:bCs/>
          <w:color w:val="auto"/>
          <w:kern w:val="0"/>
          <w:sz w:val="24"/>
          <w:szCs w:val="24"/>
          <w:u w:val="single"/>
          <w:lang w:val="en-US" w:eastAsia="zh-CN" w:bidi="ar-SA"/>
        </w:rPr>
        <w:t xml:space="preserve"> </w:t>
      </w:r>
      <w:r>
        <w:rPr>
          <w:rFonts w:hint="eastAsia" w:ascii="宋体" w:hAnsi="宋体" w:eastAsiaTheme="minorEastAsia" w:cstheme="minorBidi"/>
          <w:b w:val="0"/>
          <w:bCs/>
          <w:color w:val="auto"/>
          <w:kern w:val="0"/>
          <w:sz w:val="24"/>
          <w:szCs w:val="24"/>
          <w:lang w:val="en-US" w:eastAsia="zh-CN" w:bidi="ar-SA"/>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hAnsi="宋体" w:eastAsiaTheme="minorEastAsia"/>
          <w:b/>
          <w:color w:val="auto"/>
          <w:sz w:val="24"/>
          <w:szCs w:val="24"/>
          <w:u w:val="none"/>
          <w:lang w:eastAsia="zh-CN"/>
        </w:rPr>
      </w:pPr>
      <w:r>
        <w:rPr>
          <w:rFonts w:hint="eastAsia" w:hAnsi="宋体"/>
          <w:b/>
          <w:color w:val="auto"/>
          <w:sz w:val="24"/>
          <w:szCs w:val="24"/>
        </w:rPr>
        <w:t>1、项目名称：</w:t>
      </w:r>
      <w:r>
        <w:rPr>
          <w:rFonts w:hint="eastAsia" w:hAnsi="Courier New"/>
          <w:b w:val="0"/>
          <w:bCs w:val="0"/>
          <w:color w:val="auto"/>
          <w:sz w:val="24"/>
          <w:szCs w:val="24"/>
          <w:u w:val="none"/>
          <w:lang w:val="en-US" w:eastAsia="zh-CN"/>
        </w:rPr>
        <w:t>铜仁市第二人民医院发热门诊</w:t>
      </w:r>
      <w:r>
        <w:rPr>
          <w:rFonts w:hint="eastAsia"/>
          <w:b w:val="0"/>
          <w:bCs w:val="0"/>
          <w:color w:val="auto"/>
          <w:sz w:val="24"/>
          <w:szCs w:val="24"/>
          <w:u w:val="none"/>
          <w:lang w:val="en-US" w:eastAsia="zh-CN"/>
        </w:rPr>
        <w:t>医用设备采购及安装</w:t>
      </w:r>
    </w:p>
    <w:p>
      <w:pPr>
        <w:pStyle w:val="6"/>
        <w:spacing w:before="93"/>
        <w:ind w:left="0" w:leftChars="0" w:firstLine="482" w:firstLineChars="200"/>
        <w:rPr>
          <w:rFonts w:hint="eastAsia" w:ascii="黑体" w:eastAsia="黑体"/>
          <w:b w:val="0"/>
          <w:bCs w:val="0"/>
          <w:color w:val="auto"/>
          <w:lang w:val="en-US" w:eastAsia="zh-CN"/>
        </w:rPr>
      </w:pPr>
      <w:r>
        <w:rPr>
          <w:rFonts w:hint="eastAsia" w:hAnsi="宋体"/>
          <w:b/>
          <w:color w:val="auto"/>
          <w:sz w:val="24"/>
          <w:szCs w:val="24"/>
        </w:rPr>
        <w:t>2、项目编号：</w:t>
      </w:r>
      <w:r>
        <w:rPr>
          <w:rFonts w:hint="eastAsia" w:ascii="黑体" w:eastAsia="黑体"/>
          <w:b w:val="0"/>
          <w:bCs w:val="0"/>
          <w:color w:val="auto"/>
          <w:lang w:val="en-US" w:eastAsia="zh-CN"/>
        </w:rPr>
        <w:t>CQXZ-</w:t>
      </w:r>
      <w:r>
        <w:rPr>
          <w:rFonts w:hint="eastAsia" w:ascii="黑体" w:eastAsia="黑体"/>
          <w:b w:val="0"/>
          <w:bCs w:val="0"/>
          <w:color w:val="auto"/>
        </w:rPr>
        <w:t>2020-0</w:t>
      </w:r>
      <w:r>
        <w:rPr>
          <w:rFonts w:hint="eastAsia" w:ascii="黑体" w:eastAsia="黑体"/>
          <w:b w:val="0"/>
          <w:bCs w:val="0"/>
          <w:color w:val="auto"/>
          <w:lang w:val="en-US" w:eastAsia="zh-CN"/>
        </w:rPr>
        <w:t>14</w:t>
      </w:r>
    </w:p>
    <w:p>
      <w:pPr>
        <w:rPr>
          <w:rFonts w:hint="eastAsia" w:ascii="宋体" w:hAnsi="宋体" w:eastAsia="宋体" w:cs="宋体"/>
          <w:b/>
          <w:bCs/>
          <w:color w:val="auto"/>
          <w:kern w:val="2"/>
          <w:sz w:val="24"/>
          <w:szCs w:val="24"/>
          <w:lang w:val="en-US" w:eastAsia="zh-CN" w:bidi="zh-CN"/>
        </w:rPr>
      </w:pPr>
      <w:r>
        <w:rPr>
          <w:rFonts w:hint="eastAsia" w:ascii="黑体" w:eastAsia="黑体"/>
          <w:b w:val="0"/>
          <w:bCs w:val="0"/>
          <w:color w:val="auto"/>
          <w:lang w:val="en-US" w:eastAsia="zh-CN"/>
        </w:rPr>
        <w:t xml:space="preserve">     </w:t>
      </w:r>
      <w:r>
        <w:rPr>
          <w:rFonts w:hint="eastAsia" w:ascii="宋体" w:hAnsi="宋体" w:eastAsia="宋体" w:cs="宋体"/>
          <w:b/>
          <w:bCs/>
          <w:color w:val="auto"/>
          <w:kern w:val="2"/>
          <w:sz w:val="24"/>
          <w:szCs w:val="24"/>
          <w:lang w:val="en-US" w:eastAsia="zh-CN" w:bidi="zh-CN"/>
        </w:rPr>
        <w:t>3、采购货物及情况：</w:t>
      </w:r>
    </w:p>
    <w:p>
      <w:pPr>
        <w:pStyle w:val="14"/>
        <w:rPr>
          <w:rFonts w:hint="eastAsia" w:ascii="宋体" w:hAnsi="Courier New" w:eastAsiaTheme="minorEastAsia" w:cstheme="minorBidi"/>
          <w:b w:val="0"/>
          <w:bCs w:val="0"/>
          <w:color w:val="auto"/>
          <w:kern w:val="0"/>
          <w:sz w:val="24"/>
          <w:szCs w:val="24"/>
          <w:u w:val="none"/>
          <w:lang w:val="en-US" w:eastAsia="zh-CN" w:bidi="ar-SA"/>
        </w:rPr>
      </w:pPr>
      <w:r>
        <w:rPr>
          <w:rFonts w:hint="eastAsia" w:ascii="黑体" w:eastAsia="黑体"/>
          <w:b w:val="0"/>
          <w:bCs w:val="0"/>
          <w:color w:val="auto"/>
          <w:lang w:val="en-US" w:eastAsia="zh-CN"/>
        </w:rPr>
        <w:t xml:space="preserve"> </w:t>
      </w:r>
      <w:r>
        <w:rPr>
          <w:rFonts w:hint="eastAsia" w:ascii="黑体" w:hAnsi="宋体" w:eastAsia="黑体" w:cs="宋体"/>
          <w:b w:val="0"/>
          <w:bCs w:val="0"/>
          <w:color w:val="auto"/>
          <w:kern w:val="2"/>
          <w:sz w:val="24"/>
          <w:szCs w:val="24"/>
          <w:lang w:val="en-US" w:eastAsia="zh-CN" w:bidi="zh-CN"/>
        </w:rPr>
        <w:t xml:space="preserve">     （1）采购主要内容</w:t>
      </w:r>
      <w:r>
        <w:rPr>
          <w:rFonts w:hint="eastAsia" w:ascii="黑体" w:eastAsia="黑体"/>
          <w:b w:val="0"/>
          <w:bCs w:val="0"/>
          <w:color w:val="auto"/>
          <w:lang w:val="en-US" w:eastAsia="zh-CN"/>
        </w:rPr>
        <w:t>：</w:t>
      </w:r>
      <w:r>
        <w:rPr>
          <w:rFonts w:hint="eastAsia" w:ascii="宋体" w:hAnsi="Courier New" w:eastAsiaTheme="minorEastAsia" w:cstheme="minorBidi"/>
          <w:b w:val="0"/>
          <w:bCs w:val="0"/>
          <w:color w:val="auto"/>
          <w:kern w:val="0"/>
          <w:sz w:val="24"/>
          <w:szCs w:val="24"/>
          <w:u w:val="none"/>
          <w:lang w:val="en-US" w:eastAsia="zh-CN" w:bidi="ar-SA"/>
        </w:rPr>
        <w:t>铜仁市第二人民医院发热门诊医用设备采购及安装</w:t>
      </w:r>
    </w:p>
    <w:p>
      <w:pPr>
        <w:pStyle w:val="14"/>
        <w:ind w:firstLine="720" w:firstLineChars="300"/>
        <w:rPr>
          <w:rFonts w:hint="eastAsia" w:ascii="黑体" w:hAnsi="宋体" w:eastAsia="黑体" w:cs="宋体"/>
          <w:b w:val="0"/>
          <w:bCs w:val="0"/>
          <w:color w:val="FF0000"/>
          <w:kern w:val="2"/>
          <w:sz w:val="24"/>
          <w:szCs w:val="24"/>
          <w:lang w:val="en-US" w:eastAsia="zh-CN" w:bidi="zh-CN"/>
        </w:rPr>
      </w:pPr>
      <w:r>
        <w:rPr>
          <w:rFonts w:hint="eastAsia" w:ascii="黑体" w:hAnsi="宋体" w:eastAsia="黑体" w:cs="宋体"/>
          <w:b w:val="0"/>
          <w:bCs w:val="0"/>
          <w:color w:val="auto"/>
          <w:kern w:val="2"/>
          <w:sz w:val="24"/>
          <w:szCs w:val="24"/>
          <w:lang w:val="en-US" w:eastAsia="zh-CN" w:bidi="zh-CN"/>
        </w:rPr>
        <w:t>（2）</w:t>
      </w:r>
      <w:r>
        <w:rPr>
          <w:rFonts w:hint="eastAsia" w:ascii="黑体" w:hAnsi="宋体" w:eastAsia="黑体" w:cs="宋体"/>
          <w:b w:val="0"/>
          <w:bCs w:val="0"/>
          <w:color w:val="FF0000"/>
          <w:kern w:val="2"/>
          <w:sz w:val="24"/>
          <w:szCs w:val="24"/>
          <w:lang w:val="en-US" w:eastAsia="zh-CN" w:bidi="zh-CN"/>
        </w:rPr>
        <w:t>1包：X射线断层扫描系统（CT）设备采购及安装；</w:t>
      </w:r>
    </w:p>
    <w:p>
      <w:pPr>
        <w:pStyle w:val="14"/>
        <w:ind w:firstLine="1440" w:firstLineChars="600"/>
        <w:rPr>
          <w:rFonts w:hint="default" w:ascii="黑体" w:hAnsi="宋体" w:eastAsia="黑体" w:cs="宋体"/>
          <w:b w:val="0"/>
          <w:bCs w:val="0"/>
          <w:color w:val="FF0000"/>
          <w:kern w:val="2"/>
          <w:sz w:val="24"/>
          <w:szCs w:val="24"/>
          <w:lang w:val="en-US" w:eastAsia="zh-CN" w:bidi="zh-CN"/>
        </w:rPr>
      </w:pPr>
      <w:r>
        <w:rPr>
          <w:rFonts w:hint="eastAsia" w:ascii="黑体" w:hAnsi="宋体" w:eastAsia="黑体" w:cs="宋体"/>
          <w:b w:val="0"/>
          <w:bCs w:val="0"/>
          <w:color w:val="FF0000"/>
          <w:kern w:val="2"/>
          <w:sz w:val="24"/>
          <w:szCs w:val="24"/>
          <w:lang w:val="en-US" w:eastAsia="zh-CN" w:bidi="zh-CN"/>
        </w:rPr>
        <w:t>2包：发热门诊设备采购及安装</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outlineLvl w:val="0"/>
        <w:rPr>
          <w:rFonts w:ascii="宋体" w:hAnsi="宋体"/>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w:t>
      </w:r>
      <w:r>
        <w:rPr>
          <w:rFonts w:hint="eastAsia" w:ascii="宋体" w:hAnsi="宋体"/>
          <w:b/>
          <w:color w:val="000000" w:themeColor="text1"/>
          <w:sz w:val="24"/>
          <w14:textFill>
            <w14:solidFill>
              <w14:schemeClr w14:val="tx1"/>
            </w14:solidFill>
          </w14:textFill>
        </w:rPr>
        <w:t>、报名时间:</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shd w:val="clear" w:color="auto" w:fill="FFFFFF"/>
          <w14:textFill>
            <w14:solidFill>
              <w14:schemeClr w14:val="tx1"/>
            </w14:solidFill>
          </w14:textFill>
        </w:rPr>
        <w:t>20</w:t>
      </w:r>
      <w:r>
        <w:rPr>
          <w:rFonts w:hint="eastAsia" w:ascii="宋体" w:hAnsi="宋体" w:cs="宋体"/>
          <w:color w:val="000000" w:themeColor="text1"/>
          <w:sz w:val="24"/>
          <w:shd w:val="clear" w:color="auto" w:fill="FFFFFF"/>
          <w:lang w:val="en-US" w:eastAsia="zh-CN"/>
          <w14:textFill>
            <w14:solidFill>
              <w14:schemeClr w14:val="tx1"/>
            </w14:solidFill>
          </w14:textFill>
        </w:rPr>
        <w:t>20</w:t>
      </w:r>
      <w:r>
        <w:rPr>
          <w:rFonts w:hint="eastAsia" w:ascii="宋体" w:hAnsi="宋体" w:cs="宋体"/>
          <w:color w:val="000000" w:themeColor="text1"/>
          <w:sz w:val="24"/>
          <w:shd w:val="clear" w:color="auto" w:fill="FFFFFF"/>
          <w14:textFill>
            <w14:solidFill>
              <w14:schemeClr w14:val="tx1"/>
            </w14:solidFill>
          </w14:textFill>
        </w:rPr>
        <w:t>年</w:t>
      </w:r>
      <w:r>
        <w:rPr>
          <w:rFonts w:hint="eastAsia" w:ascii="宋体" w:hAnsi="宋体" w:cs="宋体"/>
          <w:color w:val="000000" w:themeColor="text1"/>
          <w:sz w:val="24"/>
          <w:shd w:val="clear" w:color="auto" w:fill="FFFFFF"/>
          <w:lang w:val="en-US" w:eastAsia="zh-CN"/>
          <w14:textFill>
            <w14:solidFill>
              <w14:schemeClr w14:val="tx1"/>
            </w14:solidFill>
          </w14:textFill>
        </w:rPr>
        <w:t>9</w:t>
      </w:r>
      <w:r>
        <w:rPr>
          <w:rFonts w:hint="eastAsia" w:ascii="宋体" w:hAnsi="宋体" w:cs="宋体"/>
          <w:color w:val="000000" w:themeColor="text1"/>
          <w:sz w:val="24"/>
          <w:shd w:val="clear" w:color="auto" w:fill="FFFFFF"/>
          <w14:textFill>
            <w14:solidFill>
              <w14:schemeClr w14:val="tx1"/>
            </w14:solidFill>
          </w14:textFill>
        </w:rPr>
        <w:t>月</w:t>
      </w:r>
      <w:r>
        <w:rPr>
          <w:rFonts w:hint="eastAsia" w:ascii="宋体" w:hAnsi="宋体" w:cs="宋体"/>
          <w:color w:val="000000" w:themeColor="text1"/>
          <w:sz w:val="24"/>
          <w:shd w:val="clear" w:color="auto" w:fill="FFFFFF"/>
          <w:lang w:val="en-US" w:eastAsia="zh-CN"/>
          <w14:textFill>
            <w14:solidFill>
              <w14:schemeClr w14:val="tx1"/>
            </w14:solidFill>
          </w14:textFill>
        </w:rPr>
        <w:t>15</w:t>
      </w:r>
      <w:r>
        <w:rPr>
          <w:rFonts w:hint="eastAsia" w:ascii="宋体" w:hAnsi="宋体" w:cs="宋体"/>
          <w:color w:val="000000" w:themeColor="text1"/>
          <w:sz w:val="24"/>
          <w:shd w:val="clear" w:color="auto" w:fill="FFFFFF"/>
          <w14:textFill>
            <w14:solidFill>
              <w14:schemeClr w14:val="tx1"/>
            </w14:solidFill>
          </w14:textFill>
        </w:rPr>
        <w:t>日09:00至20</w:t>
      </w:r>
      <w:r>
        <w:rPr>
          <w:rFonts w:hint="eastAsia" w:ascii="宋体" w:hAnsi="宋体" w:cs="宋体"/>
          <w:color w:val="000000" w:themeColor="text1"/>
          <w:sz w:val="24"/>
          <w:shd w:val="clear" w:color="auto" w:fill="FFFFFF"/>
          <w:lang w:val="en-US" w:eastAsia="zh-CN"/>
          <w14:textFill>
            <w14:solidFill>
              <w14:schemeClr w14:val="tx1"/>
            </w14:solidFill>
          </w14:textFill>
        </w:rPr>
        <w:t>20</w:t>
      </w:r>
      <w:r>
        <w:rPr>
          <w:rFonts w:hint="eastAsia" w:ascii="宋体" w:hAnsi="宋体" w:cs="宋体"/>
          <w:color w:val="000000" w:themeColor="text1"/>
          <w:sz w:val="24"/>
          <w:shd w:val="clear" w:color="auto" w:fill="FFFFFF"/>
          <w14:textFill>
            <w14:solidFill>
              <w14:schemeClr w14:val="tx1"/>
            </w14:solidFill>
          </w14:textFill>
        </w:rPr>
        <w:t>年</w:t>
      </w:r>
      <w:r>
        <w:rPr>
          <w:rFonts w:hint="eastAsia" w:ascii="宋体" w:hAnsi="宋体" w:cs="宋体"/>
          <w:color w:val="000000" w:themeColor="text1"/>
          <w:sz w:val="24"/>
          <w:shd w:val="clear" w:color="auto" w:fill="FFFFFF"/>
          <w:lang w:val="en-US" w:eastAsia="zh-CN"/>
          <w14:textFill>
            <w14:solidFill>
              <w14:schemeClr w14:val="tx1"/>
            </w14:solidFill>
          </w14:textFill>
        </w:rPr>
        <w:t>9</w:t>
      </w:r>
      <w:r>
        <w:rPr>
          <w:rFonts w:hint="eastAsia" w:ascii="宋体" w:hAnsi="宋体" w:cs="宋体"/>
          <w:color w:val="000000" w:themeColor="text1"/>
          <w:sz w:val="24"/>
          <w:shd w:val="clear" w:color="auto" w:fill="FFFFFF"/>
          <w14:textFill>
            <w14:solidFill>
              <w14:schemeClr w14:val="tx1"/>
            </w14:solidFill>
          </w14:textFill>
        </w:rPr>
        <w:t>月</w:t>
      </w:r>
      <w:r>
        <w:rPr>
          <w:rFonts w:hint="eastAsia" w:ascii="宋体" w:hAnsi="宋体" w:cs="宋体"/>
          <w:color w:val="000000" w:themeColor="text1"/>
          <w:sz w:val="24"/>
          <w:shd w:val="clear" w:color="auto" w:fill="FFFFFF"/>
          <w:lang w:val="en-US" w:eastAsia="zh-CN"/>
          <w14:textFill>
            <w14:solidFill>
              <w14:schemeClr w14:val="tx1"/>
            </w14:solidFill>
          </w14:textFill>
        </w:rPr>
        <w:t>17</w:t>
      </w:r>
      <w:r>
        <w:rPr>
          <w:rFonts w:hint="eastAsia" w:ascii="宋体" w:hAnsi="宋体" w:cs="宋体"/>
          <w:color w:val="000000" w:themeColor="text1"/>
          <w:sz w:val="24"/>
          <w:shd w:val="clear" w:color="auto" w:fill="FFFFFF"/>
          <w14:textFill>
            <w14:solidFill>
              <w14:schemeClr w14:val="tx1"/>
            </w14:solidFill>
          </w14:textFill>
        </w:rPr>
        <w:t>日17:00</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、报名地点：</w:t>
      </w:r>
      <w:r>
        <w:rPr>
          <w:rFonts w:hint="eastAsia" w:ascii="宋体" w:hAnsi="宋体"/>
          <w:color w:val="000000" w:themeColor="text1"/>
          <w:sz w:val="24"/>
          <w14:textFill>
            <w14:solidFill>
              <w14:schemeClr w14:val="tx1"/>
            </w14:solidFill>
          </w14:textFill>
        </w:rPr>
        <w:t>铜仁市公共资源交易中心官方网址（</w:t>
      </w:r>
      <w:r>
        <w:rPr>
          <w:rFonts w:hint="eastAsia" w:ascii="宋体" w:hAnsi="宋体"/>
          <w:color w:val="000000" w:themeColor="text1"/>
          <w:sz w:val="24"/>
          <w:lang w:eastAsia="zh-CN"/>
          <w14:textFill>
            <w14:solidFill>
              <w14:schemeClr w14:val="tx1"/>
            </w14:solidFill>
          </w14:textFill>
        </w:rPr>
        <w:t>jyzx.trs.gov.cn</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有效期：</w:t>
      </w:r>
      <w:r>
        <w:rPr>
          <w:rFonts w:hint="eastAsia" w:ascii="宋体" w:hAnsi="宋体"/>
          <w:b/>
          <w:color w:val="000000" w:themeColor="text1"/>
          <w:sz w:val="24"/>
          <w:lang w:eastAsia="zh-CN"/>
          <w14:textFill>
            <w14:solidFill>
              <w14:schemeClr w14:val="tx1"/>
            </w14:solidFill>
          </w14:textFill>
        </w:rPr>
        <w:t>响应文件提交</w:t>
      </w:r>
      <w:r>
        <w:rPr>
          <w:rFonts w:hint="eastAsia" w:ascii="宋体" w:hAnsi="宋体"/>
          <w:b/>
          <w:color w:val="000000" w:themeColor="text1"/>
          <w:sz w:val="24"/>
          <w14:textFill>
            <w14:solidFill>
              <w14:schemeClr w14:val="tx1"/>
            </w14:solidFill>
          </w14:textFill>
        </w:rPr>
        <w:t>截止日算起，30</w:t>
      </w:r>
      <w:r>
        <w:rPr>
          <w:rFonts w:hint="eastAsia" w:ascii="宋体" w:hAnsi="宋体"/>
          <w:b/>
          <w:color w:val="000000" w:themeColor="text1"/>
          <w:sz w:val="24"/>
          <w:lang w:eastAsia="zh-CN"/>
          <w14:textFill>
            <w14:solidFill>
              <w14:schemeClr w14:val="tx1"/>
            </w14:solidFill>
          </w14:textFill>
        </w:rPr>
        <w:t>日历天</w:t>
      </w:r>
      <w:r>
        <w:rPr>
          <w:rFonts w:hint="eastAsia" w:ascii="宋体" w:hAnsi="宋体"/>
          <w:b/>
          <w:color w:val="000000" w:themeColor="text1"/>
          <w:sz w:val="24"/>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7</w:t>
      </w:r>
      <w:r>
        <w:rPr>
          <w:rFonts w:hint="eastAsia" w:hAnsi="宋体"/>
          <w:b/>
          <w:color w:val="000000" w:themeColor="text1"/>
          <w:sz w:val="24"/>
          <w:szCs w:val="24"/>
          <w14:textFill>
            <w14:solidFill>
              <w14:schemeClr w14:val="tx1"/>
            </w14:solidFill>
          </w14:textFill>
        </w:rPr>
        <w:t>、本项目</w:t>
      </w:r>
      <w:r>
        <w:rPr>
          <w:rFonts w:hint="eastAsia" w:hAnsi="宋体"/>
          <w:b/>
          <w:color w:val="000000" w:themeColor="text1"/>
          <w:sz w:val="24"/>
          <w:szCs w:val="24"/>
          <w:u w:val="single"/>
          <w14:textFill>
            <w14:solidFill>
              <w14:schemeClr w14:val="tx1"/>
            </w14:solidFill>
          </w14:textFill>
        </w:rPr>
        <w:t>不接受</w:t>
      </w:r>
      <w:r>
        <w:rPr>
          <w:rFonts w:hint="eastAsia" w:hAnsi="宋体"/>
          <w:b/>
          <w:color w:val="000000" w:themeColor="text1"/>
          <w:sz w:val="24"/>
          <w:szCs w:val="24"/>
          <w14:textFill>
            <w14:solidFill>
              <w14:schemeClr w14:val="tx1"/>
            </w14:solidFill>
          </w14:textFill>
        </w:rPr>
        <w:t>联合体。</w:t>
      </w:r>
    </w:p>
    <w:p>
      <w:pPr>
        <w:pStyle w:val="11"/>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8</w:t>
      </w:r>
      <w:r>
        <w:rPr>
          <w:rFonts w:hint="eastAsia" w:hAnsi="宋体"/>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购买招标文件地点及联系方式</w:t>
      </w:r>
    </w:p>
    <w:p>
      <w:pPr>
        <w:pStyle w:val="11"/>
        <w:keepNext w:val="0"/>
        <w:keepLines w:val="0"/>
        <w:pageBreakBefore w:val="0"/>
        <w:widowControl w:val="0"/>
        <w:kinsoku/>
        <w:wordWrap/>
        <w:overflowPunct/>
        <w:topLinePunct w:val="0"/>
        <w:autoSpaceDE/>
        <w:autoSpaceDN/>
        <w:bidi w:val="0"/>
        <w:spacing w:line="560" w:lineRule="exact"/>
        <w:ind w:firstLine="840" w:firstLineChars="35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地址：铜仁市公共资源交易中心官方网址（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"http://www.trjyzx.cn" </w:instrText>
      </w:r>
      <w:r>
        <w:rPr>
          <w:color w:val="000000" w:themeColor="text1"/>
          <w14:textFill>
            <w14:solidFill>
              <w14:schemeClr w14:val="tx1"/>
            </w14:solidFill>
          </w14:textFill>
        </w:rPr>
        <w:fldChar w:fldCharType="separate"/>
      </w:r>
      <w:r>
        <w:rPr>
          <w:rStyle w:val="24"/>
          <w:rFonts w:hint="eastAsia"/>
          <w:color w:val="000000" w:themeColor="text1"/>
          <w:sz w:val="24"/>
          <w:szCs w:val="24"/>
          <w:lang w:eastAsia="zh-CN"/>
          <w14:textFill>
            <w14:solidFill>
              <w14:schemeClr w14:val="tx1"/>
            </w14:solidFill>
          </w14:textFill>
        </w:rPr>
        <w:t>jyzx.trs.gov.cn</w:t>
      </w:r>
      <w:r>
        <w:rPr>
          <w:rStyle w:val="24"/>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spacing w:line="560" w:lineRule="exact"/>
        <w:ind w:firstLine="840" w:firstLineChars="350"/>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auto"/>
          <w:sz w:val="24"/>
          <w:szCs w:val="24"/>
          <w:lang w:val="en-US" w:eastAsia="zh-CN"/>
        </w:rPr>
        <w:t xml:space="preserve"> 0856-3912922</w:t>
      </w:r>
    </w:p>
    <w:p>
      <w:pPr>
        <w:pStyle w:val="11"/>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color w:val="000000" w:themeColor="text1"/>
          <w:sz w:val="24"/>
          <w:szCs w:val="24"/>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9</w:t>
      </w:r>
      <w:r>
        <w:rPr>
          <w:rFonts w:hint="eastAsia" w:hAnsi="宋体"/>
          <w:b/>
          <w:color w:val="000000" w:themeColor="text1"/>
          <w:sz w:val="24"/>
          <w:szCs w:val="24"/>
          <w14:textFill>
            <w14:solidFill>
              <w14:schemeClr w14:val="tx1"/>
            </w14:solidFill>
          </w14:textFill>
        </w:rPr>
        <w:t>、招标文件售价</w:t>
      </w:r>
      <w:r>
        <w:rPr>
          <w:rFonts w:hint="eastAsia" w:hAnsi="宋体"/>
          <w:color w:val="000000" w:themeColor="text1"/>
          <w:sz w:val="24"/>
          <w:szCs w:val="24"/>
          <w14:textFill>
            <w14:solidFill>
              <w14:schemeClr w14:val="tx1"/>
            </w14:solidFill>
          </w14:textFill>
        </w:rPr>
        <w:t>（招标文件售后不退）</w:t>
      </w:r>
      <w:r>
        <w:rPr>
          <w:rFonts w:hint="eastAsia" w:hAnsi="宋体"/>
          <w:b/>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人民币</w:t>
      </w:r>
      <w:r>
        <w:rPr>
          <w:rFonts w:hint="eastAsia" w:hAnsi="宋体"/>
          <w:color w:val="000000" w:themeColor="text1"/>
          <w:sz w:val="24"/>
          <w:szCs w:val="24"/>
          <w:lang w:val="en-US" w:eastAsia="zh-CN"/>
          <w14:textFill>
            <w14:solidFill>
              <w14:schemeClr w14:val="tx1"/>
            </w14:solidFill>
          </w14:textFill>
        </w:rPr>
        <w:t>300</w:t>
      </w:r>
      <w:r>
        <w:rPr>
          <w:rFonts w:hint="eastAsia" w:hAnsi="宋体"/>
          <w:color w:val="000000" w:themeColor="text1"/>
          <w:sz w:val="24"/>
          <w:szCs w:val="24"/>
          <w14:textFill>
            <w14:solidFill>
              <w14:schemeClr w14:val="tx1"/>
            </w14:solidFill>
          </w14:textFill>
        </w:rPr>
        <w:t>.00元/套</w:t>
      </w: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注：</w:t>
      </w:r>
      <w:r>
        <w:rPr>
          <w:rFonts w:hint="eastAsia" w:asciiTheme="majorEastAsia" w:hAnsiTheme="majorEastAsia" w:eastAsiaTheme="majorEastAsia" w:cstheme="majorEastAsia"/>
          <w:color w:val="000000" w:themeColor="text1"/>
          <w:sz w:val="24"/>
          <w:szCs w:val="24"/>
          <w14:textFill>
            <w14:solidFill>
              <w14:schemeClr w14:val="tx1"/>
            </w14:solidFill>
          </w14:textFill>
        </w:rPr>
        <w:t>投标人应随时登录贵州省政府采</w:t>
      </w:r>
      <w:r>
        <w:rPr>
          <w:rFonts w:hint="eastAsia" w:asciiTheme="minorEastAsia" w:hAnsiTheme="minorEastAsia" w:cstheme="minorEastAsia"/>
          <w:color w:val="000000" w:themeColor="text1"/>
          <w:sz w:val="24"/>
          <w:szCs w:val="24"/>
          <w14:textFill>
            <w14:solidFill>
              <w14:schemeClr w14:val="tx1"/>
            </w14:solidFill>
          </w14:textFill>
        </w:rPr>
        <w:t>（http://www.ccgp-guizhou.gov.cn/ ）或铜仁市公共资源交易中心网（</w:t>
      </w:r>
      <w:r>
        <w:rPr>
          <w:rFonts w:hint="eastAsia" w:asciiTheme="minorEastAsia" w:hAnsiTheme="minorEastAsia" w:cstheme="minorEastAsia"/>
          <w:color w:val="000000" w:themeColor="text1"/>
          <w:sz w:val="24"/>
          <w:szCs w:val="24"/>
          <w:lang w:eastAsia="zh-CN"/>
          <w14:textFill>
            <w14:solidFill>
              <w14:schemeClr w14:val="tx1"/>
            </w14:solidFill>
          </w14:textFill>
        </w:rPr>
        <w:t>jyzx.trs.gov.cn</w:t>
      </w:r>
      <w:r>
        <w:rPr>
          <w:rFonts w:hint="eastAsia" w:asciiTheme="minorEastAsia" w:hAnsiTheme="minorEastAsia" w:cstheme="minorEastAsia"/>
          <w:color w:val="000000" w:themeColor="text1"/>
          <w:sz w:val="24"/>
          <w:szCs w:val="24"/>
          <w14:textFill>
            <w14:solidFill>
              <w14:schemeClr w14:val="tx1"/>
            </w14:solidFill>
          </w14:textFill>
        </w:rPr>
        <w:t>）“交易平台”查看、处理采购人发出的文件澄清、补充、更正等通知内容，如因投标人未及时上网查询导致的后果，由投标人自己承担。</w:t>
      </w:r>
    </w:p>
    <w:p>
      <w:pPr>
        <w:spacing w:line="560" w:lineRule="exact"/>
        <w:ind w:firstLine="241" w:firstLineChars="100"/>
        <w:rPr>
          <w:rFonts w:hint="eastAsia" w:ascii="宋体" w:hAnsi="宋体" w:eastAsiaTheme="minorEastAsia" w:cstheme="minorBidi"/>
          <w:b/>
          <w:color w:val="000000" w:themeColor="text1"/>
          <w:kern w:val="0"/>
          <w:sz w:val="24"/>
          <w:szCs w:val="24"/>
          <w:lang w:val="en-US" w:eastAsia="zh-CN" w:bidi="ar-SA"/>
          <w14:textFill>
            <w14:solidFill>
              <w14:schemeClr w14:val="tx1"/>
            </w14:solidFill>
          </w14:textFill>
        </w:rPr>
      </w:pPr>
      <w:r>
        <w:rPr>
          <w:rFonts w:hint="eastAsia" w:ascii="宋体" w:hAnsi="宋体" w:cstheme="minorBidi"/>
          <w:b/>
          <w:color w:val="000000" w:themeColor="text1"/>
          <w:kern w:val="0"/>
          <w:sz w:val="24"/>
          <w:szCs w:val="24"/>
          <w:lang w:val="en-US" w:eastAsia="zh-CN" w:bidi="ar-SA"/>
          <w14:textFill>
            <w14:solidFill>
              <w14:schemeClr w14:val="tx1"/>
            </w14:solidFill>
          </w14:textFill>
        </w:rPr>
        <w:t>10</w:t>
      </w:r>
      <w:r>
        <w:rPr>
          <w:rFonts w:hint="eastAsia" w:ascii="宋体" w:hAnsi="宋体" w:eastAsiaTheme="minorEastAsia" w:cstheme="minorBidi"/>
          <w:b/>
          <w:color w:val="000000" w:themeColor="text1"/>
          <w:kern w:val="0"/>
          <w:sz w:val="24"/>
          <w:szCs w:val="24"/>
          <w:lang w:val="en-US" w:eastAsia="zh-CN" w:bidi="ar-SA"/>
          <w14:textFill>
            <w14:solidFill>
              <w14:schemeClr w14:val="tx1"/>
            </w14:solidFill>
          </w14:textFill>
        </w:rPr>
        <w:t>、供应商资格要求：</w:t>
      </w:r>
    </w:p>
    <w:p>
      <w:pPr>
        <w:pStyle w:val="9"/>
        <w:keepNext w:val="0"/>
        <w:keepLines w:val="0"/>
        <w:pageBreakBefore w:val="0"/>
        <w:widowControl w:val="0"/>
        <w:kinsoku/>
        <w:wordWrap/>
        <w:overflowPunct/>
        <w:topLinePunct w:val="0"/>
        <w:autoSpaceDE/>
        <w:autoSpaceDN/>
        <w:bidi w:val="0"/>
        <w:spacing w:line="560" w:lineRule="exact"/>
        <w:ind w:firstLine="720" w:firstLineChars="300"/>
        <w:textAlignment w:val="auto"/>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一般资格要求：</w:t>
      </w:r>
    </w:p>
    <w:p>
      <w:pPr>
        <w:pStyle w:val="2"/>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谈判响应供应商应具备符合《中华人民共和国政府采购法》第 22 条和《中华人民共和国政府采购法实施条例》第 17 条的条件：</w:t>
      </w:r>
    </w:p>
    <w:p>
      <w:pPr>
        <w:pStyle w:val="2"/>
        <w:ind w:firstLine="480" w:firstLineChars="200"/>
        <w:rPr>
          <w:color w:val="auto"/>
        </w:rPr>
      </w:pPr>
      <w:r>
        <w:rPr>
          <w:rFonts w:hint="eastAsia" w:hAnsi="宋体"/>
          <w:color w:val="auto"/>
          <w:sz w:val="24"/>
          <w:szCs w:val="24"/>
        </w:rPr>
        <w:t>①</w:t>
      </w:r>
      <w:r>
        <w:rPr>
          <w:rFonts w:hint="eastAsia" w:ascii="宋体" w:hAnsi="宋体" w:cs="宋体"/>
          <w:color w:val="auto"/>
          <w:kern w:val="0"/>
          <w:sz w:val="24"/>
          <w:szCs w:val="24"/>
        </w:rPr>
        <w:t>有效的</w:t>
      </w:r>
      <w:r>
        <w:rPr>
          <w:rFonts w:hint="eastAsia" w:ascii="宋体" w:hAnsi="宋体" w:cs="宋体"/>
          <w:color w:val="auto"/>
          <w:sz w:val="24"/>
        </w:rPr>
        <w:t>营业执照</w:t>
      </w:r>
      <w:r>
        <w:rPr>
          <w:rFonts w:hint="eastAsia" w:ascii="宋体" w:hAnsi="宋体" w:cs="宋体"/>
          <w:color w:val="auto"/>
          <w:kern w:val="0"/>
          <w:sz w:val="24"/>
          <w:szCs w:val="24"/>
        </w:rPr>
        <w:t>（三证合一）</w:t>
      </w:r>
    </w:p>
    <w:p>
      <w:pPr>
        <w:pStyle w:val="11"/>
        <w:keepNext w:val="0"/>
        <w:keepLines w:val="0"/>
        <w:pageBreakBefore w:val="0"/>
        <w:widowControl w:val="0"/>
        <w:kinsoku/>
        <w:wordWrap/>
        <w:overflowPunct/>
        <w:topLinePunct w:val="0"/>
        <w:autoSpaceDE/>
        <w:autoSpaceDN/>
        <w:bidi w:val="0"/>
        <w:spacing w:line="560" w:lineRule="exact"/>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hAnsi="宋体" w:cs="宋体"/>
          <w:bCs/>
          <w:color w:val="auto"/>
          <w:sz w:val="24"/>
          <w:szCs w:val="24"/>
          <w:lang w:eastAsia="zh-CN"/>
        </w:rPr>
        <w:t>②</w:t>
      </w:r>
      <w:r>
        <w:rPr>
          <w:rFonts w:hint="eastAsia" w:ascii="宋体" w:hAnsi="宋体" w:eastAsia="宋体" w:cs="宋体"/>
          <w:color w:val="auto"/>
          <w:kern w:val="2"/>
          <w:sz w:val="24"/>
          <w:szCs w:val="24"/>
          <w:lang w:val="en-US" w:eastAsia="zh-CN" w:bidi="ar-SA"/>
        </w:rPr>
        <w:t>具有良好的商业信誉和健全的财务会计制度：</w:t>
      </w:r>
    </w:p>
    <w:p>
      <w:pPr>
        <w:pStyle w:val="17"/>
        <w:spacing w:before="0" w:beforeAutospacing="0" w:after="0" w:afterAutospacing="0" w:line="360" w:lineRule="auto"/>
        <w:ind w:firstLine="480" w:firstLineChars="200"/>
        <w:jc w:val="both"/>
        <w:rPr>
          <w:rFonts w:ascii="宋体" w:hAnsi="宋体"/>
          <w:color w:val="auto"/>
          <w:sz w:val="24"/>
        </w:rPr>
      </w:pPr>
      <w:r>
        <w:rPr>
          <w:rFonts w:hint="eastAsia"/>
          <w:color w:val="auto"/>
        </w:rPr>
        <w:t>具体要求：提供</w:t>
      </w:r>
      <w:r>
        <w:rPr>
          <w:rFonts w:hint="eastAsia"/>
          <w:color w:val="auto"/>
          <w:lang w:eastAsia="zh-CN"/>
        </w:rPr>
        <w:t>近半年任意三个月的财务报表，</w:t>
      </w:r>
      <w:r>
        <w:rPr>
          <w:rFonts w:hint="eastAsia"/>
          <w:color w:val="auto"/>
        </w:rPr>
        <w:t>企业提供的财务报表（含资产负债表、利润及利润分配表、现金流量表和财务报表附注）；（新成立</w:t>
      </w:r>
      <w:r>
        <w:rPr>
          <w:rFonts w:hint="eastAsia"/>
          <w:color w:val="auto"/>
          <w:lang w:eastAsia="zh-CN"/>
        </w:rPr>
        <w:t>未满一年</w:t>
      </w:r>
      <w:r>
        <w:rPr>
          <w:rFonts w:hint="eastAsia"/>
          <w:color w:val="auto"/>
        </w:rPr>
        <w:t>的</w:t>
      </w:r>
      <w:r>
        <w:rPr>
          <w:rFonts w:hint="eastAsia"/>
          <w:color w:val="auto"/>
          <w:lang w:eastAsia="zh-CN"/>
        </w:rPr>
        <w:t>供应商</w:t>
      </w:r>
      <w:r>
        <w:rPr>
          <w:rFonts w:hint="eastAsia"/>
          <w:color w:val="auto"/>
          <w:lang w:val="en-US" w:eastAsia="zh-CN"/>
        </w:rPr>
        <w:t>提供银行资信证明，</w:t>
      </w:r>
      <w:r>
        <w:rPr>
          <w:rFonts w:hint="eastAsia" w:ascii="Calibri" w:hAnsi="Calibri" w:eastAsia="宋体" w:cs="Times New Roman"/>
          <w:color w:val="auto"/>
          <w:kern w:val="2"/>
          <w:sz w:val="24"/>
          <w:szCs w:val="24"/>
          <w:lang w:val="en-US" w:eastAsia="zh-CN" w:bidi="ar-SA"/>
        </w:rPr>
        <w:t>新成立不足一个月的公司可以不提供</w:t>
      </w:r>
      <w:r>
        <w:rPr>
          <w:rFonts w:hint="eastAsia"/>
          <w:color w:val="auto"/>
        </w:rPr>
        <w:t>）；</w:t>
      </w:r>
    </w:p>
    <w:p>
      <w:pPr>
        <w:pStyle w:val="2"/>
        <w:spacing w:line="364" w:lineRule="auto"/>
        <w:ind w:right="315" w:firstLine="480" w:firstLineChars="2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③具有履行合同所必需的设备和专业技术能力：提供具备履行合同所必需的设备和专业技术能力的承诺函（格式自拟）；</w:t>
      </w:r>
    </w:p>
    <w:p>
      <w:pPr>
        <w:pStyle w:val="11"/>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jc w:val="left"/>
        <w:textAlignment w:val="auto"/>
        <w:outlineLvl w:val="0"/>
        <w:rPr>
          <w:rFonts w:hint="eastAsia" w:ascii="Calibri" w:hAnsi="Calibri" w:eastAsia="宋体" w:cs="Times New Roman"/>
          <w:color w:val="auto"/>
          <w:kern w:val="2"/>
          <w:sz w:val="24"/>
          <w:szCs w:val="24"/>
          <w:lang w:val="en-US" w:eastAsia="zh-CN" w:bidi="ar-SA"/>
        </w:rPr>
      </w:pPr>
      <w:r>
        <w:rPr>
          <w:rFonts w:hint="eastAsia" w:ascii="宋体" w:hAnsi="宋体" w:cs="宋体"/>
          <w:color w:val="000000" w:themeColor="text1"/>
          <w:sz w:val="24"/>
          <w:shd w:val="clear" w:color="auto" w:fill="FFFFFF"/>
          <w:lang w:eastAsia="zh-CN"/>
          <w14:textFill>
            <w14:solidFill>
              <w14:schemeClr w14:val="tx1"/>
            </w14:solidFill>
          </w14:textFill>
        </w:rPr>
        <w:t>④</w:t>
      </w:r>
      <w:r>
        <w:rPr>
          <w:rFonts w:hint="eastAsia" w:ascii="Calibri" w:hAnsi="Calibri" w:eastAsia="宋体" w:cs="Times New Roman"/>
          <w:color w:val="auto"/>
          <w:kern w:val="2"/>
          <w:sz w:val="24"/>
          <w:szCs w:val="24"/>
          <w:lang w:val="en-US" w:eastAsia="zh-CN" w:bidi="ar-SA"/>
        </w:rPr>
        <w:t>具有依法缴纳税收和社会保障资金的良好记录。</w:t>
      </w:r>
    </w:p>
    <w:p>
      <w:pPr>
        <w:pStyle w:val="11"/>
        <w:spacing w:line="560" w:lineRule="exact"/>
        <w:ind w:firstLine="240" w:firstLineChars="1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具体要求：提供近半年任意三个月依法缴纳税收及社保的有效证明材料，新成立不足一个月的公司纳税，社保可以不提供；</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ascii="宋体" w:hAnsi="宋体" w:cs="宋体"/>
          <w:color w:val="000000" w:themeColor="text1"/>
          <w:sz w:val="24"/>
          <w:shd w:val="clear" w:color="auto" w:fill="FFFFFF"/>
          <w:lang w:eastAsia="zh-CN"/>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⑤参加本次政府采购活动前三年内，在经营活动中没有违法违规记录：提供参加政府采购活动前 3 年内在经营活动中没有重大违法记录的书面声明（</w:t>
      </w:r>
      <w:r>
        <w:rPr>
          <w:rFonts w:hint="eastAsia" w:hAnsi="宋体" w:cs="宋体"/>
          <w:color w:val="000000" w:themeColor="text1"/>
          <w:sz w:val="24"/>
          <w:shd w:val="clear" w:color="auto" w:fill="FFFFFF"/>
          <w:lang w:eastAsia="zh-CN"/>
          <w14:textFill>
            <w14:solidFill>
              <w14:schemeClr w14:val="tx1"/>
            </w14:solidFill>
          </w14:textFill>
        </w:rPr>
        <w:t>格式自拟</w:t>
      </w:r>
      <w:r>
        <w:rPr>
          <w:rFonts w:hint="eastAsia" w:ascii="宋体" w:hAnsi="宋体" w:cs="宋体"/>
          <w:color w:val="000000" w:themeColor="text1"/>
          <w:sz w:val="24"/>
          <w:shd w:val="clear" w:color="auto" w:fill="FFFFFF"/>
          <w:lang w:eastAsia="zh-CN"/>
          <w14:textFill>
            <w14:solidFill>
              <w14:schemeClr w14:val="tx1"/>
            </w14:solidFill>
          </w14:textFill>
        </w:rPr>
        <w:t>）；</w:t>
      </w:r>
    </w:p>
    <w:p>
      <w:pPr>
        <w:pStyle w:val="2"/>
        <w:spacing w:before="73" w:line="312" w:lineRule="auto"/>
        <w:ind w:right="315" w:firstLine="480" w:firstLineChars="200"/>
        <w:jc w:val="both"/>
        <w:rPr>
          <w:rFonts w:hint="eastAsia" w:ascii="宋体" w:hAnsi="宋体" w:cs="宋体" w:eastAsiaTheme="minorEastAsia"/>
          <w:color w:val="auto"/>
          <w:kern w:val="0"/>
          <w:sz w:val="24"/>
          <w:szCs w:val="20"/>
          <w:shd w:val="clear" w:color="auto" w:fill="FFFFFF"/>
          <w:lang w:val="en-US" w:eastAsia="zh-CN" w:bidi="ar-SA"/>
        </w:rPr>
      </w:pP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⑥供应商不得为“信用中国”网站（</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begin"/>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instrText xml:space="preserve"> HYPERLINK "http://www.creditchina.gov.cn/" </w:instrTex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separate"/>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www.creditchina.gov.cn</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end"/>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），政府采购严重违法失信行为记录名单（</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begin"/>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instrText xml:space="preserve"> HYPERLINK "http://www.ccgp.gov.cn/search/cr/" </w:instrTex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separate"/>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http://www.ccgp.gov.cn/search/cr/</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end"/>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查询的信用记录情况（对列入失信被执行人、重大税收违法案件当事人名单、政府采购严重违法失信行为记录名单的供应商，如查询结果显示“没查到您要的信息”，视为没有上述三类不良信用记录。）查询截止时间：购买标书当日至开标前一天任一时间；信用信息查询记录和证据留存方式：投标人提供查</w:t>
      </w:r>
      <w:r>
        <w:rPr>
          <w:rFonts w:hint="eastAsia" w:ascii="宋体" w:hAnsi="宋体" w:cs="宋体" w:eastAsiaTheme="minorEastAsia"/>
          <w:color w:val="auto"/>
          <w:kern w:val="0"/>
          <w:sz w:val="24"/>
          <w:szCs w:val="20"/>
          <w:shd w:val="clear" w:color="auto" w:fill="FFFFFF"/>
          <w:lang w:val="en-US" w:eastAsia="zh-CN" w:bidi="ar-SA"/>
        </w:rPr>
        <w:t>询记录截图</w:t>
      </w:r>
      <w:r>
        <w:rPr>
          <w:rFonts w:hint="eastAsia" w:ascii="宋体" w:hAnsi="宋体" w:cs="宋体"/>
          <w:color w:val="auto"/>
          <w:kern w:val="0"/>
          <w:sz w:val="24"/>
          <w:szCs w:val="20"/>
          <w:shd w:val="clear" w:color="auto" w:fill="FFFFFF"/>
          <w:lang w:val="en-US" w:eastAsia="zh-CN" w:bidi="ar-SA"/>
        </w:rPr>
        <w:t>，如在上述名单中的供应商取消其谈判资格</w:t>
      </w:r>
      <w:r>
        <w:rPr>
          <w:rFonts w:hint="eastAsia" w:ascii="宋体" w:hAnsi="宋体" w:cs="宋体" w:eastAsiaTheme="minorEastAsia"/>
          <w:color w:val="auto"/>
          <w:kern w:val="0"/>
          <w:sz w:val="24"/>
          <w:szCs w:val="20"/>
          <w:shd w:val="clear" w:color="auto" w:fill="FFFFFF"/>
          <w:lang w:val="en-US" w:eastAsia="zh-CN" w:bidi="ar-SA"/>
        </w:rPr>
        <w:t>。</w:t>
      </w:r>
    </w:p>
    <w:p>
      <w:pPr>
        <w:pStyle w:val="11"/>
        <w:keepNext w:val="0"/>
        <w:keepLines w:val="0"/>
        <w:pageBreakBefore w:val="0"/>
        <w:widowControl w:val="0"/>
        <w:kinsoku/>
        <w:wordWrap/>
        <w:overflowPunct/>
        <w:topLinePunct w:val="0"/>
        <w:autoSpaceDE/>
        <w:autoSpaceDN/>
        <w:bidi w:val="0"/>
        <w:spacing w:line="560" w:lineRule="exact"/>
        <w:ind w:firstLine="241" w:firstLineChars="100"/>
        <w:textAlignment w:val="auto"/>
        <w:rPr>
          <w:rFonts w:hint="eastAsia" w:hAnsi="宋体" w:cs="宋体" w:eastAsiaTheme="minorEastAsia"/>
          <w:b/>
          <w:bCs w:val="0"/>
          <w:color w:val="auto"/>
          <w:sz w:val="24"/>
          <w:szCs w:val="24"/>
          <w:lang w:eastAsia="zh-CN"/>
        </w:rPr>
      </w:pPr>
      <w:r>
        <w:rPr>
          <w:rFonts w:hint="eastAsia" w:hAnsi="宋体" w:cs="宋体"/>
          <w:b/>
          <w:bCs w:val="0"/>
          <w:color w:val="auto"/>
          <w:sz w:val="24"/>
          <w:szCs w:val="24"/>
          <w:lang w:eastAsia="zh-CN"/>
        </w:rPr>
        <w:t>特殊资格要求：</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ascii="宋体" w:hAnsi="宋体" w:eastAsia="宋体" w:cs="宋体"/>
          <w:color w:val="auto"/>
          <w:sz w:val="24"/>
          <w:szCs w:val="24"/>
        </w:rPr>
      </w:pPr>
      <w:r>
        <w:rPr>
          <w:rFonts w:hint="eastAsia" w:ascii="宋体" w:hAnsi="宋体" w:cs="宋体" w:eastAsiaTheme="minorEastAsia"/>
          <w:color w:val="auto"/>
          <w:kern w:val="0"/>
          <w:sz w:val="24"/>
          <w:szCs w:val="20"/>
          <w:shd w:val="clear" w:color="auto" w:fill="FFFFFF"/>
          <w:lang w:val="en-US" w:eastAsia="zh-CN" w:bidi="ar-SA"/>
        </w:rPr>
        <w:t>⑦</w:t>
      </w:r>
      <w:r>
        <w:rPr>
          <w:rFonts w:hint="eastAsia" w:hAnsi="宋体" w:eastAsia="宋体" w:cs="宋体"/>
          <w:color w:val="auto"/>
          <w:sz w:val="24"/>
          <w:szCs w:val="24"/>
          <w:lang w:eastAsia="zh-CN"/>
        </w:rPr>
        <w:t>供应商</w:t>
      </w:r>
      <w:r>
        <w:rPr>
          <w:rFonts w:ascii="宋体" w:hAnsi="宋体" w:eastAsia="宋体" w:cs="宋体"/>
          <w:color w:val="auto"/>
          <w:sz w:val="24"/>
          <w:szCs w:val="24"/>
        </w:rPr>
        <w:t>为制造商的需提供医疗器械生产许可证，</w:t>
      </w:r>
      <w:r>
        <w:rPr>
          <w:rFonts w:hint="eastAsia" w:hAnsi="宋体" w:eastAsia="宋体" w:cs="宋体"/>
          <w:color w:val="auto"/>
          <w:sz w:val="24"/>
          <w:szCs w:val="24"/>
          <w:lang w:eastAsia="zh-CN"/>
        </w:rPr>
        <w:t>供应商</w:t>
      </w:r>
      <w:r>
        <w:rPr>
          <w:rFonts w:ascii="宋体" w:hAnsi="宋体" w:eastAsia="宋体" w:cs="宋体"/>
          <w:color w:val="auto"/>
          <w:sz w:val="24"/>
          <w:szCs w:val="24"/>
        </w:rPr>
        <w:t>为代理商的须提供医疗器械经营许可证或医疗器械经营许可备案证明；</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ascii="宋体" w:hAnsi="宋体" w:eastAsia="宋体" w:cs="宋体"/>
          <w:color w:val="auto"/>
          <w:sz w:val="24"/>
          <w:szCs w:val="24"/>
          <w:lang w:eastAsia="zh-CN"/>
        </w:rPr>
      </w:pPr>
      <w:r>
        <w:rPr>
          <w:rFonts w:hint="eastAsia" w:hAnsi="宋体" w:cs="宋体"/>
          <w:bCs/>
          <w:color w:val="auto"/>
          <w:sz w:val="24"/>
          <w:szCs w:val="24"/>
          <w:lang w:eastAsia="zh-CN"/>
        </w:rPr>
        <w:t>⑧</w:t>
      </w:r>
      <w:r>
        <w:rPr>
          <w:rFonts w:ascii="宋体" w:hAnsi="宋体" w:eastAsia="宋体" w:cs="宋体"/>
          <w:color w:val="auto"/>
          <w:sz w:val="24"/>
          <w:szCs w:val="24"/>
        </w:rPr>
        <w:t>投标产品为医疗器械的须提供医疗器械注册登记表</w:t>
      </w:r>
      <w:r>
        <w:rPr>
          <w:rFonts w:hint="eastAsia"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hAnsi="宋体" w:eastAsia="宋体" w:cs="宋体"/>
          <w:bCs/>
          <w:color w:val="auto"/>
          <w:sz w:val="24"/>
          <w:szCs w:val="24"/>
          <w:lang w:val="en-US" w:eastAsia="zh-CN"/>
        </w:rPr>
      </w:pPr>
      <w:r>
        <w:rPr>
          <w:rFonts w:hint="eastAsia" w:hAnsi="宋体" w:cs="宋体"/>
          <w:bCs/>
          <w:color w:val="auto"/>
          <w:sz w:val="24"/>
          <w:szCs w:val="24"/>
          <w:lang w:val="en-US" w:eastAsia="zh-CN"/>
        </w:rPr>
        <w:t>⑨</w:t>
      </w:r>
      <w:r>
        <w:rPr>
          <w:rFonts w:hint="eastAsia"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包</w:t>
      </w:r>
      <w:r>
        <w:rPr>
          <w:rFonts w:ascii="宋体" w:hAnsi="宋体" w:eastAsia="宋体" w:cs="宋体"/>
          <w:color w:val="auto"/>
          <w:sz w:val="24"/>
          <w:szCs w:val="24"/>
        </w:rPr>
        <w:t>还需提供CT制造商或其中国境内总代理商出具的针对本项目的销售授权书及售后服务承诺函</w:t>
      </w:r>
      <w:r>
        <w:rPr>
          <w:rFonts w:hint="eastAsia"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default" w:hAnsi="宋体" w:cs="宋体"/>
          <w:bCs/>
          <w:color w:val="auto"/>
          <w:sz w:val="24"/>
          <w:szCs w:val="24"/>
          <w:lang w:val="en-US" w:eastAsia="zh-CN"/>
        </w:rPr>
      </w:pPr>
    </w:p>
    <w:p>
      <w:pPr>
        <w:pStyle w:val="11"/>
        <w:keepNext w:val="0"/>
        <w:keepLines w:val="0"/>
        <w:pageBreakBefore w:val="0"/>
        <w:widowControl w:val="0"/>
        <w:kinsoku/>
        <w:wordWrap/>
        <w:overflowPunct/>
        <w:topLinePunct w:val="0"/>
        <w:autoSpaceDE/>
        <w:autoSpaceDN/>
        <w:bidi w:val="0"/>
        <w:spacing w:line="560" w:lineRule="exact"/>
        <w:ind w:firstLine="361" w:firstLineChars="150"/>
        <w:jc w:val="left"/>
        <w:textAlignment w:val="auto"/>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 xml:space="preserve"> </w:t>
      </w:r>
      <w:r>
        <w:rPr>
          <w:rFonts w:hint="eastAsia" w:hAnsi="宋体"/>
          <w:b/>
          <w:color w:val="000000" w:themeColor="text1"/>
          <w:sz w:val="24"/>
          <w:szCs w:val="24"/>
          <w:lang w:val="en-US" w:eastAsia="zh-CN"/>
          <w14:textFill>
            <w14:solidFill>
              <w14:schemeClr w14:val="tx1"/>
            </w14:solidFill>
          </w14:textFill>
        </w:rPr>
        <w:t>11</w:t>
      </w:r>
      <w:r>
        <w:rPr>
          <w:rFonts w:hint="eastAsia" w:hAnsi="宋体"/>
          <w:b/>
          <w:color w:val="000000" w:themeColor="text1"/>
          <w:sz w:val="24"/>
          <w:szCs w:val="24"/>
          <w14:textFill>
            <w14:solidFill>
              <w14:schemeClr w14:val="tx1"/>
            </w14:solidFill>
          </w14:textFill>
        </w:rPr>
        <w:t>、开标时须提供的</w:t>
      </w:r>
      <w:r>
        <w:rPr>
          <w:rFonts w:hint="eastAsia" w:hAnsi="宋体"/>
          <w:b/>
          <w:color w:val="000000" w:themeColor="text1"/>
          <w:sz w:val="24"/>
          <w:szCs w:val="24"/>
          <w:lang w:eastAsia="zh-CN"/>
          <w14:textFill>
            <w14:solidFill>
              <w14:schemeClr w14:val="tx1"/>
            </w14:solidFill>
          </w14:textFill>
        </w:rPr>
        <w:t>资料</w:t>
      </w:r>
      <w:r>
        <w:rPr>
          <w:rFonts w:hint="eastAsia" w:hAnsi="宋体"/>
          <w:b/>
          <w:color w:val="000000" w:themeColor="text1"/>
          <w:sz w:val="24"/>
          <w:szCs w:val="24"/>
          <w14:textFill>
            <w14:solidFill>
              <w14:schemeClr w14:val="tx1"/>
            </w14:solidFill>
          </w14:textFill>
        </w:rPr>
        <w:t>：</w:t>
      </w:r>
    </w:p>
    <w:p>
      <w:pPr>
        <w:pStyle w:val="2"/>
        <w:ind w:firstLine="720" w:firstLineChars="300"/>
        <w:rPr>
          <w:rFonts w:hint="eastAsia" w:ascii="宋体" w:hAnsi="宋体" w:cs="宋体"/>
          <w:color w:val="auto"/>
          <w:kern w:val="0"/>
          <w:sz w:val="24"/>
          <w:szCs w:val="24"/>
        </w:rPr>
      </w:pPr>
      <w:r>
        <w:rPr>
          <w:rFonts w:hint="eastAsia" w:ascii="宋体" w:hAnsi="宋体" w:eastAsiaTheme="minorEastAsia" w:cstheme="minorBidi"/>
          <w:color w:val="auto"/>
          <w:kern w:val="0"/>
          <w:sz w:val="24"/>
          <w:szCs w:val="24"/>
          <w:lang w:val="en-US" w:eastAsia="zh-CN" w:bidi="ar-SA"/>
        </w:rPr>
        <w:t>（1）有效的营</w:t>
      </w:r>
      <w:r>
        <w:rPr>
          <w:rFonts w:hint="eastAsia" w:ascii="宋体" w:hAnsi="宋体" w:cs="宋体"/>
          <w:color w:val="auto"/>
          <w:sz w:val="24"/>
        </w:rPr>
        <w:t>业执照</w:t>
      </w:r>
      <w:r>
        <w:rPr>
          <w:rFonts w:hint="eastAsia" w:ascii="宋体" w:hAnsi="宋体" w:cs="宋体"/>
          <w:color w:val="auto"/>
          <w:kern w:val="0"/>
          <w:sz w:val="24"/>
          <w:szCs w:val="24"/>
        </w:rPr>
        <w:t>（三证合一）</w:t>
      </w:r>
      <w:r>
        <w:rPr>
          <w:rFonts w:hint="eastAsia" w:hAnsi="宋体" w:cs="宋体"/>
          <w:color w:val="000000" w:themeColor="text1"/>
          <w:sz w:val="24"/>
          <w:shd w:val="clear" w:color="auto" w:fill="FFFFFF"/>
          <w:lang w:eastAsia="zh-CN"/>
          <w14:textFill>
            <w14:solidFill>
              <w14:schemeClr w14:val="tx1"/>
            </w14:solidFill>
          </w14:textFill>
        </w:rPr>
        <w:t>（复印件加盖公章）</w:t>
      </w:r>
    </w:p>
    <w:p>
      <w:pPr>
        <w:pStyle w:val="11"/>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int="eastAsia" w:hAnsi="宋体" w:cs="宋体"/>
          <w:bCs/>
          <w:color w:val="auto"/>
          <w:sz w:val="24"/>
          <w:szCs w:val="24"/>
          <w:lang w:eastAsia="zh-CN"/>
        </w:rPr>
      </w:pPr>
      <w:r>
        <w:rPr>
          <w:rFonts w:hint="eastAsia" w:hAnsi="宋体"/>
          <w:color w:val="auto"/>
          <w:sz w:val="24"/>
          <w:szCs w:val="24"/>
        </w:rPr>
        <w:t>（2）</w:t>
      </w:r>
      <w:r>
        <w:rPr>
          <w:rFonts w:hint="eastAsia" w:ascii="宋体" w:hAnsi="宋体"/>
          <w:color w:val="auto"/>
          <w:sz w:val="24"/>
        </w:rPr>
        <w:t>法定代表人出席开标会的出示</w:t>
      </w:r>
      <w:r>
        <w:rPr>
          <w:rFonts w:ascii="宋体" w:hAnsi="宋体"/>
          <w:color w:val="auto"/>
          <w:sz w:val="24"/>
        </w:rPr>
        <w:t>法定代表人身份证明及身份证原</w:t>
      </w:r>
      <w:r>
        <w:rPr>
          <w:rFonts w:hint="eastAsia" w:ascii="宋体" w:hAnsi="宋体"/>
          <w:color w:val="auto"/>
          <w:sz w:val="24"/>
        </w:rPr>
        <w:t>件；委托代理人</w:t>
      </w:r>
      <w:r>
        <w:rPr>
          <w:rFonts w:hint="eastAsia" w:hAnsi="宋体" w:cs="宋体"/>
          <w:bCs/>
          <w:color w:val="auto"/>
          <w:sz w:val="24"/>
          <w:szCs w:val="24"/>
          <w:lang w:eastAsia="zh-CN"/>
        </w:rPr>
        <w:t>出席开标会的出示授权委托书和身份证原件；</w:t>
      </w:r>
    </w:p>
    <w:p>
      <w:pPr>
        <w:pStyle w:val="11"/>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提供</w:t>
      </w:r>
      <w:r>
        <w:rPr>
          <w:rFonts w:hint="eastAsia" w:ascii="宋体" w:hAnsi="宋体"/>
          <w:color w:val="auto"/>
          <w:sz w:val="24"/>
          <w:lang w:eastAsia="zh-CN"/>
        </w:rPr>
        <w:t>近半年任意三个月的财务报表，</w:t>
      </w:r>
      <w:r>
        <w:rPr>
          <w:rFonts w:hint="eastAsia" w:ascii="宋体" w:hAnsi="宋体"/>
          <w:color w:val="auto"/>
          <w:sz w:val="24"/>
        </w:rPr>
        <w:t>企业提供的财务报表（含资产负债表、利润及利润分配表、现金流量表和财务报表附注）；（新成立的公司</w:t>
      </w:r>
      <w:r>
        <w:rPr>
          <w:rFonts w:hint="eastAsia" w:ascii="宋体" w:hAnsi="宋体"/>
          <w:color w:val="auto"/>
          <w:sz w:val="24"/>
          <w:lang w:val="en-US" w:eastAsia="zh-CN"/>
        </w:rPr>
        <w:t>提供三个月财务报表或者银行资信证明，新成立不足一个月的公司可以不提供</w:t>
      </w:r>
      <w:r>
        <w:rPr>
          <w:rFonts w:hint="eastAsia" w:ascii="宋体" w:hAnsi="宋体"/>
          <w:color w:val="auto"/>
          <w:sz w:val="24"/>
        </w:rPr>
        <w:t>）</w:t>
      </w:r>
      <w:r>
        <w:rPr>
          <w:rFonts w:hint="eastAsia" w:ascii="宋体" w:hAnsi="宋体"/>
          <w:color w:val="auto"/>
          <w:sz w:val="24"/>
          <w:lang w:eastAsia="zh-CN"/>
        </w:rPr>
        <w:t>（复印件加盖公章）</w:t>
      </w:r>
      <w:r>
        <w:rPr>
          <w:rFonts w:hint="eastAsia" w:ascii="宋体" w:hAnsi="宋体"/>
          <w:color w:val="auto"/>
          <w:sz w:val="24"/>
        </w:rPr>
        <w:t>；</w:t>
      </w:r>
    </w:p>
    <w:p>
      <w:pPr>
        <w:pStyle w:val="11"/>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int="eastAsia" w:ascii="宋体" w:hAnsi="宋体"/>
          <w:color w:val="auto"/>
          <w:sz w:val="24"/>
          <w:lang w:val="en-US" w:eastAsia="zh-CN"/>
        </w:rPr>
      </w:pPr>
      <w:r>
        <w:rPr>
          <w:rFonts w:hint="eastAsia" w:ascii="宋体" w:hAnsi="宋体"/>
          <w:color w:val="auto"/>
          <w:sz w:val="24"/>
          <w:lang w:val="en-US" w:eastAsia="zh-CN"/>
        </w:rPr>
        <w:t>（4）提供近半年任意三个月依法缴纳税收及社保的有效证明材料，新成立不足一个月的公司纳税，社保可以不提供</w:t>
      </w:r>
      <w:r>
        <w:rPr>
          <w:rFonts w:hint="eastAsia" w:ascii="宋体" w:hAnsi="宋体"/>
          <w:color w:val="auto"/>
          <w:sz w:val="24"/>
          <w:lang w:eastAsia="zh-CN"/>
        </w:rPr>
        <w:t>（复印件加盖公章）</w:t>
      </w:r>
      <w:r>
        <w:rPr>
          <w:rFonts w:hint="eastAsia" w:ascii="宋体" w:hAnsi="宋体"/>
          <w:color w:val="auto"/>
          <w:sz w:val="24"/>
          <w:lang w:val="en-US" w:eastAsia="zh-CN"/>
        </w:rPr>
        <w:t>；</w:t>
      </w:r>
    </w:p>
    <w:p>
      <w:pPr>
        <w:pStyle w:val="11"/>
        <w:keepNext w:val="0"/>
        <w:keepLines w:val="0"/>
        <w:pageBreakBefore w:val="0"/>
        <w:widowControl w:val="0"/>
        <w:kinsoku/>
        <w:wordWrap/>
        <w:overflowPunct/>
        <w:topLinePunct w:val="0"/>
        <w:autoSpaceDE/>
        <w:autoSpaceDN/>
        <w:bidi w:val="0"/>
        <w:spacing w:line="560" w:lineRule="exact"/>
        <w:ind w:firstLine="790" w:firstLineChars="328"/>
        <w:jc w:val="left"/>
        <w:textAlignment w:val="auto"/>
        <w:rPr>
          <w:rFonts w:hint="default" w:hAnsi="宋体"/>
          <w:color w:val="000000" w:themeColor="text1"/>
          <w:sz w:val="24"/>
          <w:szCs w:val="24"/>
          <w:lang w:val="en-US"/>
          <w14:textFill>
            <w14:solidFill>
              <w14:schemeClr w14:val="tx1"/>
            </w14:solidFill>
          </w14:textFill>
        </w:rPr>
      </w:pPr>
      <w:r>
        <w:rPr>
          <w:rFonts w:hint="eastAsia" w:hAnsi="宋体"/>
          <w:b/>
          <w:color w:val="000000" w:themeColor="text1"/>
          <w:sz w:val="24"/>
          <w:szCs w:val="24"/>
          <w14:textFill>
            <w14:solidFill>
              <w14:schemeClr w14:val="tx1"/>
            </w14:solidFill>
          </w14:textFill>
        </w:rPr>
        <w:t>1</w:t>
      </w:r>
      <w:r>
        <w:rPr>
          <w:rFonts w:hint="eastAsia" w:hAnsi="宋体"/>
          <w:b/>
          <w:color w:val="000000" w:themeColor="text1"/>
          <w:sz w:val="24"/>
          <w:szCs w:val="24"/>
          <w:lang w:val="en-US" w:eastAsia="zh-CN"/>
          <w14:textFill>
            <w14:solidFill>
              <w14:schemeClr w14:val="tx1"/>
            </w14:solidFill>
          </w14:textFill>
        </w:rPr>
        <w:t>2</w:t>
      </w:r>
      <w:r>
        <w:rPr>
          <w:rFonts w:hint="eastAsia" w:hAnsi="宋体"/>
          <w:b/>
          <w:color w:val="000000" w:themeColor="text1"/>
          <w:sz w:val="24"/>
          <w:szCs w:val="24"/>
          <w14:textFill>
            <w14:solidFill>
              <w14:schemeClr w14:val="tx1"/>
            </w14:solidFill>
          </w14:textFill>
        </w:rPr>
        <w:t>、</w:t>
      </w:r>
      <w:r>
        <w:rPr>
          <w:rFonts w:hint="eastAsia" w:hAnsi="宋体"/>
          <w:b/>
          <w:color w:val="000000" w:themeColor="text1"/>
          <w:sz w:val="24"/>
          <w:szCs w:val="24"/>
          <w:lang w:eastAsia="zh-CN"/>
          <w14:textFill>
            <w14:solidFill>
              <w14:schemeClr w14:val="tx1"/>
            </w14:solidFill>
          </w14:textFill>
        </w:rPr>
        <w:t>谈判</w:t>
      </w:r>
      <w:r>
        <w:rPr>
          <w:rFonts w:hint="eastAsia" w:hAnsi="宋体"/>
          <w:b/>
          <w:color w:val="000000" w:themeColor="text1"/>
          <w:sz w:val="24"/>
          <w:szCs w:val="24"/>
          <w14:textFill>
            <w14:solidFill>
              <w14:schemeClr w14:val="tx1"/>
            </w14:solidFill>
          </w14:textFill>
        </w:rPr>
        <w:t>保证金：</w:t>
      </w:r>
      <w:r>
        <w:rPr>
          <w:rFonts w:hint="eastAsia" w:hAnsi="宋体"/>
          <w:b/>
          <w:color w:val="000000" w:themeColor="text1"/>
          <w:sz w:val="24"/>
          <w:szCs w:val="24"/>
          <w:lang w:val="en-US" w:eastAsia="zh-CN"/>
          <w14:textFill>
            <w14:solidFill>
              <w14:schemeClr w14:val="tx1"/>
            </w14:solidFill>
          </w14:textFill>
        </w:rPr>
        <w:t xml:space="preserve"> </w:t>
      </w:r>
    </w:p>
    <w:p>
      <w:pPr>
        <w:spacing w:line="560" w:lineRule="exact"/>
        <w:rPr>
          <w:rFonts w:hint="eastAsia" w:ascii="宋体" w:hAnsi="宋体" w:cs="宋体"/>
          <w:color w:val="000000"/>
          <w:sz w:val="24"/>
          <w:shd w:val="clear" w:color="auto" w:fill="FFFFFF"/>
        </w:rPr>
      </w:pPr>
      <w:r>
        <w:rPr>
          <w:rFonts w:hint="eastAsia" w:hAnsi="宋体"/>
          <w:color w:val="000000" w:themeColor="text1"/>
          <w:sz w:val="24"/>
          <w:szCs w:val="24"/>
          <w14:textFill>
            <w14:solidFill>
              <w14:schemeClr w14:val="tx1"/>
            </w14:solidFill>
          </w14:textFill>
        </w:rPr>
        <w:t xml:space="preserve">  </w:t>
      </w:r>
      <w:r>
        <w:rPr>
          <w:rFonts w:hint="eastAsia" w:cs="宋体"/>
          <w:color w:val="000000"/>
          <w:sz w:val="24"/>
          <w:shd w:val="clear" w:color="auto" w:fill="FFFFFF"/>
          <w:lang w:val="en-US" w:eastAsia="zh-CN"/>
        </w:rPr>
        <w:t xml:space="preserve"> </w:t>
      </w:r>
      <w:r>
        <w:rPr>
          <w:rFonts w:hint="eastAsia" w:cs="宋体"/>
          <w:color w:val="000000"/>
          <w:sz w:val="24"/>
          <w:shd w:val="clear" w:color="auto" w:fill="FFFFFF"/>
          <w:lang w:eastAsia="zh-CN"/>
        </w:rPr>
        <w:t>谈判</w:t>
      </w:r>
      <w:r>
        <w:rPr>
          <w:rFonts w:hint="eastAsia" w:ascii="宋体" w:hAnsi="宋体" w:cs="宋体"/>
          <w:color w:val="000000"/>
          <w:sz w:val="24"/>
          <w:shd w:val="clear" w:color="auto" w:fill="FFFFFF"/>
        </w:rPr>
        <w:t>保证金交纳方式:具体缴退流程见铜仁市公共资源交易中心网站</w:t>
      </w:r>
      <w:r>
        <w:rPr>
          <w:rFonts w:hint="eastAsia" w:ascii="宋体" w:hAnsi="宋体"/>
          <w:color w:val="000000"/>
          <w:sz w:val="24"/>
        </w:rPr>
        <w:t>（http://</w:t>
      </w:r>
      <w:r>
        <w:rPr>
          <w:rFonts w:hint="eastAsia" w:ascii="宋体" w:hAnsi="宋体" w:cs="宋体"/>
          <w:color w:val="000000"/>
          <w:sz w:val="24"/>
          <w:shd w:val="clear" w:color="auto" w:fill="FFFFFF"/>
        </w:rPr>
        <w:t>jyzx.trs.gov.cn</w:t>
      </w:r>
      <w:r>
        <w:rPr>
          <w:rFonts w:hint="eastAsia" w:ascii="宋体" w:hAnsi="宋体"/>
          <w:color w:val="000000"/>
          <w:sz w:val="24"/>
        </w:rPr>
        <w:t>）</w:t>
      </w:r>
      <w:r>
        <w:rPr>
          <w:rFonts w:hint="eastAsia" w:ascii="宋体" w:hAnsi="宋体" w:cs="宋体"/>
          <w:color w:val="000000"/>
          <w:sz w:val="24"/>
          <w:shd w:val="clear" w:color="auto" w:fill="FFFFFF"/>
        </w:rPr>
        <w:t>，点击首页--办事指南，自行缴纳保证金。</w:t>
      </w:r>
    </w:p>
    <w:p>
      <w:pPr>
        <w:numPr>
          <w:ilvl w:val="0"/>
          <w:numId w:val="2"/>
        </w:numPr>
        <w:spacing w:line="560" w:lineRule="exact"/>
        <w:ind w:firstLine="240" w:firstLineChars="100"/>
        <w:rPr>
          <w:rFonts w:ascii="宋体" w:hAnsi="宋体" w:cs="宋体"/>
          <w:color w:val="auto"/>
          <w:sz w:val="24"/>
          <w:shd w:val="clear" w:color="auto" w:fill="FFFFFF"/>
        </w:rPr>
      </w:pPr>
      <w:r>
        <w:rPr>
          <w:rFonts w:hint="eastAsia" w:cs="宋体"/>
          <w:color w:val="000000"/>
          <w:sz w:val="24"/>
          <w:shd w:val="clear" w:color="auto" w:fill="FFFFFF"/>
          <w:lang w:val="en-US" w:eastAsia="zh-CN"/>
        </w:rPr>
        <w:t xml:space="preserve"> </w:t>
      </w:r>
      <w:r>
        <w:rPr>
          <w:rFonts w:hint="eastAsia" w:cs="宋体"/>
          <w:color w:val="000000"/>
          <w:sz w:val="24"/>
          <w:shd w:val="clear" w:color="auto" w:fill="FFFFFF"/>
          <w:lang w:eastAsia="zh-CN"/>
        </w:rPr>
        <w:t>谈判</w:t>
      </w:r>
      <w:r>
        <w:rPr>
          <w:rFonts w:hint="eastAsia" w:ascii="宋体" w:hAnsi="宋体" w:cs="宋体"/>
          <w:color w:val="auto"/>
          <w:sz w:val="24"/>
          <w:shd w:val="clear" w:color="auto" w:fill="FFFFFF"/>
        </w:rPr>
        <w:t>保证金额:</w:t>
      </w:r>
      <w:r>
        <w:rPr>
          <w:rFonts w:hint="eastAsia" w:ascii="宋体" w:hAnsi="宋体" w:cs="宋体"/>
          <w:color w:val="auto"/>
          <w:sz w:val="24"/>
          <w:shd w:val="clear" w:color="auto" w:fill="FFFFFF"/>
          <w:lang w:eastAsia="zh-CN"/>
        </w:rPr>
        <w:t>一包：</w:t>
      </w:r>
      <w:r>
        <w:rPr>
          <w:rFonts w:hint="eastAsia" w:cs="宋体"/>
          <w:color w:val="auto"/>
          <w:sz w:val="24"/>
          <w:shd w:val="clear" w:color="auto" w:fill="FFFFFF"/>
          <w:lang w:val="en-US" w:eastAsia="zh-CN"/>
        </w:rPr>
        <w:t>10000.00</w:t>
      </w:r>
      <w:r>
        <w:rPr>
          <w:rFonts w:hint="eastAsia" w:ascii="宋体" w:hAnsi="宋体"/>
          <w:bCs/>
          <w:color w:val="auto"/>
          <w:sz w:val="24"/>
        </w:rPr>
        <w:t>元。</w:t>
      </w:r>
      <w:r>
        <w:rPr>
          <w:rFonts w:hint="eastAsia" w:ascii="宋体" w:hAnsi="宋体"/>
          <w:bCs/>
          <w:color w:val="auto"/>
          <w:sz w:val="24"/>
          <w:lang w:val="en-US" w:eastAsia="zh-CN"/>
        </w:rPr>
        <w:t>2包：5000.00元</w:t>
      </w:r>
    </w:p>
    <w:p>
      <w:pPr>
        <w:spacing w:line="560" w:lineRule="exact"/>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 xml:space="preserve">  （2）</w:t>
      </w:r>
      <w:r>
        <w:rPr>
          <w:rFonts w:hint="eastAsia" w:cs="宋体"/>
          <w:color w:val="000000"/>
          <w:sz w:val="24"/>
          <w:shd w:val="clear" w:color="auto" w:fill="FFFFFF"/>
          <w:lang w:val="en-US" w:eastAsia="zh-CN"/>
        </w:rPr>
        <w:t xml:space="preserve"> </w:t>
      </w:r>
      <w:r>
        <w:rPr>
          <w:rFonts w:hint="eastAsia" w:cs="宋体"/>
          <w:color w:val="000000"/>
          <w:sz w:val="24"/>
          <w:shd w:val="clear" w:color="auto" w:fill="FFFFFF"/>
          <w:lang w:eastAsia="zh-CN"/>
        </w:rPr>
        <w:t>谈判</w:t>
      </w:r>
      <w:r>
        <w:rPr>
          <w:rFonts w:hint="eastAsia" w:ascii="宋体" w:hAnsi="宋体" w:cs="宋体"/>
          <w:color w:val="auto"/>
          <w:sz w:val="24"/>
          <w:shd w:val="clear" w:color="auto" w:fill="FFFFFF"/>
        </w:rPr>
        <w:t>保证金交纳时间:</w:t>
      </w:r>
      <w:r>
        <w:rPr>
          <w:rFonts w:hint="eastAsia" w:ascii="宋体" w:hAnsi="宋体" w:cs="宋体"/>
          <w:b/>
          <w:bCs/>
          <w:color w:val="auto"/>
          <w:sz w:val="24"/>
          <w:shd w:val="clear" w:color="auto" w:fill="FFFFFF"/>
          <w:lang w:val="en-US" w:eastAsia="zh-CN"/>
        </w:rPr>
        <w:t>2020</w:t>
      </w:r>
      <w:r>
        <w:rPr>
          <w:rFonts w:hint="eastAsia" w:ascii="宋体" w:hAnsi="宋体" w:cs="宋体"/>
          <w:b/>
          <w:bCs/>
          <w:color w:val="auto"/>
          <w:sz w:val="24"/>
          <w:shd w:val="clear" w:color="auto" w:fill="FFFFFF"/>
        </w:rPr>
        <w:t>年</w:t>
      </w:r>
      <w:r>
        <w:rPr>
          <w:rFonts w:hint="eastAsia" w:ascii="宋体" w:hAnsi="宋体" w:cs="宋体"/>
          <w:b/>
          <w:bCs/>
          <w:color w:val="auto"/>
          <w:sz w:val="24"/>
          <w:shd w:val="clear" w:color="auto" w:fill="FFFFFF"/>
          <w:lang w:val="en-US" w:eastAsia="zh-CN"/>
        </w:rPr>
        <w:t>9</w:t>
      </w:r>
      <w:r>
        <w:rPr>
          <w:rFonts w:hint="eastAsia" w:ascii="宋体" w:hAnsi="宋体" w:cs="宋体"/>
          <w:b/>
          <w:bCs/>
          <w:color w:val="auto"/>
          <w:sz w:val="24"/>
          <w:shd w:val="clear" w:color="auto" w:fill="FFFFFF"/>
        </w:rPr>
        <w:t>月</w:t>
      </w:r>
      <w:r>
        <w:rPr>
          <w:rFonts w:hint="eastAsia" w:ascii="宋体" w:hAnsi="宋体" w:cs="宋体"/>
          <w:b/>
          <w:bCs/>
          <w:color w:val="auto"/>
          <w:sz w:val="24"/>
          <w:shd w:val="clear" w:color="auto" w:fill="FFFFFF"/>
          <w:lang w:val="en-US" w:eastAsia="zh-CN"/>
        </w:rPr>
        <w:t>18</w:t>
      </w:r>
      <w:r>
        <w:rPr>
          <w:rFonts w:hint="eastAsia" w:ascii="宋体" w:hAnsi="宋体" w:cs="宋体"/>
          <w:b/>
          <w:bCs/>
          <w:color w:val="auto"/>
          <w:sz w:val="24"/>
          <w:shd w:val="clear" w:color="auto" w:fill="FFFFFF"/>
        </w:rPr>
        <w:t>日</w:t>
      </w:r>
      <w:r>
        <w:rPr>
          <w:rFonts w:hint="eastAsia" w:cs="宋体"/>
          <w:b/>
          <w:bCs/>
          <w:color w:val="auto"/>
          <w:sz w:val="24"/>
          <w:shd w:val="clear" w:color="auto" w:fill="FFFFFF"/>
          <w:lang w:val="en-US" w:eastAsia="zh-CN"/>
        </w:rPr>
        <w:t>14</w:t>
      </w:r>
      <w:r>
        <w:rPr>
          <w:rFonts w:hint="eastAsia" w:ascii="宋体" w:hAnsi="宋体" w:cs="宋体"/>
          <w:b/>
          <w:bCs/>
          <w:color w:val="auto"/>
          <w:sz w:val="24"/>
          <w:shd w:val="clear" w:color="auto" w:fill="FFFFFF"/>
          <w:lang w:val="en-US" w:eastAsia="zh-CN"/>
        </w:rPr>
        <w:t>时</w:t>
      </w:r>
      <w:r>
        <w:rPr>
          <w:rFonts w:hint="eastAsia" w:cs="宋体"/>
          <w:b/>
          <w:bCs/>
          <w:color w:val="auto"/>
          <w:sz w:val="24"/>
          <w:shd w:val="clear" w:color="auto" w:fill="FFFFFF"/>
          <w:lang w:val="en-US" w:eastAsia="zh-CN"/>
        </w:rPr>
        <w:t>00</w:t>
      </w:r>
      <w:r>
        <w:rPr>
          <w:rFonts w:hint="eastAsia" w:ascii="宋体" w:hAnsi="宋体" w:cs="宋体"/>
          <w:b/>
          <w:bCs/>
          <w:color w:val="auto"/>
          <w:sz w:val="24"/>
          <w:shd w:val="clear" w:color="auto" w:fill="FFFFFF"/>
          <w:lang w:val="en-US" w:eastAsia="zh-CN"/>
        </w:rPr>
        <w:t>分前</w:t>
      </w:r>
      <w:r>
        <w:rPr>
          <w:rFonts w:hint="eastAsia" w:ascii="宋体" w:hAnsi="宋体" w:cs="宋体"/>
          <w:color w:val="auto"/>
          <w:sz w:val="24"/>
          <w:shd w:val="clear" w:color="auto" w:fill="FFFFFF"/>
          <w:lang w:val="en-US" w:eastAsia="zh-CN"/>
        </w:rPr>
        <w:t xml:space="preserve"> </w:t>
      </w:r>
    </w:p>
    <w:p>
      <w:pPr>
        <w:spacing w:line="560" w:lineRule="exact"/>
        <w:rPr>
          <w:rFonts w:hint="eastAsia" w:ascii="宋体" w:hAnsi="宋体" w:eastAsia="宋体" w:cs="宋体"/>
          <w:color w:val="auto"/>
          <w:sz w:val="24"/>
          <w:shd w:val="clear" w:color="auto" w:fill="FFFFFF"/>
          <w:lang w:val="en-US" w:eastAsia="zh-CN"/>
        </w:rPr>
      </w:pPr>
      <w:r>
        <w:rPr>
          <w:rFonts w:hint="eastAsia" w:ascii="宋体" w:hAnsi="宋体" w:cs="宋体"/>
          <w:color w:val="auto"/>
          <w:sz w:val="24"/>
          <w:shd w:val="clear" w:color="auto" w:fill="FFFFFF"/>
        </w:rPr>
        <w:t xml:space="preserve">  （3）</w:t>
      </w:r>
      <w:r>
        <w:rPr>
          <w:rFonts w:hint="eastAsia" w:cs="宋体"/>
          <w:color w:val="000000"/>
          <w:sz w:val="24"/>
          <w:shd w:val="clear" w:color="auto" w:fill="FFFFFF"/>
          <w:lang w:val="en-US" w:eastAsia="zh-CN"/>
        </w:rPr>
        <w:t xml:space="preserve"> </w:t>
      </w:r>
      <w:r>
        <w:rPr>
          <w:rFonts w:hint="eastAsia" w:cs="宋体"/>
          <w:color w:val="000000"/>
          <w:sz w:val="24"/>
          <w:shd w:val="clear" w:color="auto" w:fill="FFFFFF"/>
          <w:lang w:eastAsia="zh-CN"/>
        </w:rPr>
        <w:t>谈判</w:t>
      </w:r>
      <w:r>
        <w:rPr>
          <w:rFonts w:hint="eastAsia" w:ascii="宋体" w:hAnsi="宋体" w:cs="宋体"/>
          <w:color w:val="auto"/>
          <w:sz w:val="24"/>
          <w:shd w:val="clear" w:color="auto" w:fill="FFFFFF"/>
        </w:rPr>
        <w:t>保证金交纳方式:投标人可以采用银行转账、电汇或《投标保证金保函》（电子保函）形式缴交，不可以采用现金方式提交</w:t>
      </w:r>
      <w:r>
        <w:rPr>
          <w:rFonts w:hint="eastAsia" w:ascii="宋体" w:hAnsi="宋体" w:cs="宋体"/>
          <w:color w:val="auto"/>
          <w:sz w:val="24"/>
          <w:shd w:val="clear" w:color="auto" w:fill="FFFFFF"/>
          <w:lang w:val="en-US" w:eastAsia="zh-CN"/>
        </w:rPr>
        <w:t>.</w:t>
      </w:r>
    </w:p>
    <w:p>
      <w:pPr>
        <w:spacing w:line="560" w:lineRule="exact"/>
        <w:rPr>
          <w:rFonts w:ascii="宋体" w:hAnsi="宋体" w:cs="宋体"/>
          <w:color w:val="auto"/>
          <w:sz w:val="24"/>
          <w:shd w:val="clear" w:color="auto" w:fill="FFFFFF"/>
        </w:rPr>
      </w:pPr>
      <w:r>
        <w:rPr>
          <w:rFonts w:hint="eastAsia" w:ascii="宋体" w:hAnsi="宋体" w:cs="宋体"/>
          <w:color w:val="auto"/>
          <w:sz w:val="24"/>
          <w:shd w:val="clear" w:color="auto" w:fill="FFFFFF"/>
        </w:rPr>
        <w:t xml:space="preserve">  （4）开户银行及帐号</w:t>
      </w:r>
    </w:p>
    <w:p>
      <w:pPr>
        <w:spacing w:line="560" w:lineRule="exact"/>
        <w:rPr>
          <w:rFonts w:ascii="宋体" w:hAnsi="宋体"/>
          <w:color w:val="auto"/>
          <w:sz w:val="24"/>
        </w:rPr>
      </w:pPr>
      <w:r>
        <w:rPr>
          <w:rFonts w:hint="eastAsia" w:ascii="宋体" w:hAnsi="宋体" w:cs="宋体"/>
          <w:color w:val="auto"/>
          <w:sz w:val="24"/>
          <w:shd w:val="clear" w:color="auto" w:fill="FFFFFF"/>
        </w:rPr>
        <w:t xml:space="preserve">      单位名称:</w:t>
      </w:r>
      <w:r>
        <w:rPr>
          <w:rFonts w:ascii="宋体" w:hAnsi="宋体"/>
          <w:color w:val="auto"/>
          <w:sz w:val="24"/>
        </w:rPr>
        <w:t xml:space="preserve"> </w:t>
      </w:r>
      <w:r>
        <w:rPr>
          <w:rFonts w:hint="eastAsia" w:hAnsi="宋体"/>
          <w:color w:val="auto"/>
          <w:sz w:val="24"/>
        </w:rPr>
        <w:t>铜仁市公共资源交易中心</w:t>
      </w:r>
    </w:p>
    <w:p>
      <w:pPr>
        <w:spacing w:line="560" w:lineRule="exact"/>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shd w:val="clear" w:color="auto" w:fill="FFFFFF"/>
        </w:rPr>
        <w:t>开户银行:</w:t>
      </w:r>
      <w:r>
        <w:rPr>
          <w:rFonts w:ascii="宋体" w:hAnsi="宋体"/>
          <w:color w:val="auto"/>
          <w:sz w:val="24"/>
        </w:rPr>
        <w:t xml:space="preserve"> </w:t>
      </w:r>
      <w:r>
        <w:rPr>
          <w:rFonts w:hint="eastAsia" w:ascii="宋体" w:hAnsi="宋体"/>
          <w:color w:val="auto"/>
          <w:sz w:val="24"/>
        </w:rPr>
        <w:t>贵州银行股份有限公司铜仁分行</w:t>
      </w:r>
    </w:p>
    <w:p>
      <w:pPr>
        <w:spacing w:line="560" w:lineRule="exact"/>
        <w:rPr>
          <w:rFonts w:hint="eastAsia" w:ascii="宋体" w:hAnsi="宋体"/>
          <w:color w:val="auto"/>
          <w:sz w:val="24"/>
        </w:rPr>
      </w:pPr>
      <w:r>
        <w:rPr>
          <w:rFonts w:hint="eastAsia" w:ascii="宋体" w:hAnsi="宋体"/>
          <w:color w:val="auto"/>
          <w:sz w:val="24"/>
        </w:rPr>
        <w:t xml:space="preserve">      </w:t>
      </w:r>
      <w:r>
        <w:rPr>
          <w:rFonts w:hint="eastAsia" w:ascii="宋体" w:hAnsi="宋体" w:cs="宋体"/>
          <w:color w:val="auto"/>
          <w:sz w:val="24"/>
          <w:shd w:val="clear" w:color="auto" w:fill="FFFFFF"/>
        </w:rPr>
        <w:t>帐  号:</w:t>
      </w:r>
      <w:r>
        <w:rPr>
          <w:rFonts w:hint="eastAsia" w:ascii="宋体" w:hAnsi="宋体"/>
          <w:color w:val="auto"/>
          <w:sz w:val="24"/>
        </w:rPr>
        <w:t>0601001500000296</w:t>
      </w:r>
    </w:p>
    <w:p>
      <w:pPr>
        <w:pStyle w:val="2"/>
        <w:keepNext w:val="0"/>
        <w:keepLines w:val="0"/>
        <w:pageBreakBefore w:val="0"/>
        <w:widowControl w:val="0"/>
        <w:kinsoku/>
        <w:wordWrap/>
        <w:overflowPunct/>
        <w:topLinePunct w:val="0"/>
        <w:autoSpaceDE/>
        <w:autoSpaceDN/>
        <w:bidi w:val="0"/>
        <w:adjustRightInd/>
        <w:snapToGrid/>
        <w:spacing w:before="157" w:beforeLines="50" w:after="240" w:line="360" w:lineRule="auto"/>
        <w:ind w:firstLine="480" w:firstLineChars="200"/>
        <w:textAlignment w:val="auto"/>
        <w:rPr>
          <w:rFonts w:hint="eastAsia" w:ascii="宋体" w:hAnsi="宋体" w:cs="宋体" w:eastAsiaTheme="minorEastAsia"/>
          <w:color w:val="000000"/>
          <w:kern w:val="2"/>
          <w:sz w:val="24"/>
          <w:szCs w:val="22"/>
          <w:shd w:val="clear" w:color="auto" w:fill="FFFFFF"/>
          <w:lang w:val="en-US" w:eastAsia="zh-CN" w:bidi="ar-SA"/>
        </w:rPr>
      </w:pPr>
      <w:r>
        <w:rPr>
          <w:rFonts w:hint="eastAsia" w:cs="宋体"/>
          <w:color w:val="000000"/>
          <w:sz w:val="24"/>
          <w:shd w:val="clear" w:color="auto" w:fill="FFFFFF"/>
          <w:lang w:val="en-US" w:eastAsia="zh-CN"/>
        </w:rPr>
        <w:t xml:space="preserve"> </w:t>
      </w:r>
      <w:r>
        <w:rPr>
          <w:rFonts w:hint="eastAsia" w:ascii="宋体" w:hAnsi="宋体" w:cs="宋体" w:eastAsiaTheme="minorEastAsia"/>
          <w:color w:val="000000"/>
          <w:kern w:val="2"/>
          <w:sz w:val="24"/>
          <w:szCs w:val="22"/>
          <w:shd w:val="clear" w:color="auto" w:fill="FFFFFF"/>
          <w:lang w:val="en-US" w:eastAsia="zh-CN" w:bidi="ar-SA"/>
        </w:rPr>
        <w:t>谈判保证金递交流程：具体缴退流程见全国公共资源交易平台网（贵州省.铜仁市）http://jyzx.trs.gov.cn，点击首页-办事指南-保证金缴退，自行缴纳保证金；或者采用电子保函形式缴纳（具体操作方式见首页—办事指南—政府采购—常见问题解答—《投标电子保函申请操作步骤》）。</w:t>
      </w:r>
    </w:p>
    <w:p>
      <w:pPr>
        <w:pStyle w:val="2"/>
        <w:keepNext w:val="0"/>
        <w:keepLines w:val="0"/>
        <w:pageBreakBefore w:val="0"/>
        <w:widowControl w:val="0"/>
        <w:kinsoku/>
        <w:wordWrap/>
        <w:overflowPunct/>
        <w:topLinePunct w:val="0"/>
        <w:autoSpaceDE/>
        <w:autoSpaceDN/>
        <w:bidi w:val="0"/>
        <w:adjustRightInd/>
        <w:snapToGrid/>
        <w:spacing w:before="157" w:beforeLines="50" w:after="240" w:line="240" w:lineRule="auto"/>
        <w:ind w:firstLine="482" w:firstLineChars="200"/>
        <w:textAlignment w:val="auto"/>
        <w:rPr>
          <w:rFonts w:hint="default" w:ascii="宋体" w:hAnsi="宋体"/>
          <w:color w:val="FF0000"/>
          <w:sz w:val="24"/>
          <w:lang w:val="en-US"/>
        </w:rPr>
      </w:pPr>
      <w:r>
        <w:rPr>
          <w:rFonts w:hint="eastAsia" w:ascii="宋体" w:hAnsi="宋体"/>
          <w:b/>
          <w:bCs/>
          <w:color w:val="000000" w:themeColor="text1"/>
          <w:sz w:val="24"/>
          <w14:textFill>
            <w14:solidFill>
              <w14:schemeClr w14:val="tx1"/>
            </w14:solidFill>
          </w14:textFill>
        </w:rPr>
        <w:t>1</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、采购预算</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1包：400万</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b/>
          <w:bCs/>
          <w:color w:val="FF0000"/>
          <w:sz w:val="24"/>
        </w:rPr>
        <w:t>最高限价</w:t>
      </w:r>
      <w:r>
        <w:rPr>
          <w:rFonts w:hint="eastAsia" w:ascii="宋体" w:hAnsi="宋体"/>
          <w:color w:val="FF0000"/>
          <w:sz w:val="24"/>
          <w:lang w:val="en-US" w:eastAsia="zh-CN"/>
        </w:rPr>
        <w:t>: 400万元 ；2包：162.11</w:t>
      </w:r>
      <w:r>
        <w:rPr>
          <w:rFonts w:hint="eastAsia" w:ascii="宋体" w:hAnsi="宋体"/>
          <w:color w:val="000000" w:themeColor="text1"/>
          <w:sz w:val="24"/>
          <w:lang w:val="en-US" w:eastAsia="zh-CN"/>
          <w14:textFill>
            <w14:solidFill>
              <w14:schemeClr w14:val="tx1"/>
            </w14:solidFill>
          </w14:textFill>
        </w:rPr>
        <w:t>万</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b/>
          <w:bCs/>
          <w:color w:val="FF0000"/>
          <w:sz w:val="24"/>
        </w:rPr>
        <w:t>最高限价</w:t>
      </w:r>
      <w:r>
        <w:rPr>
          <w:rFonts w:hint="eastAsia" w:ascii="宋体" w:hAnsi="宋体"/>
          <w:color w:val="FF0000"/>
          <w:sz w:val="24"/>
          <w:lang w:val="en-US" w:eastAsia="zh-CN"/>
        </w:rPr>
        <w:t xml:space="preserve"> 162.11万元。</w:t>
      </w:r>
    </w:p>
    <w:p>
      <w:pPr>
        <w:keepNext w:val="0"/>
        <w:keepLines w:val="0"/>
        <w:pageBreakBefore w:val="0"/>
        <w:widowControl w:val="0"/>
        <w:kinsoku/>
        <w:wordWrap/>
        <w:overflowPunct/>
        <w:topLinePunct w:val="0"/>
        <w:autoSpaceDE/>
        <w:autoSpaceDN/>
        <w:bidi w:val="0"/>
        <w:adjustRightInd/>
        <w:snapToGrid/>
        <w:spacing w:line="240" w:lineRule="auto"/>
        <w:ind w:firstLine="472" w:firstLineChars="196"/>
        <w:textAlignment w:val="auto"/>
        <w:rPr>
          <w:rFonts w:hint="eastAsia" w:ascii="宋体" w:hAnsi="宋体" w:eastAsia="宋体" w:cs="宋体"/>
          <w:b w:val="0"/>
          <w:bCs w:val="0"/>
          <w:kern w:val="2"/>
          <w:sz w:val="24"/>
          <w:szCs w:val="24"/>
          <w:lang w:val="zh-CN" w:eastAsia="zh-CN" w:bidi="zh-CN"/>
        </w:rPr>
      </w:pPr>
      <w:r>
        <w:rPr>
          <w:rFonts w:hint="eastAsia" w:ascii="宋体" w:hAnsi="宋体"/>
          <w:b/>
          <w:color w:val="000000" w:themeColor="text1"/>
          <w:sz w:val="24"/>
          <w14:textFill>
            <w14:solidFill>
              <w14:schemeClr w14:val="tx1"/>
            </w14:solidFill>
          </w14:textFill>
        </w:rPr>
        <w:t>1</w:t>
      </w:r>
      <w:r>
        <w:rPr>
          <w:rFonts w:hint="eastAsia" w:ascii="宋体" w:hAnsi="宋体"/>
          <w:b/>
          <w:color w:val="000000" w:themeColor="text1"/>
          <w:sz w:val="24"/>
          <w:lang w:val="en-US" w:eastAsia="zh-CN"/>
          <w14:textFill>
            <w14:solidFill>
              <w14:schemeClr w14:val="tx1"/>
            </w14:solidFill>
          </w14:textFill>
        </w:rPr>
        <w:t>3</w:t>
      </w:r>
      <w:r>
        <w:rPr>
          <w:rFonts w:hint="eastAsia" w:ascii="宋体" w:hAnsi="宋体" w:eastAsia="宋体" w:cs="宋体"/>
          <w:b w:val="0"/>
          <w:bCs w:val="0"/>
          <w:kern w:val="2"/>
          <w:sz w:val="24"/>
          <w:szCs w:val="24"/>
          <w:lang w:val="zh-CN" w:eastAsia="zh-CN" w:bidi="zh-CN"/>
        </w:rPr>
        <w:t>、 谈判时间：20</w:t>
      </w:r>
      <w:r>
        <w:rPr>
          <w:rFonts w:hint="eastAsia" w:ascii="宋体" w:hAnsi="宋体" w:eastAsia="宋体" w:cs="宋体"/>
          <w:b w:val="0"/>
          <w:bCs w:val="0"/>
          <w:kern w:val="2"/>
          <w:sz w:val="24"/>
          <w:szCs w:val="24"/>
          <w:lang w:val="en-US" w:eastAsia="zh-CN" w:bidi="zh-CN"/>
        </w:rPr>
        <w:t>20</w:t>
      </w:r>
      <w:r>
        <w:rPr>
          <w:rFonts w:hint="eastAsia" w:ascii="宋体" w:hAnsi="宋体" w:eastAsia="宋体" w:cs="宋体"/>
          <w:b w:val="0"/>
          <w:bCs w:val="0"/>
          <w:kern w:val="2"/>
          <w:sz w:val="24"/>
          <w:szCs w:val="24"/>
          <w:lang w:val="zh-CN" w:eastAsia="zh-CN" w:bidi="zh-CN"/>
        </w:rPr>
        <w:t>年</w:t>
      </w:r>
      <w:r>
        <w:rPr>
          <w:rFonts w:hint="eastAsia" w:ascii="宋体" w:hAnsi="宋体" w:eastAsia="宋体" w:cs="宋体"/>
          <w:b w:val="0"/>
          <w:bCs w:val="0"/>
          <w:kern w:val="2"/>
          <w:sz w:val="24"/>
          <w:szCs w:val="24"/>
          <w:lang w:val="en-US" w:eastAsia="zh-CN" w:bidi="zh-CN"/>
        </w:rPr>
        <w:t>9</w:t>
      </w:r>
      <w:r>
        <w:rPr>
          <w:rFonts w:hint="eastAsia" w:ascii="宋体" w:hAnsi="宋体" w:eastAsia="宋体" w:cs="宋体"/>
          <w:b w:val="0"/>
          <w:bCs w:val="0"/>
          <w:kern w:val="2"/>
          <w:sz w:val="24"/>
          <w:szCs w:val="24"/>
          <w:lang w:val="zh-CN" w:eastAsia="zh-CN" w:bidi="zh-CN"/>
        </w:rPr>
        <w:t>月</w:t>
      </w:r>
      <w:r>
        <w:rPr>
          <w:rFonts w:hint="eastAsia" w:ascii="宋体" w:hAnsi="宋体" w:eastAsia="宋体" w:cs="宋体"/>
          <w:b w:val="0"/>
          <w:bCs w:val="0"/>
          <w:kern w:val="2"/>
          <w:sz w:val="24"/>
          <w:szCs w:val="24"/>
          <w:lang w:val="en-US" w:eastAsia="zh-CN" w:bidi="zh-CN"/>
        </w:rPr>
        <w:t>18</w:t>
      </w:r>
      <w:r>
        <w:rPr>
          <w:rFonts w:hint="eastAsia" w:ascii="宋体" w:hAnsi="宋体" w:eastAsia="宋体" w:cs="宋体"/>
          <w:b w:val="0"/>
          <w:bCs w:val="0"/>
          <w:kern w:val="2"/>
          <w:sz w:val="24"/>
          <w:szCs w:val="24"/>
          <w:lang w:val="zh-CN" w:eastAsia="zh-CN" w:bidi="zh-CN"/>
        </w:rPr>
        <w:t>日</w:t>
      </w:r>
      <w:r>
        <w:rPr>
          <w:rFonts w:hint="eastAsia" w:ascii="宋体" w:hAnsi="宋体" w:eastAsia="宋体" w:cs="宋体"/>
          <w:b w:val="0"/>
          <w:bCs w:val="0"/>
          <w:kern w:val="2"/>
          <w:sz w:val="24"/>
          <w:szCs w:val="24"/>
          <w:lang w:val="en-US" w:eastAsia="zh-CN" w:bidi="zh-CN"/>
        </w:rPr>
        <w:t xml:space="preserve">14时00分 </w:t>
      </w:r>
      <w:r>
        <w:rPr>
          <w:rFonts w:hint="eastAsia" w:ascii="宋体" w:hAnsi="宋体" w:eastAsia="宋体" w:cs="宋体"/>
          <w:b w:val="0"/>
          <w:bCs w:val="0"/>
          <w:kern w:val="2"/>
          <w:sz w:val="24"/>
          <w:szCs w:val="24"/>
          <w:lang w:val="zh-CN" w:eastAsia="zh-CN" w:bidi="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val="0"/>
          <w:bCs w:val="0"/>
          <w:kern w:val="2"/>
          <w:sz w:val="24"/>
          <w:szCs w:val="24"/>
          <w:lang w:val="zh-CN" w:eastAsia="zh-CN" w:bidi="zh-CN"/>
        </w:rPr>
      </w:pPr>
      <w:r>
        <w:rPr>
          <w:rFonts w:hint="eastAsia" w:ascii="宋体" w:hAnsi="宋体" w:eastAsia="宋体" w:cs="宋体"/>
          <w:b w:val="0"/>
          <w:bCs w:val="0"/>
          <w:kern w:val="2"/>
          <w:sz w:val="24"/>
          <w:szCs w:val="24"/>
          <w:lang w:val="zh-CN" w:eastAsia="zh-CN" w:bidi="zh-CN"/>
        </w:rPr>
        <w:t>1</w:t>
      </w:r>
      <w:r>
        <w:rPr>
          <w:rFonts w:hint="eastAsia" w:ascii="宋体" w:hAnsi="宋体" w:eastAsia="宋体" w:cs="宋体"/>
          <w:b w:val="0"/>
          <w:bCs w:val="0"/>
          <w:kern w:val="2"/>
          <w:sz w:val="24"/>
          <w:szCs w:val="24"/>
          <w:lang w:val="en-US" w:eastAsia="zh-CN" w:bidi="zh-CN"/>
        </w:rPr>
        <w:t>4</w:t>
      </w:r>
      <w:r>
        <w:rPr>
          <w:rFonts w:hint="eastAsia" w:ascii="宋体" w:hAnsi="宋体" w:eastAsia="宋体" w:cs="宋体"/>
          <w:b w:val="0"/>
          <w:bCs w:val="0"/>
          <w:kern w:val="2"/>
          <w:sz w:val="24"/>
          <w:szCs w:val="24"/>
          <w:lang w:val="zh-CN" w:eastAsia="zh-CN" w:bidi="zh-CN"/>
        </w:rPr>
        <w:t>、谈判地点：</w:t>
      </w:r>
      <w:r>
        <w:rPr>
          <w:rFonts w:hint="eastAsia" w:ascii="宋体" w:hAnsi="宋体" w:eastAsia="宋体" w:cs="宋体"/>
          <w:b w:val="0"/>
          <w:bCs w:val="0"/>
          <w:kern w:val="2"/>
          <w:sz w:val="24"/>
          <w:szCs w:val="24"/>
          <w:lang w:val="en-US" w:eastAsia="zh-CN" w:bidi="zh-CN"/>
        </w:rPr>
        <w:t xml:space="preserve">铜仁市公共资源交易中心开标区 </w:t>
      </w:r>
    </w:p>
    <w:p>
      <w:pPr>
        <w:pStyle w:val="6"/>
        <w:keepNext w:val="0"/>
        <w:keepLines w:val="0"/>
        <w:pageBreakBefore w:val="0"/>
        <w:widowControl w:val="0"/>
        <w:kinsoku/>
        <w:wordWrap/>
        <w:overflowPunct/>
        <w:topLinePunct w:val="0"/>
        <w:autoSpaceDE/>
        <w:autoSpaceDN/>
        <w:bidi w:val="0"/>
        <w:adjustRightInd/>
        <w:snapToGrid/>
        <w:spacing w:before="14" w:line="240" w:lineRule="auto"/>
        <w:textAlignment w:val="auto"/>
        <w:rPr>
          <w:rFonts w:hint="eastAsia" w:ascii="宋体" w:hAnsi="宋体" w:eastAsia="宋体" w:cs="宋体"/>
          <w:b w:val="0"/>
          <w:bCs w:val="0"/>
          <w:kern w:val="2"/>
          <w:sz w:val="24"/>
          <w:szCs w:val="24"/>
          <w:lang w:val="zh-CN" w:eastAsia="zh-CN" w:bidi="zh-CN"/>
        </w:rPr>
      </w:pPr>
      <w:r>
        <w:rPr>
          <w:rFonts w:hint="eastAsia" w:ascii="宋体" w:hAnsi="宋体" w:eastAsia="宋体" w:cs="宋体"/>
          <w:b w:val="0"/>
          <w:bCs w:val="0"/>
          <w:kern w:val="2"/>
          <w:sz w:val="24"/>
          <w:szCs w:val="24"/>
          <w:lang w:val="en-US" w:eastAsia="zh-CN" w:bidi="zh-CN"/>
        </w:rPr>
        <w:t>15、</w:t>
      </w:r>
      <w:r>
        <w:rPr>
          <w:rFonts w:hint="eastAsia" w:ascii="宋体" w:hAnsi="宋体" w:eastAsia="宋体" w:cs="宋体"/>
          <w:b w:val="0"/>
          <w:bCs w:val="0"/>
          <w:kern w:val="2"/>
          <w:sz w:val="24"/>
          <w:szCs w:val="24"/>
          <w:lang w:val="zh-CN" w:eastAsia="zh-CN" w:bidi="zh-CN"/>
        </w:rPr>
        <w:t>采购人地点及联系方式</w:t>
      </w:r>
    </w:p>
    <w:p>
      <w:pPr>
        <w:pStyle w:val="2"/>
        <w:keepNext w:val="0"/>
        <w:keepLines w:val="0"/>
        <w:pageBreakBefore w:val="0"/>
        <w:widowControl w:val="0"/>
        <w:kinsoku/>
        <w:wordWrap/>
        <w:overflowPunct/>
        <w:topLinePunct w:val="0"/>
        <w:autoSpaceDE/>
        <w:autoSpaceDN/>
        <w:bidi w:val="0"/>
        <w:adjustRightInd/>
        <w:snapToGrid/>
        <w:spacing w:before="158" w:line="240" w:lineRule="auto"/>
        <w:ind w:right="4246" w:firstLine="480" w:firstLineChars="200"/>
        <w:textAlignment w:val="auto"/>
        <w:rPr>
          <w:rFonts w:hint="eastAsia" w:ascii="宋体" w:hAnsi="宋体" w:eastAsia="宋体" w:cs="宋体"/>
          <w:b w:val="0"/>
          <w:bCs w:val="0"/>
          <w:kern w:val="2"/>
          <w:sz w:val="24"/>
          <w:szCs w:val="24"/>
          <w:lang w:val="zh-CN" w:eastAsia="zh-CN" w:bidi="zh-CN"/>
        </w:rPr>
      </w:pPr>
      <w:r>
        <w:rPr>
          <w:rFonts w:hint="eastAsia" w:ascii="宋体" w:hAnsi="宋体" w:eastAsia="宋体" w:cs="宋体"/>
          <w:b w:val="0"/>
          <w:bCs w:val="0"/>
          <w:kern w:val="2"/>
          <w:sz w:val="24"/>
          <w:szCs w:val="24"/>
          <w:lang w:val="zh-CN" w:eastAsia="zh-CN" w:bidi="zh-CN"/>
        </w:rPr>
        <w:t>采购人名称:铜仁市第人民医院</w:t>
      </w:r>
    </w:p>
    <w:p>
      <w:pPr>
        <w:pStyle w:val="2"/>
        <w:keepNext w:val="0"/>
        <w:keepLines w:val="0"/>
        <w:pageBreakBefore w:val="0"/>
        <w:widowControl w:val="0"/>
        <w:kinsoku/>
        <w:wordWrap/>
        <w:overflowPunct/>
        <w:topLinePunct w:val="0"/>
        <w:autoSpaceDE/>
        <w:autoSpaceDN/>
        <w:bidi w:val="0"/>
        <w:adjustRightInd/>
        <w:snapToGrid/>
        <w:spacing w:before="158" w:line="240" w:lineRule="auto"/>
        <w:ind w:right="4246" w:firstLine="480" w:firstLineChars="200"/>
        <w:textAlignment w:val="auto"/>
        <w:rPr>
          <w:rFonts w:hint="eastAsia" w:ascii="宋体" w:hAnsi="宋体" w:eastAsia="宋体" w:cs="宋体"/>
          <w:b w:val="0"/>
          <w:bCs w:val="0"/>
          <w:kern w:val="2"/>
          <w:sz w:val="24"/>
          <w:szCs w:val="24"/>
          <w:lang w:val="zh-CN" w:eastAsia="zh-CN" w:bidi="zh-CN"/>
        </w:rPr>
      </w:pPr>
      <w:r>
        <w:rPr>
          <w:rFonts w:hint="eastAsia" w:ascii="宋体" w:hAnsi="宋体" w:eastAsia="宋体" w:cs="宋体"/>
          <w:b w:val="0"/>
          <w:bCs w:val="0"/>
          <w:kern w:val="2"/>
          <w:sz w:val="24"/>
          <w:szCs w:val="24"/>
          <w:lang w:val="zh-CN" w:eastAsia="zh-CN" w:bidi="zh-CN"/>
        </w:rPr>
        <w:t>联系地址: 铜仁市碧江区</w:t>
      </w:r>
    </w:p>
    <w:p>
      <w:pPr>
        <w:pStyle w:val="2"/>
        <w:spacing w:line="306" w:lineRule="exact"/>
        <w:ind w:firstLine="480" w:firstLineChars="200"/>
        <w:rPr>
          <w:rFonts w:hint="eastAsia" w:ascii="宋体" w:hAnsi="宋体" w:eastAsia="宋体" w:cs="宋体"/>
          <w:b w:val="0"/>
          <w:bCs w:val="0"/>
          <w:kern w:val="2"/>
          <w:sz w:val="24"/>
          <w:szCs w:val="24"/>
          <w:lang w:val="zh-CN" w:eastAsia="zh-CN" w:bidi="zh-CN"/>
        </w:rPr>
      </w:pPr>
      <w:r>
        <w:rPr>
          <w:rFonts w:hint="eastAsia" w:ascii="宋体" w:hAnsi="宋体" w:eastAsia="宋体" w:cs="宋体"/>
          <w:b w:val="0"/>
          <w:bCs w:val="0"/>
          <w:kern w:val="2"/>
          <w:sz w:val="24"/>
          <w:szCs w:val="24"/>
          <w:lang w:val="zh-CN" w:eastAsia="zh-CN" w:bidi="zh-CN"/>
        </w:rPr>
        <w:t>项目联系人:王主任</w:t>
      </w:r>
    </w:p>
    <w:p>
      <w:pPr>
        <w:pStyle w:val="2"/>
        <w:spacing w:before="161"/>
        <w:ind w:firstLine="480" w:firstLineChars="200"/>
        <w:rPr>
          <w:rFonts w:hint="default"/>
          <w:lang w:val="en-US"/>
        </w:rPr>
      </w:pPr>
      <w:r>
        <w:rPr>
          <w:rFonts w:hint="eastAsia" w:ascii="宋体" w:hAnsi="宋体" w:eastAsia="宋体" w:cs="宋体"/>
          <w:b w:val="0"/>
          <w:bCs w:val="0"/>
          <w:kern w:val="2"/>
          <w:sz w:val="24"/>
          <w:szCs w:val="24"/>
          <w:lang w:val="zh-CN" w:eastAsia="zh-CN" w:bidi="zh-CN"/>
        </w:rPr>
        <w:t>联系电话：</w:t>
      </w:r>
      <w:r>
        <w:rPr>
          <w:rFonts w:hint="eastAsia" w:ascii="宋体" w:hAnsi="宋体" w:eastAsia="宋体" w:cs="宋体"/>
          <w:b w:val="0"/>
          <w:bCs w:val="0"/>
          <w:kern w:val="2"/>
          <w:sz w:val="24"/>
          <w:szCs w:val="24"/>
          <w:lang w:val="en-US" w:eastAsia="zh-CN" w:bidi="zh-CN"/>
        </w:rPr>
        <w:t>18744879097</w:t>
      </w:r>
    </w:p>
    <w:p>
      <w:pPr>
        <w:spacing w:line="560" w:lineRule="exact"/>
        <w:rPr>
          <w:rFonts w:hint="eastAsia" w:ascii="宋体" w:hAnsi="宋体" w:eastAsia="宋体" w:cs="宋体"/>
          <w:color w:val="auto"/>
          <w:sz w:val="24"/>
          <w:shd w:val="clear" w:color="auto" w:fill="FFFFFF"/>
          <w:lang w:eastAsia="zh-CN"/>
        </w:rPr>
      </w:pPr>
      <w:r>
        <w:rPr>
          <w:rFonts w:hint="eastAsia"/>
          <w:lang w:val="en-US" w:eastAsia="zh-CN"/>
        </w:rPr>
        <w:t xml:space="preserve">  </w:t>
      </w:r>
      <w:r>
        <w:rPr>
          <w:rFonts w:hint="eastAsia" w:ascii="宋体" w:hAnsi="宋体" w:eastAsia="宋体" w:cs="宋体"/>
          <w:b w:val="0"/>
          <w:bCs w:val="0"/>
          <w:kern w:val="2"/>
          <w:sz w:val="24"/>
          <w:szCs w:val="24"/>
          <w:lang w:val="en-US" w:eastAsia="zh-CN" w:bidi="zh-CN"/>
        </w:rPr>
        <w:t xml:space="preserve">   16、</w:t>
      </w:r>
      <w:r>
        <w:rPr>
          <w:rFonts w:hint="eastAsia" w:ascii="宋体" w:hAnsi="宋体" w:cs="宋体"/>
          <w:color w:val="auto"/>
          <w:sz w:val="24"/>
          <w:shd w:val="clear" w:color="auto" w:fill="FFFFFF"/>
        </w:rPr>
        <w:t>采购代理机构全称:</w:t>
      </w:r>
      <w:r>
        <w:rPr>
          <w:rFonts w:ascii="宋体" w:hAnsi="宋体" w:cs="宋体"/>
          <w:color w:val="auto"/>
          <w:sz w:val="24"/>
          <w:shd w:val="clear" w:color="auto" w:fill="FFFFFF"/>
        </w:rPr>
        <w:t xml:space="preserve"> </w:t>
      </w:r>
      <w:r>
        <w:rPr>
          <w:rFonts w:hint="eastAsia" w:ascii="宋体" w:hAnsi="宋体" w:cs="宋体"/>
          <w:color w:val="auto"/>
          <w:sz w:val="24"/>
          <w:shd w:val="clear" w:color="auto" w:fill="FFFFFF"/>
          <w:lang w:eastAsia="zh-CN"/>
        </w:rPr>
        <w:t>重庆西征建设工程咨询有限公司</w:t>
      </w:r>
    </w:p>
    <w:p>
      <w:pPr>
        <w:spacing w:line="560" w:lineRule="exact"/>
        <w:ind w:firstLine="720" w:firstLineChars="300"/>
        <w:rPr>
          <w:rFonts w:hint="default" w:ascii="宋体" w:hAnsi="宋体" w:eastAsia="宋体" w:cs="宋体"/>
          <w:color w:val="auto"/>
          <w:sz w:val="24"/>
          <w:shd w:val="clear" w:color="auto" w:fill="FFFFFF"/>
          <w:lang w:val="en-US" w:eastAsia="zh-CN"/>
        </w:rPr>
      </w:pPr>
      <w:r>
        <w:rPr>
          <w:rFonts w:hint="eastAsia" w:ascii="宋体" w:hAnsi="宋体" w:cs="宋体"/>
          <w:color w:val="auto"/>
          <w:sz w:val="24"/>
          <w:shd w:val="clear" w:color="auto" w:fill="FFFFFF"/>
        </w:rPr>
        <w:t>联系地址:</w:t>
      </w:r>
      <w:r>
        <w:rPr>
          <w:rFonts w:hint="eastAsia" w:ascii="宋体" w:hAnsi="宋体"/>
          <w:color w:val="auto"/>
          <w:sz w:val="24"/>
          <w:shd w:val="clear" w:color="auto" w:fill="FFFFFF"/>
          <w:lang w:eastAsia="zh-CN"/>
        </w:rPr>
        <w:t>铜仁市碧江区时代商汇</w:t>
      </w:r>
      <w:r>
        <w:rPr>
          <w:rFonts w:hint="eastAsia" w:ascii="宋体" w:hAnsi="宋体"/>
          <w:color w:val="auto"/>
          <w:sz w:val="24"/>
          <w:shd w:val="clear" w:color="auto" w:fill="FFFFFF"/>
          <w:lang w:val="en-US" w:eastAsia="zh-CN"/>
        </w:rPr>
        <w:t>13栋703</w:t>
      </w:r>
    </w:p>
    <w:p>
      <w:pPr>
        <w:tabs>
          <w:tab w:val="left" w:pos="7688"/>
        </w:tabs>
        <w:spacing w:line="560" w:lineRule="exact"/>
        <w:ind w:firstLine="720" w:firstLineChars="300"/>
        <w:rPr>
          <w:rFonts w:ascii="宋体" w:hAnsi="宋体" w:cs="宋体"/>
          <w:color w:val="auto"/>
          <w:sz w:val="24"/>
          <w:shd w:val="clear" w:color="auto" w:fill="FFFFFF"/>
        </w:rPr>
      </w:pPr>
      <w:r>
        <w:rPr>
          <w:rFonts w:hint="eastAsia" w:ascii="宋体" w:hAnsi="宋体" w:cs="宋体"/>
          <w:color w:val="auto"/>
          <w:sz w:val="24"/>
          <w:shd w:val="clear" w:color="auto" w:fill="FFFFFF"/>
        </w:rPr>
        <w:t>项目联系人:</w:t>
      </w:r>
      <w:r>
        <w:rPr>
          <w:rFonts w:ascii="宋体" w:hAnsi="宋体" w:cs="宋体"/>
          <w:color w:val="auto"/>
          <w:sz w:val="24"/>
          <w:shd w:val="clear" w:color="auto" w:fill="FFFFFF"/>
        </w:rPr>
        <w:t xml:space="preserve"> </w:t>
      </w:r>
      <w:r>
        <w:rPr>
          <w:rFonts w:hint="eastAsia" w:cs="宋体"/>
          <w:color w:val="auto"/>
          <w:sz w:val="24"/>
          <w:shd w:val="clear" w:color="auto" w:fill="FFFFFF"/>
          <w:lang w:eastAsia="zh-CN"/>
        </w:rPr>
        <w:t>田常君</w:t>
      </w:r>
      <w:r>
        <w:rPr>
          <w:rFonts w:hint="eastAsia" w:ascii="宋体" w:hAnsi="宋体" w:cs="宋体"/>
          <w:color w:val="auto"/>
          <w:sz w:val="24"/>
          <w:shd w:val="clear" w:color="auto" w:fill="FFFFFF"/>
        </w:rPr>
        <w:tab/>
      </w:r>
    </w:p>
    <w:p>
      <w:pPr>
        <w:pStyle w:val="2"/>
        <w:ind w:firstLine="720" w:firstLineChars="300"/>
        <w:rPr>
          <w:rFonts w:hint="eastAsia" w:cs="宋体"/>
          <w:color w:val="auto"/>
          <w:sz w:val="24"/>
          <w:shd w:val="clear" w:color="auto" w:fill="FFFFFF"/>
          <w:lang w:val="en-US" w:eastAsia="zh-CN"/>
        </w:rPr>
      </w:pPr>
      <w:r>
        <w:rPr>
          <w:rFonts w:hint="eastAsia" w:ascii="宋体" w:hAnsi="宋体" w:cs="宋体"/>
          <w:color w:val="auto"/>
          <w:sz w:val="24"/>
          <w:shd w:val="clear" w:color="auto" w:fill="FFFFFF"/>
        </w:rPr>
        <w:t>联系电话:</w:t>
      </w:r>
      <w:r>
        <w:rPr>
          <w:rFonts w:hint="eastAsia" w:cs="宋体"/>
          <w:color w:val="auto"/>
          <w:sz w:val="24"/>
          <w:shd w:val="clear" w:color="auto" w:fill="FFFFFF"/>
          <w:lang w:val="en-US" w:eastAsia="zh-CN"/>
        </w:rPr>
        <w:t>18785635655</w:t>
      </w:r>
    </w:p>
    <w:p>
      <w:pPr>
        <w:spacing w:line="560" w:lineRule="exact"/>
        <w:ind w:firstLine="480" w:firstLineChars="200"/>
        <w:rPr>
          <w:rFonts w:hint="default" w:ascii="宋体" w:hAnsi="宋体" w:cs="宋体"/>
          <w:color w:val="000000"/>
          <w:sz w:val="24"/>
          <w:shd w:val="clear" w:color="auto" w:fill="FFFFFF"/>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、电子投标技术支持电话：08563960513（固话），18352864732。</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1</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、保证金热线：0856-3910364</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sz w:val="24"/>
          <w:shd w:val="clear" w:color="auto" w:fill="FFFFFF"/>
        </w:rPr>
        <w:t>1</w:t>
      </w:r>
      <w:r>
        <w:rPr>
          <w:rFonts w:hint="eastAsia" w:ascii="宋体" w:hAnsi="宋体" w:cs="宋体"/>
          <w:color w:val="000000"/>
          <w:sz w:val="24"/>
          <w:shd w:val="clear" w:color="auto" w:fill="FFFFFF"/>
          <w:lang w:val="en-US" w:eastAsia="zh-CN"/>
        </w:rPr>
        <w:t>9</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电子投标技术支持电话：08563960513（固话），18352864732。</w:t>
      </w:r>
    </w:p>
    <w:p>
      <w:pPr>
        <w:spacing w:line="560" w:lineRule="exact"/>
        <w:ind w:firstLine="480" w:firstLineChars="200"/>
        <w:rPr>
          <w:rFonts w:hint="default"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保证金热线：0856-3910364</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lang w:val="en-US" w:eastAsia="zh-CN"/>
        </w:rPr>
        <w:t>3910277</w:t>
      </w:r>
    </w:p>
    <w:p>
      <w:pPr>
        <w:spacing w:line="560" w:lineRule="exact"/>
        <w:ind w:firstLine="480" w:firstLineChars="2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CA数字证书及电子签章：0856-3912912、</w:t>
      </w:r>
      <w:r>
        <w:rPr>
          <w:rFonts w:hint="eastAsia" w:ascii="宋体" w:hAnsi="宋体" w:cs="宋体"/>
          <w:color w:val="000000"/>
          <w:sz w:val="24"/>
          <w:shd w:val="clear" w:color="auto" w:fill="FFFFFF"/>
          <w:lang w:val="en-US" w:eastAsia="zh-CN"/>
        </w:rPr>
        <w:t>3912378</w:t>
      </w:r>
    </w:p>
    <w:p>
      <w:pPr>
        <w:spacing w:line="560" w:lineRule="exact"/>
        <w:rPr>
          <w:rFonts w:hint="default" w:ascii="宋体" w:hAnsi="宋体" w:cs="宋体"/>
          <w:color w:val="000000"/>
          <w:sz w:val="24"/>
          <w:shd w:val="clear" w:color="auto" w:fill="FFFFFF"/>
        </w:rPr>
      </w:pPr>
      <w:r>
        <w:rPr>
          <w:rFonts w:hint="eastAsia" w:ascii="宋体" w:hAnsi="宋体" w:cs="宋体"/>
          <w:color w:val="000000"/>
          <w:sz w:val="24"/>
          <w:shd w:val="clear" w:color="auto" w:fill="FFFFFF"/>
        </w:rPr>
        <w:t>办理流程简介：</w:t>
      </w:r>
    </w:p>
    <w:p>
      <w:pPr>
        <w:spacing w:line="560" w:lineRule="exact"/>
        <w:ind w:firstLine="480" w:firstLineChars="200"/>
        <w:rPr>
          <w:rFonts w:hint="eastAsia" w:ascii="宋体" w:hAnsi="宋体" w:cs="宋体"/>
          <w:color w:val="000000"/>
          <w:sz w:val="24"/>
          <w:shd w:val="clear" w:color="auto" w:fill="FFFFFF"/>
          <w:lang w:eastAsia="zh-CN"/>
        </w:rPr>
      </w:pPr>
      <w:r>
        <w:rPr>
          <w:rFonts w:hint="eastAsia" w:ascii="宋体" w:hAnsi="宋体" w:cs="宋体"/>
          <w:color w:val="000000"/>
          <w:sz w:val="24"/>
          <w:shd w:val="clear" w:color="auto" w:fill="FFFFFF"/>
          <w:lang w:eastAsia="zh-CN"/>
        </w:rPr>
        <w:t>①详见铜仁市公共资源交易中心官网首页——办事指南——</w:t>
      </w:r>
      <w:r>
        <w:rPr>
          <w:rFonts w:hint="eastAsia" w:ascii="宋体" w:hAnsi="宋体" w:cs="宋体"/>
          <w:color w:val="000000"/>
          <w:sz w:val="24"/>
          <w:shd w:val="clear" w:color="auto" w:fill="FFFFFF"/>
          <w:lang w:val="en-US" w:eastAsia="zh-CN"/>
        </w:rPr>
        <w:t>招投标主体注册</w:t>
      </w:r>
    </w:p>
    <w:p>
      <w:pPr>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eastAsia="zh-CN"/>
        </w:rPr>
        <w:t>②详见铜仁市公共资源交易中心官网首页——办事指南——</w:t>
      </w:r>
      <w:r>
        <w:rPr>
          <w:rFonts w:hint="eastAsia" w:ascii="宋体" w:hAnsi="宋体" w:cs="宋体"/>
          <w:color w:val="000000"/>
          <w:sz w:val="24"/>
          <w:shd w:val="clear" w:color="auto" w:fill="FFFFFF"/>
          <w:lang w:val="en-US" w:eastAsia="zh-CN"/>
        </w:rPr>
        <w:t>CA证书办理</w:t>
      </w:r>
    </w:p>
    <w:p>
      <w:pPr>
        <w:spacing w:line="560" w:lineRule="exact"/>
        <w:ind w:left="5033" w:leftChars="1368" w:right="640" w:hanging="2160" w:hangingChars="90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 xml:space="preserve">              </w:t>
      </w:r>
    </w:p>
    <w:p>
      <w:pPr>
        <w:spacing w:line="560" w:lineRule="exact"/>
        <w:ind w:right="640" w:firstLine="5040" w:firstLineChars="2100"/>
        <w:rPr>
          <w:rFonts w:hint="eastAsia" w:hAnsi="宋体"/>
          <w:b/>
          <w:color w:val="000000" w:themeColor="text1"/>
          <w:sz w:val="36"/>
          <w14:textFill>
            <w14:solidFill>
              <w14:schemeClr w14:val="tx1"/>
            </w14:solidFill>
          </w14:textFill>
        </w:rPr>
      </w:pPr>
      <w:r>
        <w:rPr>
          <w:rFonts w:hint="eastAsia" w:ascii="宋体" w:hAnsi="宋体"/>
          <w:color w:val="000000"/>
          <w:sz w:val="24"/>
          <w:lang w:val="en-US" w:eastAsia="zh-CN"/>
        </w:rPr>
        <w:t xml:space="preserve">  </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11日</w:t>
      </w:r>
    </w:p>
    <w:p>
      <w:pPr>
        <w:pStyle w:val="27"/>
        <w:spacing w:line="560" w:lineRule="exact"/>
        <w:jc w:val="both"/>
        <w:rPr>
          <w:rFonts w:hint="eastAsia" w:hAnsi="宋体"/>
          <w:b/>
          <w:color w:val="000000" w:themeColor="text1"/>
          <w:sz w:val="36"/>
          <w14:textFill>
            <w14:solidFill>
              <w14:schemeClr w14:val="tx1"/>
            </w14:solidFill>
          </w14:textFill>
        </w:rPr>
      </w:pPr>
    </w:p>
    <w:p>
      <w:pPr>
        <w:pStyle w:val="27"/>
        <w:spacing w:line="560" w:lineRule="exact"/>
        <w:jc w:val="both"/>
        <w:rPr>
          <w:rFonts w:hint="eastAsia" w:hAnsi="宋体"/>
          <w:b/>
          <w:color w:val="000000" w:themeColor="text1"/>
          <w:sz w:val="36"/>
          <w14:textFill>
            <w14:solidFill>
              <w14:schemeClr w14:val="tx1"/>
            </w14:solidFill>
          </w14:textFill>
        </w:rPr>
      </w:pPr>
    </w:p>
    <w:p>
      <w:pPr>
        <w:pStyle w:val="27"/>
        <w:spacing w:line="560" w:lineRule="exact"/>
        <w:jc w:val="both"/>
        <w:rPr>
          <w:rFonts w:hint="eastAsia" w:hAnsi="宋体"/>
          <w:b/>
          <w:color w:val="000000" w:themeColor="text1"/>
          <w:sz w:val="36"/>
          <w14:textFill>
            <w14:solidFill>
              <w14:schemeClr w14:val="tx1"/>
            </w14:solidFill>
          </w14:textFill>
        </w:rPr>
      </w:pPr>
    </w:p>
    <w:p>
      <w:pPr>
        <w:pStyle w:val="27"/>
        <w:spacing w:line="560" w:lineRule="exact"/>
        <w:jc w:val="both"/>
        <w:rPr>
          <w:rFonts w:hint="eastAsia" w:hAnsi="宋体"/>
          <w:b/>
          <w:color w:val="000000" w:themeColor="text1"/>
          <w:sz w:val="36"/>
          <w14:textFill>
            <w14:solidFill>
              <w14:schemeClr w14:val="tx1"/>
            </w14:solidFill>
          </w14:textFill>
        </w:rPr>
      </w:pPr>
    </w:p>
    <w:p>
      <w:pPr>
        <w:pStyle w:val="27"/>
        <w:spacing w:line="560" w:lineRule="exact"/>
        <w:jc w:val="center"/>
        <w:rPr>
          <w:rFonts w:hint="eastAsia" w:hAnsi="宋体"/>
          <w:b/>
          <w:color w:val="000000" w:themeColor="text1"/>
          <w:sz w:val="36"/>
          <w14:textFill>
            <w14:solidFill>
              <w14:schemeClr w14:val="tx1"/>
            </w14:solidFill>
          </w14:textFill>
        </w:rPr>
      </w:pPr>
    </w:p>
    <w:p>
      <w:pPr>
        <w:pStyle w:val="27"/>
        <w:spacing w:line="560" w:lineRule="exact"/>
        <w:jc w:val="center"/>
        <w:rPr>
          <w:rFonts w:hint="eastAsia" w:hAnsi="宋体"/>
          <w:b/>
          <w:color w:val="000000" w:themeColor="text1"/>
          <w:sz w:val="36"/>
          <w14:textFill>
            <w14:solidFill>
              <w14:schemeClr w14:val="tx1"/>
            </w14:solidFill>
          </w14:textFill>
        </w:rPr>
      </w:pPr>
    </w:p>
    <w:p>
      <w:pPr>
        <w:pStyle w:val="27"/>
        <w:spacing w:line="560" w:lineRule="exact"/>
        <w:jc w:val="center"/>
        <w:rPr>
          <w:rFonts w:hint="eastAsia" w:hAnsi="宋体"/>
          <w:b/>
          <w:color w:val="000000" w:themeColor="text1"/>
          <w:sz w:val="36"/>
          <w14:textFill>
            <w14:solidFill>
              <w14:schemeClr w14:val="tx1"/>
            </w14:solidFill>
          </w14:textFill>
        </w:rPr>
      </w:pPr>
    </w:p>
    <w:p>
      <w:pPr>
        <w:pStyle w:val="27"/>
        <w:spacing w:line="560" w:lineRule="exact"/>
        <w:jc w:val="center"/>
        <w:rPr>
          <w:rFonts w:hint="eastAsia" w:hAnsi="宋体"/>
          <w:b/>
          <w:color w:val="000000" w:themeColor="text1"/>
          <w:sz w:val="36"/>
          <w14:textFill>
            <w14:solidFill>
              <w14:schemeClr w14:val="tx1"/>
            </w14:solidFill>
          </w14:textFill>
        </w:rPr>
      </w:pPr>
    </w:p>
    <w:p>
      <w:pPr>
        <w:pStyle w:val="27"/>
        <w:spacing w:line="560" w:lineRule="exact"/>
        <w:jc w:val="center"/>
        <w:rPr>
          <w:rFonts w:hint="eastAsia" w:hAnsi="宋体"/>
          <w:b/>
          <w:color w:val="000000" w:themeColor="text1"/>
          <w:sz w:val="36"/>
          <w14:textFill>
            <w14:solidFill>
              <w14:schemeClr w14:val="tx1"/>
            </w14:solidFill>
          </w14:textFill>
        </w:rPr>
      </w:pPr>
    </w:p>
    <w:p>
      <w:pPr>
        <w:pStyle w:val="27"/>
        <w:spacing w:line="560" w:lineRule="exact"/>
        <w:jc w:val="both"/>
        <w:rPr>
          <w:rFonts w:hint="eastAsia" w:hAnsi="宋体"/>
          <w:b/>
          <w:color w:val="000000" w:themeColor="text1"/>
          <w:sz w:val="36"/>
          <w14:textFill>
            <w14:solidFill>
              <w14:schemeClr w14:val="tx1"/>
            </w14:solidFill>
          </w14:textFill>
        </w:rPr>
      </w:pPr>
    </w:p>
    <w:p>
      <w:pPr>
        <w:pStyle w:val="27"/>
        <w:spacing w:line="560" w:lineRule="exact"/>
        <w:jc w:val="center"/>
        <w:rPr>
          <w:rFonts w:hint="eastAsia" w:hAnsi="宋体"/>
          <w:b/>
          <w:color w:val="000000" w:themeColor="text1"/>
          <w:sz w:val="36"/>
          <w14:textFill>
            <w14:solidFill>
              <w14:schemeClr w14:val="tx1"/>
            </w14:solidFill>
          </w14:textFill>
        </w:rPr>
      </w:pPr>
    </w:p>
    <w:p>
      <w:pPr>
        <w:pStyle w:val="27"/>
        <w:spacing w:line="560" w:lineRule="exact"/>
        <w:jc w:val="center"/>
        <w:rPr>
          <w:rFonts w:hAnsi="宋体"/>
          <w:b/>
          <w:bCs/>
          <w:color w:val="000000" w:themeColor="text1"/>
          <w:sz w:val="30"/>
          <w:szCs w:val="30"/>
          <w14:textFill>
            <w14:solidFill>
              <w14:schemeClr w14:val="tx1"/>
            </w14:solidFill>
          </w14:textFill>
        </w:rPr>
      </w:pPr>
      <w:r>
        <w:rPr>
          <w:rFonts w:hint="eastAsia" w:hAnsi="宋体"/>
          <w:b/>
          <w:color w:val="000000" w:themeColor="text1"/>
          <w:sz w:val="36"/>
          <w14:textFill>
            <w14:solidFill>
              <w14:schemeClr w14:val="tx1"/>
            </w14:solidFill>
          </w14:textFill>
        </w:rPr>
        <w:t>第二章  谈判供应商须知</w:t>
      </w:r>
    </w:p>
    <w:p>
      <w:pPr>
        <w:spacing w:line="400" w:lineRule="exact"/>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谈判供应商须知前附表1</w:t>
      </w:r>
    </w:p>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本须知前附表的条款号是与《谈判供应商须知》中条款的项号相对应的。如果有矛盾的话，应以本附表为准。 </w:t>
      </w:r>
    </w:p>
    <w:tbl>
      <w:tblPr>
        <w:tblStyle w:val="19"/>
        <w:tblW w:w="94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821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821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spacing w:line="560" w:lineRule="exact"/>
              <w:textAlignment w:val="auto"/>
              <w:rPr>
                <w:rFonts w:hint="eastAsia" w:hAnsi="宋体" w:eastAsiaTheme="minorEastAsia"/>
                <w:b/>
                <w:color w:val="000000" w:themeColor="text1"/>
                <w:sz w:val="24"/>
                <w:szCs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eastAsiaTheme="minorEastAsia" w:cstheme="minorBidi"/>
                <w:b w:val="0"/>
                <w:bCs/>
                <w:color w:val="auto"/>
                <w:kern w:val="0"/>
                <w:sz w:val="24"/>
                <w:szCs w:val="24"/>
                <w:u w:val="single"/>
                <w:lang w:val="en-US" w:eastAsia="zh-CN" w:bidi="ar-SA"/>
              </w:rPr>
              <w:t>铜仁市第二人民医院发热门诊</w:t>
            </w:r>
            <w:r>
              <w:rPr>
                <w:rFonts w:hint="eastAsia" w:ascii="宋体" w:hAnsi="宋体" w:cstheme="minorBidi"/>
                <w:b w:val="0"/>
                <w:bCs/>
                <w:color w:val="auto"/>
                <w:kern w:val="0"/>
                <w:sz w:val="24"/>
                <w:szCs w:val="24"/>
                <w:u w:val="single"/>
                <w:lang w:val="en-US" w:eastAsia="zh-CN" w:bidi="ar-SA"/>
              </w:rPr>
              <w:t>医用设备采购及安装</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采购人名称： </w:t>
            </w:r>
            <w:r>
              <w:rPr>
                <w:rFonts w:hint="eastAsia" w:ascii="宋体" w:hAnsi="Courier New" w:eastAsiaTheme="minorEastAsia" w:cstheme="minorBidi"/>
                <w:b w:val="0"/>
                <w:bCs w:val="0"/>
                <w:kern w:val="0"/>
                <w:sz w:val="24"/>
                <w:szCs w:val="24"/>
                <w:u w:val="single"/>
                <w:lang w:val="en-US" w:eastAsia="zh-CN" w:bidi="ar-SA"/>
              </w:rPr>
              <w:t xml:space="preserve"> 铜仁市第二人民医院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400" w:lineRule="exact"/>
              <w:rPr>
                <w:rFonts w:ascii="宋体" w:hAnsi="宋体"/>
                <w:color w:val="auto"/>
                <w:sz w:val="24"/>
              </w:rPr>
            </w:pPr>
            <w:r>
              <w:rPr>
                <w:rFonts w:hint="eastAsia" w:ascii="宋体" w:hAnsi="宋体"/>
                <w:color w:val="000000" w:themeColor="text1"/>
                <w:sz w:val="24"/>
                <w14:textFill>
                  <w14:solidFill>
                    <w14:schemeClr w14:val="tx1"/>
                  </w14:solidFill>
                </w14:textFill>
              </w:rPr>
              <w:t>采购人</w:t>
            </w: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color w:val="auto"/>
                <w:sz w:val="24"/>
                <w:u w:val="single"/>
                <w:lang w:eastAsia="zh-CN"/>
              </w:rPr>
              <w:t>铜仁市</w:t>
            </w:r>
            <w:r>
              <w:rPr>
                <w:rFonts w:hint="eastAsia" w:ascii="宋体" w:hAnsi="Courier New" w:eastAsiaTheme="minorEastAsia" w:cstheme="minorBidi"/>
                <w:b w:val="0"/>
                <w:bCs w:val="0"/>
                <w:kern w:val="0"/>
                <w:sz w:val="24"/>
                <w:szCs w:val="24"/>
                <w:u w:val="single"/>
                <w:lang w:val="en-US" w:eastAsia="zh-CN" w:bidi="ar-SA"/>
              </w:rPr>
              <w:t>第二人民医院</w:t>
            </w:r>
            <w:r>
              <w:rPr>
                <w:rFonts w:hint="eastAsia" w:ascii="宋体" w:hAnsi="Courier New" w:cstheme="minorBidi"/>
                <w:b w:val="0"/>
                <w:bCs w:val="0"/>
                <w:kern w:val="0"/>
                <w:sz w:val="24"/>
                <w:szCs w:val="24"/>
                <w:u w:val="single"/>
                <w:lang w:val="en-US" w:eastAsia="zh-CN" w:bidi="ar-SA"/>
              </w:rPr>
              <w:t>内</w:t>
            </w:r>
            <w:r>
              <w:rPr>
                <w:rFonts w:hint="eastAsia" w:ascii="宋体" w:hAnsi="宋体"/>
                <w:color w:val="auto"/>
                <w:sz w:val="24"/>
                <w:u w:val="single"/>
              </w:rPr>
              <w:t xml:space="preserve"> </w:t>
            </w:r>
            <w:r>
              <w:rPr>
                <w:rFonts w:hint="eastAsia" w:ascii="宋体" w:hAnsi="宋体"/>
                <w:color w:val="auto"/>
                <w:sz w:val="24"/>
              </w:rPr>
              <w:t xml:space="preserve"> </w:t>
            </w:r>
          </w:p>
          <w:p>
            <w:pPr>
              <w:spacing w:line="400" w:lineRule="exact"/>
              <w:rPr>
                <w:rFonts w:hint="eastAsia" w:ascii="宋体" w:hAnsi="宋体" w:eastAsiaTheme="minorEastAsia"/>
                <w:color w:val="auto"/>
                <w:sz w:val="24"/>
                <w:lang w:eastAsia="zh-CN"/>
              </w:rPr>
            </w:pPr>
            <w:r>
              <w:rPr>
                <w:rFonts w:hint="eastAsia" w:ascii="宋体" w:hAnsi="宋体"/>
                <w:color w:val="auto"/>
                <w:sz w:val="24"/>
              </w:rPr>
              <w:t>项目内容：</w:t>
            </w:r>
            <w:r>
              <w:rPr>
                <w:rFonts w:hint="eastAsia" w:ascii="宋体" w:hAnsi="宋体"/>
                <w:color w:val="auto"/>
                <w:sz w:val="24"/>
                <w:lang w:eastAsia="zh-CN"/>
              </w:rPr>
              <w:t>详见采购内容</w:t>
            </w:r>
          </w:p>
          <w:p>
            <w:pPr>
              <w:pStyle w:val="6"/>
              <w:spacing w:before="93"/>
              <w:ind w:left="0" w:leftChars="0" w:firstLine="0" w:firstLineChars="0"/>
              <w:rPr>
                <w:rFonts w:hint="default" w:ascii="宋体" w:hAnsi="宋体"/>
                <w:color w:val="000000" w:themeColor="text1"/>
                <w:sz w:val="24"/>
                <w:u w:val="single"/>
                <w:lang w:val="en-US"/>
                <w14:textFill>
                  <w14:solidFill>
                    <w14:schemeClr w14:val="tx1"/>
                  </w14:solidFill>
                </w14:textFill>
              </w:rPr>
            </w:pPr>
            <w:r>
              <w:rPr>
                <w:rFonts w:hint="eastAsia" w:ascii="宋体" w:hAnsi="宋体" w:eastAsiaTheme="minorEastAsia" w:cstheme="minorBidi"/>
                <w:b w:val="0"/>
                <w:bCs w:val="0"/>
                <w:color w:val="auto"/>
                <w:kern w:val="2"/>
                <w:sz w:val="24"/>
                <w:szCs w:val="22"/>
                <w:lang w:val="en-US" w:eastAsia="zh-CN" w:bidi="ar-SA"/>
              </w:rPr>
              <w:t>项目编号：  CQXZ-2020-0</w:t>
            </w:r>
            <w:r>
              <w:rPr>
                <w:rFonts w:hint="eastAsia" w:ascii="宋体" w:hAnsi="宋体" w:eastAsiaTheme="minorEastAsia" w:cstheme="minorBidi"/>
                <w:b w:val="0"/>
                <w:bCs w:val="0"/>
                <w:color w:val="000000" w:themeColor="text1"/>
                <w:kern w:val="2"/>
                <w:sz w:val="24"/>
                <w:szCs w:val="22"/>
                <w:lang w:val="en-US" w:eastAsia="zh-CN" w:bidi="ar-SA"/>
                <w14:textFill>
                  <w14:solidFill>
                    <w14:schemeClr w14:val="tx1"/>
                  </w14:solidFill>
                </w14:textFill>
              </w:rPr>
              <w:t>1</w:t>
            </w:r>
            <w:r>
              <w:rPr>
                <w:rFonts w:hint="eastAsia" w:eastAsiaTheme="minorEastAsia" w:cstheme="minorBidi"/>
                <w:b w:val="0"/>
                <w:bCs w:val="0"/>
                <w:color w:val="000000" w:themeColor="text1"/>
                <w:kern w:val="2"/>
                <w:sz w:val="24"/>
                <w:szCs w:val="22"/>
                <w:lang w:val="en-US" w:eastAsia="zh-CN" w:bidi="ar-SA"/>
                <w14:textFill>
                  <w14:solidFill>
                    <w14:schemeClr w14:val="tx1"/>
                  </w14:solidFill>
                </w14:textFill>
              </w:rPr>
              <w:t>4</w:t>
            </w:r>
          </w:p>
          <w:p>
            <w:pPr>
              <w:spacing w:line="400" w:lineRule="exact"/>
              <w:rPr>
                <w:rFonts w:ascii="宋体" w:hAnsi="宋体"/>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财政审核控制价（预算价）：</w:t>
            </w:r>
            <w:r>
              <w:rPr>
                <w:rFonts w:hint="eastAsia" w:ascii="Arial" w:hAnsi="Arial" w:cs="Arial"/>
                <w:color w:val="000000" w:themeColor="text1"/>
                <w:sz w:val="24"/>
                <w:lang w:val="en-US" w:eastAsia="zh-CN"/>
                <w14:textFill>
                  <w14:solidFill>
                    <w14:schemeClr w14:val="tx1"/>
                  </w14:solidFill>
                </w14:textFill>
              </w:rPr>
              <w:t>1包：</w:t>
            </w:r>
            <w:r>
              <w:rPr>
                <w:rFonts w:hint="eastAsia" w:ascii="宋体" w:hAnsi="宋体"/>
                <w:b/>
                <w:bCs/>
                <w:color w:val="000000" w:themeColor="text1"/>
                <w:sz w:val="24"/>
                <w:u w:val="single"/>
                <w:lang w:val="en-US" w:eastAsia="zh-CN"/>
                <w14:textFill>
                  <w14:solidFill>
                    <w14:schemeClr w14:val="tx1"/>
                  </w14:solidFill>
                </w14:textFill>
              </w:rPr>
              <w:t>400万元</w:t>
            </w:r>
            <w:r>
              <w:rPr>
                <w:rFonts w:hint="eastAsia" w:ascii="宋体" w:hAnsi="宋体"/>
                <w:b/>
                <w:bCs/>
                <w:color w:val="000000" w:themeColor="text1"/>
                <w:sz w:val="24"/>
                <w:lang w:val="en-US" w:eastAsia="zh-CN"/>
                <w14:textFill>
                  <w14:solidFill>
                    <w14:schemeClr w14:val="tx1"/>
                  </w14:solidFill>
                </w14:textFill>
              </w:rPr>
              <w:t>；2包：1</w:t>
            </w:r>
            <w:r>
              <w:rPr>
                <w:rFonts w:hint="eastAsia" w:ascii="宋体" w:hAnsi="宋体"/>
                <w:b/>
                <w:bCs/>
                <w:color w:val="000000" w:themeColor="text1"/>
                <w:sz w:val="24"/>
                <w:u w:val="single"/>
                <w:lang w:val="en-US" w:eastAsia="zh-CN"/>
                <w14:textFill>
                  <w14:solidFill>
                    <w14:schemeClr w14:val="tx1"/>
                  </w14:solidFill>
                </w14:textFill>
              </w:rPr>
              <w:t>62.11万元</w:t>
            </w:r>
            <w:r>
              <w:rPr>
                <w:rFonts w:hint="eastAsia" w:ascii="Arial" w:hAnsi="Arial" w:cs="Arial"/>
                <w:color w:val="000000" w:themeColor="text1"/>
                <w:sz w:val="24"/>
                <w14:textFill>
                  <w14:solidFill>
                    <w14:schemeClr w14:val="tx1"/>
                  </w14:solidFill>
                </w14:textFill>
              </w:rPr>
              <w:t>（谈判</w:t>
            </w:r>
            <w:r>
              <w:rPr>
                <w:rFonts w:hint="eastAsia" w:ascii="宋体" w:hAnsi="宋体"/>
                <w:color w:val="000000" w:themeColor="text1"/>
                <w:sz w:val="24"/>
                <w14:textFill>
                  <w14:solidFill>
                    <w14:schemeClr w14:val="tx1"/>
                  </w14:solidFill>
                </w14:textFill>
              </w:rPr>
              <w:t>首次</w:t>
            </w:r>
            <w:r>
              <w:rPr>
                <w:rFonts w:hint="eastAsia" w:asciiTheme="minorEastAsia" w:hAnsiTheme="minorEastAsia"/>
                <w:color w:val="000000" w:themeColor="text1"/>
                <w:sz w:val="24"/>
                <w:szCs w:val="24"/>
                <w14:textFill>
                  <w14:solidFill>
                    <w14:schemeClr w14:val="tx1"/>
                  </w14:solidFill>
                </w14:textFill>
              </w:rPr>
              <w:t>报价不能超过财政审核预算价</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8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是否允许中国境外供应商参加本采购项目：</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是/ </w:t>
            </w:r>
            <w:r>
              <w:rPr>
                <w:rFonts w:hint="default" w:ascii="Arial" w:hAnsi="Arial" w:cs="Arial"/>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8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资格标准：</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p>
        </w:tc>
        <w:tc>
          <w:tcPr>
            <w:tcW w:w="8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响应文件递交地址：</w:t>
            </w:r>
            <w:r>
              <w:rPr>
                <w:rFonts w:hint="eastAsia" w:ascii="宋体" w:hAnsi="宋体"/>
                <w:b/>
                <w:color w:val="000000" w:themeColor="text1"/>
                <w:sz w:val="24"/>
                <w:lang w:val="en-US" w:eastAsia="zh-CN"/>
                <w14:textFill>
                  <w14:solidFill>
                    <w14:schemeClr w14:val="tx1"/>
                  </w14:solidFill>
                </w14:textFill>
              </w:rPr>
              <w:t>铜仁市公共资源交易中心开标区</w:t>
            </w:r>
            <w:r>
              <w:rPr>
                <w:rFonts w:hint="eastAsia" w:ascii="宋体" w:hAnsi="宋体"/>
                <w:color w:val="000000" w:themeColor="text1"/>
                <w:sz w:val="24"/>
                <w14:textFill>
                  <w14:solidFill>
                    <w14:schemeClr w14:val="tx1"/>
                  </w14:solidFill>
                </w14:textFill>
              </w:rPr>
              <w:t xml:space="preserve">  </w:t>
            </w:r>
          </w:p>
          <w:p>
            <w:pPr>
              <w:spacing w:line="400" w:lineRule="exact"/>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响应文件提交截止时间：</w:t>
            </w:r>
            <w:r>
              <w:rPr>
                <w:rFonts w:hint="eastAsia" w:ascii="宋体" w:hAnsi="宋体"/>
                <w:color w:val="000000" w:themeColor="text1"/>
                <w:sz w:val="24"/>
                <w:lang w:val="en-US" w:eastAsia="zh-CN"/>
                <w14:textFill>
                  <w14:solidFill>
                    <w14:schemeClr w14:val="tx1"/>
                  </w14:solidFill>
                </w14:textFill>
              </w:rPr>
              <w:t>2020年9 月18日14时00分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8215" w:type="dxa"/>
            <w:tcBorders>
              <w:top w:val="single" w:color="auto" w:sz="4" w:space="0"/>
              <w:left w:val="single" w:color="auto" w:sz="4" w:space="0"/>
              <w:bottom w:val="single" w:color="auto" w:sz="4" w:space="0"/>
              <w:right w:val="single" w:color="auto" w:sz="4" w:space="0"/>
            </w:tcBorders>
            <w:vAlign w:val="center"/>
          </w:tcPr>
          <w:p>
            <w:pPr>
              <w:pStyle w:val="37"/>
              <w:spacing w:before="80" w:line="312" w:lineRule="auto"/>
              <w:ind w:left="108" w:right="89"/>
              <w:jc w:val="both"/>
              <w:rPr>
                <w:sz w:val="24"/>
              </w:rPr>
            </w:pPr>
            <w:r>
              <w:rPr>
                <w:rFonts w:hint="eastAsia"/>
                <w:sz w:val="24"/>
                <w:lang w:eastAsia="zh-CN"/>
              </w:rPr>
              <w:t>谈判</w:t>
            </w:r>
            <w:r>
              <w:rPr>
                <w:sz w:val="24"/>
              </w:rPr>
              <w:t>保证金：响应文件</w:t>
            </w:r>
            <w:r>
              <w:rPr>
                <w:color w:val="auto"/>
                <w:sz w:val="24"/>
              </w:rPr>
              <w:t>应附有人民币</w:t>
            </w:r>
            <w:r>
              <w:rPr>
                <w:rFonts w:hint="eastAsia"/>
                <w:color w:val="auto"/>
                <w:sz w:val="24"/>
                <w:lang w:val="en-US" w:eastAsia="zh-CN"/>
              </w:rPr>
              <w:t>1包：</w:t>
            </w:r>
            <w:r>
              <w:rPr>
                <w:color w:val="auto"/>
                <w:sz w:val="24"/>
                <w:u w:val="single" w:color="FF0000"/>
              </w:rPr>
              <w:t xml:space="preserve"> </w:t>
            </w:r>
            <w:r>
              <w:rPr>
                <w:b/>
                <w:color w:val="auto"/>
                <w:sz w:val="24"/>
                <w:u w:val="single" w:color="FF0000"/>
              </w:rPr>
              <w:t xml:space="preserve">10000 </w:t>
            </w:r>
            <w:r>
              <w:rPr>
                <w:color w:val="auto"/>
                <w:sz w:val="24"/>
              </w:rPr>
              <w:t>元整</w:t>
            </w:r>
            <w:r>
              <w:rPr>
                <w:rFonts w:hint="eastAsia"/>
                <w:color w:val="auto"/>
                <w:sz w:val="24"/>
                <w:lang w:eastAsia="zh-CN"/>
              </w:rPr>
              <w:t>；</w:t>
            </w:r>
            <w:r>
              <w:rPr>
                <w:rFonts w:hint="eastAsia"/>
                <w:color w:val="auto"/>
                <w:sz w:val="24"/>
                <w:lang w:val="en-US" w:eastAsia="zh-CN"/>
              </w:rPr>
              <w:t>2包：5000</w:t>
            </w:r>
            <w:r>
              <w:rPr>
                <w:rFonts w:hint="eastAsia"/>
                <w:sz w:val="24"/>
                <w:lang w:val="en-US" w:eastAsia="zh-CN"/>
              </w:rPr>
              <w:t>元整</w:t>
            </w:r>
            <w:r>
              <w:rPr>
                <w:sz w:val="24"/>
              </w:rPr>
              <w:t>的</w:t>
            </w:r>
            <w:r>
              <w:rPr>
                <w:rFonts w:hint="eastAsia"/>
                <w:sz w:val="24"/>
                <w:lang w:eastAsia="zh-CN"/>
              </w:rPr>
              <w:t>谈判</w:t>
            </w:r>
            <w:r>
              <w:rPr>
                <w:sz w:val="24"/>
              </w:rPr>
              <w:t>保证金，</w:t>
            </w:r>
            <w:r>
              <w:rPr>
                <w:rFonts w:hint="eastAsia" w:cs="宋体"/>
                <w:sz w:val="24"/>
                <w:szCs w:val="24"/>
                <w:lang w:val="en-US" w:eastAsia="zh-CN" w:bidi="zh-CN"/>
              </w:rPr>
              <w:t>谈判供应商</w:t>
            </w:r>
            <w:r>
              <w:rPr>
                <w:rFonts w:hint="eastAsia" w:ascii="宋体" w:hAnsi="宋体" w:eastAsia="宋体" w:cs="宋体"/>
                <w:sz w:val="24"/>
                <w:szCs w:val="24"/>
                <w:lang w:val="en-US" w:eastAsia="zh-CN" w:bidi="zh-CN"/>
              </w:rPr>
              <w:t>可以采用银行转账、电汇或《投标保证金保函》（电子保函）形式缴交，</w:t>
            </w:r>
            <w:r>
              <w:rPr>
                <w:rFonts w:hint="eastAsia" w:cs="宋体"/>
                <w:sz w:val="24"/>
                <w:szCs w:val="24"/>
                <w:lang w:val="en-US" w:eastAsia="zh-CN" w:bidi="zh-CN"/>
              </w:rPr>
              <w:t>谈判</w:t>
            </w:r>
            <w:r>
              <w:rPr>
                <w:rFonts w:hint="eastAsia" w:ascii="宋体" w:hAnsi="宋体" w:eastAsia="宋体" w:cs="宋体"/>
                <w:sz w:val="24"/>
                <w:szCs w:val="24"/>
                <w:lang w:val="en-US" w:eastAsia="zh-CN" w:bidi="zh-CN"/>
              </w:rPr>
              <w:t>保证金以现金方式提交的，需从</w:t>
            </w:r>
            <w:r>
              <w:rPr>
                <w:rFonts w:hint="eastAsia" w:cs="宋体"/>
                <w:sz w:val="24"/>
                <w:szCs w:val="24"/>
                <w:lang w:val="en-US" w:eastAsia="zh-CN" w:bidi="zh-CN"/>
              </w:rPr>
              <w:t>谈判供应商</w:t>
            </w:r>
            <w:r>
              <w:rPr>
                <w:rFonts w:hint="eastAsia" w:ascii="宋体" w:hAnsi="宋体" w:eastAsia="宋体" w:cs="宋体"/>
                <w:sz w:val="24"/>
                <w:szCs w:val="24"/>
                <w:lang w:val="en-US" w:eastAsia="zh-CN" w:bidi="zh-CN"/>
              </w:rPr>
              <w:t>基本账户转出。</w:t>
            </w:r>
          </w:p>
          <w:p>
            <w:pPr>
              <w:pStyle w:val="37"/>
              <w:spacing w:before="1" w:line="312" w:lineRule="auto"/>
              <w:ind w:left="108" w:right="96"/>
              <w:jc w:val="both"/>
              <w:rPr>
                <w:sz w:val="24"/>
              </w:rPr>
            </w:pPr>
            <w:r>
              <w:rPr>
                <w:sz w:val="24"/>
              </w:rPr>
              <w:t>为方便</w:t>
            </w:r>
            <w:r>
              <w:rPr>
                <w:rFonts w:hint="eastAsia"/>
                <w:sz w:val="24"/>
                <w:lang w:eastAsia="zh-CN"/>
              </w:rPr>
              <w:t>谈判</w:t>
            </w:r>
            <w:r>
              <w:rPr>
                <w:sz w:val="24"/>
              </w:rPr>
              <w:t>保证金的收、退结算，请在银行汇款凭证上标注项目随机</w:t>
            </w:r>
            <w:r>
              <w:rPr>
                <w:spacing w:val="-4"/>
                <w:sz w:val="24"/>
              </w:rPr>
              <w:t>码，</w:t>
            </w:r>
            <w:r>
              <w:rPr>
                <w:rFonts w:hint="eastAsia"/>
                <w:spacing w:val="-4"/>
                <w:sz w:val="24"/>
                <w:lang w:eastAsia="zh-CN"/>
              </w:rPr>
              <w:t>谈判</w:t>
            </w:r>
            <w:r>
              <w:rPr>
                <w:spacing w:val="-4"/>
                <w:sz w:val="24"/>
              </w:rPr>
              <w:t>保证金缴交凭证请随同</w:t>
            </w:r>
            <w:r>
              <w:rPr>
                <w:rFonts w:hint="eastAsia"/>
                <w:spacing w:val="-4"/>
                <w:sz w:val="24"/>
                <w:lang w:eastAsia="zh-CN"/>
              </w:rPr>
              <w:t>谈判</w:t>
            </w:r>
            <w:r>
              <w:rPr>
                <w:spacing w:val="-4"/>
                <w:sz w:val="24"/>
              </w:rPr>
              <w:t>响应文件同时送达。</w:t>
            </w:r>
            <w:r>
              <w:rPr>
                <w:sz w:val="24"/>
              </w:rPr>
              <w:t>（</w:t>
            </w:r>
            <w:r>
              <w:rPr>
                <w:spacing w:val="-3"/>
                <w:sz w:val="24"/>
              </w:rPr>
              <w:t>保证金不得超</w:t>
            </w:r>
            <w:r>
              <w:rPr>
                <w:spacing w:val="-6"/>
                <w:sz w:val="24"/>
              </w:rPr>
              <w:t xml:space="preserve">过采购项目预算金额的 </w:t>
            </w:r>
            <w:r>
              <w:rPr>
                <w:rFonts w:ascii="Arial" w:eastAsia="Arial"/>
                <w:sz w:val="24"/>
              </w:rPr>
              <w:t>2%</w:t>
            </w:r>
            <w:r>
              <w:rPr>
                <w:sz w:val="24"/>
              </w:rPr>
              <w:t>）</w:t>
            </w:r>
          </w:p>
          <w:p>
            <w:pPr>
              <w:spacing w:line="400" w:lineRule="exact"/>
              <w:rPr>
                <w:rFonts w:ascii="宋体" w:hAnsi="宋体"/>
                <w:color w:val="000000" w:themeColor="text1"/>
                <w:sz w:val="24"/>
                <w14:textFill>
                  <w14:solidFill>
                    <w14:schemeClr w14:val="tx1"/>
                  </w14:solidFill>
                </w14:textFill>
              </w:rPr>
            </w:pPr>
            <w:r>
              <w:rPr>
                <w:sz w:val="24"/>
              </w:rPr>
              <w:t>注：</w:t>
            </w:r>
            <w:r>
              <w:rPr>
                <w:rFonts w:hint="eastAsia"/>
                <w:sz w:val="24"/>
                <w:lang w:eastAsia="zh-CN"/>
              </w:rPr>
              <w:t>谈判</w:t>
            </w:r>
            <w:r>
              <w:rPr>
                <w:sz w:val="24"/>
              </w:rPr>
              <w:t>保证金必须</w:t>
            </w:r>
            <w:r>
              <w:rPr>
                <w:color w:val="auto"/>
                <w:sz w:val="24"/>
              </w:rPr>
              <w:t>在规定时间前到</w:t>
            </w:r>
            <w:r>
              <w:rPr>
                <w:sz w:val="24"/>
              </w:rPr>
              <w:t>帐，否则视为无效响应。</w:t>
            </w:r>
            <w:r>
              <w:rPr>
                <w:rFonts w:hint="eastAsia" w:ascii="宋体" w:hAnsi="宋体"/>
                <w:color w:val="000000" w:themeColor="text1"/>
                <w:sz w:val="24"/>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821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u w:val="none"/>
                <w14:textFill>
                  <w14:solidFill>
                    <w14:schemeClr w14:val="tx1"/>
                  </w14:solidFill>
                </w14:textFill>
              </w:rPr>
              <w:t>评审标准：</w:t>
            </w:r>
            <w:r>
              <w:rPr>
                <w:rFonts w:hint="eastAsia" w:ascii="宋体" w:hAnsi="宋体"/>
                <w:color w:val="000000" w:themeColor="text1"/>
                <w:sz w:val="24"/>
                <w:u w:val="single"/>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4"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p>
        </w:tc>
        <w:tc>
          <w:tcPr>
            <w:tcW w:w="82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stheme="minorBidi"/>
                <w:b w:val="0"/>
                <w:bCs w:val="0"/>
                <w:color w:val="000000" w:themeColor="text1"/>
                <w:kern w:val="2"/>
                <w:sz w:val="24"/>
                <w:szCs w:val="22"/>
                <w:u w:val="none"/>
                <w:lang w:val="en-US" w:eastAsia="zh-CN" w:bidi="ar-SA"/>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谈判原则：</w:t>
            </w:r>
            <w:r>
              <w:rPr>
                <w:rFonts w:hint="eastAsia" w:ascii="宋体" w:hAnsi="宋体" w:eastAsiaTheme="minorEastAsia" w:cstheme="minorBidi"/>
                <w:b w:val="0"/>
                <w:bCs w:val="0"/>
                <w:color w:val="000000" w:themeColor="text1"/>
                <w:kern w:val="2"/>
                <w:sz w:val="24"/>
                <w:szCs w:val="22"/>
                <w:u w:val="none"/>
                <w:lang w:val="en-US" w:eastAsia="zh-CN" w:bidi="ar-SA"/>
                <w14:textFill>
                  <w14:solidFill>
                    <w14:schemeClr w14:val="tx1"/>
                  </w14:solidFill>
                </w14:textFill>
              </w:rPr>
              <w:t>分别进行谈判，</w:t>
            </w:r>
            <w:r>
              <w:rPr>
                <w:rFonts w:hint="eastAsia" w:ascii="宋体" w:hAnsi="宋体" w:cstheme="minorBidi"/>
                <w:b w:val="0"/>
                <w:bCs w:val="0"/>
                <w:color w:val="000000" w:themeColor="text1"/>
                <w:kern w:val="2"/>
                <w:sz w:val="24"/>
                <w:szCs w:val="22"/>
                <w:u w:val="none"/>
                <w:lang w:val="en-US" w:eastAsia="zh-CN" w:bidi="ar-SA"/>
                <w14:textFill>
                  <w14:solidFill>
                    <w14:schemeClr w14:val="tx1"/>
                  </w14:solidFill>
                </w14:textFill>
              </w:rPr>
              <w:t>本项目分为</w:t>
            </w:r>
            <w:r>
              <w:rPr>
                <w:rFonts w:hint="eastAsia" w:ascii="宋体" w:hAnsi="宋体" w:cstheme="minorBidi"/>
                <w:b/>
                <w:bCs/>
                <w:color w:val="000000" w:themeColor="text1"/>
                <w:kern w:val="2"/>
                <w:sz w:val="24"/>
                <w:szCs w:val="22"/>
                <w:u w:val="single"/>
                <w:lang w:val="en-US" w:eastAsia="zh-CN" w:bidi="ar-SA"/>
                <w14:textFill>
                  <w14:solidFill>
                    <w14:schemeClr w14:val="tx1"/>
                  </w14:solidFill>
                </w14:textFill>
              </w:rPr>
              <w:t>两次</w:t>
            </w:r>
            <w:r>
              <w:rPr>
                <w:rFonts w:hint="eastAsia" w:ascii="宋体" w:hAnsi="宋体" w:eastAsiaTheme="minorEastAsia" w:cstheme="minorBidi"/>
                <w:b w:val="0"/>
                <w:bCs w:val="0"/>
                <w:color w:val="000000" w:themeColor="text1"/>
                <w:kern w:val="2"/>
                <w:sz w:val="24"/>
                <w:szCs w:val="22"/>
                <w:u w:val="none"/>
                <w:lang w:val="en-US" w:eastAsia="zh-CN" w:bidi="ar-SA"/>
                <w14:textFill>
                  <w14:solidFill>
                    <w14:schemeClr w14:val="tx1"/>
                  </w14:solidFill>
                </w14:textFill>
              </w:rPr>
              <w:t>报价，根据质量和服务均能满足谈判文件实质性响应要求且最后报价最低的原则确定成交供应商。</w:t>
            </w:r>
          </w:p>
          <w:p>
            <w:pPr>
              <w:pStyle w:val="4"/>
            </w:pPr>
            <w:r>
              <w:rPr>
                <w:rFonts w:hint="eastAsia" w:ascii="宋体" w:hAnsi="宋体" w:eastAsiaTheme="minorEastAsia" w:cstheme="minorBidi"/>
                <w:b w:val="0"/>
                <w:bCs w:val="0"/>
                <w:color w:val="000000" w:themeColor="text1"/>
                <w:kern w:val="2"/>
                <w:sz w:val="24"/>
                <w:szCs w:val="22"/>
                <w:u w:val="none"/>
                <w:lang w:val="en-US" w:eastAsia="zh-CN" w:bidi="ar-SA"/>
                <w14:textFill>
                  <w14:solidFill>
                    <w14:schemeClr w14:val="tx1"/>
                  </w14:solidFill>
                </w14:textFill>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8215" w:type="dxa"/>
            <w:tcBorders>
              <w:top w:val="single" w:color="auto" w:sz="4" w:space="0"/>
              <w:left w:val="single" w:color="auto" w:sz="4" w:space="0"/>
              <w:bottom w:val="single" w:color="auto" w:sz="4" w:space="0"/>
              <w:right w:val="single" w:color="auto" w:sz="4" w:space="0"/>
            </w:tcBorders>
            <w:vAlign w:val="center"/>
          </w:tcPr>
          <w:p>
            <w:pPr>
              <w:pStyle w:val="37"/>
              <w:numPr>
                <w:ilvl w:val="0"/>
                <w:numId w:val="0"/>
              </w:numPr>
              <w:spacing w:before="80" w:line="312" w:lineRule="auto"/>
              <w:ind w:right="28" w:rightChars="0"/>
              <w:rPr>
                <w:rFonts w:hint="default"/>
                <w:color w:val="auto"/>
                <w:spacing w:val="-2"/>
                <w:sz w:val="24"/>
                <w:szCs w:val="24"/>
                <w:u w:val="none"/>
                <w:lang w:val="en-US" w:eastAsia="zh-CN"/>
              </w:rPr>
            </w:pPr>
            <w:r>
              <w:rPr>
                <w:rFonts w:hint="eastAsia"/>
                <w:color w:val="auto"/>
                <w:spacing w:val="-2"/>
                <w:sz w:val="24"/>
                <w:szCs w:val="24"/>
                <w:u w:val="none"/>
                <w:lang w:val="en-US" w:eastAsia="zh-CN"/>
              </w:rPr>
              <w:t>其他说明：</w:t>
            </w:r>
          </w:p>
          <w:p>
            <w:pPr>
              <w:pStyle w:val="37"/>
              <w:numPr>
                <w:ilvl w:val="0"/>
                <w:numId w:val="0"/>
              </w:numPr>
              <w:spacing w:before="80" w:line="312" w:lineRule="auto"/>
              <w:ind w:right="28" w:rightChars="0"/>
              <w:rPr>
                <w:rFonts w:hint="eastAsia"/>
                <w:color w:val="auto"/>
                <w:spacing w:val="-2"/>
                <w:sz w:val="24"/>
                <w:szCs w:val="24"/>
                <w:u w:val="none"/>
                <w:lang w:val="en-US" w:eastAsia="zh-CN"/>
              </w:rPr>
            </w:pPr>
            <w:r>
              <w:rPr>
                <w:rFonts w:hint="eastAsia"/>
                <w:color w:val="auto"/>
                <w:spacing w:val="-2"/>
                <w:sz w:val="24"/>
                <w:szCs w:val="24"/>
                <w:u w:val="none"/>
                <w:lang w:val="en-US" w:eastAsia="zh-CN"/>
              </w:rPr>
              <w:t>1、业主有权调整部分设备的规格 型号及数量；</w:t>
            </w:r>
          </w:p>
          <w:p>
            <w:pPr>
              <w:pStyle w:val="37"/>
              <w:numPr>
                <w:ilvl w:val="0"/>
                <w:numId w:val="0"/>
              </w:numPr>
              <w:spacing w:before="80" w:line="312" w:lineRule="auto"/>
              <w:ind w:leftChars="-7" w:right="-75" w:rightChars="0"/>
              <w:rPr>
                <w:rFonts w:ascii="宋体" w:hAnsi="宋体"/>
                <w:color w:val="auto"/>
                <w:sz w:val="24"/>
              </w:rPr>
            </w:pPr>
            <w:r>
              <w:rPr>
                <w:rFonts w:hint="eastAsia"/>
                <w:color w:val="auto"/>
                <w:spacing w:val="-2"/>
                <w:sz w:val="24"/>
                <w:szCs w:val="24"/>
                <w:u w:val="none"/>
                <w:lang w:val="en-US" w:eastAsia="zh-CN"/>
              </w:rPr>
              <w:t>2、招标文件中技术部分如果涉及到品牌、型号等，并不表明该标的被指定，而是仅供投标人参考，投标人所投报的设备只要优于或相当于此品牌、型号 ，都将被视为对招标文件作出实质性的响应。若经评审后设备性能实质低于参考品牌、型号，则其报价文件被视为无效报价。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FF"/>
                <w:sz w:val="24"/>
                <w:lang w:val="en-US" w:eastAsia="zh-CN"/>
              </w:rPr>
            </w:pPr>
            <w:r>
              <w:rPr>
                <w:rFonts w:hint="eastAsia" w:ascii="宋体" w:hAnsi="宋体"/>
                <w:color w:val="0000FF"/>
                <w:sz w:val="24"/>
                <w:lang w:val="en-US" w:eastAsia="zh-CN"/>
              </w:rPr>
              <w:t>9</w:t>
            </w:r>
          </w:p>
        </w:tc>
        <w:tc>
          <w:tcPr>
            <w:tcW w:w="8966" w:type="dxa"/>
            <w:gridSpan w:val="2"/>
            <w:tcBorders>
              <w:top w:val="single" w:color="auto" w:sz="4" w:space="0"/>
              <w:left w:val="single" w:color="auto" w:sz="4" w:space="0"/>
              <w:bottom w:val="single" w:color="auto" w:sz="4" w:space="0"/>
              <w:right w:val="single" w:color="auto" w:sz="4" w:space="0"/>
            </w:tcBorders>
            <w:vAlign w:val="center"/>
          </w:tcPr>
          <w:p>
            <w:pPr>
              <w:pStyle w:val="37"/>
              <w:numPr>
                <w:ilvl w:val="0"/>
                <w:numId w:val="0"/>
              </w:numPr>
              <w:spacing w:before="80" w:line="312" w:lineRule="auto"/>
              <w:ind w:leftChars="-7" w:right="-75" w:rightChars="0"/>
              <w:rPr>
                <w:rFonts w:hint="default" w:eastAsia="宋体"/>
                <w:color w:val="0000FF"/>
                <w:spacing w:val="-2"/>
                <w:sz w:val="24"/>
                <w:szCs w:val="24"/>
                <w:u w:val="none"/>
                <w:lang w:val="en-US" w:eastAsia="zh-CN"/>
              </w:rPr>
            </w:pPr>
            <w:r>
              <w:rPr>
                <w:rFonts w:hint="eastAsia"/>
                <w:color w:val="0000FF"/>
                <w:spacing w:val="-2"/>
                <w:sz w:val="24"/>
                <w:szCs w:val="24"/>
                <w:u w:val="none"/>
                <w:lang w:val="en-US" w:eastAsia="zh-CN"/>
              </w:rPr>
              <w:t>各供应商可就第一章谈判公告中第三条规定的两个包只能报其中1个包。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olor w:val="0000FF"/>
                <w:sz w:val="24"/>
                <w:lang w:val="en-US" w:eastAsia="zh-CN"/>
              </w:rPr>
            </w:pPr>
            <w:r>
              <w:rPr>
                <w:rFonts w:hint="eastAsia" w:ascii="宋体" w:hAnsi="宋体"/>
                <w:color w:val="0000FF"/>
                <w:sz w:val="24"/>
                <w:lang w:val="en-US" w:eastAsia="zh-CN"/>
              </w:rPr>
              <w:t>10</w:t>
            </w:r>
          </w:p>
        </w:tc>
        <w:tc>
          <w:tcPr>
            <w:tcW w:w="8966" w:type="dxa"/>
            <w:gridSpan w:val="2"/>
            <w:tcBorders>
              <w:top w:val="single" w:color="auto" w:sz="4" w:space="0"/>
              <w:left w:val="single" w:color="auto" w:sz="4" w:space="0"/>
              <w:bottom w:val="single" w:color="auto" w:sz="4" w:space="0"/>
              <w:right w:val="single" w:color="auto" w:sz="4" w:space="0"/>
            </w:tcBorders>
            <w:vAlign w:val="center"/>
          </w:tcPr>
          <w:p>
            <w:pPr>
              <w:pStyle w:val="37"/>
              <w:numPr>
                <w:ilvl w:val="0"/>
                <w:numId w:val="0"/>
              </w:numPr>
              <w:spacing w:before="80" w:line="312" w:lineRule="auto"/>
              <w:ind w:leftChars="-7" w:right="-75" w:rightChars="0"/>
              <w:rPr>
                <w:rFonts w:hint="eastAsia"/>
                <w:color w:val="0000FF"/>
                <w:spacing w:val="-2"/>
                <w:sz w:val="24"/>
                <w:szCs w:val="24"/>
                <w:u w:val="none"/>
                <w:lang w:val="en-US" w:eastAsia="zh-CN"/>
              </w:rPr>
            </w:pPr>
            <w:r>
              <w:rPr>
                <w:rFonts w:hint="eastAsia"/>
                <w:color w:val="0000FF"/>
                <w:spacing w:val="-2"/>
                <w:sz w:val="24"/>
                <w:szCs w:val="24"/>
                <w:u w:val="none"/>
                <w:lang w:val="en-US" w:eastAsia="zh-CN"/>
              </w:rPr>
              <w:t>招标代理服务费由中标人（中标供应商）支付，领取中标通知书时缴纳，谈判供应商在谈判报价时应考虑此费用，采购人（业主）不在另行支付。</w:t>
            </w:r>
          </w:p>
          <w:p>
            <w:pPr>
              <w:pStyle w:val="37"/>
              <w:numPr>
                <w:ilvl w:val="0"/>
                <w:numId w:val="0"/>
              </w:numPr>
              <w:spacing w:before="80" w:line="312" w:lineRule="auto"/>
              <w:ind w:leftChars="-7" w:right="-75" w:rightChars="0"/>
              <w:rPr>
                <w:rFonts w:hint="eastAsia"/>
                <w:color w:val="0000FF"/>
                <w:spacing w:val="-2"/>
                <w:sz w:val="24"/>
                <w:szCs w:val="24"/>
                <w:u w:val="none"/>
                <w:lang w:val="en-US" w:eastAsia="zh-CN"/>
              </w:rPr>
            </w:pPr>
            <w:r>
              <w:rPr>
                <w:rFonts w:hint="eastAsia"/>
                <w:color w:val="0000FF"/>
                <w:spacing w:val="-2"/>
                <w:sz w:val="24"/>
                <w:szCs w:val="24"/>
                <w:u w:val="none"/>
                <w:lang w:val="en-US" w:eastAsia="zh-CN"/>
              </w:rPr>
              <w:t>招标代理服务费：根据项目中标价格依据黔价房【2011】69号文规定的招标代理服务收费标准计算后下浮20﹪计取代理费。</w:t>
            </w:r>
          </w:p>
        </w:tc>
      </w:tr>
    </w:tbl>
    <w:p>
      <w:pPr>
        <w:spacing w:line="400" w:lineRule="exact"/>
        <w:jc w:val="center"/>
        <w:rPr>
          <w:rFonts w:hint="eastAsia" w:ascii="宋体" w:hAnsi="宋体"/>
          <w:b/>
          <w:bCs/>
          <w:color w:val="auto"/>
          <w:sz w:val="24"/>
          <w:u w:val="none"/>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spacing w:line="400" w:lineRule="exact"/>
        <w:jc w:val="center"/>
        <w:rPr>
          <w:rFonts w:hint="eastAsia" w:ascii="宋体" w:hAnsi="宋体"/>
          <w:b/>
          <w:bCs/>
          <w:color w:val="000000" w:themeColor="text1"/>
          <w:sz w:val="24"/>
          <w:u w:val="none"/>
          <w14:textFill>
            <w14:solidFill>
              <w14:schemeClr w14:val="tx1"/>
            </w14:solidFill>
          </w14:textFill>
        </w:rPr>
      </w:pPr>
    </w:p>
    <w:p>
      <w:pPr>
        <w:pStyle w:val="2"/>
        <w:rPr>
          <w:rFonts w:hint="eastAsia" w:ascii="宋体" w:hAnsi="宋体"/>
          <w:b/>
          <w:bCs/>
          <w:color w:val="000000" w:themeColor="text1"/>
          <w:sz w:val="24"/>
          <w:u w:val="none"/>
          <w14:textFill>
            <w14:solidFill>
              <w14:schemeClr w14:val="tx1"/>
            </w14:solidFill>
          </w14:textFill>
        </w:rPr>
      </w:pPr>
    </w:p>
    <w:p>
      <w:pPr>
        <w:rPr>
          <w:rFonts w:hint="eastAsia" w:ascii="宋体" w:hAnsi="宋体"/>
          <w:b/>
          <w:bCs/>
          <w:color w:val="000000" w:themeColor="text1"/>
          <w:sz w:val="24"/>
          <w:u w:val="none"/>
          <w14:textFill>
            <w14:solidFill>
              <w14:schemeClr w14:val="tx1"/>
            </w14:solidFill>
          </w14:textFill>
        </w:rPr>
      </w:pPr>
    </w:p>
    <w:p>
      <w:pPr>
        <w:spacing w:line="400" w:lineRule="exact"/>
        <w:jc w:val="both"/>
        <w:rPr>
          <w:rFonts w:hint="eastAsia" w:ascii="宋体" w:hAnsi="宋体"/>
          <w:b/>
          <w:bCs/>
          <w:color w:val="000000" w:themeColor="text1"/>
          <w:sz w:val="24"/>
          <w:u w:val="none"/>
          <w14:textFill>
            <w14:solidFill>
              <w14:schemeClr w14:val="tx1"/>
            </w14:solidFill>
          </w14:textFill>
        </w:rPr>
      </w:pPr>
    </w:p>
    <w:p>
      <w:pPr>
        <w:spacing w:line="400" w:lineRule="exact"/>
        <w:jc w:val="center"/>
        <w:rPr>
          <w:rFonts w:ascii="宋体" w:hAnsi="宋体"/>
          <w:b/>
          <w:bCs/>
          <w:color w:val="000000" w:themeColor="text1"/>
          <w:sz w:val="32"/>
          <w:u w:val="single"/>
          <w14:textFill>
            <w14:solidFill>
              <w14:schemeClr w14:val="tx1"/>
            </w14:solidFill>
          </w14:textFill>
        </w:rPr>
      </w:pPr>
      <w:r>
        <w:rPr>
          <w:rFonts w:hint="eastAsia" w:ascii="宋体" w:hAnsi="宋体"/>
          <w:b/>
          <w:bCs/>
          <w:color w:val="000000" w:themeColor="text1"/>
          <w:sz w:val="24"/>
          <w:u w:val="none"/>
          <w14:textFill>
            <w14:solidFill>
              <w14:schemeClr w14:val="tx1"/>
            </w14:solidFill>
          </w14:textFill>
        </w:rPr>
        <w:t>谈判供应商须知前附表2:资格性、符合性检查表</w:t>
      </w:r>
    </w:p>
    <w:p>
      <w:pPr>
        <w:spacing w:line="400" w:lineRule="exact"/>
        <w:ind w:firstLine="495"/>
        <w:rPr>
          <w:rFonts w:ascii="宋体" w:hAnsi="宋体"/>
          <w:color w:val="000000" w:themeColor="text1"/>
          <w:sz w:val="24"/>
          <w14:textFill>
            <w14:solidFill>
              <w14:schemeClr w14:val="tx1"/>
            </w14:solidFill>
          </w14:textFill>
        </w:rPr>
      </w:pPr>
    </w:p>
    <w:p>
      <w:pPr>
        <w:spacing w:line="400" w:lineRule="exact"/>
        <w:ind w:firstLine="4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本须知前附表2集中列示了资格性、符合性检查的所有条款，其内容是谈判小组判断谈判供应商的报价是否有效的重要依据。</w:t>
      </w:r>
    </w:p>
    <w:tbl>
      <w:tblPr>
        <w:tblStyle w:val="19"/>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991"/>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5"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14:textFill>
                  <w14:solidFill>
                    <w14:schemeClr w14:val="tx1"/>
                  </w14:solidFill>
                </w14:textFill>
              </w:rPr>
            </w:pPr>
          </w:p>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章</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72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合格的谈判供应商</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具体内容详见第</w:t>
            </w:r>
            <w:r>
              <w:rPr>
                <w:rFonts w:hint="eastAsia" w:ascii="宋体" w:hAnsi="宋体"/>
                <w:color w:val="000000" w:themeColor="text1"/>
                <w:sz w:val="24"/>
                <w:lang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p>
        </w:tc>
        <w:tc>
          <w:tcPr>
            <w:tcW w:w="7292" w:type="dxa"/>
            <w:tcBorders>
              <w:top w:val="single" w:color="auto" w:sz="4" w:space="0"/>
              <w:left w:val="single" w:color="auto" w:sz="4" w:space="0"/>
              <w:bottom w:val="single" w:color="auto" w:sz="4" w:space="0"/>
              <w:right w:val="single" w:color="auto" w:sz="4" w:space="0"/>
            </w:tcBorders>
          </w:tcPr>
          <w:p>
            <w:pPr>
              <w:pStyle w:val="28"/>
              <w:spacing w:line="400" w:lineRule="exact"/>
              <w:ind w:left="0"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参加政府采购活动的</w:t>
            </w:r>
            <w:r>
              <w:rPr>
                <w:rFonts w:hint="eastAsia"/>
                <w:color w:val="000000" w:themeColor="text1"/>
                <w14:textFill>
                  <w14:solidFill>
                    <w14:schemeClr w14:val="tx1"/>
                  </w14:solidFill>
                </w14:textFill>
              </w:rPr>
              <w:t>谈判供应商</w:t>
            </w:r>
            <w:r>
              <w:rPr>
                <w:color w:val="000000" w:themeColor="text1"/>
                <w14:textFill>
                  <w14:solidFill>
                    <w14:schemeClr w14:val="tx1"/>
                  </w14:solidFill>
                </w14:textFill>
              </w:rPr>
              <w:t>应当具备《中华人民共和国政府采购法》第二十二条第一款规定</w:t>
            </w:r>
            <w:r>
              <w:rPr>
                <w:rFonts w:hint="eastAsia"/>
                <w:color w:val="000000" w:themeColor="text1"/>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9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7292" w:type="dxa"/>
            <w:tcBorders>
              <w:top w:val="single" w:color="auto" w:sz="4" w:space="0"/>
              <w:left w:val="single" w:color="auto" w:sz="4" w:space="0"/>
              <w:bottom w:val="single" w:color="auto" w:sz="4" w:space="0"/>
              <w:right w:val="single" w:color="auto" w:sz="4" w:space="0"/>
            </w:tcBorders>
          </w:tcPr>
          <w:p>
            <w:pPr>
              <w:pStyle w:val="17"/>
              <w:shd w:val="clear" w:color="auto" w:fill="FFFFFF"/>
              <w:spacing w:before="0" w:beforeAutospacing="0" w:after="0" w:afterAutospacing="0" w:line="400" w:lineRule="exact"/>
              <w:rPr>
                <w:b/>
                <w:color w:val="000000" w:themeColor="text1"/>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保证金缴纳凭证；（在电子交易系统中打印缴纳凭证并加盖投标单位公章）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225" w:type="dxa"/>
            <w:gridSpan w:val="4"/>
            <w:tcBorders>
              <w:top w:val="single" w:color="auto" w:sz="4" w:space="0"/>
              <w:left w:val="single" w:color="auto" w:sz="4" w:space="0"/>
              <w:bottom w:val="single" w:color="auto" w:sz="4" w:space="0"/>
              <w:right w:val="single" w:color="auto" w:sz="4" w:space="0"/>
            </w:tcBorders>
          </w:tcPr>
          <w:p>
            <w:pPr>
              <w:spacing w:line="400" w:lineRule="exact"/>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章</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72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7"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7</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谈判响应供应商存在下列情形之一的，将被认定为串通响应行为并作无效响应处理：</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（1）谈判响应供应商之间协商谈判报价等谈判文件的实质性内容；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（2）谈判响应供应商之间约定成交供应商；</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（3）谈判响应供应商之间约定部分谈判响应供应商放弃谈判响应或者成交；</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（4）属于同一集团、协会、商会等组织成员的谈判响应供应商按照该组织要求协同谈判响应；</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（5）谈判响应供应商之间为谋取成交或者排斥特定谈判响应供应商而采取的其他联合行动；</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（6）不同谈判响应供应商的响应文件由同一单位或者个人编制；</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（7）不同谈判响应供应商委托同一单位或者个人办理谈判响应事宜；</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（8）不同谈判响应供应商的响应文件载明的项目管理成员为同一人；</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（9）不同谈判响应供应商的响应文件异常一致或者报价呈规律性差异；</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（10）不同谈判响应供应商的响应文件相互混装；</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（11）不同谈判响应供应商的谈判保证金从同一单位或者个人的账户转出。</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（12）不同谈判响应供应商的响应文件错、漏之处一致或雷同，且不能合理解释的；</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（13）不同的谈判响应供应商的法定代表人、委托代理人等由同一个单位缴纳社会保险的；</w:t>
            </w:r>
          </w:p>
          <w:p>
            <w:pPr>
              <w:spacing w:line="40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 法定代表人、单位负责人为同一人或夫妻关系的不同供应商；</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 存在直接控股、管理关系的不同供应商；</w:t>
            </w:r>
          </w:p>
          <w:p>
            <w:pPr>
              <w:spacing w:line="440" w:lineRule="exact"/>
              <w:rPr>
                <w:rFonts w:hint="eastAsia" w:eastAsiaTheme="minorEastAsia"/>
                <w:lang w:val="en-US" w:eastAsia="zh-CN"/>
              </w:rPr>
            </w:pPr>
            <w:r>
              <w:rPr>
                <w:rFonts w:hint="eastAsia" w:ascii="宋体" w:hAnsi="宋体"/>
                <w:color w:val="000000" w:themeColor="text1"/>
                <w:sz w:val="24"/>
                <w:szCs w:val="24"/>
                <w14:textFill>
                  <w14:solidFill>
                    <w14:schemeClr w14:val="tx1"/>
                  </w14:solidFill>
                </w14:textFill>
              </w:rPr>
              <w:t>(17) 均为同一家母公司直接或间接持股50％及以上的被投资公司。</w:t>
            </w:r>
          </w:p>
          <w:p>
            <w:pPr>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8</w:t>
            </w:r>
            <w:r>
              <w:rPr>
                <w:rFonts w:hint="eastAsia" w:hAnsi="宋体"/>
                <w:color w:val="000000" w:themeColor="text1"/>
                <w:sz w:val="24"/>
                <w:szCs w:val="24"/>
                <w14:textFill>
                  <w14:solidFill>
                    <w14:schemeClr w14:val="tx1"/>
                  </w14:solidFill>
                </w14:textFill>
              </w:rPr>
              <w:t>）有关法律、法规或规章规定的其他串通行为。</w:t>
            </w:r>
          </w:p>
          <w:p>
            <w:pPr>
              <w:spacing w:line="400" w:lineRule="exact"/>
              <w:ind w:firstLine="480" w:firstLineChars="20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响应文件有效期：</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响应文件提交截止之日起</w:t>
            </w:r>
            <w:r>
              <w:rPr>
                <w:rFonts w:hint="eastAsia" w:ascii="宋体" w:hAnsi="宋体"/>
                <w:color w:val="000000" w:themeColor="text1"/>
                <w:sz w:val="24"/>
                <w:u w:val="single"/>
                <w14:textFill>
                  <w14:solidFill>
                    <w14:schemeClr w14:val="tx1"/>
                  </w14:solidFill>
                </w14:textFill>
              </w:rPr>
              <w:t xml:space="preserve"> 30 </w:t>
            </w:r>
            <w:r>
              <w:rPr>
                <w:rFonts w:hint="eastAsia" w:ascii="宋体" w:hAnsi="宋体"/>
                <w:color w:val="000000" w:themeColor="text1"/>
                <w:sz w:val="24"/>
                <w:lang w:eastAsia="zh-CN"/>
                <w14:textFill>
                  <w14:solidFill>
                    <w14:schemeClr w14:val="tx1"/>
                  </w14:solidFill>
                </w14:textFill>
              </w:rPr>
              <w:t>日历天</w:t>
            </w:r>
            <w:r>
              <w:rPr>
                <w:rFonts w:hint="eastAsia"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未按规定提交谈判保证金，</w:t>
            </w:r>
            <w:r>
              <w:rPr>
                <w:rFonts w:ascii="Arial" w:hAnsi="Arial" w:cs="Arial"/>
                <w:color w:val="000000" w:themeColor="text1"/>
                <w:sz w:val="24"/>
                <w14:textFill>
                  <w14:solidFill>
                    <w14:schemeClr w14:val="tx1"/>
                  </w14:solidFill>
                </w14:textFill>
              </w:rPr>
              <w:t>将被</w:t>
            </w:r>
            <w:r>
              <w:rPr>
                <w:rFonts w:hint="eastAsia" w:ascii="Arial" w:hAnsi="Arial" w:cs="Arial"/>
                <w:color w:val="000000" w:themeColor="text1"/>
                <w:sz w:val="24"/>
                <w14:textFill>
                  <w14:solidFill>
                    <w14:schemeClr w14:val="tx1"/>
                  </w14:solidFill>
                </w14:textFill>
              </w:rPr>
              <w:t>视为未响应谈判文件要求，取消其谈判资格</w:t>
            </w:r>
            <w:r>
              <w:rPr>
                <w:rFonts w:ascii="Arial" w:hAnsi="Arial" w:cs="Arial"/>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.2</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.2</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凡有下列情况之一者，响应文件也将被视为未实质性响应谈判文件要求：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(1)响应文件未按照本须知规定进行密封、标记的；</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(2)未按规定由谈判响应供应商的法定代表人或其授权代表签字；或未加盖公章的；或授权代表未提供法定代表人有效授权委托书的；</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(3)谈判保证金未在谈判响应截止时间前到账的；</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(4)响应文件有效期不满足谈判文件要求的；</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(5)响应文件内容与采购内容及要求有重大偏离或保留的；</w:t>
            </w:r>
          </w:p>
          <w:p>
            <w:pPr>
              <w:spacing w:line="400" w:lineRule="exact"/>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sz w:val="24"/>
                <w:lang w:eastAsia="zh-CN"/>
                <w14:textFill>
                  <w14:solidFill>
                    <w14:schemeClr w14:val="tx1"/>
                  </w14:solidFill>
                </w14:textFill>
              </w:rPr>
              <w:t>同一供应商提交两个及以上不同的响应文件或者投标报价，未声明哪一个响应文件及报价有效的；</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(7)响应供应商未按谈判文件要求进行分项报价；</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(8)响应文件中提供虚假或失实资料的；</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(9)不符合谈判文件中规定的其它实质性条款。 </w:t>
            </w:r>
          </w:p>
          <w:p>
            <w:pPr>
              <w:spacing w:line="400" w:lineRule="exact"/>
              <w:rPr>
                <w:rFonts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19.</w:t>
            </w:r>
            <w:r>
              <w:rPr>
                <w:rFonts w:hint="eastAsia" w:ascii="宋体" w:hAnsi="宋体"/>
                <w:color w:val="000000" w:themeColor="text1"/>
                <w:sz w:val="24"/>
                <w:lang w:val="en-US" w:eastAsia="zh-CN"/>
                <w14:textFill>
                  <w14:solidFill>
                    <w14:schemeClr w14:val="tx1"/>
                  </w14:solidFill>
                </w14:textFill>
              </w:rPr>
              <w:t>3</w:t>
            </w:r>
          </w:p>
        </w:tc>
        <w:tc>
          <w:tcPr>
            <w:tcW w:w="7292" w:type="dxa"/>
            <w:tcBorders>
              <w:top w:val="single" w:color="auto" w:sz="4" w:space="0"/>
              <w:left w:val="single" w:color="auto" w:sz="4" w:space="0"/>
              <w:bottom w:val="single" w:color="auto" w:sz="4" w:space="0"/>
              <w:right w:val="single" w:color="auto" w:sz="4" w:space="0"/>
            </w:tcBorders>
          </w:tcPr>
          <w:p>
            <w:pPr>
              <w:pStyle w:val="37"/>
              <w:spacing w:before="80" w:line="312" w:lineRule="auto"/>
              <w:ind w:right="96"/>
              <w:jc w:val="both"/>
              <w:rPr>
                <w:rFonts w:hint="default" w:ascii="宋体" w:hAnsi="宋体" w:eastAsia="宋体" w:cs="宋体"/>
                <w:lang w:val="en-US" w:eastAsia="zh-CN"/>
              </w:rPr>
            </w:pPr>
            <w:r>
              <w:rPr>
                <w:rFonts w:ascii="宋体" w:hAnsi="宋体" w:eastAsia="宋体" w:cs="宋体"/>
              </w:rPr>
              <w:t>若谈判供应商的报价</w:t>
            </w:r>
            <w:r>
              <w:rPr>
                <w:rFonts w:hint="eastAsia" w:cs="宋体"/>
                <w:lang w:eastAsia="zh-CN"/>
              </w:rPr>
              <w:t>低于最高</w:t>
            </w:r>
            <w:r>
              <w:rPr>
                <w:rFonts w:hint="eastAsia" w:cs="宋体"/>
                <w:color w:val="0000FF"/>
                <w:lang w:eastAsia="zh-CN"/>
              </w:rPr>
              <w:t>限价</w:t>
            </w:r>
            <w:r>
              <w:rPr>
                <w:rFonts w:hint="eastAsia" w:cs="宋体"/>
                <w:color w:val="0000FF"/>
                <w:lang w:val="en-US" w:eastAsia="zh-CN"/>
              </w:rPr>
              <w:t>60%的</w:t>
            </w:r>
            <w:r>
              <w:rPr>
                <w:rFonts w:ascii="宋体" w:hAnsi="宋体" w:eastAsia="宋体" w:cs="宋体"/>
              </w:rPr>
              <w:t>，谈判供应商应按谈判小组要求作出书面说明并提供相关证明材料，不能合理说明或不能提供相关证明材料的，可作无效报价处理。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p>
        </w:tc>
        <w:tc>
          <w:tcPr>
            <w:tcW w:w="7292"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谈判小组将对</w:t>
            </w:r>
            <w:r>
              <w:rPr>
                <w:rFonts w:hint="eastAsia" w:ascii="Arial" w:hAnsi="Arial" w:cs="Arial"/>
                <w:color w:val="000000" w:themeColor="text1"/>
                <w:sz w:val="24"/>
                <w14:textFill>
                  <w14:solidFill>
                    <w14:schemeClr w14:val="tx1"/>
                  </w14:solidFill>
                </w14:textFill>
              </w:rPr>
              <w:t>谈判文件</w:t>
            </w:r>
            <w:r>
              <w:rPr>
                <w:rFonts w:ascii="Arial" w:hAnsi="Arial" w:cs="Arial"/>
                <w:color w:val="000000" w:themeColor="text1"/>
                <w:sz w:val="24"/>
                <w14:textFill>
                  <w14:solidFill>
                    <w14:schemeClr w14:val="tx1"/>
                  </w14:solidFill>
                </w14:textFill>
              </w:rPr>
              <w:t>中</w:t>
            </w:r>
            <w:r>
              <w:rPr>
                <w:rFonts w:hint="eastAsia" w:ascii="Arial" w:hAnsi="Arial" w:cs="Arial"/>
                <w:color w:val="000000" w:themeColor="text1"/>
                <w:sz w:val="24"/>
                <w14:textFill>
                  <w14:solidFill>
                    <w14:schemeClr w14:val="tx1"/>
                  </w14:solidFill>
                </w14:textFill>
              </w:rPr>
              <w:t>列明的</w:t>
            </w:r>
            <w:r>
              <w:rPr>
                <w:rFonts w:ascii="Arial" w:hAnsi="Arial" w:cs="Arial"/>
                <w:color w:val="000000" w:themeColor="text1"/>
                <w:sz w:val="24"/>
                <w14:textFill>
                  <w14:solidFill>
                    <w14:schemeClr w14:val="tx1"/>
                  </w14:solidFill>
                </w14:textFill>
              </w:rPr>
              <w:t>合格谈判方</w:t>
            </w:r>
            <w:r>
              <w:rPr>
                <w:rFonts w:hint="eastAsia" w:ascii="Arial" w:hAnsi="Arial" w:cs="Arial"/>
                <w:color w:val="000000" w:themeColor="text1"/>
                <w:sz w:val="24"/>
                <w14:textFill>
                  <w14:solidFill>
                    <w14:schemeClr w14:val="tx1"/>
                  </w14:solidFill>
                </w14:textFill>
              </w:rPr>
              <w:t>应符合“资格性要求”</w:t>
            </w:r>
            <w:r>
              <w:rPr>
                <w:rFonts w:ascii="Arial" w:hAnsi="Arial" w:cs="Arial"/>
                <w:color w:val="000000" w:themeColor="text1"/>
                <w:sz w:val="24"/>
                <w14:textFill>
                  <w14:solidFill>
                    <w14:schemeClr w14:val="tx1"/>
                  </w14:solidFill>
                </w14:textFill>
              </w:rPr>
              <w:t>部分做资格</w:t>
            </w:r>
            <w:r>
              <w:rPr>
                <w:rFonts w:hint="eastAsia" w:ascii="Arial" w:hAnsi="Arial" w:cs="Arial"/>
                <w:color w:val="000000" w:themeColor="text1"/>
                <w:sz w:val="24"/>
                <w14:textFill>
                  <w14:solidFill>
                    <w14:schemeClr w14:val="tx1"/>
                  </w14:solidFill>
                </w14:textFill>
              </w:rPr>
              <w:t>审查</w:t>
            </w:r>
            <w:r>
              <w:rPr>
                <w:rFonts w:ascii="Arial" w:hAnsi="Arial" w:cs="Arial"/>
                <w:color w:val="000000" w:themeColor="text1"/>
                <w:sz w:val="24"/>
                <w14:textFill>
                  <w14:solidFill>
                    <w14:schemeClr w14:val="tx1"/>
                  </w14:solidFill>
                </w14:textFill>
              </w:rPr>
              <w:t>，没有提供</w:t>
            </w:r>
            <w:r>
              <w:rPr>
                <w:rFonts w:hint="eastAsia" w:ascii="Arial" w:hAnsi="Arial" w:cs="Arial"/>
                <w:color w:val="000000" w:themeColor="text1"/>
                <w:sz w:val="24"/>
                <w14:textFill>
                  <w14:solidFill>
                    <w14:schemeClr w14:val="tx1"/>
                  </w14:solidFill>
                </w14:textFill>
              </w:rPr>
              <w:t>相关</w:t>
            </w:r>
            <w:r>
              <w:rPr>
                <w:rFonts w:ascii="Arial" w:hAnsi="Arial" w:cs="Arial"/>
                <w:color w:val="000000" w:themeColor="text1"/>
                <w:sz w:val="24"/>
                <w14:textFill>
                  <w14:solidFill>
                    <w14:schemeClr w14:val="tx1"/>
                  </w14:solidFill>
                </w14:textFill>
              </w:rPr>
              <w:t>证明文件或文件未按规定签署盖章者以无效谈判论</w:t>
            </w:r>
            <w:r>
              <w:rPr>
                <w:rFonts w:hint="eastAsia" w:ascii="Arial" w:hAnsi="Arial" w:cs="Arial"/>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四</w:t>
            </w:r>
          </w:p>
        </w:tc>
        <w:tc>
          <w:tcPr>
            <w:tcW w:w="9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全文中带有“*</w:t>
            </w:r>
            <w:r>
              <w:rPr>
                <w:rFonts w:hint="eastAsia"/>
                <w:b/>
                <w:color w:val="000000" w:themeColor="text1"/>
                <w:sz w:val="24"/>
                <w:szCs w:val="24"/>
                <w:lang w:eastAsia="zh-CN"/>
                <w14:textFill>
                  <w14:solidFill>
                    <w14:schemeClr w14:val="tx1"/>
                  </w14:solidFill>
                </w14:textFill>
              </w:rPr>
              <w:t>或</w:t>
            </w:r>
            <w:r>
              <w:rPr>
                <w:rFonts w:hint="eastAsia"/>
                <w:b/>
                <w:color w:val="000000" w:themeColor="text1"/>
                <w:sz w:val="24"/>
                <w:szCs w:val="24"/>
                <w:lang w:val="en-US" w:eastAsia="zh-CN"/>
                <w14:textFill>
                  <w14:solidFill>
                    <w14:schemeClr w14:val="tx1"/>
                  </w14:solidFill>
                </w14:textFill>
              </w:rPr>
              <w:t>▲</w:t>
            </w:r>
            <w:r>
              <w:rPr>
                <w:rFonts w:hint="eastAsia"/>
                <w:b/>
                <w:color w:val="000000" w:themeColor="text1"/>
                <w:sz w:val="24"/>
                <w:szCs w:val="24"/>
                <w14:textFill>
                  <w14:solidFill>
                    <w14:schemeClr w14:val="tx1"/>
                  </w14:solidFill>
                </w14:textFill>
              </w:rPr>
              <w:t>”的条款为关键性条款，如谈判供应商对这些关键性条款还存在任何负偏离或不满足将导致报价无效</w:t>
            </w:r>
            <w:r>
              <w:rPr>
                <w:rFonts w:hint="eastAsia"/>
                <w:b/>
                <w:color w:val="000000" w:themeColor="text1"/>
                <w:sz w:val="24"/>
                <w:szCs w:val="24"/>
                <w:lang w:eastAsia="zh-CN"/>
                <w14:textFill>
                  <w14:solidFill>
                    <w14:schemeClr w14:val="tx1"/>
                  </w14:solidFill>
                </w14:textFill>
              </w:rPr>
              <w:t>（本项目无带有</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val="en-US" w:eastAsia="zh-CN"/>
                <w14:textFill>
                  <w14:solidFill>
                    <w14:schemeClr w14:val="tx1"/>
                  </w14:solidFill>
                </w14:textFill>
              </w:rPr>
              <w:t>▲</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eastAsia="zh-CN"/>
                <w14:textFill>
                  <w14:solidFill>
                    <w14:schemeClr w14:val="tx1"/>
                  </w14:solidFill>
                </w14:textFill>
              </w:rPr>
              <w:t>的条款）</w:t>
            </w:r>
            <w:r>
              <w:rPr>
                <w:rFonts w:hint="eastAsia"/>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14:textFill>
                  <w14:solidFill>
                    <w14:schemeClr w14:val="tx1"/>
                  </w14:solidFill>
                </w14:textFill>
              </w:rPr>
            </w:pPr>
          </w:p>
        </w:tc>
        <w:tc>
          <w:tcPr>
            <w:tcW w:w="7292" w:type="dxa"/>
            <w:tcBorders>
              <w:top w:val="single" w:color="auto" w:sz="4" w:space="0"/>
              <w:left w:val="single" w:color="auto" w:sz="4" w:space="0"/>
              <w:bottom w:val="single" w:color="auto" w:sz="4" w:space="0"/>
              <w:right w:val="single" w:color="auto" w:sz="4" w:space="0"/>
            </w:tcBorders>
          </w:tcPr>
          <w:p>
            <w:pPr>
              <w:spacing w:line="400" w:lineRule="exact"/>
              <w:rPr>
                <w:rFonts w:hint="eastAsia"/>
                <w:b/>
                <w:color w:val="000000" w:themeColor="text1"/>
                <w:sz w:val="24"/>
                <w:szCs w:val="24"/>
                <w14:textFill>
                  <w14:solidFill>
                    <w14:schemeClr w14:val="tx1"/>
                  </w14:solidFill>
                </w14:textFill>
              </w:rPr>
            </w:pPr>
            <w:r>
              <w:rPr>
                <w:rFonts w:hint="eastAsia" w:cs="宋体"/>
                <w:color w:val="auto"/>
                <w:kern w:val="0"/>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sz w:val="24"/>
                <w:szCs w:val="24"/>
              </w:rPr>
              <w:t>www.creditchina.gov.cn</w:t>
            </w:r>
            <w:r>
              <w:rPr>
                <w:rFonts w:hint="eastAsia" w:cs="宋体"/>
                <w:color w:val="auto"/>
                <w:kern w:val="0"/>
                <w:sz w:val="24"/>
                <w:szCs w:val="24"/>
              </w:rPr>
              <w:fldChar w:fldCharType="end"/>
            </w:r>
            <w:r>
              <w:rPr>
                <w:rFonts w:hint="eastAsia" w:cs="宋体"/>
                <w:color w:val="auto"/>
                <w:kern w:val="0"/>
                <w:sz w:val="24"/>
                <w:szCs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s="宋体"/>
                <w:color w:val="auto"/>
                <w:kern w:val="0"/>
                <w:sz w:val="24"/>
                <w:szCs w:val="24"/>
              </w:rPr>
              <w:t>http://www.ccgp.gov.cn/search/cr/</w:t>
            </w:r>
            <w:r>
              <w:rPr>
                <w:rFonts w:hint="eastAsia" w:cs="宋体"/>
                <w:color w:val="auto"/>
                <w:kern w:val="0"/>
                <w:sz w:val="24"/>
                <w:szCs w:val="24"/>
              </w:rPr>
              <w:fldChar w:fldCharType="end"/>
            </w:r>
            <w:r>
              <w:rPr>
                <w:rFonts w:hint="eastAsia" w:cs="宋体"/>
                <w:color w:val="auto"/>
                <w:kern w:val="0"/>
                <w:sz w:val="24"/>
                <w:szCs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w:t>
            </w:r>
            <w:r>
              <w:rPr>
                <w:rFonts w:hint="eastAsia" w:ascii="宋体" w:cs="宋体"/>
                <w:color w:val="auto"/>
                <w:kern w:val="0"/>
                <w:sz w:val="24"/>
                <w:szCs w:val="24"/>
              </w:rPr>
              <w:t>购买标书当日至开标前一天任一时间</w:t>
            </w:r>
            <w:r>
              <w:rPr>
                <w:rFonts w:hint="eastAsia" w:cs="宋体"/>
                <w:color w:val="auto"/>
                <w:kern w:val="0"/>
                <w:sz w:val="24"/>
                <w:szCs w:val="24"/>
              </w:rPr>
              <w:t>；信用信息查询记录和证据留存方式：投标人提供查询记录截图（制作于标书内）</w:t>
            </w:r>
            <w:r>
              <w:rPr>
                <w:rFonts w:hint="eastAsia" w:hAnsi="宋体" w:cs="宋体"/>
                <w:color w:val="auto"/>
                <w:kern w:val="0"/>
                <w:sz w:val="24"/>
              </w:rPr>
              <w:t>。</w:t>
            </w:r>
          </w:p>
        </w:tc>
      </w:tr>
    </w:tbl>
    <w:p>
      <w:pPr>
        <w:spacing w:line="400" w:lineRule="exact"/>
        <w:rPr>
          <w:rFonts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both"/>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singl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pStyle w:val="14"/>
        <w:rPr>
          <w:rFonts w:hint="eastAsia" w:ascii="宋体" w:hAnsi="宋体"/>
          <w:b/>
          <w:color w:val="000000" w:themeColor="text1"/>
          <w:sz w:val="24"/>
          <w:u w:val="none"/>
          <w14:textFill>
            <w14:solidFill>
              <w14:schemeClr w14:val="tx1"/>
            </w14:solidFill>
          </w14:textFill>
        </w:rPr>
      </w:pPr>
    </w:p>
    <w:p>
      <w:pPr>
        <w:pStyle w:val="14"/>
        <w:rPr>
          <w:rFonts w:hint="eastAsia" w:ascii="宋体" w:hAnsi="宋体"/>
          <w:b/>
          <w:color w:val="000000" w:themeColor="text1"/>
          <w:sz w:val="24"/>
          <w:u w:val="none"/>
          <w14:textFill>
            <w14:solidFill>
              <w14:schemeClr w14:val="tx1"/>
            </w14:solidFill>
          </w14:textFill>
        </w:rPr>
      </w:pPr>
    </w:p>
    <w:p>
      <w:pPr>
        <w:pStyle w:val="14"/>
        <w:rPr>
          <w:rFonts w:hint="eastAsia" w:ascii="宋体" w:hAnsi="宋体"/>
          <w:b/>
          <w:color w:val="000000" w:themeColor="text1"/>
          <w:sz w:val="24"/>
          <w:u w:val="none"/>
          <w14:textFill>
            <w14:solidFill>
              <w14:schemeClr w14:val="tx1"/>
            </w14:solidFill>
          </w14:textFill>
        </w:rPr>
      </w:pPr>
    </w:p>
    <w:p>
      <w:pPr>
        <w:pStyle w:val="14"/>
        <w:rPr>
          <w:rFonts w:hint="eastAsia" w:ascii="宋体" w:hAnsi="宋体"/>
          <w:b/>
          <w:color w:val="000000" w:themeColor="text1"/>
          <w:sz w:val="24"/>
          <w:u w:val="none"/>
          <w14:textFill>
            <w14:solidFill>
              <w14:schemeClr w14:val="tx1"/>
            </w14:solidFill>
          </w14:textFill>
        </w:rPr>
      </w:pPr>
    </w:p>
    <w:p>
      <w:pPr>
        <w:spacing w:line="400" w:lineRule="exact"/>
        <w:jc w:val="center"/>
        <w:rPr>
          <w:rFonts w:hint="eastAsia" w:ascii="宋体" w:hAnsi="宋体"/>
          <w:b/>
          <w:color w:val="000000" w:themeColor="text1"/>
          <w:sz w:val="24"/>
          <w:u w:val="none"/>
          <w14:textFill>
            <w14:solidFill>
              <w14:schemeClr w14:val="tx1"/>
            </w14:solidFill>
          </w14:textFill>
        </w:rPr>
      </w:pPr>
    </w:p>
    <w:p>
      <w:pPr>
        <w:spacing w:line="400" w:lineRule="exact"/>
        <w:jc w:val="center"/>
        <w:rPr>
          <w:rFonts w:ascii="宋体" w:hAnsi="宋体"/>
          <w:b/>
          <w:color w:val="000000" w:themeColor="text1"/>
          <w:sz w:val="24"/>
          <w:u w:val="none"/>
          <w14:textFill>
            <w14:solidFill>
              <w14:schemeClr w14:val="tx1"/>
            </w14:solidFill>
          </w14:textFill>
        </w:rPr>
      </w:pPr>
      <w:r>
        <w:rPr>
          <w:rFonts w:hint="eastAsia" w:ascii="宋体" w:hAnsi="宋体"/>
          <w:b/>
          <w:color w:val="000000" w:themeColor="text1"/>
          <w:sz w:val="24"/>
          <w:u w:val="none"/>
          <w14:textFill>
            <w14:solidFill>
              <w14:schemeClr w14:val="tx1"/>
            </w14:solidFill>
          </w14:textFill>
        </w:rPr>
        <w:t>谈判供应商须知前附表3：谈判规则、方法及步骤</w:t>
      </w:r>
    </w:p>
    <w:p>
      <w:pPr>
        <w:spacing w:line="400" w:lineRule="exact"/>
        <w:jc w:val="center"/>
        <w:rPr>
          <w:rFonts w:ascii="宋体" w:hAnsi="宋体"/>
          <w:b/>
          <w:color w:val="000000" w:themeColor="text1"/>
          <w:sz w:val="24"/>
          <w:u w:val="single"/>
          <w14:textFill>
            <w14:solidFill>
              <w14:schemeClr w14:val="tx1"/>
            </w14:solidFill>
          </w14:textFill>
        </w:rPr>
      </w:pPr>
    </w:p>
    <w:tbl>
      <w:tblPr>
        <w:tblStyle w:val="19"/>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0" w:type="dxa"/>
          </w:tcPr>
          <w:p>
            <w:pPr>
              <w:spacing w:line="400" w:lineRule="exact"/>
              <w:ind w:right="-120" w:right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一．评审原则、方法</w:t>
            </w:r>
          </w:p>
          <w:p>
            <w:pPr>
              <w:spacing w:line="400" w:lineRule="exact"/>
              <w:ind w:right="-120" w:rightChars="-5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auto"/>
                <w:sz w:val="24"/>
              </w:rPr>
            </w:pPr>
            <w:r>
              <w:rPr>
                <w:rFonts w:hint="eastAsia" w:ascii="宋体" w:hAnsi="宋体"/>
                <w:color w:val="000000" w:themeColor="text1"/>
                <w:sz w:val="24"/>
                <w14:textFill>
                  <w14:solidFill>
                    <w14:schemeClr w14:val="tx1"/>
                  </w14:solidFill>
                </w14:textFill>
              </w:rPr>
              <w:t>4.除非在谈判中谈判小组对用户需求内容作调整增加，或对采购内容作实质性变更，否则采购人不接受高于前面</w:t>
            </w:r>
            <w:r>
              <w:rPr>
                <w:rFonts w:hint="eastAsia" w:ascii="宋体" w:hAnsi="宋体"/>
                <w:color w:val="auto"/>
                <w:sz w:val="24"/>
              </w:rPr>
              <w:t>轮次谈判报价的最终报价</w:t>
            </w:r>
          </w:p>
          <w:p>
            <w:pPr>
              <w:spacing w:line="400" w:lineRule="exact"/>
              <w:ind w:right="-120" w:rightChars="-57" w:firstLine="480" w:firstLineChars="200"/>
              <w:rPr>
                <w:rFonts w:hint="eastAsia" w:ascii="宋体" w:hAnsi="宋体"/>
                <w:color w:val="auto"/>
                <w:sz w:val="24"/>
              </w:rPr>
            </w:pPr>
            <w:r>
              <w:rPr>
                <w:rFonts w:hint="eastAsia" w:ascii="宋体" w:hAnsi="宋体"/>
                <w:color w:val="auto"/>
                <w:sz w:val="24"/>
              </w:rPr>
              <w:t>5.评审办法：采用最低评标价法，即供应商提供的产品质量和服务均能满足谈判文件规定的实质性要求，以最低评标价的供应商为供应商。</w:t>
            </w:r>
            <w:r>
              <w:rPr>
                <w:rFonts w:hint="eastAsia" w:ascii="宋体" w:hAnsi="宋体"/>
                <w:color w:val="auto"/>
                <w:sz w:val="24"/>
              </w:rPr>
              <w:br w:type="textWrapping"/>
            </w:r>
            <w:r>
              <w:rPr>
                <w:rFonts w:hint="eastAsia" w:ascii="宋体" w:hAnsi="宋体"/>
                <w:color w:val="auto"/>
                <w:sz w:val="24"/>
              </w:rPr>
              <w:t>二、评审步骤</w:t>
            </w:r>
            <w:r>
              <w:rPr>
                <w:rFonts w:hint="eastAsia" w:ascii="宋体" w:hAnsi="宋体"/>
                <w:color w:val="auto"/>
                <w:sz w:val="24"/>
              </w:rPr>
              <w:br w:type="textWrapping"/>
            </w:r>
            <w:r>
              <w:rPr>
                <w:rFonts w:hint="eastAsia" w:ascii="宋体" w:hAnsi="宋体"/>
                <w:color w:val="auto"/>
                <w:sz w:val="24"/>
              </w:rPr>
              <w:t xml:space="preserve">   1.第一阶段：谈判小组对每位供应商的响应文件进行资格、符合性评审；</w:t>
            </w:r>
            <w:r>
              <w:rPr>
                <w:rFonts w:hint="eastAsia" w:ascii="宋体" w:hAnsi="宋体"/>
                <w:color w:val="auto"/>
                <w:sz w:val="24"/>
              </w:rPr>
              <w:br w:type="textWrapping"/>
            </w:r>
            <w:r>
              <w:rPr>
                <w:rFonts w:hint="eastAsia" w:ascii="宋体" w:hAnsi="宋体"/>
                <w:color w:val="auto"/>
                <w:sz w:val="24"/>
              </w:rPr>
              <w:t xml:space="preserve">   2.第二阶段：谈判小组</w:t>
            </w:r>
            <w:r>
              <w:rPr>
                <w:rFonts w:hint="eastAsia" w:ascii="宋体" w:hAnsi="宋体"/>
                <w:color w:val="auto"/>
                <w:sz w:val="24"/>
                <w:lang w:eastAsia="zh-CN"/>
              </w:rPr>
              <w:t>按递交响应文件的逆顺序与供应商分别进行一对一的谈判</w:t>
            </w:r>
            <w:r>
              <w:rPr>
                <w:rFonts w:hint="eastAsia" w:ascii="宋体" w:hAnsi="宋体"/>
                <w:color w:val="auto"/>
                <w:sz w:val="24"/>
              </w:rPr>
              <w:t>（谈判的内容主要是对报价方案的澄清、修正、补充、确认以及价格调整等。谈判文件有实质性变动的，谈判小组应当以书面形式通知所有供应商）；</w:t>
            </w:r>
          </w:p>
          <w:p>
            <w:pPr>
              <w:spacing w:line="400" w:lineRule="exact"/>
              <w:ind w:right="-120" w:rightChars="-57" w:firstLine="480" w:firstLineChars="200"/>
              <w:rPr>
                <w:rFonts w:ascii="宋体" w:hAnsi="宋体"/>
                <w:color w:val="000000" w:themeColor="text1"/>
                <w:sz w:val="24"/>
                <w14:textFill>
                  <w14:solidFill>
                    <w14:schemeClr w14:val="tx1"/>
                  </w14:solidFill>
                </w14:textFill>
              </w:rPr>
            </w:pPr>
            <w:r>
              <w:rPr>
                <w:rFonts w:hint="eastAsia" w:ascii="宋体" w:hAnsi="宋体"/>
                <w:color w:val="auto"/>
                <w:sz w:val="24"/>
                <w:lang w:val="en-US" w:eastAsia="zh-CN"/>
              </w:rPr>
              <w:t>3.本项目分为</w:t>
            </w:r>
            <w:r>
              <w:rPr>
                <w:rFonts w:hint="eastAsia" w:ascii="宋体" w:hAnsi="宋体"/>
                <w:b/>
                <w:bCs/>
                <w:color w:val="auto"/>
                <w:sz w:val="24"/>
                <w:u w:val="single"/>
                <w:lang w:val="en-US" w:eastAsia="zh-CN"/>
              </w:rPr>
              <w:t>两次</w:t>
            </w:r>
            <w:r>
              <w:rPr>
                <w:rFonts w:hint="eastAsia" w:ascii="宋体" w:hAnsi="宋体"/>
                <w:color w:val="auto"/>
                <w:sz w:val="24"/>
                <w:lang w:val="en-US" w:eastAsia="zh-CN"/>
              </w:rPr>
              <w:t>报价，第一次报价以响应文件中的价格为准，</w:t>
            </w:r>
            <w:r>
              <w:rPr>
                <w:rFonts w:hint="eastAsia" w:ascii="宋体" w:hAnsi="宋体"/>
                <w:color w:val="auto"/>
                <w:sz w:val="24"/>
              </w:rPr>
              <w:t>资格、符合性评审</w:t>
            </w:r>
            <w:r>
              <w:rPr>
                <w:rFonts w:hint="eastAsia" w:ascii="宋体" w:hAnsi="宋体"/>
                <w:color w:val="auto"/>
                <w:sz w:val="24"/>
                <w:lang w:val="en-US" w:eastAsia="zh-CN"/>
              </w:rPr>
              <w:t>合格的供应商方可进行二次报价（最终报价）</w:t>
            </w:r>
            <w:r>
              <w:rPr>
                <w:rFonts w:hint="eastAsia" w:ascii="宋体" w:hAnsi="宋体"/>
                <w:color w:val="auto"/>
                <w:sz w:val="24"/>
              </w:rPr>
              <w:br w:type="textWrapping"/>
            </w: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.第三阶段：谈判结束后，谈判小组要求所有供应商在规定时间内</w:t>
            </w:r>
            <w:r>
              <w:rPr>
                <w:rFonts w:hint="eastAsia" w:ascii="宋体" w:hAnsi="宋体"/>
                <w:color w:val="auto"/>
                <w:sz w:val="24"/>
                <w:lang w:eastAsia="zh-CN"/>
              </w:rPr>
              <w:t>（原则上不超过</w:t>
            </w:r>
            <w:r>
              <w:rPr>
                <w:rFonts w:hint="eastAsia" w:ascii="宋体" w:hAnsi="宋体"/>
                <w:color w:val="auto"/>
                <w:sz w:val="24"/>
                <w:lang w:val="en-US" w:eastAsia="zh-CN"/>
              </w:rPr>
              <w:t>15分钟</w:t>
            </w:r>
            <w:r>
              <w:rPr>
                <w:rFonts w:hint="eastAsia" w:ascii="宋体" w:hAnsi="宋体"/>
                <w:color w:val="auto"/>
                <w:sz w:val="24"/>
                <w:lang w:eastAsia="zh-CN"/>
              </w:rPr>
              <w:t>）</w:t>
            </w:r>
            <w:r>
              <w:rPr>
                <w:rFonts w:hint="eastAsia" w:ascii="宋体" w:hAnsi="宋体"/>
                <w:color w:val="auto"/>
                <w:sz w:val="24"/>
              </w:rPr>
              <w:t>提出最终报价，包括最终澄清方案、报价及有关承诺等</w:t>
            </w:r>
            <w:r>
              <w:rPr>
                <w:rFonts w:hint="eastAsia" w:ascii="宋体" w:hAnsi="宋体"/>
                <w:color w:val="auto"/>
                <w:sz w:val="24"/>
                <w:lang w:eastAsia="zh-CN"/>
              </w:rPr>
              <w:t>。</w:t>
            </w:r>
            <w:r>
              <w:rPr>
                <w:rFonts w:hint="eastAsia" w:ascii="宋体" w:hAnsi="宋体" w:cs="宋体"/>
                <w:color w:val="auto"/>
                <w:sz w:val="24"/>
              </w:rPr>
              <w:t>超出规定时间没有进行最后报价的</w:t>
            </w:r>
            <w:r>
              <w:rPr>
                <w:rFonts w:hint="eastAsia" w:ascii="宋体" w:hAnsi="宋体" w:cs="宋体"/>
                <w:color w:val="auto"/>
                <w:sz w:val="24"/>
                <w:lang w:eastAsia="zh-CN"/>
              </w:rPr>
              <w:t>供应商</w:t>
            </w:r>
            <w:r>
              <w:rPr>
                <w:rFonts w:hint="eastAsia" w:ascii="宋体" w:hAnsi="宋体" w:cs="宋体"/>
                <w:color w:val="auto"/>
                <w:sz w:val="24"/>
              </w:rPr>
              <w:t>，视为放弃最后报价，以其前一次报价为准</w:t>
            </w:r>
            <w:r>
              <w:rPr>
                <w:rFonts w:hint="eastAsia" w:ascii="宋体" w:hAnsi="宋体"/>
                <w:color w:val="auto"/>
                <w:sz w:val="24"/>
              </w:rPr>
              <w:t>；</w:t>
            </w:r>
            <w:r>
              <w:rPr>
                <w:rFonts w:hint="eastAsia" w:ascii="宋体" w:hAnsi="宋体"/>
                <w:color w:val="auto"/>
                <w:sz w:val="24"/>
              </w:rPr>
              <w:br w:type="textWrapping"/>
            </w:r>
            <w:r>
              <w:rPr>
                <w:rFonts w:hint="eastAsia" w:ascii="宋体" w:hAnsi="宋体"/>
                <w:color w:val="auto"/>
                <w:sz w:val="24"/>
              </w:rPr>
              <w:t xml:space="preserve">  </w:t>
            </w:r>
            <w:r>
              <w:rPr>
                <w:rFonts w:hint="eastAsia" w:ascii="宋体" w:hAnsi="宋体"/>
                <w:color w:val="auto"/>
                <w:sz w:val="24"/>
                <w:lang w:val="en-US" w:eastAsia="zh-CN"/>
              </w:rPr>
              <w:t>5</w:t>
            </w:r>
            <w:r>
              <w:rPr>
                <w:rFonts w:hint="eastAsia" w:ascii="宋体" w:hAnsi="宋体"/>
                <w:color w:val="auto"/>
                <w:sz w:val="24"/>
              </w:rPr>
              <w:t>.第四阶段：谈判小组对供应商的最终报价进行评议和比较，并根据评审办法从通过资格、符合性评审的供应商中推荐成交候选人，谈判小组出具谈判结果评审报告；</w:t>
            </w:r>
            <w:r>
              <w:rPr>
                <w:rFonts w:hint="eastAsia" w:ascii="宋体" w:hAnsi="宋体"/>
                <w:color w:val="auto"/>
                <w:sz w:val="24"/>
              </w:rPr>
              <w:br w:type="textWrapping"/>
            </w:r>
            <w:r>
              <w:rPr>
                <w:rFonts w:hint="eastAsia" w:ascii="宋体" w:hAnsi="宋体"/>
                <w:color w:val="auto"/>
                <w:sz w:val="24"/>
              </w:rPr>
              <w:t xml:space="preserve">  </w:t>
            </w:r>
            <w:r>
              <w:rPr>
                <w:rFonts w:hint="eastAsia" w:ascii="宋体" w:hAnsi="宋体"/>
                <w:color w:val="auto"/>
                <w:sz w:val="24"/>
                <w:lang w:val="en-US" w:eastAsia="zh-CN"/>
              </w:rPr>
              <w:t>6</w:t>
            </w:r>
            <w:r>
              <w:rPr>
                <w:rFonts w:hint="eastAsia" w:ascii="宋体" w:hAnsi="宋体"/>
                <w:color w:val="auto"/>
                <w:sz w:val="24"/>
              </w:rPr>
              <w:t>.谈判过程中，供应商提交的澄清文件和最终报价，由供应商法定代表人或其</w:t>
            </w:r>
            <w:r>
              <w:rPr>
                <w:rFonts w:hint="eastAsia" w:ascii="宋体" w:hAnsi="宋体"/>
                <w:color w:val="000000" w:themeColor="text1"/>
                <w:sz w:val="24"/>
                <w14:textFill>
                  <w14:solidFill>
                    <w14:schemeClr w14:val="tx1"/>
                  </w14:solidFill>
                </w14:textFill>
              </w:rPr>
              <w:t>授权代表签署后生效，供应商受其约束。</w:t>
            </w:r>
          </w:p>
          <w:p>
            <w:pPr>
              <w:spacing w:line="400" w:lineRule="exact"/>
              <w:ind w:right="-120" w:rightChars="-57" w:firstLine="240" w:firstLineChars="100"/>
              <w:rPr>
                <w:rFonts w:hint="eastAsia" w:ascii="宋体" w:hAnsi="宋体" w:eastAsiaTheme="minorEastAsia"/>
                <w:color w:val="FF0000"/>
                <w:sz w:val="24"/>
                <w:highlight w:val="green"/>
                <w:lang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.评审过程中，谈判小组发现某一供应商的报价</w:t>
            </w:r>
            <w:r>
              <w:rPr>
                <w:rFonts w:hint="eastAsia" w:ascii="宋体" w:hAnsi="宋体"/>
                <w:color w:val="auto"/>
                <w:sz w:val="24"/>
                <w:highlight w:val="none"/>
                <w:lang w:eastAsia="zh-CN"/>
              </w:rPr>
              <w:t>低于最高限</w:t>
            </w:r>
            <w:r>
              <w:rPr>
                <w:rFonts w:hint="eastAsia" w:ascii="宋体" w:hAnsi="宋体"/>
                <w:color w:val="0000FF"/>
                <w:sz w:val="24"/>
                <w:highlight w:val="none"/>
                <w:lang w:eastAsia="zh-CN"/>
              </w:rPr>
              <w:t>价</w:t>
            </w:r>
            <w:r>
              <w:rPr>
                <w:rFonts w:hint="eastAsia" w:ascii="宋体" w:hAnsi="宋体"/>
                <w:color w:val="0000FF"/>
                <w:sz w:val="24"/>
                <w:highlight w:val="none"/>
                <w:lang w:val="en-US" w:eastAsia="zh-CN"/>
              </w:rPr>
              <w:t>60%的</w:t>
            </w:r>
            <w:r>
              <w:rPr>
                <w:rFonts w:hint="eastAsia" w:ascii="宋体" w:hAnsi="宋体"/>
                <w:color w:val="auto"/>
                <w:sz w:val="24"/>
                <w:highlight w:val="none"/>
              </w:rPr>
              <w:t>，谈判小组有权要求该供应商作出书面说明并提供相关证明材料，供应商不能合理说明或者不能提供相关证明材料的，由谈判小组认定该供应商以低于成本报价谈判，以无效响应处理。</w:t>
            </w:r>
            <w:r>
              <w:rPr>
                <w:rFonts w:hint="eastAsia" w:ascii="宋体" w:hAnsi="宋体"/>
                <w:color w:val="auto"/>
                <w:sz w:val="24"/>
                <w:highlight w:val="none"/>
                <w:lang w:val="en-US" w:eastAsia="zh-CN"/>
              </w:rPr>
              <w:t xml:space="preserve"> </w:t>
            </w:r>
          </w:p>
          <w:p>
            <w:pPr>
              <w:spacing w:line="400" w:lineRule="exact"/>
              <w:ind w:right="-120" w:rightChars="-5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三．确定成交候选供应商原则：</w:t>
            </w:r>
          </w:p>
          <w:p>
            <w:pPr>
              <w:spacing w:line="400" w:lineRule="exact"/>
              <w:ind w:right="-120" w:rightChars="-57"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1.采购人从谈判小组推荐的成交候选人中依法确定供应商；</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tc>
      </w:tr>
    </w:tbl>
    <w:p>
      <w:pPr>
        <w:spacing w:line="400" w:lineRule="exact"/>
        <w:outlineLvl w:val="0"/>
        <w:rPr>
          <w:rFonts w:ascii="宋体" w:hAnsi="宋体" w:eastAsia="宋体"/>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pStyle w:val="4"/>
      </w:pPr>
    </w:p>
    <w:p>
      <w:pPr>
        <w:pStyle w:val="4"/>
      </w:pPr>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
      <w:pPr>
        <w:pStyle w:val="4"/>
        <w:keepNext w:val="0"/>
        <w:keepLines w:val="0"/>
        <w:tabs>
          <w:tab w:val="center" w:pos="4365"/>
        </w:tabs>
        <w:spacing w:before="220" w:after="220"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谈判供应商</w:t>
      </w:r>
      <w:r>
        <w:rPr>
          <w:rFonts w:ascii="宋体" w:hAnsi="宋体" w:eastAsia="宋体"/>
          <w:color w:val="000000" w:themeColor="text1"/>
          <w:sz w:val="24"/>
          <w:szCs w:val="24"/>
          <w14:textFill>
            <w14:solidFill>
              <w14:schemeClr w14:val="tx1"/>
            </w14:solidFill>
          </w14:textFill>
        </w:rPr>
        <w:t>须知前附表</w:t>
      </w: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中小企业及监狱企业优惠办法</w:t>
      </w:r>
    </w:p>
    <w:tbl>
      <w:tblPr>
        <w:tblStyle w:val="1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484"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6256"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1484"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是/</w:t>
            </w:r>
            <w:r>
              <w:rPr>
                <w:rFonts w:hint="default" w:ascii="Arial" w:hAnsi="Arial" w:cs="Arial"/>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否</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cs="宋体"/>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p>
        </w:tc>
        <w:tc>
          <w:tcPr>
            <w:tcW w:w="1484"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中小企业的认定标准</w:t>
            </w:r>
          </w:p>
        </w:tc>
        <w:tc>
          <w:tcPr>
            <w:tcW w:w="6256" w:type="dxa"/>
          </w:tcPr>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谈判供应商须同时满足以下两个条件，才能认定为中小企业</w:t>
            </w:r>
            <w:r>
              <w:rPr>
                <w:rFonts w:hint="eastAsia" w:ascii="宋体" w:hAnsi="宋体"/>
                <w:b/>
                <w:color w:val="000000" w:themeColor="text1"/>
                <w:sz w:val="24"/>
                <w14:textFill>
                  <w14:solidFill>
                    <w14:schemeClr w14:val="tx1"/>
                  </w14:solidFill>
                </w14:textFill>
              </w:rPr>
              <w:t>（含中型、小型、微型企业，下同）</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（2）提供本企业制造的货物、承担的工程或者服务，或者提供其他中小企业制造的货物。</w:t>
            </w:r>
            <w:r>
              <w:rPr>
                <w:rFonts w:hint="eastAsia" w:ascii="宋体" w:hAnsi="宋体" w:cs="SimSun-Identity-H"/>
                <w:color w:val="000000" w:themeColor="text1"/>
                <w:kern w:val="0"/>
                <w:sz w:val="24"/>
                <w14:textFill>
                  <w14:solidFill>
                    <w14:schemeClr w14:val="tx1"/>
                  </w14:solidFill>
                </w14:textFill>
              </w:rPr>
              <w:t>本项所称货物不包括使用大型企业注册商标的货物；</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w:t>
            </w:r>
          </w:p>
        </w:tc>
        <w:tc>
          <w:tcPr>
            <w:tcW w:w="1484"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监狱企业的认定标准</w:t>
            </w:r>
          </w:p>
        </w:tc>
        <w:tc>
          <w:tcPr>
            <w:tcW w:w="6256" w:type="dxa"/>
          </w:tcPr>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w:t>
            </w:r>
          </w:p>
        </w:tc>
        <w:tc>
          <w:tcPr>
            <w:tcW w:w="1484"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小型企业或微型企业：</w:t>
            </w:r>
          </w:p>
          <w:p>
            <w:pPr>
              <w:spacing w:beforeLines="25" w:afterLines="25" w:line="400" w:lineRule="exact"/>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履约保证金：按约定比例的50%支付</w:t>
            </w:r>
            <w:r>
              <w:rPr>
                <w:rFonts w:hint="eastAsia" w:ascii="宋体" w:hAnsi="宋体"/>
                <w:color w:val="000000" w:themeColor="text1"/>
                <w:spacing w:val="-4"/>
                <w:sz w:val="24"/>
                <w14:textFill>
                  <w14:solidFill>
                    <w14:schemeClr w14:val="tx1"/>
                  </w14:solidFill>
                </w14:textFill>
              </w:rPr>
              <w:t>（如果有的话）</w:t>
            </w:r>
          </w:p>
          <w:p>
            <w:pPr>
              <w:spacing w:beforeLines="25" w:afterLines="25" w:line="400" w:lineRule="exact"/>
              <w:ind w:left="-65" w:leftChars="-31" w:firstLine="475" w:firstLineChars="205"/>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价格扣除：按报价的</w:t>
            </w:r>
            <w:r>
              <w:rPr>
                <w:rFonts w:hint="eastAsia" w:ascii="宋体" w:hAnsi="宋体"/>
                <w:color w:val="000000" w:themeColor="text1"/>
                <w:spacing w:val="-4"/>
                <w:sz w:val="24"/>
                <w:u w:val="single"/>
                <w14:textFill>
                  <w14:solidFill>
                    <w14:schemeClr w14:val="tx1"/>
                  </w14:solidFill>
                </w14:textFill>
              </w:rPr>
              <w:t>（94%）</w:t>
            </w:r>
            <w:r>
              <w:rPr>
                <w:rFonts w:hint="eastAsia" w:ascii="宋体" w:hAnsi="宋体"/>
                <w:color w:val="000000" w:themeColor="text1"/>
                <w:spacing w:val="-4"/>
                <w:sz w:val="24"/>
                <w14:textFill>
                  <w14:solidFill>
                    <w14:schemeClr w14:val="tx1"/>
                  </w14:solidFill>
                </w14:textFill>
              </w:rPr>
              <w:t>计算评审价</w:t>
            </w:r>
          </w:p>
          <w:p>
            <w:pPr>
              <w:spacing w:beforeLines="25" w:afterLines="25" w:line="400" w:lineRule="exact"/>
              <w:ind w:left="-65" w:leftChars="-31" w:firstLine="12" w:firstLineChars="5"/>
              <w:rPr>
                <w:rFonts w:ascii="宋体" w:hAnsi="宋体"/>
                <w:b/>
                <w:color w:val="000000" w:themeColor="text1"/>
                <w:spacing w:val="-4"/>
                <w:sz w:val="24"/>
                <w14:textFill>
                  <w14:solidFill>
                    <w14:schemeClr w14:val="tx1"/>
                  </w14:solidFill>
                </w14:textFill>
              </w:rPr>
            </w:pPr>
            <w:r>
              <w:rPr>
                <w:rFonts w:hint="eastAsia" w:ascii="宋体" w:hAnsi="宋体"/>
                <w:b/>
                <w:color w:val="000000" w:themeColor="text1"/>
                <w:spacing w:val="-4"/>
                <w:sz w:val="24"/>
                <w14:textFill>
                  <w14:solidFill>
                    <w14:schemeClr w14:val="tx1"/>
                  </w14:solidFill>
                </w14:textFill>
              </w:rPr>
              <w:t>中型企业：</w:t>
            </w:r>
          </w:p>
          <w:p>
            <w:pPr>
              <w:spacing w:line="400" w:lineRule="exact"/>
              <w:ind w:firstLine="46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履约保证金：按约定比例的50%支付</w:t>
            </w:r>
            <w:r>
              <w:rPr>
                <w:rFonts w:hint="eastAsia" w:ascii="宋体" w:hAnsi="宋体"/>
                <w:color w:val="000000" w:themeColor="text1"/>
                <w:sz w:val="24"/>
                <w14:textFill>
                  <w14:solidFill>
                    <w14:schemeClr w14:val="tx1"/>
                  </w14:solidFill>
                </w14:textFill>
              </w:rPr>
              <w:t>（如果有的话）</w:t>
            </w:r>
          </w:p>
          <w:p>
            <w:pPr>
              <w:spacing w:beforeLines="25" w:afterLines="25" w:line="400" w:lineRule="exact"/>
              <w:ind w:firstLine="464" w:firstLineChars="200"/>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w:t>
            </w:r>
          </w:p>
        </w:tc>
        <w:tc>
          <w:tcPr>
            <w:tcW w:w="1484"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小型或微型企业产品价格清单</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供应商中小企业性质（中型、小型、微型）：</w:t>
                  </w:r>
                  <w:r>
                    <w:rPr>
                      <w:rFonts w:hint="eastAsia" w:ascii="宋体" w:hAnsi="宋体"/>
                      <w:color w:val="000000" w:themeColor="text1"/>
                      <w:sz w:val="24"/>
                      <w:u w:val="single"/>
                      <w14:textFill>
                        <w14:solidFill>
                          <w14:schemeClr w14:val="tx1"/>
                        </w14:solidFill>
                      </w14:textFill>
                    </w:rPr>
                    <w:t xml:space="preserve">                        </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962"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834"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w:t>
                  </w:r>
                </w:p>
              </w:tc>
              <w:tc>
                <w:tcPr>
                  <w:tcW w:w="1899"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制造商性质（小型、微型）</w:t>
                  </w:r>
                </w:p>
              </w:tc>
              <w:tc>
                <w:tcPr>
                  <w:tcW w:w="1316" w:type="dxa"/>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962" w:type="dxa"/>
                </w:tcPr>
                <w:p>
                  <w:pPr>
                    <w:spacing w:line="400" w:lineRule="exact"/>
                    <w:rPr>
                      <w:rFonts w:ascii="宋体" w:hAnsi="宋体"/>
                      <w:color w:val="000000" w:themeColor="text1"/>
                      <w:sz w:val="24"/>
                      <w14:textFill>
                        <w14:solidFill>
                          <w14:schemeClr w14:val="tx1"/>
                        </w14:solidFill>
                      </w14:textFill>
                    </w:rPr>
                  </w:pPr>
                </w:p>
              </w:tc>
              <w:tc>
                <w:tcPr>
                  <w:tcW w:w="834" w:type="dxa"/>
                </w:tcPr>
                <w:p>
                  <w:pPr>
                    <w:spacing w:line="400" w:lineRule="exact"/>
                    <w:rPr>
                      <w:rFonts w:ascii="宋体" w:hAnsi="宋体"/>
                      <w:color w:val="000000" w:themeColor="text1"/>
                      <w:sz w:val="24"/>
                      <w14:textFill>
                        <w14:solidFill>
                          <w14:schemeClr w14:val="tx1"/>
                        </w14:solidFill>
                      </w14:textFill>
                    </w:rPr>
                  </w:pPr>
                </w:p>
              </w:tc>
              <w:tc>
                <w:tcPr>
                  <w:tcW w:w="1899" w:type="dxa"/>
                </w:tcPr>
                <w:p>
                  <w:pPr>
                    <w:spacing w:line="400" w:lineRule="exact"/>
                    <w:rPr>
                      <w:rFonts w:ascii="宋体" w:hAnsi="宋体"/>
                      <w:color w:val="000000" w:themeColor="text1"/>
                      <w:sz w:val="24"/>
                      <w14:textFill>
                        <w14:solidFill>
                          <w14:schemeClr w14:val="tx1"/>
                        </w14:solidFill>
                      </w14:textFill>
                    </w:rPr>
                  </w:pPr>
                </w:p>
              </w:tc>
              <w:tc>
                <w:tcPr>
                  <w:tcW w:w="1316" w:type="dxa"/>
                </w:tcPr>
                <w:p>
                  <w:pPr>
                    <w:spacing w:line="40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962" w:type="dxa"/>
                </w:tcPr>
                <w:p>
                  <w:pPr>
                    <w:spacing w:line="400" w:lineRule="exact"/>
                    <w:rPr>
                      <w:rFonts w:ascii="宋体" w:hAnsi="宋体"/>
                      <w:color w:val="000000" w:themeColor="text1"/>
                      <w:sz w:val="24"/>
                      <w14:textFill>
                        <w14:solidFill>
                          <w14:schemeClr w14:val="tx1"/>
                        </w14:solidFill>
                      </w14:textFill>
                    </w:rPr>
                  </w:pPr>
                </w:p>
              </w:tc>
              <w:tc>
                <w:tcPr>
                  <w:tcW w:w="834" w:type="dxa"/>
                </w:tcPr>
                <w:p>
                  <w:pPr>
                    <w:spacing w:line="400" w:lineRule="exact"/>
                    <w:rPr>
                      <w:rFonts w:ascii="宋体" w:hAnsi="宋体"/>
                      <w:color w:val="000000" w:themeColor="text1"/>
                      <w:sz w:val="24"/>
                      <w14:textFill>
                        <w14:solidFill>
                          <w14:schemeClr w14:val="tx1"/>
                        </w14:solidFill>
                      </w14:textFill>
                    </w:rPr>
                  </w:pPr>
                </w:p>
              </w:tc>
              <w:tc>
                <w:tcPr>
                  <w:tcW w:w="1899" w:type="dxa"/>
                </w:tcPr>
                <w:p>
                  <w:pPr>
                    <w:spacing w:line="400" w:lineRule="exact"/>
                    <w:rPr>
                      <w:rFonts w:ascii="宋体" w:hAnsi="宋体"/>
                      <w:color w:val="000000" w:themeColor="text1"/>
                      <w:sz w:val="24"/>
                      <w14:textFill>
                        <w14:solidFill>
                          <w14:schemeClr w14:val="tx1"/>
                        </w14:solidFill>
                      </w14:textFill>
                    </w:rPr>
                  </w:pPr>
                </w:p>
              </w:tc>
              <w:tc>
                <w:tcPr>
                  <w:tcW w:w="1316" w:type="dxa"/>
                </w:tcPr>
                <w:p>
                  <w:pPr>
                    <w:spacing w:line="40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6"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62" w:type="dxa"/>
                </w:tcPr>
                <w:p>
                  <w:pPr>
                    <w:spacing w:line="400" w:lineRule="exact"/>
                    <w:rPr>
                      <w:rFonts w:ascii="宋体" w:hAnsi="宋体"/>
                      <w:color w:val="000000" w:themeColor="text1"/>
                      <w:sz w:val="24"/>
                      <w14:textFill>
                        <w14:solidFill>
                          <w14:schemeClr w14:val="tx1"/>
                        </w14:solidFill>
                      </w14:textFill>
                    </w:rPr>
                  </w:pPr>
                </w:p>
              </w:tc>
              <w:tc>
                <w:tcPr>
                  <w:tcW w:w="834" w:type="dxa"/>
                </w:tcPr>
                <w:p>
                  <w:pPr>
                    <w:spacing w:line="400" w:lineRule="exact"/>
                    <w:rPr>
                      <w:rFonts w:ascii="宋体" w:hAnsi="宋体"/>
                      <w:color w:val="000000" w:themeColor="text1"/>
                      <w:sz w:val="24"/>
                      <w14:textFill>
                        <w14:solidFill>
                          <w14:schemeClr w14:val="tx1"/>
                        </w14:solidFill>
                      </w14:textFill>
                    </w:rPr>
                  </w:pPr>
                </w:p>
              </w:tc>
              <w:tc>
                <w:tcPr>
                  <w:tcW w:w="1899" w:type="dxa"/>
                </w:tcPr>
                <w:p>
                  <w:pPr>
                    <w:spacing w:line="400" w:lineRule="exact"/>
                    <w:rPr>
                      <w:rFonts w:ascii="宋体" w:hAnsi="宋体"/>
                      <w:color w:val="000000" w:themeColor="text1"/>
                      <w:sz w:val="24"/>
                      <w14:textFill>
                        <w14:solidFill>
                          <w14:schemeClr w14:val="tx1"/>
                        </w14:solidFill>
                      </w14:textFill>
                    </w:rPr>
                  </w:pPr>
                </w:p>
              </w:tc>
              <w:tc>
                <w:tcPr>
                  <w:tcW w:w="1316" w:type="dxa"/>
                </w:tcPr>
                <w:p>
                  <w:pPr>
                    <w:spacing w:line="40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962" w:type="dxa"/>
                </w:tcPr>
                <w:p>
                  <w:pPr>
                    <w:spacing w:line="400" w:lineRule="exact"/>
                    <w:rPr>
                      <w:rFonts w:ascii="宋体" w:hAnsi="宋体"/>
                      <w:color w:val="000000" w:themeColor="text1"/>
                      <w:sz w:val="24"/>
                      <w14:textFill>
                        <w14:solidFill>
                          <w14:schemeClr w14:val="tx1"/>
                        </w14:solidFill>
                      </w14:textFill>
                    </w:rPr>
                  </w:pPr>
                </w:p>
              </w:tc>
              <w:tc>
                <w:tcPr>
                  <w:tcW w:w="834" w:type="dxa"/>
                </w:tcPr>
                <w:p>
                  <w:pPr>
                    <w:spacing w:line="400" w:lineRule="exact"/>
                    <w:rPr>
                      <w:rFonts w:ascii="宋体" w:hAnsi="宋体"/>
                      <w:color w:val="000000" w:themeColor="text1"/>
                      <w:sz w:val="24"/>
                      <w14:textFill>
                        <w14:solidFill>
                          <w14:schemeClr w14:val="tx1"/>
                        </w14:solidFill>
                      </w14:textFill>
                    </w:rPr>
                  </w:pPr>
                </w:p>
              </w:tc>
              <w:tc>
                <w:tcPr>
                  <w:tcW w:w="1899" w:type="dxa"/>
                </w:tcPr>
                <w:p>
                  <w:pPr>
                    <w:spacing w:line="400" w:lineRule="exact"/>
                    <w:rPr>
                      <w:rFonts w:ascii="宋体" w:hAnsi="宋体"/>
                      <w:color w:val="000000" w:themeColor="text1"/>
                      <w:sz w:val="24"/>
                      <w14:textFill>
                        <w14:solidFill>
                          <w14:schemeClr w14:val="tx1"/>
                        </w14:solidFill>
                      </w14:textFill>
                    </w:rPr>
                  </w:pPr>
                </w:p>
              </w:tc>
              <w:tc>
                <w:tcPr>
                  <w:tcW w:w="1316" w:type="dxa"/>
                </w:tcPr>
                <w:p>
                  <w:pPr>
                    <w:spacing w:line="40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小型或微型企业货物金额合计A</w:t>
                  </w:r>
                </w:p>
              </w:tc>
              <w:tc>
                <w:tcPr>
                  <w:tcW w:w="1316" w:type="dxa"/>
                </w:tcPr>
                <w:p>
                  <w:pPr>
                    <w:spacing w:line="40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报价一览表中所有货物报价B</w:t>
                  </w:r>
                </w:p>
              </w:tc>
              <w:tc>
                <w:tcPr>
                  <w:tcW w:w="1316" w:type="dxa"/>
                </w:tcPr>
                <w:p>
                  <w:pPr>
                    <w:spacing w:line="40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评审价格C=</w:t>
                  </w:r>
                  <w:r>
                    <w:rPr>
                      <w:rFonts w:hint="eastAsia" w:ascii="宋体" w:hAnsi="宋体"/>
                      <w:color w:val="000000" w:themeColor="text1"/>
                      <w:sz w:val="24"/>
                      <w:u w:val="single"/>
                      <w14:textFill>
                        <w14:solidFill>
                          <w14:schemeClr w14:val="tx1"/>
                        </w14:solidFill>
                      </w14:textFill>
                    </w:rPr>
                    <w:t>（0.94）</w:t>
                  </w:r>
                  <w:r>
                    <w:rPr>
                      <w:rFonts w:hint="eastAsia" w:ascii="宋体" w:hAnsi="宋体"/>
                      <w:color w:val="000000" w:themeColor="text1"/>
                      <w:sz w:val="24"/>
                      <w14:textFill>
                        <w14:solidFill>
                          <w14:schemeClr w14:val="tx1"/>
                        </w14:solidFill>
                      </w14:textFill>
                    </w:rPr>
                    <w:t>*A+B-A</w:t>
                  </w:r>
                </w:p>
              </w:tc>
              <w:tc>
                <w:tcPr>
                  <w:tcW w:w="1316" w:type="dxa"/>
                </w:tcPr>
                <w:p>
                  <w:pPr>
                    <w:spacing w:line="400" w:lineRule="exact"/>
                    <w:rPr>
                      <w:rFonts w:ascii="宋体" w:hAnsi="宋体"/>
                      <w:color w:val="000000" w:themeColor="text1"/>
                      <w:sz w:val="24"/>
                      <w14:textFill>
                        <w14:solidFill>
                          <w14:schemeClr w14:val="tx1"/>
                        </w14:solidFill>
                      </w14:textFill>
                    </w:rPr>
                  </w:pPr>
                </w:p>
              </w:tc>
            </w:tr>
          </w:tbl>
          <w:p>
            <w:pPr>
              <w:spacing w:beforeLines="25" w:afterLines="25" w:line="4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p>
        </w:tc>
        <w:tc>
          <w:tcPr>
            <w:tcW w:w="1484"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供应商参与谈判响应时须对照《中小企业划型标准规定》（工信部联企业[2011]300号）文件规定，提供《中小企业声明函》。</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符合监狱企业政策的供应商参与谈判时需提供</w:t>
            </w:r>
            <w:r>
              <w:rPr>
                <w:rFonts w:hint="eastAsia" w:ascii="宋体" w:cs="宋体"/>
                <w:color w:val="000000" w:themeColor="text1"/>
                <w:kern w:val="0"/>
                <w:sz w:val="24"/>
                <w14:textFill>
                  <w14:solidFill>
                    <w14:schemeClr w14:val="tx1"/>
                  </w14:solidFill>
                </w14:textFill>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w:t>
            </w:r>
          </w:p>
        </w:tc>
        <w:tc>
          <w:tcPr>
            <w:tcW w:w="1484" w:type="dxa"/>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一、经评审委员会评审，存在下列任一情况的，谈判供应商将不被视为中小企业：</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谈判供应商不符合“工信部联企业[2011]300号”规定的中小企业标准的；</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2.投标货物全部或部分为使用大型企业注册商标的货物的；</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4.、未按本附表第5项要求提供合法、有效、完整资料的。</w:t>
            </w:r>
          </w:p>
          <w:p>
            <w:pPr>
              <w:spacing w:line="400" w:lineRule="exact"/>
              <w:ind w:firstLine="482" w:firstLineChars="200"/>
              <w:rPr>
                <w:rFonts w:ascii="宋体" w:hAnsi="宋体" w:cs="SimSun-Identity-H"/>
                <w:b/>
                <w:color w:val="000000" w:themeColor="text1"/>
                <w:kern w:val="0"/>
                <w:sz w:val="24"/>
                <w14:textFill>
                  <w14:solidFill>
                    <w14:schemeClr w14:val="tx1"/>
                  </w14:solidFill>
                </w14:textFill>
              </w:rPr>
            </w:pPr>
            <w:r>
              <w:rPr>
                <w:rFonts w:hint="eastAsia" w:ascii="宋体" w:hAnsi="宋体" w:cs="SimSun-Identity-H"/>
                <w:b/>
                <w:color w:val="000000" w:themeColor="text1"/>
                <w:kern w:val="0"/>
                <w:sz w:val="24"/>
                <w14:textFill>
                  <w14:solidFill>
                    <w14:schemeClr w14:val="tx1"/>
                  </w14:solidFill>
                </w14:textFill>
              </w:rPr>
              <w:t>二、提供虚假证明材料后果：</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SimSun-Identity-H"/>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ind w:firstLine="723" w:firstLineChars="300"/>
        <w:outlineLvl w:val="0"/>
        <w:rPr>
          <w:rFonts w:ascii="宋体" w:hAnsi="宋体"/>
          <w:b/>
          <w:bCs/>
          <w:color w:val="000000" w:themeColor="text1"/>
          <w:sz w:val="24"/>
          <w:u w:val="single"/>
          <w14:textFill>
            <w14:solidFill>
              <w14:schemeClr w14:val="tx1"/>
            </w14:solidFill>
          </w14:textFill>
        </w:rPr>
      </w:pPr>
    </w:p>
    <w:p>
      <w:pPr>
        <w:spacing w:line="400" w:lineRule="exact"/>
        <w:ind w:firstLine="723" w:firstLineChars="300"/>
        <w:outlineLvl w:val="0"/>
        <w:rPr>
          <w:rFonts w:hint="eastAsia" w:ascii="宋体" w:hAnsi="宋体"/>
          <w:b/>
          <w:bCs/>
          <w:color w:val="000000" w:themeColor="text1"/>
          <w:sz w:val="24"/>
          <w:u w:val="single"/>
          <w14:textFill>
            <w14:solidFill>
              <w14:schemeClr w14:val="tx1"/>
            </w14:solidFill>
          </w14:textFill>
        </w:rPr>
      </w:pPr>
    </w:p>
    <w:p>
      <w:pPr>
        <w:pStyle w:val="4"/>
        <w:rPr>
          <w:rFonts w:hint="eastAsia" w:ascii="宋体" w:hAnsi="宋体"/>
          <w:b/>
          <w:bCs/>
          <w:color w:val="000000" w:themeColor="text1"/>
          <w:sz w:val="24"/>
          <w:u w:val="single"/>
          <w14:textFill>
            <w14:solidFill>
              <w14:schemeClr w14:val="tx1"/>
            </w14:solidFill>
          </w14:textFill>
        </w:rPr>
      </w:pPr>
    </w:p>
    <w:p>
      <w:pPr>
        <w:rPr>
          <w:rFonts w:hint="eastAsia" w:ascii="宋体" w:hAnsi="宋体"/>
          <w:b/>
          <w:bCs/>
          <w:color w:val="000000" w:themeColor="text1"/>
          <w:sz w:val="24"/>
          <w:u w:val="single"/>
          <w14:textFill>
            <w14:solidFill>
              <w14:schemeClr w14:val="tx1"/>
            </w14:solidFill>
          </w14:textFill>
        </w:rPr>
      </w:pPr>
    </w:p>
    <w:p>
      <w:pPr>
        <w:pStyle w:val="4"/>
        <w:rPr>
          <w:rFonts w:hint="eastAsia" w:ascii="宋体" w:hAnsi="宋体"/>
          <w:b/>
          <w:bCs/>
          <w:color w:val="000000" w:themeColor="text1"/>
          <w:sz w:val="24"/>
          <w:u w:val="single"/>
          <w14:textFill>
            <w14:solidFill>
              <w14:schemeClr w14:val="tx1"/>
            </w14:solidFill>
          </w14:textFill>
        </w:rPr>
      </w:pPr>
    </w:p>
    <w:p>
      <w:pPr>
        <w:rPr>
          <w:rFonts w:hint="eastAsia" w:ascii="宋体" w:hAnsi="宋体"/>
          <w:b/>
          <w:bCs/>
          <w:color w:val="000000" w:themeColor="text1"/>
          <w:sz w:val="24"/>
          <w:u w:val="single"/>
          <w14:textFill>
            <w14:solidFill>
              <w14:schemeClr w14:val="tx1"/>
            </w14:solidFill>
          </w14:textFill>
        </w:rPr>
      </w:pPr>
    </w:p>
    <w:p>
      <w:pPr>
        <w:pStyle w:val="4"/>
        <w:rPr>
          <w:rFonts w:hint="eastAsia" w:ascii="宋体" w:hAnsi="宋体"/>
          <w:b/>
          <w:bCs/>
          <w:color w:val="000000" w:themeColor="text1"/>
          <w:sz w:val="24"/>
          <w:u w:val="single"/>
          <w14:textFill>
            <w14:solidFill>
              <w14:schemeClr w14:val="tx1"/>
            </w14:solidFill>
          </w14:textFill>
        </w:rPr>
      </w:pPr>
    </w:p>
    <w:p>
      <w:pPr>
        <w:pStyle w:val="4"/>
        <w:rPr>
          <w:rFonts w:hint="eastAsia"/>
        </w:rPr>
      </w:pPr>
    </w:p>
    <w:p>
      <w:pPr>
        <w:pStyle w:val="4"/>
        <w:rPr>
          <w:rFonts w:hint="eastAsia"/>
        </w:rPr>
      </w:pPr>
    </w:p>
    <w:p>
      <w:pPr>
        <w:spacing w:line="400" w:lineRule="exact"/>
        <w:ind w:firstLine="723" w:firstLineChars="300"/>
        <w:outlineLvl w:val="0"/>
        <w:rPr>
          <w:rFonts w:hint="eastAsia" w:ascii="宋体" w:hAnsi="宋体"/>
          <w:b/>
          <w:bCs/>
          <w:color w:val="000000" w:themeColor="text1"/>
          <w:sz w:val="24"/>
          <w:u w:val="single"/>
          <w14:textFill>
            <w14:solidFill>
              <w14:schemeClr w14:val="tx1"/>
            </w14:solidFill>
          </w14:textFill>
        </w:rPr>
      </w:pPr>
    </w:p>
    <w:p>
      <w:pPr>
        <w:spacing w:line="400" w:lineRule="exact"/>
        <w:ind w:firstLine="723" w:firstLineChars="300"/>
        <w:outlineLvl w:val="0"/>
        <w:rPr>
          <w:rFonts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u w:val="single"/>
          <w14:textFill>
            <w14:solidFill>
              <w14:schemeClr w14:val="tx1"/>
            </w14:solidFill>
          </w14:textFill>
        </w:rPr>
        <w:t>谈判供应商须知前附表5：节能、环境标志信息安全产品采购政策</w:t>
      </w:r>
    </w:p>
    <w:p>
      <w:pPr>
        <w:spacing w:line="400" w:lineRule="exact"/>
        <w:ind w:firstLine="723" w:firstLineChars="300"/>
        <w:outlineLvl w:val="0"/>
        <w:rPr>
          <w:rFonts w:ascii="宋体" w:hAnsi="宋体"/>
          <w:b/>
          <w:bCs/>
          <w:color w:val="000000" w:themeColor="text1"/>
          <w:sz w:val="24"/>
          <w:u w:val="single"/>
          <w14:textFill>
            <w14:solidFill>
              <w14:schemeClr w14:val="tx1"/>
            </w14:solidFill>
          </w14:textFill>
        </w:rPr>
      </w:pPr>
    </w:p>
    <w:tbl>
      <w:tblPr>
        <w:tblStyle w:val="19"/>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1" w:type="dxa"/>
          </w:tcPr>
          <w:p>
            <w:pPr>
              <w:spacing w:line="400" w:lineRule="exact"/>
              <w:ind w:firstLine="6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二、节能、环境标志、信息安全产品优先采购政策</w:t>
            </w:r>
          </w:p>
          <w:p>
            <w:pPr>
              <w:spacing w:line="400" w:lineRule="exact"/>
              <w:ind w:firstLine="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（二）对属于《节能产品政府采购清单》内强制采购的品目，应在招标文件中载明强制采购要求。</w:t>
            </w:r>
          </w:p>
          <w:p>
            <w:pPr>
              <w:spacing w:line="400" w:lineRule="exact"/>
              <w:ind w:firstLine="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同一合同包内节能、环境标志产品报价总金额占该合同报价总金额的比例</w:t>
                  </w:r>
                </w:p>
              </w:tc>
              <w:tc>
                <w:tcPr>
                  <w:tcW w:w="3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10％（含10％）至50％（不含50％）</w:t>
                  </w:r>
                </w:p>
              </w:tc>
              <w:tc>
                <w:tcPr>
                  <w:tcW w:w="33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50％及以上</w:t>
                  </w:r>
                </w:p>
              </w:tc>
              <w:tc>
                <w:tcPr>
                  <w:tcW w:w="33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给予每个品目单项报标报价10％的价格扣除</w:t>
                  </w:r>
                </w:p>
              </w:tc>
            </w:tr>
          </w:tbl>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1" w:type="dxa"/>
          </w:tcPr>
          <w:p>
            <w:pPr>
              <w:spacing w:line="400" w:lineRule="exact"/>
              <w:ind w:firstLine="540" w:firstLineChars="224"/>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三、提醒事项：</w:t>
            </w:r>
          </w:p>
          <w:p>
            <w:pPr>
              <w:spacing w:line="400" w:lineRule="exact"/>
              <w:ind w:firstLine="540" w:firstLineChars="224"/>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成交供应商必须凭成交通知书的原件与采购人签订《政府采购合同》。</w:t>
            </w:r>
          </w:p>
        </w:tc>
      </w:tr>
    </w:tbl>
    <w:p>
      <w:pPr>
        <w:spacing w:line="360" w:lineRule="auto"/>
        <w:outlineLvl w:val="0"/>
        <w:rPr>
          <w:rFonts w:ascii="宋体" w:hAnsi="宋体"/>
          <w:b/>
          <w:bCs/>
          <w:color w:val="000000" w:themeColor="text1"/>
          <w:sz w:val="30"/>
          <w:szCs w:val="30"/>
          <w14:textFill>
            <w14:solidFill>
              <w14:schemeClr w14:val="tx1"/>
            </w14:solidFill>
          </w14:textFill>
        </w:rPr>
      </w:pPr>
      <w:bookmarkStart w:id="1" w:name="_Toc66198171"/>
      <w:bookmarkStart w:id="2" w:name="_Toc268599008"/>
    </w:p>
    <w:bookmarkEnd w:id="1"/>
    <w:bookmarkEnd w:id="2"/>
    <w:p>
      <w:pPr>
        <w:pStyle w:val="11"/>
        <w:spacing w:line="400" w:lineRule="exact"/>
        <w:jc w:val="center"/>
        <w:rPr>
          <w:rFonts w:hAnsi="宋体"/>
          <w:b/>
          <w:color w:val="000000" w:themeColor="text1"/>
          <w:sz w:val="32"/>
          <w:szCs w:val="32"/>
          <w14:textFill>
            <w14:solidFill>
              <w14:schemeClr w14:val="tx1"/>
            </w14:solidFill>
          </w14:textFill>
        </w:rPr>
      </w:pPr>
    </w:p>
    <w:p>
      <w:pPr>
        <w:pStyle w:val="11"/>
        <w:spacing w:line="400" w:lineRule="exact"/>
        <w:jc w:val="center"/>
        <w:rPr>
          <w:rFonts w:hAnsi="宋体"/>
          <w:b/>
          <w:color w:val="000000" w:themeColor="text1"/>
          <w:sz w:val="32"/>
          <w:szCs w:val="32"/>
          <w14:textFill>
            <w14:solidFill>
              <w14:schemeClr w14:val="tx1"/>
            </w14:solidFill>
          </w14:textFill>
        </w:rPr>
      </w:pPr>
    </w:p>
    <w:p>
      <w:pPr>
        <w:pStyle w:val="11"/>
        <w:spacing w:line="400" w:lineRule="exact"/>
        <w:jc w:val="both"/>
        <w:rPr>
          <w:rFonts w:hAnsi="宋体"/>
          <w:b/>
          <w:color w:val="000000" w:themeColor="text1"/>
          <w:sz w:val="32"/>
          <w:szCs w:val="32"/>
          <w14:textFill>
            <w14:solidFill>
              <w14:schemeClr w14:val="tx1"/>
            </w14:solidFill>
          </w14:textFill>
        </w:rPr>
      </w:pPr>
    </w:p>
    <w:p>
      <w:pPr>
        <w:pStyle w:val="11"/>
        <w:spacing w:line="400" w:lineRule="exact"/>
        <w:rPr>
          <w:rFonts w:hAnsi="宋体"/>
          <w:b/>
          <w:color w:val="000000" w:themeColor="text1"/>
          <w:sz w:val="32"/>
          <w:szCs w:val="32"/>
          <w14:textFill>
            <w14:solidFill>
              <w14:schemeClr w14:val="tx1"/>
            </w14:solidFill>
          </w14:textFill>
        </w:rPr>
      </w:pPr>
    </w:p>
    <w:p>
      <w:pPr>
        <w:pStyle w:val="11"/>
        <w:spacing w:line="560" w:lineRule="exact"/>
        <w:jc w:val="center"/>
        <w:rPr>
          <w:rFonts w:hint="eastAsia" w:hAnsi="宋体"/>
          <w:b/>
          <w:color w:val="000000" w:themeColor="text1"/>
          <w:sz w:val="36"/>
          <w:szCs w:val="36"/>
          <w14:textFill>
            <w14:solidFill>
              <w14:schemeClr w14:val="tx1"/>
            </w14:solidFill>
          </w14:textFill>
        </w:rPr>
      </w:pPr>
    </w:p>
    <w:p>
      <w:pPr>
        <w:pStyle w:val="11"/>
        <w:spacing w:line="560" w:lineRule="exact"/>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第三章  谈判供应商须知正文部分</w:t>
      </w:r>
    </w:p>
    <w:p>
      <w:pPr>
        <w:pStyle w:val="11"/>
        <w:spacing w:line="440" w:lineRule="exact"/>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一、</w:t>
      </w:r>
      <w:r>
        <w:rPr>
          <w:rFonts w:hAnsi="宋体"/>
          <w:b/>
          <w:color w:val="000000" w:themeColor="text1"/>
          <w:sz w:val="32"/>
          <w:szCs w:val="32"/>
          <w14:textFill>
            <w14:solidFill>
              <w14:schemeClr w14:val="tx1"/>
            </w14:solidFill>
          </w14:textFill>
        </w:rPr>
        <w:t>说明</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1.适用范围</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1.1本谈判文件仅适用于邀请中所叙述项目的</w:t>
      </w:r>
      <w:r>
        <w:rPr>
          <w:rFonts w:hint="eastAsia" w:hAnsi="宋体"/>
          <w:color w:val="000000" w:themeColor="text1"/>
          <w:sz w:val="24"/>
          <w14:textFill>
            <w14:solidFill>
              <w14:schemeClr w14:val="tx1"/>
            </w14:solidFill>
          </w14:textFill>
        </w:rPr>
        <w:t>工程</w:t>
      </w:r>
      <w:r>
        <w:rPr>
          <w:rFonts w:hAnsi="宋体"/>
          <w:color w:val="000000" w:themeColor="text1"/>
          <w:sz w:val="24"/>
          <w14:textFill>
            <w14:solidFill>
              <w14:schemeClr w14:val="tx1"/>
            </w14:solidFill>
          </w14:textFill>
        </w:rPr>
        <w:t>采购。</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2.定义</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“采购人”系指采购单位。是采购活动当事人之一，负责项目的整体规划、技术方案可行性设计论证与实施，作为合同采购方(用户)的主体承担质疑回复、履行合同、验收等义务。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“采购单位”系指组织本次采购活动的采购人或采购代理机构。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 “采购代理机构”系指</w:t>
      </w:r>
      <w:r>
        <w:rPr>
          <w:rFonts w:hint="eastAsia" w:ascii="宋体" w:hAnsi="宋体"/>
          <w:color w:val="000000" w:themeColor="text1"/>
          <w:sz w:val="24"/>
          <w:lang w:eastAsia="zh-CN"/>
          <w14:textFill>
            <w14:solidFill>
              <w14:schemeClr w14:val="tx1"/>
            </w14:solidFill>
          </w14:textFill>
        </w:rPr>
        <w:t>重庆西征建设工程咨询有限公司</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(简称</w:t>
      </w:r>
      <w:r>
        <w:rPr>
          <w:rFonts w:hint="eastAsia" w:ascii="宋体" w:hAnsi="宋体"/>
          <w:color w:val="000000" w:themeColor="text1"/>
          <w:sz w:val="24"/>
          <w:lang w:eastAsia="zh-CN"/>
          <w14:textFill>
            <w14:solidFill>
              <w14:schemeClr w14:val="tx1"/>
            </w14:solidFill>
          </w14:textFill>
        </w:rPr>
        <w:t>代理机构</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代理机构</w:t>
      </w:r>
      <w:r>
        <w:rPr>
          <w:rFonts w:hint="eastAsia" w:ascii="宋体" w:hAnsi="宋体"/>
          <w:color w:val="000000" w:themeColor="text1"/>
          <w:sz w:val="24"/>
          <w14:textFill>
            <w14:solidFill>
              <w14:schemeClr w14:val="tx1"/>
            </w14:solidFill>
          </w14:textFill>
        </w:rPr>
        <w:t>是整个采购活动的组织者，依法负责编制和发布</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文件拥有最终的解释权。</w:t>
      </w:r>
      <w:r>
        <w:rPr>
          <w:rFonts w:hint="eastAsia" w:ascii="宋体" w:hAnsi="宋体"/>
          <w:color w:val="000000" w:themeColor="text1"/>
          <w:sz w:val="24"/>
          <w:lang w:eastAsia="zh-CN"/>
          <w14:textFill>
            <w14:solidFill>
              <w14:schemeClr w14:val="tx1"/>
            </w14:solidFill>
          </w14:textFill>
        </w:rPr>
        <w:t>代理机构</w:t>
      </w:r>
      <w:r>
        <w:rPr>
          <w:rFonts w:hint="eastAsia" w:ascii="宋体" w:hAnsi="宋体"/>
          <w:color w:val="000000" w:themeColor="text1"/>
          <w:sz w:val="24"/>
          <w14:textFill>
            <w14:solidFill>
              <w14:schemeClr w14:val="tx1"/>
            </w14:solidFill>
          </w14:textFill>
        </w:rPr>
        <w:t>不以任何身份出任评委会成员。</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 xml:space="preserve"> “谈判响应供应商”系指</w:t>
      </w:r>
      <w:r>
        <w:rPr>
          <w:rFonts w:hint="eastAsia" w:hAnsi="宋体"/>
          <w:color w:val="000000" w:themeColor="text1"/>
          <w:sz w:val="24"/>
          <w14:textFill>
            <w14:solidFill>
              <w14:schemeClr w14:val="tx1"/>
            </w14:solidFill>
          </w14:textFill>
        </w:rPr>
        <w:t>购买了本谈判文件，且已经</w:t>
      </w:r>
      <w:r>
        <w:rPr>
          <w:rFonts w:hAnsi="宋体"/>
          <w:color w:val="000000" w:themeColor="text1"/>
          <w:sz w:val="24"/>
          <w14:textFill>
            <w14:solidFill>
              <w14:schemeClr w14:val="tx1"/>
            </w14:solidFill>
          </w14:textFill>
        </w:rPr>
        <w:t>提交</w:t>
      </w:r>
      <w:r>
        <w:rPr>
          <w:rFonts w:hint="eastAsia" w:hAnsi="宋体"/>
          <w:color w:val="000000" w:themeColor="text1"/>
          <w:sz w:val="24"/>
          <w14:textFill>
            <w14:solidFill>
              <w14:schemeClr w14:val="tx1"/>
            </w14:solidFill>
          </w14:textFill>
        </w:rPr>
        <w:t>或准备提交</w:t>
      </w:r>
      <w:r>
        <w:rPr>
          <w:rFonts w:hAnsi="宋体"/>
          <w:color w:val="000000" w:themeColor="text1"/>
          <w:sz w:val="24"/>
          <w14:textFill>
            <w14:solidFill>
              <w14:schemeClr w14:val="tx1"/>
            </w14:solidFill>
          </w14:textFill>
        </w:rPr>
        <w:t>响应文件的制造商或供货商。</w:t>
      </w:r>
    </w:p>
    <w:p>
      <w:pPr>
        <w:pStyle w:val="11"/>
        <w:spacing w:line="440" w:lineRule="exact"/>
        <w:ind w:firstLine="480" w:firstLineChars="200"/>
        <w:jc w:val="left"/>
        <w:rPr>
          <w:rFonts w:hAnsi="宋体"/>
          <w:color w:val="000000" w:themeColor="text1"/>
          <w:sz w:val="24"/>
          <w:highlight w:val="none"/>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“工程”系指谈判文件规定成交供应商</w:t>
      </w:r>
      <w:r>
        <w:rPr>
          <w:rFonts w:hint="eastAsia" w:hAnsi="宋体"/>
          <w:color w:val="000000" w:themeColor="text1"/>
          <w:sz w:val="24"/>
          <w:highlight w:val="none"/>
          <w14:textFill>
            <w14:solidFill>
              <w14:schemeClr w14:val="tx1"/>
            </w14:solidFill>
          </w14:textFill>
        </w:rPr>
        <w:t>须承担的土建施工、修缮、景观建设、改造，绿化工程等。</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3.合格的谈判响应供应商</w:t>
      </w:r>
    </w:p>
    <w:p>
      <w:pPr>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3.1 凡</w:t>
      </w:r>
      <w:r>
        <w:rPr>
          <w:rFonts w:hint="eastAsia" w:hAnsi="宋体"/>
          <w:color w:val="000000" w:themeColor="text1"/>
          <w:sz w:val="24"/>
          <w14:textFill>
            <w14:solidFill>
              <w14:schemeClr w14:val="tx1"/>
            </w14:solidFill>
          </w14:textFill>
        </w:rPr>
        <w:t>有能力提供本谈判文件所述服务的，符合本谈判文件规定资格要求的供应商均可能成为合格的谈判响应供应商。</w:t>
      </w:r>
    </w:p>
    <w:p>
      <w:pPr>
        <w:spacing w:line="440" w:lineRule="exact"/>
        <w:ind w:firstLine="480" w:firstLineChars="200"/>
        <w:rPr>
          <w:rFonts w:hint="eastAsia" w:ascii="宋体" w:hAnsi="宋体"/>
          <w:color w:val="auto"/>
          <w:sz w:val="24"/>
        </w:rPr>
      </w:pPr>
      <w:r>
        <w:rPr>
          <w:rFonts w:hint="eastAsia" w:ascii="宋体" w:hAnsi="宋体"/>
          <w:color w:val="000000" w:themeColor="text1"/>
          <w:sz w:val="24"/>
          <w14:textFill>
            <w14:solidFill>
              <w14:schemeClr w14:val="tx1"/>
            </w14:solidFill>
          </w14:textFill>
        </w:rPr>
        <w:t>谈判响应供应商具备《中华人民共和国政府采购法》第二十二条第一款规定的</w:t>
      </w:r>
      <w:r>
        <w:rPr>
          <w:rFonts w:hint="eastAsia" w:ascii="宋体" w:hAnsi="宋体"/>
          <w:color w:val="auto"/>
          <w:sz w:val="24"/>
        </w:rPr>
        <w:t>条件，应提供以下材料：</w:t>
      </w:r>
    </w:p>
    <w:p>
      <w:pPr>
        <w:pStyle w:val="2"/>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谈判响应供应商应具备符合《中华人民共和国政府采购法》第 22 条和《中华人民共和国政府采购法实施条例》第 17 条的条件：</w:t>
      </w:r>
    </w:p>
    <w:p>
      <w:pPr>
        <w:pStyle w:val="2"/>
        <w:ind w:firstLine="480" w:firstLineChars="200"/>
        <w:rPr>
          <w:color w:val="auto"/>
        </w:rPr>
      </w:pPr>
      <w:r>
        <w:rPr>
          <w:rFonts w:hint="eastAsia" w:hAnsi="宋体"/>
          <w:color w:val="auto"/>
          <w:sz w:val="24"/>
          <w:szCs w:val="24"/>
        </w:rPr>
        <w:t>①</w:t>
      </w:r>
      <w:r>
        <w:rPr>
          <w:rFonts w:hint="eastAsia" w:ascii="宋体" w:hAnsi="宋体" w:cs="宋体"/>
          <w:color w:val="auto"/>
          <w:kern w:val="0"/>
          <w:sz w:val="24"/>
          <w:szCs w:val="24"/>
        </w:rPr>
        <w:t>有效的</w:t>
      </w:r>
      <w:r>
        <w:rPr>
          <w:rFonts w:hint="eastAsia" w:ascii="宋体" w:hAnsi="宋体" w:cs="宋体"/>
          <w:color w:val="auto"/>
          <w:sz w:val="24"/>
        </w:rPr>
        <w:t>营业执照</w:t>
      </w:r>
      <w:r>
        <w:rPr>
          <w:rFonts w:hint="eastAsia" w:ascii="宋体" w:hAnsi="宋体" w:cs="宋体"/>
          <w:color w:val="auto"/>
          <w:kern w:val="0"/>
          <w:sz w:val="24"/>
          <w:szCs w:val="24"/>
        </w:rPr>
        <w:t>（三证合一）</w:t>
      </w:r>
    </w:p>
    <w:p>
      <w:pPr>
        <w:pStyle w:val="11"/>
        <w:keepNext w:val="0"/>
        <w:keepLines w:val="0"/>
        <w:pageBreakBefore w:val="0"/>
        <w:widowControl w:val="0"/>
        <w:kinsoku/>
        <w:wordWrap/>
        <w:overflowPunct/>
        <w:topLinePunct w:val="0"/>
        <w:autoSpaceDE/>
        <w:autoSpaceDN/>
        <w:bidi w:val="0"/>
        <w:spacing w:line="560" w:lineRule="exact"/>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hAnsi="宋体" w:cs="宋体"/>
          <w:bCs/>
          <w:color w:val="auto"/>
          <w:sz w:val="24"/>
          <w:szCs w:val="24"/>
          <w:lang w:eastAsia="zh-CN"/>
        </w:rPr>
        <w:t>②</w:t>
      </w:r>
      <w:r>
        <w:rPr>
          <w:rFonts w:hint="eastAsia" w:ascii="宋体" w:hAnsi="宋体" w:eastAsia="宋体" w:cs="宋体"/>
          <w:color w:val="auto"/>
          <w:kern w:val="2"/>
          <w:sz w:val="24"/>
          <w:szCs w:val="24"/>
          <w:lang w:val="en-US" w:eastAsia="zh-CN" w:bidi="ar-SA"/>
        </w:rPr>
        <w:t>具有良好的商业信誉和健全的财务会计制度：</w:t>
      </w:r>
    </w:p>
    <w:p>
      <w:pPr>
        <w:pStyle w:val="17"/>
        <w:spacing w:before="0" w:beforeAutospacing="0" w:after="0" w:afterAutospacing="0" w:line="360" w:lineRule="auto"/>
        <w:ind w:firstLine="480" w:firstLineChars="200"/>
        <w:jc w:val="both"/>
        <w:rPr>
          <w:rFonts w:ascii="宋体" w:hAnsi="宋体"/>
          <w:color w:val="auto"/>
          <w:sz w:val="24"/>
        </w:rPr>
      </w:pPr>
      <w:r>
        <w:rPr>
          <w:rFonts w:hint="eastAsia"/>
          <w:color w:val="auto"/>
        </w:rPr>
        <w:t>具体要求：提供</w:t>
      </w:r>
      <w:r>
        <w:rPr>
          <w:rFonts w:hint="eastAsia"/>
          <w:color w:val="auto"/>
          <w:lang w:eastAsia="zh-CN"/>
        </w:rPr>
        <w:t>近半年任意三个月的财务报表，</w:t>
      </w:r>
      <w:r>
        <w:rPr>
          <w:rFonts w:hint="eastAsia"/>
          <w:color w:val="auto"/>
        </w:rPr>
        <w:t>企业提供的财务报表（含资产负债表、利润及利润分配表、现金流量表和财务报表附注）；（新成立</w:t>
      </w:r>
      <w:r>
        <w:rPr>
          <w:rFonts w:hint="eastAsia"/>
          <w:color w:val="auto"/>
          <w:lang w:eastAsia="zh-CN"/>
        </w:rPr>
        <w:t>未满一年</w:t>
      </w:r>
      <w:r>
        <w:rPr>
          <w:rFonts w:hint="eastAsia"/>
          <w:color w:val="auto"/>
        </w:rPr>
        <w:t>的</w:t>
      </w:r>
      <w:r>
        <w:rPr>
          <w:rFonts w:hint="eastAsia"/>
          <w:color w:val="auto"/>
          <w:lang w:eastAsia="zh-CN"/>
        </w:rPr>
        <w:t>供应商</w:t>
      </w:r>
      <w:r>
        <w:rPr>
          <w:rFonts w:hint="eastAsia"/>
          <w:color w:val="auto"/>
          <w:lang w:val="en-US" w:eastAsia="zh-CN"/>
        </w:rPr>
        <w:t>提供银行资信证明，</w:t>
      </w:r>
      <w:r>
        <w:rPr>
          <w:rFonts w:hint="eastAsia" w:ascii="Calibri" w:hAnsi="Calibri" w:eastAsia="宋体" w:cs="Times New Roman"/>
          <w:color w:val="auto"/>
          <w:kern w:val="2"/>
          <w:sz w:val="24"/>
          <w:szCs w:val="24"/>
          <w:lang w:val="en-US" w:eastAsia="zh-CN" w:bidi="ar-SA"/>
        </w:rPr>
        <w:t>新成立不足一个月的公司可以不提供</w:t>
      </w:r>
      <w:r>
        <w:rPr>
          <w:rFonts w:hint="eastAsia"/>
          <w:color w:val="auto"/>
        </w:rPr>
        <w:t>）；</w:t>
      </w:r>
    </w:p>
    <w:p>
      <w:pPr>
        <w:pStyle w:val="2"/>
        <w:spacing w:line="364" w:lineRule="auto"/>
        <w:ind w:right="315" w:firstLine="480" w:firstLineChars="2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③具有履行合同所必需的设备和专业技术能力：提供具备履行合同所必需的设备和专业技术能力的承诺函（格式自拟）；</w:t>
      </w:r>
    </w:p>
    <w:p>
      <w:pPr>
        <w:pStyle w:val="11"/>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jc w:val="left"/>
        <w:textAlignment w:val="auto"/>
        <w:outlineLvl w:val="0"/>
        <w:rPr>
          <w:rFonts w:hint="eastAsia" w:ascii="Calibri" w:hAnsi="Calibri" w:eastAsia="宋体" w:cs="Times New Roman"/>
          <w:color w:val="auto"/>
          <w:kern w:val="2"/>
          <w:sz w:val="24"/>
          <w:szCs w:val="24"/>
          <w:lang w:val="en-US" w:eastAsia="zh-CN" w:bidi="ar-SA"/>
        </w:rPr>
      </w:pPr>
      <w:r>
        <w:rPr>
          <w:rFonts w:hint="eastAsia" w:ascii="宋体" w:hAnsi="宋体" w:cs="宋体"/>
          <w:color w:val="000000" w:themeColor="text1"/>
          <w:sz w:val="24"/>
          <w:shd w:val="clear" w:color="auto" w:fill="FFFFFF"/>
          <w:lang w:eastAsia="zh-CN"/>
          <w14:textFill>
            <w14:solidFill>
              <w14:schemeClr w14:val="tx1"/>
            </w14:solidFill>
          </w14:textFill>
        </w:rPr>
        <w:t>④</w:t>
      </w:r>
      <w:r>
        <w:rPr>
          <w:rFonts w:hint="eastAsia" w:ascii="Calibri" w:hAnsi="Calibri" w:eastAsia="宋体" w:cs="Times New Roman"/>
          <w:color w:val="auto"/>
          <w:kern w:val="2"/>
          <w:sz w:val="24"/>
          <w:szCs w:val="24"/>
          <w:lang w:val="en-US" w:eastAsia="zh-CN" w:bidi="ar-SA"/>
        </w:rPr>
        <w:t>具有依法缴纳税收和社会保障资金的良好记录。</w:t>
      </w:r>
    </w:p>
    <w:p>
      <w:pPr>
        <w:pStyle w:val="11"/>
        <w:spacing w:line="560" w:lineRule="exact"/>
        <w:ind w:firstLine="240" w:firstLineChars="1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具体要求：提供近半年任意三个月依法缴纳税收及社保的有效证明材料，新成立不足一个月的公司纳税，社保可以不提供；</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ascii="宋体" w:hAnsi="宋体" w:cs="宋体"/>
          <w:color w:val="000000" w:themeColor="text1"/>
          <w:sz w:val="24"/>
          <w:shd w:val="clear" w:color="auto" w:fill="FFFFFF"/>
          <w:lang w:eastAsia="zh-CN"/>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⑤参加本次政府采购活动前三年内，在经营活动中没有违法违规记录：提供参加政府采购活动前 3 年内在经营活动中没有重大违法记录的书面声明（</w:t>
      </w:r>
      <w:r>
        <w:rPr>
          <w:rFonts w:hint="eastAsia" w:hAnsi="宋体" w:cs="宋体"/>
          <w:color w:val="000000" w:themeColor="text1"/>
          <w:sz w:val="24"/>
          <w:shd w:val="clear" w:color="auto" w:fill="FFFFFF"/>
          <w:lang w:eastAsia="zh-CN"/>
          <w14:textFill>
            <w14:solidFill>
              <w14:schemeClr w14:val="tx1"/>
            </w14:solidFill>
          </w14:textFill>
        </w:rPr>
        <w:t>格式自拟</w:t>
      </w:r>
      <w:r>
        <w:rPr>
          <w:rFonts w:hint="eastAsia" w:ascii="宋体" w:hAnsi="宋体" w:cs="宋体"/>
          <w:color w:val="000000" w:themeColor="text1"/>
          <w:sz w:val="24"/>
          <w:shd w:val="clear" w:color="auto" w:fill="FFFFFF"/>
          <w:lang w:eastAsia="zh-CN"/>
          <w14:textFill>
            <w14:solidFill>
              <w14:schemeClr w14:val="tx1"/>
            </w14:solidFill>
          </w14:textFill>
        </w:rPr>
        <w:t>）；</w:t>
      </w:r>
    </w:p>
    <w:p>
      <w:pPr>
        <w:pStyle w:val="2"/>
        <w:spacing w:before="73" w:line="312" w:lineRule="auto"/>
        <w:ind w:right="315" w:firstLine="480" w:firstLineChars="200"/>
        <w:jc w:val="both"/>
        <w:rPr>
          <w:rFonts w:hint="eastAsia" w:ascii="宋体" w:hAnsi="宋体" w:cs="宋体" w:eastAsiaTheme="minorEastAsia"/>
          <w:color w:val="auto"/>
          <w:kern w:val="0"/>
          <w:sz w:val="24"/>
          <w:szCs w:val="20"/>
          <w:shd w:val="clear" w:color="auto" w:fill="FFFFFF"/>
          <w:lang w:val="en-US" w:eastAsia="zh-CN" w:bidi="ar-SA"/>
        </w:rPr>
      </w:pP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⑥供应商不得为“信用中国”网站（</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begin"/>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instrText xml:space="preserve"> HYPERLINK "http://www.creditchina.gov.cn/" </w:instrTex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separate"/>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www.creditchina.gov.cn</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end"/>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），政府采购严重违法失信行为记录名单（</w:t>
      </w:r>
      <w:r>
        <w:rPr>
          <w:rFonts w:hint="eastAsia" w:ascii="宋体" w:hAnsi="宋体" w:cs="宋体" w:eastAsiaTheme="minorEastAsia"/>
          <w:color w:val="auto"/>
          <w:kern w:val="0"/>
          <w:sz w:val="24"/>
          <w:szCs w:val="20"/>
          <w:shd w:val="clear" w:color="auto" w:fill="FFFFFF"/>
          <w:lang w:val="en-US" w:eastAsia="zh-CN" w:bidi="ar-SA"/>
        </w:rPr>
        <w:fldChar w:fldCharType="begin"/>
      </w:r>
      <w:r>
        <w:rPr>
          <w:rFonts w:hint="eastAsia" w:ascii="宋体" w:hAnsi="宋体" w:cs="宋体" w:eastAsiaTheme="minorEastAsia"/>
          <w:color w:val="auto"/>
          <w:kern w:val="0"/>
          <w:sz w:val="24"/>
          <w:szCs w:val="20"/>
          <w:shd w:val="clear" w:color="auto" w:fill="FFFFFF"/>
          <w:lang w:val="en-US" w:eastAsia="zh-CN" w:bidi="ar-SA"/>
        </w:rPr>
        <w:instrText xml:space="preserve"> HYPERLINK "http://www.ccgp.gov.cn/search/cr/" </w:instrText>
      </w:r>
      <w:r>
        <w:rPr>
          <w:rFonts w:hint="eastAsia" w:ascii="宋体" w:hAnsi="宋体" w:cs="宋体" w:eastAsiaTheme="minorEastAsia"/>
          <w:color w:val="auto"/>
          <w:kern w:val="0"/>
          <w:sz w:val="24"/>
          <w:szCs w:val="20"/>
          <w:shd w:val="clear" w:color="auto" w:fill="FFFFFF"/>
          <w:lang w:val="en-US" w:eastAsia="zh-CN" w:bidi="ar-SA"/>
        </w:rPr>
        <w:fldChar w:fldCharType="separate"/>
      </w:r>
      <w:r>
        <w:rPr>
          <w:rFonts w:hint="eastAsia" w:ascii="宋体" w:hAnsi="宋体" w:cs="宋体" w:eastAsiaTheme="minorEastAsia"/>
          <w:color w:val="auto"/>
          <w:kern w:val="0"/>
          <w:sz w:val="24"/>
          <w:szCs w:val="20"/>
          <w:shd w:val="clear" w:color="auto" w:fill="FFFFFF"/>
          <w:lang w:val="en-US" w:eastAsia="zh-CN" w:bidi="ar-SA"/>
        </w:rPr>
        <w:t>http://www.ccgp.gov.cn/search/cr/</w:t>
      </w:r>
      <w:r>
        <w:rPr>
          <w:rFonts w:hint="eastAsia" w:ascii="宋体" w:hAnsi="宋体" w:cs="宋体" w:eastAsiaTheme="minorEastAsia"/>
          <w:color w:val="auto"/>
          <w:kern w:val="0"/>
          <w:sz w:val="24"/>
          <w:szCs w:val="20"/>
          <w:shd w:val="clear" w:color="auto" w:fill="FFFFFF"/>
          <w:lang w:val="en-US" w:eastAsia="zh-CN" w:bidi="ar-SA"/>
        </w:rPr>
        <w:fldChar w:fldCharType="end"/>
      </w:r>
      <w:r>
        <w:rPr>
          <w:rFonts w:hint="eastAsia" w:ascii="宋体" w:hAnsi="宋体" w:cs="宋体" w:eastAsiaTheme="minorEastAsia"/>
          <w:color w:val="auto"/>
          <w:kern w:val="0"/>
          <w:sz w:val="24"/>
          <w:szCs w:val="20"/>
          <w:shd w:val="clear" w:color="auto" w:fill="FFFFFF"/>
          <w:lang w:val="en-US" w:eastAsia="zh-CN" w:bidi="ar-SA"/>
        </w:rPr>
        <w:t>）查询的信用记录情况（对列入失信被执行人、重大税收违法案件当事人名单、政府采购严重违法失信行为记录名单的供应商，如查询结果显示“没查到您要的信息”，视为没有上述三类不良信用记录。）查询截止时间：购买标书当日至开标前一天任一时间；信用信息查询记录和证据留存方式：投标人提供查询记录截图</w:t>
      </w:r>
      <w:r>
        <w:rPr>
          <w:rFonts w:hint="eastAsia" w:ascii="宋体" w:hAnsi="宋体" w:cs="宋体"/>
          <w:color w:val="auto"/>
          <w:kern w:val="0"/>
          <w:sz w:val="24"/>
          <w:szCs w:val="20"/>
          <w:shd w:val="clear" w:color="auto" w:fill="FFFFFF"/>
          <w:lang w:val="en-US" w:eastAsia="zh-CN" w:bidi="ar-SA"/>
        </w:rPr>
        <w:t>，如在上述名单中的供应商取消其谈判资格</w:t>
      </w:r>
      <w:r>
        <w:rPr>
          <w:rFonts w:hint="eastAsia" w:ascii="宋体" w:hAnsi="宋体" w:cs="宋体" w:eastAsiaTheme="minorEastAsia"/>
          <w:color w:val="auto"/>
          <w:kern w:val="0"/>
          <w:sz w:val="24"/>
          <w:szCs w:val="20"/>
          <w:shd w:val="clear" w:color="auto" w:fill="FFFFFF"/>
          <w:lang w:val="en-US" w:eastAsia="zh-CN" w:bidi="ar-SA"/>
        </w:rPr>
        <w:t>。</w:t>
      </w:r>
    </w:p>
    <w:p>
      <w:pPr>
        <w:pStyle w:val="2"/>
        <w:spacing w:before="73" w:line="312" w:lineRule="auto"/>
        <w:ind w:right="315" w:firstLine="480" w:firstLineChars="200"/>
        <w:jc w:val="both"/>
        <w:rPr>
          <w:rFonts w:ascii="宋体" w:hAnsi="宋体" w:eastAsia="宋体" w:cs="宋体"/>
          <w:color w:val="auto"/>
          <w:sz w:val="24"/>
          <w:szCs w:val="24"/>
        </w:rPr>
      </w:pPr>
      <w:r>
        <w:rPr>
          <w:rFonts w:hint="eastAsia" w:ascii="宋体" w:hAnsi="宋体" w:cs="宋体" w:eastAsiaTheme="minorEastAsia"/>
          <w:color w:val="auto"/>
          <w:kern w:val="0"/>
          <w:sz w:val="24"/>
          <w:szCs w:val="20"/>
          <w:shd w:val="clear" w:color="auto" w:fill="FFFFFF"/>
          <w:lang w:val="en-US" w:eastAsia="zh-CN" w:bidi="ar-SA"/>
        </w:rPr>
        <w:t>⑦</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为制造商的需提供医疗器械生产许可证，</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为代理商的须提供医疗器械经营许可证或医疗器械经营许可备案证明；</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ascii="宋体" w:hAnsi="宋体" w:eastAsia="宋体" w:cs="宋体"/>
          <w:color w:val="auto"/>
          <w:sz w:val="24"/>
          <w:szCs w:val="24"/>
          <w:lang w:eastAsia="zh-CN"/>
        </w:rPr>
      </w:pPr>
      <w:r>
        <w:rPr>
          <w:rFonts w:hint="eastAsia" w:hAnsi="宋体" w:cs="宋体"/>
          <w:bCs/>
          <w:color w:val="auto"/>
          <w:sz w:val="24"/>
          <w:szCs w:val="24"/>
          <w:lang w:eastAsia="zh-CN"/>
        </w:rPr>
        <w:t>⑧</w:t>
      </w:r>
      <w:r>
        <w:rPr>
          <w:rFonts w:ascii="宋体" w:hAnsi="宋体" w:eastAsia="宋体" w:cs="宋体"/>
          <w:color w:val="auto"/>
          <w:sz w:val="24"/>
          <w:szCs w:val="24"/>
        </w:rPr>
        <w:t>投标产品为医疗器械的须提供医疗器械注册登记表</w:t>
      </w:r>
      <w:r>
        <w:rPr>
          <w:rFonts w:hint="eastAsia"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hAnsi="宋体" w:cs="宋体"/>
          <w:bCs/>
          <w:color w:val="auto"/>
          <w:sz w:val="24"/>
          <w:szCs w:val="24"/>
          <w:lang w:val="en-US" w:eastAsia="zh-CN"/>
        </w:rPr>
      </w:pPr>
      <w:r>
        <w:rPr>
          <w:rFonts w:hint="eastAsia" w:hAnsi="宋体" w:cs="宋体"/>
          <w:bCs/>
          <w:color w:val="auto"/>
          <w:sz w:val="24"/>
          <w:szCs w:val="24"/>
          <w:lang w:val="en-US" w:eastAsia="zh-CN"/>
        </w:rPr>
        <w:t>⑨</w:t>
      </w:r>
      <w:r>
        <w:rPr>
          <w:rFonts w:hint="eastAsia"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包</w:t>
      </w:r>
      <w:r>
        <w:rPr>
          <w:rFonts w:ascii="宋体" w:hAnsi="宋体" w:eastAsia="宋体" w:cs="宋体"/>
          <w:color w:val="auto"/>
          <w:sz w:val="24"/>
          <w:szCs w:val="24"/>
        </w:rPr>
        <w:t>还需提供CT制造商或其中国境内总代理商出具的针对本项目的销售授权书及售后服务承诺函</w:t>
      </w:r>
    </w:p>
    <w:p>
      <w:pPr>
        <w:rPr>
          <w:rFonts w:hint="eastAsia"/>
          <w:lang w:val="en-US" w:eastAsia="zh-CN"/>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 谈判响应供应商应遵守有关法律、法规和规章的规定，同时其响应货物或服务也应符合有关法律、法规和规章的规定。</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3.3经中国政府采购网失信信息查询，有失信信息记录且在禁止参加政府采购活动处罚期间内的供应商不能成为合格响应供应商。</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3.4谈判响应供应商不得与本次谈判项下设计、编制技术规格和其他文件的公司或提供咨询服务的公司包括其附属机构有任何关联。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3.5若接受联合体谈判，则两个或者两个以上谈判响应供应商可以组成一个响应联合体，以一个谈判响应供应商的身份响应。</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3.6谈判代理人在同一个项目中只能接受一个谈判响应供应商的委托参加谈判响应。</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3.7谈判响应供应商存在下列情形之一的，将被认定为串通响应行为并作无效响应处理：</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（1）谈判响应供应商之间协商谈判报价等谈判文件的实质性内容；</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（2）谈判响应供应商之间约定成交供应商；</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（3）谈判响应供应商之间约定部分谈判响应供应商放弃谈判响应或者成交；</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（4）属于同一集团、协会、商会等组织成员的谈判响应供应商按照该组织要求协同谈判响应；</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（5）谈判响应供应商之间为谋取成交或者排斥特定谈判响应供应商而采取的其他联合行动；</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（6）不同谈判响应供应商的响应文件由同一单位或者个人编制；</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（7）不同谈判响应供应商委托同一单位或者个人办理谈判响应事宜；</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（8）不同谈判响应供应商的响应文件载明的项目管理成员为同一人；</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（9）不同谈判响应供应商的响应文件异常一致或者报价呈规律性差异；</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（10）不同谈判响应供应商的响应文件相互混装；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（11）不同谈判响应供应商的谈判保证金从同一单位或者个人的账户转出。</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（12）不同谈判响应供应商的响应文件错、漏之处一致或雷同，且不能合理解释的；</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（13）不同的谈判响应供应商的法定代表人、委托代理人等由同一个单位缴纳社会保险的；</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 法定代表人、单位负责人为同一人或夫妻关系的不同供应商；</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 存在直接控股、管理关系的不同供应商；</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 均为同一家母公司直接或间接持股50％及以上的被投资公司。</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color w:val="000000" w:themeColor="text1"/>
          <w:sz w:val="24"/>
          <w:szCs w:val="24"/>
          <w14:textFill>
            <w14:solidFill>
              <w14:schemeClr w14:val="tx1"/>
            </w14:solidFill>
          </w14:textFill>
        </w:rPr>
        <w:t>有关法律、法规或规章规定的其他串通行为。</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4.谈判费用</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谈判响应供应商应承担其准备与参加谈判所涉及的一切费用。</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5.知识产权</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1"/>
        <w:spacing w:line="440" w:lineRule="exact"/>
        <w:jc w:val="center"/>
        <w:outlineLvl w:val="9"/>
        <w:rPr>
          <w:rFonts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both"/>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int="eastAsia" w:hAnsi="宋体"/>
          <w:b/>
          <w:color w:val="000000" w:themeColor="text1"/>
          <w:sz w:val="32"/>
          <w:szCs w:val="32"/>
          <w14:textFill>
            <w14:solidFill>
              <w14:schemeClr w14:val="tx1"/>
            </w14:solidFill>
          </w14:textFill>
        </w:rPr>
      </w:pPr>
    </w:p>
    <w:p>
      <w:pPr>
        <w:pStyle w:val="31"/>
        <w:spacing w:line="440" w:lineRule="exact"/>
        <w:jc w:val="center"/>
        <w:outlineLvl w:val="9"/>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二、</w:t>
      </w:r>
      <w:r>
        <w:rPr>
          <w:rFonts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谈判文件</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6.谈判文件的组成</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6.1谈判文件用以阐明所需货物及服务、谈判程序和合同格式及条款。谈判文件由下述部分组成：</w:t>
      </w:r>
    </w:p>
    <w:p>
      <w:pPr>
        <w:pStyle w:val="11"/>
        <w:spacing w:line="400" w:lineRule="exact"/>
        <w:jc w:val="left"/>
        <w:rPr>
          <w:rFonts w:hint="eastAsia" w:hAnsi="宋体" w:eastAsiaTheme="minorEastAsia"/>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谈判</w:t>
      </w:r>
      <w:r>
        <w:rPr>
          <w:rFonts w:hint="eastAsia" w:hAnsi="宋体"/>
          <w:color w:val="000000" w:themeColor="text1"/>
          <w:sz w:val="24"/>
          <w:lang w:eastAsia="zh-CN"/>
          <w14:textFill>
            <w14:solidFill>
              <w14:schemeClr w14:val="tx1"/>
            </w14:solidFill>
          </w14:textFill>
        </w:rPr>
        <w:t>公告</w:t>
      </w:r>
    </w:p>
    <w:p>
      <w:pPr>
        <w:pStyle w:val="11"/>
        <w:spacing w:line="400" w:lineRule="exact"/>
        <w:jc w:val="left"/>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（2）</w:t>
      </w:r>
      <w:r>
        <w:rPr>
          <w:rFonts w:hint="eastAsia" w:hAnsi="宋体"/>
          <w:color w:val="000000" w:themeColor="text1"/>
          <w:sz w:val="24"/>
          <w14:textFill>
            <w14:solidFill>
              <w14:schemeClr w14:val="tx1"/>
            </w14:solidFill>
          </w14:textFill>
        </w:rPr>
        <w:t>谈判供应商须知</w:t>
      </w:r>
    </w:p>
    <w:p>
      <w:pPr>
        <w:pStyle w:val="11"/>
        <w:spacing w:line="400" w:lineRule="exact"/>
        <w:jc w:val="left"/>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（3）谈判供应商须知正文部分</w:t>
      </w:r>
    </w:p>
    <w:p>
      <w:pPr>
        <w:pStyle w:val="11"/>
        <w:spacing w:line="400" w:lineRule="exact"/>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采购内容清单</w:t>
      </w:r>
      <w:r>
        <w:rPr>
          <w:rFonts w:hint="eastAsia" w:hAnsi="宋体"/>
          <w:color w:val="000000" w:themeColor="text1"/>
          <w:sz w:val="24"/>
          <w14:textFill>
            <w14:solidFill>
              <w14:schemeClr w14:val="tx1"/>
            </w14:solidFill>
          </w14:textFill>
        </w:rPr>
        <w:t>及</w:t>
      </w:r>
      <w:r>
        <w:rPr>
          <w:rFonts w:hint="eastAsia" w:hAnsi="宋体"/>
          <w:color w:val="000000" w:themeColor="text1"/>
          <w:sz w:val="24"/>
          <w:lang w:eastAsia="zh-CN"/>
          <w14:textFill>
            <w14:solidFill>
              <w14:schemeClr w14:val="tx1"/>
            </w14:solidFill>
          </w14:textFill>
        </w:rPr>
        <w:t>商务、技术</w:t>
      </w:r>
      <w:r>
        <w:rPr>
          <w:rFonts w:hint="eastAsia" w:hAnsi="宋体"/>
          <w:color w:val="000000" w:themeColor="text1"/>
          <w:sz w:val="24"/>
          <w14:textFill>
            <w14:solidFill>
              <w14:schemeClr w14:val="tx1"/>
            </w14:solidFill>
          </w14:textFill>
        </w:rPr>
        <w:t>要求</w:t>
      </w:r>
    </w:p>
    <w:p>
      <w:pPr>
        <w:pStyle w:val="11"/>
        <w:spacing w:line="400" w:lineRule="exact"/>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政府</w:t>
      </w:r>
      <w:r>
        <w:rPr>
          <w:rFonts w:hAnsi="宋体"/>
          <w:color w:val="000000" w:themeColor="text1"/>
          <w:sz w:val="24"/>
          <w14:textFill>
            <w14:solidFill>
              <w14:schemeClr w14:val="tx1"/>
            </w14:solidFill>
          </w14:textFill>
        </w:rPr>
        <w:t>采购合同</w:t>
      </w:r>
    </w:p>
    <w:p>
      <w:pPr>
        <w:pStyle w:val="11"/>
        <w:spacing w:line="400" w:lineRule="exact"/>
        <w:ind w:firstLine="360" w:firstLineChars="15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6</w:t>
      </w:r>
      <w:r>
        <w:rPr>
          <w:rFonts w:hAnsi="宋体"/>
          <w:color w:val="000000" w:themeColor="text1"/>
          <w:sz w:val="24"/>
          <w14:textFill>
            <w14:solidFill>
              <w14:schemeClr w14:val="tx1"/>
            </w14:solidFill>
          </w14:textFill>
        </w:rPr>
        <w:t>）响应文件格式</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7.</w:t>
      </w:r>
      <w:r>
        <w:rPr>
          <w:rFonts w:hint="eastAsia" w:hAnsi="宋体"/>
          <w:b/>
          <w:color w:val="000000" w:themeColor="text1"/>
          <w:sz w:val="24"/>
          <w14:textFill>
            <w14:solidFill>
              <w14:schemeClr w14:val="tx1"/>
            </w14:solidFill>
          </w14:textFill>
        </w:rPr>
        <w:t>谈判文件的澄清与修改</w:t>
      </w:r>
    </w:p>
    <w:p>
      <w:pPr>
        <w:pStyle w:val="8"/>
        <w:snapToGrid w:val="0"/>
        <w:spacing w:line="440" w:lineRule="exact"/>
        <w:ind w:firstLineChars="175"/>
        <w:outlineLvl w:val="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w:t>
      </w:r>
      <w:r>
        <w:rPr>
          <w:rFonts w:hint="eastAsia"/>
          <w:bCs/>
          <w:color w:val="000000" w:themeColor="text1"/>
          <w:sz w:val="24"/>
          <w14:textFill>
            <w14:solidFill>
              <w14:schemeClr w14:val="tx1"/>
            </w14:solidFill>
          </w14:textFill>
        </w:rPr>
        <w:t>至谈判响应截止时间3个工作日（如至原定截止时间不足3个工作日，则需延长截止时间）前，</w:t>
      </w:r>
      <w:r>
        <w:rPr>
          <w:rFonts w:hint="eastAsia"/>
          <w:color w:val="000000" w:themeColor="text1"/>
          <w:sz w:val="24"/>
          <w14:textFill>
            <w14:solidFill>
              <w14:schemeClr w14:val="tx1"/>
            </w14:solidFill>
          </w14:textFill>
        </w:rPr>
        <w:t>采购代理代理机构</w:t>
      </w:r>
      <w:r>
        <w:rPr>
          <w:rFonts w:hint="eastAsia"/>
          <w:bCs/>
          <w:color w:val="000000" w:themeColor="text1"/>
          <w:sz w:val="24"/>
          <w14:textFill>
            <w14:solidFill>
              <w14:schemeClr w14:val="tx1"/>
            </w14:solidFill>
          </w14:textFill>
        </w:rPr>
        <w:t>可主动或依供应商要求澄清的问题修改谈判文件，但应当</w:t>
      </w:r>
      <w:r>
        <w:rPr>
          <w:rFonts w:hint="eastAsia"/>
          <w:color w:val="000000" w:themeColor="text1"/>
          <w:sz w:val="24"/>
          <w14:textFill>
            <w14:solidFill>
              <w14:schemeClr w14:val="tx1"/>
            </w14:solidFill>
          </w14:textFill>
        </w:rPr>
        <w:t>在原信息发布媒体上发布更正公告，</w:t>
      </w:r>
      <w:r>
        <w:rPr>
          <w:rFonts w:hint="eastAsia"/>
          <w:bCs/>
          <w:color w:val="000000" w:themeColor="text1"/>
          <w:sz w:val="24"/>
          <w14:textFill>
            <w14:solidFill>
              <w14:schemeClr w14:val="tx1"/>
            </w14:solidFill>
          </w14:textFill>
        </w:rPr>
        <w:t>并以书面形式通知所有谈判文件收受人，供应商在收到该通知后应当立即以传真形式予以确认</w:t>
      </w:r>
      <w:r>
        <w:rPr>
          <w:rFonts w:hint="eastAsia"/>
          <w:color w:val="000000" w:themeColor="text1"/>
          <w:sz w:val="24"/>
          <w14:textFill>
            <w14:solidFill>
              <w14:schemeClr w14:val="tx1"/>
            </w14:solidFill>
          </w14:textFill>
        </w:rPr>
        <w:t>（如属网上采购项目</w:t>
      </w:r>
      <w:r>
        <w:rPr>
          <w:rFonts w:hint="eastAsia"/>
          <w:bCs/>
          <w:color w:val="000000" w:themeColor="text1"/>
          <w:sz w:val="24"/>
          <w14:textFill>
            <w14:solidFill>
              <w14:schemeClr w14:val="tx1"/>
            </w14:solidFill>
          </w14:textFill>
        </w:rPr>
        <w:t>，在采购公告原发布媒体及实施网上采购的网站发布更正公告，不再书面答复）。</w:t>
      </w:r>
      <w:r>
        <w:rPr>
          <w:rFonts w:hint="eastAsia"/>
          <w:color w:val="000000" w:themeColor="text1"/>
          <w:sz w:val="24"/>
          <w14:textFill>
            <w14:solidFill>
              <w14:schemeClr w14:val="tx1"/>
            </w14:solidFill>
          </w14:textFill>
        </w:rPr>
        <w:t>该修改内容为谈判文件的组成部分，对供应商具有约束力。但</w:t>
      </w:r>
      <w:r>
        <w:rPr>
          <w:rFonts w:hint="eastAsia"/>
          <w:bCs/>
          <w:color w:val="000000" w:themeColor="text1"/>
          <w:sz w:val="24"/>
          <w14:textFill>
            <w14:solidFill>
              <w14:schemeClr w14:val="tx1"/>
            </w14:solidFill>
          </w14:textFill>
        </w:rPr>
        <w:t>本谈判文件第7.2条规定的推迟响应截止时间情形不受本条约束。</w:t>
      </w:r>
    </w:p>
    <w:p>
      <w:pPr>
        <w:pStyle w:val="8"/>
        <w:snapToGrid w:val="0"/>
        <w:spacing w:line="440" w:lineRule="exact"/>
        <w:ind w:firstLineChars="175"/>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snapToGrid w:val="0"/>
        <w:spacing w:line="440" w:lineRule="exact"/>
        <w:ind w:firstLine="422" w:firstLineChars="175"/>
        <w:jc w:val="center"/>
        <w:outlineLvl w:val="0"/>
        <w:rPr>
          <w:b/>
          <w:color w:val="000000" w:themeColor="text1"/>
          <w:sz w:val="24"/>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rFonts w:hint="eastAsia"/>
          <w:b/>
          <w:color w:val="000000" w:themeColor="text1"/>
          <w:sz w:val="32"/>
          <w:szCs w:val="32"/>
          <w14:textFill>
            <w14:solidFill>
              <w14:schemeClr w14:val="tx1"/>
            </w14:solidFill>
          </w14:textFill>
        </w:rPr>
      </w:pPr>
    </w:p>
    <w:p>
      <w:pPr>
        <w:pStyle w:val="8"/>
        <w:snapToGrid w:val="0"/>
        <w:spacing w:line="440" w:lineRule="exact"/>
        <w:ind w:firstLine="562" w:firstLineChars="175"/>
        <w:jc w:val="center"/>
        <w:outlineLvl w:val="0"/>
        <w:rPr>
          <w:bCs/>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三、响应文件的编写</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8.要求</w:t>
      </w:r>
    </w:p>
    <w:p>
      <w:pPr>
        <w:pStyle w:val="11"/>
        <w:spacing w:line="440" w:lineRule="exact"/>
        <w:ind w:firstLine="480"/>
        <w:jc w:val="left"/>
        <w:rPr>
          <w:rFonts w:hAnsi="宋体"/>
          <w:color w:val="auto"/>
          <w:sz w:val="24"/>
        </w:rPr>
      </w:pPr>
      <w:r>
        <w:rPr>
          <w:rFonts w:hint="eastAsia" w:hAnsi="宋体"/>
          <w:color w:val="000000" w:themeColor="text1"/>
          <w:sz w:val="24"/>
          <w14:textFill>
            <w14:solidFill>
              <w14:schemeClr w14:val="tx1"/>
            </w14:solidFill>
          </w14:textFill>
        </w:rPr>
        <w:t>8</w:t>
      </w:r>
      <w:r>
        <w:rPr>
          <w:rFonts w:hAnsi="宋体"/>
          <w:color w:val="000000" w:themeColor="text1"/>
          <w:sz w:val="24"/>
          <w14:textFill>
            <w14:solidFill>
              <w14:schemeClr w14:val="tx1"/>
            </w14:solidFill>
          </w14:textFill>
        </w:rPr>
        <w:t>.1谈判响应供应商应仔细阅读谈判文件的所有内容，按谈判文件的要求提供响应文件，</w:t>
      </w:r>
      <w:r>
        <w:rPr>
          <w:rFonts w:hint="eastAsia" w:hAnsi="宋体"/>
          <w:color w:val="000000" w:themeColor="text1"/>
          <w:sz w:val="24"/>
          <w14:textFill>
            <w14:solidFill>
              <w14:schemeClr w14:val="tx1"/>
            </w14:solidFill>
          </w14:textFill>
        </w:rPr>
        <w:t>响应文件应对谈判文件的要求作出实质性响应，</w:t>
      </w:r>
      <w:r>
        <w:rPr>
          <w:rFonts w:hAnsi="宋体"/>
          <w:color w:val="000000" w:themeColor="text1"/>
          <w:sz w:val="24"/>
          <w14:textFill>
            <w14:solidFill>
              <w14:schemeClr w14:val="tx1"/>
            </w14:solidFill>
          </w14:textFill>
        </w:rPr>
        <w:t>并保证所提供的全部资料的真实性，否则其响应文件</w:t>
      </w:r>
      <w:r>
        <w:rPr>
          <w:rFonts w:hAnsi="宋体"/>
          <w:color w:val="auto"/>
          <w:sz w:val="24"/>
        </w:rPr>
        <w:t>可被作</w:t>
      </w:r>
      <w:r>
        <w:rPr>
          <w:rFonts w:hint="eastAsia" w:hAnsi="宋体"/>
          <w:color w:val="auto"/>
          <w:sz w:val="24"/>
        </w:rPr>
        <w:t>响应</w:t>
      </w:r>
      <w:r>
        <w:rPr>
          <w:rFonts w:hAnsi="宋体"/>
          <w:color w:val="auto"/>
          <w:sz w:val="24"/>
        </w:rPr>
        <w:t>无效处理。</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auto"/>
          <w:sz w:val="24"/>
        </w:rPr>
        <w:t>8.2除非有另外的规定，谈判响应供应商应按被邀请参加</w:t>
      </w:r>
      <w:r>
        <w:rPr>
          <w:rFonts w:hint="eastAsia" w:hAnsi="宋体"/>
          <w:color w:val="auto"/>
          <w:sz w:val="24"/>
        </w:rPr>
        <w:t>响应</w:t>
      </w:r>
      <w:r>
        <w:rPr>
          <w:rFonts w:hAnsi="宋体"/>
          <w:color w:val="auto"/>
          <w:sz w:val="24"/>
        </w:rPr>
        <w:t>的合同包进行报价，同时，应对所报价合同包下的</w:t>
      </w:r>
      <w:r>
        <w:rPr>
          <w:rFonts w:hAnsi="宋体"/>
          <w:color w:val="auto"/>
          <w:sz w:val="24"/>
          <w:highlight w:val="none"/>
        </w:rPr>
        <w:t>所有品目号进行报价。</w:t>
      </w:r>
      <w:r>
        <w:rPr>
          <w:rFonts w:hAnsi="宋体"/>
          <w:color w:val="auto"/>
          <w:sz w:val="24"/>
        </w:rPr>
        <w:t>采购</w:t>
      </w:r>
      <w:r>
        <w:rPr>
          <w:rFonts w:hint="eastAsia" w:hAnsi="宋体"/>
          <w:color w:val="auto"/>
          <w:sz w:val="24"/>
        </w:rPr>
        <w:t>人</w:t>
      </w:r>
      <w:r>
        <w:rPr>
          <w:rFonts w:hAnsi="宋体"/>
          <w:color w:val="000000" w:themeColor="text1"/>
          <w:sz w:val="24"/>
          <w14:textFill>
            <w14:solidFill>
              <w14:schemeClr w14:val="tx1"/>
            </w14:solidFill>
          </w14:textFill>
        </w:rPr>
        <w:t>不接受有任何可选择性的报价，每一种货物</w:t>
      </w:r>
      <w:r>
        <w:rPr>
          <w:rFonts w:hint="eastAsia" w:hAnsi="宋体"/>
          <w:color w:val="000000" w:themeColor="text1"/>
          <w:sz w:val="24"/>
          <w14:textFill>
            <w14:solidFill>
              <w14:schemeClr w14:val="tx1"/>
            </w14:solidFill>
          </w14:textFill>
        </w:rPr>
        <w:t>、服务、工程</w:t>
      </w:r>
      <w:r>
        <w:rPr>
          <w:rFonts w:hAnsi="宋体"/>
          <w:color w:val="000000" w:themeColor="text1"/>
          <w:sz w:val="24"/>
          <w14:textFill>
            <w14:solidFill>
              <w14:schemeClr w14:val="tx1"/>
            </w14:solidFill>
          </w14:textFill>
        </w:rPr>
        <w:t>只能有一个报价。</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9.谈判响应文件语言及报价要求</w:t>
      </w:r>
    </w:p>
    <w:p>
      <w:pPr>
        <w:pStyle w:val="11"/>
        <w:spacing w:line="440" w:lineRule="exact"/>
        <w:ind w:firstLine="480" w:firstLineChars="200"/>
        <w:jc w:val="left"/>
        <w:rPr>
          <w:rFonts w:hAnsi="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谈判</w:t>
      </w:r>
      <w:r>
        <w:rPr>
          <w:rFonts w:hAnsi="宋体"/>
          <w:color w:val="000000" w:themeColor="text1"/>
          <w:sz w:val="24"/>
          <w14:textFill>
            <w14:solidFill>
              <w14:schemeClr w14:val="tx1"/>
            </w14:solidFill>
          </w14:textFill>
        </w:rPr>
        <w:t>响应文件应用中文书写。</w:t>
      </w:r>
      <w:r>
        <w:rPr>
          <w:rFonts w:hint="eastAsia" w:hAnsi="宋体"/>
          <w:color w:val="000000" w:themeColor="text1"/>
          <w:sz w:val="24"/>
          <w14:textFill>
            <w14:solidFill>
              <w14:schemeClr w14:val="tx1"/>
            </w14:solidFill>
          </w14:textFill>
        </w:rPr>
        <w:t>响应文件中所附或所引用的的原件不是中文时，应附中文译文。各种计量单位及符号应采用国际上统一使用的公制计量单位和符号。</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10</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谈判</w:t>
      </w:r>
      <w:r>
        <w:rPr>
          <w:rFonts w:hAnsi="宋体"/>
          <w:b/>
          <w:color w:val="000000" w:themeColor="text1"/>
          <w:sz w:val="24"/>
          <w14:textFill>
            <w14:solidFill>
              <w14:schemeClr w14:val="tx1"/>
            </w14:solidFill>
          </w14:textFill>
        </w:rPr>
        <w:t>响应文件的组成</w:t>
      </w:r>
    </w:p>
    <w:p>
      <w:pPr>
        <w:pStyle w:val="11"/>
        <w:spacing w:line="44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谈判响应文件应包括下列部分：</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响应声明函</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报价一览表</w:t>
      </w:r>
    </w:p>
    <w:p>
      <w:pPr>
        <w:pStyle w:val="33"/>
        <w:widowControl/>
        <w:numPr>
          <w:ilvl w:val="0"/>
          <w:numId w:val="3"/>
        </w:numPr>
        <w:spacing w:line="400" w:lineRule="exact"/>
        <w:ind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报价明细表</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技术规格偏离表</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商务条款偏离表</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资格的声明函</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法定代表人授权书</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资质声明函</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售后服务承诺及方案</w:t>
      </w:r>
    </w:p>
    <w:p>
      <w:pPr>
        <w:pStyle w:val="33"/>
        <w:widowControl/>
        <w:numPr>
          <w:ilvl w:val="0"/>
          <w:numId w:val="3"/>
        </w:numPr>
        <w:spacing w:line="400" w:lineRule="exact"/>
        <w:ind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w:t>
      </w:r>
      <w:r>
        <w:rPr>
          <w:rFonts w:hint="eastAsia" w:ascii="宋体" w:hAnsi="宋体" w:cs="宋体"/>
          <w:color w:val="000000" w:themeColor="text1"/>
          <w:sz w:val="24"/>
          <w:szCs w:val="24"/>
          <w:lang w:eastAsia="zh-CN"/>
          <w14:textFill>
            <w14:solidFill>
              <w14:schemeClr w14:val="tx1"/>
            </w14:solidFill>
          </w14:textFill>
        </w:rPr>
        <w:t>（如有）</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w:t>
      </w:r>
      <w:r>
        <w:rPr>
          <w:rFonts w:hint="eastAsia" w:hAnsi="宋体"/>
          <w:b/>
          <w:color w:val="000000" w:themeColor="text1"/>
          <w:sz w:val="24"/>
          <w14:textFill>
            <w14:solidFill>
              <w14:schemeClr w14:val="tx1"/>
            </w14:solidFill>
          </w14:textFill>
        </w:rPr>
        <w:t>1</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响应</w:t>
      </w:r>
      <w:r>
        <w:rPr>
          <w:rFonts w:hint="eastAsia" w:hAnsi="宋体"/>
          <w:b/>
          <w:color w:val="000000" w:themeColor="text1"/>
          <w:sz w:val="24"/>
          <w:lang w:eastAsia="zh-CN"/>
          <w14:textFill>
            <w14:solidFill>
              <w14:schemeClr w14:val="tx1"/>
            </w14:solidFill>
          </w14:textFill>
        </w:rPr>
        <w:t>文件</w:t>
      </w:r>
      <w:r>
        <w:rPr>
          <w:rFonts w:hAnsi="宋体"/>
          <w:b/>
          <w:color w:val="000000" w:themeColor="text1"/>
          <w:sz w:val="24"/>
          <w14:textFill>
            <w14:solidFill>
              <w14:schemeClr w14:val="tx1"/>
            </w14:solidFill>
          </w14:textFill>
        </w:rPr>
        <w:t>有效期</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11.1响应文件从</w:t>
      </w:r>
      <w:r>
        <w:rPr>
          <w:rFonts w:hint="eastAsia" w:hAnsi="宋体"/>
          <w:bCs/>
          <w:color w:val="000000" w:themeColor="text1"/>
          <w:sz w:val="24"/>
          <w14:textFill>
            <w14:solidFill>
              <w14:schemeClr w14:val="tx1"/>
            </w14:solidFill>
          </w14:textFill>
        </w:rPr>
        <w:t>谈判响应供应商须知前附表1</w:t>
      </w:r>
      <w:r>
        <w:rPr>
          <w:rFonts w:hint="eastAsia" w:hAnsi="宋体"/>
          <w:color w:val="000000" w:themeColor="text1"/>
          <w:sz w:val="24"/>
          <w14:textFill>
            <w14:solidFill>
              <w14:schemeClr w14:val="tx1"/>
            </w14:solidFill>
          </w14:textFill>
        </w:rPr>
        <w:t>所规定的谈判响应截止期之日开始生效，在</w:t>
      </w:r>
      <w:r>
        <w:rPr>
          <w:rFonts w:hint="eastAsia" w:hAnsi="宋体"/>
          <w:bCs/>
          <w:color w:val="000000" w:themeColor="text1"/>
          <w:sz w:val="24"/>
          <w14:textFill>
            <w14:solidFill>
              <w14:schemeClr w14:val="tx1"/>
            </w14:solidFill>
          </w14:textFill>
        </w:rPr>
        <w:t>谈判响应供应商须知前附表</w:t>
      </w:r>
      <w:r>
        <w:rPr>
          <w:rFonts w:hint="eastAsia" w:hAnsi="宋体"/>
          <w:color w:val="000000" w:themeColor="text1"/>
          <w:sz w:val="24"/>
          <w14:textFill>
            <w14:solidFill>
              <w14:schemeClr w14:val="tx1"/>
            </w14:solidFill>
          </w14:textFill>
        </w:rPr>
        <w:t>所规定的期限内保持有效。有效期不足将导致其响应文件被拒绝。</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color w:val="000000" w:themeColor="text1"/>
          <w:sz w:val="24"/>
          <w:szCs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w:t>
      </w:r>
    </w:p>
    <w:p>
      <w:pPr>
        <w:pStyle w:val="11"/>
        <w:spacing w:line="440" w:lineRule="exact"/>
        <w:jc w:val="lef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w:t>
      </w:r>
      <w:r>
        <w:rPr>
          <w:rFonts w:hint="eastAsia" w:hAnsi="宋体"/>
          <w:b/>
          <w:color w:val="000000" w:themeColor="text1"/>
          <w:sz w:val="24"/>
          <w14:textFill>
            <w14:solidFill>
              <w14:schemeClr w14:val="tx1"/>
            </w14:solidFill>
          </w14:textFill>
        </w:rPr>
        <w:t>2</w:t>
      </w:r>
      <w:r>
        <w:rPr>
          <w:rFonts w:hAnsi="宋体"/>
          <w:b/>
          <w:color w:val="000000" w:themeColor="text1"/>
          <w:sz w:val="24"/>
          <w14:textFill>
            <w14:solidFill>
              <w14:schemeClr w14:val="tx1"/>
            </w14:solidFill>
          </w14:textFill>
        </w:rPr>
        <w:t>.谈判保证金</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w:t>
      </w:r>
      <w:r>
        <w:rPr>
          <w:rFonts w:hAnsi="宋体"/>
          <w:color w:val="000000" w:themeColor="text1"/>
          <w:sz w:val="24"/>
          <w14:textFill>
            <w14:solidFill>
              <w14:schemeClr w14:val="tx1"/>
            </w14:solidFill>
          </w14:textFill>
        </w:rPr>
        <w:t>.1 谈判保证金为响应文件的组成部分之一。</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12.2</w:t>
      </w:r>
      <w:r>
        <w:rPr>
          <w:rFonts w:hint="eastAsia"/>
          <w:color w:val="000000" w:themeColor="text1"/>
          <w:sz w:val="24"/>
          <w:szCs w:val="24"/>
          <w14:textFill>
            <w14:solidFill>
              <w14:schemeClr w14:val="tx1"/>
            </w14:solidFill>
          </w14:textFill>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w:t>
      </w:r>
      <w:r>
        <w:rPr>
          <w:rFonts w:hAnsi="宋体"/>
          <w:color w:val="000000" w:themeColor="text1"/>
          <w:sz w:val="24"/>
          <w14:textFill>
            <w14:solidFill>
              <w14:schemeClr w14:val="tx1"/>
            </w14:solidFill>
          </w14:textFill>
        </w:rPr>
        <w:t>.3 谈判保证金用于保护本次谈判活动免受谈判响应供应商的行为而引起的风险。</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谈判保证金交纳方式及其它：</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②若项目存在分包的，则谈判保证金应按不同的合同包号分别提交。</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③谈判响应供应商为中小企业的，其谈判保证金减半交纳。减半交纳谈判保证金的谈判响应供应商未按照谈判文件格式要求在响应文件中提供《中小企业声明函》的，其谈判响应作无效响应处理。</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.5 未按</w:t>
      </w:r>
      <w:r>
        <w:rPr>
          <w:rFonts w:hint="eastAsia" w:hAnsi="宋体"/>
          <w:color w:val="000000" w:themeColor="text1"/>
          <w:sz w:val="24"/>
          <w14:textFill>
            <w14:solidFill>
              <w14:schemeClr w14:val="tx1"/>
            </w14:solidFill>
          </w14:textFill>
        </w:rPr>
        <w:t>要求</w:t>
      </w:r>
      <w:r>
        <w:rPr>
          <w:rFonts w:hAnsi="宋体"/>
          <w:color w:val="000000" w:themeColor="text1"/>
          <w:sz w:val="24"/>
          <w14:textFill>
            <w14:solidFill>
              <w14:schemeClr w14:val="tx1"/>
            </w14:solidFill>
          </w14:textFill>
        </w:rPr>
        <w:t>提交谈判保证金的</w:t>
      </w:r>
      <w:r>
        <w:rPr>
          <w:rFonts w:hint="eastAsia" w:hAnsi="宋体"/>
          <w:color w:val="000000" w:themeColor="text1"/>
          <w:sz w:val="24"/>
          <w14:textFill>
            <w14:solidFill>
              <w14:schemeClr w14:val="tx1"/>
            </w14:solidFill>
          </w14:textFill>
        </w:rPr>
        <w:t>谈判响应</w:t>
      </w:r>
      <w:r>
        <w:rPr>
          <w:rFonts w:hAnsi="宋体"/>
          <w:color w:val="000000" w:themeColor="text1"/>
          <w:sz w:val="24"/>
          <w14:textFill>
            <w14:solidFill>
              <w14:schemeClr w14:val="tx1"/>
            </w14:solidFill>
          </w14:textFill>
        </w:rPr>
        <w:t>，将被视为无效</w:t>
      </w:r>
      <w:r>
        <w:rPr>
          <w:rFonts w:hint="eastAsia" w:hAnsi="宋体"/>
          <w:color w:val="000000" w:themeColor="text1"/>
          <w:sz w:val="24"/>
          <w14:textFill>
            <w14:solidFill>
              <w14:schemeClr w14:val="tx1"/>
            </w14:solidFill>
          </w14:textFill>
        </w:rPr>
        <w:t>响应</w:t>
      </w:r>
      <w:r>
        <w:rPr>
          <w:rFonts w:hAnsi="宋体"/>
          <w:color w:val="000000" w:themeColor="text1"/>
          <w:sz w:val="24"/>
          <w14:textFill>
            <w14:solidFill>
              <w14:schemeClr w14:val="tx1"/>
            </w14:solidFill>
          </w14:textFill>
        </w:rPr>
        <w:t>。</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 xml:space="preserve">.6 </w:t>
      </w:r>
      <w:r>
        <w:rPr>
          <w:rFonts w:hint="eastAsia" w:hAnsi="宋体"/>
          <w:color w:val="000000" w:themeColor="text1"/>
          <w:sz w:val="24"/>
          <w14:textFill>
            <w14:solidFill>
              <w14:schemeClr w14:val="tx1"/>
            </w14:solidFill>
          </w14:textFill>
        </w:rPr>
        <w:t>采购代理机构将在成交通知书发出之日起5个工作日内予以原额无息退还未成交供应商的谈判保证金。</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.7</w:t>
      </w:r>
      <w:r>
        <w:rPr>
          <w:rFonts w:hint="eastAsia" w:hAnsi="宋体"/>
          <w:color w:val="000000" w:themeColor="text1"/>
          <w:sz w:val="24"/>
          <w14:textFill>
            <w14:solidFill>
              <w14:schemeClr w14:val="tx1"/>
            </w14:solidFill>
          </w14:textFill>
        </w:rPr>
        <w:t>在</w:t>
      </w:r>
      <w:r>
        <w:rPr>
          <w:rFonts w:hAnsi="宋体"/>
          <w:color w:val="000000" w:themeColor="text1"/>
          <w:sz w:val="24"/>
          <w14:textFill>
            <w14:solidFill>
              <w14:schemeClr w14:val="tx1"/>
            </w14:solidFill>
          </w14:textFill>
        </w:rPr>
        <w:t>成交供应商</w:t>
      </w:r>
      <w:r>
        <w:rPr>
          <w:rFonts w:hint="eastAsia" w:hAnsi="宋体"/>
          <w:color w:val="000000" w:themeColor="text1"/>
          <w:sz w:val="24"/>
          <w14:textFill>
            <w14:solidFill>
              <w14:schemeClr w14:val="tx1"/>
            </w14:solidFill>
          </w14:textFill>
        </w:rPr>
        <w:t>支付所有采购代理服务费并签订合同后5个工作日内，采购代理机构对成交供应商的谈判保证金予以原额无息退还</w:t>
      </w:r>
      <w:r>
        <w:rPr>
          <w:rFonts w:hAnsi="宋体"/>
          <w:color w:val="000000" w:themeColor="text1"/>
          <w:sz w:val="24"/>
          <w14:textFill>
            <w14:solidFill>
              <w14:schemeClr w14:val="tx1"/>
            </w14:solidFill>
          </w14:textFill>
        </w:rPr>
        <w:t>。</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12.8</w:t>
      </w:r>
      <w:r>
        <w:rPr>
          <w:rFonts w:hAnsi="宋体"/>
          <w:color w:val="000000" w:themeColor="text1"/>
          <w:sz w:val="24"/>
          <w14:textFill>
            <w14:solidFill>
              <w14:schemeClr w14:val="tx1"/>
            </w14:solidFill>
          </w14:textFill>
        </w:rPr>
        <w:t xml:space="preserve"> 发生以下情况</w:t>
      </w:r>
      <w:r>
        <w:rPr>
          <w:rFonts w:hint="eastAsia" w:hAnsi="宋体"/>
          <w:color w:val="000000" w:themeColor="text1"/>
          <w:sz w:val="24"/>
          <w14:textFill>
            <w14:solidFill>
              <w14:schemeClr w14:val="tx1"/>
            </w14:solidFill>
          </w14:textFill>
        </w:rPr>
        <w:t>之一的，</w:t>
      </w:r>
      <w:r>
        <w:rPr>
          <w:rFonts w:hAnsi="宋体"/>
          <w:color w:val="000000" w:themeColor="text1"/>
          <w:sz w:val="24"/>
          <w14:textFill>
            <w14:solidFill>
              <w14:schemeClr w14:val="tx1"/>
            </w14:solidFill>
          </w14:textFill>
        </w:rPr>
        <w:t>谈判保证金将</w:t>
      </w:r>
      <w:r>
        <w:rPr>
          <w:rFonts w:hint="eastAsia" w:hAnsi="宋体"/>
          <w:color w:val="000000" w:themeColor="text1"/>
          <w:sz w:val="24"/>
          <w14:textFill>
            <w14:solidFill>
              <w14:schemeClr w14:val="tx1"/>
            </w14:solidFill>
          </w14:textFill>
        </w:rPr>
        <w:t>不予退还，由采购代理机构上缴财政部门：</w:t>
      </w:r>
    </w:p>
    <w:p>
      <w:pPr>
        <w:pStyle w:val="11"/>
        <w:spacing w:line="440" w:lineRule="exact"/>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（1）谈判响应供应商</w:t>
      </w:r>
      <w:r>
        <w:rPr>
          <w:rFonts w:hint="eastAsia" w:hAnsi="宋体"/>
          <w:color w:val="000000" w:themeColor="text1"/>
          <w:sz w:val="24"/>
          <w14:textFill>
            <w14:solidFill>
              <w14:schemeClr w14:val="tx1"/>
            </w14:solidFill>
          </w14:textFill>
        </w:rPr>
        <w:t>提交最后报价后，</w:t>
      </w:r>
      <w:r>
        <w:rPr>
          <w:rFonts w:hAnsi="宋体"/>
          <w:color w:val="000000" w:themeColor="text1"/>
          <w:sz w:val="24"/>
          <w14:textFill>
            <w14:solidFill>
              <w14:schemeClr w14:val="tx1"/>
            </w14:solidFill>
          </w14:textFill>
        </w:rPr>
        <w:t>撤回</w:t>
      </w:r>
      <w:r>
        <w:rPr>
          <w:rFonts w:hint="eastAsia" w:hAnsi="宋体"/>
          <w:color w:val="000000" w:themeColor="text1"/>
          <w:sz w:val="24"/>
          <w14:textFill>
            <w14:solidFill>
              <w14:schemeClr w14:val="tx1"/>
            </w14:solidFill>
          </w14:textFill>
        </w:rPr>
        <w:t>谈判响应</w:t>
      </w:r>
      <w:r>
        <w:rPr>
          <w:rFonts w:hAnsi="宋体"/>
          <w:color w:val="000000" w:themeColor="text1"/>
          <w:sz w:val="24"/>
          <w14:textFill>
            <w14:solidFill>
              <w14:schemeClr w14:val="tx1"/>
            </w14:solidFill>
          </w14:textFill>
        </w:rPr>
        <w:t>；</w:t>
      </w:r>
    </w:p>
    <w:p>
      <w:pPr>
        <w:pStyle w:val="11"/>
        <w:spacing w:line="440" w:lineRule="exact"/>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（2）</w:t>
      </w:r>
      <w:r>
        <w:rPr>
          <w:rFonts w:hint="eastAsia" w:hAnsi="宋体"/>
          <w:color w:val="000000" w:themeColor="text1"/>
          <w:sz w:val="24"/>
          <w14:textFill>
            <w14:solidFill>
              <w14:schemeClr w14:val="tx1"/>
            </w14:solidFill>
          </w14:textFill>
        </w:rPr>
        <w:t>除因不可抗力或谈判文件认可的情形外，</w:t>
      </w:r>
      <w:r>
        <w:rPr>
          <w:rFonts w:hAnsi="宋体"/>
          <w:color w:val="000000" w:themeColor="text1"/>
          <w:sz w:val="24"/>
          <w14:textFill>
            <w14:solidFill>
              <w14:schemeClr w14:val="tx1"/>
            </w14:solidFill>
          </w14:textFill>
        </w:rPr>
        <w:t>成交供应商未能做到按本须知规定签订合同</w:t>
      </w:r>
      <w:r>
        <w:rPr>
          <w:rFonts w:hint="eastAsia" w:hAnsi="宋体"/>
          <w:color w:val="000000" w:themeColor="text1"/>
          <w:sz w:val="24"/>
          <w14:textFill>
            <w14:solidFill>
              <w14:schemeClr w14:val="tx1"/>
            </w14:solidFill>
          </w14:textFill>
        </w:rPr>
        <w:t>的</w:t>
      </w:r>
      <w:r>
        <w:rPr>
          <w:rFonts w:hAnsi="宋体"/>
          <w:color w:val="000000" w:themeColor="text1"/>
          <w:sz w:val="24"/>
          <w14:textFill>
            <w14:solidFill>
              <w14:schemeClr w14:val="tx1"/>
            </w14:solidFill>
          </w14:textFill>
        </w:rPr>
        <w:t>；</w:t>
      </w:r>
    </w:p>
    <w:p>
      <w:pPr>
        <w:pStyle w:val="11"/>
        <w:spacing w:line="440" w:lineRule="exact"/>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（3）</w:t>
      </w:r>
      <w:r>
        <w:rPr>
          <w:rFonts w:hint="eastAsia" w:hAnsi="宋体"/>
          <w:color w:val="000000" w:themeColor="text1"/>
          <w:sz w:val="24"/>
          <w14:textFill>
            <w14:solidFill>
              <w14:schemeClr w14:val="tx1"/>
            </w14:solidFill>
          </w14:textFill>
        </w:rPr>
        <w:t>以他人名义参与谈判响应或者以其他方式弄虚作假，骗取成交的；</w:t>
      </w:r>
    </w:p>
    <w:p>
      <w:pPr>
        <w:pStyle w:val="11"/>
        <w:spacing w:line="44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（4）谈判响应供应商在响应文件中提供虚假材料的；</w:t>
      </w:r>
    </w:p>
    <w:p>
      <w:pPr>
        <w:pStyle w:val="11"/>
        <w:spacing w:line="440" w:lineRule="exact"/>
        <w:ind w:firstLine="360" w:firstLine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（5）在禁止参加政府采购活动的处罚期内，仍参加政府采购活动的；</w:t>
      </w:r>
    </w:p>
    <w:p>
      <w:pPr>
        <w:pStyle w:val="11"/>
        <w:spacing w:line="440" w:lineRule="exact"/>
        <w:ind w:firstLine="360" w:firstLine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（6）以不正当手段诋毁、排挤其他供应商的；</w:t>
      </w:r>
    </w:p>
    <w:p>
      <w:pPr>
        <w:pStyle w:val="11"/>
        <w:spacing w:line="440" w:lineRule="exact"/>
        <w:ind w:firstLine="360" w:firstLine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（7）因本项目政府采购过程中的违法行为，受到行政处罚的；</w:t>
      </w:r>
    </w:p>
    <w:p>
      <w:pPr>
        <w:pStyle w:val="11"/>
        <w:spacing w:line="440" w:lineRule="exact"/>
        <w:ind w:firstLine="360" w:firstLine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（8）与采购人、其他供应商或者采购代理机构恶意串通的；</w:t>
      </w:r>
    </w:p>
    <w:p>
      <w:pPr>
        <w:pStyle w:val="11"/>
        <w:spacing w:line="440" w:lineRule="exact"/>
        <w:ind w:firstLine="360" w:firstLineChars="15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（9）法律、法规、规章及本谈判文件中规定的其他没收谈判保证金的情形。</w:t>
      </w:r>
    </w:p>
    <w:p>
      <w:pPr>
        <w:pStyle w:val="11"/>
        <w:spacing w:line="440" w:lineRule="exac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上述不予退还谈判保证金的情形给采购单位造成损失的，相关责任人还应当承担赔偿责任。</w:t>
      </w:r>
    </w:p>
    <w:p>
      <w:pPr>
        <w:pStyle w:val="11"/>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(10)</w:t>
      </w:r>
      <w:r>
        <w:rPr>
          <w:rFonts w:hint="eastAsia" w:hAnsi="宋体"/>
          <w:color w:val="000000" w:themeColor="text1"/>
          <w:sz w:val="24"/>
          <w14:textFill>
            <w14:solidFill>
              <w14:schemeClr w14:val="tx1"/>
            </w14:solidFill>
          </w14:textFill>
        </w:rPr>
        <w:t>网上缴纳保证金流程</w:t>
      </w:r>
    </w:p>
    <w:p>
      <w:pPr>
        <w:tabs>
          <w:tab w:val="left" w:pos="0"/>
          <w:tab w:val="left" w:pos="1080"/>
        </w:tabs>
        <w:spacing w:line="520" w:lineRule="exact"/>
        <w:ind w:left="42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投标人应按要求提交投标保证金，投标人可以采用银行转账、电汇或《投标保证金保函》（电子保函）形式缴交，不可以采用现金方式提交。投标保证金作为投标人投标的组成部分，与投标文件一同递交。</w:t>
      </w:r>
    </w:p>
    <w:p>
      <w:pPr>
        <w:tabs>
          <w:tab w:val="left" w:pos="0"/>
          <w:tab w:val="left" w:pos="1080"/>
        </w:tabs>
        <w:spacing w:line="520" w:lineRule="exact"/>
        <w:ind w:left="42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采用投标保证金以银行转账、电汇形式提交，应符合下列规定：</w:t>
      </w:r>
    </w:p>
    <w:p>
      <w:pPr>
        <w:tabs>
          <w:tab w:val="left" w:pos="0"/>
          <w:tab w:val="left" w:pos="1080"/>
        </w:tabs>
        <w:spacing w:line="520" w:lineRule="exact"/>
        <w:ind w:left="420"/>
        <w:rPr>
          <w:rStyle w:val="35"/>
          <w:rFonts w:ascii="宋体" w:hAnsi="宋体"/>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(1)对收取投标保证金的项目，只接受供应商基本账户以银行转账方式交纳投标保证金。由于转账当天不一定能够到账，建议至少提前二个工作日转账并绑定。</w:t>
      </w:r>
      <w:r>
        <w:rPr>
          <w:rStyle w:val="35"/>
          <w:rFonts w:hint="eastAsia" w:ascii="宋体" w:hAnsi="宋体"/>
          <w:b/>
          <w:bCs/>
          <w:color w:val="000000" w:themeColor="text1"/>
          <w:sz w:val="24"/>
          <w:szCs w:val="24"/>
          <w14:textFill>
            <w14:solidFill>
              <w14:schemeClr w14:val="tx1"/>
            </w14:solidFill>
          </w14:textFill>
        </w:rPr>
        <w:t>保证金缴纳流程如下：</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1.线上报名获取缴纳随机码</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·登录公共资源电子交易系统（jyzx.trs.gov.cn）</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·进入【业务管理】-【填写投标信息】 搜索或直接找到拟报名项目，点【操作】按钮，进入该项目报名页面。</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·进入报名页面 填写完报名信息后（带★号为必填项），点左上角【保存修改】按钮。</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2.缴纳保证金</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·不论何种渠道转款（不可用现金转账），转款备注（用途）栏唯一必填报名时生成获取的【保证金缴纳随机码】；</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3.打印回执</w:t>
      </w:r>
    </w:p>
    <w:p>
      <w:pPr>
        <w:tabs>
          <w:tab w:val="left" w:pos="0"/>
          <w:tab w:val="left" w:pos="1080"/>
        </w:tabs>
        <w:spacing w:line="520" w:lineRule="exact"/>
        <w:ind w:left="420"/>
        <w:rPr>
          <w:rStyle w:val="35"/>
          <w:rFonts w:ascii="宋体" w:hAnsi="宋体"/>
          <w:color w:val="000000" w:themeColor="text1"/>
          <w:sz w:val="24"/>
          <w:szCs w:val="24"/>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hint="eastAsia" w:asciiTheme="minorEastAsia" w:hAnsiTheme="minorEastAsia" w:eastAsiaTheme="minorEastAsia"/>
          <w:color w:val="000000" w:themeColor="text1"/>
          <w:sz w:val="24"/>
          <w:lang w:val="en-US" w:eastAsia="zh-CN"/>
          <w14:textFill>
            <w14:solidFill>
              <w14:schemeClr w14:val="tx1"/>
            </w14:solidFill>
          </w14:textFill>
        </w:rPr>
      </w:pPr>
      <w:r>
        <w:rPr>
          <w:rStyle w:val="35"/>
          <w:rFonts w:hint="eastAsia" w:ascii="宋体" w:hAnsi="宋体"/>
          <w:color w:val="000000" w:themeColor="text1"/>
          <w:sz w:val="24"/>
          <w:szCs w:val="24"/>
          <w14:textFill>
            <w14:solidFill>
              <w14:schemeClr w14:val="tx1"/>
            </w14:solidFill>
          </w14:textFill>
        </w:rPr>
        <w:t>·点【打印保证金回执单】按钮，查看确认到账回执信息，打印留存备用。</w:t>
      </w:r>
      <w:r>
        <w:rPr>
          <w:rFonts w:ascii="宋体" w:hAnsi="宋体" w:eastAsia="宋体" w:cs="宋体"/>
          <w:b/>
          <w:bCs/>
          <w:color w:val="000000" w:themeColor="text1"/>
          <w:sz w:val="24"/>
          <w14:textFill>
            <w14:solidFill>
              <w14:schemeClr w14:val="tx1"/>
            </w14:solidFill>
          </w14:textFill>
        </w:rPr>
        <w:t>（2）采用《投标保证金保函》（电子保函）提交的，应在投标文件递交截止时间前提交申请，且应符合下列规定：</w:t>
      </w:r>
      <w:r>
        <w:rPr>
          <w:rFonts w:ascii="宋体" w:hAnsi="宋体" w:eastAsia="宋体" w:cs="宋体"/>
          <w:b/>
          <w:bCs/>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①</w:t>
      </w:r>
      <w:r>
        <w:rPr>
          <w:rFonts w:hint="eastAsia" w:ascii="宋体" w:hAnsi="宋体" w:eastAsia="宋体" w:cs="宋体"/>
          <w:color w:val="000000" w:themeColor="text1"/>
          <w:sz w:val="24"/>
          <w14:textFill>
            <w14:solidFill>
              <w14:schemeClr w14:val="tx1"/>
            </w14:solidFill>
          </w14:textFill>
        </w:rPr>
        <w:t>为推进政府采购全流程电子化，实现数据互联互通，</w:t>
      </w:r>
      <w:r>
        <w:rPr>
          <w:rFonts w:ascii="宋体" w:hAnsi="宋体" w:eastAsia="宋体" w:cs="宋体"/>
          <w:color w:val="000000" w:themeColor="text1"/>
          <w:sz w:val="24"/>
          <w14:textFill>
            <w14:solidFill>
              <w14:schemeClr w14:val="tx1"/>
            </w14:solidFill>
          </w14:textFill>
        </w:rPr>
        <w:t>《投标保证金保函》（电子保函）应由铜仁市电子金融保证平台出具；</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②投标担保函有效期到</w:t>
      </w:r>
      <w:r>
        <w:rPr>
          <w:rFonts w:hint="eastAsia" w:ascii="宋体" w:hAnsi="宋体" w:eastAsia="宋体" w:cs="宋体"/>
          <w:color w:val="000000" w:themeColor="text1"/>
          <w:sz w:val="24"/>
          <w:lang w:eastAsia="zh-CN"/>
          <w14:textFill>
            <w14:solidFill>
              <w14:schemeClr w14:val="tx1"/>
            </w14:solidFill>
          </w14:textFill>
        </w:rPr>
        <w:t>响应文件</w:t>
      </w:r>
      <w:r>
        <w:rPr>
          <w:rFonts w:ascii="宋体" w:hAnsi="宋体" w:eastAsia="宋体" w:cs="宋体"/>
          <w:color w:val="000000" w:themeColor="text1"/>
          <w:sz w:val="24"/>
          <w14:textFill>
            <w14:solidFill>
              <w14:schemeClr w14:val="tx1"/>
            </w14:solidFill>
          </w14:textFill>
        </w:rPr>
        <w:t>有效期后30日止。</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③具体操作方式见铜仁市公共资源交易中心首页——办事指南——政府采购——常见问题解答——《投标电子保函申请操作步骤》</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由于申请电子保函当天不一定能审核通过，须至少于项目开标时间之前3日提交电子保函申请。</w:t>
      </w:r>
    </w:p>
    <w:p>
      <w:pPr>
        <w:pStyle w:val="11"/>
        <w:spacing w:line="440" w:lineRule="exact"/>
        <w:rPr>
          <w:rFonts w:hint="eastAsia" w:hAnsi="宋体"/>
          <w:color w:val="000000" w:themeColor="text1"/>
          <w:sz w:val="24"/>
          <w14:textFill>
            <w14:solidFill>
              <w14:schemeClr w14:val="tx1"/>
            </w14:solidFill>
          </w14:textFill>
        </w:rPr>
      </w:pP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13</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谈判响应文件的格式</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1</w:t>
      </w:r>
      <w:r>
        <w:rPr>
          <w:rFonts w:hAnsi="宋体"/>
          <w:color w:val="000000" w:themeColor="text1"/>
          <w:sz w:val="24"/>
          <w14:textFill>
            <w14:solidFill>
              <w14:schemeClr w14:val="tx1"/>
            </w14:solidFill>
          </w14:textFill>
        </w:rPr>
        <w:t>响应文件应由谈判响应供应商的法定代表人或其授权代表签字并加盖公章</w:t>
      </w:r>
      <w:r>
        <w:rPr>
          <w:rFonts w:hint="eastAsia" w:hAnsi="宋体"/>
          <w:color w:val="000000" w:themeColor="text1"/>
          <w:sz w:val="24"/>
          <w14:textFill>
            <w14:solidFill>
              <w14:schemeClr w14:val="tx1"/>
            </w14:solidFill>
          </w14:textFill>
        </w:rPr>
        <w:t>，如由后者签字，应提供“法定代表人授权委托书”。</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除非另有规定或许可，谈判响应使用货币为人民币。</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w:t>
      </w:r>
      <w:r>
        <w:rPr>
          <w:rFonts w:hAnsi="宋体"/>
          <w:color w:val="000000" w:themeColor="text1"/>
          <w:sz w:val="24"/>
          <w14:textFill>
            <w14:solidFill>
              <w14:schemeClr w14:val="tx1"/>
            </w14:solidFill>
          </w14:textFill>
        </w:rPr>
        <w:t>谈判响应供应商应提交证明其拟供</w:t>
      </w:r>
      <w:r>
        <w:rPr>
          <w:rFonts w:hint="eastAsia" w:hAnsi="宋体"/>
          <w:color w:val="000000" w:themeColor="text1"/>
          <w:sz w:val="24"/>
          <w14:textFill>
            <w14:solidFill>
              <w14:schemeClr w14:val="tx1"/>
            </w14:solidFill>
          </w14:textFill>
        </w:rPr>
        <w:t>工程</w:t>
      </w:r>
      <w:r>
        <w:rPr>
          <w:rFonts w:hAnsi="宋体"/>
          <w:color w:val="000000" w:themeColor="text1"/>
          <w:sz w:val="24"/>
          <w14:textFill>
            <w14:solidFill>
              <w14:schemeClr w14:val="tx1"/>
            </w14:solidFill>
          </w14:textFill>
        </w:rPr>
        <w:t>符合谈判文件要求的技术响应文件，该文件可以是文字资料、图纸和数据，并须提供</w:t>
      </w:r>
      <w:r>
        <w:rPr>
          <w:rFonts w:hint="eastAsia" w:hAnsi="宋体"/>
          <w:color w:val="000000" w:themeColor="text1"/>
          <w:sz w:val="24"/>
          <w14:textFill>
            <w14:solidFill>
              <w14:schemeClr w14:val="tx1"/>
            </w14:solidFill>
          </w14:textFill>
        </w:rPr>
        <w:t>工程</w:t>
      </w:r>
      <w:r>
        <w:rPr>
          <w:rFonts w:hAnsi="宋体"/>
          <w:color w:val="000000" w:themeColor="text1"/>
          <w:sz w:val="24"/>
          <w14:textFill>
            <w14:solidFill>
              <w14:schemeClr w14:val="tx1"/>
            </w14:solidFill>
          </w14:textFill>
        </w:rPr>
        <w:t>主要技术性能的详细描述。</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谈判文件的正本和全部副本均应使用不能擦去的墨料或墨水打印、书写或复印，并由法定代表人或其授权代表签署，盖谈判响应供应商公章。</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int="eastAsia" w:hAnsi="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 xml:space="preserve">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int="eastAsia" w:hAnsi="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未按本须知规定的格式填写响应文件、响应文件字迹模糊不清的，其谈判响应将被拒绝。</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int="eastAsia" w:hAnsi="宋体"/>
          <w:color w:val="000000" w:themeColor="text1"/>
          <w:sz w:val="24"/>
          <w:lang w:val="en-US" w:eastAsia="zh-CN"/>
          <w14:textFill>
            <w14:solidFill>
              <w14:schemeClr w14:val="tx1"/>
            </w14:solidFill>
          </w14:textFill>
        </w:rPr>
        <w:t>7</w:t>
      </w:r>
      <w:r>
        <w:rPr>
          <w:rFonts w:hint="eastAsia" w:hAnsi="宋体"/>
          <w:color w:val="000000" w:themeColor="text1"/>
          <w:sz w:val="24"/>
          <w14:textFill>
            <w14:solidFill>
              <w14:schemeClr w14:val="tx1"/>
            </w14:solidFill>
          </w14:textFill>
        </w:rPr>
        <w:t xml:space="preserve"> 所有资格证明文件复印件须加盖谈判响应供应商公章。</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int="eastAsia" w:hAnsi="宋体"/>
          <w:color w:val="000000" w:themeColor="text1"/>
          <w:sz w:val="24"/>
          <w:lang w:val="en-US" w:eastAsia="zh-CN"/>
          <w14:textFill>
            <w14:solidFill>
              <w14:schemeClr w14:val="tx1"/>
            </w14:solidFill>
          </w14:textFill>
        </w:rPr>
        <w:t>8</w:t>
      </w:r>
      <w:r>
        <w:rPr>
          <w:rFonts w:hint="eastAsia" w:hAnsi="宋体"/>
          <w:color w:val="000000" w:themeColor="text1"/>
          <w:sz w:val="24"/>
          <w14:textFill>
            <w14:solidFill>
              <w14:schemeClr w14:val="tx1"/>
            </w14:solidFill>
          </w14:textFill>
        </w:rPr>
        <w:t>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1"/>
        <w:spacing w:line="440" w:lineRule="exact"/>
        <w:ind w:firstLine="643" w:firstLineChars="200"/>
        <w:jc w:val="center"/>
        <w:outlineLvl w:val="9"/>
        <w:rPr>
          <w:rFonts w:hAnsi="宋体"/>
          <w:b/>
          <w:color w:val="000000" w:themeColor="text1"/>
          <w:sz w:val="32"/>
          <w:szCs w:val="32"/>
          <w14:textFill>
            <w14:solidFill>
              <w14:schemeClr w14:val="tx1"/>
            </w14:solidFill>
          </w14:textFill>
        </w:rPr>
      </w:pPr>
    </w:p>
    <w:p>
      <w:pPr>
        <w:pStyle w:val="31"/>
        <w:spacing w:line="440" w:lineRule="exact"/>
        <w:ind w:firstLine="643" w:firstLineChars="200"/>
        <w:jc w:val="center"/>
        <w:outlineLvl w:val="9"/>
        <w:rPr>
          <w:rFonts w:hint="eastAsia" w:hAnsi="宋体"/>
          <w:b/>
          <w:color w:val="000000" w:themeColor="text1"/>
          <w:sz w:val="32"/>
          <w:szCs w:val="32"/>
          <w14:textFill>
            <w14:solidFill>
              <w14:schemeClr w14:val="tx1"/>
            </w14:solidFill>
          </w14:textFill>
        </w:rPr>
      </w:pPr>
    </w:p>
    <w:p>
      <w:pPr>
        <w:pStyle w:val="31"/>
        <w:spacing w:line="440" w:lineRule="exact"/>
        <w:ind w:firstLine="643" w:firstLineChars="200"/>
        <w:jc w:val="center"/>
        <w:outlineLvl w:val="9"/>
        <w:rPr>
          <w:rFonts w:hint="eastAsia" w:hAnsi="宋体"/>
          <w:b/>
          <w:color w:val="auto"/>
          <w:sz w:val="32"/>
          <w:szCs w:val="32"/>
        </w:rPr>
      </w:pPr>
    </w:p>
    <w:p>
      <w:pPr>
        <w:pStyle w:val="31"/>
        <w:spacing w:line="440" w:lineRule="exact"/>
        <w:ind w:firstLine="643" w:firstLineChars="200"/>
        <w:jc w:val="center"/>
        <w:outlineLvl w:val="9"/>
        <w:rPr>
          <w:rFonts w:hAnsi="宋体"/>
          <w:b/>
          <w:color w:val="auto"/>
          <w:sz w:val="32"/>
          <w:szCs w:val="32"/>
        </w:rPr>
      </w:pPr>
      <w:r>
        <w:rPr>
          <w:rFonts w:hint="eastAsia" w:hAnsi="宋体"/>
          <w:b/>
          <w:color w:val="auto"/>
          <w:sz w:val="32"/>
          <w:szCs w:val="32"/>
        </w:rPr>
        <w:t>四、响应文件的提交</w:t>
      </w:r>
    </w:p>
    <w:p>
      <w:pPr>
        <w:pStyle w:val="31"/>
        <w:spacing w:line="440" w:lineRule="exact"/>
        <w:outlineLvl w:val="9"/>
        <w:rPr>
          <w:rFonts w:hAnsi="宋体"/>
          <w:b/>
          <w:color w:val="auto"/>
          <w:sz w:val="24"/>
        </w:rPr>
      </w:pPr>
      <w:r>
        <w:rPr>
          <w:rFonts w:hint="eastAsia" w:hAnsi="宋体"/>
          <w:b/>
          <w:color w:val="auto"/>
          <w:sz w:val="24"/>
        </w:rPr>
        <w:t>14.响应文件的密封、标记和递交</w:t>
      </w:r>
    </w:p>
    <w:p>
      <w:pPr>
        <w:pStyle w:val="38"/>
        <w:numPr>
          <w:ilvl w:val="0"/>
          <w:numId w:val="0"/>
        </w:numPr>
        <w:tabs>
          <w:tab w:val="left" w:pos="1498"/>
        </w:tabs>
        <w:spacing w:before="132" w:after="0" w:line="343" w:lineRule="auto"/>
        <w:ind w:right="315" w:rightChars="0"/>
        <w:jc w:val="left"/>
        <w:rPr>
          <w:rFonts w:hAnsi="宋体"/>
          <w:color w:val="auto"/>
          <w:sz w:val="24"/>
        </w:rPr>
      </w:pPr>
      <w:r>
        <w:rPr>
          <w:rFonts w:hint="eastAsia" w:hAnsi="宋体"/>
          <w:color w:val="auto"/>
          <w:sz w:val="24"/>
        </w:rPr>
        <w:t>14.1</w:t>
      </w:r>
      <w:r>
        <w:rPr>
          <w:rFonts w:hint="eastAsia" w:hAnsi="宋体"/>
          <w:color w:val="auto"/>
          <w:sz w:val="24"/>
          <w:highlight w:val="none"/>
        </w:rPr>
        <w:t xml:space="preserve"> 谈判响应供应商应将响应文件正本和副本分别密封，</w:t>
      </w:r>
      <w:r>
        <w:rPr>
          <w:rFonts w:hint="eastAsia" w:ascii="宋体" w:hAnsi="宋体"/>
          <w:color w:val="auto"/>
          <w:sz w:val="24"/>
        </w:rPr>
        <w:t>正副本</w:t>
      </w:r>
      <w:r>
        <w:rPr>
          <w:rFonts w:hint="eastAsia"/>
          <w:color w:val="auto"/>
          <w:sz w:val="24"/>
          <w:lang w:eastAsia="zh-CN"/>
        </w:rPr>
        <w:t>密</w:t>
      </w:r>
      <w:r>
        <w:rPr>
          <w:rFonts w:hint="eastAsia" w:ascii="宋体" w:hAnsi="宋体"/>
          <w:color w:val="auto"/>
          <w:sz w:val="24"/>
        </w:rPr>
        <w:t>封</w:t>
      </w:r>
      <w:r>
        <w:rPr>
          <w:rFonts w:hint="eastAsia"/>
          <w:color w:val="auto"/>
          <w:sz w:val="24"/>
          <w:lang w:eastAsia="zh-CN"/>
        </w:rPr>
        <w:t>袋封面</w:t>
      </w:r>
      <w:r>
        <w:rPr>
          <w:rFonts w:hint="eastAsia" w:ascii="宋体" w:hAnsi="宋体"/>
          <w:color w:val="auto"/>
          <w:sz w:val="24"/>
        </w:rPr>
        <w:t>及</w:t>
      </w:r>
      <w:r>
        <w:rPr>
          <w:rFonts w:hint="eastAsia"/>
          <w:color w:val="auto"/>
          <w:sz w:val="24"/>
          <w:lang w:eastAsia="zh-CN"/>
        </w:rPr>
        <w:t>响应</w:t>
      </w:r>
      <w:r>
        <w:rPr>
          <w:rFonts w:hint="eastAsia" w:ascii="宋体" w:hAnsi="宋体"/>
          <w:color w:val="auto"/>
          <w:sz w:val="24"/>
        </w:rPr>
        <w:t>文件封面均应写明项目名称、</w:t>
      </w:r>
      <w:r>
        <w:rPr>
          <w:rFonts w:hint="eastAsia"/>
          <w:color w:val="auto"/>
          <w:sz w:val="24"/>
          <w:lang w:eastAsia="zh-CN"/>
        </w:rPr>
        <w:t>项目</w:t>
      </w:r>
      <w:r>
        <w:rPr>
          <w:rFonts w:hint="eastAsia" w:ascii="宋体" w:hAnsi="宋体"/>
          <w:color w:val="auto"/>
          <w:sz w:val="24"/>
        </w:rPr>
        <w:t>编号、</w:t>
      </w:r>
      <w:r>
        <w:rPr>
          <w:rFonts w:hint="eastAsia"/>
          <w:color w:val="auto"/>
          <w:sz w:val="24"/>
          <w:lang w:eastAsia="zh-CN"/>
        </w:rPr>
        <w:t>谈判供应商</w:t>
      </w:r>
      <w:r>
        <w:rPr>
          <w:rFonts w:hint="eastAsia" w:ascii="宋体" w:hAnsi="宋体"/>
          <w:color w:val="auto"/>
          <w:sz w:val="24"/>
        </w:rPr>
        <w:t>名称、地址、联系人及联系人电话，并加盖投标单位公章。封袋口密封处必须加盖</w:t>
      </w:r>
      <w:r>
        <w:rPr>
          <w:rFonts w:hint="eastAsia"/>
          <w:color w:val="auto"/>
          <w:sz w:val="24"/>
          <w:lang w:eastAsia="zh-CN"/>
        </w:rPr>
        <w:t>供应商单位公章</w:t>
      </w:r>
      <w:r>
        <w:rPr>
          <w:rFonts w:hint="eastAsia" w:hAnsi="宋体"/>
          <w:color w:val="auto"/>
          <w:sz w:val="24"/>
        </w:rPr>
        <w:t xml:space="preserve">。响应文件未密封可导致其谈判被拒绝。     </w:t>
      </w:r>
    </w:p>
    <w:p>
      <w:pPr>
        <w:pStyle w:val="11"/>
        <w:spacing w:line="440" w:lineRule="exact"/>
        <w:ind w:firstLine="480" w:firstLineChars="200"/>
        <w:jc w:val="left"/>
        <w:rPr>
          <w:rFonts w:hAnsi="宋体"/>
          <w:color w:val="auto"/>
          <w:sz w:val="24"/>
        </w:rPr>
      </w:pPr>
      <w:r>
        <w:rPr>
          <w:rFonts w:hAnsi="宋体"/>
          <w:color w:val="auto"/>
          <w:sz w:val="24"/>
        </w:rPr>
        <w:t>1</w:t>
      </w:r>
      <w:r>
        <w:rPr>
          <w:rFonts w:hint="eastAsia" w:hAnsi="宋体"/>
          <w:color w:val="auto"/>
          <w:sz w:val="24"/>
        </w:rPr>
        <w:t>4.2</w:t>
      </w:r>
      <w:r>
        <w:rPr>
          <w:rFonts w:hAnsi="宋体"/>
          <w:color w:val="auto"/>
          <w:sz w:val="24"/>
        </w:rPr>
        <w:t xml:space="preserve"> 如果未按上述规定进行密封和标记，采购代理机构</w:t>
      </w:r>
      <w:r>
        <w:rPr>
          <w:rFonts w:hint="eastAsia" w:hAnsi="宋体"/>
          <w:color w:val="auto"/>
          <w:sz w:val="24"/>
        </w:rPr>
        <w:t>将不承担由此造成的对响应文件的误投或提前拆封的责任。</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auto"/>
          <w:sz w:val="24"/>
        </w:rPr>
        <w:t>14.3响应文件应在谈判邀请中规定的截止</w:t>
      </w:r>
      <w:r>
        <w:rPr>
          <w:rFonts w:hint="eastAsia" w:hAnsi="宋体"/>
          <w:color w:val="000000" w:themeColor="text1"/>
          <w:sz w:val="24"/>
          <w14:textFill>
            <w14:solidFill>
              <w14:schemeClr w14:val="tx1"/>
            </w14:solidFill>
          </w14:textFill>
        </w:rPr>
        <w:t>时间前送达，迟到的响应文件为无效响应文件，将被拒绝。</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spacing w:line="440" w:lineRule="exact"/>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14.5谈判响应供应商在谈判响应截止期后不得修改、撤回响应文件。谈判响应供应商在报价截止期后修改响应文件的，其谈判响应将被拒绝。</w:t>
      </w:r>
    </w:p>
    <w:p>
      <w:pPr>
        <w:spacing w:line="440" w:lineRule="exact"/>
        <w:ind w:firstLine="480" w:firstLineChars="200"/>
        <w:outlineLvl w:val="0"/>
        <w:rPr>
          <w:rFonts w:ascii="宋体" w:hAnsi="宋体"/>
          <w:color w:val="auto"/>
          <w:sz w:val="24"/>
        </w:rPr>
      </w:pPr>
      <w:r>
        <w:rPr>
          <w:rFonts w:hint="eastAsia" w:hAnsi="宋体"/>
          <w:color w:val="000000" w:themeColor="text1"/>
          <w:sz w:val="24"/>
          <w14:textFill>
            <w14:solidFill>
              <w14:schemeClr w14:val="tx1"/>
            </w14:solidFill>
          </w14:textFill>
        </w:rPr>
        <w:t>14.6</w:t>
      </w:r>
      <w:r>
        <w:rPr>
          <w:rFonts w:hint="eastAsia" w:ascii="宋体" w:hAnsi="宋体"/>
          <w:color w:val="000000" w:themeColor="text1"/>
          <w:sz w:val="24"/>
          <w:lang w:eastAsia="zh-CN"/>
          <w14:textFill>
            <w14:solidFill>
              <w14:schemeClr w14:val="tx1"/>
            </w14:solidFill>
          </w14:textFill>
        </w:rPr>
        <w:t>谈判响应供应商</w:t>
      </w:r>
      <w:r>
        <w:rPr>
          <w:rFonts w:hint="eastAsia" w:ascii="宋体" w:hAnsi="宋体"/>
          <w:color w:val="000000" w:themeColor="text1"/>
          <w:sz w:val="24"/>
          <w14:textFill>
            <w14:solidFill>
              <w14:schemeClr w14:val="tx1"/>
            </w14:solidFill>
          </w14:textFill>
        </w:rPr>
        <w:t>应按照要求，准备一式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份投标书（</w:t>
      </w:r>
      <w:r>
        <w:rPr>
          <w:rFonts w:hint="eastAsia" w:ascii="宋体" w:hAnsi="宋体"/>
          <w:color w:val="000000" w:themeColor="text1"/>
          <w:sz w:val="24"/>
          <w:u w:val="single"/>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份正本、</w:t>
      </w:r>
      <w:r>
        <w:rPr>
          <w:rFonts w:hint="eastAsia" w:ascii="宋体" w:hAnsi="宋体"/>
          <w:color w:val="000000" w:themeColor="text1"/>
          <w:sz w:val="24"/>
          <w:u w:val="single"/>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份副本），</w:t>
      </w:r>
      <w:r>
        <w:rPr>
          <w:rFonts w:hint="eastAsia" w:hAnsi="宋体"/>
          <w:color w:val="000000" w:themeColor="text1"/>
          <w:sz w:val="24"/>
          <w:lang w:eastAsia="zh-CN"/>
          <w14:textFill>
            <w14:solidFill>
              <w14:schemeClr w14:val="tx1"/>
            </w14:solidFill>
          </w14:textFill>
        </w:rPr>
        <w:t>响应</w:t>
      </w:r>
      <w:r>
        <w:rPr>
          <w:rFonts w:hint="eastAsia" w:hAnsi="宋体"/>
          <w:color w:val="auto"/>
          <w:sz w:val="24"/>
        </w:rPr>
        <w:t>文件（正、副本）内容均须按页码顺序装订成册</w:t>
      </w:r>
      <w:r>
        <w:rPr>
          <w:rFonts w:hint="eastAsia"/>
          <w:color w:val="auto"/>
          <w:sz w:val="24"/>
          <w:lang w:val="zh-CN"/>
        </w:rPr>
        <w:t>并编制目录，并在</w:t>
      </w:r>
      <w:r>
        <w:rPr>
          <w:rFonts w:hint="eastAsia" w:hAnsi="宋体"/>
          <w:color w:val="auto"/>
          <w:sz w:val="24"/>
          <w:lang w:eastAsia="zh-CN"/>
        </w:rPr>
        <w:t>响应</w:t>
      </w:r>
      <w:r>
        <w:rPr>
          <w:rFonts w:hint="eastAsia" w:hAnsi="宋体"/>
          <w:color w:val="auto"/>
          <w:sz w:val="24"/>
        </w:rPr>
        <w:t>文件（正、副本）内容每一页加盖投标单位公章,</w:t>
      </w:r>
      <w:r>
        <w:rPr>
          <w:rFonts w:hint="eastAsia" w:ascii="宋体" w:hAnsi="宋体"/>
          <w:color w:val="auto"/>
          <w:sz w:val="24"/>
        </w:rPr>
        <w:t xml:space="preserve"> 投标文件正本与副本不一致时，以正本为准。</w:t>
      </w:r>
    </w:p>
    <w:p>
      <w:pPr>
        <w:spacing w:line="440" w:lineRule="exact"/>
        <w:ind w:firstLine="480" w:firstLineChars="200"/>
        <w:rPr>
          <w:rFonts w:ascii="宋体" w:hAnsi="宋体"/>
          <w:color w:val="auto"/>
          <w:kern w:val="0"/>
          <w:sz w:val="24"/>
          <w:szCs w:val="20"/>
        </w:rPr>
      </w:pPr>
      <w:r>
        <w:rPr>
          <w:rFonts w:hint="eastAsia" w:ascii="宋体" w:hAnsi="宋体"/>
          <w:color w:val="auto"/>
          <w:kern w:val="0"/>
          <w:sz w:val="24"/>
          <w:szCs w:val="20"/>
        </w:rPr>
        <w:t>经补充后，对谈判文件作出实质响应的供应商只有两家的，经请示行业主管部门同意后，谈判小组可以</w:t>
      </w:r>
      <w:r>
        <w:rPr>
          <w:rFonts w:hint="eastAsia" w:ascii="宋体" w:hAnsi="宋体"/>
          <w:color w:val="auto"/>
          <w:kern w:val="0"/>
          <w:sz w:val="24"/>
          <w:szCs w:val="20"/>
          <w:lang w:eastAsia="zh-CN"/>
        </w:rPr>
        <w:t>继续</w:t>
      </w:r>
      <w:r>
        <w:rPr>
          <w:rFonts w:hint="eastAsia" w:ascii="宋体" w:hAnsi="宋体"/>
          <w:color w:val="auto"/>
          <w:kern w:val="0"/>
          <w:sz w:val="24"/>
          <w:szCs w:val="20"/>
        </w:rPr>
        <w:t>与两家供应商进行谈判。</w:t>
      </w:r>
    </w:p>
    <w:p>
      <w:pPr>
        <w:pStyle w:val="31"/>
        <w:spacing w:line="440" w:lineRule="exact"/>
        <w:ind w:firstLine="480" w:firstLineChars="200"/>
        <w:outlineLvl w:val="9"/>
        <w:rPr>
          <w:rFonts w:hAnsi="宋体"/>
          <w:color w:val="auto"/>
          <w:sz w:val="24"/>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ind w:firstLine="480" w:firstLineChars="200"/>
        <w:outlineLvl w:val="9"/>
        <w:rPr>
          <w:rFonts w:hAnsi="宋体"/>
          <w:color w:val="000000" w:themeColor="text1"/>
          <w:sz w:val="24"/>
          <w14:textFill>
            <w14:solidFill>
              <w14:schemeClr w14:val="tx1"/>
            </w14:solidFill>
          </w14:textFill>
        </w:rPr>
      </w:pPr>
    </w:p>
    <w:p>
      <w:pPr>
        <w:pStyle w:val="31"/>
        <w:spacing w:line="440" w:lineRule="exact"/>
        <w:jc w:val="both"/>
        <w:outlineLvl w:val="9"/>
        <w:rPr>
          <w:rFonts w:hint="eastAsia" w:hAnsi="宋体"/>
          <w:b/>
          <w:color w:val="000000" w:themeColor="text1"/>
          <w:sz w:val="32"/>
          <w:szCs w:val="32"/>
          <w14:textFill>
            <w14:solidFill>
              <w14:schemeClr w14:val="tx1"/>
            </w14:solidFill>
          </w14:textFill>
        </w:rPr>
      </w:pPr>
    </w:p>
    <w:p>
      <w:pPr>
        <w:pStyle w:val="31"/>
        <w:spacing w:line="440" w:lineRule="exact"/>
        <w:ind w:firstLine="643" w:firstLineChars="200"/>
        <w:jc w:val="center"/>
        <w:outlineLvl w:val="9"/>
        <w:rPr>
          <w:rFonts w:hint="eastAsia" w:hAnsi="宋体"/>
          <w:b/>
          <w:color w:val="000000" w:themeColor="text1"/>
          <w:sz w:val="32"/>
          <w:szCs w:val="32"/>
          <w14:textFill>
            <w14:solidFill>
              <w14:schemeClr w14:val="tx1"/>
            </w14:solidFill>
          </w14:textFill>
        </w:rPr>
      </w:pPr>
    </w:p>
    <w:p>
      <w:pPr>
        <w:pStyle w:val="31"/>
        <w:spacing w:line="440" w:lineRule="exact"/>
        <w:ind w:firstLine="643" w:firstLineChars="200"/>
        <w:jc w:val="center"/>
        <w:outlineLvl w:val="9"/>
        <w:rPr>
          <w:rFonts w:hint="eastAsia" w:hAnsi="宋体"/>
          <w:b/>
          <w:color w:val="000000" w:themeColor="text1"/>
          <w:sz w:val="32"/>
          <w:szCs w:val="32"/>
          <w14:textFill>
            <w14:solidFill>
              <w14:schemeClr w14:val="tx1"/>
            </w14:solidFill>
          </w14:textFill>
        </w:rPr>
      </w:pPr>
    </w:p>
    <w:p>
      <w:pPr>
        <w:pStyle w:val="31"/>
        <w:spacing w:line="440" w:lineRule="exact"/>
        <w:ind w:firstLine="643" w:firstLineChars="200"/>
        <w:jc w:val="center"/>
        <w:outlineLvl w:val="9"/>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五、响应文件的评估和比较</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15.谈判时间</w:t>
      </w:r>
    </w:p>
    <w:p>
      <w:pPr>
        <w:pStyle w:val="11"/>
        <w:spacing w:line="440" w:lineRule="exact"/>
        <w:jc w:val="left"/>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15.1在谈判响应供应商须知前附表中所规定的时间、地点谈判（如有推迟情形，以推迟后的时间、地点为准）。</w:t>
      </w:r>
    </w:p>
    <w:p>
      <w:pPr>
        <w:pStyle w:val="11"/>
        <w:spacing w:line="44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15.2谈判由采购代理机构主持，邀请采购人、谈判响应供应商和有关方面代表参加。谈判响应供应商一般应派授权代表参加谈判，并办理签到手续。</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16.</w:t>
      </w:r>
      <w:r>
        <w:rPr>
          <w:rFonts w:hAnsi="宋体"/>
          <w:b/>
          <w:color w:val="000000" w:themeColor="text1"/>
          <w:sz w:val="24"/>
          <w14:textFill>
            <w14:solidFill>
              <w14:schemeClr w14:val="tx1"/>
            </w14:solidFill>
          </w14:textFill>
        </w:rPr>
        <w:t>谈判</w:t>
      </w:r>
      <w:r>
        <w:rPr>
          <w:rFonts w:hint="eastAsia" w:hAnsi="宋体"/>
          <w:b/>
          <w:color w:val="000000" w:themeColor="text1"/>
          <w:sz w:val="24"/>
          <w14:textFill>
            <w14:solidFill>
              <w14:schemeClr w14:val="tx1"/>
            </w14:solidFill>
          </w14:textFill>
        </w:rPr>
        <w:t>小组</w:t>
      </w:r>
    </w:p>
    <w:p>
      <w:pPr>
        <w:spacing w:line="440" w:lineRule="exact"/>
        <w:ind w:firstLine="480" w:firstLineChars="200"/>
        <w:rPr>
          <w:color w:val="auto"/>
          <w:sz w:val="24"/>
          <w:szCs w:val="24"/>
        </w:rPr>
      </w:pPr>
      <w:r>
        <w:rPr>
          <w:rFonts w:hint="eastAsia"/>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t>.1 采购代理机构将根据项目的特点及相关规定组建谈判小组，</w:t>
      </w:r>
      <w:r>
        <w:rPr>
          <w:rFonts w:ascii="Arial" w:hAnsi="Arial" w:cs="Arial"/>
          <w:color w:val="000000" w:themeColor="text1"/>
          <w:sz w:val="24"/>
          <w:szCs w:val="24"/>
          <w14:textFill>
            <w14:solidFill>
              <w14:schemeClr w14:val="tx1"/>
            </w14:solidFill>
          </w14:textFill>
        </w:rPr>
        <w:t>谈判小组由技术、经济、法律方面的专家和</w:t>
      </w:r>
      <w:r>
        <w:rPr>
          <w:rFonts w:hint="eastAsia" w:ascii="Arial" w:hAnsi="Arial" w:cs="Arial"/>
          <w:color w:val="000000" w:themeColor="text1"/>
          <w:sz w:val="24"/>
          <w:szCs w:val="24"/>
          <w14:textFill>
            <w14:solidFill>
              <w14:schemeClr w14:val="tx1"/>
            </w14:solidFill>
          </w14:textFill>
        </w:rPr>
        <w:t>采购人</w:t>
      </w:r>
      <w:r>
        <w:rPr>
          <w:rFonts w:ascii="Arial" w:hAnsi="Arial" w:cs="Arial"/>
          <w:color w:val="000000" w:themeColor="text1"/>
          <w:sz w:val="24"/>
          <w:szCs w:val="24"/>
          <w14:textFill>
            <w14:solidFill>
              <w14:schemeClr w14:val="tx1"/>
            </w14:solidFill>
          </w14:textFill>
        </w:rPr>
        <w:t>代</w:t>
      </w:r>
      <w:r>
        <w:rPr>
          <w:rFonts w:ascii="Arial" w:hAnsi="Arial" w:cs="Arial"/>
          <w:color w:val="auto"/>
          <w:sz w:val="24"/>
          <w:szCs w:val="24"/>
        </w:rPr>
        <w:t>表组成。成员为</w:t>
      </w:r>
      <w:r>
        <w:rPr>
          <w:rFonts w:hint="eastAsia" w:ascii="Arial" w:hAnsi="Arial" w:cs="Arial"/>
          <w:color w:val="auto"/>
          <w:sz w:val="24"/>
          <w:szCs w:val="24"/>
          <w:lang w:val="en-US" w:eastAsia="zh-CN"/>
        </w:rPr>
        <w:t>5</w:t>
      </w:r>
      <w:r>
        <w:rPr>
          <w:rFonts w:ascii="Arial" w:hAnsi="Arial" w:cs="Arial"/>
          <w:color w:val="auto"/>
          <w:sz w:val="24"/>
          <w:szCs w:val="24"/>
        </w:rPr>
        <w:t>人及以上单数组成，专家不能少于三分之二</w:t>
      </w:r>
      <w:r>
        <w:rPr>
          <w:rFonts w:hint="eastAsia" w:ascii="Arial" w:hAnsi="Arial" w:cs="Arial"/>
          <w:color w:val="auto"/>
          <w:sz w:val="24"/>
          <w:szCs w:val="24"/>
          <w:lang w:eastAsia="zh-CN"/>
        </w:rPr>
        <w:t>（</w:t>
      </w:r>
      <w:r>
        <w:rPr>
          <w:rFonts w:hint="eastAsia" w:ascii="宋体" w:hAnsi="宋体"/>
          <w:color w:val="auto"/>
          <w:sz w:val="24"/>
          <w:lang w:val="en-US" w:eastAsia="zh-CN"/>
        </w:rPr>
        <w:t>本采购项目评审专家为省综合评标专家库抽取4人，采购人委托代表1人组成)。</w:t>
      </w:r>
      <w:r>
        <w:rPr>
          <w:color w:val="auto"/>
          <w:sz w:val="24"/>
          <w:szCs w:val="24"/>
        </w:rPr>
        <w:t>谈判小组将对响应文件进行审查、质疑、评估和比较，进行谈判并做出授予合同的建议。</w:t>
      </w:r>
    </w:p>
    <w:p>
      <w:pPr>
        <w:spacing w:line="440" w:lineRule="exact"/>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16.2达到公开招标数额标准的货物或者服务采购项目，或者达到招标规模标准的政府采购工程，谈判小组应当由5人以上单数组成。</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17.响应文件的初审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对所有谈判响应供应商的评估，都采用相同的程序和标准。评议过程将严格按照谈判文件的要求和条件进行。</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有关响应文件的审查、澄清、评估和比较以及推荐成交候选人的一切情况都不得透露给任一谈判响应供应商或与</w:t>
      </w:r>
      <w:r>
        <w:rPr>
          <w:rFonts w:hint="eastAsia" w:ascii="宋体" w:hAnsi="宋体"/>
          <w:color w:val="000000" w:themeColor="text1"/>
          <w:sz w:val="24"/>
          <w:lang w:eastAsia="zh-CN"/>
          <w14:textFill>
            <w14:solidFill>
              <w14:schemeClr w14:val="tx1"/>
            </w14:solidFill>
          </w14:textFill>
        </w:rPr>
        <w:t>上述</w:t>
      </w:r>
      <w:r>
        <w:rPr>
          <w:rFonts w:hint="eastAsia" w:ascii="宋体" w:hAnsi="宋体"/>
          <w:color w:val="000000" w:themeColor="text1"/>
          <w:sz w:val="24"/>
          <w14:textFill>
            <w14:solidFill>
              <w14:schemeClr w14:val="tx1"/>
            </w14:solidFill>
          </w14:textFill>
        </w:rPr>
        <w:t>谈判工作无关的人员。</w:t>
      </w:r>
    </w:p>
    <w:p>
      <w:pPr>
        <w:spacing w:line="440" w:lineRule="exact"/>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谈判响应供应商任何试图影响谈判小组对响应文件的评审、比较或者推荐候选人的行为，都将导致其谈判响应被拒绝，并被没收谈判保证金。</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17.1</w:t>
      </w:r>
      <w:r>
        <w:rPr>
          <w:rFonts w:hAnsi="宋体"/>
          <w:color w:val="000000" w:themeColor="text1"/>
          <w:sz w:val="24"/>
          <w14:textFill>
            <w14:solidFill>
              <w14:schemeClr w14:val="tx1"/>
            </w14:solidFill>
          </w14:textFill>
        </w:rPr>
        <w:t>开标时，投标文件开启之前，除对投标文件的密封进行检查外，</w:t>
      </w:r>
      <w:r>
        <w:rPr>
          <w:rFonts w:hint="eastAsia" w:hAnsi="宋体"/>
          <w:b/>
          <w:color w:val="000000" w:themeColor="text1"/>
          <w:sz w:val="24"/>
          <w14:textFill>
            <w14:solidFill>
              <w14:schemeClr w14:val="tx1"/>
            </w14:solidFill>
          </w14:textFill>
        </w:rPr>
        <w:t>主要是</w:t>
      </w:r>
      <w:r>
        <w:rPr>
          <w:rFonts w:hint="eastAsia" w:hAnsi="宋体"/>
          <w:b/>
          <w:color w:val="000000" w:themeColor="text1"/>
          <w:sz w:val="24"/>
          <w:lang w:eastAsia="zh-CN"/>
          <w14:textFill>
            <w14:solidFill>
              <w14:schemeClr w14:val="tx1"/>
            </w14:solidFill>
          </w14:textFill>
        </w:rPr>
        <w:t>对谈判响应供应商的</w:t>
      </w:r>
      <w:r>
        <w:rPr>
          <w:rFonts w:hAnsi="宋体"/>
          <w:color w:val="000000" w:themeColor="text1"/>
          <w:sz w:val="24"/>
          <w14:textFill>
            <w14:solidFill>
              <w14:schemeClr w14:val="tx1"/>
            </w14:solidFill>
          </w14:textFill>
        </w:rPr>
        <w:t>身份（需出示法定代表人身份证原件或委托代理人持授权委托书并出示代理人身份证原件）进行核查，如未能提供，视为无效投标。</w:t>
      </w:r>
    </w:p>
    <w:p>
      <w:pPr>
        <w:pStyle w:val="11"/>
        <w:spacing w:line="440" w:lineRule="exact"/>
        <w:ind w:firstLine="480" w:firstLine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17.2评标时，需审查以下资质</w:t>
      </w:r>
      <w:r>
        <w:rPr>
          <w:rFonts w:hint="eastAsia" w:hAnsi="宋体"/>
          <w:color w:val="000000" w:themeColor="text1"/>
          <w:sz w:val="24"/>
          <w:lang w:eastAsia="zh-CN"/>
          <w14:textFill>
            <w14:solidFill>
              <w14:schemeClr w14:val="tx1"/>
            </w14:solidFill>
          </w14:textFill>
        </w:rPr>
        <w:t>资料</w:t>
      </w:r>
      <w:r>
        <w:rPr>
          <w:rFonts w:hint="eastAsia" w:hAnsi="宋体"/>
          <w:color w:val="000000" w:themeColor="text1"/>
          <w:sz w:val="24"/>
          <w14:textFill>
            <w14:solidFill>
              <w14:schemeClr w14:val="tx1"/>
            </w14:solidFill>
          </w14:textFill>
        </w:rPr>
        <w:t>：</w:t>
      </w:r>
    </w:p>
    <w:p>
      <w:pPr>
        <w:pStyle w:val="2"/>
        <w:ind w:firstLine="480" w:firstLineChars="200"/>
        <w:rPr>
          <w:rFonts w:hint="eastAsia" w:eastAsiaTheme="minorEastAsia"/>
          <w:color w:val="auto"/>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s="宋体"/>
          <w:color w:val="auto"/>
          <w:kern w:val="0"/>
          <w:sz w:val="24"/>
          <w:szCs w:val="24"/>
        </w:rPr>
        <w:t>有效的</w:t>
      </w:r>
      <w:r>
        <w:rPr>
          <w:rFonts w:hint="eastAsia" w:ascii="宋体" w:hAnsi="宋体" w:cs="宋体"/>
          <w:color w:val="auto"/>
          <w:sz w:val="24"/>
        </w:rPr>
        <w:t>营业执照</w:t>
      </w:r>
      <w:r>
        <w:rPr>
          <w:rFonts w:hint="eastAsia" w:ascii="宋体" w:hAnsi="宋体" w:cs="宋体"/>
          <w:color w:val="auto"/>
          <w:kern w:val="0"/>
          <w:sz w:val="24"/>
          <w:szCs w:val="24"/>
        </w:rPr>
        <w:t>（三证合一）</w:t>
      </w:r>
      <w:r>
        <w:rPr>
          <w:rFonts w:hint="eastAsia" w:ascii="宋体" w:hAnsi="宋体" w:cs="宋体"/>
          <w:color w:val="auto"/>
          <w:kern w:val="0"/>
          <w:sz w:val="24"/>
          <w:szCs w:val="24"/>
          <w:lang w:eastAsia="zh-CN"/>
        </w:rPr>
        <w:t>；</w:t>
      </w:r>
    </w:p>
    <w:p>
      <w:pPr>
        <w:spacing w:line="5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eastAsia="宋体" w:cs="宋体"/>
          <w:color w:val="auto"/>
          <w:kern w:val="2"/>
          <w:sz w:val="24"/>
          <w:szCs w:val="24"/>
          <w:lang w:val="en-US" w:eastAsia="zh-CN" w:bidi="ar-SA"/>
        </w:rPr>
        <w:t>具有良好的商业信誉和健全的财务会计制度：</w:t>
      </w:r>
    </w:p>
    <w:p>
      <w:pPr>
        <w:pStyle w:val="17"/>
        <w:spacing w:before="0" w:beforeAutospacing="0" w:after="0" w:afterAutospacing="0" w:line="360" w:lineRule="auto"/>
        <w:ind w:firstLine="480" w:firstLineChars="200"/>
        <w:jc w:val="both"/>
        <w:rPr>
          <w:rFonts w:hint="eastAsia"/>
          <w:color w:val="auto"/>
        </w:rPr>
      </w:pPr>
      <w:r>
        <w:rPr>
          <w:rFonts w:hint="eastAsia"/>
          <w:color w:val="auto"/>
        </w:rPr>
        <w:t>具体要求：提供</w:t>
      </w:r>
      <w:r>
        <w:rPr>
          <w:rFonts w:hint="eastAsia"/>
          <w:color w:val="auto"/>
          <w:lang w:eastAsia="zh-CN"/>
        </w:rPr>
        <w:t>近半年任意三个月的财务报表，</w:t>
      </w:r>
      <w:r>
        <w:rPr>
          <w:rFonts w:hint="eastAsia"/>
          <w:color w:val="auto"/>
        </w:rPr>
        <w:t>企业提供的财务报表（含资产负债表、利润及利润分配表、现金流量表和财务报表附注）；（新成立的公司</w:t>
      </w:r>
      <w:r>
        <w:rPr>
          <w:rFonts w:hint="eastAsia"/>
          <w:color w:val="auto"/>
          <w:lang w:val="en-US" w:eastAsia="zh-CN"/>
        </w:rPr>
        <w:t>提供三个月财务报表或者银行资信证明，</w:t>
      </w:r>
      <w:r>
        <w:rPr>
          <w:rFonts w:hint="eastAsia" w:ascii="Calibri" w:hAnsi="Calibri" w:eastAsia="宋体" w:cs="Times New Roman"/>
          <w:color w:val="auto"/>
          <w:kern w:val="2"/>
          <w:sz w:val="24"/>
          <w:szCs w:val="24"/>
          <w:lang w:val="en-US" w:eastAsia="zh-CN" w:bidi="ar-SA"/>
        </w:rPr>
        <w:t>新成立不足一个月的公司可以不提供</w:t>
      </w:r>
      <w:r>
        <w:rPr>
          <w:rFonts w:hint="eastAsia"/>
          <w:color w:val="auto"/>
        </w:rPr>
        <w:t>）；</w:t>
      </w:r>
    </w:p>
    <w:p>
      <w:pPr>
        <w:pStyle w:val="17"/>
        <w:spacing w:before="0" w:beforeAutospacing="0" w:after="0" w:afterAutospacing="0" w:line="360" w:lineRule="auto"/>
        <w:ind w:firstLine="480" w:firstLineChars="200"/>
        <w:jc w:val="both"/>
        <w:rPr>
          <w:rFonts w:hint="eastAsia"/>
          <w:color w:val="auto"/>
        </w:rPr>
      </w:pPr>
      <w:r>
        <w:rPr>
          <w:rFonts w:hint="eastAsia" w:ascii="Calibri" w:hAnsi="Calibri" w:eastAsia="宋体" w:cs="Times New Roman"/>
          <w:color w:val="auto"/>
          <w:kern w:val="2"/>
          <w:sz w:val="24"/>
          <w:szCs w:val="24"/>
          <w:lang w:val="en-US" w:eastAsia="zh-CN" w:bidi="ar-SA"/>
        </w:rPr>
        <w:t>（3）具有履行合同所必需的设备和专业技术能力：提供具备履行合同所必需的设备和专业技术能力的承诺函（格式自拟）</w:t>
      </w:r>
    </w:p>
    <w:p>
      <w:pPr>
        <w:pStyle w:val="11"/>
        <w:spacing w:line="560" w:lineRule="exact"/>
        <w:ind w:firstLine="480" w:firstLineChars="2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（4）具有依法缴纳税收和社会保障资金的良好记录。</w:t>
      </w:r>
    </w:p>
    <w:p>
      <w:pPr>
        <w:pStyle w:val="11"/>
        <w:spacing w:line="560" w:lineRule="exact"/>
        <w:ind w:firstLine="240" w:firstLineChars="1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具体要求：提供近半年任意三个月依法缴纳税收及社保的有效证明材料，新成立不足一个月的公司纳税，社保可以不提供；</w:t>
      </w:r>
    </w:p>
    <w:p>
      <w:pPr>
        <w:pStyle w:val="11"/>
        <w:spacing w:line="560" w:lineRule="exact"/>
        <w:ind w:firstLine="480" w:firstLineChars="200"/>
        <w:rPr>
          <w:rFonts w:hint="eastAsia" w:ascii="Calibri" w:hAnsi="Calibri" w:eastAsia="宋体" w:cs="Times New Roman"/>
          <w:color w:val="auto"/>
          <w:kern w:val="2"/>
          <w:sz w:val="24"/>
          <w:szCs w:val="24"/>
          <w:lang w:val="en-US" w:eastAsia="zh-CN" w:bidi="ar-SA"/>
        </w:rPr>
      </w:pPr>
      <w:r>
        <w:rPr>
          <w:rFonts w:hint="eastAsia" w:hAnsi="宋体" w:cs="宋体"/>
          <w:color w:val="auto"/>
          <w:sz w:val="24"/>
          <w:shd w:val="clear" w:color="auto" w:fill="FFFFFF"/>
          <w:lang w:eastAsia="zh-CN"/>
        </w:rPr>
        <w:t>（</w:t>
      </w:r>
      <w:r>
        <w:rPr>
          <w:rFonts w:hint="eastAsia" w:hAnsi="宋体" w:cs="宋体"/>
          <w:color w:val="auto"/>
          <w:sz w:val="24"/>
          <w:shd w:val="clear" w:color="auto" w:fill="FFFFFF"/>
          <w:lang w:val="en-US" w:eastAsia="zh-CN"/>
        </w:rPr>
        <w:t>5）</w:t>
      </w:r>
      <w:r>
        <w:rPr>
          <w:rFonts w:hint="eastAsia" w:ascii="宋体" w:hAnsi="宋体" w:cs="宋体"/>
          <w:color w:val="auto"/>
          <w:sz w:val="24"/>
          <w:shd w:val="clear" w:color="auto" w:fill="FFFFFF"/>
          <w:lang w:eastAsia="zh-CN"/>
        </w:rPr>
        <w:t>参加本次政府采购活动前三年内，在经营活动中没有违法违规记录：提供参加政府采购活动前 3 年内在经营活动中没有重大违法记录的书面声明（</w:t>
      </w:r>
      <w:r>
        <w:rPr>
          <w:rFonts w:hint="eastAsia" w:hAnsi="宋体" w:cs="宋体"/>
          <w:color w:val="auto"/>
          <w:sz w:val="24"/>
          <w:shd w:val="clear" w:color="auto" w:fill="FFFFFF"/>
          <w:lang w:eastAsia="zh-CN"/>
        </w:rPr>
        <w:t>格式自拟</w:t>
      </w:r>
      <w:r>
        <w:rPr>
          <w:rFonts w:hint="eastAsia" w:ascii="宋体" w:hAnsi="宋体" w:cs="宋体"/>
          <w:color w:val="auto"/>
          <w:sz w:val="24"/>
          <w:shd w:val="clear" w:color="auto" w:fill="FFFFFF"/>
          <w:lang w:eastAsia="zh-CN"/>
        </w:rPr>
        <w:t>）</w:t>
      </w:r>
    </w:p>
    <w:p>
      <w:pPr>
        <w:pStyle w:val="38"/>
        <w:numPr>
          <w:ilvl w:val="0"/>
          <w:numId w:val="0"/>
        </w:numPr>
        <w:tabs>
          <w:tab w:val="left" w:pos="1559"/>
        </w:tabs>
        <w:spacing w:before="91" w:after="0" w:line="240" w:lineRule="auto"/>
        <w:ind w:right="0" w:rightChars="0" w:firstLine="480" w:firstLineChars="200"/>
        <w:jc w:val="left"/>
        <w:rPr>
          <w:rFonts w:hint="eastAsia" w:hAnsi="宋体" w:cs="宋体"/>
          <w:color w:val="auto"/>
          <w:kern w:val="0"/>
          <w:sz w:val="24"/>
        </w:rPr>
      </w:pPr>
      <w:r>
        <w:rPr>
          <w:rFonts w:hint="eastAsia" w:ascii="Calibri" w:hAnsi="Calibri" w:eastAsia="宋体" w:cs="Times New Roman"/>
          <w:color w:val="auto"/>
          <w:kern w:val="2"/>
          <w:sz w:val="24"/>
          <w:szCs w:val="24"/>
          <w:lang w:val="en-US" w:eastAsia="zh-CN" w:bidi="ar-SA"/>
        </w:rPr>
        <w:t>（</w:t>
      </w:r>
      <w:r>
        <w:rPr>
          <w:rFonts w:hint="eastAsia" w:ascii="Calibri" w:hAnsi="Calibri" w:cs="Times New Roman"/>
          <w:color w:val="auto"/>
          <w:kern w:val="2"/>
          <w:sz w:val="24"/>
          <w:szCs w:val="24"/>
          <w:lang w:val="en-US" w:eastAsia="zh-CN" w:bidi="ar-SA"/>
        </w:rPr>
        <w:t>6</w:t>
      </w:r>
      <w:r>
        <w:rPr>
          <w:rFonts w:hint="eastAsia" w:ascii="Calibri" w:hAnsi="Calibri" w:eastAsia="宋体" w:cs="Times New Roman"/>
          <w:color w:val="auto"/>
          <w:kern w:val="2"/>
          <w:sz w:val="24"/>
          <w:szCs w:val="24"/>
          <w:lang w:val="en-US" w:eastAsia="zh-CN" w:bidi="ar-SA"/>
        </w:rPr>
        <w:t>）</w:t>
      </w:r>
      <w:r>
        <w:rPr>
          <w:rFonts w:hint="eastAsia" w:cs="宋体"/>
          <w:color w:val="auto"/>
          <w:kern w:val="0"/>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sz w:val="24"/>
          <w:szCs w:val="24"/>
        </w:rPr>
        <w:t>www.creditchina.gov.cn</w:t>
      </w:r>
      <w:r>
        <w:rPr>
          <w:rFonts w:hint="eastAsia" w:cs="宋体"/>
          <w:color w:val="auto"/>
          <w:kern w:val="0"/>
          <w:sz w:val="24"/>
          <w:szCs w:val="24"/>
        </w:rPr>
        <w:fldChar w:fldCharType="end"/>
      </w:r>
      <w:r>
        <w:rPr>
          <w:rFonts w:hint="eastAsia" w:cs="宋体"/>
          <w:color w:val="auto"/>
          <w:kern w:val="0"/>
          <w:sz w:val="24"/>
          <w:szCs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s="宋体"/>
          <w:color w:val="auto"/>
          <w:kern w:val="0"/>
          <w:sz w:val="24"/>
          <w:szCs w:val="24"/>
        </w:rPr>
        <w:t>http://www.ccgp.gov.cn/search/cr/</w:t>
      </w:r>
      <w:r>
        <w:rPr>
          <w:rFonts w:hint="eastAsia" w:cs="宋体"/>
          <w:color w:val="auto"/>
          <w:kern w:val="0"/>
          <w:sz w:val="24"/>
          <w:szCs w:val="24"/>
        </w:rPr>
        <w:fldChar w:fldCharType="end"/>
      </w:r>
      <w:r>
        <w:rPr>
          <w:rFonts w:hint="eastAsia" w:cs="宋体"/>
          <w:color w:val="auto"/>
          <w:kern w:val="0"/>
          <w:sz w:val="24"/>
          <w:szCs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w:t>
      </w:r>
      <w:r>
        <w:rPr>
          <w:rFonts w:hint="eastAsia" w:ascii="宋体" w:cs="宋体"/>
          <w:color w:val="auto"/>
          <w:kern w:val="0"/>
          <w:sz w:val="24"/>
          <w:szCs w:val="24"/>
        </w:rPr>
        <w:t>购买标书当日至开标前一天任一时间</w:t>
      </w:r>
      <w:r>
        <w:rPr>
          <w:rFonts w:hint="eastAsia" w:cs="宋体"/>
          <w:color w:val="auto"/>
          <w:kern w:val="0"/>
          <w:sz w:val="24"/>
          <w:szCs w:val="24"/>
        </w:rPr>
        <w:t>；信用信息查询记录和证据留存方式：投标人提供查询记录截图（制作于标书内）</w:t>
      </w:r>
      <w:r>
        <w:rPr>
          <w:rFonts w:hint="eastAsia" w:hAnsi="宋体" w:cs="宋体"/>
          <w:color w:val="auto"/>
          <w:kern w:val="0"/>
          <w:sz w:val="24"/>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ascii="宋体" w:hAnsi="宋体" w:eastAsia="宋体" w:cs="宋体"/>
          <w:color w:val="auto"/>
          <w:sz w:val="24"/>
          <w:szCs w:val="24"/>
        </w:rPr>
      </w:pPr>
      <w:r>
        <w:rPr>
          <w:rFonts w:hint="eastAsia" w:ascii="宋体" w:hAnsi="宋体" w:cs="宋体" w:eastAsiaTheme="minorEastAsia"/>
          <w:color w:val="auto"/>
          <w:kern w:val="0"/>
          <w:sz w:val="24"/>
          <w:szCs w:val="20"/>
          <w:shd w:val="clear" w:color="auto" w:fill="FFFFFF"/>
          <w:lang w:val="en-US" w:eastAsia="zh-CN" w:bidi="ar-SA"/>
        </w:rPr>
        <w:t>⑦</w:t>
      </w:r>
      <w:r>
        <w:rPr>
          <w:rFonts w:hint="eastAsia" w:hAnsi="宋体" w:eastAsia="宋体" w:cs="宋体"/>
          <w:color w:val="auto"/>
          <w:sz w:val="24"/>
          <w:szCs w:val="24"/>
          <w:lang w:eastAsia="zh-CN"/>
        </w:rPr>
        <w:t>供应商</w:t>
      </w:r>
      <w:r>
        <w:rPr>
          <w:rFonts w:ascii="宋体" w:hAnsi="宋体" w:eastAsia="宋体" w:cs="宋体"/>
          <w:color w:val="auto"/>
          <w:sz w:val="24"/>
          <w:szCs w:val="24"/>
        </w:rPr>
        <w:t>为制造商的需提供医疗器械生产许可证，</w:t>
      </w:r>
      <w:r>
        <w:rPr>
          <w:rFonts w:hint="eastAsia" w:hAnsi="宋体" w:eastAsia="宋体" w:cs="宋体"/>
          <w:color w:val="auto"/>
          <w:sz w:val="24"/>
          <w:szCs w:val="24"/>
          <w:lang w:eastAsia="zh-CN"/>
        </w:rPr>
        <w:t>供应商</w:t>
      </w:r>
      <w:r>
        <w:rPr>
          <w:rFonts w:ascii="宋体" w:hAnsi="宋体" w:eastAsia="宋体" w:cs="宋体"/>
          <w:color w:val="auto"/>
          <w:sz w:val="24"/>
          <w:szCs w:val="24"/>
        </w:rPr>
        <w:t>为代理商的须提供医疗器械经营许可证或医疗器械经营许可备案证明；</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hAnsi="宋体" w:eastAsia="宋体" w:cs="宋体"/>
          <w:color w:val="auto"/>
          <w:sz w:val="24"/>
          <w:szCs w:val="24"/>
          <w:lang w:eastAsia="zh-CN"/>
        </w:rPr>
      </w:pPr>
      <w:r>
        <w:rPr>
          <w:rFonts w:hint="eastAsia" w:hAnsi="宋体" w:cs="宋体"/>
          <w:bCs/>
          <w:color w:val="auto"/>
          <w:sz w:val="24"/>
          <w:szCs w:val="24"/>
          <w:lang w:eastAsia="zh-CN"/>
        </w:rPr>
        <w:t>⑧</w:t>
      </w:r>
      <w:r>
        <w:rPr>
          <w:rFonts w:ascii="宋体" w:hAnsi="宋体" w:eastAsia="宋体" w:cs="宋体"/>
          <w:color w:val="auto"/>
          <w:sz w:val="24"/>
          <w:szCs w:val="24"/>
        </w:rPr>
        <w:t>投标产品为医疗器械的须提供医疗器械注册登记表</w:t>
      </w:r>
      <w:r>
        <w:rPr>
          <w:rFonts w:hint="eastAsia"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hAnsi="宋体" w:cs="宋体"/>
          <w:bCs/>
          <w:color w:val="auto"/>
          <w:sz w:val="24"/>
          <w:szCs w:val="24"/>
          <w:lang w:val="en-US" w:eastAsia="zh-CN"/>
        </w:rPr>
      </w:pPr>
      <w:r>
        <w:rPr>
          <w:rFonts w:hint="eastAsia" w:hAnsi="宋体" w:cs="宋体"/>
          <w:bCs/>
          <w:color w:val="auto"/>
          <w:sz w:val="24"/>
          <w:szCs w:val="24"/>
          <w:lang w:val="en-US" w:eastAsia="zh-CN"/>
        </w:rPr>
        <w:t>⑨</w:t>
      </w:r>
      <w:r>
        <w:rPr>
          <w:rFonts w:hint="eastAsia"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包</w:t>
      </w:r>
      <w:r>
        <w:rPr>
          <w:rFonts w:ascii="宋体" w:hAnsi="宋体" w:eastAsia="宋体" w:cs="宋体"/>
          <w:color w:val="auto"/>
          <w:sz w:val="24"/>
          <w:szCs w:val="24"/>
        </w:rPr>
        <w:t>还需提供CT制造商或其中国境内总代理商出具的针对本项目的销售授权书及售后服务承诺函</w:t>
      </w:r>
    </w:p>
    <w:p>
      <w:pPr>
        <w:pStyle w:val="38"/>
        <w:numPr>
          <w:ilvl w:val="0"/>
          <w:numId w:val="0"/>
        </w:numPr>
        <w:tabs>
          <w:tab w:val="left" w:pos="1559"/>
        </w:tabs>
        <w:spacing w:before="91" w:after="0" w:line="240" w:lineRule="auto"/>
        <w:ind w:right="0" w:rightChars="0" w:firstLine="480" w:firstLineChars="200"/>
        <w:jc w:val="left"/>
        <w:rPr>
          <w:rFonts w:hint="eastAsia" w:hAnsi="宋体" w:cs="宋体"/>
          <w:color w:val="auto"/>
          <w:kern w:val="0"/>
          <w:sz w:val="24"/>
        </w:rPr>
      </w:pPr>
    </w:p>
    <w:p>
      <w:pPr>
        <w:spacing w:line="440" w:lineRule="exact"/>
        <w:ind w:firstLine="480" w:firstLineChars="200"/>
        <w:rPr>
          <w:rFonts w:ascii="宋体" w:hAnsi="宋体"/>
          <w:color w:val="auto"/>
          <w:sz w:val="24"/>
        </w:rPr>
      </w:pPr>
      <w:r>
        <w:rPr>
          <w:rFonts w:hint="eastAsia" w:ascii="宋体" w:hAnsi="宋体"/>
          <w:color w:val="auto"/>
          <w:sz w:val="24"/>
        </w:rPr>
        <w:t xml:space="preserve">17.3谈判小组将对响应文件进行审查，以确定响应文件是否完整、有无计算上的错误、是否提交了谈判保证金、文件是否已正确签署。 </w:t>
      </w:r>
    </w:p>
    <w:p>
      <w:pPr>
        <w:spacing w:line="440" w:lineRule="exact"/>
        <w:ind w:firstLine="480" w:firstLineChars="200"/>
        <w:rPr>
          <w:rFonts w:ascii="宋体" w:hAnsi="宋体"/>
          <w:color w:val="auto"/>
          <w:sz w:val="24"/>
        </w:rPr>
      </w:pPr>
      <w:r>
        <w:rPr>
          <w:rFonts w:hint="eastAsia" w:ascii="宋体" w:hAnsi="宋体"/>
          <w:color w:val="auto"/>
          <w:sz w:val="24"/>
        </w:rPr>
        <w:t>17.4 算术错误将按以下方法更正：</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auto"/>
          <w:sz w:val="24"/>
        </w:rPr>
        <w:t>(1)响应文件中报价一览表内容与响应文件中明细表内容</w:t>
      </w:r>
      <w:r>
        <w:rPr>
          <w:rFonts w:hint="eastAsia" w:ascii="宋体" w:hAnsi="宋体"/>
          <w:color w:val="000000" w:themeColor="text1"/>
          <w:sz w:val="24"/>
          <w14:textFill>
            <w14:solidFill>
              <w14:schemeClr w14:val="tx1"/>
            </w14:solidFill>
          </w14:textFill>
        </w:rPr>
        <w:t>不一致的，以报价一览表为准。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如果谈判响应供应商不接受按上述方法对响应文件中的算术错误进行更正，其响应将被拒绝并没收其谈判保证金。</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17.5</w:t>
      </w:r>
      <w:r>
        <w:rPr>
          <w:rFonts w:hint="eastAsia" w:ascii="宋体" w:hAnsi="宋体"/>
          <w:color w:val="000000" w:themeColor="text1"/>
          <w:sz w:val="24"/>
          <w:szCs w:val="18"/>
          <w14:textFill>
            <w14:solidFill>
              <w14:schemeClr w14:val="tx1"/>
            </w14:solidFill>
          </w14:textFill>
        </w:rPr>
        <w:t>资格性检查和符合性检查</w:t>
      </w:r>
      <w:r>
        <w:rPr>
          <w:rFonts w:hint="eastAsia" w:ascii="宋体" w:hAnsi="宋体"/>
          <w:color w:val="000000" w:themeColor="text1"/>
          <w:sz w:val="24"/>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17.5.1</w:t>
      </w:r>
      <w:r>
        <w:rPr>
          <w:rFonts w:hint="eastAsia" w:ascii="宋体" w:hAnsi="宋体"/>
          <w:color w:val="000000" w:themeColor="text1"/>
          <w:sz w:val="24"/>
          <w:szCs w:val="18"/>
          <w14:textFill>
            <w14:solidFill>
              <w14:schemeClr w14:val="tx1"/>
            </w14:solidFill>
          </w14:textFill>
        </w:rPr>
        <w:t>资格性检查。依据法律法规和谈判文件的规定，</w:t>
      </w:r>
      <w:r>
        <w:rPr>
          <w:rFonts w:hint="eastAsia" w:ascii="宋体" w:hAnsi="宋体"/>
          <w:color w:val="000000" w:themeColor="text1"/>
          <w:sz w:val="24"/>
          <w14:textFill>
            <w14:solidFill>
              <w14:schemeClr w14:val="tx1"/>
            </w14:solidFill>
          </w14:textFill>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14:textFill>
            <w14:solidFill>
              <w14:schemeClr w14:val="tx1"/>
            </w14:solidFill>
          </w14:textFill>
        </w:rPr>
        <w:t xml:space="preserve">进行资格审查, </w:t>
      </w:r>
      <w:r>
        <w:rPr>
          <w:rFonts w:hint="eastAsia" w:ascii="宋体" w:hAnsi="宋体"/>
          <w:color w:val="000000" w:themeColor="text1"/>
          <w:sz w:val="24"/>
          <w14:textFill>
            <w14:solidFill>
              <w14:schemeClr w14:val="tx1"/>
            </w14:solidFill>
          </w14:textFill>
        </w:rPr>
        <w:t>以确定其</w:t>
      </w:r>
      <w:r>
        <w:rPr>
          <w:rFonts w:hint="eastAsia" w:ascii="宋体" w:hAnsi="宋体"/>
          <w:color w:val="000000" w:themeColor="text1"/>
          <w:sz w:val="24"/>
          <w:szCs w:val="18"/>
          <w14:textFill>
            <w14:solidFill>
              <w14:schemeClr w14:val="tx1"/>
            </w14:solidFill>
          </w14:textFill>
        </w:rPr>
        <w:t>是否具备谈判资格</w:t>
      </w:r>
      <w:r>
        <w:rPr>
          <w:rFonts w:hint="eastAsia" w:ascii="宋体" w:hAnsi="宋体"/>
          <w:color w:val="000000" w:themeColor="text1"/>
          <w:sz w:val="24"/>
          <w14:textFill>
            <w14:solidFill>
              <w14:schemeClr w14:val="tx1"/>
            </w14:solidFill>
          </w14:textFill>
        </w:rPr>
        <w:t>。如果谈判响应供应商不具备谈判资格，不满足谈判文件所规定的资格标准或提供资格证明文件不全的, 其谈判响应将被拒绝。</w:t>
      </w:r>
    </w:p>
    <w:p>
      <w:pPr>
        <w:spacing w:line="440" w:lineRule="exact"/>
        <w:ind w:left="31" w:leftChars="15"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5.2</w:t>
      </w:r>
      <w:r>
        <w:rPr>
          <w:rFonts w:hint="eastAsia" w:ascii="宋体" w:hAnsi="宋体"/>
          <w:color w:val="000000" w:themeColor="text1"/>
          <w:sz w:val="24"/>
          <w:szCs w:val="18"/>
          <w14:textFill>
            <w14:solidFill>
              <w14:schemeClr w14:val="tx1"/>
            </w14:solidFill>
          </w14:textFill>
        </w:rPr>
        <w:t>符合性检查。依据</w:t>
      </w:r>
      <w:r>
        <w:rPr>
          <w:rFonts w:hint="eastAsia" w:hAnsi="宋体"/>
          <w:color w:val="000000" w:themeColor="text1"/>
          <w:sz w:val="24"/>
          <w:szCs w:val="18"/>
          <w14:textFill>
            <w14:solidFill>
              <w14:schemeClr w14:val="tx1"/>
            </w14:solidFill>
          </w14:textFill>
        </w:rPr>
        <w:t>谈判</w:t>
      </w:r>
      <w:r>
        <w:rPr>
          <w:rFonts w:hint="eastAsia" w:ascii="宋体" w:hAnsi="宋体"/>
          <w:color w:val="000000" w:themeColor="text1"/>
          <w:sz w:val="24"/>
          <w:szCs w:val="18"/>
          <w14:textFill>
            <w14:solidFill>
              <w14:schemeClr w14:val="tx1"/>
            </w14:solidFill>
          </w14:textFill>
        </w:rPr>
        <w:t>文件的规定，</w:t>
      </w:r>
      <w:r>
        <w:rPr>
          <w:rFonts w:hint="eastAsia" w:hAnsi="宋体"/>
          <w:color w:val="000000" w:themeColor="text1"/>
          <w:sz w:val="24"/>
          <w14:textFill>
            <w14:solidFill>
              <w14:schemeClr w14:val="tx1"/>
            </w14:solidFill>
          </w14:textFill>
        </w:rPr>
        <w:t>谈判小组</w:t>
      </w:r>
      <w:r>
        <w:rPr>
          <w:rFonts w:hint="eastAsia" w:ascii="宋体" w:hAnsi="宋体"/>
          <w:color w:val="000000" w:themeColor="text1"/>
          <w:sz w:val="24"/>
          <w14:textFill>
            <w14:solidFill>
              <w14:schemeClr w14:val="tx1"/>
            </w14:solidFill>
          </w14:textFill>
        </w:rPr>
        <w:t>还将</w:t>
      </w:r>
      <w:r>
        <w:rPr>
          <w:rFonts w:hint="eastAsia" w:ascii="宋体" w:hAnsi="宋体"/>
          <w:color w:val="000000" w:themeColor="text1"/>
          <w:sz w:val="24"/>
          <w:szCs w:val="18"/>
          <w14:textFill>
            <w14:solidFill>
              <w14:schemeClr w14:val="tx1"/>
            </w14:solidFill>
          </w14:textFill>
        </w:rPr>
        <w:t>从</w:t>
      </w:r>
      <w:r>
        <w:rPr>
          <w:rFonts w:hint="eastAsia" w:hAnsi="宋体"/>
          <w:color w:val="000000" w:themeColor="text1"/>
          <w:sz w:val="24"/>
          <w:szCs w:val="18"/>
          <w14:textFill>
            <w14:solidFill>
              <w14:schemeClr w14:val="tx1"/>
            </w14:solidFill>
          </w14:textFill>
        </w:rPr>
        <w:t>响应文件</w:t>
      </w:r>
      <w:r>
        <w:rPr>
          <w:rFonts w:hint="eastAsia" w:ascii="宋体" w:hAnsi="宋体"/>
          <w:color w:val="000000" w:themeColor="text1"/>
          <w:sz w:val="24"/>
          <w:szCs w:val="18"/>
          <w14:textFill>
            <w14:solidFill>
              <w14:schemeClr w14:val="tx1"/>
            </w14:solidFill>
          </w14:textFill>
        </w:rPr>
        <w:t>的有效性、完整性和对</w:t>
      </w:r>
      <w:r>
        <w:rPr>
          <w:rFonts w:hint="eastAsia" w:hAnsi="宋体"/>
          <w:color w:val="000000" w:themeColor="text1"/>
          <w:sz w:val="24"/>
          <w:szCs w:val="18"/>
          <w14:textFill>
            <w14:solidFill>
              <w14:schemeClr w14:val="tx1"/>
            </w14:solidFill>
          </w14:textFill>
        </w:rPr>
        <w:t>谈判</w:t>
      </w:r>
      <w:r>
        <w:rPr>
          <w:rFonts w:hint="eastAsia" w:ascii="宋体" w:hAnsi="宋体"/>
          <w:color w:val="000000" w:themeColor="text1"/>
          <w:sz w:val="24"/>
          <w:szCs w:val="18"/>
          <w14:textFill>
            <w14:solidFill>
              <w14:schemeClr w14:val="tx1"/>
            </w14:solidFill>
          </w14:textFill>
        </w:rPr>
        <w:t>文件的响应程度进行审查，以确定其是否符合对</w:t>
      </w:r>
      <w:r>
        <w:rPr>
          <w:rFonts w:hint="eastAsia" w:hAnsi="宋体"/>
          <w:color w:val="000000" w:themeColor="text1"/>
          <w:sz w:val="24"/>
          <w:szCs w:val="18"/>
          <w14:textFill>
            <w14:solidFill>
              <w14:schemeClr w14:val="tx1"/>
            </w14:solidFill>
          </w14:textFill>
        </w:rPr>
        <w:t>谈判文件的实质性要求作出响应。（采购人可根据具体项目的情况对实质性要求作特别的规定。）</w:t>
      </w:r>
      <w:r>
        <w:rPr>
          <w:rFonts w:hint="eastAsia" w:ascii="宋体" w:hAnsi="宋体"/>
          <w:color w:val="000000" w:themeColor="text1"/>
          <w:sz w:val="24"/>
          <w14:textFill>
            <w14:solidFill>
              <w14:schemeClr w14:val="tx1"/>
            </w14:solidFill>
          </w14:textFill>
        </w:rPr>
        <w:t>实质性偏离是指：</w:t>
      </w:r>
      <w:r>
        <w:rPr>
          <w:rFonts w:hint="eastAsia"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实质性影响合同的范围、质量和履行；</w:t>
      </w:r>
      <w:r>
        <w:rPr>
          <w:rFonts w:hint="eastAsia"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实质性违背谈判文件，限制了采购人的权利和成交供应商合同项下的义务；</w:t>
      </w:r>
      <w:r>
        <w:rPr>
          <w:rFonts w:hint="eastAsia"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(1)谈判响应文件未按照本须知规定进行密封、标记的；</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(2)未按规定由谈判响应供应商的法定代表人或其授权代表签字；或未加盖谈判响应供应商公章的；或签字人未提供法定代表人有效授权委托书的；</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(3)未按规定提交谈判保证金的；</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(4)谈判响应有效期不满足谈判文件要求的；</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(5)响应文件内容与谈判文件内容及要求有重大偏离或保留的；</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sz w:val="24"/>
          <w:lang w:eastAsia="zh-CN"/>
          <w14:textFill>
            <w14:solidFill>
              <w14:schemeClr w14:val="tx1"/>
            </w14:solidFill>
          </w14:textFill>
        </w:rPr>
        <w:t>同一供应商提交两个及以上不同的响应文件或者投标报价，未声明哪一个响应文件及报价有效的；</w:t>
      </w:r>
      <w:r>
        <w:rPr>
          <w:rFonts w:hint="eastAsia" w:ascii="宋体" w:hAnsi="宋体"/>
          <w:color w:val="000000" w:themeColor="text1"/>
          <w:sz w:val="24"/>
          <w14:textFill>
            <w14:solidFill>
              <w14:schemeClr w14:val="tx1"/>
            </w14:solidFill>
          </w14:textFill>
        </w:rPr>
        <w:t>；</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(7)谈判响应供应商未按谈判文件要求进行分项报价；</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(8)响应文件中提供虚假或失实资料的；</w:t>
      </w:r>
    </w:p>
    <w:p>
      <w:pPr>
        <w:spacing w:line="440" w:lineRule="exact"/>
        <w:ind w:left="6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(9)不符合谈判文件中规定的其它实质性条款。 </w:t>
      </w:r>
    </w:p>
    <w:p>
      <w:pPr>
        <w:spacing w:line="440" w:lineRule="exact"/>
        <w:ind w:left="69" w:leftChars="33" w:firstLine="480" w:firstLineChars="200"/>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谈判小组决定报价的响应性只根据响应文件本身的内容，而不寻求其他的外部证据。</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17.6</w:t>
      </w:r>
      <w:r>
        <w:rPr>
          <w:rFonts w:hAnsi="宋体"/>
          <w:color w:val="000000" w:themeColor="text1"/>
          <w:sz w:val="24"/>
          <w14:textFill>
            <w14:solidFill>
              <w14:schemeClr w14:val="tx1"/>
            </w14:solidFill>
          </w14:textFill>
        </w:rPr>
        <w:t>谈判响应供应商提交的响应文件将给予保密，但不予退回。</w:t>
      </w:r>
    </w:p>
    <w:p>
      <w:pPr>
        <w:pStyle w:val="8"/>
        <w:snapToGrid w:val="0"/>
        <w:spacing w:line="440" w:lineRule="exact"/>
        <w:ind w:firstLine="480" w:firstLineChars="200"/>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17.7谈判响应供应商资格和报价产品均必须满足中华人民共和国相关法律法规及行业的强制性要求，否则将作无效响应处理。</w:t>
      </w:r>
    </w:p>
    <w:p>
      <w:pPr>
        <w:pStyle w:val="8"/>
        <w:snapToGrid w:val="0"/>
        <w:spacing w:line="440" w:lineRule="exact"/>
        <w:ind w:firstLine="0"/>
        <w:outlineLvl w:val="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18.谈判相应文件的澄清</w:t>
      </w:r>
    </w:p>
    <w:p>
      <w:pPr>
        <w:pStyle w:val="8"/>
        <w:snapToGrid w:val="0"/>
        <w:spacing w:line="440" w:lineRule="exact"/>
        <w:ind w:firstLine="480" w:firstLineChars="200"/>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19</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比较与评价</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19</w:t>
      </w:r>
      <w:r>
        <w:rPr>
          <w:rFonts w:hAnsi="宋体"/>
          <w:color w:val="000000" w:themeColor="text1"/>
          <w:sz w:val="24"/>
          <w14:textFill>
            <w14:solidFill>
              <w14:schemeClr w14:val="tx1"/>
            </w14:solidFill>
          </w14:textFill>
        </w:rPr>
        <w:t xml:space="preserve">.1 </w:t>
      </w:r>
      <w:r>
        <w:rPr>
          <w:rFonts w:hint="eastAsia" w:hAnsi="宋体"/>
          <w:color w:val="000000" w:themeColor="text1"/>
          <w:sz w:val="24"/>
          <w14:textFill>
            <w14:solidFill>
              <w14:schemeClr w14:val="tx1"/>
            </w14:solidFill>
          </w14:textFill>
        </w:rPr>
        <w:t>本次谈判采用最低价评标法。</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40" w:lineRule="exact"/>
        <w:ind w:firstLine="480" w:firstLine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19</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numPr>
          <w:ilvl w:val="0"/>
          <w:numId w:val="4"/>
        </w:numPr>
        <w:spacing w:line="440" w:lineRule="exact"/>
        <w:jc w:val="left"/>
        <w:rPr>
          <w:b/>
          <w:color w:val="auto"/>
          <w:sz w:val="24"/>
        </w:rPr>
      </w:pPr>
      <w:r>
        <w:rPr>
          <w:b/>
          <w:color w:val="auto"/>
          <w:sz w:val="24"/>
        </w:rPr>
        <w:t>废标原则</w:t>
      </w:r>
    </w:p>
    <w:p>
      <w:pPr>
        <w:pStyle w:val="11"/>
        <w:numPr>
          <w:ilvl w:val="0"/>
          <w:numId w:val="0"/>
        </w:numPr>
        <w:spacing w:line="440" w:lineRule="exact"/>
        <w:jc w:val="left"/>
        <w:rPr>
          <w:rFonts w:ascii="宋体" w:hAnsi="宋体" w:eastAsia="宋体" w:cs="宋体"/>
          <w:color w:val="auto"/>
          <w:kern w:val="2"/>
          <w:sz w:val="24"/>
          <w:szCs w:val="22"/>
          <w:lang w:val="zh-CN" w:eastAsia="zh-CN" w:bidi="zh-CN"/>
        </w:rPr>
      </w:pPr>
      <w:r>
        <w:rPr>
          <w:rFonts w:ascii="宋体" w:hAnsi="宋体" w:eastAsia="宋体" w:cs="宋体"/>
          <w:color w:val="auto"/>
          <w:kern w:val="2"/>
          <w:sz w:val="24"/>
          <w:szCs w:val="22"/>
          <w:lang w:val="zh-CN" w:eastAsia="zh-CN" w:bidi="zh-CN"/>
        </w:rPr>
        <w:t>出现下列情况之一的，应予废标</w:t>
      </w:r>
    </w:p>
    <w:p>
      <w:pPr>
        <w:pStyle w:val="38"/>
        <w:numPr>
          <w:ilvl w:val="0"/>
          <w:numId w:val="0"/>
        </w:numPr>
        <w:tabs>
          <w:tab w:val="left" w:pos="1443"/>
        </w:tabs>
        <w:spacing w:before="158" w:after="0" w:line="240" w:lineRule="auto"/>
        <w:ind w:right="0" w:rightChars="0"/>
        <w:jc w:val="both"/>
        <w:rPr>
          <w:color w:val="auto"/>
          <w:sz w:val="24"/>
        </w:rPr>
      </w:pPr>
      <w:r>
        <w:rPr>
          <w:rFonts w:hint="eastAsia"/>
          <w:color w:val="auto"/>
          <w:sz w:val="24"/>
          <w:lang w:val="en-US" w:eastAsia="zh-CN"/>
        </w:rPr>
        <w:t>20.1</w:t>
      </w:r>
      <w:r>
        <w:rPr>
          <w:color w:val="auto"/>
          <w:sz w:val="24"/>
        </w:rPr>
        <w:t>截止报名时间，报名供应商不足三家的；</w:t>
      </w:r>
    </w:p>
    <w:p>
      <w:pPr>
        <w:pStyle w:val="38"/>
        <w:numPr>
          <w:ilvl w:val="0"/>
          <w:numId w:val="0"/>
        </w:numPr>
        <w:tabs>
          <w:tab w:val="left" w:pos="1445"/>
        </w:tabs>
        <w:spacing w:before="160" w:after="0" w:line="364" w:lineRule="auto"/>
        <w:ind w:right="317" w:rightChars="0"/>
        <w:jc w:val="both"/>
        <w:rPr>
          <w:color w:val="auto"/>
          <w:sz w:val="24"/>
        </w:rPr>
      </w:pPr>
      <w:r>
        <w:rPr>
          <w:rFonts w:hint="eastAsia"/>
          <w:color w:val="auto"/>
          <w:spacing w:val="3"/>
          <w:sz w:val="24"/>
          <w:lang w:val="en-US" w:eastAsia="zh-CN"/>
        </w:rPr>
        <w:t>20.2</w:t>
      </w:r>
      <w:r>
        <w:rPr>
          <w:color w:val="auto"/>
          <w:spacing w:val="3"/>
          <w:sz w:val="24"/>
        </w:rPr>
        <w:t>符合专业条件的供应商或者对</w:t>
      </w:r>
      <w:r>
        <w:rPr>
          <w:rFonts w:hint="eastAsia"/>
          <w:color w:val="auto"/>
          <w:spacing w:val="3"/>
          <w:sz w:val="24"/>
          <w:lang w:eastAsia="zh-CN"/>
        </w:rPr>
        <w:t>谈判</w:t>
      </w:r>
      <w:r>
        <w:rPr>
          <w:color w:val="auto"/>
          <w:spacing w:val="3"/>
          <w:sz w:val="24"/>
        </w:rPr>
        <w:t>文件作实质响应的供应商不足三家的；</w:t>
      </w:r>
    </w:p>
    <w:p>
      <w:pPr>
        <w:pStyle w:val="38"/>
        <w:numPr>
          <w:ilvl w:val="0"/>
          <w:numId w:val="0"/>
        </w:numPr>
        <w:tabs>
          <w:tab w:val="left" w:pos="1443"/>
        </w:tabs>
        <w:spacing w:before="0" w:after="0" w:line="306" w:lineRule="exact"/>
        <w:ind w:right="0" w:rightChars="0"/>
        <w:jc w:val="both"/>
        <w:rPr>
          <w:color w:val="auto"/>
          <w:sz w:val="24"/>
        </w:rPr>
      </w:pPr>
      <w:r>
        <w:rPr>
          <w:rFonts w:hint="eastAsia"/>
          <w:color w:val="auto"/>
          <w:sz w:val="24"/>
          <w:lang w:val="en-US" w:eastAsia="zh-CN"/>
        </w:rPr>
        <w:t>20.3</w:t>
      </w:r>
      <w:r>
        <w:rPr>
          <w:color w:val="auto"/>
          <w:sz w:val="24"/>
        </w:rPr>
        <w:t>出现影响采购公正的违法、违规行为的；</w:t>
      </w:r>
    </w:p>
    <w:p>
      <w:pPr>
        <w:pStyle w:val="38"/>
        <w:numPr>
          <w:ilvl w:val="0"/>
          <w:numId w:val="0"/>
        </w:numPr>
        <w:tabs>
          <w:tab w:val="left" w:pos="1443"/>
        </w:tabs>
        <w:spacing w:before="161" w:after="0" w:line="240" w:lineRule="auto"/>
        <w:ind w:right="0" w:rightChars="0"/>
        <w:jc w:val="both"/>
        <w:rPr>
          <w:color w:val="auto"/>
          <w:sz w:val="24"/>
        </w:rPr>
      </w:pPr>
      <w:r>
        <w:rPr>
          <w:rFonts w:hint="eastAsia"/>
          <w:color w:val="auto"/>
          <w:sz w:val="24"/>
          <w:lang w:val="en-US" w:eastAsia="zh-CN"/>
        </w:rPr>
        <w:t>20.4</w:t>
      </w:r>
      <w:r>
        <w:rPr>
          <w:color w:val="auto"/>
          <w:sz w:val="24"/>
        </w:rPr>
        <w:t>谈判响应供应商的投标总价均超过了采购预算价，采购人不能支付的；</w:t>
      </w:r>
    </w:p>
    <w:p>
      <w:pPr>
        <w:pStyle w:val="38"/>
        <w:numPr>
          <w:ilvl w:val="0"/>
          <w:numId w:val="0"/>
        </w:numPr>
        <w:tabs>
          <w:tab w:val="left" w:pos="1443"/>
        </w:tabs>
        <w:spacing w:before="158" w:after="0" w:line="240" w:lineRule="auto"/>
        <w:ind w:right="0" w:rightChars="0"/>
        <w:jc w:val="both"/>
        <w:rPr>
          <w:color w:val="auto"/>
          <w:sz w:val="24"/>
        </w:rPr>
      </w:pPr>
      <w:r>
        <w:rPr>
          <w:rFonts w:hint="eastAsia"/>
          <w:color w:val="auto"/>
          <w:sz w:val="24"/>
          <w:lang w:val="en-US" w:eastAsia="zh-CN"/>
        </w:rPr>
        <w:t>20.5</w:t>
      </w:r>
      <w:r>
        <w:rPr>
          <w:color w:val="auto"/>
          <w:sz w:val="24"/>
        </w:rPr>
        <w:t>因不可抗力导致重大变故，采购任务取消的。</w:t>
      </w:r>
    </w:p>
    <w:p>
      <w:pPr>
        <w:pStyle w:val="38"/>
        <w:numPr>
          <w:ilvl w:val="0"/>
          <w:numId w:val="0"/>
        </w:numPr>
        <w:tabs>
          <w:tab w:val="left" w:pos="1443"/>
        </w:tabs>
        <w:spacing w:before="160" w:after="0" w:line="240" w:lineRule="auto"/>
        <w:ind w:right="0" w:rightChars="0"/>
        <w:jc w:val="both"/>
        <w:rPr>
          <w:color w:val="auto"/>
          <w:sz w:val="24"/>
        </w:rPr>
      </w:pPr>
      <w:r>
        <w:rPr>
          <w:rFonts w:hint="eastAsia"/>
          <w:color w:val="auto"/>
          <w:sz w:val="24"/>
          <w:lang w:val="en-US" w:eastAsia="zh-CN"/>
        </w:rPr>
        <w:t>20.6</w:t>
      </w:r>
      <w:r>
        <w:rPr>
          <w:color w:val="auto"/>
          <w:sz w:val="24"/>
        </w:rPr>
        <w:t>符合采购文件其他规定情形的。</w:t>
      </w:r>
    </w:p>
    <w:p>
      <w:pPr>
        <w:pStyle w:val="6"/>
        <w:numPr>
          <w:ilvl w:val="0"/>
          <w:numId w:val="0"/>
        </w:numPr>
        <w:tabs>
          <w:tab w:val="left" w:pos="1321"/>
        </w:tabs>
        <w:spacing w:before="0" w:after="0" w:line="240" w:lineRule="auto"/>
        <w:ind w:right="0" w:rightChars="0"/>
        <w:jc w:val="left"/>
      </w:pPr>
    </w:p>
    <w:p>
      <w:pPr>
        <w:pStyle w:val="6"/>
        <w:numPr>
          <w:ilvl w:val="0"/>
          <w:numId w:val="0"/>
        </w:numPr>
        <w:tabs>
          <w:tab w:val="left" w:pos="1321"/>
        </w:tabs>
        <w:spacing w:before="0" w:after="0" w:line="240" w:lineRule="auto"/>
        <w:ind w:right="0" w:rightChars="0"/>
        <w:jc w:val="left"/>
        <w:rPr>
          <w:color w:val="FF0000"/>
          <w:sz w:val="22"/>
        </w:rPr>
      </w:pPr>
      <w:r>
        <w:rPr>
          <w:rFonts w:hint="eastAsia"/>
          <w:lang w:val="en-US" w:eastAsia="zh-CN"/>
        </w:rPr>
        <w:t>21.</w:t>
      </w:r>
      <w:r>
        <w:t>质疑与投诉</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olor w:val="000000"/>
          <w:sz w:val="24"/>
          <w:lang w:val="en-US" w:eastAsia="zh-CN"/>
        </w:rPr>
        <w:t>21.1</w:t>
      </w:r>
      <w:r>
        <w:rPr>
          <w:rFonts w:hint="eastAsia" w:ascii="宋体" w:hAnsi="宋体" w:eastAsia="宋体" w:cs="宋体"/>
          <w:color w:val="auto"/>
          <w:kern w:val="2"/>
          <w:sz w:val="24"/>
          <w:szCs w:val="22"/>
          <w:lang w:val="zh-CN" w:eastAsia="zh-CN" w:bidi="zh-CN"/>
        </w:rPr>
        <w:t>供应商认为谈判文件、采购过程和中标结果使自己的权益受到损害的，可以在知道或者应知其权益受到损害之日起七个工作日内，以书面原件形式向采购人或代理机构提出质疑，逾期质疑无效。</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21.2</w:t>
      </w:r>
      <w:r>
        <w:rPr>
          <w:rFonts w:hint="eastAsia" w:ascii="宋体" w:hAnsi="宋体" w:eastAsia="宋体" w:cs="宋体"/>
          <w:color w:val="auto"/>
          <w:kern w:val="2"/>
          <w:sz w:val="24"/>
          <w:szCs w:val="22"/>
          <w:lang w:val="zh-CN" w:eastAsia="zh-CN" w:bidi="zh-CN"/>
        </w:rPr>
        <w:t>供应商应知其权益受到损害之日是指：对谈判文件提出质疑的，为收到谈判文件之日或者谈判文件公告期限届满之日；</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21.2.1</w:t>
      </w:r>
      <w:r>
        <w:rPr>
          <w:rFonts w:hint="eastAsia" w:ascii="宋体" w:hAnsi="宋体" w:eastAsia="宋体" w:cs="宋体"/>
          <w:color w:val="auto"/>
          <w:kern w:val="2"/>
          <w:sz w:val="24"/>
          <w:szCs w:val="22"/>
          <w:lang w:val="zh-CN" w:eastAsia="zh-CN" w:bidi="zh-CN"/>
        </w:rPr>
        <w:t>对采购过程提出质疑的，为各采购程序环节结束之日；</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21.2.2</w:t>
      </w:r>
      <w:r>
        <w:rPr>
          <w:rFonts w:hint="eastAsia" w:ascii="宋体" w:hAnsi="宋体" w:eastAsia="宋体" w:cs="宋体"/>
          <w:color w:val="auto"/>
          <w:kern w:val="2"/>
          <w:sz w:val="24"/>
          <w:szCs w:val="22"/>
          <w:lang w:val="zh-CN" w:eastAsia="zh-CN" w:bidi="zh-CN"/>
        </w:rPr>
        <w:t>对中标结果提出质疑的，为中标结果公告发布之日。</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 xml:space="preserve"> </w:t>
      </w:r>
      <w:r>
        <w:rPr>
          <w:rFonts w:hint="eastAsia" w:ascii="宋体" w:hAnsi="宋体" w:eastAsia="宋体" w:cs="宋体"/>
          <w:color w:val="auto"/>
          <w:kern w:val="2"/>
          <w:sz w:val="24"/>
          <w:szCs w:val="22"/>
          <w:lang w:val="en-US" w:eastAsia="zh-CN" w:bidi="zh-CN"/>
        </w:rPr>
        <w:t>21.3</w:t>
      </w:r>
      <w:r>
        <w:rPr>
          <w:rFonts w:hint="eastAsia" w:ascii="宋体" w:hAnsi="宋体" w:eastAsia="宋体" w:cs="宋体"/>
          <w:color w:val="auto"/>
          <w:kern w:val="2"/>
          <w:sz w:val="24"/>
          <w:szCs w:val="22"/>
          <w:lang w:val="zh-CN" w:eastAsia="zh-CN" w:bidi="zh-CN"/>
        </w:rPr>
        <w:t>、质疑文件应当包括下列主要内容：</w:t>
      </w:r>
    </w:p>
    <w:p>
      <w:pPr>
        <w:spacing w:line="440" w:lineRule="exact"/>
        <w:ind w:firstLine="480" w:firstLineChars="20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 xml:space="preserve"> 质疑供应商和相关供应商的名称、地址、联系人及联系电话等；质疑项目及编号、质疑事项；认为谈判文件、采购过程、中标和成交结果使自己的合法权益受到损害的法律依据、事实依据、相关证明材料及证据来源；提出质疑的日期。（注：质疑函格式详见铜仁市公共资源交易中心官方网站下载专区）</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21.4</w:t>
      </w:r>
      <w:r>
        <w:rPr>
          <w:rFonts w:hint="eastAsia" w:ascii="宋体" w:hAnsi="宋体" w:eastAsia="宋体" w:cs="宋体"/>
          <w:color w:val="auto"/>
          <w:kern w:val="2"/>
          <w:sz w:val="24"/>
          <w:szCs w:val="22"/>
          <w:lang w:val="zh-CN" w:eastAsia="zh-CN" w:bidi="zh-CN"/>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21.5</w:t>
      </w:r>
      <w:r>
        <w:rPr>
          <w:rFonts w:hint="eastAsia" w:ascii="宋体" w:hAnsi="宋体" w:eastAsia="宋体" w:cs="宋体"/>
          <w:color w:val="auto"/>
          <w:kern w:val="2"/>
          <w:sz w:val="24"/>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21.6</w:t>
      </w:r>
      <w:r>
        <w:rPr>
          <w:rFonts w:hint="eastAsia" w:ascii="宋体" w:hAnsi="宋体" w:eastAsia="宋体" w:cs="宋体"/>
          <w:color w:val="auto"/>
          <w:kern w:val="2"/>
          <w:sz w:val="24"/>
          <w:szCs w:val="22"/>
          <w:lang w:val="zh-CN" w:eastAsia="zh-CN" w:bidi="zh-CN"/>
        </w:rPr>
        <w:t>质疑供应商对采购人、代理机构的质疑答复不满意，或者采购人、代理机构未在规定期限内作出答复的，可以在答复期满后15个工作日内向采购人的同级政府采购监督管理部门提起投诉。</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21.7</w:t>
      </w:r>
      <w:r>
        <w:rPr>
          <w:rFonts w:hint="eastAsia" w:ascii="宋体" w:hAnsi="宋体" w:eastAsia="宋体" w:cs="宋体"/>
          <w:color w:val="auto"/>
          <w:kern w:val="2"/>
          <w:sz w:val="24"/>
          <w:szCs w:val="22"/>
          <w:lang w:val="zh-CN" w:eastAsia="zh-CN" w:bidi="zh-CN"/>
        </w:rPr>
        <w:t xml:space="preserve">质疑受理部门：重庆西征建设工程咨询有限公司及采购人 </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21.8</w:t>
      </w:r>
      <w:r>
        <w:rPr>
          <w:rFonts w:hint="eastAsia" w:ascii="宋体" w:hAnsi="宋体" w:eastAsia="宋体" w:cs="宋体"/>
          <w:color w:val="auto"/>
          <w:kern w:val="2"/>
          <w:sz w:val="24"/>
          <w:szCs w:val="22"/>
          <w:lang w:val="zh-CN" w:eastAsia="zh-CN" w:bidi="zh-CN"/>
        </w:rPr>
        <w:t>提交质疑文件地点：铜仁市碧江区时代商汇</w:t>
      </w:r>
      <w:r>
        <w:rPr>
          <w:rFonts w:hint="eastAsia" w:ascii="宋体" w:hAnsi="宋体" w:eastAsia="宋体" w:cs="宋体"/>
          <w:color w:val="auto"/>
          <w:kern w:val="2"/>
          <w:sz w:val="24"/>
          <w:szCs w:val="22"/>
          <w:lang w:val="en-US" w:eastAsia="zh-CN" w:bidi="zh-CN"/>
        </w:rPr>
        <w:t>13栋703</w:t>
      </w:r>
      <w:r>
        <w:rPr>
          <w:rFonts w:hint="eastAsia" w:ascii="宋体" w:hAnsi="宋体" w:eastAsia="宋体" w:cs="宋体"/>
          <w:color w:val="auto"/>
          <w:kern w:val="2"/>
          <w:sz w:val="24"/>
          <w:szCs w:val="22"/>
          <w:lang w:val="zh-CN" w:eastAsia="zh-CN" w:bidi="zh-CN"/>
        </w:rPr>
        <w:t>（我公司只接受现场提交书面质疑函）。</w:t>
      </w:r>
    </w:p>
    <w:p>
      <w:pPr>
        <w:spacing w:line="440" w:lineRule="exact"/>
        <w:ind w:firstLine="480"/>
        <w:rPr>
          <w:rFonts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en-US" w:eastAsia="zh-CN" w:bidi="zh-CN"/>
        </w:rPr>
        <w:t>21.9</w:t>
      </w:r>
      <w:r>
        <w:rPr>
          <w:rFonts w:hint="eastAsia" w:ascii="宋体" w:hAnsi="宋体" w:eastAsia="宋体" w:cs="宋体"/>
          <w:color w:val="auto"/>
          <w:kern w:val="2"/>
          <w:sz w:val="24"/>
          <w:szCs w:val="22"/>
          <w:lang w:val="zh-CN" w:eastAsia="zh-CN" w:bidi="zh-CN"/>
        </w:rPr>
        <w:t>本次采购活动中，代理公司对质疑回复等文件的送达方式为现场取件。</w:t>
      </w: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38"/>
        <w:numPr>
          <w:ilvl w:val="0"/>
          <w:numId w:val="0"/>
        </w:numPr>
        <w:tabs>
          <w:tab w:val="left" w:pos="1443"/>
        </w:tabs>
        <w:spacing w:before="160" w:after="0" w:line="240" w:lineRule="auto"/>
        <w:ind w:right="0" w:rightChars="0"/>
        <w:jc w:val="both"/>
        <w:rPr>
          <w:rFonts w:ascii="宋体" w:hAnsi="宋体" w:eastAsia="宋体" w:cs="宋体"/>
          <w:color w:val="auto"/>
          <w:kern w:val="2"/>
          <w:sz w:val="24"/>
          <w:szCs w:val="22"/>
          <w:lang w:val="zh-CN" w:eastAsia="zh-CN" w:bidi="zh-CN"/>
        </w:rPr>
      </w:pPr>
    </w:p>
    <w:p>
      <w:pPr>
        <w:pStyle w:val="11"/>
        <w:numPr>
          <w:ilvl w:val="0"/>
          <w:numId w:val="0"/>
        </w:numPr>
        <w:spacing w:line="440" w:lineRule="exact"/>
        <w:jc w:val="both"/>
        <w:rPr>
          <w:rFonts w:hint="default"/>
          <w:color w:val="FF0000"/>
          <w:lang w:val="en-US" w:eastAsia="zh-CN"/>
        </w:rPr>
      </w:pPr>
    </w:p>
    <w:p>
      <w:pPr>
        <w:numPr>
          <w:ilvl w:val="0"/>
          <w:numId w:val="5"/>
        </w:numPr>
        <w:spacing w:line="440" w:lineRule="exact"/>
        <w:jc w:val="center"/>
        <w:outlineLvl w:val="0"/>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成交与签订合同</w:t>
      </w:r>
    </w:p>
    <w:p>
      <w:pPr>
        <w:spacing w:line="440" w:lineRule="exac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.谈判程序及成交标准</w:t>
      </w:r>
    </w:p>
    <w:p>
      <w:pPr>
        <w:spacing w:line="440" w:lineRule="exact"/>
        <w:ind w:firstLine="480" w:firstLineChars="200"/>
        <w:rPr>
          <w:rFonts w:hAnsi="宋体"/>
          <w:b/>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1本次采购采用竞争性谈判方式进行，谈判小组由采购人代表和有关专家共三人以上单数组成，谈判小组可以视情况，要求投标人在规定时间内，进行二次报价（含投标报价），以投标人最后的一轮有效报价为准，超出规定时间没有进行最后报价的投标人，视为放弃最后报价，以其前一次报价为准。</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22</w:t>
      </w:r>
      <w:r>
        <w:rPr>
          <w:rFonts w:hint="eastAsia" w:hAnsi="宋体"/>
          <w:color w:val="000000" w:themeColor="text1"/>
          <w:sz w:val="24"/>
          <w14:textFill>
            <w14:solidFill>
              <w14:schemeClr w14:val="tx1"/>
            </w14:solidFill>
          </w14:textFill>
        </w:rPr>
        <w:t xml:space="preserve">.2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2</w:t>
      </w:r>
      <w:r>
        <w:rPr>
          <w:rFonts w:hint="eastAsia" w:hAnsi="宋体"/>
          <w:b/>
          <w:color w:val="000000" w:themeColor="text1"/>
          <w:sz w:val="24"/>
          <w:lang w:val="en-US" w:eastAsia="zh-CN"/>
          <w14:textFill>
            <w14:solidFill>
              <w14:schemeClr w14:val="tx1"/>
            </w14:solidFill>
          </w14:textFill>
        </w:rPr>
        <w:t>3</w:t>
      </w:r>
      <w:r>
        <w:rPr>
          <w:rFonts w:hAnsi="宋体"/>
          <w:b/>
          <w:color w:val="000000" w:themeColor="text1"/>
          <w:sz w:val="24"/>
          <w14:textFill>
            <w14:solidFill>
              <w14:schemeClr w14:val="tx1"/>
            </w14:solidFill>
          </w14:textFill>
        </w:rPr>
        <w:t>.成交通知</w:t>
      </w:r>
    </w:p>
    <w:p>
      <w:pPr>
        <w:pStyle w:val="11"/>
        <w:spacing w:line="440" w:lineRule="exact"/>
        <w:ind w:firstLine="480" w:firstLineChars="200"/>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w:t>
      </w:r>
      <w:r>
        <w:rPr>
          <w:rFonts w:hint="eastAsia" w:hAnsi="宋体"/>
          <w:bCs/>
          <w:color w:val="000000" w:themeColor="text1"/>
          <w:sz w:val="24"/>
          <w:lang w:eastAsia="zh-CN"/>
          <w14:textFill>
            <w14:solidFill>
              <w14:schemeClr w14:val="tx1"/>
            </w14:solidFill>
          </w14:textFill>
        </w:rPr>
        <w:t>采购人和采购代理机构</w:t>
      </w:r>
      <w:r>
        <w:rPr>
          <w:rFonts w:hint="eastAsia" w:hAnsi="宋体"/>
          <w:bCs/>
          <w:color w:val="000000" w:themeColor="text1"/>
          <w:sz w:val="24"/>
          <w14:textFill>
            <w14:solidFill>
              <w14:schemeClr w14:val="tx1"/>
            </w14:solidFill>
          </w14:textFill>
        </w:rPr>
        <w:t>无义务向未中标的投标人解释落标原因，不退还投标文件</w:t>
      </w:r>
    </w:p>
    <w:p>
      <w:pPr>
        <w:pStyle w:val="11"/>
        <w:spacing w:line="440" w:lineRule="exact"/>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2</w:t>
      </w:r>
      <w:r>
        <w:rPr>
          <w:rFonts w:hint="eastAsia" w:hAnsi="宋体"/>
          <w:b/>
          <w:color w:val="000000" w:themeColor="text1"/>
          <w:sz w:val="24"/>
          <w:lang w:val="en-US" w:eastAsia="zh-CN"/>
          <w14:textFill>
            <w14:solidFill>
              <w14:schemeClr w14:val="tx1"/>
            </w14:solidFill>
          </w14:textFill>
        </w:rPr>
        <w:t>4</w:t>
      </w:r>
      <w:r>
        <w:rPr>
          <w:rFonts w:hint="eastAsia" w:hAnsi="宋体"/>
          <w:b/>
          <w:color w:val="000000" w:themeColor="text1"/>
          <w:sz w:val="24"/>
          <w14:textFill>
            <w14:solidFill>
              <w14:schemeClr w14:val="tx1"/>
            </w14:solidFill>
          </w14:textFill>
        </w:rPr>
        <w:t>.</w:t>
      </w:r>
      <w:r>
        <w:rPr>
          <w:rFonts w:hAnsi="宋体"/>
          <w:b/>
          <w:color w:val="000000" w:themeColor="text1"/>
          <w:sz w:val="24"/>
          <w14:textFill>
            <w14:solidFill>
              <w14:schemeClr w14:val="tx1"/>
            </w14:solidFill>
          </w14:textFill>
        </w:rPr>
        <w:t>签订合同</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4</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采购人、成交供应商在《成交通知书》发出之日起</w:t>
      </w:r>
      <w:r>
        <w:rPr>
          <w:rFonts w:hint="eastAsia" w:hAnsi="宋体"/>
          <w:color w:val="000000" w:themeColor="text1"/>
          <w:sz w:val="24"/>
          <w:lang w:val="en-US" w:eastAsia="zh-CN"/>
          <w14:textFill>
            <w14:solidFill>
              <w14:schemeClr w14:val="tx1"/>
            </w14:solidFill>
          </w14:textFill>
        </w:rPr>
        <w:t>10</w:t>
      </w:r>
      <w:r>
        <w:rPr>
          <w:rFonts w:hint="eastAsia" w:hAnsi="宋体"/>
          <w:color w:val="000000" w:themeColor="text1"/>
          <w:sz w:val="24"/>
          <w14:textFill>
            <w14:solidFill>
              <w14:schemeClr w14:val="tx1"/>
            </w14:solidFill>
          </w14:textFill>
        </w:rPr>
        <w:t>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4</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.3采购人在合同履行中，需追加与合同标的相同的货物或者服务的，在不改变合同其他条款的前提下，可与供应商协商签订补充合同，但所有补充合同的采购金额不得超过原合同采购金额的10%。</w:t>
      </w:r>
    </w:p>
    <w:p>
      <w:pPr>
        <w:spacing w:line="440" w:lineRule="exact"/>
        <w:ind w:firstLine="480" w:firstLineChars="200"/>
        <w:rPr>
          <w:rFonts w:hint="eastAsia"/>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14:textFill>
            <w14:solidFill>
              <w14:schemeClr w14:val="tx1"/>
            </w14:solidFill>
          </w14:textFill>
        </w:rPr>
        <w:t>且在此情况下，作为成交供应商之后第一位的成交候选人应同意与采购</w:t>
      </w:r>
      <w:r>
        <w:rPr>
          <w:rFonts w:hint="eastAsia" w:ascii="宋体"/>
          <w:color w:val="000000" w:themeColor="text1"/>
          <w:sz w:val="24"/>
          <w:szCs w:val="24"/>
          <w14:textFill>
            <w14:solidFill>
              <w14:schemeClr w14:val="tx1"/>
            </w14:solidFill>
          </w14:textFill>
        </w:rPr>
        <w:t>人</w:t>
      </w:r>
      <w:r>
        <w:rPr>
          <w:rFonts w:ascii="宋体"/>
          <w:color w:val="000000" w:themeColor="text1"/>
          <w:sz w:val="24"/>
          <w:szCs w:val="24"/>
          <w14:textFill>
            <w14:solidFill>
              <w14:schemeClr w14:val="tx1"/>
            </w14:solidFill>
          </w14:textFill>
        </w:rPr>
        <w:t>按不高于其最终报价签订采购合同。</w:t>
      </w:r>
    </w:p>
    <w:p>
      <w:pPr>
        <w:spacing w:line="360" w:lineRule="auto"/>
        <w:ind w:firstLine="361" w:firstLineChars="100"/>
        <w:jc w:val="center"/>
        <w:rPr>
          <w:rFonts w:hint="eastAsia" w:ascii="宋体" w:hAnsi="宋体"/>
          <w:b/>
          <w:bCs/>
          <w:color w:val="000000" w:themeColor="text1"/>
          <w:sz w:val="36"/>
          <w:szCs w:val="36"/>
          <w14:textFill>
            <w14:solidFill>
              <w14:schemeClr w14:val="tx1"/>
            </w14:solidFill>
          </w14:textFill>
        </w:rPr>
      </w:pPr>
    </w:p>
    <w:p>
      <w:pPr>
        <w:spacing w:line="360" w:lineRule="auto"/>
        <w:ind w:firstLine="361" w:firstLineChars="100"/>
        <w:jc w:val="center"/>
        <w:rPr>
          <w:rFonts w:hint="eastAsia" w:ascii="宋体" w:hAnsi="宋体"/>
          <w:b/>
          <w:bCs/>
          <w:color w:val="000000" w:themeColor="text1"/>
          <w:sz w:val="36"/>
          <w:szCs w:val="36"/>
          <w14:textFill>
            <w14:solidFill>
              <w14:schemeClr w14:val="tx1"/>
            </w14:solidFill>
          </w14:textFill>
        </w:rPr>
      </w:pPr>
    </w:p>
    <w:p>
      <w:pPr>
        <w:spacing w:line="360" w:lineRule="auto"/>
        <w:ind w:firstLine="361" w:firstLineChars="100"/>
        <w:jc w:val="center"/>
        <w:rPr>
          <w:rFonts w:hint="eastAsia" w:ascii="宋体" w:hAnsi="宋体"/>
          <w:b/>
          <w:bCs/>
          <w:color w:val="000000" w:themeColor="text1"/>
          <w:sz w:val="36"/>
          <w:szCs w:val="36"/>
          <w14:textFill>
            <w14:solidFill>
              <w14:schemeClr w14:val="tx1"/>
            </w14:solidFill>
          </w14:textFill>
        </w:rPr>
      </w:pPr>
    </w:p>
    <w:p>
      <w:pPr>
        <w:spacing w:line="360" w:lineRule="auto"/>
        <w:jc w:val="cente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第四章  采购内容清单及商务、技术要求</w:t>
      </w:r>
    </w:p>
    <w:p>
      <w:pPr>
        <w:pStyle w:val="14"/>
        <w:rPr>
          <w:rFonts w:ascii="宋体" w:hAnsi="宋体"/>
          <w:b/>
          <w:bCs/>
          <w:color w:val="000000" w:themeColor="text1"/>
          <w:sz w:val="36"/>
          <w:szCs w:val="36"/>
          <w14:textFill>
            <w14:solidFill>
              <w14:schemeClr w14:val="tx1"/>
            </w14:solidFill>
          </w14:textFill>
        </w:rPr>
      </w:pPr>
      <w:bookmarkStart w:id="3" w:name="_Toc268599010"/>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14"/>
        <w:rPr>
          <w:rFonts w:ascii="宋体" w:hAnsi="宋体"/>
          <w:b/>
          <w:bCs/>
          <w:color w:val="000000" w:themeColor="text1"/>
          <w:sz w:val="36"/>
          <w:szCs w:val="36"/>
          <w14:textFill>
            <w14:solidFill>
              <w14:schemeClr w14:val="tx1"/>
            </w14:solidFill>
          </w14:textFill>
        </w:rPr>
      </w:pPr>
    </w:p>
    <w:p>
      <w:pPr>
        <w:pStyle w:val="4"/>
        <w:numPr>
          <w:ilvl w:val="0"/>
          <w:numId w:val="6"/>
        </w:numPr>
        <w:ind w:firstLine="2811" w:firstLineChars="1000"/>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t xml:space="preserve"> 技术要求</w:t>
      </w:r>
    </w:p>
    <w:p>
      <w:pPr>
        <w:pStyle w:val="14"/>
        <w:rPr>
          <w:rFonts w:hint="eastAsia"/>
          <w:color w:val="FF0000"/>
          <w:lang w:val="en-US" w:eastAsia="zh-CN"/>
        </w:rPr>
      </w:pPr>
    </w:p>
    <w:p>
      <w:pPr>
        <w:numPr>
          <w:ilvl w:val="0"/>
          <w:numId w:val="0"/>
        </w:numPr>
        <w:ind w:leftChars="0"/>
        <w:rPr>
          <w:rFonts w:hint="eastAsia" w:ascii="宋体" w:hAnsi="宋体" w:eastAsia="黑体" w:cstheme="minorBidi"/>
          <w:b/>
          <w:bCs/>
          <w:color w:val="FF0000"/>
          <w:kern w:val="2"/>
          <w:sz w:val="28"/>
          <w:szCs w:val="28"/>
          <w:lang w:val="en-US" w:eastAsia="zh-CN" w:bidi="ar-SA"/>
        </w:rPr>
      </w:pPr>
      <w:r>
        <w:rPr>
          <w:rFonts w:hint="eastAsia" w:ascii="宋体" w:hAnsi="宋体" w:eastAsia="黑体" w:cstheme="minorBidi"/>
          <w:b/>
          <w:bCs/>
          <w:color w:val="FF0000"/>
          <w:kern w:val="2"/>
          <w:sz w:val="28"/>
          <w:szCs w:val="28"/>
          <w:lang w:val="en-US" w:eastAsia="zh-CN" w:bidi="ar-SA"/>
        </w:rPr>
        <w:t>1包：CT</w:t>
      </w:r>
    </w:p>
    <w:p>
      <w:pPr>
        <w:pStyle w:val="2"/>
        <w:rPr>
          <w:rFonts w:hint="default"/>
          <w:color w:val="FF0000"/>
          <w:lang w:val="en-US" w:eastAsia="zh-CN"/>
        </w:rPr>
      </w:pPr>
    </w:p>
    <w:p>
      <w:pPr>
        <w:numPr>
          <w:ilvl w:val="0"/>
          <w:numId w:val="7"/>
        </w:numPr>
        <w:ind w:leftChars="0"/>
        <w:rPr>
          <w:rFonts w:hint="eastAsia" w:ascii="宋体" w:hAnsi="宋体" w:eastAsia="黑体" w:cstheme="minorBidi"/>
          <w:b/>
          <w:bCs/>
          <w:color w:val="FF0000"/>
          <w:kern w:val="2"/>
          <w:sz w:val="24"/>
          <w:szCs w:val="24"/>
          <w:lang w:val="en-US" w:eastAsia="zh-CN" w:bidi="ar-SA"/>
        </w:rPr>
      </w:pPr>
      <w:r>
        <w:rPr>
          <w:rFonts w:hint="eastAsia" w:ascii="宋体" w:hAnsi="宋体" w:eastAsia="黑体" w:cstheme="minorBidi"/>
          <w:b/>
          <w:bCs/>
          <w:color w:val="FF0000"/>
          <w:kern w:val="2"/>
          <w:sz w:val="24"/>
          <w:szCs w:val="24"/>
          <w:lang w:val="en-US" w:eastAsia="zh-CN" w:bidi="ar-SA"/>
        </w:rPr>
        <w:t>数量1台；</w:t>
      </w:r>
    </w:p>
    <w:p>
      <w:pPr>
        <w:numPr>
          <w:ilvl w:val="0"/>
          <w:numId w:val="7"/>
        </w:numPr>
        <w:ind w:leftChars="0"/>
        <w:rPr>
          <w:rFonts w:hint="default" w:ascii="宋体" w:hAnsi="宋体" w:eastAsia="黑体" w:cstheme="minorBidi"/>
          <w:b/>
          <w:bCs/>
          <w:color w:val="FF0000"/>
          <w:kern w:val="2"/>
          <w:sz w:val="24"/>
          <w:szCs w:val="24"/>
          <w:lang w:val="en-US" w:eastAsia="zh-CN" w:bidi="ar-SA"/>
        </w:rPr>
      </w:pPr>
      <w:r>
        <w:rPr>
          <w:rFonts w:hint="eastAsia" w:ascii="宋体" w:hAnsi="宋体" w:eastAsia="黑体" w:cstheme="minorBidi"/>
          <w:b/>
          <w:bCs/>
          <w:color w:val="FF0000"/>
          <w:kern w:val="2"/>
          <w:sz w:val="24"/>
          <w:szCs w:val="24"/>
          <w:lang w:val="en-US" w:eastAsia="zh-CN" w:bidi="ar-SA"/>
        </w:rPr>
        <w:t>要求：设备为原装进口，且为该品牌最新机型</w:t>
      </w:r>
    </w:p>
    <w:p>
      <w:pPr>
        <w:numPr>
          <w:ilvl w:val="0"/>
          <w:numId w:val="7"/>
        </w:numPr>
        <w:ind w:leftChars="0"/>
        <w:rPr>
          <w:rFonts w:hint="default" w:ascii="宋体" w:hAnsi="宋体" w:eastAsia="黑体" w:cstheme="minorBidi"/>
          <w:b/>
          <w:bCs/>
          <w:color w:val="FF0000"/>
          <w:kern w:val="2"/>
          <w:sz w:val="24"/>
          <w:szCs w:val="24"/>
          <w:lang w:val="en-US" w:eastAsia="zh-CN" w:bidi="ar-SA"/>
        </w:rPr>
      </w:pPr>
      <w:r>
        <w:rPr>
          <w:rFonts w:hint="eastAsia" w:ascii="宋体" w:hAnsi="宋体" w:eastAsia="黑体" w:cstheme="minorBidi"/>
          <w:b/>
          <w:bCs/>
          <w:color w:val="FF0000"/>
          <w:kern w:val="2"/>
          <w:sz w:val="24"/>
          <w:szCs w:val="24"/>
          <w:lang w:val="en-US" w:eastAsia="zh-CN" w:bidi="ar-SA"/>
        </w:rPr>
        <w:t>参数：</w:t>
      </w:r>
    </w:p>
    <w:p>
      <w:pPr>
        <w:shd w:val="clear" w:color="auto" w:fill="FFFFFF"/>
        <w:autoSpaceDE w:val="0"/>
        <w:autoSpaceDN w:val="0"/>
        <w:spacing w:line="360" w:lineRule="auto"/>
        <w:jc w:val="center"/>
        <w:textAlignment w:val="bottom"/>
        <w:rPr>
          <w:rFonts w:hint="eastAsia" w:ascii="宋体" w:hAnsi="宋体" w:cs="Arial"/>
          <w:bCs/>
          <w:color w:val="000000"/>
          <w:sz w:val="22"/>
        </w:rPr>
      </w:pPr>
      <w:r>
        <w:rPr>
          <w:rFonts w:hint="eastAsia" w:ascii="宋体" w:hAnsi="宋体" w:cs="Arial"/>
          <w:bCs/>
          <w:color w:val="000000"/>
          <w:sz w:val="28"/>
        </w:rPr>
        <w:t>多层</w:t>
      </w:r>
      <w:r>
        <w:rPr>
          <w:rFonts w:hint="eastAsia" w:ascii="宋体" w:hAnsi="宋体" w:cs="Arial"/>
          <w:bCs/>
          <w:sz w:val="28"/>
        </w:rPr>
        <w:t>螺旋CT招标技术规格要求</w:t>
      </w:r>
    </w:p>
    <w:p>
      <w:pPr>
        <w:shd w:val="clear" w:color="auto" w:fill="FFFFFF"/>
        <w:rPr>
          <w:rFonts w:hint="eastAsia" w:ascii="宋体" w:hAnsi="宋体" w:cs="Arial"/>
          <w:color w:val="000000"/>
          <w:sz w:val="22"/>
        </w:rPr>
      </w:pPr>
      <w:r>
        <w:rPr>
          <w:rFonts w:hint="eastAsia" w:ascii="宋体" w:hAnsi="宋体" w:cs="Arial"/>
          <w:color w:val="000000"/>
          <w:sz w:val="22"/>
        </w:rPr>
        <w:t>概述：</w:t>
      </w:r>
    </w:p>
    <w:p>
      <w:pPr>
        <w:shd w:val="clear" w:color="auto" w:fill="FFFFFF"/>
        <w:rPr>
          <w:rFonts w:hint="eastAsia" w:ascii="宋体" w:hAnsi="宋体" w:cs="Arial"/>
          <w:color w:val="000000"/>
          <w:sz w:val="22"/>
        </w:rPr>
      </w:pPr>
      <w:r>
        <w:rPr>
          <w:rFonts w:hint="eastAsia" w:ascii="宋体" w:hAnsi="宋体" w:cs="Arial"/>
          <w:color w:val="000000"/>
          <w:sz w:val="22"/>
        </w:rPr>
        <w:t>本次招标采购设备为多层螺旋CT，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shd w:val="clear" w:color="auto" w:fill="FFFFFF"/>
        <w:rPr>
          <w:rFonts w:hint="eastAsia" w:ascii="宋体" w:hAnsi="宋体" w:cs="Arial"/>
          <w:color w:val="000000"/>
          <w:sz w:val="22"/>
        </w:rPr>
      </w:pPr>
    </w:p>
    <w:p>
      <w:pPr>
        <w:shd w:val="clear" w:color="auto" w:fill="FFFFFF"/>
        <w:rPr>
          <w:rFonts w:hint="eastAsia" w:ascii="宋体" w:hAnsi="宋体" w:cs="Arial"/>
          <w:color w:val="000000"/>
          <w:sz w:val="22"/>
        </w:rPr>
      </w:pPr>
      <w:r>
        <w:rPr>
          <w:rFonts w:hint="eastAsia" w:ascii="宋体" w:hAnsi="宋体" w:cs="Arial"/>
          <w:color w:val="000000"/>
          <w:sz w:val="22"/>
        </w:rPr>
        <w:t>招标货物一览表：</w:t>
      </w:r>
    </w:p>
    <w:tbl>
      <w:tblPr>
        <w:tblStyle w:val="1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20"/>
        <w:gridCol w:w="3177"/>
        <w:gridCol w:w="13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编号</w:t>
            </w:r>
          </w:p>
        </w:tc>
        <w:tc>
          <w:tcPr>
            <w:tcW w:w="180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货物名称</w:t>
            </w:r>
          </w:p>
        </w:tc>
        <w:tc>
          <w:tcPr>
            <w:tcW w:w="72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数量</w:t>
            </w:r>
          </w:p>
        </w:tc>
        <w:tc>
          <w:tcPr>
            <w:tcW w:w="3177"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主要技术规格</w:t>
            </w:r>
          </w:p>
        </w:tc>
        <w:tc>
          <w:tcPr>
            <w:tcW w:w="1323"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交货期</w:t>
            </w:r>
          </w:p>
        </w:tc>
        <w:tc>
          <w:tcPr>
            <w:tcW w:w="126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1</w:t>
            </w:r>
          </w:p>
        </w:tc>
        <w:tc>
          <w:tcPr>
            <w:tcW w:w="180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多层螺旋CT</w:t>
            </w:r>
          </w:p>
        </w:tc>
        <w:tc>
          <w:tcPr>
            <w:tcW w:w="720" w:type="dxa"/>
            <w:noWrap w:val="0"/>
            <w:vAlign w:val="top"/>
          </w:tcPr>
          <w:p>
            <w:pPr>
              <w:shd w:val="clear" w:color="auto" w:fill="FFFFFF"/>
              <w:rPr>
                <w:rFonts w:hint="eastAsia" w:ascii="宋体" w:hAnsi="宋体" w:cs="Arial"/>
                <w:sz w:val="22"/>
              </w:rPr>
            </w:pPr>
            <w:r>
              <w:rPr>
                <w:rFonts w:hint="eastAsia" w:ascii="宋体" w:hAnsi="宋体" w:cs="Arial"/>
                <w:sz w:val="22"/>
              </w:rPr>
              <w:t>1套</w:t>
            </w:r>
          </w:p>
        </w:tc>
        <w:tc>
          <w:tcPr>
            <w:tcW w:w="3177" w:type="dxa"/>
            <w:noWrap w:val="0"/>
            <w:vAlign w:val="top"/>
          </w:tcPr>
          <w:p>
            <w:pPr>
              <w:numPr>
                <w:ilvl w:val="0"/>
                <w:numId w:val="8"/>
              </w:numPr>
              <w:shd w:val="clear" w:color="auto" w:fill="FFFFFF"/>
              <w:rPr>
                <w:rFonts w:hint="eastAsia" w:ascii="宋体" w:hAnsi="宋体" w:cs="Arial"/>
                <w:sz w:val="22"/>
              </w:rPr>
            </w:pPr>
            <w:r>
              <w:rPr>
                <w:rFonts w:hint="eastAsia" w:ascii="宋体" w:hAnsi="宋体" w:cs="Arial"/>
                <w:sz w:val="22"/>
              </w:rPr>
              <w:t>扫描方式：≥16层/360°</w:t>
            </w:r>
          </w:p>
          <w:p>
            <w:pPr>
              <w:numPr>
                <w:ilvl w:val="0"/>
                <w:numId w:val="8"/>
              </w:numPr>
              <w:shd w:val="clear" w:color="auto" w:fill="FFFFFF"/>
              <w:rPr>
                <w:rFonts w:hint="eastAsia" w:ascii="宋体" w:hAnsi="宋体" w:cs="Arial"/>
                <w:sz w:val="22"/>
              </w:rPr>
            </w:pPr>
            <w:r>
              <w:rPr>
                <w:rFonts w:hint="eastAsia" w:ascii="宋体" w:hAnsi="宋体" w:cs="Arial"/>
                <w:sz w:val="22"/>
              </w:rPr>
              <w:t>扫描时间：≤0.7</w:t>
            </w:r>
            <w:r>
              <w:rPr>
                <w:rFonts w:ascii="宋体" w:hAnsi="宋体" w:cs="Arial"/>
                <w:sz w:val="22"/>
              </w:rPr>
              <w:t>5</w:t>
            </w:r>
            <w:r>
              <w:rPr>
                <w:rFonts w:hint="eastAsia" w:ascii="宋体" w:hAnsi="宋体" w:cs="Arial"/>
                <w:sz w:val="22"/>
              </w:rPr>
              <w:t>S/360°</w:t>
            </w:r>
          </w:p>
          <w:p>
            <w:pPr>
              <w:numPr>
                <w:ilvl w:val="0"/>
                <w:numId w:val="8"/>
              </w:numPr>
              <w:shd w:val="clear" w:color="auto" w:fill="FFFFFF"/>
              <w:rPr>
                <w:rFonts w:hint="eastAsia" w:ascii="宋体" w:hAnsi="宋体" w:cs="Arial"/>
                <w:sz w:val="22"/>
              </w:rPr>
            </w:pPr>
            <w:r>
              <w:rPr>
                <w:rFonts w:hint="eastAsia" w:ascii="宋体" w:hAnsi="宋体" w:cs="Arial"/>
                <w:sz w:val="22"/>
              </w:rPr>
              <w:t>探测器排数：≥16排</w:t>
            </w:r>
          </w:p>
        </w:tc>
        <w:tc>
          <w:tcPr>
            <w:tcW w:w="1323"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合同签订后2个月</w:t>
            </w:r>
          </w:p>
        </w:tc>
        <w:tc>
          <w:tcPr>
            <w:tcW w:w="1260" w:type="dxa"/>
            <w:noWrap w:val="0"/>
            <w:vAlign w:val="top"/>
          </w:tcPr>
          <w:p>
            <w:pPr>
              <w:shd w:val="clear" w:color="auto" w:fill="FFFFFF"/>
              <w:rPr>
                <w:rFonts w:hint="eastAsia" w:ascii="宋体" w:hAnsi="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2</w:t>
            </w:r>
          </w:p>
        </w:tc>
        <w:tc>
          <w:tcPr>
            <w:tcW w:w="180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随机附件</w:t>
            </w:r>
          </w:p>
        </w:tc>
        <w:tc>
          <w:tcPr>
            <w:tcW w:w="72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1套</w:t>
            </w:r>
          </w:p>
        </w:tc>
        <w:tc>
          <w:tcPr>
            <w:tcW w:w="3177" w:type="dxa"/>
            <w:noWrap w:val="0"/>
            <w:vAlign w:val="top"/>
          </w:tcPr>
          <w:p>
            <w:pPr>
              <w:shd w:val="clear" w:color="auto" w:fill="FFFFFF"/>
              <w:rPr>
                <w:rFonts w:hint="eastAsia" w:ascii="宋体" w:hAnsi="宋体" w:cs="Arial"/>
                <w:color w:val="000000"/>
                <w:sz w:val="22"/>
              </w:rPr>
            </w:pPr>
          </w:p>
        </w:tc>
        <w:tc>
          <w:tcPr>
            <w:tcW w:w="1323" w:type="dxa"/>
            <w:noWrap w:val="0"/>
            <w:vAlign w:val="top"/>
          </w:tcPr>
          <w:p>
            <w:pPr>
              <w:shd w:val="clear" w:color="auto" w:fill="FFFFFF"/>
              <w:rPr>
                <w:rFonts w:hint="eastAsia" w:ascii="宋体" w:hAnsi="宋体" w:cs="Arial"/>
                <w:color w:val="000000"/>
                <w:sz w:val="22"/>
              </w:rPr>
            </w:pPr>
          </w:p>
        </w:tc>
        <w:tc>
          <w:tcPr>
            <w:tcW w:w="1260" w:type="dxa"/>
            <w:noWrap w:val="0"/>
            <w:vAlign w:val="top"/>
          </w:tcPr>
          <w:p>
            <w:pPr>
              <w:shd w:val="clear" w:color="auto" w:fill="FFFFFF"/>
              <w:rPr>
                <w:rFonts w:hint="eastAsia" w:ascii="宋体" w:hAnsi="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3</w:t>
            </w:r>
          </w:p>
        </w:tc>
        <w:tc>
          <w:tcPr>
            <w:tcW w:w="180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技术资料</w:t>
            </w:r>
          </w:p>
        </w:tc>
        <w:tc>
          <w:tcPr>
            <w:tcW w:w="72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1套</w:t>
            </w:r>
          </w:p>
        </w:tc>
        <w:tc>
          <w:tcPr>
            <w:tcW w:w="3177" w:type="dxa"/>
            <w:noWrap w:val="0"/>
            <w:vAlign w:val="top"/>
          </w:tcPr>
          <w:p>
            <w:pPr>
              <w:shd w:val="clear" w:color="auto" w:fill="FFFFFF"/>
              <w:rPr>
                <w:rFonts w:hint="eastAsia" w:ascii="宋体" w:hAnsi="宋体" w:cs="Arial"/>
                <w:color w:val="000000"/>
                <w:sz w:val="22"/>
              </w:rPr>
            </w:pPr>
          </w:p>
        </w:tc>
        <w:tc>
          <w:tcPr>
            <w:tcW w:w="1323" w:type="dxa"/>
            <w:noWrap w:val="0"/>
            <w:vAlign w:val="top"/>
          </w:tcPr>
          <w:p>
            <w:pPr>
              <w:shd w:val="clear" w:color="auto" w:fill="FFFFFF"/>
              <w:rPr>
                <w:rFonts w:hint="eastAsia" w:ascii="宋体" w:hAnsi="宋体" w:cs="Arial"/>
                <w:color w:val="000000"/>
                <w:sz w:val="22"/>
              </w:rPr>
            </w:pPr>
          </w:p>
        </w:tc>
        <w:tc>
          <w:tcPr>
            <w:tcW w:w="1260" w:type="dxa"/>
            <w:noWrap w:val="0"/>
            <w:vAlign w:val="top"/>
          </w:tcPr>
          <w:p>
            <w:pPr>
              <w:shd w:val="clear" w:color="auto" w:fill="FFFFFF"/>
              <w:rPr>
                <w:rFonts w:hint="eastAsia" w:ascii="宋体" w:hAnsi="宋体"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4</w:t>
            </w:r>
          </w:p>
        </w:tc>
        <w:tc>
          <w:tcPr>
            <w:tcW w:w="180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投标方认为必须提供的其他资料</w:t>
            </w:r>
          </w:p>
        </w:tc>
        <w:tc>
          <w:tcPr>
            <w:tcW w:w="720" w:type="dxa"/>
            <w:noWrap w:val="0"/>
            <w:vAlign w:val="top"/>
          </w:tcPr>
          <w:p>
            <w:pPr>
              <w:shd w:val="clear" w:color="auto" w:fill="FFFFFF"/>
              <w:rPr>
                <w:rFonts w:hint="eastAsia" w:ascii="宋体" w:hAnsi="宋体" w:cs="Arial"/>
                <w:color w:val="000000"/>
                <w:sz w:val="22"/>
              </w:rPr>
            </w:pPr>
            <w:r>
              <w:rPr>
                <w:rFonts w:hint="eastAsia" w:ascii="宋体" w:hAnsi="宋体" w:cs="Arial"/>
                <w:color w:val="000000"/>
                <w:sz w:val="22"/>
              </w:rPr>
              <w:t>1套</w:t>
            </w:r>
          </w:p>
        </w:tc>
        <w:tc>
          <w:tcPr>
            <w:tcW w:w="3177" w:type="dxa"/>
            <w:noWrap w:val="0"/>
            <w:vAlign w:val="top"/>
          </w:tcPr>
          <w:p>
            <w:pPr>
              <w:shd w:val="clear" w:color="auto" w:fill="FFFFFF"/>
              <w:rPr>
                <w:rFonts w:hint="eastAsia" w:ascii="宋体" w:hAnsi="宋体" w:cs="Arial"/>
                <w:color w:val="000000"/>
                <w:sz w:val="22"/>
              </w:rPr>
            </w:pPr>
          </w:p>
        </w:tc>
        <w:tc>
          <w:tcPr>
            <w:tcW w:w="1323" w:type="dxa"/>
            <w:noWrap w:val="0"/>
            <w:vAlign w:val="top"/>
          </w:tcPr>
          <w:p>
            <w:pPr>
              <w:shd w:val="clear" w:color="auto" w:fill="FFFFFF"/>
              <w:rPr>
                <w:rFonts w:hint="eastAsia" w:ascii="宋体" w:hAnsi="宋体" w:cs="Arial"/>
                <w:color w:val="000000"/>
                <w:sz w:val="22"/>
              </w:rPr>
            </w:pPr>
          </w:p>
        </w:tc>
        <w:tc>
          <w:tcPr>
            <w:tcW w:w="1260" w:type="dxa"/>
            <w:noWrap w:val="0"/>
            <w:vAlign w:val="top"/>
          </w:tcPr>
          <w:p>
            <w:pPr>
              <w:shd w:val="clear" w:color="auto" w:fill="FFFFFF"/>
              <w:rPr>
                <w:rFonts w:hint="eastAsia" w:ascii="宋体" w:hAnsi="宋体" w:cs="Arial"/>
                <w:color w:val="000000"/>
                <w:sz w:val="22"/>
              </w:rPr>
            </w:pPr>
          </w:p>
        </w:tc>
      </w:tr>
    </w:tbl>
    <w:p>
      <w:pPr>
        <w:shd w:val="clear" w:color="auto" w:fill="FFFFFF"/>
        <w:rPr>
          <w:rFonts w:hint="eastAsia" w:ascii="宋体" w:hAnsi="宋体" w:cs="Arial"/>
          <w:color w:val="000000"/>
          <w:sz w:val="22"/>
        </w:rPr>
      </w:pPr>
    </w:p>
    <w:p>
      <w:pPr>
        <w:shd w:val="clear" w:color="auto" w:fill="FFFFFF"/>
        <w:rPr>
          <w:rFonts w:hint="eastAsia" w:ascii="宋体" w:hAnsi="宋体" w:cs="Arial"/>
          <w:color w:val="000000"/>
          <w:sz w:val="22"/>
        </w:rPr>
      </w:pPr>
    </w:p>
    <w:p>
      <w:pPr>
        <w:shd w:val="clear" w:color="auto" w:fill="FFFFFF"/>
        <w:rPr>
          <w:rFonts w:hint="eastAsia" w:ascii="宋体" w:hAnsi="宋体" w:cs="Arial"/>
          <w:color w:val="000000"/>
        </w:rPr>
      </w:pPr>
    </w:p>
    <w:p>
      <w:pPr>
        <w:rPr>
          <w:rFonts w:hint="eastAsia" w:ascii="宋体" w:hAnsi="宋体" w:cs="Arial"/>
          <w:bCs/>
          <w:sz w:val="22"/>
        </w:rPr>
      </w:pPr>
      <w:r>
        <w:rPr>
          <w:rFonts w:hint="eastAsia" w:ascii="宋体" w:hAnsi="宋体" w:cs="Arial"/>
          <w:bCs/>
          <w:sz w:val="22"/>
        </w:rPr>
        <w:t>设备技术规格及要求：</w:t>
      </w:r>
    </w:p>
    <w:tbl>
      <w:tblPr>
        <w:tblStyle w:val="1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367"/>
        <w:gridCol w:w="150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序号</w:t>
            </w:r>
          </w:p>
        </w:tc>
        <w:tc>
          <w:tcPr>
            <w:tcW w:w="5367" w:type="dxa"/>
            <w:noWrap w:val="0"/>
            <w:vAlign w:val="top"/>
          </w:tcPr>
          <w:p>
            <w:pPr>
              <w:shd w:val="clear" w:color="auto" w:fill="FFFFFF"/>
              <w:rPr>
                <w:rFonts w:hint="eastAsia" w:ascii="宋体" w:hAnsi="宋体" w:cs="Arial"/>
                <w:sz w:val="22"/>
              </w:rPr>
            </w:pPr>
            <w:r>
              <w:rPr>
                <w:rFonts w:hint="eastAsia" w:ascii="宋体" w:hAnsi="宋体" w:cs="Arial"/>
                <w:sz w:val="22"/>
              </w:rPr>
              <w:t>招标</w:t>
            </w:r>
            <w:r>
              <w:rPr>
                <w:rFonts w:ascii="宋体" w:hAnsi="宋体" w:cs="Arial"/>
                <w:sz w:val="22"/>
              </w:rPr>
              <w:t>要求</w:t>
            </w:r>
          </w:p>
        </w:tc>
        <w:tc>
          <w:tcPr>
            <w:tcW w:w="1502" w:type="dxa"/>
            <w:noWrap w:val="0"/>
            <w:vAlign w:val="top"/>
          </w:tcPr>
          <w:p>
            <w:pPr>
              <w:shd w:val="clear" w:color="auto" w:fill="FFFFFF"/>
              <w:rPr>
                <w:rFonts w:hint="eastAsia" w:ascii="宋体" w:hAnsi="宋体" w:cs="Arial"/>
                <w:sz w:val="22"/>
              </w:rPr>
            </w:pPr>
            <w:r>
              <w:rPr>
                <w:rFonts w:hint="eastAsia" w:ascii="宋体" w:hAnsi="宋体" w:cs="Arial"/>
                <w:sz w:val="22"/>
              </w:rPr>
              <w:t>投标响应</w:t>
            </w:r>
          </w:p>
        </w:tc>
        <w:tc>
          <w:tcPr>
            <w:tcW w:w="1073" w:type="dxa"/>
            <w:noWrap w:val="0"/>
            <w:vAlign w:val="top"/>
          </w:tcPr>
          <w:p>
            <w:pPr>
              <w:shd w:val="clear" w:color="auto" w:fill="FFFFFF"/>
              <w:rPr>
                <w:rFonts w:hint="eastAsia" w:ascii="宋体" w:hAnsi="宋体" w:cs="Arial"/>
                <w:sz w:val="22"/>
              </w:rPr>
            </w:pPr>
            <w:r>
              <w:rPr>
                <w:rFonts w:hint="eastAsia" w:ascii="宋体" w:hAnsi="宋体" w:cs="Arial"/>
                <w:sz w:val="22"/>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1.</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设备名称：多层螺旋CT系统</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1.1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设备数量：一套</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1.2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设备用途：全身扫描的临床应用和临床研究</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1.3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制造厂商：投标人说明</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1.4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设备型号：投标人说明，要求最新机型和最新的硬件、软件版本</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
                <w:bCs/>
                <w:sz w:val="22"/>
              </w:rPr>
            </w:pPr>
            <w:r>
              <w:rPr>
                <w:rFonts w:hint="eastAsia" w:ascii="宋体" w:hAnsi="宋体" w:cs="Arial"/>
                <w:b/>
                <w:bCs/>
                <w:sz w:val="22"/>
              </w:rPr>
              <w:t>2.</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主要技术规格</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
                <w:bCs/>
                <w:sz w:val="22"/>
              </w:rPr>
            </w:pPr>
            <w:r>
              <w:rPr>
                <w:rFonts w:hint="eastAsia" w:ascii="宋体" w:hAnsi="宋体" w:cs="Arial"/>
                <w:b/>
                <w:bCs/>
                <w:sz w:val="22"/>
              </w:rPr>
              <w:t>2.1</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扫描架系统</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2.1.1</w:t>
            </w:r>
          </w:p>
        </w:tc>
        <w:tc>
          <w:tcPr>
            <w:tcW w:w="5367" w:type="dxa"/>
            <w:noWrap w:val="0"/>
            <w:vAlign w:val="top"/>
          </w:tcPr>
          <w:p>
            <w:pPr>
              <w:shd w:val="clear" w:color="auto" w:fill="FFFFFF"/>
              <w:jc w:val="both"/>
              <w:rPr>
                <w:rFonts w:hint="eastAsia" w:ascii="宋体" w:hAnsi="宋体" w:cs="Arial"/>
                <w:sz w:val="22"/>
              </w:rPr>
            </w:pPr>
            <w:bookmarkStart w:id="4" w:name="OLE_LINK4"/>
            <w:bookmarkStart w:id="5" w:name="OLE_LINK3"/>
            <w:r>
              <w:rPr>
                <w:rFonts w:hint="eastAsia" w:ascii="宋体" w:hAnsi="宋体" w:cs="Arial"/>
                <w:sz w:val="22"/>
              </w:rPr>
              <w:t>扫描架孔径：≥650mm</w:t>
            </w:r>
            <w:bookmarkEnd w:id="4"/>
            <w:bookmarkEnd w:id="5"/>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2.1.2</w:t>
            </w:r>
          </w:p>
        </w:tc>
        <w:tc>
          <w:tcPr>
            <w:tcW w:w="5367" w:type="dxa"/>
            <w:noWrap w:val="0"/>
            <w:vAlign w:val="top"/>
          </w:tcPr>
          <w:p>
            <w:pPr>
              <w:shd w:val="clear" w:color="auto" w:fill="FFFFFF"/>
              <w:jc w:val="both"/>
              <w:rPr>
                <w:rFonts w:hint="eastAsia" w:ascii="宋体" w:hAnsi="宋体" w:cs="Arial"/>
                <w:sz w:val="22"/>
              </w:rPr>
            </w:pPr>
            <w:bookmarkStart w:id="6" w:name="OLE_LINK6"/>
            <w:bookmarkStart w:id="7" w:name="OLE_LINK5"/>
            <w:bookmarkStart w:id="8" w:name="OLE_LINK7"/>
            <w:bookmarkStart w:id="9" w:name="OLE_LINK8"/>
            <w:r>
              <w:rPr>
                <w:rFonts w:hint="eastAsia" w:ascii="宋体" w:hAnsi="宋体" w:cs="Arial"/>
                <w:sz w:val="22"/>
              </w:rPr>
              <w:t>数字倾角：≥±30°</w:t>
            </w:r>
            <w:bookmarkEnd w:id="6"/>
            <w:bookmarkEnd w:id="7"/>
            <w:bookmarkEnd w:id="8"/>
            <w:bookmarkEnd w:id="9"/>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2.1.3</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驱动方式：投标人说明</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滑环类型：低压滑环</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2.1.5</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冷却方式：风冷</w:t>
            </w:r>
          </w:p>
        </w:tc>
        <w:tc>
          <w:tcPr>
            <w:tcW w:w="1502" w:type="dxa"/>
            <w:noWrap w:val="0"/>
            <w:vAlign w:val="top"/>
          </w:tcPr>
          <w:p>
            <w:pPr>
              <w:shd w:val="clear" w:color="auto" w:fill="FFFFFF"/>
              <w:ind w:left="720" w:hanging="720"/>
              <w:jc w:val="both"/>
              <w:rPr>
                <w:rFonts w:hint="eastAsia" w:ascii="宋体" w:hAnsi="宋体" w:cs="Arial"/>
                <w:sz w:val="22"/>
              </w:rPr>
            </w:pPr>
          </w:p>
        </w:tc>
        <w:tc>
          <w:tcPr>
            <w:tcW w:w="1073" w:type="dxa"/>
            <w:noWrap w:val="0"/>
            <w:vAlign w:val="top"/>
          </w:tcPr>
          <w:p>
            <w:pPr>
              <w:shd w:val="clear" w:color="auto" w:fill="FFFFFF"/>
              <w:ind w:left="720" w:hanging="720"/>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2.1.6</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探测器类型：高速稀土陶瓷</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2.1.7</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探测器排数：≥</w:t>
            </w:r>
            <w:r>
              <w:rPr>
                <w:rFonts w:ascii="宋体" w:hAnsi="宋体" w:cs="Arial"/>
                <w:sz w:val="22"/>
              </w:rPr>
              <w:t>16</w:t>
            </w:r>
            <w:r>
              <w:rPr>
                <w:rFonts w:hint="eastAsia" w:ascii="宋体" w:hAnsi="宋体" w:cs="Arial"/>
                <w:sz w:val="22"/>
              </w:rPr>
              <w:t>排</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2.1.8</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探测器数目（每排）：≥</w:t>
            </w:r>
            <w:r>
              <w:rPr>
                <w:rFonts w:ascii="宋体" w:hAnsi="宋体" w:cs="Arial"/>
                <w:sz w:val="22"/>
              </w:rPr>
              <w:t>720</w:t>
            </w:r>
            <w:r>
              <w:rPr>
                <w:rFonts w:hint="eastAsia" w:ascii="宋体" w:hAnsi="宋体" w:cs="Arial"/>
                <w:sz w:val="22"/>
              </w:rPr>
              <w:t>个/每排</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lang w:val="en-US" w:eastAsia="zh-CN"/>
              </w:rPr>
              <w:t>*</w:t>
            </w:r>
            <w:r>
              <w:rPr>
                <w:rFonts w:hint="eastAsia" w:ascii="宋体" w:hAnsi="宋体" w:cs="Arial"/>
                <w:sz w:val="22"/>
              </w:rPr>
              <w:t>2.1.9</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最薄采集层厚：≤0.8mm</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*2.1.10</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亚毫米采集覆盖范围≥</w:t>
            </w:r>
            <w:r>
              <w:rPr>
                <w:rFonts w:ascii="宋体" w:hAnsi="宋体" w:cs="Arial"/>
                <w:sz w:val="22"/>
              </w:rPr>
              <w:t>12</w:t>
            </w:r>
            <w:r>
              <w:rPr>
                <w:rFonts w:hint="eastAsia" w:ascii="宋体" w:hAnsi="宋体" w:cs="Arial"/>
                <w:sz w:val="22"/>
              </w:rPr>
              <w:t>.8 mm</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*2.1.11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焦点到探测器距离：≤</w:t>
            </w:r>
            <w:r>
              <w:rPr>
                <w:rFonts w:ascii="宋体" w:hAnsi="宋体" w:cs="Arial"/>
                <w:sz w:val="22"/>
              </w:rPr>
              <w:t>900mm</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*2.1.12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焦点到</w:t>
            </w:r>
            <w:r>
              <w:rPr>
                <w:rFonts w:ascii="宋体" w:hAnsi="宋体" w:cs="Arial"/>
                <w:sz w:val="22"/>
              </w:rPr>
              <w:t>ISO</w:t>
            </w:r>
            <w:r>
              <w:rPr>
                <w:rFonts w:hint="eastAsia" w:ascii="宋体" w:hAnsi="宋体" w:cs="Arial"/>
                <w:sz w:val="22"/>
              </w:rPr>
              <w:t>等中心距离：≤</w:t>
            </w:r>
            <w:r>
              <w:rPr>
                <w:rFonts w:ascii="宋体" w:hAnsi="宋体" w:cs="Arial"/>
                <w:sz w:val="22"/>
              </w:rPr>
              <w:t>511mm</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2.1.14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探测器数据采样率：≥1320 views/圈</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
                <w:bCs/>
                <w:sz w:val="22"/>
              </w:rPr>
            </w:pPr>
            <w:r>
              <w:rPr>
                <w:rFonts w:hint="eastAsia" w:ascii="宋体" w:hAnsi="宋体" w:cs="Arial"/>
                <w:b/>
                <w:bCs/>
                <w:sz w:val="22"/>
              </w:rPr>
              <w:t>2.2</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扫描床系统</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2.2.1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床水平可扫描范围：≥1200 mm</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2.2.2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床水平移动最大速度：≥100mm/s</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2.2.3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病人床承重量：≥150kg</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2.2.4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床水平移动精度：≤±0.25mm</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2.2.5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病人床附件：标准</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
                <w:bCs/>
                <w:sz w:val="22"/>
              </w:rPr>
            </w:pPr>
            <w:r>
              <w:rPr>
                <w:rFonts w:hint="eastAsia" w:ascii="宋体" w:hAnsi="宋体" w:cs="Arial"/>
                <w:b/>
                <w:bCs/>
                <w:sz w:val="22"/>
              </w:rPr>
              <w:t>2.3</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X线球管及高压发生器</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球管阳极热容量：≥3.5MHU</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球管最大电流：≥2</w:t>
            </w:r>
            <w:r>
              <w:rPr>
                <w:rFonts w:ascii="宋体" w:hAnsi="宋体" w:cs="Arial"/>
                <w:sz w:val="22"/>
              </w:rPr>
              <w:t>30</w:t>
            </w:r>
            <w:r>
              <w:rPr>
                <w:rFonts w:hint="eastAsia" w:ascii="宋体" w:hAnsi="宋体" w:cs="Arial"/>
                <w:sz w:val="22"/>
              </w:rPr>
              <w:t>mA</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具备5种</w:t>
            </w:r>
            <w:r>
              <w:rPr>
                <w:rFonts w:ascii="宋体" w:hAnsi="宋体" w:cs="Arial"/>
                <w:sz w:val="22"/>
              </w:rPr>
              <w:t>可选</w:t>
            </w:r>
            <w:r>
              <w:rPr>
                <w:rFonts w:hint="eastAsia" w:ascii="宋体" w:hAnsi="宋体" w:cs="Arial"/>
                <w:sz w:val="22"/>
              </w:rPr>
              <w:t>电压</w:t>
            </w:r>
            <w:r>
              <w:rPr>
                <w:rFonts w:ascii="宋体" w:hAnsi="宋体" w:cs="Arial"/>
                <w:sz w:val="22"/>
              </w:rPr>
              <w:t>：</w:t>
            </w:r>
            <w:r>
              <w:rPr>
                <w:rFonts w:ascii="宋体" w:hAnsi="宋体" w:cs="Arial"/>
                <w:sz w:val="20"/>
              </w:rPr>
              <w:t>70</w:t>
            </w:r>
            <w:r>
              <w:rPr>
                <w:rFonts w:hint="eastAsia" w:ascii="宋体" w:hAnsi="宋体" w:cs="Arial"/>
                <w:sz w:val="20"/>
              </w:rPr>
              <w:t>,80</w:t>
            </w:r>
            <w:r>
              <w:rPr>
                <w:rFonts w:ascii="宋体" w:hAnsi="宋体" w:cs="Arial"/>
                <w:sz w:val="20"/>
              </w:rPr>
              <w:t>,</w:t>
            </w:r>
            <w:r>
              <w:rPr>
                <w:rFonts w:hint="eastAsia" w:ascii="宋体" w:hAnsi="宋体" w:cs="Arial"/>
                <w:sz w:val="20"/>
              </w:rPr>
              <w:t>100,</w:t>
            </w:r>
            <w:r>
              <w:rPr>
                <w:rFonts w:ascii="宋体" w:hAnsi="宋体" w:cs="Arial"/>
                <w:sz w:val="20"/>
              </w:rPr>
              <w:t>120,140</w:t>
            </w:r>
            <w:r>
              <w:rPr>
                <w:rFonts w:hint="eastAsia" w:ascii="宋体" w:hAnsi="宋体" w:cs="Arial"/>
                <w:sz w:val="20"/>
              </w:rPr>
              <w:t>KV</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球管最小电压≤70KV</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球管最大电压：≥140KV</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*2.3.6</w:t>
            </w:r>
          </w:p>
        </w:tc>
        <w:tc>
          <w:tcPr>
            <w:tcW w:w="5367" w:type="dxa"/>
            <w:noWrap w:val="0"/>
            <w:vAlign w:val="top"/>
          </w:tcPr>
          <w:p>
            <w:pPr>
              <w:shd w:val="clear" w:color="auto" w:fill="FFFFFF"/>
              <w:jc w:val="both"/>
              <w:rPr>
                <w:rFonts w:hint="eastAsia" w:ascii="宋体" w:hAnsi="宋体" w:cs="Arial"/>
                <w:sz w:val="22"/>
              </w:rPr>
            </w:pPr>
            <w:bookmarkStart w:id="10" w:name="OLE_LINK20"/>
            <w:bookmarkStart w:id="11" w:name="OLE_LINK19"/>
            <w:r>
              <w:rPr>
                <w:rFonts w:hint="eastAsia" w:ascii="宋体" w:hAnsi="宋体" w:cs="Arial"/>
                <w:sz w:val="22"/>
              </w:rPr>
              <w:t>球管双焦点：小焦点：≤0.4×0.7</w:t>
            </w:r>
            <w:r>
              <w:rPr>
                <w:rFonts w:ascii="宋体" w:hAnsi="宋体" w:cs="Arial"/>
                <w:sz w:val="22"/>
              </w:rPr>
              <w:t>m</w:t>
            </w:r>
            <w:r>
              <w:rPr>
                <w:rFonts w:hint="eastAsia" w:ascii="宋体" w:hAnsi="宋体" w:cs="Arial"/>
                <w:sz w:val="22"/>
              </w:rPr>
              <w:t>m</w:t>
            </w:r>
            <w:bookmarkEnd w:id="10"/>
            <w:bookmarkEnd w:id="11"/>
            <w:r>
              <w:rPr>
                <w:rFonts w:hint="eastAsia" w:ascii="宋体" w:hAnsi="宋体" w:cs="Arial"/>
                <w:sz w:val="22"/>
              </w:rPr>
              <w:t>，大焦点：≥0.6×1.3</w:t>
            </w:r>
            <w:r>
              <w:rPr>
                <w:rFonts w:ascii="宋体" w:hAnsi="宋体" w:cs="Arial"/>
                <w:sz w:val="22"/>
              </w:rPr>
              <w:t>m</w:t>
            </w:r>
            <w:r>
              <w:rPr>
                <w:rFonts w:hint="eastAsia" w:ascii="宋体" w:hAnsi="宋体" w:cs="Arial"/>
                <w:sz w:val="22"/>
              </w:rPr>
              <w:t>m</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2.3.7</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发生器功率：</w:t>
            </w:r>
            <w:bookmarkStart w:id="12" w:name="OLE_LINK77"/>
            <w:bookmarkStart w:id="13" w:name="OLE_LINK78"/>
            <w:r>
              <w:rPr>
                <w:rFonts w:hint="eastAsia" w:ascii="宋体" w:hAnsi="宋体" w:cs="Arial"/>
                <w:sz w:val="22"/>
              </w:rPr>
              <w:t>≥</w:t>
            </w:r>
            <w:bookmarkEnd w:id="12"/>
            <w:bookmarkEnd w:id="13"/>
            <w:r>
              <w:rPr>
                <w:rFonts w:hint="eastAsia" w:ascii="宋体" w:hAnsi="宋体" w:cs="Arial"/>
                <w:sz w:val="22"/>
              </w:rPr>
              <w:t>37KW等效功率</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2.3.8</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CT主机、球管和探测器等重要部件均为同一品牌,同一厂家生产</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Cs/>
                <w:sz w:val="22"/>
              </w:rPr>
            </w:pPr>
            <w:r>
              <w:rPr>
                <w:rFonts w:hint="eastAsia" w:ascii="宋体" w:hAnsi="宋体" w:cs="Arial"/>
                <w:bCs/>
                <w:sz w:val="22"/>
              </w:rPr>
              <w:t>2.4</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扫描参数和图像质量</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每圈扫描层数：≥16层/圈</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最短扫描时间：≤0.75s/360°</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2.4.3</w:t>
            </w:r>
          </w:p>
        </w:tc>
        <w:tc>
          <w:tcPr>
            <w:tcW w:w="5367" w:type="dxa"/>
            <w:noWrap w:val="0"/>
            <w:vAlign w:val="top"/>
          </w:tcPr>
          <w:p>
            <w:pPr>
              <w:shd w:val="clear" w:color="auto" w:fill="FFFFFF"/>
              <w:jc w:val="both"/>
              <w:rPr>
                <w:rFonts w:hint="eastAsia" w:ascii="宋体" w:hAnsi="宋体" w:cs="Arial"/>
                <w:sz w:val="22"/>
              </w:rPr>
            </w:pPr>
            <w:bookmarkStart w:id="14" w:name="OLE_LINK23"/>
            <w:bookmarkStart w:id="15" w:name="OLE_LINK22"/>
            <w:bookmarkStart w:id="16" w:name="OLE_LINK21"/>
            <w:r>
              <w:rPr>
                <w:rFonts w:hint="eastAsia" w:ascii="宋体" w:hAnsi="宋体" w:cs="Arial"/>
                <w:sz w:val="22"/>
              </w:rPr>
              <w:t>扫描采集视野：≥4</w:t>
            </w:r>
            <w:r>
              <w:rPr>
                <w:rFonts w:ascii="宋体" w:hAnsi="宋体" w:cs="Arial"/>
                <w:sz w:val="22"/>
              </w:rPr>
              <w:t>50m</w:t>
            </w:r>
            <w:r>
              <w:rPr>
                <w:rFonts w:hint="eastAsia" w:ascii="宋体" w:hAnsi="宋体" w:cs="Arial"/>
                <w:sz w:val="22"/>
              </w:rPr>
              <w:t>m</w:t>
            </w:r>
            <w:bookmarkEnd w:id="14"/>
            <w:bookmarkEnd w:id="15"/>
            <w:bookmarkEnd w:id="16"/>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螺距连续可调：0.5-</w:t>
            </w:r>
            <w:r>
              <w:rPr>
                <w:rFonts w:ascii="宋体" w:hAnsi="宋体" w:cs="Arial"/>
                <w:sz w:val="22"/>
              </w:rPr>
              <w:t>1</w:t>
            </w:r>
            <w:r>
              <w:rPr>
                <w:rFonts w:hint="eastAsia" w:ascii="宋体" w:hAnsi="宋体" w:cs="Arial"/>
                <w:sz w:val="22"/>
              </w:rPr>
              <w:t>.5，连接可调</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最快覆盖速度：≥</w:t>
            </w:r>
            <w:r>
              <w:rPr>
                <w:rFonts w:ascii="宋体" w:hAnsi="宋体" w:cs="Arial"/>
                <w:sz w:val="22"/>
              </w:rPr>
              <w:t>100</w:t>
            </w:r>
            <w:r>
              <w:rPr>
                <w:rFonts w:hint="eastAsia" w:ascii="宋体" w:hAnsi="宋体" w:cs="Arial"/>
                <w:sz w:val="22"/>
              </w:rPr>
              <w:t>mm/s</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2.4.6</w:t>
            </w:r>
          </w:p>
        </w:tc>
        <w:tc>
          <w:tcPr>
            <w:tcW w:w="5367" w:type="dxa"/>
            <w:noWrap w:val="0"/>
            <w:vAlign w:val="top"/>
          </w:tcPr>
          <w:p>
            <w:pPr>
              <w:shd w:val="clear" w:color="auto" w:fill="FFFFFF"/>
              <w:jc w:val="both"/>
              <w:rPr>
                <w:rFonts w:hint="eastAsia" w:ascii="宋体" w:hAnsi="宋体" w:cs="Arial"/>
                <w:sz w:val="22"/>
              </w:rPr>
            </w:pPr>
            <w:bookmarkStart w:id="17" w:name="OLE_LINK28"/>
            <w:bookmarkStart w:id="18" w:name="OLE_LINK29"/>
            <w:r>
              <w:rPr>
                <w:rFonts w:hint="eastAsia" w:ascii="宋体" w:hAnsi="宋体" w:cs="Arial"/>
                <w:sz w:val="22"/>
              </w:rPr>
              <w:t>最大连续螺旋扫描：≥</w:t>
            </w:r>
            <w:r>
              <w:rPr>
                <w:rFonts w:ascii="宋体" w:hAnsi="宋体" w:cs="Arial"/>
                <w:sz w:val="22"/>
              </w:rPr>
              <w:t>10</w:t>
            </w:r>
            <w:r>
              <w:rPr>
                <w:rFonts w:hint="eastAsia" w:ascii="宋体" w:hAnsi="宋体" w:cs="Arial"/>
                <w:sz w:val="22"/>
              </w:rPr>
              <w:t>0秒</w:t>
            </w:r>
            <w:bookmarkEnd w:id="17"/>
            <w:bookmarkEnd w:id="18"/>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2.4.7</w:t>
            </w:r>
          </w:p>
        </w:tc>
        <w:tc>
          <w:tcPr>
            <w:tcW w:w="5367" w:type="dxa"/>
            <w:noWrap w:val="0"/>
            <w:vAlign w:val="top"/>
          </w:tcPr>
          <w:p>
            <w:pPr>
              <w:shd w:val="clear" w:color="auto" w:fill="FFFFFF"/>
              <w:jc w:val="both"/>
              <w:rPr>
                <w:rFonts w:hint="eastAsia" w:ascii="宋体" w:hAnsi="宋体" w:cs="Arial"/>
                <w:sz w:val="22"/>
              </w:rPr>
            </w:pPr>
            <w:bookmarkStart w:id="19" w:name="OLE_LINK30"/>
            <w:bookmarkStart w:id="20" w:name="OLE_LINK31"/>
            <w:r>
              <w:rPr>
                <w:rFonts w:hint="eastAsia" w:ascii="宋体" w:hAnsi="宋体" w:cs="Arial"/>
                <w:sz w:val="22"/>
              </w:rPr>
              <w:t>空间分辨率：≥1</w:t>
            </w:r>
            <w:r>
              <w:rPr>
                <w:rFonts w:ascii="宋体" w:hAnsi="宋体" w:cs="Arial"/>
                <w:sz w:val="22"/>
              </w:rPr>
              <w:t>6.5</w:t>
            </w:r>
            <w:r>
              <w:rPr>
                <w:rFonts w:ascii="宋体" w:hAnsi="宋体" w:cs="Calibri"/>
                <w:sz w:val="19"/>
                <w:szCs w:val="19"/>
              </w:rPr>
              <w:t xml:space="preserve"> </w:t>
            </w:r>
            <w:r>
              <w:rPr>
                <w:rFonts w:hint="eastAsia" w:ascii="宋体" w:hAnsi="宋体" w:cs="Arial"/>
                <w:sz w:val="22"/>
              </w:rPr>
              <w:t>LP/cm@0%MTF</w:t>
            </w:r>
            <w:bookmarkEnd w:id="19"/>
            <w:bookmarkEnd w:id="20"/>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2.4.8</w:t>
            </w:r>
          </w:p>
        </w:tc>
        <w:tc>
          <w:tcPr>
            <w:tcW w:w="5367" w:type="dxa"/>
            <w:noWrap w:val="0"/>
            <w:vAlign w:val="top"/>
          </w:tcPr>
          <w:p>
            <w:pPr>
              <w:shd w:val="clear" w:color="auto" w:fill="FFFFFF"/>
              <w:jc w:val="both"/>
              <w:rPr>
                <w:rFonts w:hint="eastAsia" w:ascii="宋体" w:hAnsi="宋体" w:cs="Arial"/>
                <w:sz w:val="22"/>
              </w:rPr>
            </w:pPr>
            <w:bookmarkStart w:id="21" w:name="OLE_LINK32"/>
            <w:bookmarkStart w:id="22" w:name="OLE_LINK33"/>
            <w:r>
              <w:rPr>
                <w:rFonts w:hint="eastAsia" w:ascii="宋体" w:hAnsi="宋体" w:cs="Arial"/>
                <w:sz w:val="22"/>
              </w:rPr>
              <w:t>密度分辨率：</w:t>
            </w:r>
            <w:bookmarkStart w:id="23" w:name="_Hlt36873688"/>
            <w:r>
              <w:rPr>
                <w:rFonts w:hint="eastAsia" w:ascii="宋体" w:hAnsi="宋体" w:cs="Arial"/>
                <w:sz w:val="22"/>
              </w:rPr>
              <w:t>≤3mm@0.</w:t>
            </w:r>
            <w:bookmarkStart w:id="24" w:name="_Hlt36873682"/>
            <w:bookmarkEnd w:id="24"/>
            <w:bookmarkStart w:id="25" w:name="_Hlt36873681"/>
            <w:bookmarkEnd w:id="25"/>
            <w:r>
              <w:rPr>
                <w:rFonts w:hint="eastAsia" w:ascii="宋体" w:hAnsi="宋体" w:cs="Arial"/>
                <w:sz w:val="22"/>
              </w:rPr>
              <w:t>3%</w:t>
            </w:r>
            <w:bookmarkEnd w:id="21"/>
            <w:bookmarkEnd w:id="22"/>
            <w:bookmarkEnd w:id="23"/>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2.4.9</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噪声：≤0.35%</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2.4.10</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CT值范围：-1024到+307</w:t>
            </w:r>
            <w:r>
              <w:rPr>
                <w:rFonts w:ascii="宋体" w:hAnsi="宋体" w:cs="Arial"/>
                <w:sz w:val="22"/>
              </w:rPr>
              <w:t>1</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bookmarkStart w:id="26" w:name="OLE_LINK35"/>
            <w:bookmarkStart w:id="27" w:name="OLE_LINK34"/>
            <w:r>
              <w:rPr>
                <w:rFonts w:hint="eastAsia" w:ascii="宋体" w:hAnsi="宋体" w:cs="Arial"/>
                <w:sz w:val="22"/>
              </w:rPr>
              <w:t>2.4.1</w:t>
            </w:r>
            <w:bookmarkEnd w:id="26"/>
            <w:bookmarkEnd w:id="27"/>
            <w:r>
              <w:rPr>
                <w:rFonts w:hint="eastAsia" w:ascii="宋体" w:hAnsi="宋体" w:cs="Arial"/>
                <w:sz w:val="22"/>
              </w:rPr>
              <w:t>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标准图像重建矩阵：≥512×512</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*2.4.12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超高分辨率图像重建矩阵：768×768和1024×1024</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Cs/>
                <w:sz w:val="22"/>
              </w:rPr>
            </w:pPr>
            <w:r>
              <w:rPr>
                <w:rFonts w:hint="eastAsia" w:ascii="宋体" w:hAnsi="宋体" w:cs="Arial"/>
                <w:bCs/>
                <w:sz w:val="22"/>
              </w:rPr>
              <w:t>2.5</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计算机系统</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2.5.1</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CPU型号：投标人说明</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2.5.2</w:t>
            </w:r>
          </w:p>
        </w:tc>
        <w:tc>
          <w:tcPr>
            <w:tcW w:w="5367" w:type="dxa"/>
            <w:noWrap w:val="0"/>
            <w:vAlign w:val="top"/>
          </w:tcPr>
          <w:p>
            <w:pPr>
              <w:shd w:val="clear" w:color="auto" w:fill="FFFFFF"/>
              <w:jc w:val="both"/>
              <w:rPr>
                <w:rFonts w:ascii="宋体" w:hAnsi="宋体" w:cs="Arial"/>
                <w:sz w:val="22"/>
              </w:rPr>
            </w:pPr>
            <w:bookmarkStart w:id="28" w:name="OLE_LINK39"/>
            <w:bookmarkStart w:id="29" w:name="OLE_LINK38"/>
            <w:bookmarkStart w:id="30" w:name="OLE_LINK40"/>
            <w:bookmarkStart w:id="31" w:name="OLE_LINK41"/>
            <w:r>
              <w:rPr>
                <w:rFonts w:hint="eastAsia" w:ascii="宋体" w:hAnsi="宋体" w:cs="Arial"/>
                <w:sz w:val="22"/>
              </w:rPr>
              <w:t>主频：≥2.</w:t>
            </w:r>
            <w:r>
              <w:rPr>
                <w:rFonts w:ascii="宋体" w:hAnsi="宋体" w:cs="Arial"/>
                <w:sz w:val="22"/>
              </w:rPr>
              <w:t>8GHz</w:t>
            </w:r>
            <w:bookmarkEnd w:id="28"/>
            <w:bookmarkEnd w:id="29"/>
            <w:bookmarkEnd w:id="30"/>
            <w:bookmarkEnd w:id="31"/>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2.5.3</w:t>
            </w:r>
          </w:p>
        </w:tc>
        <w:tc>
          <w:tcPr>
            <w:tcW w:w="5367" w:type="dxa"/>
            <w:noWrap w:val="0"/>
            <w:vAlign w:val="top"/>
          </w:tcPr>
          <w:p>
            <w:pPr>
              <w:shd w:val="clear" w:color="auto" w:fill="FFFFFF"/>
              <w:jc w:val="both"/>
              <w:rPr>
                <w:rFonts w:hint="eastAsia" w:ascii="宋体" w:hAnsi="宋体" w:cs="Arial"/>
                <w:sz w:val="22"/>
              </w:rPr>
            </w:pPr>
            <w:bookmarkStart w:id="32" w:name="OLE_LINK42"/>
            <w:bookmarkStart w:id="33" w:name="OLE_LINK43"/>
            <w:r>
              <w:rPr>
                <w:rFonts w:hint="eastAsia" w:ascii="宋体" w:hAnsi="宋体" w:cs="Arial"/>
                <w:sz w:val="22"/>
              </w:rPr>
              <w:t>内存：≥</w:t>
            </w:r>
            <w:r>
              <w:rPr>
                <w:rFonts w:ascii="宋体" w:hAnsi="宋体" w:cs="Arial"/>
                <w:sz w:val="22"/>
              </w:rPr>
              <w:t>8</w:t>
            </w:r>
            <w:r>
              <w:rPr>
                <w:rFonts w:hint="eastAsia" w:ascii="宋体" w:hAnsi="宋体" w:cs="Arial"/>
                <w:sz w:val="22"/>
              </w:rPr>
              <w:t>.0GB</w:t>
            </w:r>
            <w:bookmarkEnd w:id="32"/>
            <w:bookmarkEnd w:id="33"/>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2.5.4</w:t>
            </w:r>
          </w:p>
        </w:tc>
        <w:tc>
          <w:tcPr>
            <w:tcW w:w="5367" w:type="dxa"/>
            <w:noWrap w:val="0"/>
            <w:vAlign w:val="top"/>
          </w:tcPr>
          <w:p>
            <w:pPr>
              <w:shd w:val="clear" w:color="auto" w:fill="FFFFFF"/>
              <w:jc w:val="both"/>
              <w:rPr>
                <w:rFonts w:hint="eastAsia" w:ascii="宋体" w:hAnsi="宋体" w:cs="Arial"/>
                <w:sz w:val="22"/>
              </w:rPr>
            </w:pPr>
            <w:bookmarkStart w:id="34" w:name="OLE_LINK44"/>
            <w:bookmarkStart w:id="35" w:name="OLE_LINK45"/>
            <w:r>
              <w:rPr>
                <w:rFonts w:hint="eastAsia" w:ascii="宋体" w:hAnsi="宋体" w:cs="Arial"/>
                <w:sz w:val="22"/>
              </w:rPr>
              <w:t>硬盘容量：≥</w:t>
            </w:r>
            <w:r>
              <w:rPr>
                <w:rFonts w:ascii="宋体" w:hAnsi="宋体" w:cs="Arial"/>
                <w:sz w:val="22"/>
              </w:rPr>
              <w:t>1T</w:t>
            </w:r>
            <w:r>
              <w:rPr>
                <w:rFonts w:hint="eastAsia" w:ascii="宋体" w:hAnsi="宋体" w:cs="Arial"/>
                <w:sz w:val="22"/>
              </w:rPr>
              <w:t>B</w:t>
            </w:r>
            <w:bookmarkEnd w:id="34"/>
            <w:bookmarkEnd w:id="35"/>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图像显示矩阵：≥1024×1024</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2.5.6</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 xml:space="preserve">图像重建速度：≥10幅/秒 </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bCs/>
                <w:sz w:val="22"/>
              </w:rPr>
            </w:pPr>
            <w:r>
              <w:rPr>
                <w:rFonts w:hint="eastAsia" w:ascii="宋体" w:hAnsi="宋体" w:cs="Arial"/>
                <w:sz w:val="22"/>
              </w:rPr>
              <w:t>2.5.7</w:t>
            </w:r>
          </w:p>
        </w:tc>
        <w:tc>
          <w:tcPr>
            <w:tcW w:w="5367" w:type="dxa"/>
            <w:noWrap w:val="0"/>
            <w:vAlign w:val="top"/>
          </w:tcPr>
          <w:p>
            <w:pPr>
              <w:shd w:val="clear" w:color="auto" w:fill="FFFFFF"/>
              <w:jc w:val="both"/>
              <w:rPr>
                <w:rFonts w:ascii="宋体" w:hAnsi="宋体" w:cs="Arial"/>
                <w:sz w:val="22"/>
              </w:rPr>
            </w:pPr>
            <w:r>
              <w:rPr>
                <w:rFonts w:hint="eastAsia" w:ascii="宋体" w:hAnsi="宋体" w:cs="Arial"/>
                <w:sz w:val="22"/>
              </w:rPr>
              <w:t>存储系统：</w:t>
            </w:r>
            <w:r>
              <w:rPr>
                <w:rFonts w:ascii="宋体" w:hAnsi="宋体" w:cs="Arial"/>
                <w:sz w:val="22"/>
              </w:rPr>
              <w:t>CD-RW</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2.5.8</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外设存储系统：DVD刻录；容量≥4.7GB</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2.5.9</w:t>
            </w:r>
          </w:p>
        </w:tc>
        <w:tc>
          <w:tcPr>
            <w:tcW w:w="5367" w:type="dxa"/>
            <w:noWrap w:val="0"/>
            <w:vAlign w:val="top"/>
          </w:tcPr>
          <w:p>
            <w:pPr>
              <w:shd w:val="clear" w:color="auto" w:fill="FFFFFF"/>
              <w:jc w:val="both"/>
              <w:rPr>
                <w:rFonts w:hint="eastAsia" w:ascii="宋体" w:hAnsi="宋体" w:cs="Arial"/>
                <w:sz w:val="22"/>
              </w:rPr>
            </w:pPr>
            <w:bookmarkStart w:id="36" w:name="OLE_LINK50"/>
            <w:bookmarkStart w:id="37" w:name="OLE_LINK49"/>
            <w:bookmarkStart w:id="38" w:name="OLE_LINK48"/>
            <w:r>
              <w:rPr>
                <w:rFonts w:hint="eastAsia" w:ascii="宋体" w:hAnsi="宋体" w:cs="Arial"/>
                <w:sz w:val="22"/>
              </w:rPr>
              <w:t>图像存储量：≥</w:t>
            </w:r>
            <w:r>
              <w:rPr>
                <w:rFonts w:ascii="宋体" w:hAnsi="宋体" w:cs="Arial"/>
                <w:sz w:val="22"/>
              </w:rPr>
              <w:t>76</w:t>
            </w:r>
            <w:r>
              <w:rPr>
                <w:rFonts w:hint="eastAsia" w:ascii="宋体" w:hAnsi="宋体" w:cs="Arial"/>
                <w:sz w:val="22"/>
              </w:rPr>
              <w:t>0,000幅</w:t>
            </w:r>
          </w:p>
          <w:p>
            <w:pPr>
              <w:shd w:val="clear" w:color="auto" w:fill="FFFFFF"/>
              <w:jc w:val="both"/>
              <w:rPr>
                <w:rFonts w:hint="eastAsia" w:ascii="宋体" w:hAnsi="宋体" w:cs="Arial"/>
                <w:sz w:val="22"/>
              </w:rPr>
            </w:pPr>
            <w:r>
              <w:rPr>
                <w:rFonts w:hint="eastAsia" w:ascii="宋体" w:hAnsi="宋体" w:cs="Arial"/>
                <w:sz w:val="22"/>
              </w:rPr>
              <w:t>(512矩阵不压缩图像)</w:t>
            </w:r>
            <w:bookmarkEnd w:id="36"/>
            <w:bookmarkEnd w:id="37"/>
            <w:bookmarkEnd w:id="38"/>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2.5.10</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显示器：≥19″，液晶显示器，1280×1024</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2.5.11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图像格式和传输存储：标准DICOM 3.0</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2.5.12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自动语言提示功能：提供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2.5.13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操作台可进行图像后处理功能，MPR/MIP/ 3D SSD/：提供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2.5.14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自动照相功能：提供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2.5.15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逻辑智能化操作界面：提供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ascii="宋体" w:hAnsi="宋体" w:cs="Arial"/>
                <w:sz w:val="22"/>
              </w:rPr>
            </w:pPr>
            <w:r>
              <w:rPr>
                <w:rFonts w:hint="eastAsia" w:ascii="宋体" w:hAnsi="宋体" w:cs="Arial"/>
                <w:sz w:val="22"/>
              </w:rPr>
              <w:t>2.5.16</w:t>
            </w:r>
          </w:p>
        </w:tc>
        <w:tc>
          <w:tcPr>
            <w:tcW w:w="5367" w:type="dxa"/>
            <w:noWrap w:val="0"/>
            <w:vAlign w:val="top"/>
          </w:tcPr>
          <w:p>
            <w:pPr>
              <w:shd w:val="clear" w:color="auto" w:fill="FFFFFF"/>
              <w:jc w:val="both"/>
              <w:rPr>
                <w:rFonts w:hint="eastAsia" w:ascii="宋体" w:hAnsi="宋体" w:cs="Arial"/>
                <w:sz w:val="22"/>
              </w:rPr>
            </w:pPr>
            <w:r>
              <w:rPr>
                <w:rFonts w:ascii="宋体" w:hAnsi="宋体" w:cs="Arial"/>
                <w:sz w:val="22"/>
                <w:szCs w:val="22"/>
              </w:rPr>
              <w:t>DICOM Modality Worklist 患者列表软件</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Cs/>
                <w:sz w:val="22"/>
              </w:rPr>
            </w:pPr>
            <w:r>
              <w:rPr>
                <w:rFonts w:hint="eastAsia" w:ascii="宋体" w:hAnsi="宋体" w:cs="Arial"/>
                <w:bCs/>
                <w:sz w:val="22"/>
              </w:rPr>
              <w:t>2.6</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临床应用软件</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多平面重建MPR：提供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任意曲面重建CVMPR：提供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最大密度投影MIP：提供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最小密度投影MinP：提供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CT血管成像CTA：提供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2.6.6</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容积处理软件VR：提供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2.6.7</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自动窗宽窗位成像：提供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2.6.8</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CT电影CINE：提供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2.6.9</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虚拟内镜CTE：提供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2.6.10</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动态扫描CT时间密度曲线：提供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2.6.11</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容积伪影去除：提供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MAR去金属伪影软件：提供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造影剂注射试验软件：提供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自动mA选择功能：提供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2.6.15</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动态mA调制功能：提供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2.6.16</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婴幼儿扫描专用软件包：提供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r>
              <w:rPr>
                <w:rFonts w:hint="eastAsia" w:ascii="宋体" w:hAnsi="宋体" w:cs="Arial"/>
                <w:sz w:val="22"/>
              </w:rPr>
              <w:t>2.6.17</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全中文操作界面：提供</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b/>
                <w:bCs/>
                <w:sz w:val="22"/>
                <w:szCs w:val="22"/>
              </w:rPr>
            </w:pPr>
            <w:r>
              <w:rPr>
                <w:rFonts w:ascii="宋体" w:hAnsi="宋体" w:cs="Arial"/>
                <w:b/>
                <w:bCs/>
                <w:sz w:val="22"/>
                <w:szCs w:val="22"/>
              </w:rPr>
              <w:t>2.</w:t>
            </w:r>
            <w:r>
              <w:rPr>
                <w:rFonts w:hint="eastAsia" w:ascii="宋体" w:hAnsi="宋体" w:cs="Arial"/>
                <w:b/>
                <w:bCs/>
                <w:sz w:val="22"/>
                <w:szCs w:val="22"/>
              </w:rPr>
              <w:t>7</w:t>
            </w:r>
          </w:p>
        </w:tc>
        <w:tc>
          <w:tcPr>
            <w:tcW w:w="5367" w:type="dxa"/>
            <w:noWrap w:val="0"/>
            <w:vAlign w:val="top"/>
          </w:tcPr>
          <w:p>
            <w:pPr>
              <w:jc w:val="both"/>
              <w:rPr>
                <w:rFonts w:ascii="宋体" w:hAnsi="宋体" w:cs="Arial"/>
                <w:b/>
                <w:bCs/>
                <w:sz w:val="22"/>
              </w:rPr>
            </w:pPr>
            <w:r>
              <w:rPr>
                <w:rFonts w:hint="eastAsia" w:ascii="宋体" w:hAnsi="宋体" w:cs="Arial"/>
                <w:b/>
                <w:bCs/>
                <w:sz w:val="22"/>
              </w:rPr>
              <w:t>低剂量平台</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bCs/>
                <w:sz w:val="22"/>
                <w:szCs w:val="22"/>
              </w:rPr>
            </w:pPr>
            <w:r>
              <w:rPr>
                <w:rFonts w:ascii="宋体" w:hAnsi="宋体" w:cs="Arial"/>
                <w:bCs/>
                <w:sz w:val="22"/>
                <w:szCs w:val="22"/>
              </w:rPr>
              <w:t>2.7.1</w:t>
            </w:r>
          </w:p>
        </w:tc>
        <w:tc>
          <w:tcPr>
            <w:tcW w:w="5367" w:type="dxa"/>
            <w:noWrap w:val="0"/>
            <w:vAlign w:val="top"/>
          </w:tcPr>
          <w:p>
            <w:pPr>
              <w:jc w:val="both"/>
              <w:rPr>
                <w:rFonts w:hint="eastAsia" w:ascii="宋体" w:hAnsi="宋体" w:cs="Arial"/>
                <w:sz w:val="22"/>
              </w:rPr>
            </w:pPr>
            <w:r>
              <w:rPr>
                <w:rFonts w:hint="eastAsia" w:ascii="宋体" w:hAnsi="宋体" w:cs="Arial"/>
                <w:sz w:val="22"/>
              </w:rPr>
              <w:t>在扫描、成像和整个工作流中进行实时剂量</w:t>
            </w:r>
            <w:r>
              <w:rPr>
                <w:rFonts w:ascii="宋体" w:hAnsi="宋体" w:cs="Arial"/>
                <w:sz w:val="22"/>
              </w:rPr>
              <w:t>追踪</w:t>
            </w:r>
            <w:r>
              <w:rPr>
                <w:rFonts w:hint="eastAsia" w:ascii="宋体" w:hAnsi="宋体" w:cs="Arial"/>
                <w:sz w:val="22"/>
              </w:rPr>
              <w:t>，降低扫描剂量、减低噪声和去除伪影。</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sz w:val="22"/>
                <w:szCs w:val="22"/>
              </w:rPr>
            </w:pPr>
            <w:r>
              <w:rPr>
                <w:rFonts w:hint="eastAsia" w:ascii="宋体" w:hAnsi="宋体" w:cs="Arial"/>
                <w:sz w:val="22"/>
                <w:szCs w:val="22"/>
              </w:rPr>
              <w:t>2.7.2</w:t>
            </w:r>
          </w:p>
        </w:tc>
        <w:tc>
          <w:tcPr>
            <w:tcW w:w="5367" w:type="dxa"/>
            <w:noWrap w:val="0"/>
            <w:vAlign w:val="top"/>
          </w:tcPr>
          <w:p>
            <w:pPr>
              <w:jc w:val="both"/>
              <w:rPr>
                <w:rFonts w:ascii="宋体" w:hAnsi="宋体" w:cs="Arial"/>
                <w:sz w:val="22"/>
              </w:rPr>
            </w:pPr>
            <w:r>
              <w:rPr>
                <w:rFonts w:hint="eastAsia" w:ascii="宋体" w:hAnsi="宋体" w:cs="Arial"/>
                <w:sz w:val="22"/>
              </w:rPr>
              <w:t>提供Adaptive filter 自适应迭代滤波技术</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sz w:val="22"/>
                <w:szCs w:val="22"/>
              </w:rPr>
            </w:pPr>
            <w:r>
              <w:rPr>
                <w:rFonts w:ascii="宋体" w:hAnsi="宋体" w:cs="Arial"/>
                <w:sz w:val="22"/>
                <w:szCs w:val="22"/>
              </w:rPr>
              <w:t>2.</w:t>
            </w:r>
            <w:r>
              <w:rPr>
                <w:rFonts w:hint="eastAsia" w:ascii="宋体" w:hAnsi="宋体" w:cs="Arial"/>
                <w:sz w:val="22"/>
                <w:szCs w:val="22"/>
              </w:rPr>
              <w:t>7</w:t>
            </w:r>
            <w:r>
              <w:rPr>
                <w:rFonts w:ascii="宋体" w:hAnsi="宋体" w:cs="Arial"/>
                <w:sz w:val="22"/>
                <w:szCs w:val="22"/>
              </w:rPr>
              <w:t>.3</w:t>
            </w:r>
          </w:p>
        </w:tc>
        <w:tc>
          <w:tcPr>
            <w:tcW w:w="5367" w:type="dxa"/>
            <w:noWrap w:val="0"/>
            <w:vAlign w:val="top"/>
          </w:tcPr>
          <w:p>
            <w:pPr>
              <w:jc w:val="both"/>
              <w:rPr>
                <w:rFonts w:hint="eastAsia" w:ascii="宋体" w:hAnsi="宋体" w:cs="Arial"/>
                <w:sz w:val="22"/>
              </w:rPr>
            </w:pPr>
            <w:r>
              <w:rPr>
                <w:rFonts w:hint="eastAsia" w:ascii="宋体" w:hAnsi="宋体" w:cs="Arial"/>
                <w:sz w:val="22"/>
              </w:rPr>
              <w:t>提供Dose</w:t>
            </w:r>
            <w:r>
              <w:rPr>
                <w:rFonts w:ascii="宋体" w:hAnsi="宋体" w:cs="Arial"/>
                <w:sz w:val="22"/>
              </w:rPr>
              <w:t xml:space="preserve"> </w:t>
            </w:r>
            <w:r>
              <w:rPr>
                <w:rFonts w:hint="eastAsia" w:ascii="宋体" w:hAnsi="宋体" w:cs="Arial"/>
                <w:sz w:val="22"/>
              </w:rPr>
              <w:t>Right 智能剂量调控，扫描环节降低剂量，按照患者不同部位、不同的投射角度自动调整最低扫描剂量，保证最佳的图像质量。</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sz w:val="22"/>
                <w:szCs w:val="22"/>
              </w:rPr>
            </w:pPr>
            <w:r>
              <w:rPr>
                <w:rFonts w:ascii="宋体" w:hAnsi="宋体" w:cs="Arial"/>
                <w:sz w:val="22"/>
                <w:szCs w:val="22"/>
              </w:rPr>
              <w:t>2.</w:t>
            </w:r>
            <w:r>
              <w:rPr>
                <w:rFonts w:hint="eastAsia" w:ascii="宋体" w:hAnsi="宋体" w:cs="Arial"/>
                <w:sz w:val="22"/>
                <w:szCs w:val="22"/>
              </w:rPr>
              <w:t>7</w:t>
            </w:r>
            <w:r>
              <w:rPr>
                <w:rFonts w:ascii="宋体" w:hAnsi="宋体" w:cs="Arial"/>
                <w:sz w:val="22"/>
                <w:szCs w:val="22"/>
              </w:rPr>
              <w:t>.4</w:t>
            </w:r>
          </w:p>
        </w:tc>
        <w:tc>
          <w:tcPr>
            <w:tcW w:w="5367" w:type="dxa"/>
            <w:noWrap w:val="0"/>
            <w:vAlign w:val="top"/>
          </w:tcPr>
          <w:p>
            <w:pPr>
              <w:jc w:val="both"/>
              <w:rPr>
                <w:rFonts w:ascii="宋体" w:hAnsi="宋体" w:cs="Arial"/>
                <w:sz w:val="22"/>
              </w:rPr>
            </w:pPr>
            <w:r>
              <w:rPr>
                <w:rFonts w:ascii="宋体" w:hAnsi="宋体" w:cs="Arial"/>
                <w:sz w:val="22"/>
              </w:rPr>
              <w:t>在整个成像过程中实时剂量追踪</w:t>
            </w:r>
            <w:r>
              <w:rPr>
                <w:rFonts w:hint="eastAsia" w:ascii="宋体" w:hAnsi="宋体" w:cs="Arial"/>
                <w:sz w:val="22"/>
              </w:rPr>
              <w:t>。</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b/>
                <w:sz w:val="22"/>
              </w:rPr>
            </w:pPr>
            <w:r>
              <w:rPr>
                <w:rFonts w:hint="eastAsia" w:ascii="宋体" w:hAnsi="宋体" w:cs="Arial"/>
                <w:b/>
                <w:sz w:val="22"/>
              </w:rPr>
              <w:t>2.8</w:t>
            </w:r>
          </w:p>
        </w:tc>
        <w:tc>
          <w:tcPr>
            <w:tcW w:w="5367" w:type="dxa"/>
            <w:noWrap w:val="0"/>
            <w:vAlign w:val="top"/>
          </w:tcPr>
          <w:p>
            <w:pPr>
              <w:jc w:val="both"/>
              <w:rPr>
                <w:rFonts w:ascii="宋体" w:hAnsi="宋体" w:cs="Arial"/>
                <w:b/>
                <w:sz w:val="22"/>
              </w:rPr>
            </w:pPr>
            <w:r>
              <w:rPr>
                <w:rFonts w:hint="eastAsia" w:ascii="宋体" w:hAnsi="宋体" w:cs="Arial"/>
                <w:b/>
                <w:sz w:val="22"/>
              </w:rPr>
              <w:t>附件</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sz w:val="22"/>
              </w:rPr>
            </w:pPr>
            <w:r>
              <w:rPr>
                <w:rFonts w:hint="eastAsia" w:ascii="宋体" w:hAnsi="宋体" w:cs="Arial"/>
                <w:sz w:val="22"/>
              </w:rPr>
              <w:t>2.8.1</w:t>
            </w:r>
          </w:p>
        </w:tc>
        <w:tc>
          <w:tcPr>
            <w:tcW w:w="5367" w:type="dxa"/>
            <w:noWrap w:val="0"/>
            <w:vAlign w:val="top"/>
          </w:tcPr>
          <w:p>
            <w:pPr>
              <w:jc w:val="both"/>
              <w:rPr>
                <w:rFonts w:ascii="宋体" w:hAnsi="宋体" w:cs="Arial"/>
                <w:sz w:val="22"/>
              </w:rPr>
            </w:pPr>
            <w:r>
              <w:rPr>
                <w:rFonts w:hint="eastAsia" w:ascii="宋体" w:hAnsi="宋体" w:cs="Arial"/>
                <w:sz w:val="22"/>
              </w:rPr>
              <w:t>头托、头</w:t>
            </w:r>
            <w:r>
              <w:rPr>
                <w:rFonts w:ascii="宋体" w:hAnsi="宋体" w:cs="Arial"/>
                <w:sz w:val="22"/>
              </w:rPr>
              <w:t>垫</w:t>
            </w:r>
            <w:r>
              <w:rPr>
                <w:rFonts w:hint="eastAsia" w:ascii="宋体" w:hAnsi="宋体" w:cs="Arial"/>
                <w:sz w:val="22"/>
              </w:rPr>
              <w:t>：标配</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sz w:val="22"/>
              </w:rPr>
            </w:pPr>
            <w:r>
              <w:rPr>
                <w:rFonts w:hint="eastAsia" w:ascii="宋体" w:hAnsi="宋体" w:cs="Arial"/>
                <w:sz w:val="22"/>
              </w:rPr>
              <w:t>2.8.2</w:t>
            </w:r>
          </w:p>
        </w:tc>
        <w:tc>
          <w:tcPr>
            <w:tcW w:w="5367" w:type="dxa"/>
            <w:noWrap w:val="0"/>
            <w:vAlign w:val="top"/>
          </w:tcPr>
          <w:p>
            <w:pPr>
              <w:jc w:val="both"/>
              <w:rPr>
                <w:rFonts w:ascii="宋体" w:hAnsi="宋体" w:cs="Arial"/>
                <w:sz w:val="22"/>
              </w:rPr>
            </w:pPr>
            <w:r>
              <w:rPr>
                <w:rFonts w:hint="eastAsia" w:ascii="宋体" w:hAnsi="宋体" w:cs="Arial"/>
                <w:sz w:val="22"/>
              </w:rPr>
              <w:t>主计算机用不间断电源：30分钟</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rPr>
                <w:rFonts w:ascii="宋体" w:hAnsi="宋体" w:cs="Arial"/>
                <w:sz w:val="22"/>
              </w:rPr>
            </w:pPr>
            <w:r>
              <w:rPr>
                <w:rFonts w:hint="eastAsia" w:ascii="宋体" w:hAnsi="宋体" w:cs="Arial"/>
                <w:sz w:val="22"/>
              </w:rPr>
              <w:t>2.8.3</w:t>
            </w:r>
          </w:p>
        </w:tc>
        <w:tc>
          <w:tcPr>
            <w:tcW w:w="5367" w:type="dxa"/>
            <w:noWrap w:val="0"/>
            <w:vAlign w:val="top"/>
          </w:tcPr>
          <w:p>
            <w:pPr>
              <w:jc w:val="both"/>
              <w:rPr>
                <w:rFonts w:ascii="宋体" w:hAnsi="宋体" w:cs="Arial"/>
                <w:sz w:val="22"/>
              </w:rPr>
            </w:pPr>
            <w:r>
              <w:rPr>
                <w:rFonts w:hint="eastAsia" w:ascii="宋体" w:hAnsi="宋体" w:cs="Arial"/>
                <w:sz w:val="22"/>
              </w:rPr>
              <w:t>主控台工作桌</w:t>
            </w: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p>
        </w:tc>
        <w:tc>
          <w:tcPr>
            <w:tcW w:w="5367" w:type="dxa"/>
            <w:noWrap w:val="0"/>
            <w:vAlign w:val="top"/>
          </w:tcPr>
          <w:p>
            <w:pPr>
              <w:shd w:val="clear" w:color="auto" w:fill="FFFFFF"/>
              <w:jc w:val="both"/>
              <w:rPr>
                <w:rFonts w:hint="eastAsia" w:ascii="宋体" w:hAnsi="宋体" w:cs="Arial"/>
                <w:sz w:val="22"/>
              </w:rPr>
            </w:pPr>
          </w:p>
        </w:tc>
        <w:tc>
          <w:tcPr>
            <w:tcW w:w="1502" w:type="dxa"/>
            <w:noWrap w:val="0"/>
            <w:vAlign w:val="top"/>
          </w:tcPr>
          <w:p>
            <w:pPr>
              <w:shd w:val="clear" w:color="auto" w:fill="FFFFFF"/>
              <w:jc w:val="both"/>
              <w:rPr>
                <w:rFonts w:hint="eastAsia" w:ascii="宋体" w:hAnsi="宋体" w:cs="Arial"/>
                <w:sz w:val="22"/>
              </w:rPr>
            </w:pPr>
          </w:p>
        </w:tc>
        <w:tc>
          <w:tcPr>
            <w:tcW w:w="1073" w:type="dxa"/>
            <w:noWrap w:val="0"/>
            <w:vAlign w:val="top"/>
          </w:tcPr>
          <w:p>
            <w:pPr>
              <w:shd w:val="clear" w:color="auto" w:fill="FFFFFF"/>
              <w:jc w:val="both"/>
              <w:rPr>
                <w:rFonts w:hint="eastAsia"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b/>
                <w:bCs/>
                <w:sz w:val="22"/>
              </w:rPr>
            </w:pPr>
            <w:r>
              <w:rPr>
                <w:rFonts w:hint="eastAsia" w:ascii="宋体" w:hAnsi="宋体" w:cs="Arial"/>
                <w:b/>
                <w:bCs/>
                <w:sz w:val="22"/>
              </w:rPr>
              <w:t>2.9</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b/>
                <w:bCs/>
                <w:sz w:val="22"/>
              </w:rPr>
              <w:t>售后服务和要求</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2.9.1</w:t>
            </w:r>
          </w:p>
        </w:tc>
        <w:tc>
          <w:tcPr>
            <w:tcW w:w="5367" w:type="dxa"/>
            <w:noWrap w:val="0"/>
            <w:vAlign w:val="top"/>
          </w:tcPr>
          <w:p>
            <w:pPr>
              <w:shd w:val="clear" w:color="auto" w:fill="FFFFFF"/>
              <w:jc w:val="both"/>
              <w:rPr>
                <w:rFonts w:hint="eastAsia" w:ascii="宋体" w:hAnsi="宋体" w:cs="Arial"/>
                <w:b/>
                <w:bCs/>
                <w:sz w:val="22"/>
              </w:rPr>
            </w:pPr>
            <w:r>
              <w:rPr>
                <w:rFonts w:hint="eastAsia" w:ascii="宋体" w:hAnsi="宋体" w:cs="Arial"/>
                <w:sz w:val="22"/>
              </w:rPr>
              <w:t>整机保修：1年</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2.9.2</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提供完整的使用手册：安装时院方验收</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2.9.3</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提供培训计划：投标人说明</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noWrap w:val="0"/>
            <w:vAlign w:val="top"/>
          </w:tcPr>
          <w:p>
            <w:pPr>
              <w:shd w:val="clear" w:color="auto" w:fill="FFFFFF"/>
              <w:rPr>
                <w:rFonts w:hint="eastAsia" w:ascii="宋体" w:hAnsi="宋体" w:cs="Arial"/>
                <w:sz w:val="22"/>
              </w:rPr>
            </w:pPr>
            <w:r>
              <w:rPr>
                <w:rFonts w:hint="eastAsia" w:ascii="宋体" w:hAnsi="宋体" w:cs="Arial"/>
                <w:sz w:val="22"/>
              </w:rPr>
              <w:t>*2.9.4</w:t>
            </w:r>
          </w:p>
        </w:tc>
        <w:tc>
          <w:tcPr>
            <w:tcW w:w="5367" w:type="dxa"/>
            <w:noWrap w:val="0"/>
            <w:vAlign w:val="top"/>
          </w:tcPr>
          <w:p>
            <w:pPr>
              <w:shd w:val="clear" w:color="auto" w:fill="FFFFFF"/>
              <w:jc w:val="both"/>
              <w:rPr>
                <w:rFonts w:hint="eastAsia" w:ascii="宋体" w:hAnsi="宋体" w:cs="Arial"/>
                <w:sz w:val="22"/>
              </w:rPr>
            </w:pPr>
            <w:r>
              <w:rPr>
                <w:rFonts w:hint="eastAsia" w:ascii="宋体" w:hAnsi="宋体" w:cs="Arial"/>
                <w:sz w:val="22"/>
              </w:rPr>
              <w:t>提供产品datasheet</w:t>
            </w:r>
          </w:p>
        </w:tc>
        <w:tc>
          <w:tcPr>
            <w:tcW w:w="1502" w:type="dxa"/>
            <w:noWrap w:val="0"/>
            <w:vAlign w:val="top"/>
          </w:tcPr>
          <w:p>
            <w:pPr>
              <w:shd w:val="clear" w:color="auto" w:fill="FFFFFF"/>
              <w:jc w:val="both"/>
              <w:rPr>
                <w:rFonts w:ascii="宋体" w:hAnsi="宋体" w:cs="Arial"/>
                <w:sz w:val="22"/>
              </w:rPr>
            </w:pPr>
          </w:p>
        </w:tc>
        <w:tc>
          <w:tcPr>
            <w:tcW w:w="1073" w:type="dxa"/>
            <w:noWrap w:val="0"/>
            <w:vAlign w:val="top"/>
          </w:tcPr>
          <w:p>
            <w:pPr>
              <w:shd w:val="clear" w:color="auto" w:fill="FFFFFF"/>
              <w:jc w:val="both"/>
              <w:rPr>
                <w:rFonts w:ascii="宋体" w:hAnsi="宋体" w:cs="Arial"/>
                <w:sz w:val="22"/>
              </w:rPr>
            </w:pPr>
          </w:p>
        </w:tc>
      </w:tr>
    </w:tbl>
    <w:p>
      <w:pPr>
        <w:pStyle w:val="3"/>
        <w:numPr>
          <w:ilvl w:val="0"/>
          <w:numId w:val="0"/>
        </w:numPr>
        <w:spacing w:before="240" w:after="240" w:line="360" w:lineRule="auto"/>
        <w:ind w:firstLine="1285" w:firstLineChars="400"/>
        <w:jc w:val="both"/>
        <w:rPr>
          <w:rFonts w:hint="eastAsia" w:ascii="宋体" w:hAnsi="宋体" w:eastAsia="宋体"/>
          <w:sz w:val="32"/>
          <w:szCs w:val="32"/>
        </w:rPr>
      </w:pPr>
    </w:p>
    <w:p>
      <w:pPr>
        <w:pStyle w:val="3"/>
        <w:numPr>
          <w:ilvl w:val="0"/>
          <w:numId w:val="0"/>
        </w:numPr>
        <w:spacing w:before="240" w:after="240" w:line="360" w:lineRule="auto"/>
        <w:ind w:firstLine="1285" w:firstLineChars="400"/>
        <w:jc w:val="both"/>
        <w:rPr>
          <w:rFonts w:ascii="宋体" w:hAnsi="宋体" w:eastAsia="宋体"/>
          <w:sz w:val="32"/>
          <w:szCs w:val="32"/>
        </w:rPr>
      </w:pPr>
      <w:r>
        <w:rPr>
          <w:rFonts w:hint="eastAsia" w:ascii="宋体" w:hAnsi="宋体" w:eastAsia="宋体"/>
          <w:sz w:val="32"/>
          <w:szCs w:val="32"/>
        </w:rPr>
        <w:t>放射医学影像工作站参数</w:t>
      </w:r>
    </w:p>
    <w:p>
      <w:pPr>
        <w:pStyle w:val="10"/>
        <w:numPr>
          <w:ilvl w:val="0"/>
          <w:numId w:val="9"/>
        </w:numPr>
        <w:spacing w:line="276" w:lineRule="auto"/>
        <w:ind w:firstLineChars="0"/>
        <w:jc w:val="left"/>
        <w:rPr>
          <w:rFonts w:ascii="宋体" w:hAnsi="宋体"/>
          <w:sz w:val="32"/>
          <w:szCs w:val="32"/>
        </w:rPr>
      </w:pPr>
      <w:r>
        <w:rPr>
          <w:rFonts w:hint="eastAsia" w:ascii="宋体" w:hAnsi="宋体"/>
          <w:sz w:val="32"/>
          <w:szCs w:val="32"/>
        </w:rPr>
        <w:t>资质要求</w:t>
      </w:r>
    </w:p>
    <w:p>
      <w:pPr>
        <w:numPr>
          <w:ilvl w:val="0"/>
          <w:numId w:val="10"/>
        </w:numPr>
        <w:spacing w:line="420" w:lineRule="exact"/>
        <w:rPr>
          <w:rFonts w:hint="eastAsia" w:ascii="宋体" w:hAnsi="宋体"/>
          <w:szCs w:val="21"/>
        </w:rPr>
      </w:pPr>
      <w:r>
        <w:rPr>
          <w:rFonts w:hint="eastAsia" w:ascii="宋体" w:hAnsi="宋体"/>
          <w:szCs w:val="21"/>
        </w:rPr>
        <w:t>具有医疗器械注册证、具有ISO13485及9001质量管理体系认证证书</w:t>
      </w:r>
    </w:p>
    <w:p>
      <w:pPr>
        <w:numPr>
          <w:ilvl w:val="0"/>
          <w:numId w:val="10"/>
        </w:numPr>
        <w:spacing w:line="420" w:lineRule="exact"/>
        <w:rPr>
          <w:rFonts w:hint="eastAsia" w:ascii="宋体" w:hAnsi="宋体"/>
          <w:szCs w:val="21"/>
        </w:rPr>
      </w:pPr>
      <w:r>
        <w:rPr>
          <w:rFonts w:hint="eastAsia" w:ascii="宋体" w:hAnsi="宋体"/>
          <w:szCs w:val="21"/>
        </w:rPr>
        <w:t>拥有自主知识产权，提供软件著作权登记证</w:t>
      </w:r>
    </w:p>
    <w:p>
      <w:pPr>
        <w:pStyle w:val="10"/>
        <w:numPr>
          <w:ilvl w:val="0"/>
          <w:numId w:val="9"/>
        </w:numPr>
        <w:spacing w:line="276" w:lineRule="auto"/>
        <w:ind w:firstLineChars="0"/>
        <w:jc w:val="left"/>
        <w:rPr>
          <w:rFonts w:ascii="宋体" w:hAnsi="宋体"/>
          <w:sz w:val="32"/>
          <w:szCs w:val="32"/>
        </w:rPr>
      </w:pPr>
      <w:r>
        <w:rPr>
          <w:rFonts w:hint="eastAsia" w:ascii="宋体" w:hAnsi="宋体"/>
          <w:sz w:val="32"/>
          <w:szCs w:val="32"/>
        </w:rPr>
        <w:t>软件功能</w:t>
      </w:r>
    </w:p>
    <w:p>
      <w:pPr>
        <w:numPr>
          <w:ilvl w:val="0"/>
          <w:numId w:val="11"/>
        </w:numPr>
        <w:rPr>
          <w:rFonts w:hint="eastAsia"/>
        </w:rPr>
      </w:pPr>
      <w:r>
        <w:rPr>
          <w:rFonts w:hint="eastAsia"/>
        </w:rPr>
        <w:t>支持win7/10（32位、64位）</w:t>
      </w:r>
    </w:p>
    <w:p>
      <w:pPr>
        <w:numPr>
          <w:ilvl w:val="0"/>
          <w:numId w:val="11"/>
        </w:numPr>
        <w:rPr>
          <w:rFonts w:hint="eastAsia"/>
        </w:rPr>
      </w:pPr>
      <w:r>
        <w:rPr>
          <w:rFonts w:hint="eastAsia"/>
        </w:rPr>
        <w:t>支持DIcom SCU/SCP,支持C-Find/C-Move</w:t>
      </w:r>
    </w:p>
    <w:p>
      <w:pPr>
        <w:numPr>
          <w:ilvl w:val="0"/>
          <w:numId w:val="11"/>
        </w:numPr>
      </w:pPr>
      <w:r>
        <w:rPr>
          <w:rFonts w:hint="eastAsia"/>
        </w:rPr>
        <w:t>同一病人影像合并归档</w:t>
      </w:r>
    </w:p>
    <w:p>
      <w:pPr>
        <w:numPr>
          <w:ilvl w:val="0"/>
          <w:numId w:val="11"/>
        </w:numPr>
      </w:pPr>
      <w:r>
        <w:rPr>
          <w:rFonts w:hint="eastAsia"/>
        </w:rPr>
        <w:t>支持双屏显示</w:t>
      </w:r>
    </w:p>
    <w:p>
      <w:pPr>
        <w:numPr>
          <w:ilvl w:val="0"/>
          <w:numId w:val="11"/>
        </w:numPr>
        <w:rPr>
          <w:rFonts w:hint="eastAsia"/>
        </w:rPr>
      </w:pPr>
      <w:r>
        <w:rPr>
          <w:rFonts w:hint="eastAsia"/>
        </w:rPr>
        <w:t>窗宽窗位的调整</w:t>
      </w:r>
    </w:p>
    <w:p>
      <w:pPr>
        <w:numPr>
          <w:ilvl w:val="0"/>
          <w:numId w:val="11"/>
        </w:numPr>
      </w:pPr>
      <w:r>
        <w:rPr>
          <w:rFonts w:hint="eastAsia"/>
        </w:rPr>
        <w:t>参照线：支持冠位、矢位、轴位图像之间相互定位</w:t>
      </w:r>
    </w:p>
    <w:p>
      <w:pPr>
        <w:numPr>
          <w:ilvl w:val="0"/>
          <w:numId w:val="11"/>
        </w:numPr>
      </w:pPr>
      <w:r>
        <w:rPr>
          <w:rFonts w:hint="eastAsia"/>
          <w:lang w:val="en-US" w:eastAsia="zh-CN"/>
        </w:rPr>
        <w:t>*</w:t>
      </w:r>
      <w:r>
        <w:rPr>
          <w:rFonts w:hint="eastAsia"/>
        </w:rPr>
        <w:t>支持多种图像选择模式，支持多种显示格式，支持多种对比格式</w:t>
      </w:r>
    </w:p>
    <w:p>
      <w:pPr>
        <w:numPr>
          <w:ilvl w:val="0"/>
          <w:numId w:val="11"/>
        </w:numPr>
      </w:pPr>
      <w:r>
        <w:rPr>
          <w:rFonts w:hint="eastAsia"/>
        </w:rPr>
        <w:t>图像还原，图像处理，标准测量</w:t>
      </w:r>
    </w:p>
    <w:p>
      <w:pPr>
        <w:numPr>
          <w:ilvl w:val="0"/>
          <w:numId w:val="11"/>
        </w:numPr>
      </w:pPr>
      <w:r>
        <w:rPr>
          <w:rFonts w:hint="eastAsia"/>
          <w:lang w:val="en-US" w:eastAsia="zh-CN"/>
        </w:rPr>
        <w:t>*</w:t>
      </w:r>
      <w:r>
        <w:rPr>
          <w:rFonts w:hint="eastAsia"/>
        </w:rPr>
        <w:t>ROI分析、心胸比值测量、角度、COBB角测量</w:t>
      </w:r>
    </w:p>
    <w:p>
      <w:pPr>
        <w:numPr>
          <w:ilvl w:val="0"/>
          <w:numId w:val="11"/>
        </w:numPr>
        <w:rPr>
          <w:rFonts w:hint="eastAsia"/>
        </w:rPr>
      </w:pPr>
      <w:r>
        <w:rPr>
          <w:rFonts w:hint="eastAsia"/>
        </w:rPr>
        <w:t>图像的导入导出，图像的锐化与平滑</w:t>
      </w:r>
    </w:p>
    <w:p>
      <w:pPr>
        <w:numPr>
          <w:ilvl w:val="0"/>
          <w:numId w:val="11"/>
        </w:numPr>
      </w:pPr>
      <w:r>
        <w:rPr>
          <w:rFonts w:hint="eastAsia"/>
        </w:rPr>
        <w:t>联动对比：支持自选位置对比、同层对比</w:t>
      </w:r>
    </w:p>
    <w:p>
      <w:pPr>
        <w:numPr>
          <w:ilvl w:val="0"/>
          <w:numId w:val="11"/>
        </w:numPr>
      </w:pPr>
      <w:r>
        <w:rPr>
          <w:rFonts w:hint="eastAsia"/>
        </w:rPr>
        <w:t>同一检查的多序列图像同步对比</w:t>
      </w:r>
    </w:p>
    <w:p>
      <w:pPr>
        <w:numPr>
          <w:ilvl w:val="0"/>
          <w:numId w:val="11"/>
        </w:numPr>
        <w:rPr>
          <w:rFonts w:hint="eastAsia"/>
        </w:rPr>
      </w:pPr>
      <w:r>
        <w:rPr>
          <w:rFonts w:hint="eastAsia"/>
        </w:rPr>
        <w:t>不同检查的多序列图像同步对比</w:t>
      </w:r>
    </w:p>
    <w:p>
      <w:pPr>
        <w:numPr>
          <w:ilvl w:val="0"/>
          <w:numId w:val="11"/>
        </w:numPr>
        <w:rPr>
          <w:rFonts w:hint="eastAsia"/>
        </w:rPr>
      </w:pPr>
      <w:r>
        <w:rPr>
          <w:rFonts w:hint="eastAsia"/>
        </w:rPr>
        <w:t>支持单幅图像操作，序列图像操作，支持键盘快捷键操作</w:t>
      </w:r>
    </w:p>
    <w:p>
      <w:pPr>
        <w:numPr>
          <w:ilvl w:val="0"/>
          <w:numId w:val="11"/>
        </w:numPr>
      </w:pPr>
      <w:r>
        <w:rPr>
          <w:rFonts w:hint="eastAsia"/>
        </w:rPr>
        <w:t>支持缩略图显示、序列图像显示</w:t>
      </w:r>
    </w:p>
    <w:p>
      <w:pPr>
        <w:numPr>
          <w:ilvl w:val="0"/>
          <w:numId w:val="11"/>
        </w:numPr>
        <w:rPr>
          <w:rFonts w:hint="eastAsia"/>
        </w:rPr>
      </w:pPr>
      <w:r>
        <w:rPr>
          <w:rFonts w:hint="eastAsia"/>
        </w:rPr>
        <w:t>胶片质量分级</w:t>
      </w:r>
    </w:p>
    <w:p>
      <w:pPr>
        <w:numPr>
          <w:ilvl w:val="0"/>
          <w:numId w:val="11"/>
        </w:numPr>
      </w:pPr>
      <w:r>
        <w:rPr>
          <w:rFonts w:hint="eastAsia"/>
        </w:rPr>
        <w:t>支持图像质量管理</w:t>
      </w:r>
    </w:p>
    <w:p>
      <w:pPr>
        <w:numPr>
          <w:ilvl w:val="0"/>
          <w:numId w:val="11"/>
        </w:numPr>
      </w:pPr>
      <w:r>
        <w:rPr>
          <w:rFonts w:hint="eastAsia"/>
        </w:rPr>
        <w:t>支持多相机切换</w:t>
      </w:r>
    </w:p>
    <w:p>
      <w:pPr>
        <w:numPr>
          <w:ilvl w:val="0"/>
          <w:numId w:val="11"/>
        </w:numPr>
      </w:pPr>
      <w:r>
        <w:rPr>
          <w:rFonts w:hint="eastAsia"/>
        </w:rPr>
        <w:t>支持多种特殊排版模式</w:t>
      </w:r>
    </w:p>
    <w:p>
      <w:pPr>
        <w:numPr>
          <w:ilvl w:val="0"/>
          <w:numId w:val="11"/>
        </w:numPr>
      </w:pPr>
      <w:r>
        <w:rPr>
          <w:rFonts w:hint="eastAsia"/>
        </w:rPr>
        <w:t>支持胶片排版</w:t>
      </w:r>
    </w:p>
    <w:p>
      <w:pPr>
        <w:numPr>
          <w:ilvl w:val="0"/>
          <w:numId w:val="11"/>
        </w:numPr>
        <w:rPr>
          <w:rFonts w:hint="eastAsia"/>
        </w:rPr>
      </w:pPr>
      <w:r>
        <w:rPr>
          <w:rFonts w:hint="eastAsia"/>
        </w:rPr>
        <w:t xml:space="preserve">支持在一张胶片上同时打印多个病人的图像 </w:t>
      </w:r>
    </w:p>
    <w:p>
      <w:pPr>
        <w:numPr>
          <w:ilvl w:val="0"/>
          <w:numId w:val="11"/>
        </w:numPr>
        <w:rPr>
          <w:rFonts w:hint="eastAsia"/>
        </w:rPr>
      </w:pPr>
      <w:r>
        <w:rPr>
          <w:rFonts w:hint="eastAsia"/>
        </w:rPr>
        <w:t>图像打印支持胶片打印、纸张打印</w:t>
      </w:r>
    </w:p>
    <w:p>
      <w:pPr>
        <w:numPr>
          <w:ilvl w:val="0"/>
          <w:numId w:val="11"/>
        </w:numPr>
      </w:pPr>
      <w:r>
        <w:rPr>
          <w:rFonts w:hint="eastAsia"/>
        </w:rPr>
        <w:t>支持文字报告及图文报告</w:t>
      </w:r>
    </w:p>
    <w:p>
      <w:pPr>
        <w:numPr>
          <w:ilvl w:val="0"/>
          <w:numId w:val="11"/>
        </w:numPr>
      </w:pPr>
      <w:r>
        <w:rPr>
          <w:rFonts w:hint="eastAsia"/>
        </w:rPr>
        <w:t>报告界面可定制</w:t>
      </w:r>
    </w:p>
    <w:p>
      <w:pPr>
        <w:numPr>
          <w:ilvl w:val="0"/>
          <w:numId w:val="11"/>
        </w:numPr>
        <w:rPr>
          <w:rFonts w:hint="eastAsia"/>
        </w:rPr>
      </w:pPr>
      <w:r>
        <w:rPr>
          <w:rFonts w:hint="eastAsia"/>
        </w:rPr>
        <w:t>报告单可以导出多种格式</w:t>
      </w:r>
    </w:p>
    <w:p>
      <w:pPr>
        <w:numPr>
          <w:ilvl w:val="0"/>
          <w:numId w:val="11"/>
        </w:numPr>
      </w:pPr>
      <w:r>
        <w:rPr>
          <w:rFonts w:hint="eastAsia"/>
        </w:rPr>
        <w:t>支持报告质量管理</w:t>
      </w:r>
    </w:p>
    <w:p>
      <w:pPr>
        <w:numPr>
          <w:ilvl w:val="0"/>
          <w:numId w:val="11"/>
        </w:numPr>
        <w:rPr>
          <w:rFonts w:hint="eastAsia"/>
        </w:rPr>
      </w:pPr>
      <w:r>
        <w:rPr>
          <w:rFonts w:hint="eastAsia"/>
        </w:rPr>
        <w:t>支持根据疾病分类</w:t>
      </w:r>
    </w:p>
    <w:p>
      <w:pPr>
        <w:numPr>
          <w:ilvl w:val="0"/>
          <w:numId w:val="11"/>
        </w:numPr>
      </w:pPr>
      <w:r>
        <w:rPr>
          <w:rFonts w:hint="eastAsia"/>
        </w:rPr>
        <w:t>支持危急值标记及危急值报告</w:t>
      </w:r>
    </w:p>
    <w:p>
      <w:pPr>
        <w:numPr>
          <w:ilvl w:val="0"/>
          <w:numId w:val="11"/>
        </w:numPr>
      </w:pPr>
      <w:r>
        <w:rPr>
          <w:rFonts w:hint="eastAsia"/>
          <w:lang w:val="en-US" w:eastAsia="zh-CN"/>
        </w:rPr>
        <w:t>*</w:t>
      </w:r>
      <w:r>
        <w:rPr>
          <w:rFonts w:hint="eastAsia"/>
        </w:rPr>
        <w:t>历史诊断报告列表功能，医生可查看当前病人的历史诊断报告</w:t>
      </w:r>
    </w:p>
    <w:p>
      <w:pPr>
        <w:numPr>
          <w:ilvl w:val="0"/>
          <w:numId w:val="11"/>
        </w:numPr>
      </w:pPr>
      <w:r>
        <w:rPr>
          <w:rFonts w:hint="eastAsia"/>
        </w:rPr>
        <w:t>支持修改痕迹功能</w:t>
      </w:r>
    </w:p>
    <w:p>
      <w:pPr>
        <w:numPr>
          <w:ilvl w:val="0"/>
          <w:numId w:val="11"/>
        </w:numPr>
      </w:pPr>
      <w:r>
        <w:rPr>
          <w:rFonts w:hint="eastAsia"/>
        </w:rPr>
        <w:t>公共模板、私人模板</w:t>
      </w:r>
    </w:p>
    <w:p>
      <w:pPr>
        <w:numPr>
          <w:ilvl w:val="0"/>
          <w:numId w:val="11"/>
        </w:numPr>
        <w:rPr>
          <w:rFonts w:hint="eastAsia"/>
        </w:rPr>
      </w:pPr>
      <w:r>
        <w:rPr>
          <w:rFonts w:hint="eastAsia"/>
        </w:rPr>
        <w:t>报告质量分级</w:t>
      </w:r>
    </w:p>
    <w:p>
      <w:pPr>
        <w:numPr>
          <w:ilvl w:val="0"/>
          <w:numId w:val="11"/>
        </w:numPr>
        <w:rPr>
          <w:rFonts w:hint="eastAsia"/>
        </w:rPr>
      </w:pPr>
      <w:r>
        <w:rPr>
          <w:rFonts w:hint="eastAsia"/>
        </w:rPr>
        <w:t>支持典型病历管理</w:t>
      </w:r>
    </w:p>
    <w:p>
      <w:pPr>
        <w:numPr>
          <w:ilvl w:val="0"/>
          <w:numId w:val="11"/>
        </w:numPr>
      </w:pPr>
      <w:r>
        <w:rPr>
          <w:rFonts w:hint="eastAsia"/>
        </w:rPr>
        <w:t>支持既往病历报告查询、引用，既往病历图像的调阅</w:t>
      </w:r>
    </w:p>
    <w:p>
      <w:pPr>
        <w:numPr>
          <w:ilvl w:val="0"/>
          <w:numId w:val="11"/>
        </w:numPr>
      </w:pPr>
      <w:r>
        <w:rPr>
          <w:rFonts w:hint="eastAsia"/>
        </w:rPr>
        <w:t>可将患者信息直接刻录光盘，</w:t>
      </w:r>
    </w:p>
    <w:p>
      <w:pPr>
        <w:numPr>
          <w:ilvl w:val="0"/>
          <w:numId w:val="11"/>
        </w:numPr>
      </w:pPr>
      <w:r>
        <w:rPr>
          <w:rFonts w:hint="eastAsia"/>
        </w:rPr>
        <w:t>自带浏览器，可查看患者信息</w:t>
      </w:r>
    </w:p>
    <w:p>
      <w:pPr>
        <w:numPr>
          <w:ilvl w:val="0"/>
          <w:numId w:val="11"/>
        </w:numPr>
      </w:pPr>
      <w:r>
        <w:rPr>
          <w:rFonts w:hint="eastAsia"/>
        </w:rPr>
        <w:t>支持标准查询和快速查询模式</w:t>
      </w:r>
    </w:p>
    <w:p>
      <w:pPr>
        <w:pStyle w:val="10"/>
        <w:numPr>
          <w:ilvl w:val="0"/>
          <w:numId w:val="9"/>
        </w:numPr>
        <w:spacing w:line="276" w:lineRule="auto"/>
        <w:ind w:firstLineChars="0"/>
        <w:jc w:val="left"/>
        <w:rPr>
          <w:rFonts w:hint="eastAsia" w:ascii="宋体" w:hAnsi="宋体"/>
          <w:sz w:val="32"/>
          <w:szCs w:val="32"/>
        </w:rPr>
      </w:pPr>
      <w:r>
        <w:rPr>
          <w:rFonts w:hint="eastAsia" w:ascii="宋体" w:hAnsi="宋体"/>
          <w:sz w:val="32"/>
          <w:szCs w:val="32"/>
        </w:rPr>
        <w:t>硬件配置</w:t>
      </w:r>
    </w:p>
    <w:p>
      <w:pPr>
        <w:numPr>
          <w:ilvl w:val="0"/>
          <w:numId w:val="12"/>
        </w:numPr>
      </w:pPr>
      <w:r>
        <w:rPr>
          <w:rFonts w:hint="eastAsia"/>
        </w:rPr>
        <w:t>品牌商用机 Intel CPU 不低于4G内存 不低于500G高速硬盘 千兆网卡 21.5寸显示器</w:t>
      </w:r>
    </w:p>
    <w:p>
      <w:pPr>
        <w:numPr>
          <w:ilvl w:val="0"/>
          <w:numId w:val="12"/>
        </w:numPr>
      </w:pPr>
      <w:r>
        <w:rPr>
          <w:rFonts w:hint="eastAsia"/>
        </w:rPr>
        <w:t>网线壹套</w:t>
      </w:r>
    </w:p>
    <w:p>
      <w:pPr>
        <w:numPr>
          <w:ilvl w:val="0"/>
          <w:numId w:val="12"/>
        </w:numPr>
      </w:pPr>
      <w:r>
        <w:rPr>
          <w:rFonts w:hint="eastAsia"/>
        </w:rPr>
        <w:t>交换机壹台</w:t>
      </w:r>
    </w:p>
    <w:p>
      <w:pPr>
        <w:numPr>
          <w:ilvl w:val="0"/>
          <w:numId w:val="12"/>
        </w:numPr>
      </w:pPr>
      <w:r>
        <w:rPr>
          <w:rFonts w:hint="eastAsia"/>
        </w:rPr>
        <w:t>黑白激光打印机壹台</w:t>
      </w:r>
    </w:p>
    <w:p>
      <w:pPr>
        <w:numPr>
          <w:ilvl w:val="0"/>
          <w:numId w:val="12"/>
        </w:numPr>
      </w:pPr>
      <w:r>
        <w:rPr>
          <w:rFonts w:hint="eastAsia"/>
        </w:rPr>
        <w:t>放射工作站系统软件</w:t>
      </w:r>
    </w:p>
    <w:p>
      <w:pPr>
        <w:pStyle w:val="10"/>
        <w:numPr>
          <w:ilvl w:val="0"/>
          <w:numId w:val="9"/>
        </w:numPr>
        <w:spacing w:line="276" w:lineRule="auto"/>
        <w:ind w:firstLineChars="0"/>
        <w:jc w:val="left"/>
        <w:rPr>
          <w:rFonts w:ascii="宋体" w:hAnsi="宋体"/>
          <w:sz w:val="32"/>
          <w:szCs w:val="32"/>
        </w:rPr>
      </w:pPr>
      <w:r>
        <w:rPr>
          <w:rFonts w:hint="eastAsia" w:ascii="宋体" w:hAnsi="宋体"/>
          <w:sz w:val="32"/>
          <w:szCs w:val="32"/>
        </w:rPr>
        <w:t>售后要求</w:t>
      </w:r>
    </w:p>
    <w:p>
      <w:pPr>
        <w:numPr>
          <w:ilvl w:val="0"/>
          <w:numId w:val="13"/>
        </w:numPr>
        <w:rPr>
          <w:rFonts w:hint="eastAsia"/>
        </w:rPr>
      </w:pPr>
      <w:r>
        <w:t>*</w:t>
      </w:r>
      <w:r>
        <w:rPr>
          <w:rFonts w:hint="eastAsia"/>
        </w:rPr>
        <w:t>具有400、800免费服务电话</w:t>
      </w:r>
    </w:p>
    <w:p>
      <w:pPr>
        <w:numPr>
          <w:ilvl w:val="0"/>
          <w:numId w:val="13"/>
        </w:numPr>
        <w:rPr>
          <w:rFonts w:hint="eastAsia"/>
        </w:rPr>
      </w:pPr>
      <w:r>
        <w:rPr>
          <w:rFonts w:hint="eastAsia"/>
        </w:rPr>
        <w:t>整机一年免费质保</w:t>
      </w:r>
    </w:p>
    <w:p>
      <w:pPr>
        <w:numPr>
          <w:ilvl w:val="0"/>
          <w:numId w:val="13"/>
        </w:numPr>
        <w:rPr>
          <w:rFonts w:hint="eastAsia"/>
        </w:rPr>
      </w:pPr>
      <w:r>
        <w:t>*</w:t>
      </w:r>
      <w:r>
        <w:rPr>
          <w:rFonts w:hint="eastAsia"/>
        </w:rPr>
        <w:t>省会城市设有办事处</w:t>
      </w:r>
    </w:p>
    <w:p>
      <w:pPr>
        <w:numPr>
          <w:ilvl w:val="0"/>
          <w:numId w:val="13"/>
        </w:numPr>
        <w:shd w:val="clear" w:color="auto" w:fill="FFFFFF"/>
        <w:ind w:left="420" w:leftChars="0" w:hanging="420" w:firstLineChars="0"/>
        <w:jc w:val="both"/>
        <w:rPr>
          <w:rFonts w:hint="default" w:ascii="宋体" w:hAnsi="宋体" w:cs="Arial" w:eastAsiaTheme="minorEastAsia"/>
          <w:color w:val="000000"/>
          <w:sz w:val="22"/>
          <w:lang w:val="en-US" w:eastAsia="zh-CN"/>
        </w:rPr>
      </w:pPr>
      <w:r>
        <w:rPr>
          <w:rFonts w:hint="eastAsia" w:ascii="宋体" w:hAnsi="宋体" w:cs="Arial"/>
          <w:color w:val="000000"/>
          <w:sz w:val="22"/>
          <w:lang w:val="en-US" w:eastAsia="zh-CN"/>
        </w:rPr>
        <w:t>提供不少于一个月的免费操作培训。</w:t>
      </w: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rPr>
          <w:rFonts w:ascii="宋体" w:hAnsi="宋体" w:cs="Arial"/>
          <w:color w:val="000000"/>
          <w:sz w:val="22"/>
        </w:rPr>
      </w:pPr>
    </w:p>
    <w:p>
      <w:pPr>
        <w:rPr>
          <w:rFonts w:ascii="宋体" w:hAnsi="宋体" w:cs="Arial"/>
          <w:color w:val="000000"/>
          <w:sz w:val="22"/>
        </w:rPr>
      </w:pPr>
    </w:p>
    <w:p>
      <w:pPr>
        <w:pStyle w:val="2"/>
      </w:pPr>
    </w:p>
    <w:p>
      <w:pPr>
        <w:pStyle w:val="14"/>
        <w:rPr>
          <w:rFonts w:hint="eastAsia" w:ascii="宋体" w:hAnsi="宋体" w:eastAsia="黑体" w:cstheme="minorBidi"/>
          <w:b/>
          <w:bCs/>
          <w:color w:val="0000FF"/>
          <w:kern w:val="2"/>
          <w:sz w:val="28"/>
          <w:szCs w:val="28"/>
          <w:lang w:val="en-US" w:eastAsia="zh-CN" w:bidi="ar-SA"/>
        </w:rPr>
      </w:pPr>
    </w:p>
    <w:p>
      <w:pPr>
        <w:pStyle w:val="14"/>
        <w:rPr>
          <w:rFonts w:hint="eastAsia" w:ascii="宋体" w:hAnsi="宋体" w:eastAsia="黑体" w:cstheme="minorBidi"/>
          <w:b/>
          <w:bCs/>
          <w:color w:val="0000FF"/>
          <w:kern w:val="2"/>
          <w:sz w:val="28"/>
          <w:szCs w:val="28"/>
          <w:lang w:val="en-US" w:eastAsia="zh-CN" w:bidi="ar-SA"/>
        </w:rPr>
      </w:pPr>
    </w:p>
    <w:p>
      <w:pPr>
        <w:pStyle w:val="14"/>
        <w:rPr>
          <w:rFonts w:hint="eastAsia" w:ascii="新宋体" w:hAnsi="新宋体" w:eastAsia="新宋体" w:cs="新宋体"/>
          <w:b/>
          <w:bCs/>
          <w:color w:val="000000" w:themeColor="text1"/>
          <w:kern w:val="2"/>
          <w:sz w:val="28"/>
          <w:szCs w:val="28"/>
          <w:lang w:val="en-US" w:eastAsia="zh-CN" w:bidi="ar-SA"/>
          <w14:textFill>
            <w14:solidFill>
              <w14:schemeClr w14:val="tx1"/>
            </w14:solidFill>
          </w14:textFill>
        </w:rPr>
      </w:pPr>
    </w:p>
    <w:p>
      <w:pPr>
        <w:pStyle w:val="14"/>
        <w:rPr>
          <w:rFonts w:hint="eastAsia" w:ascii="新宋体" w:hAnsi="新宋体" w:eastAsia="新宋体" w:cs="新宋体"/>
          <w:b/>
          <w:bCs/>
          <w:color w:val="000000" w:themeColor="text1"/>
          <w:kern w:val="2"/>
          <w:sz w:val="28"/>
          <w:szCs w:val="28"/>
          <w:lang w:val="en-US" w:eastAsia="zh-CN" w:bidi="ar-SA"/>
          <w14:textFill>
            <w14:solidFill>
              <w14:schemeClr w14:val="tx1"/>
            </w14:solidFill>
          </w14:textFill>
        </w:rPr>
      </w:pPr>
      <w:r>
        <w:rPr>
          <w:rFonts w:hint="eastAsia" w:ascii="新宋体" w:hAnsi="新宋体" w:eastAsia="新宋体" w:cs="新宋体"/>
          <w:b/>
          <w:bCs/>
          <w:color w:val="000000" w:themeColor="text1"/>
          <w:kern w:val="2"/>
          <w:sz w:val="28"/>
          <w:szCs w:val="28"/>
          <w:lang w:val="en-US" w:eastAsia="zh-CN" w:bidi="ar-SA"/>
          <w14:textFill>
            <w14:solidFill>
              <w14:schemeClr w14:val="tx1"/>
            </w14:solidFill>
          </w14:textFill>
        </w:rPr>
        <w:t>2包：参数</w:t>
      </w: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lang w:val="en-US" w:eastAsia="zh-CN"/>
        </w:rPr>
        <w:t>1</w:t>
      </w:r>
      <w:r>
        <w:rPr>
          <w:rFonts w:hint="eastAsia" w:ascii="新宋体" w:hAnsi="新宋体" w:eastAsia="新宋体" w:cs="新宋体"/>
          <w:b/>
          <w:bCs w:val="0"/>
          <w:sz w:val="28"/>
          <w:szCs w:val="28"/>
        </w:rPr>
        <w:t>.治疗推车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技术参数</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1.规格尺寸： 740*450*850mm(大号)</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2.主体框架由优质不锈钢∮25圆管焊接而成。</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3.工作台面为两层拉伸台面，有效尺寸为：740*450mm;带优质不锈钢∮10圆管护栏，防止物品跌落。</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4.底部配有75mm万向轮4只，高耐磨，无噪音，带刹车，稳定性好；</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5.顶层台面下方带一抽屉，有效尺寸为290*270*80mm,抽屉采用静音滑轨，抽拉轻松灵活，可存放一次性输液器、棉签、纱布等，方便实用。抽屉下方配备一个可转动的不锈钢废弃物桶。</w:t>
      </w:r>
    </w:p>
    <w:p>
      <w:pPr>
        <w:pageBreakBefore w:val="0"/>
        <w:widowControl/>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6.整体优质不锈钢精制而成；外型美观，平整、端正、四角平行，表面无锋棱、毛刺等明显缺陷，各焊接部件打磨平整光滑，抛光均匀。焊接采用氩弧焊焊接技术。</w:t>
      </w:r>
    </w:p>
    <w:p>
      <w:pPr>
        <w:pageBreakBefore w:val="0"/>
        <w:widowControl/>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widowControl/>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2</w:t>
      </w:r>
      <w:r>
        <w:rPr>
          <w:rFonts w:hint="eastAsia" w:ascii="新宋体" w:hAnsi="新宋体" w:eastAsia="新宋体" w:cs="新宋体"/>
          <w:b/>
          <w:bCs w:val="0"/>
          <w:sz w:val="24"/>
          <w:szCs w:val="24"/>
        </w:rPr>
        <w:t>.输液泵</w:t>
      </w:r>
    </w:p>
    <w:p>
      <w:pPr>
        <w:pStyle w:val="38"/>
        <w:ind w:left="420" w:firstLine="0" w:firstLineChars="0"/>
        <w:jc w:val="center"/>
        <w:rPr>
          <w:rFonts w:hint="eastAsia" w:ascii="新宋体" w:hAnsi="新宋体" w:eastAsia="新宋体" w:cs="新宋体"/>
          <w:b/>
          <w:sz w:val="24"/>
          <w:szCs w:val="24"/>
        </w:rPr>
      </w:pP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1、用途：在ICU、手术室、儿科等科室使用，用于精确输液。</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2、一般规格和要求：</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2.1 设备先进、结构合理、加工精密；</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2.2可选配滴数传感器，提高给药精度；</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3、主要技术和性能要求：</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3.1安全要求：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★3.1.1安全防护可靠，防护类型：CFⅠ、IP34、IEC60601-1-2/YY0505、主副CPU；</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★3.1.2压力报警阈值至少3档可调；</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3.1.3 阻塞回撤功能（Anti-Bolus）：当管路阻塞报警时，自动回撤管路压力，避免意外丸剂量伤害患者；</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3.1.4防重力自由流功能：泵门打开时，防自由流夹自动关闭，防止液体任意流出；</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★3.1.5 双重气泡探测：超声气泡探头，可探测≥50ul的单个气泡，单个气泡大小分50ul、100ul、250ul、500ul、800ul共5档可调，连续气泡监测功能：可以设置每小时0.1-4ml的累积气泡报警阀值，1小时内检测到的累积气泡体积≥设定的报警阈值触发报警；</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3.1.6 自动键盘锁：ON/OFF，锁键盘时间1-5min可调；可打开或关闭此功能。</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3.2 精度要求：</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3.2.1 全挤压蠕动输注，精度≤±5%；</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▲3.2.2 在线滴定功能：安全不中断输液而更改速率；</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 基本要求：</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★3.3.1 速率范围：0.1-1500ml/h, 递增：0.1ml；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3.3.2预置总量范围：0.1-9999ml，递增：0.1ml；</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▲3.3.3 安装固定：可固定在输液支架上；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▲3.3.4 快推“bolus”：0.1-1500ml/h，以0.1ml/h递增，同步显示给入的快推“bolus”量；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3.3.5  KVO： 0.5ml/h；</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▲3.3.6  可预存20种以上输液器品牌规格，可校准自定义输液器；</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★3.3.7  屏幕不小于2.5”，同屏显示：速率、当前输液状态、累计量、电池容量、报警压力档位、报警信息 ；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★3.3.8  整机重量不超过1.6kg，主机自带提手，方便携带</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3.3.8 分低级、中级、高级三级报警，并分别以声光提示，同时显示具体报警信息；</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3.3.9高级别:阻塞，完成、系统故障、滴速异常、电池耗尽、气泡、门开、KVO完成、空瓶；</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中级别:系统异常，待机时间结束；</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低级别:无操作、电池电量低、接近完成、网电源脱落、未安装输液管；</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★3.3.10具有2种输液模式可选：速度模式、滴速模式；</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★3.3.11 电池工作时间≥4小时@25ml/h；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3.3.12供电：AC 100V-240V，50/60Hz，DC 10-16V；</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3.3.14  RS232接口：数据传输、护士呼叫、DC连接；</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▲3.3.15全中文软件操作界面。</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4、技术服务</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4.1 技术文件：提供技术文件资料，使用说明，操作卡；</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4.2 操作培训；厂家或代理商负责培训医务人员熟练掌握使用并提供长期技术支持； </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5、售后服务及维修：</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5.1 维修站及工作情况：在国内有专业维修中心，有专职维修工程师负责维护及维修负责上门安装、维护及维修,响应时间﹤24h;</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5.2 保修期：3年，终身维修；</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val="0"/>
          <w:bCs/>
          <w:sz w:val="24"/>
          <w:szCs w:val="24"/>
        </w:rPr>
      </w:pPr>
      <w:r>
        <w:rPr>
          <w:rFonts w:hint="eastAsia" w:ascii="新宋体" w:hAnsi="新宋体" w:eastAsia="新宋体" w:cs="新宋体"/>
          <w:b/>
          <w:bCs w:val="0"/>
          <w:sz w:val="24"/>
          <w:szCs w:val="24"/>
          <w:lang w:val="en-US" w:eastAsia="zh-CN"/>
        </w:rPr>
        <w:t>3</w:t>
      </w:r>
      <w:r>
        <w:rPr>
          <w:rFonts w:hint="eastAsia" w:ascii="新宋体" w:hAnsi="新宋体" w:eastAsia="新宋体" w:cs="新宋体"/>
          <w:b/>
          <w:bCs w:val="0"/>
          <w:sz w:val="24"/>
          <w:szCs w:val="24"/>
        </w:rPr>
        <w:t>.注射泵</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用途：在ICU、手术室、儿科等科室使用，用于推动注射器进行液体注射。</w:t>
      </w:r>
    </w:p>
    <w:p>
      <w:pPr>
        <w:pStyle w:val="38"/>
        <w:numPr>
          <w:ilvl w:val="0"/>
          <w:numId w:val="14"/>
        </w:numPr>
        <w:ind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一般规格和要求：</w:t>
      </w:r>
    </w:p>
    <w:p>
      <w:pPr>
        <w:pStyle w:val="38"/>
        <w:ind w:left="420" w:firstLine="0"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2.1 设备先进、结构合理、加工精密；</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3、主要技术和性能要求：</w:t>
      </w:r>
    </w:p>
    <w:p>
      <w:pPr>
        <w:pStyle w:val="38"/>
        <w:ind w:left="420" w:firstLine="0"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3.1安全要求：  </w:t>
      </w:r>
    </w:p>
    <w:p>
      <w:pPr>
        <w:pStyle w:val="38"/>
        <w:ind w:left="630" w:leftChars="300" w:firstLine="0"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★3.1.1安全防护可靠，防护类型：CFⅠ、IP34、IEC60601-1-2/YY0505、主副CPU；</w:t>
      </w:r>
    </w:p>
    <w:p>
      <w:pPr>
        <w:pStyle w:val="38"/>
        <w:ind w:left="630" w:leftChars="300" w:firstLine="0"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3.1.2压力报警阈值3档可调；</w:t>
      </w:r>
    </w:p>
    <w:p>
      <w:pPr>
        <w:pStyle w:val="38"/>
        <w:ind w:left="630" w:leftChars="300" w:firstLine="0"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3.1.3 阻塞回撤功能（Anti-Bolus）：当管路阻塞报警时，自动回撤管路压力，避免意外丸剂量伤害患者；</w:t>
      </w:r>
    </w:p>
    <w:p>
      <w:pPr>
        <w:pStyle w:val="38"/>
        <w:ind w:left="630" w:leftChars="300" w:firstLine="0" w:firstLineChars="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3.1.4防虹吸功能：防止药液在暂停期间任意流出；</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3.2 精度要求：</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3.2.1 速率≥1ml/h: 精度≤±2%；</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★3.2.2 快速启动功能：实现快速给药、缩短给药延迟时间；</w:t>
      </w:r>
    </w:p>
    <w:p>
      <w:pPr>
        <w:ind w:firstLine="720" w:firstLineChars="3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★3.2.3 在线滴定功能：安全不中断输液而更改速率。</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 基本要求：</w:t>
      </w:r>
    </w:p>
    <w:p>
      <w:pPr>
        <w:ind w:left="6660" w:hanging="8880" w:hangingChars="37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3.3.1 速率范围：0.1-1500ml/h, 递增：0.1ml（0.1-999.9ml/h）；</w:t>
      </w:r>
    </w:p>
    <w:p>
      <w:pPr>
        <w:ind w:left="6660" w:hanging="8880" w:hangingChars="37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3.3.2预置总量范围：0.1-9999ml，递增：0.1ml；</w:t>
      </w:r>
    </w:p>
    <w:p>
      <w:pPr>
        <w:ind w:left="6660" w:hanging="8880" w:hangingChars="37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3.3.3 预置时间范围：00:00:01-99:59:59（h:m:s）；</w:t>
      </w:r>
    </w:p>
    <w:p>
      <w:pPr>
        <w:ind w:left="6660" w:hanging="8880" w:hangingChars="37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3.3.3 安装固定：可固定在输液支架上； </w:t>
      </w:r>
    </w:p>
    <w:p>
      <w:pPr>
        <w:ind w:left="753" w:leftChars="1" w:hanging="751" w:hangingChars="313"/>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3.3.4 快推“bolus”：0.1-1500ml/h，以0.1ml/h递增</w:t>
      </w:r>
    </w:p>
    <w:p>
      <w:pPr>
        <w:ind w:left="6660" w:hanging="8880" w:hangingChars="37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3.3.5  KVO：0.5ml/h；</w:t>
      </w:r>
    </w:p>
    <w:p>
      <w:pPr>
        <w:ind w:left="6660" w:hanging="8880" w:hangingChars="37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      ▲3.3.6  自动识别注射器规格：5ml、10ml、20ml、30ml、50ml等；</w:t>
      </w:r>
    </w:p>
    <w:p>
      <w:pPr>
        <w:ind w:left="711" w:leftChars="270" w:hanging="144"/>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★3.3.7  屏幕不小于2.5”，同屏显示：速率、当前注射状态、已注射量、注射器规格、电池容量、报警压力档位、报警信息 ； </w:t>
      </w:r>
    </w:p>
    <w:p>
      <w:pPr>
        <w:ind w:left="711" w:leftChars="270" w:hanging="144"/>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★3.3.8  整机重量不超过2kg，主机自带提手，方便携带</w:t>
      </w:r>
    </w:p>
    <w:p>
      <w:pPr>
        <w:ind w:left="567" w:leftChars="27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3.3.8 分低级、中级、高级三级报警，并分别以声光提示，同时显示具体报警信息；</w:t>
      </w:r>
    </w:p>
    <w:p>
      <w:pPr>
        <w:ind w:left="8790" w:leftChars="300" w:hanging="8160" w:hangingChars="34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3.3.9 高级报警信息：阻塞、电池耗尽、完成、KVO完成、注射器排空、</w:t>
      </w:r>
    </w:p>
    <w:p>
      <w:pPr>
        <w:ind w:left="8790" w:leftChars="300" w:hanging="8160" w:hangingChars="340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注射器脱落、系统故障；中级报警信息：系统异常、待机时间结束；</w:t>
      </w:r>
    </w:p>
    <w:p>
      <w:pPr>
        <w:ind w:left="646" w:leftChars="279" w:hanging="60" w:hangingChars="25"/>
        <w:jc w:val="both"/>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低级报警信息：无操作、电池电量低、未安装电池、接近完成、网电源脱落；</w:t>
      </w:r>
    </w:p>
    <w:p>
      <w:pPr>
        <w:ind w:left="63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★3.3.10 电池工作时间﹥6小时@5ml/h；</w:t>
      </w:r>
    </w:p>
    <w:p>
      <w:pPr>
        <w:pStyle w:val="38"/>
        <w:ind w:left="105" w:leftChars="50" w:firstLine="600" w:firstLineChars="25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3.3.11供电：AC 100V-240V，50/60Hz，DC 10-16V；</w:t>
      </w:r>
    </w:p>
    <w:p>
      <w:pPr>
        <w:pStyle w:val="38"/>
        <w:ind w:left="105" w:leftChars="50" w:firstLine="600" w:firstLineChars="250"/>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3.3.12  RS232接口：数据传输、护士呼叫、DC连接；</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4、技术服务</w:t>
      </w:r>
    </w:p>
    <w:p>
      <w:pPr>
        <w:ind w:firstLine="405"/>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4.1 技术文件：提供技术文件资料，使用说明，操作卡；</w:t>
      </w:r>
    </w:p>
    <w:p>
      <w:pPr>
        <w:ind w:firstLine="405"/>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 xml:space="preserve">4.2 操作培训；厂家或代理商负责培训医务人员熟练掌握使用并提供长期技术支持。 </w:t>
      </w:r>
    </w:p>
    <w:p>
      <w:pPr>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5、售后服务及维修：</w:t>
      </w:r>
    </w:p>
    <w:p>
      <w:pPr>
        <w:ind w:firstLine="405"/>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5.1 维修站及工作情况：在国内有专业维修中心，有专职维修工程师负责维护及维修负责上门安装、维护及维修,响应时间﹤24h；</w:t>
      </w:r>
    </w:p>
    <w:p>
      <w:pPr>
        <w:ind w:firstLine="405"/>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5.2 保修期：3年，终身维修。</w:t>
      </w:r>
    </w:p>
    <w:p>
      <w:pPr>
        <w:rPr>
          <w:rFonts w:hint="eastAsia" w:ascii="新宋体" w:hAnsi="新宋体" w:eastAsia="新宋体" w:cs="新宋体"/>
          <w:sz w:val="24"/>
          <w:szCs w:val="24"/>
        </w:rPr>
      </w:pPr>
    </w:p>
    <w:p>
      <w:pPr>
        <w:pageBreakBefore w:val="0"/>
        <w:widowControl/>
        <w:kinsoku/>
        <w:wordWrap/>
        <w:overflowPunct/>
        <w:topLinePunct w:val="0"/>
        <w:autoSpaceDE/>
        <w:autoSpaceDN/>
        <w:bidi w:val="0"/>
        <w:spacing w:line="360" w:lineRule="auto"/>
        <w:jc w:val="left"/>
        <w:rPr>
          <w:rFonts w:hint="eastAsia" w:ascii="新宋体" w:hAnsi="新宋体" w:eastAsia="新宋体" w:cs="新宋体"/>
          <w:b w:val="0"/>
          <w:bCs/>
          <w:sz w:val="24"/>
          <w:szCs w:val="24"/>
        </w:rPr>
      </w:pPr>
    </w:p>
    <w:p>
      <w:pPr>
        <w:pageBreakBefore w:val="0"/>
        <w:widowControl/>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4.</w:t>
      </w:r>
      <w:r>
        <w:rPr>
          <w:rFonts w:hint="eastAsia" w:ascii="新宋体" w:hAnsi="新宋体" w:eastAsia="新宋体" w:cs="新宋体"/>
          <w:b/>
          <w:bCs w:val="0"/>
          <w:sz w:val="24"/>
          <w:szCs w:val="24"/>
        </w:rPr>
        <w:t>电子血压计</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技术参数</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1.</w:t>
      </w:r>
      <w:r>
        <w:rPr>
          <w:rFonts w:hint="eastAsia" w:ascii="新宋体" w:hAnsi="新宋体" w:eastAsia="新宋体" w:cs="新宋体"/>
          <w:b w:val="0"/>
          <w:bCs/>
          <w:sz w:val="24"/>
          <w:szCs w:val="24"/>
        </w:rPr>
        <w:t>显示方式: LCD数字显示</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2.</w:t>
      </w:r>
      <w:r>
        <w:rPr>
          <w:rFonts w:hint="eastAsia" w:ascii="新宋体" w:hAnsi="新宋体" w:eastAsia="新宋体" w:cs="新宋体"/>
          <w:b w:val="0"/>
          <w:bCs/>
          <w:sz w:val="24"/>
          <w:szCs w:val="24"/>
        </w:rPr>
        <w:t>测量范围: 压力：0~2</w:t>
      </w:r>
      <w:r>
        <w:rPr>
          <w:rFonts w:hint="eastAsia" w:ascii="新宋体" w:hAnsi="新宋体" w:eastAsia="新宋体" w:cs="新宋体"/>
          <w:b w:val="0"/>
          <w:bCs/>
          <w:sz w:val="24"/>
          <w:szCs w:val="24"/>
          <w:lang w:val="en-US" w:eastAsia="zh-CN"/>
        </w:rPr>
        <w:t>7</w:t>
      </w:r>
      <w:r>
        <w:rPr>
          <w:rFonts w:hint="eastAsia" w:ascii="新宋体" w:hAnsi="新宋体" w:eastAsia="新宋体" w:cs="新宋体"/>
          <w:b w:val="0"/>
          <w:bCs/>
          <w:sz w:val="24"/>
          <w:szCs w:val="24"/>
        </w:rPr>
        <w:t>0mmHg (0~</w:t>
      </w:r>
      <w:r>
        <w:rPr>
          <w:rFonts w:hint="eastAsia" w:ascii="新宋体" w:hAnsi="新宋体" w:eastAsia="新宋体" w:cs="新宋体"/>
          <w:b w:val="0"/>
          <w:bCs/>
          <w:sz w:val="24"/>
          <w:szCs w:val="24"/>
          <w:lang w:val="en-US" w:eastAsia="zh-CN"/>
        </w:rPr>
        <w:t>36</w:t>
      </w:r>
      <w:r>
        <w:rPr>
          <w:rFonts w:hint="eastAsia" w:ascii="新宋体" w:hAnsi="新宋体" w:eastAsia="新宋体" w:cs="新宋体"/>
          <w:b w:val="0"/>
          <w:bCs/>
          <w:sz w:val="24"/>
          <w:szCs w:val="24"/>
        </w:rPr>
        <w:t>kPa) 脉搏：40~</w:t>
      </w:r>
      <w:r>
        <w:rPr>
          <w:rFonts w:hint="eastAsia" w:ascii="新宋体" w:hAnsi="新宋体" w:eastAsia="新宋体" w:cs="新宋体"/>
          <w:b w:val="0"/>
          <w:bCs/>
          <w:sz w:val="24"/>
          <w:szCs w:val="24"/>
          <w:lang w:val="en-US" w:eastAsia="zh-CN"/>
        </w:rPr>
        <w:t>180</w:t>
      </w:r>
      <w:r>
        <w:rPr>
          <w:rFonts w:hint="eastAsia" w:ascii="新宋体" w:hAnsi="新宋体" w:eastAsia="新宋体" w:cs="新宋体"/>
          <w:b w:val="0"/>
          <w:bCs/>
          <w:sz w:val="24"/>
          <w:szCs w:val="24"/>
        </w:rPr>
        <w:t>次/分</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3.</w:t>
      </w:r>
      <w:r>
        <w:rPr>
          <w:rFonts w:hint="eastAsia" w:ascii="新宋体" w:hAnsi="新宋体" w:eastAsia="新宋体" w:cs="新宋体"/>
          <w:b w:val="0"/>
          <w:bCs/>
          <w:sz w:val="24"/>
          <w:szCs w:val="24"/>
        </w:rPr>
        <w:t>精度: 压力：±</w:t>
      </w:r>
      <w:r>
        <w:rPr>
          <w:rFonts w:hint="eastAsia" w:ascii="新宋体" w:hAnsi="新宋体" w:eastAsia="新宋体" w:cs="新宋体"/>
          <w:b w:val="0"/>
          <w:bCs/>
          <w:sz w:val="24"/>
          <w:szCs w:val="24"/>
          <w:lang w:val="en-US" w:eastAsia="zh-CN"/>
        </w:rPr>
        <w:t>3</w:t>
      </w:r>
      <w:r>
        <w:rPr>
          <w:rFonts w:hint="eastAsia" w:ascii="新宋体" w:hAnsi="新宋体" w:eastAsia="新宋体" w:cs="新宋体"/>
          <w:b w:val="0"/>
          <w:bCs/>
          <w:sz w:val="24"/>
          <w:szCs w:val="24"/>
        </w:rPr>
        <w:t>mmHg(±0.</w:t>
      </w:r>
      <w:r>
        <w:rPr>
          <w:rFonts w:hint="eastAsia" w:ascii="新宋体" w:hAnsi="新宋体" w:eastAsia="新宋体" w:cs="新宋体"/>
          <w:b w:val="0"/>
          <w:bCs/>
          <w:sz w:val="24"/>
          <w:szCs w:val="24"/>
          <w:lang w:val="en-US" w:eastAsia="zh-CN"/>
        </w:rPr>
        <w:t>4</w:t>
      </w:r>
      <w:r>
        <w:rPr>
          <w:rFonts w:hint="eastAsia" w:ascii="新宋体" w:hAnsi="新宋体" w:eastAsia="新宋体" w:cs="新宋体"/>
          <w:b w:val="0"/>
          <w:bCs/>
          <w:sz w:val="24"/>
          <w:szCs w:val="24"/>
        </w:rPr>
        <w:t>kPa)以内 脉搏：读数的±5%以内</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4.</w:t>
      </w:r>
      <w:r>
        <w:rPr>
          <w:rFonts w:hint="eastAsia" w:ascii="新宋体" w:hAnsi="新宋体" w:eastAsia="新宋体" w:cs="新宋体"/>
          <w:b w:val="0"/>
          <w:bCs/>
          <w:sz w:val="24"/>
          <w:szCs w:val="24"/>
        </w:rPr>
        <w:t xml:space="preserve">测量方法: </w:t>
      </w:r>
      <w:r>
        <w:rPr>
          <w:rFonts w:hint="eastAsia" w:ascii="新宋体" w:hAnsi="新宋体" w:eastAsia="新宋体" w:cs="新宋体"/>
          <w:b w:val="0"/>
          <w:bCs/>
          <w:sz w:val="24"/>
          <w:szCs w:val="24"/>
          <w:lang w:eastAsia="zh-CN"/>
        </w:rPr>
        <w:t>脉搏波</w:t>
      </w:r>
      <w:r>
        <w:rPr>
          <w:rFonts w:hint="eastAsia" w:ascii="新宋体" w:hAnsi="新宋体" w:eastAsia="新宋体" w:cs="新宋体"/>
          <w:b w:val="0"/>
          <w:bCs/>
          <w:sz w:val="24"/>
          <w:szCs w:val="24"/>
        </w:rPr>
        <w:t>法</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5.</w:t>
      </w:r>
      <w:r>
        <w:rPr>
          <w:rFonts w:hint="eastAsia" w:ascii="新宋体" w:hAnsi="新宋体" w:eastAsia="新宋体" w:cs="新宋体"/>
          <w:b w:val="0"/>
          <w:bCs/>
          <w:sz w:val="24"/>
          <w:szCs w:val="24"/>
        </w:rPr>
        <w:t>电气安全分类: 内部电源类 BF型</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6.</w:t>
      </w:r>
      <w:r>
        <w:rPr>
          <w:rFonts w:hint="eastAsia" w:ascii="新宋体" w:hAnsi="新宋体" w:eastAsia="新宋体" w:cs="新宋体"/>
          <w:b w:val="0"/>
          <w:bCs/>
          <w:sz w:val="24"/>
          <w:szCs w:val="24"/>
        </w:rPr>
        <w:t xml:space="preserve">电源: </w:t>
      </w:r>
      <w:r>
        <w:rPr>
          <w:rFonts w:hint="eastAsia" w:ascii="新宋体" w:hAnsi="新宋体" w:eastAsia="新宋体" w:cs="新宋体"/>
          <w:b w:val="0"/>
          <w:bCs/>
          <w:sz w:val="24"/>
          <w:szCs w:val="24"/>
          <w:lang w:eastAsia="zh-CN"/>
        </w:rPr>
        <w:t>内置锂电池（</w:t>
      </w:r>
      <w:r>
        <w:rPr>
          <w:rFonts w:hint="eastAsia" w:ascii="新宋体" w:hAnsi="新宋体" w:eastAsia="新宋体" w:cs="新宋体"/>
          <w:b w:val="0"/>
          <w:bCs/>
          <w:sz w:val="24"/>
          <w:szCs w:val="24"/>
          <w:lang w:val="en-US" w:eastAsia="zh-CN"/>
        </w:rPr>
        <w:t>DC3.7V）</w:t>
      </w:r>
    </w:p>
    <w:p>
      <w:pPr>
        <w:pStyle w:val="38"/>
        <w:pageBreakBefore w:val="0"/>
        <w:kinsoku/>
        <w:wordWrap/>
        <w:overflowPunct/>
        <w:topLinePunct w:val="0"/>
        <w:autoSpaceDE/>
        <w:autoSpaceDN/>
        <w:bidi w:val="0"/>
        <w:spacing w:line="360" w:lineRule="auto"/>
        <w:ind w:left="0" w:leftChars="0" w:firstLine="0" w:firstLineChars="0"/>
        <w:jc w:val="left"/>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7.运行大气压力：80kPa~106kPa</w:t>
      </w:r>
    </w:p>
    <w:p>
      <w:pPr>
        <w:pStyle w:val="38"/>
        <w:pageBreakBefore w:val="0"/>
        <w:numPr>
          <w:ilvl w:val="0"/>
          <w:numId w:val="0"/>
        </w:numPr>
        <w:kinsoku/>
        <w:wordWrap/>
        <w:overflowPunct/>
        <w:topLinePunct w:val="0"/>
        <w:autoSpaceDE/>
        <w:autoSpaceDN/>
        <w:bidi w:val="0"/>
        <w:spacing w:line="360" w:lineRule="auto"/>
        <w:ind w:leftChars="0"/>
        <w:jc w:val="both"/>
        <w:rPr>
          <w:rFonts w:hint="eastAsia" w:ascii="新宋体" w:hAnsi="新宋体" w:eastAsia="新宋体" w:cs="新宋体"/>
          <w:b w:val="0"/>
          <w:bCs/>
          <w:sz w:val="24"/>
          <w:szCs w:val="24"/>
          <w:lang w:val="en-US" w:eastAsia="zh-CN"/>
        </w:rPr>
      </w:pPr>
    </w:p>
    <w:p>
      <w:pPr>
        <w:pStyle w:val="38"/>
        <w:pageBreakBefore w:val="0"/>
        <w:numPr>
          <w:ilvl w:val="0"/>
          <w:numId w:val="0"/>
        </w:numPr>
        <w:kinsoku/>
        <w:wordWrap/>
        <w:overflowPunct/>
        <w:topLinePunct w:val="0"/>
        <w:autoSpaceDE/>
        <w:autoSpaceDN/>
        <w:bidi w:val="0"/>
        <w:spacing w:line="360" w:lineRule="auto"/>
        <w:ind w:leftChars="0"/>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5.</w:t>
      </w:r>
      <w:r>
        <w:rPr>
          <w:rFonts w:hint="eastAsia" w:ascii="新宋体" w:hAnsi="新宋体" w:eastAsia="新宋体" w:cs="新宋体"/>
          <w:b/>
          <w:bCs w:val="0"/>
          <w:sz w:val="24"/>
          <w:szCs w:val="24"/>
        </w:rPr>
        <w:t>电子体温计</w:t>
      </w:r>
    </w:p>
    <w:p>
      <w:pPr>
        <w:pStyle w:val="38"/>
        <w:pageBreakBefore w:val="0"/>
        <w:numPr>
          <w:ilvl w:val="0"/>
          <w:numId w:val="0"/>
        </w:numPr>
        <w:kinsoku/>
        <w:wordWrap/>
        <w:overflowPunct/>
        <w:topLinePunct w:val="0"/>
        <w:autoSpaceDE/>
        <w:autoSpaceDN/>
        <w:bidi w:val="0"/>
        <w:spacing w:line="360" w:lineRule="auto"/>
        <w:ind w:left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技术参数</w:t>
      </w:r>
    </w:p>
    <w:p>
      <w:pPr>
        <w:pStyle w:val="17"/>
        <w:pageBreakBefore w:val="0"/>
        <w:shd w:val="clear" w:color="auto" w:fill="FFFFFF"/>
        <w:kinsoku/>
        <w:wordWrap/>
        <w:overflowPunct/>
        <w:topLinePunct w:val="0"/>
        <w:autoSpaceDE/>
        <w:autoSpaceDN/>
        <w:bidi w:val="0"/>
        <w:spacing w:before="0" w:beforeAutospacing="0" w:after="0" w:afterAutospacing="0" w:line="360" w:lineRule="auto"/>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1.供测量人体体温</w:t>
      </w:r>
    </w:p>
    <w:p>
      <w:pPr>
        <w:pStyle w:val="17"/>
        <w:pageBreakBefore w:val="0"/>
        <w:shd w:val="clear" w:color="auto" w:fill="FFFFFF"/>
        <w:kinsoku/>
        <w:wordWrap/>
        <w:overflowPunct/>
        <w:topLinePunct w:val="0"/>
        <w:autoSpaceDE/>
        <w:autoSpaceDN/>
        <w:bidi w:val="0"/>
        <w:spacing w:before="0" w:beforeAutospacing="0" w:after="0" w:afterAutospacing="0" w:line="360" w:lineRule="auto"/>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2.主要由电路板(包括IC芯片、电阻、电容及辅助控制电路)、热敏电阻、蜂鸣器、导电橡胶、触动开关、纽扣电池、外壳、电池盖、电池扣、液晶托架、上盖、面板按钮、钢帽及连接部件组成。</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numPr>
          <w:ilvl w:val="0"/>
          <w:numId w:val="0"/>
        </w:numPr>
        <w:kinsoku/>
        <w:wordWrap/>
        <w:overflowPunct/>
        <w:topLinePunct w:val="0"/>
        <w:autoSpaceDE/>
        <w:autoSpaceDN/>
        <w:bidi w:val="0"/>
        <w:spacing w:line="360" w:lineRule="auto"/>
        <w:ind w:leftChars="0"/>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6.</w:t>
      </w:r>
      <w:r>
        <w:rPr>
          <w:rFonts w:hint="eastAsia" w:ascii="新宋体" w:hAnsi="新宋体" w:eastAsia="新宋体" w:cs="新宋体"/>
          <w:b/>
          <w:bCs w:val="0"/>
          <w:sz w:val="24"/>
          <w:szCs w:val="24"/>
        </w:rPr>
        <w:t>血糖仪</w:t>
      </w:r>
    </w:p>
    <w:p>
      <w:pPr>
        <w:pStyle w:val="38"/>
        <w:pageBreakBefore w:val="0"/>
        <w:numPr>
          <w:ilvl w:val="0"/>
          <w:numId w:val="0"/>
        </w:numPr>
        <w:kinsoku/>
        <w:wordWrap/>
        <w:overflowPunct/>
        <w:topLinePunct w:val="0"/>
        <w:autoSpaceDE/>
        <w:autoSpaceDN/>
        <w:bidi w:val="0"/>
        <w:spacing w:line="360" w:lineRule="auto"/>
        <w:ind w:left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技术参数</w:t>
      </w:r>
    </w:p>
    <w:p>
      <w:pPr>
        <w:pageBreakBefore w:val="0"/>
        <w:numPr>
          <w:ilvl w:val="0"/>
          <w:numId w:val="0"/>
        </w:numPr>
        <w:kinsoku/>
        <w:wordWrap/>
        <w:overflowPunct/>
        <w:topLinePunct w:val="0"/>
        <w:autoSpaceDE/>
        <w:autoSpaceDN/>
        <w:bidi w:val="0"/>
        <w:spacing w:line="360" w:lineRule="auto"/>
        <w:ind w:leftChars="0"/>
        <w:rPr>
          <w:rFonts w:hint="eastAsia" w:ascii="新宋体" w:hAnsi="新宋体" w:eastAsia="新宋体" w:cs="新宋体"/>
          <w:b w:val="0"/>
          <w:bCs/>
          <w:sz w:val="24"/>
          <w:szCs w:val="24"/>
        </w:rPr>
      </w:pPr>
      <w:r>
        <w:rPr>
          <w:rFonts w:hint="eastAsia" w:ascii="新宋体" w:hAnsi="新宋体" w:eastAsia="新宋体" w:cs="新宋体"/>
          <w:b w:val="0"/>
          <w:bCs/>
          <w:sz w:val="24"/>
          <w:szCs w:val="24"/>
        </w:rPr>
        <w:t>产品类别：</w:t>
      </w:r>
      <w:r>
        <w:rPr>
          <w:rFonts w:hint="eastAsia" w:ascii="新宋体" w:hAnsi="新宋体" w:eastAsia="新宋体" w:cs="新宋体"/>
          <w:b w:val="0"/>
          <w:bCs/>
          <w:sz w:val="24"/>
          <w:szCs w:val="24"/>
        </w:rPr>
        <w:tab/>
      </w:r>
      <w:r>
        <w:rPr>
          <w:rFonts w:hint="eastAsia" w:ascii="新宋体" w:hAnsi="新宋体" w:eastAsia="新宋体" w:cs="新宋体"/>
          <w:b w:val="0"/>
          <w:bCs/>
          <w:sz w:val="24"/>
          <w:szCs w:val="24"/>
        </w:rPr>
        <w:t>血糖仪器</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计量单位：</w:t>
      </w:r>
      <w:r>
        <w:rPr>
          <w:rFonts w:hint="eastAsia" w:ascii="新宋体" w:hAnsi="新宋体" w:eastAsia="新宋体" w:cs="新宋体"/>
          <w:b w:val="0"/>
          <w:bCs/>
          <w:sz w:val="24"/>
          <w:szCs w:val="24"/>
        </w:rPr>
        <w:tab/>
      </w:r>
      <w:r>
        <w:rPr>
          <w:rFonts w:hint="eastAsia" w:ascii="新宋体" w:hAnsi="新宋体" w:eastAsia="新宋体" w:cs="新宋体"/>
          <w:b w:val="0"/>
          <w:bCs/>
          <w:sz w:val="24"/>
          <w:szCs w:val="24"/>
        </w:rPr>
        <w:t>mmol/L</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rPr>
        <w:t>测试时间：</w:t>
      </w:r>
      <w:r>
        <w:rPr>
          <w:rFonts w:hint="eastAsia" w:ascii="新宋体" w:hAnsi="新宋体" w:eastAsia="新宋体" w:cs="新宋体"/>
          <w:b w:val="0"/>
          <w:bCs/>
          <w:sz w:val="24"/>
          <w:szCs w:val="24"/>
        </w:rPr>
        <w:tab/>
      </w:r>
      <w:r>
        <w:rPr>
          <w:rFonts w:hint="eastAsia" w:ascii="新宋体" w:hAnsi="新宋体" w:eastAsia="新宋体" w:cs="新宋体"/>
          <w:b w:val="0"/>
          <w:bCs/>
          <w:sz w:val="24"/>
          <w:szCs w:val="24"/>
          <w:lang w:val="en-US" w:eastAsia="zh-CN"/>
        </w:rPr>
        <w:t>9s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测量范围：</w:t>
      </w:r>
      <w:r>
        <w:rPr>
          <w:rFonts w:hint="eastAsia" w:ascii="新宋体" w:hAnsi="新宋体" w:eastAsia="新宋体" w:cs="新宋体"/>
          <w:b w:val="0"/>
          <w:bCs/>
          <w:sz w:val="24"/>
          <w:szCs w:val="24"/>
        </w:rPr>
        <w:tab/>
      </w:r>
      <w:r>
        <w:rPr>
          <w:rFonts w:hint="eastAsia" w:ascii="新宋体" w:hAnsi="新宋体" w:eastAsia="新宋体" w:cs="新宋体"/>
          <w:b w:val="0"/>
          <w:bCs/>
          <w:sz w:val="24"/>
          <w:szCs w:val="24"/>
        </w:rPr>
        <w:t>1.1mmol/L</w:t>
      </w:r>
      <w:r>
        <w:rPr>
          <w:rFonts w:hint="eastAsia" w:ascii="新宋体" w:hAnsi="新宋体" w:eastAsia="新宋体" w:cs="新宋体"/>
          <w:b w:val="0"/>
          <w:bCs/>
          <w:sz w:val="24"/>
          <w:szCs w:val="24"/>
          <w:lang w:val="en-US" w:eastAsia="zh-CN"/>
        </w:rPr>
        <w:t>~</w:t>
      </w:r>
      <w:r>
        <w:rPr>
          <w:rFonts w:hint="eastAsia" w:ascii="新宋体" w:hAnsi="新宋体" w:eastAsia="新宋体" w:cs="新宋体"/>
          <w:b w:val="0"/>
          <w:bCs/>
          <w:sz w:val="24"/>
          <w:szCs w:val="24"/>
        </w:rPr>
        <w:t>33.3mmol/L</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血容积比：  30%-</w:t>
      </w:r>
      <w:r>
        <w:rPr>
          <w:rFonts w:hint="eastAsia" w:ascii="新宋体" w:hAnsi="新宋体" w:eastAsia="新宋体" w:cs="新宋体"/>
          <w:b w:val="0"/>
          <w:bCs/>
          <w:sz w:val="24"/>
          <w:szCs w:val="24"/>
          <w:lang w:val="en-US" w:eastAsia="zh-CN"/>
        </w:rPr>
        <w:t>5</w:t>
      </w:r>
      <w:r>
        <w:rPr>
          <w:rFonts w:hint="eastAsia" w:ascii="新宋体" w:hAnsi="新宋体" w:eastAsia="新宋体" w:cs="新宋体"/>
          <w:b w:val="0"/>
          <w:bCs/>
          <w:sz w:val="24"/>
          <w:szCs w:val="24"/>
        </w:rPr>
        <w:t>0%</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记忆组数： </w:t>
      </w:r>
      <w:r>
        <w:rPr>
          <w:rFonts w:hint="eastAsia" w:ascii="新宋体" w:hAnsi="新宋体" w:eastAsia="新宋体" w:cs="新宋体"/>
          <w:b w:val="0"/>
          <w:bCs/>
          <w:sz w:val="24"/>
          <w:szCs w:val="24"/>
          <w:lang w:val="en-US" w:eastAsia="zh-CN"/>
        </w:rPr>
        <w:t>80</w:t>
      </w:r>
      <w:r>
        <w:rPr>
          <w:rFonts w:hint="eastAsia" w:ascii="新宋体" w:hAnsi="新宋体" w:eastAsia="新宋体" w:cs="新宋体"/>
          <w:b w:val="0"/>
          <w:bCs/>
          <w:sz w:val="24"/>
          <w:szCs w:val="24"/>
          <w:lang w:eastAsia="zh-CN"/>
        </w:rPr>
        <w:t>个</w:t>
      </w:r>
      <w:r>
        <w:rPr>
          <w:rFonts w:hint="eastAsia" w:ascii="新宋体" w:hAnsi="新宋体" w:eastAsia="新宋体" w:cs="新宋体"/>
          <w:b w:val="0"/>
          <w:bCs/>
          <w:sz w:val="24"/>
          <w:szCs w:val="24"/>
        </w:rPr>
        <w:t>测量结果</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numPr>
          <w:ilvl w:val="0"/>
          <w:numId w:val="0"/>
        </w:numPr>
        <w:kinsoku/>
        <w:wordWrap/>
        <w:overflowPunct/>
        <w:topLinePunct w:val="0"/>
        <w:autoSpaceDE/>
        <w:autoSpaceDN/>
        <w:bidi w:val="0"/>
        <w:spacing w:line="360" w:lineRule="auto"/>
        <w:ind w:leftChars="0"/>
        <w:jc w:val="center"/>
        <w:rPr>
          <w:rFonts w:hint="eastAsia" w:ascii="新宋体" w:hAnsi="新宋体" w:eastAsia="新宋体" w:cs="新宋体"/>
          <w:b/>
          <w:bCs w:val="0"/>
          <w:sz w:val="24"/>
          <w:szCs w:val="24"/>
          <w:lang w:eastAsia="zh-CN"/>
        </w:rPr>
      </w:pPr>
      <w:r>
        <w:rPr>
          <w:rFonts w:hint="eastAsia" w:ascii="新宋体" w:hAnsi="新宋体" w:eastAsia="新宋体" w:cs="新宋体"/>
          <w:b/>
          <w:bCs w:val="0"/>
          <w:sz w:val="24"/>
          <w:szCs w:val="24"/>
          <w:lang w:val="en-US" w:eastAsia="zh-CN"/>
        </w:rPr>
        <w:t>7.</w:t>
      </w:r>
      <w:r>
        <w:rPr>
          <w:rFonts w:hint="eastAsia" w:ascii="新宋体" w:hAnsi="新宋体" w:eastAsia="新宋体" w:cs="新宋体"/>
          <w:b/>
          <w:bCs w:val="0"/>
          <w:sz w:val="24"/>
          <w:szCs w:val="24"/>
          <w:lang w:eastAsia="zh-CN"/>
        </w:rPr>
        <w:t>手持式脉搏血氧仪</w:t>
      </w:r>
    </w:p>
    <w:p>
      <w:pPr>
        <w:pageBreakBefore w:val="0"/>
        <w:kinsoku/>
        <w:wordWrap/>
        <w:overflowPunct/>
        <w:topLinePunct w:val="0"/>
        <w:autoSpaceDE/>
        <w:autoSpaceDN/>
        <w:bidi w:val="0"/>
        <w:spacing w:beforeLines="50" w:afterLines="50" w:line="360" w:lineRule="auto"/>
        <w:jc w:val="left"/>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eastAsia="zh-CN"/>
        </w:rPr>
        <w:t>技术参数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•轻巧、便携，临床使用方便</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2.4〃彩色OLED显示屏，具有重力感应功能，方便医护人员查房观看。具有波形显示界面和大字体显示界面</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•可调节的声光报警功能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•连续监测成人、儿童、新生儿的心电（可选）、血氧、脉率等生理参数 •三节AA碱性电池或专用充电锂电池均可使用，自动辨别锂电池或AA碱性电池并对锂电池充电 •两种工作模式可选：点测模式和连续测试模式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•监护历史数据掉电存储功能，存储时间间隔从10秒-10分钟可设</w:t>
      </w:r>
    </w:p>
    <w:p>
      <w:pPr>
        <w:pageBreakBefore w:val="0"/>
        <w:widowControl/>
        <w:kinsoku/>
        <w:wordWrap/>
        <w:overflowPunct/>
        <w:topLinePunct w:val="0"/>
        <w:autoSpaceDE/>
        <w:autoSpaceDN/>
        <w:bidi w:val="0"/>
        <w:spacing w:line="360" w:lineRule="auto"/>
        <w:jc w:val="left"/>
        <w:rPr>
          <w:rFonts w:hint="eastAsia" w:ascii="新宋体" w:hAnsi="新宋体" w:eastAsia="新宋体" w:cs="新宋体"/>
          <w:b w:val="0"/>
          <w:bCs/>
          <w:sz w:val="24"/>
          <w:szCs w:val="24"/>
        </w:rPr>
      </w:pPr>
    </w:p>
    <w:p>
      <w:pPr>
        <w:pageBreakBefore w:val="0"/>
        <w:kinsoku/>
        <w:wordWrap/>
        <w:overflowPunct/>
        <w:topLinePunct w:val="0"/>
        <w:autoSpaceDE/>
        <w:autoSpaceDN/>
        <w:bidi w:val="0"/>
        <w:spacing w:after="100" w:afterAutospacing="1"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8.</w:t>
      </w:r>
      <w:r>
        <w:rPr>
          <w:rFonts w:hint="eastAsia" w:ascii="新宋体" w:hAnsi="新宋体" w:eastAsia="新宋体" w:cs="新宋体"/>
          <w:b/>
          <w:bCs w:val="0"/>
          <w:sz w:val="24"/>
          <w:szCs w:val="24"/>
        </w:rPr>
        <w:t>监护仪参数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监护仪外形结构：</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便携一体式监护仪,可用于监护成人,儿童,新生儿患者</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★≥10英寸彩色LED背光液晶显示屏，彩色高分辨率达800*600，8通道波形显示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★整机无风扇设计，降低环境噪音干扰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监测参数：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标准配置可监测心电，呼吸，无创血压，血氧饱和度，脉搏和体温</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心电波形速度支持≥4种选择：6.25、12.5、25和50mm/s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具备智能导联脱落监测功能，个别导联脱落的情况下仍能保持监护</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★提供心率变化统计界面，包括患者平均心率、夜间平均心率、白天平均心率、最快心率和最慢心率等，直观快速了解过去24小时患者的心率变化和心率分布情况。</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血氧监测时标配支持PI血氧灌注指数的监测，有效反映血氧灌注情况。</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采用抗干扰和弱灌注血氧专利技术保证血氧监护的优异性。</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无创血压支持手动，连续和自动测量模式。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★成人无创血压测量范围：收缩压 25~290mmHg，舒张压 10~250mmHg</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小儿无创血压测量范围：收缩压 25~240mmHg，舒张压 10~200mmHg</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新生儿无创血压测量范围：收缩压 25~140mmHg，舒张压 10~115mmHg</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★提供动态血压分析界面，包括平均血压、白天平均血压、夜间平均血压、最高血压、最低血压和正常血压比例等，直观快速了解过去24小时患者血压变化和分布情况。</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系统功能：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支持中/英文输入</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具有三级声光报警，参数报警级别可调</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具备报警集中设置功能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具备血液动力学、药物计算功能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支持&gt;=1000小时趋势数据的存储与回顾功能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具备监护模式、待机模式，演示模式、隐私模式和夜间模式不少于5种工作模式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具备趋势共存界面、呼吸氧合图界面，大字体显示界面，及标准显示界面等多种显示界面</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具备网络通信功能，实现中央站的集中监护</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标配一块高能锂电池，工作时间可达4小时</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支持监护仪系统日志的向U盘设备的导出功能，日志包括：系统状态、异常和技术报警等，满足设备管理的日常维护需求</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★主机集成附件收纳槽，支持将心电、血氧和无创血压等导联线附件进行收纳放置，方便监护仪设备的高效管理和转移。</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安全与认证：</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★4.1：投标型号入选中国医学器械装备协会发布的优秀国产医疗产品目录，提供证书复印件证明材料。</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★4.2：投标型号监护仪认证：通过国家三类注册，CE认证，FDA认证，提供证明材料</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4.3、安全规格：ECG, TEMP, SpO2 , NIBP监测参数抗电击程度为防除颤CF型</w:t>
      </w:r>
      <w:r>
        <w:rPr>
          <w:rFonts w:hint="eastAsia" w:ascii="新宋体" w:hAnsi="新宋体" w:eastAsia="新宋体" w:cs="新宋体"/>
          <w:b w:val="0"/>
          <w:bCs/>
          <w:sz w:val="24"/>
          <w:szCs w:val="24"/>
        </w:rPr>
        <w:drawing>
          <wp:inline distT="0" distB="0" distL="0" distR="0">
            <wp:extent cx="257175" cy="152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新宋体" w:hAnsi="新宋体" w:eastAsia="新宋体" w:cs="新宋体"/>
          <w:b w:val="0"/>
          <w:bCs/>
          <w:sz w:val="24"/>
          <w:szCs w:val="24"/>
        </w:rPr>
        <w:t>, 提供机器接口防护等级丝印照片证明材料。</w:t>
      </w:r>
    </w:p>
    <w:p>
      <w:pPr>
        <w:pageBreakBefore w:val="0"/>
        <w:kinsoku/>
        <w:wordWrap/>
        <w:overflowPunct/>
        <w:topLinePunct w:val="0"/>
        <w:autoSpaceDE/>
        <w:autoSpaceDN/>
        <w:bidi w:val="0"/>
        <w:spacing w:line="360" w:lineRule="auto"/>
        <w:rPr>
          <w:rFonts w:hint="eastAsia" w:ascii="新宋体" w:hAnsi="新宋体" w:eastAsia="新宋体" w:cs="新宋体"/>
          <w:sz w:val="24"/>
          <w:szCs w:val="24"/>
        </w:rPr>
      </w:pPr>
      <w:r>
        <w:rPr>
          <w:rFonts w:hint="eastAsia" w:ascii="新宋体" w:hAnsi="新宋体" w:eastAsia="新宋体" w:cs="新宋体"/>
          <w:b w:val="0"/>
          <w:bCs/>
          <w:sz w:val="24"/>
          <w:szCs w:val="24"/>
        </w:rPr>
        <w:t>4.4、监护仪设计使用年限≥8年，提供机器标贴证明材料。</w:t>
      </w:r>
    </w:p>
    <w:p>
      <w:pPr>
        <w:pStyle w:val="38"/>
        <w:pageBreakBefore w:val="0"/>
        <w:numPr>
          <w:ilvl w:val="0"/>
          <w:numId w:val="0"/>
        </w:numPr>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color w:val="000000" w:themeColor="text1"/>
          <w:sz w:val="24"/>
          <w:szCs w:val="24"/>
          <w14:textFill>
            <w14:solidFill>
              <w14:schemeClr w14:val="tx1"/>
            </w14:solidFill>
          </w14:textFill>
        </w:rPr>
      </w:pPr>
      <w:r>
        <w:rPr>
          <w:rFonts w:hint="eastAsia" w:ascii="新宋体" w:hAnsi="新宋体" w:eastAsia="新宋体" w:cs="新宋体"/>
          <w:b/>
          <w:bCs w:val="0"/>
          <w:color w:val="000000" w:themeColor="text1"/>
          <w:sz w:val="24"/>
          <w:szCs w:val="24"/>
          <w:lang w:val="en-US" w:eastAsia="zh-CN"/>
          <w14:textFill>
            <w14:solidFill>
              <w14:schemeClr w14:val="tx1"/>
            </w14:solidFill>
          </w14:textFill>
        </w:rPr>
        <w:t>9.</w:t>
      </w:r>
      <w:r>
        <w:rPr>
          <w:rFonts w:hint="eastAsia" w:ascii="新宋体" w:hAnsi="新宋体" w:eastAsia="新宋体" w:cs="新宋体"/>
          <w:b/>
          <w:bCs w:val="0"/>
          <w:color w:val="000000" w:themeColor="text1"/>
          <w:sz w:val="24"/>
          <w:szCs w:val="24"/>
          <w14:textFill>
            <w14:solidFill>
              <w14:schemeClr w14:val="tx1"/>
            </w14:solidFill>
          </w14:textFill>
        </w:rPr>
        <w:t>心电图机技术参数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★世界上收个获得设计红点奖的心电图机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12导心电波形能打印于卷纸和折叠的热敏纸；</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★起搏器采样率不低于16,000Hz；</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★无需选择灵敏度，自动检测起搏器工作状态；</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★电压分辨率不低于1uV；</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模数转换不低于24位；</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★Glasgow大学静息心电算法，适用于所有年龄段的人群；</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★开机出波形时间不超过5秒；</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★内置存储容量不低于800份；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★电池单次充电至少可供打印500份报告；</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★屏幕可预览完整的心电图报告；</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★更改患者信息后，可自动再分析心电波形，并作出新的诊断；</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可以USB线连接外置打印机，将报告打印于A4纸；</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可支持条形码扫描枪接收患者；</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★U盘可存储并转移PDF或XML格式的报告；</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★支持无线或有线方式传输PDF或XML格式的报告；</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波形增益：2.5, 5, 10, 20, L=10 C=5, L=20 C=10 mm/mV, 自动；</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记录仪分辨率：水平40 dots/mm @ 25 mm/s, 垂直8 dots/mm；</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心电放大器：直流耦合；</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走纸速度：5, 12.5, 25 &amp; 50 mm/s；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★重量不大于1.2Kg；</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★屏幕可预览完整的心电图报告；</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★更改患者信息后，可自动再分析心电波形，并作出新的诊断。</w:t>
      </w:r>
    </w:p>
    <w:p>
      <w:pPr>
        <w:pStyle w:val="3"/>
        <w:pageBreakBefore w:val="0"/>
        <w:tabs>
          <w:tab w:val="left" w:pos="3060"/>
        </w:tabs>
        <w:kinsoku/>
        <w:wordWrap/>
        <w:overflowPunct/>
        <w:topLinePunct w:val="0"/>
        <w:autoSpaceDE/>
        <w:autoSpaceDN/>
        <w:bidi w:val="0"/>
        <w:spacing w:line="360" w:lineRule="auto"/>
        <w:jc w:val="center"/>
        <w:rPr>
          <w:rFonts w:hint="eastAsia" w:ascii="新宋体" w:hAnsi="新宋体" w:eastAsia="新宋体" w:cs="新宋体"/>
          <w:b w:val="0"/>
          <w:bCs/>
          <w:sz w:val="24"/>
          <w:szCs w:val="24"/>
          <w:lang w:val="en-US" w:eastAsia="zh-CN"/>
        </w:rPr>
      </w:pPr>
    </w:p>
    <w:p>
      <w:pPr>
        <w:pStyle w:val="3"/>
        <w:pageBreakBefore w:val="0"/>
        <w:tabs>
          <w:tab w:val="left" w:pos="3060"/>
        </w:tabs>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10.</w:t>
      </w:r>
      <w:r>
        <w:rPr>
          <w:rFonts w:hint="eastAsia" w:ascii="新宋体" w:hAnsi="新宋体" w:eastAsia="新宋体" w:cs="新宋体"/>
          <w:b/>
          <w:bCs w:val="0"/>
          <w:sz w:val="24"/>
          <w:szCs w:val="24"/>
        </w:rPr>
        <w:t>除颤器参数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★彩色TFT显示屏≥7英寸, 分辨率800×480像素，可显示≥3通道监护参数波形，有高对比度显示界面。</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支持中文操作界面。</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屏幕显示心电波形扫描时间≥16s。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具备手动除颤、起博，心电监护、呼吸监护、自动体外除颤（AED）功能。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除颤采用双相波技术，具备自动阻抗补偿功能。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★手动除颤分为同步和非同步两种方式，能量分20档以上，可通过体外电极板进行能量选择，最大能量可达360J。</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可配置体内除颤手柄，体内手动除颤能力选择：1/2/3/4/5/6/7/8/9/10/15/20/30/50 J</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电极板同时支持成人和小儿，一体化设计，支持快速切换。</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★电极板支持能量选择，充电和放电三步操作，满足单人除颤操作。</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AED除颤功能提供中文语音和中文提醒功能，对于抢救过程支持自动录音功能，记录时长≥180分钟。</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开机时间≤3s，符合临床使用。</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除颤充电迅速，充电至200J≤4s。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支持配置体外起搏功能，起搏分为固定和按需两种模式。具备降速起搏功能。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支持配置CPR辅助功能，CPR传感器设计符合2015 AHA/ERC指南，提供即时的按压反馈，主机屏幕界面提供按压深度和按压频率实时参数显示。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心电波形速度支持50 mm/s、25 mm/s、12.5 mm/s、6.25 mm/s。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心律失常分析种类≥20种。</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可选配监护功能：血氧饱和度、无创血压和呼末CO2监测。</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★提供的监护参数适用于成人，小儿和新生儿，并通过国家三类注册、CE认证。</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bookmarkStart w:id="39" w:name="OLE_LINK27"/>
      <w:bookmarkStart w:id="40" w:name="OLE_LINK26"/>
      <w:r>
        <w:rPr>
          <w:rFonts w:hint="eastAsia" w:ascii="新宋体" w:hAnsi="新宋体" w:eastAsia="新宋体" w:cs="新宋体"/>
          <w:b w:val="0"/>
          <w:bCs/>
          <w:sz w:val="24"/>
          <w:szCs w:val="24"/>
          <w:lang w:val="en-US" w:eastAsia="zh-CN"/>
        </w:rPr>
        <w:t>★无创血压收缩压测量范围：25-290mmHg（成人）、25-240mmHg（小儿）、25-140mmHg（新生儿），舒张压测量范围：10-250mmHg（成人）、10-200mmHg（小儿），10-115mmHg（新生儿）。</w:t>
      </w:r>
    </w:p>
    <w:bookmarkEnd w:id="39"/>
    <w:bookmarkEnd w:id="40"/>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★支持连接中央站，与科室床旁监护仪共用监护网络。</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支持提供IHE HL7协议，满足院前院内急救系统的联网通信。</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标配1块外置智能锂电池，可支持200J除颤≥300次。</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★具备生理报警和技术报警功能，提供灯光报警，声音报警，报警文字和参数闪烁4种方式。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★发生报警时，报警灯以不同的颜色和闪烁频率提示不同的报警级别。</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配置50mm记录纸记录仪，自动打印除颤记录，可延迟打印心电，延迟时间&gt;10s。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支持≥24小时连续ECG波形的存储，数据可导出至电脑查看。</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支持≥100名患者档案存储与回顾功能。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支持≥1000个事件的存储与回顾功能。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支持≥72小时体征趋势数据的存储与回顾功能。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关机状态下设备支持每天定时自动运行自检，支持定期自动大能量自检（不低于200J）。</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设备自检后支持对于自检报告进行自动打印或按需打印。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具备良好的防尘防水性能，防尘防水级别IP44。</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具备优异的抗跌落性能，满足救护车标准EN1789 中6.3.4.3 关于跌落试验的要求，裸机可承受6面0.75m跌落冲击。</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工作环境，温度范围：0°C-45°C，湿度范围：15%-95%，大气压范围：57.0 kPa ～ 106.2 kPa。</w:t>
      </w: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11.</w:t>
      </w:r>
      <w:r>
        <w:rPr>
          <w:rFonts w:hint="eastAsia" w:ascii="新宋体" w:hAnsi="新宋体" w:eastAsia="新宋体" w:cs="新宋体"/>
          <w:b/>
          <w:bCs w:val="0"/>
          <w:sz w:val="24"/>
          <w:szCs w:val="24"/>
        </w:rPr>
        <w:t>无创呼吸机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一、性能特点</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采用3.5寸彩色液晶屏,显示呼吸参数、报警信息及波形柱</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人体理工学设计适配多种形式支架</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高性能进口风机，机体小巧，自备湿化器增加空气湿度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★取得国家药监局颁发的三类医疗器械注册证</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二、工作条件</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电源：                  直流24 V（－15 % ～ ＋25 %），2.5 A</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电源适配器：            交流输入 100 V -240 V～，频率50H</w:t>
      </w:r>
      <w:r>
        <w:rPr>
          <w:rFonts w:hint="eastAsia" w:ascii="新宋体" w:hAnsi="新宋体" w:eastAsia="新宋体" w:cs="新宋体"/>
          <w:b w:val="0"/>
          <w:bCs/>
          <w:sz w:val="24"/>
          <w:szCs w:val="24"/>
          <w:lang w:val="pt-PT" w:eastAsia="zh-CN"/>
        </w:rPr>
        <w:t>z</w:t>
      </w:r>
      <w:r>
        <w:rPr>
          <w:rFonts w:hint="eastAsia" w:ascii="新宋体" w:hAnsi="新宋体" w:eastAsia="新宋体" w:cs="新宋体"/>
          <w:b w:val="0"/>
          <w:bCs/>
          <w:sz w:val="24"/>
          <w:szCs w:val="24"/>
          <w:lang w:val="en-US" w:eastAsia="zh-CN"/>
        </w:rPr>
        <w:t xml:space="preserve"> /60 H</w:t>
      </w:r>
      <w:r>
        <w:rPr>
          <w:rFonts w:hint="eastAsia" w:ascii="新宋体" w:hAnsi="新宋体" w:eastAsia="新宋体" w:cs="新宋体"/>
          <w:b w:val="0"/>
          <w:bCs/>
          <w:sz w:val="24"/>
          <w:szCs w:val="24"/>
          <w:lang w:val="pt-PT" w:eastAsia="zh-CN"/>
        </w:rPr>
        <w:t>z</w:t>
      </w:r>
      <w:r>
        <w:rPr>
          <w:rFonts w:hint="eastAsia" w:ascii="新宋体" w:hAnsi="新宋体" w:eastAsia="新宋体" w:cs="新宋体"/>
          <w:b w:val="0"/>
          <w:bCs/>
          <w:sz w:val="24"/>
          <w:szCs w:val="24"/>
          <w:lang w:val="en-US" w:eastAsia="zh-CN"/>
        </w:rPr>
        <w:t xml:space="preserve">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直流输出 24 V，2.5 A。</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环境温度范围</w:t>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+5 ℃ ～ +35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相对湿度范围</w:t>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15 % ～ 95 %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大气压力范围</w:t>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830 hPa ～ 1060 hPa</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三、通气模式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自主呼吸/时间控制模式（S/T模式）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时间控制模式（T模式）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自主呼吸模式（S模式）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持续正压通气模式（CPAP模式）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★压力控制通气（PC）</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四、主要技术指标</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调节参数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AVPAS                                           开/关</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潮气量                                          200 mL ～ 1500 mL</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呼吸频率</w:t>
      </w:r>
      <w:bookmarkStart w:id="41" w:name="_Toc446512908"/>
      <w:r>
        <w:rPr>
          <w:rFonts w:hint="eastAsia" w:ascii="新宋体" w:hAnsi="新宋体" w:eastAsia="新宋体" w:cs="新宋体"/>
          <w:b w:val="0"/>
          <w:bCs/>
          <w:sz w:val="24"/>
          <w:szCs w:val="24"/>
          <w:lang w:val="en-US" w:eastAsia="zh-CN"/>
        </w:rPr>
        <w:t xml:space="preserve">                                        3 bpm ～ 40 </w:t>
      </w:r>
      <w:bookmarkEnd w:id="41"/>
      <w:r>
        <w:rPr>
          <w:rFonts w:hint="eastAsia" w:ascii="新宋体" w:hAnsi="新宋体" w:eastAsia="新宋体" w:cs="新宋体"/>
          <w:b w:val="0"/>
          <w:bCs/>
          <w:sz w:val="24"/>
          <w:szCs w:val="24"/>
          <w:lang w:val="en-US" w:eastAsia="zh-CN"/>
        </w:rPr>
        <w:t>bpm</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吸气时间</w:t>
      </w:r>
      <w:bookmarkStart w:id="42" w:name="_Toc446512911"/>
      <w:r>
        <w:rPr>
          <w:rFonts w:hint="eastAsia" w:ascii="新宋体" w:hAnsi="新宋体" w:eastAsia="新宋体" w:cs="新宋体"/>
          <w:b w:val="0"/>
          <w:bCs/>
          <w:sz w:val="24"/>
          <w:szCs w:val="24"/>
          <w:lang w:val="en-US" w:eastAsia="zh-CN"/>
        </w:rPr>
        <w:t xml:space="preserve">                                        0.0 s ～ 3.0 s</w:t>
      </w:r>
      <w:bookmarkEnd w:id="42"/>
      <w:r>
        <w:rPr>
          <w:rFonts w:hint="eastAsia" w:ascii="新宋体" w:hAnsi="新宋体" w:eastAsia="新宋体" w:cs="新宋体"/>
          <w:b w:val="0"/>
          <w:bCs/>
          <w:sz w:val="24"/>
          <w:szCs w:val="24"/>
          <w:lang w:val="en-US" w:eastAsia="zh-CN"/>
        </w:rPr>
        <w:t xml:space="preserve">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吸气压力（IPAP）</w:t>
      </w:r>
      <w:bookmarkStart w:id="43" w:name="_Toc446512914"/>
      <w:r>
        <w:rPr>
          <w:rFonts w:hint="eastAsia" w:ascii="新宋体" w:hAnsi="新宋体" w:eastAsia="新宋体" w:cs="新宋体"/>
          <w:b w:val="0"/>
          <w:bCs/>
          <w:sz w:val="24"/>
          <w:szCs w:val="24"/>
          <w:lang w:val="en-US" w:eastAsia="zh-CN"/>
        </w:rPr>
        <w:t xml:space="preserve">                              4 cmH2O ～ 30 </w:t>
      </w:r>
      <w:bookmarkEnd w:id="43"/>
      <w:r>
        <w:rPr>
          <w:rFonts w:hint="eastAsia" w:ascii="新宋体" w:hAnsi="新宋体" w:eastAsia="新宋体" w:cs="新宋体"/>
          <w:b w:val="0"/>
          <w:bCs/>
          <w:sz w:val="24"/>
          <w:szCs w:val="24"/>
          <w:lang w:val="en-US" w:eastAsia="zh-CN"/>
        </w:rPr>
        <w:t>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最大吸气压（IPAPMAX）                        4 cmH2O ～ 30 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最小吸气压（IPAPMIN）                       4 cmH2O ～ 30 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呼气压力（EPAP）</w:t>
      </w:r>
      <w:bookmarkStart w:id="44" w:name="_Toc446512917"/>
      <w:r>
        <w:rPr>
          <w:rFonts w:hint="eastAsia" w:ascii="新宋体" w:hAnsi="新宋体" w:eastAsia="新宋体" w:cs="新宋体"/>
          <w:b w:val="0"/>
          <w:bCs/>
          <w:sz w:val="24"/>
          <w:szCs w:val="24"/>
          <w:lang w:val="en-US" w:eastAsia="zh-CN"/>
        </w:rPr>
        <w:t xml:space="preserve">                             4 cmH2O ～ 25 </w:t>
      </w:r>
      <w:bookmarkEnd w:id="44"/>
      <w:r>
        <w:rPr>
          <w:rFonts w:hint="eastAsia" w:ascii="新宋体" w:hAnsi="新宋体" w:eastAsia="新宋体" w:cs="新宋体"/>
          <w:b w:val="0"/>
          <w:bCs/>
          <w:sz w:val="24"/>
          <w:szCs w:val="24"/>
          <w:lang w:val="en-US" w:eastAsia="zh-CN"/>
        </w:rPr>
        <w:t xml:space="preserve">cmH2O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持续气道正压（CPAP）</w:t>
      </w:r>
      <w:bookmarkStart w:id="45" w:name="_Toc446512920"/>
      <w:r>
        <w:rPr>
          <w:rFonts w:hint="eastAsia" w:ascii="新宋体" w:hAnsi="新宋体" w:eastAsia="新宋体" w:cs="新宋体"/>
          <w:b w:val="0"/>
          <w:bCs/>
          <w:sz w:val="24"/>
          <w:szCs w:val="24"/>
          <w:lang w:val="en-US" w:eastAsia="zh-CN"/>
        </w:rPr>
        <w:t xml:space="preserve">                        4 cmH2O ～ 20 </w:t>
      </w:r>
      <w:bookmarkEnd w:id="45"/>
      <w:r>
        <w:rPr>
          <w:rFonts w:hint="eastAsia" w:ascii="新宋体" w:hAnsi="新宋体" w:eastAsia="新宋体" w:cs="新宋体"/>
          <w:b w:val="0"/>
          <w:bCs/>
          <w:sz w:val="24"/>
          <w:szCs w:val="24"/>
          <w:lang w:val="en-US" w:eastAsia="zh-CN"/>
        </w:rPr>
        <w:t>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压力延时上升时间</w:t>
      </w:r>
      <w:bookmarkStart w:id="46" w:name="_Toc446512923"/>
      <w:r>
        <w:rPr>
          <w:rFonts w:hint="eastAsia" w:ascii="新宋体" w:hAnsi="新宋体" w:eastAsia="新宋体" w:cs="新宋体"/>
          <w:b w:val="0"/>
          <w:bCs/>
          <w:sz w:val="24"/>
          <w:szCs w:val="24"/>
          <w:lang w:val="en-US" w:eastAsia="zh-CN"/>
        </w:rPr>
        <w:t xml:space="preserve">                             0 min ～ 60 </w:t>
      </w:r>
      <w:bookmarkEnd w:id="46"/>
      <w:r>
        <w:rPr>
          <w:rFonts w:hint="eastAsia" w:ascii="新宋体" w:hAnsi="新宋体" w:eastAsia="新宋体" w:cs="新宋体"/>
          <w:b w:val="0"/>
          <w:bCs/>
          <w:sz w:val="24"/>
          <w:szCs w:val="24"/>
          <w:lang w:val="en-US" w:eastAsia="zh-CN"/>
        </w:rPr>
        <w:t xml:space="preserve">min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压力上升时间</w:t>
      </w:r>
      <w:bookmarkStart w:id="47" w:name="_Toc446512926"/>
      <w:r>
        <w:rPr>
          <w:rFonts w:hint="eastAsia" w:ascii="新宋体" w:hAnsi="新宋体" w:eastAsia="新宋体" w:cs="新宋体"/>
          <w:b w:val="0"/>
          <w:bCs/>
          <w:sz w:val="24"/>
          <w:szCs w:val="24"/>
          <w:lang w:val="en-US" w:eastAsia="zh-CN"/>
        </w:rPr>
        <w:t xml:space="preserve">                                  自动调节,0.1 s ～ 0.6 s</w:t>
      </w:r>
      <w:bookmarkEnd w:id="47"/>
      <w:r>
        <w:rPr>
          <w:rFonts w:hint="eastAsia" w:ascii="新宋体" w:hAnsi="新宋体" w:eastAsia="新宋体" w:cs="新宋体"/>
          <w:b w:val="0"/>
          <w:bCs/>
          <w:sz w:val="24"/>
          <w:szCs w:val="24"/>
          <w:lang w:val="en-US" w:eastAsia="zh-CN"/>
        </w:rPr>
        <w:t xml:space="preserve">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吸气灵敏度</w:t>
      </w:r>
      <w:bookmarkStart w:id="48" w:name="_Toc446512929"/>
      <w:r>
        <w:rPr>
          <w:rFonts w:hint="eastAsia" w:ascii="新宋体" w:hAnsi="新宋体" w:eastAsia="新宋体" w:cs="新宋体"/>
          <w:b w:val="0"/>
          <w:bCs/>
          <w:sz w:val="24"/>
          <w:szCs w:val="24"/>
          <w:lang w:val="en-US" w:eastAsia="zh-CN"/>
        </w:rPr>
        <w:t xml:space="preserve">                                    自动调节、1 ～ 3</w:t>
      </w:r>
      <w:bookmarkEnd w:id="48"/>
      <w:r>
        <w:rPr>
          <w:rFonts w:hint="eastAsia" w:ascii="新宋体" w:hAnsi="新宋体" w:eastAsia="新宋体" w:cs="新宋体"/>
          <w:b w:val="0"/>
          <w:bCs/>
          <w:sz w:val="24"/>
          <w:szCs w:val="24"/>
          <w:lang w:val="en-US" w:eastAsia="zh-CN"/>
        </w:rPr>
        <w:t xml:space="preserve">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呼气灵敏度</w:t>
      </w:r>
      <w:bookmarkStart w:id="49" w:name="_Toc446512931"/>
      <w:r>
        <w:rPr>
          <w:rFonts w:hint="eastAsia" w:ascii="新宋体" w:hAnsi="新宋体" w:eastAsia="新宋体" w:cs="新宋体"/>
          <w:b w:val="0"/>
          <w:bCs/>
          <w:sz w:val="24"/>
          <w:szCs w:val="24"/>
          <w:lang w:val="en-US" w:eastAsia="zh-CN"/>
        </w:rPr>
        <w:t xml:space="preserve">                                    自动调节、1 ～ 3</w:t>
      </w:r>
      <w:bookmarkEnd w:id="49"/>
      <w:r>
        <w:rPr>
          <w:rFonts w:hint="eastAsia" w:ascii="新宋体" w:hAnsi="新宋体" w:eastAsia="新宋体" w:cs="新宋体"/>
          <w:b w:val="0"/>
          <w:bCs/>
          <w:sz w:val="24"/>
          <w:szCs w:val="24"/>
          <w:lang w:val="en-US" w:eastAsia="zh-CN"/>
        </w:rPr>
        <w:t xml:space="preserve">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舒适度</w:t>
      </w:r>
      <w:bookmarkStart w:id="50" w:name="_Toc446512933"/>
      <w:r>
        <w:rPr>
          <w:rFonts w:hint="eastAsia" w:ascii="新宋体" w:hAnsi="新宋体" w:eastAsia="新宋体" w:cs="新宋体"/>
          <w:b w:val="0"/>
          <w:bCs/>
          <w:sz w:val="24"/>
          <w:szCs w:val="24"/>
          <w:lang w:val="en-US" w:eastAsia="zh-CN"/>
        </w:rPr>
        <w:t xml:space="preserve">                                         关、1 ～ 3</w:t>
      </w:r>
      <w:bookmarkEnd w:id="50"/>
      <w:r>
        <w:rPr>
          <w:rFonts w:hint="eastAsia" w:ascii="新宋体" w:hAnsi="新宋体" w:eastAsia="新宋体" w:cs="新宋体"/>
          <w:b w:val="0"/>
          <w:bCs/>
          <w:sz w:val="24"/>
          <w:szCs w:val="24"/>
          <w:lang w:val="en-US" w:eastAsia="zh-CN"/>
        </w:rPr>
        <w:t xml:space="preserve">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湿化器</w:t>
      </w:r>
      <w:bookmarkStart w:id="51" w:name="_Toc446512935"/>
      <w:r>
        <w:rPr>
          <w:rFonts w:hint="eastAsia" w:ascii="新宋体" w:hAnsi="新宋体" w:eastAsia="新宋体" w:cs="新宋体"/>
          <w:b w:val="0"/>
          <w:bCs/>
          <w:sz w:val="24"/>
          <w:szCs w:val="24"/>
          <w:lang w:val="en-US" w:eastAsia="zh-CN"/>
        </w:rPr>
        <w:t xml:space="preserve">                                         0 ～ 5</w:t>
      </w:r>
      <w:bookmarkEnd w:id="51"/>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bookmarkStart w:id="52" w:name="_Toc454864868"/>
      <w:r>
        <w:rPr>
          <w:rFonts w:hint="eastAsia" w:ascii="新宋体" w:hAnsi="新宋体" w:eastAsia="新宋体" w:cs="新宋体"/>
          <w:b w:val="0"/>
          <w:bCs/>
          <w:sz w:val="24"/>
          <w:szCs w:val="24"/>
          <w:lang w:val="en-US" w:eastAsia="zh-CN"/>
        </w:rPr>
        <w:t>自动功能                                      关/开</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压力限制</w:t>
      </w:r>
      <w:bookmarkEnd w:id="52"/>
      <w:r>
        <w:rPr>
          <w:rFonts w:hint="eastAsia" w:ascii="新宋体" w:hAnsi="新宋体" w:eastAsia="新宋体" w:cs="新宋体"/>
          <w:b w:val="0"/>
          <w:bCs/>
          <w:sz w:val="24"/>
          <w:szCs w:val="24"/>
          <w:lang w:val="en-US" w:eastAsia="zh-CN"/>
        </w:rPr>
        <w:t xml:space="preserve">                                      20 cmH2O ～ 35 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监测参数</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频率（</w:t>
      </w:r>
      <w:r>
        <w:rPr>
          <w:rFonts w:hint="eastAsia" w:ascii="新宋体" w:hAnsi="新宋体" w:eastAsia="新宋体" w:cs="新宋体"/>
          <w:b w:val="0"/>
          <w:bCs/>
          <w:sz w:val="24"/>
          <w:szCs w:val="24"/>
          <w:lang w:val="pt-PT" w:eastAsia="zh-CN"/>
        </w:rPr>
        <w:t>Freq</w:t>
      </w:r>
      <w:r>
        <w:rPr>
          <w:rFonts w:hint="eastAsia" w:ascii="新宋体" w:hAnsi="新宋体" w:eastAsia="新宋体" w:cs="新宋体"/>
          <w:b w:val="0"/>
          <w:bCs/>
          <w:sz w:val="24"/>
          <w:szCs w:val="24"/>
          <w:lang w:val="en-US" w:eastAsia="zh-CN"/>
        </w:rPr>
        <w:t>）</w:t>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 xml:space="preserve">                            0 bpm ～ 100 bpm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 xml:space="preserve">潮气量（VT）                                  0 mL ～ 2000 mL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分钟通气量（MV）</w:t>
      </w:r>
      <w:r>
        <w:rPr>
          <w:rFonts w:hint="eastAsia" w:ascii="新宋体" w:hAnsi="新宋体" w:eastAsia="新宋体" w:cs="新宋体"/>
          <w:b w:val="0"/>
          <w:bCs/>
          <w:sz w:val="24"/>
          <w:szCs w:val="24"/>
          <w:lang w:val="en-US" w:eastAsia="zh-CN"/>
        </w:rPr>
        <w:tab/>
      </w:r>
      <w:r>
        <w:rPr>
          <w:rFonts w:hint="eastAsia" w:ascii="新宋体" w:hAnsi="新宋体" w:eastAsia="新宋体" w:cs="新宋体"/>
          <w:b w:val="0"/>
          <w:bCs/>
          <w:sz w:val="24"/>
          <w:szCs w:val="24"/>
          <w:lang w:val="en-US" w:eastAsia="zh-CN"/>
        </w:rPr>
        <w:t xml:space="preserve">                       0 L/min ～ 99 L/min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吸气时间（T</w:t>
      </w:r>
      <w:r>
        <w:rPr>
          <w:rFonts w:hint="eastAsia" w:ascii="新宋体" w:hAnsi="新宋体" w:eastAsia="新宋体" w:cs="新宋体"/>
          <w:b w:val="0"/>
          <w:bCs/>
          <w:sz w:val="24"/>
          <w:szCs w:val="24"/>
          <w:lang w:val="pt-PT" w:eastAsia="zh-CN"/>
        </w:rPr>
        <w:t>ime</w:t>
      </w:r>
      <w:r>
        <w:rPr>
          <w:rFonts w:hint="eastAsia" w:ascii="新宋体" w:hAnsi="新宋体" w:eastAsia="新宋体" w:cs="新宋体"/>
          <w:b w:val="0"/>
          <w:bCs/>
          <w:sz w:val="24"/>
          <w:szCs w:val="24"/>
          <w:lang w:val="en-US" w:eastAsia="zh-CN"/>
        </w:rPr>
        <w:t>）                            0.0 s ～ 3.0 s</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吸气压力（IPAP）                            0 cmH2O ～ 40 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呼气压力（EPAP）                       0 cmH2O ～ 40 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气道正压（CPAP）                       0 cmH2O ～ 40 cmH2O</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五、图形显示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气道压力（全部模式）</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六、报警及保护</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窒息报警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管道脱落报警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报警系统消声（静音）</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低通气量报警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高呼吸频率报警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低呼吸频率报警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气道高压报警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断电报警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潮气量过低报警</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widowControl/>
        <w:kinsoku/>
        <w:wordWrap/>
        <w:overflowPunct/>
        <w:topLinePunct w:val="0"/>
        <w:autoSpaceDE/>
        <w:autoSpaceDN/>
        <w:bidi w:val="0"/>
        <w:spacing w:line="360" w:lineRule="auto"/>
        <w:jc w:val="center"/>
        <w:rPr>
          <w:rFonts w:hint="eastAsia" w:ascii="新宋体" w:hAnsi="新宋体" w:eastAsia="新宋体" w:cs="新宋体"/>
          <w:b/>
          <w:bCs w:val="0"/>
          <w:kern w:val="0"/>
          <w:sz w:val="24"/>
          <w:szCs w:val="24"/>
        </w:rPr>
      </w:pPr>
      <w:r>
        <w:rPr>
          <w:rFonts w:hint="eastAsia" w:ascii="新宋体" w:hAnsi="新宋体" w:eastAsia="新宋体" w:cs="新宋体"/>
          <w:b/>
          <w:bCs w:val="0"/>
          <w:color w:val="000000"/>
          <w:kern w:val="0"/>
          <w:sz w:val="24"/>
          <w:szCs w:val="24"/>
          <w:lang w:val="en-US" w:eastAsia="zh-CN"/>
        </w:rPr>
        <w:t>12.</w:t>
      </w:r>
      <w:r>
        <w:rPr>
          <w:rFonts w:hint="eastAsia" w:ascii="新宋体" w:hAnsi="新宋体" w:eastAsia="新宋体" w:cs="新宋体"/>
          <w:b/>
          <w:bCs w:val="0"/>
          <w:color w:val="000000"/>
          <w:kern w:val="0"/>
          <w:sz w:val="24"/>
          <w:szCs w:val="24"/>
        </w:rPr>
        <w:t>心肺复苏机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 xml:space="preserve">▲1、采用电控气动工作原理，活塞式胸腔接触式按压方式，胸部无负荷经典垂直按压而非捆绑挤压结构，符合《2015年美国心脏协会AHA心肺复苏指南》的要求：点式按压，按压方式与人工CPR一致，为指南认可使用的机械活塞装置。                                        </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▲2、按压频率：100次/分钟、110次/分钟、120 次/分钟三挡可调。</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▲3、按压深度在0-7cm，实际按压深度﹥5cm，最大按压深度能达到7cm，可视，连续精确可调。</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4、按压释放比率：1：1（50%：50%）；确保胸腔完全回弹，胸腔上无任何负重。</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▲5、具有自动15：2按压模式、30：2按压模式、连续按压CCV模式，可配合手动气囊辅助通气。</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6、按压器的双刚性固定柱有刻度标示，可指示患者实际胸厚。</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7、按压器采用双刚性立柱滑轨固定（非绑带式固定），固定和支撑按压器必须是使用硬质材料制成，不得使用有弹让性软质材料（如：布、软性纤维等），无法确保有效的按压深度，且不方便清洗消毒。按压器可前后滑动、上下移动锁定，在不移动病人的同时，可快速确定病人的心脏按压位置。</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▲8、等高背板设计，便于病人头部可后仰，有效开放气道。</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▲9、无绑带式耗材，不会增加科室成本。</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▲10、防电击类型：Ⅰ类BF型；防水等级：IPX4。</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▲11、锂电池持续工作时间≥8小时，充电时间≤4小时；电池电量不足时，亮红灯提示。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12、具有暂停∕重启工作键。</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▲13、键盘上具有锁定键，可防止工作过程中误操作而造成意外工作程序混乱。</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▲14、具有通气声音提示功能，当按压次数至倒数5次时发出蜂鸣提示。</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▲15、电磁兼容符合YY0505-2012要求。</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▲16、工作条件：-40ºC～+55ºC，相对湿度≥93%；</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17、具有输入气体压力过大保护自动泄压功能，当输入氧气压力≥0.7 MPa时，压力释放阀开启。</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18、主机重量≤6.5kg，主机体积≤60cm×46cm×7cm，功率: 50W。</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19、氧气驱动压力范围345Kpa~600Kpa。</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20、当气道压力≥50cmH2O时，压力提示装置自动发出鸣叫。</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▲21、设备参数操作面板位于患者下方，避免呕吐物的污染影响临床抢救效率。</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22、设备操控面板界面采用机械式或按键式的操控面板，非液晶显示，可避免在户外强光照射下出现盲视，影响参数设定。</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13.</w:t>
      </w:r>
      <w:r>
        <w:rPr>
          <w:rFonts w:hint="eastAsia" w:ascii="新宋体" w:hAnsi="新宋体" w:eastAsia="新宋体" w:cs="新宋体"/>
          <w:b/>
          <w:bCs w:val="0"/>
          <w:sz w:val="24"/>
          <w:szCs w:val="24"/>
        </w:rPr>
        <w:t>雾化泵</w:t>
      </w:r>
    </w:p>
    <w:tbl>
      <w:tblPr>
        <w:tblStyle w:val="19"/>
        <w:tblW w:w="9499" w:type="dxa"/>
        <w:jc w:val="center"/>
        <w:tblInd w:w="0" w:type="dxa"/>
        <w:tblLayout w:type="fixed"/>
        <w:tblCellMar>
          <w:top w:w="0" w:type="dxa"/>
          <w:left w:w="10" w:type="dxa"/>
          <w:bottom w:w="0" w:type="dxa"/>
          <w:right w:w="10" w:type="dxa"/>
        </w:tblCellMar>
      </w:tblPr>
      <w:tblGrid>
        <w:gridCol w:w="2139"/>
        <w:gridCol w:w="7360"/>
      </w:tblGrid>
      <w:tr>
        <w:tblPrEx>
          <w:tblLayout w:type="fixed"/>
          <w:tblCellMar>
            <w:top w:w="0" w:type="dxa"/>
            <w:left w:w="10" w:type="dxa"/>
            <w:bottom w:w="0" w:type="dxa"/>
            <w:right w:w="10" w:type="dxa"/>
          </w:tblCellMar>
        </w:tblPrEx>
        <w:trPr>
          <w:trHeight w:val="642"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zh-TW" w:eastAsia="zh-TW" w:bidi="zh-TW"/>
              </w:rPr>
              <w:t>項目</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zh-CN" w:eastAsia="zh-CN" w:bidi="zh-CN"/>
              </w:rPr>
              <w:t>规格参数</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eastAsia="zh-CN"/>
              </w:rPr>
              <w:t>额定电源</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en-US" w:eastAsia="en-US" w:bidi="en-US"/>
              </w:rPr>
              <w:t>AC22</w:t>
            </w:r>
            <w:r>
              <w:rPr>
                <w:rFonts w:hint="eastAsia" w:ascii="新宋体" w:hAnsi="新宋体" w:eastAsia="新宋体" w:cs="新宋体"/>
                <w:b w:val="0"/>
                <w:bCs/>
                <w:color w:val="000000"/>
                <w:spacing w:val="0"/>
                <w:w w:val="100"/>
                <w:position w:val="0"/>
                <w:sz w:val="24"/>
                <w:szCs w:val="24"/>
                <w:lang w:val="en-US" w:eastAsia="zh-CN" w:bidi="en-US"/>
              </w:rPr>
              <w:t>0V</w:t>
            </w:r>
            <w:r>
              <w:rPr>
                <w:rFonts w:hint="eastAsia" w:ascii="新宋体" w:hAnsi="新宋体" w:eastAsia="新宋体" w:cs="新宋体"/>
                <w:b w:val="0"/>
                <w:bCs/>
                <w:color w:val="000000"/>
                <w:spacing w:val="0"/>
                <w:w w:val="100"/>
                <w:position w:val="0"/>
                <w:sz w:val="24"/>
                <w:szCs w:val="24"/>
                <w:lang w:val="en-US" w:eastAsia="en-US" w:bidi="en-US"/>
              </w:rPr>
              <w:t>/5OH</w:t>
            </w:r>
            <w:r>
              <w:rPr>
                <w:rFonts w:hint="eastAsia" w:ascii="新宋体" w:hAnsi="新宋体" w:eastAsia="新宋体" w:cs="新宋体"/>
                <w:b w:val="0"/>
                <w:bCs/>
                <w:color w:val="000000"/>
                <w:spacing w:val="0"/>
                <w:w w:val="100"/>
                <w:position w:val="0"/>
                <w:sz w:val="24"/>
                <w:szCs w:val="24"/>
                <w:lang w:val="en-US" w:eastAsia="zh-CN" w:bidi="en-US"/>
              </w:rPr>
              <w:t>Z</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新宋体" w:hAnsi="新宋体" w:eastAsia="新宋体" w:cs="新宋体"/>
                <w:b w:val="0"/>
                <w:bCs/>
                <w:i w:val="0"/>
                <w:color w:val="000000"/>
                <w:spacing w:val="0"/>
                <w:w w:val="100"/>
                <w:position w:val="0"/>
                <w:sz w:val="24"/>
                <w:szCs w:val="24"/>
                <w:u w:val="none"/>
                <w:shd w:val="clear" w:color="auto" w:fill="auto"/>
                <w:lang w:val="en-US" w:eastAsia="zh-CN" w:bidi="en-US"/>
              </w:rPr>
            </w:pPr>
            <w:r>
              <w:rPr>
                <w:rFonts w:hint="eastAsia" w:ascii="新宋体" w:hAnsi="新宋体" w:eastAsia="新宋体" w:cs="新宋体"/>
                <w:b w:val="0"/>
                <w:bCs/>
                <w:i w:val="0"/>
                <w:color w:val="000000"/>
                <w:spacing w:val="0"/>
                <w:w w:val="100"/>
                <w:kern w:val="0"/>
                <w:position w:val="0"/>
                <w:sz w:val="24"/>
                <w:szCs w:val="24"/>
                <w:u w:val="none"/>
                <w:shd w:val="clear" w:color="auto" w:fill="auto"/>
                <w:lang w:val="en-US" w:eastAsia="zh-CN" w:bidi="ar"/>
              </w:rPr>
              <w:t>噪音</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en-US" w:eastAsia="en-US" w:bidi="en-US"/>
              </w:rPr>
              <w:t>&lt;65dB （A）</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zh-TW" w:eastAsia="zh-CN" w:bidi="zh-TW"/>
              </w:rPr>
              <w:t>雾化原理</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en-US" w:eastAsia="zh-CN" w:bidi="en-US"/>
              </w:rPr>
              <w:t>压缩式</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eastAsia="zh-CN"/>
              </w:rPr>
              <w:t>等级和类型</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zh-CN" w:bidi="en-US"/>
              </w:rPr>
              <w:t>II类B型</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zh-TW" w:eastAsia="zh-CN" w:bidi="zh-TW"/>
              </w:rPr>
              <w:t>进液防护程度</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en-US" w:eastAsia="en-US" w:bidi="en-US"/>
              </w:rPr>
              <w:t>IPXO</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eastAsia="zh-CN"/>
              </w:rPr>
              <w:t>消毒灭菌方式</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zh-TW" w:eastAsia="zh-TW" w:bidi="zh-TW"/>
              </w:rPr>
              <w:t>无</w:t>
            </w:r>
          </w:p>
        </w:tc>
      </w:tr>
      <w:tr>
        <w:tblPrEx>
          <w:tblLayout w:type="fixed"/>
          <w:tblCellMar>
            <w:top w:w="0" w:type="dxa"/>
            <w:left w:w="10" w:type="dxa"/>
            <w:bottom w:w="0" w:type="dxa"/>
            <w:right w:w="10" w:type="dxa"/>
          </w:tblCellMar>
        </w:tblPrEx>
        <w:trPr>
          <w:trHeight w:val="599"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zh-TW" w:eastAsia="zh-TW" w:bidi="zh-TW"/>
              </w:rPr>
              <w:t>正常状态压力</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rPr>
            </w:pPr>
            <w:r>
              <w:rPr>
                <w:rFonts w:hint="eastAsia" w:ascii="新宋体" w:hAnsi="新宋体" w:eastAsia="新宋体" w:cs="新宋体"/>
                <w:b w:val="0"/>
                <w:bCs/>
                <w:color w:val="000000"/>
                <w:spacing w:val="0"/>
                <w:w w:val="100"/>
                <w:position w:val="0"/>
                <w:sz w:val="24"/>
                <w:szCs w:val="24"/>
                <w:lang w:val="en-US" w:eastAsia="zh-CN" w:bidi="en-US"/>
              </w:rPr>
              <w:t>60-150</w:t>
            </w:r>
            <w:r>
              <w:rPr>
                <w:rFonts w:hint="eastAsia" w:ascii="新宋体" w:hAnsi="新宋体" w:eastAsia="新宋体" w:cs="新宋体"/>
                <w:b w:val="0"/>
                <w:bCs/>
                <w:color w:val="000000"/>
                <w:spacing w:val="0"/>
                <w:w w:val="100"/>
                <w:position w:val="0"/>
                <w:sz w:val="24"/>
                <w:szCs w:val="24"/>
                <w:lang w:val="en-US" w:eastAsia="en-US" w:bidi="en-US"/>
              </w:rPr>
              <w:t>kPa</w:t>
            </w:r>
          </w:p>
        </w:tc>
      </w:tr>
      <w:tr>
        <w:tblPrEx>
          <w:tblLayout w:type="fixed"/>
          <w:tblCellMar>
            <w:top w:w="0" w:type="dxa"/>
            <w:left w:w="10" w:type="dxa"/>
            <w:bottom w:w="0" w:type="dxa"/>
            <w:right w:w="10" w:type="dxa"/>
          </w:tblCellMar>
        </w:tblPrEx>
        <w:trPr>
          <w:trHeight w:val="599"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color w:val="000000"/>
                <w:spacing w:val="0"/>
                <w:w w:val="100"/>
                <w:position w:val="0"/>
                <w:sz w:val="24"/>
                <w:szCs w:val="24"/>
                <w:lang w:val="en-US" w:eastAsia="zh-CN" w:bidi="zh-TW"/>
              </w:rPr>
            </w:pPr>
            <w:r>
              <w:rPr>
                <w:rFonts w:hint="eastAsia" w:ascii="新宋体" w:hAnsi="新宋体" w:eastAsia="新宋体" w:cs="新宋体"/>
                <w:b w:val="0"/>
                <w:bCs/>
                <w:color w:val="000000"/>
                <w:spacing w:val="0"/>
                <w:w w:val="100"/>
                <w:position w:val="0"/>
                <w:sz w:val="24"/>
                <w:szCs w:val="24"/>
                <w:lang w:val="en-US" w:eastAsia="zh-CN" w:bidi="zh-TW"/>
              </w:rPr>
              <w:t>雾粒中位粒径</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color w:val="000000"/>
                <w:spacing w:val="0"/>
                <w:w w:val="100"/>
                <w:position w:val="0"/>
                <w:sz w:val="24"/>
                <w:szCs w:val="24"/>
                <w:lang w:val="en-US" w:eastAsia="zh-CN" w:bidi="en-US"/>
              </w:rPr>
            </w:pPr>
            <w:r>
              <w:rPr>
                <w:rFonts w:hint="eastAsia" w:ascii="新宋体" w:hAnsi="新宋体" w:eastAsia="新宋体" w:cs="新宋体"/>
                <w:b w:val="0"/>
                <w:bCs/>
                <w:color w:val="000000"/>
                <w:spacing w:val="0"/>
                <w:w w:val="100"/>
                <w:position w:val="0"/>
                <w:sz w:val="24"/>
                <w:szCs w:val="24"/>
                <w:lang w:val="en-US" w:eastAsia="zh-CN" w:bidi="en-US"/>
              </w:rPr>
              <w:t>4um   误差25%</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spacing w:line="360" w:lineRule="auto"/>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eastAsia="zh-CN"/>
              </w:rPr>
              <w:t>空气流量</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en-US" w:bidi="en-US"/>
              </w:rPr>
              <w:t>l5OKPa-4OOKP</w:t>
            </w:r>
            <w:r>
              <w:rPr>
                <w:rFonts w:hint="eastAsia" w:ascii="新宋体" w:hAnsi="新宋体" w:eastAsia="新宋体" w:cs="新宋体"/>
                <w:b w:val="0"/>
                <w:bCs/>
                <w:color w:val="000000"/>
                <w:spacing w:val="0"/>
                <w:w w:val="100"/>
                <w:position w:val="0"/>
                <w:sz w:val="24"/>
                <w:szCs w:val="24"/>
                <w:lang w:val="en-US" w:eastAsia="zh-CN" w:bidi="en-US"/>
              </w:rPr>
              <w:t>a</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zh-TW" w:eastAsia="zh-CN" w:bidi="zh-TW"/>
              </w:rPr>
              <w:t>最大雾化率</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en-US" w:bidi="en-US"/>
              </w:rPr>
              <w:t>≧</w:t>
            </w:r>
            <w:r>
              <w:rPr>
                <w:rFonts w:hint="eastAsia" w:ascii="新宋体" w:hAnsi="新宋体" w:eastAsia="新宋体" w:cs="新宋体"/>
                <w:b w:val="0"/>
                <w:bCs/>
                <w:color w:val="000000"/>
                <w:spacing w:val="0"/>
                <w:w w:val="100"/>
                <w:position w:val="0"/>
                <w:sz w:val="24"/>
                <w:szCs w:val="24"/>
                <w:lang w:val="en-US" w:eastAsia="zh-CN" w:bidi="en-US"/>
              </w:rPr>
              <w:t>0.2mml/min</w:t>
            </w:r>
          </w:p>
        </w:tc>
      </w:tr>
      <w:tr>
        <w:tblPrEx>
          <w:tblLayout w:type="fixed"/>
          <w:tblCellMar>
            <w:top w:w="0" w:type="dxa"/>
            <w:left w:w="10" w:type="dxa"/>
            <w:bottom w:w="0" w:type="dxa"/>
            <w:right w:w="10" w:type="dxa"/>
          </w:tblCellMar>
        </w:tblPrEx>
        <w:trPr>
          <w:trHeight w:val="642"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en-US" w:eastAsia="zh-CN" w:bidi="en-US"/>
              </w:rPr>
              <w:t>残液量</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en-US" w:bidi="en-US"/>
              </w:rPr>
              <w:t>≦</w:t>
            </w:r>
            <w:r>
              <w:rPr>
                <w:rFonts w:hint="eastAsia" w:ascii="新宋体" w:hAnsi="新宋体" w:eastAsia="新宋体" w:cs="新宋体"/>
                <w:b w:val="0"/>
                <w:bCs/>
                <w:color w:val="000000"/>
                <w:spacing w:val="0"/>
                <w:w w:val="100"/>
                <w:position w:val="0"/>
                <w:sz w:val="24"/>
                <w:szCs w:val="24"/>
                <w:lang w:val="en-US" w:eastAsia="zh-CN" w:bidi="en-US"/>
              </w:rPr>
              <w:t>0.8ml</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zh-TW" w:eastAsia="zh-CN" w:bidi="zh-TW"/>
              </w:rPr>
              <w:t>运行温度范围</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zh-CN" w:bidi="en-US"/>
              </w:rPr>
              <w:t>5-10℃</w:t>
            </w:r>
          </w:p>
        </w:tc>
      </w:tr>
      <w:tr>
        <w:tblPrEx>
          <w:tblLayout w:type="fixed"/>
          <w:tblCellMar>
            <w:top w:w="0" w:type="dxa"/>
            <w:left w:w="10" w:type="dxa"/>
            <w:bottom w:w="0" w:type="dxa"/>
            <w:right w:w="10" w:type="dxa"/>
          </w:tblCellMar>
        </w:tblPrEx>
        <w:trPr>
          <w:trHeight w:val="621"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100" w:after="0" w:line="360" w:lineRule="auto"/>
              <w:ind w:left="0" w:right="0" w:firstLine="0"/>
              <w:jc w:val="center"/>
              <w:rPr>
                <w:rFonts w:hint="eastAsia" w:ascii="新宋体" w:hAnsi="新宋体" w:eastAsia="新宋体" w:cs="新宋体"/>
                <w:b w:val="0"/>
                <w:bCs/>
                <w:sz w:val="24"/>
                <w:szCs w:val="24"/>
                <w:lang w:eastAsia="zh-CN"/>
              </w:rPr>
            </w:pPr>
            <w:r>
              <w:rPr>
                <w:rFonts w:hint="eastAsia" w:ascii="新宋体" w:hAnsi="新宋体" w:eastAsia="新宋体" w:cs="新宋体"/>
                <w:b w:val="0"/>
                <w:bCs/>
                <w:color w:val="000000"/>
                <w:spacing w:val="0"/>
                <w:w w:val="100"/>
                <w:position w:val="0"/>
                <w:sz w:val="24"/>
                <w:szCs w:val="24"/>
                <w:lang w:val="en-US" w:eastAsia="zh-CN" w:bidi="en-US"/>
              </w:rPr>
              <w:t>运行环境湿度</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8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en-US" w:bidi="en-US"/>
              </w:rPr>
              <w:t>≦</w:t>
            </w:r>
            <w:r>
              <w:rPr>
                <w:rFonts w:hint="eastAsia" w:ascii="新宋体" w:hAnsi="新宋体" w:eastAsia="新宋体" w:cs="新宋体"/>
                <w:b w:val="0"/>
                <w:bCs/>
                <w:color w:val="000000"/>
                <w:spacing w:val="0"/>
                <w:w w:val="100"/>
                <w:position w:val="0"/>
                <w:sz w:val="24"/>
                <w:szCs w:val="24"/>
                <w:lang w:val="en-US" w:eastAsia="zh-CN" w:bidi="en-US"/>
              </w:rPr>
              <w:t>80%RH</w:t>
            </w:r>
          </w:p>
        </w:tc>
      </w:tr>
      <w:tr>
        <w:tblPrEx>
          <w:tblLayout w:type="fixed"/>
          <w:tblCellMar>
            <w:top w:w="0" w:type="dxa"/>
            <w:left w:w="10" w:type="dxa"/>
            <w:bottom w:w="0" w:type="dxa"/>
            <w:right w:w="10" w:type="dxa"/>
          </w:tblCellMar>
        </w:tblPrEx>
        <w:trPr>
          <w:trHeight w:val="645" w:hRule="exac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运行大气压</w:t>
            </w:r>
          </w:p>
        </w:tc>
        <w:tc>
          <w:tcPr>
            <w:tcW w:w="73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rPr>
                <w:rFonts w:hint="eastAsia" w:ascii="新宋体" w:hAnsi="新宋体" w:eastAsia="新宋体" w:cs="新宋体"/>
                <w:b w:val="0"/>
                <w:bCs/>
                <w:sz w:val="24"/>
                <w:szCs w:val="24"/>
                <w:lang w:val="en-US" w:eastAsia="zh-CN"/>
              </w:rPr>
            </w:pPr>
            <w:r>
              <w:rPr>
                <w:rFonts w:hint="eastAsia" w:ascii="新宋体" w:hAnsi="新宋体" w:eastAsia="新宋体" w:cs="新宋体"/>
                <w:b w:val="0"/>
                <w:bCs/>
                <w:color w:val="000000"/>
                <w:spacing w:val="0"/>
                <w:w w:val="100"/>
                <w:position w:val="0"/>
                <w:sz w:val="24"/>
                <w:szCs w:val="24"/>
                <w:lang w:val="en-US" w:eastAsia="zh-CN" w:bidi="en-US"/>
              </w:rPr>
              <w:t>800-1600hpa</w:t>
            </w:r>
          </w:p>
        </w:tc>
      </w:tr>
    </w:tbl>
    <w:p>
      <w:pPr>
        <w:pageBreakBefore w:val="0"/>
        <w:widowControl w:val="0"/>
        <w:kinsoku/>
        <w:wordWrap/>
        <w:overflowPunct/>
        <w:topLinePunct w:val="0"/>
        <w:autoSpaceDE/>
        <w:autoSpaceDN/>
        <w:bidi w:val="0"/>
        <w:spacing w:after="79" w:line="360" w:lineRule="auto"/>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14</w:t>
      </w:r>
      <w:r>
        <w:rPr>
          <w:rFonts w:hint="eastAsia" w:ascii="新宋体" w:hAnsi="新宋体" w:eastAsia="新宋体" w:cs="新宋体"/>
          <w:b/>
          <w:bCs w:val="0"/>
          <w:sz w:val="24"/>
          <w:szCs w:val="24"/>
        </w:rPr>
        <w:t>.负压隔离担架</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eastAsia="zh-CN"/>
        </w:rPr>
        <w:t>电源：额定电压</w:t>
      </w:r>
      <w:r>
        <w:rPr>
          <w:rFonts w:hint="eastAsia" w:ascii="新宋体" w:hAnsi="新宋体" w:eastAsia="新宋体" w:cs="新宋体"/>
          <w:b w:val="0"/>
          <w:bCs/>
          <w:sz w:val="24"/>
          <w:szCs w:val="24"/>
          <w:lang w:val="en-US" w:eastAsia="zh-CN"/>
        </w:rPr>
        <w:t>AC220V，50HZ，内部电源DC12V，输入功率50VA</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过滤效率：对0.3um-0.5um微粒气溶胶过滤效率不小于99.99%</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负压：载员时，在2min内建立不小于15Pa的负压</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压差监测：能实时监测舱内负压值</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报警：具备低负压报警与低电压报警功能</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换气量：不小于40L/min</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供电方式：锂电池供电或外接电源供电</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锂电池有效供电时间：不小于2h</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噪声：不大于72dB(A)</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质量：≤21kg</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外形尺寸（长*宽*高）：（展开）（2020±30）mm*（560±30）mm*（560±30）mm</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（收拢）≤600mm*450mm*650mm</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lang w:val="en-US" w:eastAsia="zh-CN"/>
        </w:rPr>
      </w:pPr>
    </w:p>
    <w:p>
      <w:pPr>
        <w:pageBreakBefore w:val="0"/>
        <w:numPr>
          <w:ilvl w:val="0"/>
          <w:numId w:val="0"/>
        </w:numPr>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15.</w:t>
      </w:r>
      <w:r>
        <w:rPr>
          <w:rFonts w:hint="eastAsia" w:ascii="新宋体" w:hAnsi="新宋体" w:eastAsia="新宋体" w:cs="新宋体"/>
          <w:b/>
          <w:bCs w:val="0"/>
          <w:sz w:val="24"/>
          <w:szCs w:val="24"/>
        </w:rPr>
        <w:t>尿沉渣</w:t>
      </w:r>
    </w:p>
    <w:tbl>
      <w:tblPr>
        <w:tblStyle w:val="19"/>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u w:val="single"/>
              </w:rPr>
            </w:pPr>
            <w:r>
              <w:rPr>
                <w:rFonts w:hint="eastAsia" w:ascii="新宋体" w:hAnsi="新宋体" w:eastAsia="新宋体" w:cs="新宋体"/>
                <w:b w:val="0"/>
                <w:bCs/>
                <w:color w:val="000000"/>
                <w:sz w:val="24"/>
                <w:szCs w:val="24"/>
              </w:rPr>
              <w:t>序号</w:t>
            </w:r>
          </w:p>
        </w:tc>
        <w:tc>
          <w:tcPr>
            <w:tcW w:w="904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u w:val="single"/>
              </w:rPr>
            </w:pPr>
            <w:r>
              <w:rPr>
                <w:rFonts w:hint="eastAsia" w:ascii="新宋体" w:hAnsi="新宋体" w:eastAsia="新宋体" w:cs="新宋体"/>
                <w:b w:val="0"/>
                <w:bCs/>
                <w:color w:val="000000"/>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1</w:t>
            </w:r>
          </w:p>
        </w:tc>
        <w:tc>
          <w:tcPr>
            <w:tcW w:w="9045"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工作原理：采用数字成像自动识别原理对尿液中的有形成分进行定性、定量分析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2</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检测项目：可检测尿液中多种有形成分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FF0000"/>
                <w:sz w:val="24"/>
                <w:szCs w:val="24"/>
              </w:rPr>
            </w:pPr>
            <w:r>
              <w:rPr>
                <w:rFonts w:hint="eastAsia" w:ascii="新宋体" w:hAnsi="新宋体" w:eastAsia="新宋体" w:cs="新宋体"/>
                <w:b w:val="0"/>
                <w:bCs/>
                <w:sz w:val="24"/>
                <w:szCs w:val="24"/>
              </w:rPr>
              <w:t>3</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检测速度：≥100个/小时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4</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进样平台容量：≥50个样本，并具有急诊功能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5</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红细胞位相检测功能：可通红细胞形态的鉴定发出红细胞位相报告，可提供3个报告参数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sz w:val="24"/>
                <w:szCs w:val="24"/>
              </w:rPr>
              <w:t>6</w:t>
            </w:r>
          </w:p>
        </w:tc>
        <w:tc>
          <w:tcPr>
            <w:tcW w:w="9045" w:type="dxa"/>
            <w:vAlign w:val="center"/>
          </w:tcPr>
          <w:p>
            <w:pPr>
              <w:pStyle w:val="32"/>
              <w:pageBreakBefore w:val="0"/>
              <w:kinsoku/>
              <w:wordWrap/>
              <w:overflowPunct/>
              <w:topLinePunct w:val="0"/>
              <w:autoSpaceDE/>
              <w:autoSpaceDN/>
              <w:bidi w:val="0"/>
              <w:spacing w:after="0" w:line="360" w:lineRule="auto"/>
              <w:ind w:left="6" w:hanging="6"/>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样本处理：支持原尿和沉渣尿两种类型标本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7</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最小吸样量：≥1.2ml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sz w:val="24"/>
                <w:szCs w:val="24"/>
              </w:rPr>
              <w:t>8</w:t>
            </w:r>
          </w:p>
        </w:tc>
        <w:tc>
          <w:tcPr>
            <w:tcW w:w="9045" w:type="dxa"/>
            <w:vAlign w:val="center"/>
          </w:tcPr>
          <w:p>
            <w:pPr>
              <w:pStyle w:val="32"/>
              <w:pageBreakBefore w:val="0"/>
              <w:kinsoku/>
              <w:wordWrap/>
              <w:overflowPunct/>
              <w:topLinePunct w:val="0"/>
              <w:autoSpaceDE/>
              <w:autoSpaceDN/>
              <w:bidi w:val="0"/>
              <w:spacing w:after="0" w:line="360" w:lineRule="auto"/>
              <w:ind w:left="6" w:hanging="6"/>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自动对焦：分析仪无需调焦液即可通过软件实现自动对焦功能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FF0000"/>
                <w:sz w:val="24"/>
                <w:szCs w:val="24"/>
              </w:rPr>
              <w:t>★</w:t>
            </w:r>
            <w:r>
              <w:rPr>
                <w:rFonts w:hint="eastAsia" w:ascii="新宋体" w:hAnsi="新宋体" w:eastAsia="新宋体" w:cs="新宋体"/>
                <w:b w:val="0"/>
                <w:bCs/>
                <w:color w:val="000000"/>
                <w:sz w:val="24"/>
                <w:szCs w:val="24"/>
              </w:rPr>
              <w:t>9</w:t>
            </w:r>
          </w:p>
        </w:tc>
        <w:tc>
          <w:tcPr>
            <w:tcW w:w="9045"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显微系统：采用高低倍双镜筒显微镜装置，获得国家相关权威机构认证（提供证书复印件）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11</w:t>
            </w:r>
          </w:p>
        </w:tc>
        <w:tc>
          <w:tcPr>
            <w:tcW w:w="9045" w:type="dxa"/>
            <w:vAlign w:val="center"/>
          </w:tcPr>
          <w:p>
            <w:pPr>
              <w:pStyle w:val="32"/>
              <w:pageBreakBefore w:val="0"/>
              <w:kinsoku/>
              <w:wordWrap/>
              <w:overflowPunct/>
              <w:topLinePunct w:val="0"/>
              <w:autoSpaceDE/>
              <w:autoSpaceDN/>
              <w:bidi w:val="0"/>
              <w:spacing w:after="0" w:line="360" w:lineRule="auto"/>
              <w:ind w:left="6" w:hanging="6"/>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显微镜调焦装置和显微镜可调节载物台技术，获得国家权威机构认证（提供证书复印件）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12</w:t>
            </w:r>
          </w:p>
        </w:tc>
        <w:tc>
          <w:tcPr>
            <w:tcW w:w="9045" w:type="dxa"/>
            <w:vAlign w:val="center"/>
          </w:tcPr>
          <w:p>
            <w:pPr>
              <w:pStyle w:val="32"/>
              <w:pageBreakBefore w:val="0"/>
              <w:kinsoku/>
              <w:wordWrap/>
              <w:overflowPunct/>
              <w:topLinePunct w:val="0"/>
              <w:autoSpaceDE/>
              <w:autoSpaceDN/>
              <w:bidi w:val="0"/>
              <w:spacing w:after="0" w:line="360" w:lineRule="auto"/>
              <w:ind w:left="6" w:hanging="6"/>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阴性标本筛查：具有低倍镜阴性标本筛查功能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FF0000"/>
                <w:sz w:val="24"/>
                <w:szCs w:val="24"/>
              </w:rPr>
              <w:t>★</w:t>
            </w:r>
            <w:r>
              <w:rPr>
                <w:rFonts w:hint="eastAsia" w:ascii="新宋体" w:hAnsi="新宋体" w:eastAsia="新宋体" w:cs="新宋体"/>
                <w:b w:val="0"/>
                <w:bCs/>
                <w:color w:val="000000"/>
                <w:sz w:val="24"/>
                <w:szCs w:val="24"/>
              </w:rPr>
              <w:t>13</w:t>
            </w:r>
          </w:p>
        </w:tc>
        <w:tc>
          <w:tcPr>
            <w:tcW w:w="9045" w:type="dxa"/>
            <w:vAlign w:val="center"/>
          </w:tcPr>
          <w:p>
            <w:pPr>
              <w:pStyle w:val="32"/>
              <w:pageBreakBefore w:val="0"/>
              <w:kinsoku/>
              <w:wordWrap/>
              <w:overflowPunct/>
              <w:topLinePunct w:val="0"/>
              <w:autoSpaceDE/>
              <w:autoSpaceDN/>
              <w:bidi w:val="0"/>
              <w:spacing w:after="0" w:line="360" w:lineRule="auto"/>
              <w:ind w:left="6" w:hanging="6"/>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携带污染率：≤0.05%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16</w:t>
            </w:r>
          </w:p>
        </w:tc>
        <w:tc>
          <w:tcPr>
            <w:tcW w:w="9045" w:type="dxa"/>
            <w:vAlign w:val="center"/>
          </w:tcPr>
          <w:p>
            <w:pPr>
              <w:pStyle w:val="32"/>
              <w:pageBreakBefore w:val="0"/>
              <w:kinsoku/>
              <w:wordWrap/>
              <w:overflowPunct/>
              <w:topLinePunct w:val="0"/>
              <w:autoSpaceDE/>
              <w:autoSpaceDN/>
              <w:bidi w:val="0"/>
              <w:spacing w:after="0" w:line="360" w:lineRule="auto"/>
              <w:ind w:left="6" w:hanging="6"/>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网络接口：标准网络接口，可以和LIS及HIS系统联网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17</w:t>
            </w:r>
          </w:p>
        </w:tc>
        <w:tc>
          <w:tcPr>
            <w:tcW w:w="9045"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数据存储和查询：≥5万个结果，可实时查询，断电后存储数据不丢失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19</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质控：分析仪能做质控测试、自动绘制L-J指控图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lang w:val="en-US"/>
              </w:rPr>
              <w:t>20</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清洗功能：自动冲洗一体化，采样针自动清洗、液路定时清洗、关机清洗等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21</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自检功能：分析仪能开机自检，当分析仪在测试过程中发生某种障碍时，能显示出相应的故障提示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lang w:val="en-US"/>
              </w:rPr>
              <w:t>24</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单位选择：测试结果单位可选择“个数每微升”（/uL）或“个数每视野”（/HFP）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7"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sz w:val="24"/>
                <w:szCs w:val="24"/>
              </w:rPr>
            </w:pPr>
            <w:r>
              <w:rPr>
                <w:rFonts w:hint="eastAsia" w:ascii="新宋体" w:hAnsi="新宋体" w:eastAsia="新宋体" w:cs="新宋体"/>
                <w:b w:val="0"/>
                <w:bCs/>
                <w:color w:val="FF0000"/>
                <w:sz w:val="24"/>
                <w:szCs w:val="24"/>
              </w:rPr>
              <w:t>★</w:t>
            </w:r>
            <w:r>
              <w:rPr>
                <w:rFonts w:hint="eastAsia" w:ascii="新宋体" w:hAnsi="新宋体" w:eastAsia="新宋体" w:cs="新宋体"/>
                <w:b w:val="0"/>
                <w:bCs/>
                <w:sz w:val="24"/>
                <w:szCs w:val="24"/>
              </w:rPr>
              <w:t>23</w:t>
            </w:r>
          </w:p>
        </w:tc>
        <w:tc>
          <w:tcPr>
            <w:tcW w:w="9045" w:type="dxa"/>
            <w:vAlign w:val="center"/>
          </w:tcPr>
          <w:p>
            <w:pPr>
              <w:pStyle w:val="32"/>
              <w:pageBreakBefore w:val="0"/>
              <w:kinsoku/>
              <w:wordWrap/>
              <w:overflowPunct/>
              <w:topLinePunct w:val="0"/>
              <w:autoSpaceDE/>
              <w:autoSpaceDN/>
              <w:bidi w:val="0"/>
              <w:spacing w:after="0" w:line="360" w:lineRule="auto"/>
              <w:ind w:left="1" w:hanging="3"/>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制造商具有通过药监部门的校准物，并能提供四种浓度水平的质控液（提供产品注册证复印件）</w:t>
            </w:r>
          </w:p>
        </w:tc>
      </w:tr>
    </w:tbl>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商务及其它要求</w:t>
      </w:r>
    </w:p>
    <w:p>
      <w:pPr>
        <w:pageBreakBefore w:val="0"/>
        <w:kinsoku/>
        <w:wordWrap/>
        <w:overflowPunct/>
        <w:topLinePunct w:val="0"/>
        <w:autoSpaceDE/>
        <w:autoSpaceDN/>
        <w:bidi w:val="0"/>
        <w:spacing w:line="360" w:lineRule="auto"/>
        <w:rPr>
          <w:rFonts w:hint="eastAsia" w:ascii="新宋体" w:hAnsi="新宋体" w:eastAsia="新宋体" w:cs="新宋体"/>
          <w:b w:val="0"/>
          <w:bCs/>
          <w:color w:val="FF0000"/>
          <w:sz w:val="24"/>
          <w:szCs w:val="24"/>
        </w:rPr>
      </w:pPr>
      <w:r>
        <w:rPr>
          <w:rFonts w:hint="eastAsia" w:ascii="新宋体" w:hAnsi="新宋体" w:eastAsia="新宋体" w:cs="新宋体"/>
          <w:b w:val="0"/>
          <w:bCs/>
          <w:sz w:val="24"/>
          <w:szCs w:val="24"/>
        </w:rPr>
        <w:t>1、制造商具有ISO9001、ISO13485、CMD认证，</w:t>
      </w:r>
      <w:r>
        <w:rPr>
          <w:rFonts w:hint="eastAsia" w:ascii="新宋体" w:hAnsi="新宋体" w:eastAsia="新宋体" w:cs="新宋体"/>
          <w:b w:val="0"/>
          <w:bCs/>
          <w:color w:val="FF0000"/>
          <w:sz w:val="24"/>
          <w:szCs w:val="24"/>
        </w:rPr>
        <w:t>产品通过CE认证</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2、制造商注册资金≥</w:t>
      </w:r>
      <w:r>
        <w:rPr>
          <w:rFonts w:hint="eastAsia" w:ascii="新宋体" w:hAnsi="新宋体" w:eastAsia="新宋体" w:cs="新宋体"/>
          <w:b w:val="0"/>
          <w:bCs/>
          <w:sz w:val="24"/>
          <w:szCs w:val="24"/>
          <w:lang w:val="en-US" w:eastAsia="zh-CN"/>
        </w:rPr>
        <w:t>10</w:t>
      </w:r>
      <w:r>
        <w:rPr>
          <w:rFonts w:hint="eastAsia" w:ascii="新宋体" w:hAnsi="新宋体" w:eastAsia="新宋体" w:cs="新宋体"/>
          <w:b w:val="0"/>
          <w:bCs/>
          <w:sz w:val="24"/>
          <w:szCs w:val="24"/>
        </w:rPr>
        <w:t>00万元</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3、售后服务：制造商在本省区设有直属售后服务机构（提供相关政府部门出具的证件复印件），专职服务工程师≥5人</w:t>
      </w:r>
      <w:r>
        <w:rPr>
          <w:rFonts w:hint="eastAsia" w:ascii="新宋体" w:hAnsi="新宋体" w:eastAsia="新宋体" w:cs="新宋体"/>
          <w:b w:val="0"/>
          <w:bCs/>
          <w:color w:val="FF0000"/>
          <w:sz w:val="24"/>
          <w:szCs w:val="24"/>
        </w:rPr>
        <w:t>（提供当地社保局盖章的社保缴纳证明）</w:t>
      </w:r>
      <w:r>
        <w:rPr>
          <w:rFonts w:hint="eastAsia" w:ascii="新宋体" w:hAnsi="新宋体" w:eastAsia="新宋体" w:cs="新宋体"/>
          <w:b w:val="0"/>
          <w:bCs/>
          <w:sz w:val="24"/>
          <w:szCs w:val="24"/>
        </w:rPr>
        <w:t>，做到立即响应，1个工作日内上门服务</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16.</w:t>
      </w:r>
      <w:r>
        <w:rPr>
          <w:rFonts w:hint="eastAsia" w:ascii="新宋体" w:hAnsi="新宋体" w:eastAsia="新宋体" w:cs="新宋体"/>
          <w:b/>
          <w:bCs w:val="0"/>
          <w:sz w:val="24"/>
          <w:szCs w:val="24"/>
        </w:rPr>
        <w:t>全自动粪便分析仪</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工作原理：利用机器视觉技术，分别对大便的颜色与性状、胶体金检测卡、镜下有形成分进行实景采图，以形态学自动分析方法对大便的颜色与性状、胶体金法检测结果进行识别，对大便中有形成分进行识别与分类计数；</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*核心技术：机器视觉技术：                                                                                         （1）对大便颜色、性状进行拍摄，自动进行判断识别；                                                          （2）对胶体金检测卡显色图像进行拍摄，自动进行阴阳性判断；                                                   （3）对大便中有形成分自动进行识别与分类计数 ；                                                           （4）指挥仪器各机械部分协调工作，检测全过程无需人工操作。</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检验项目：</w:t>
      </w:r>
    </w:p>
    <w:p>
      <w:pPr>
        <w:pStyle w:val="40"/>
        <w:pageBreakBefore w:val="0"/>
        <w:kinsoku/>
        <w:wordWrap/>
        <w:overflowPunct/>
        <w:topLinePunct w:val="0"/>
        <w:autoSpaceDE/>
        <w:autoSpaceDN/>
        <w:bidi w:val="0"/>
        <w:spacing w:line="360" w:lineRule="auto"/>
        <w:ind w:left="360"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（1）镜检项目：可检测、确证显微镜下可见的粪便标本中的所有病理有形成分；                                         （2）理学检查：可对标本自动拍照，进行颜色、性状等理学指标分析；                                             （3）粪便隐血：可自动分析粪便隐血项目；                                                                   （4）其他项目：可自动分析转铁蛋白、轮状病毒、腺病毒、幽门螺旋杆菌等胶体金法检测结果。</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送样装置：轨道式送样，待检区容量40个标本；</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样本前处理：仪器全自动完成样本稀释、搅拌、过滤、加样（提供相关专利证书）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*粪便处理器：</w:t>
      </w:r>
    </w:p>
    <w:p>
      <w:pPr>
        <w:pStyle w:val="40"/>
        <w:pageBreakBefore w:val="0"/>
        <w:kinsoku/>
        <w:wordWrap/>
        <w:overflowPunct/>
        <w:topLinePunct w:val="0"/>
        <w:autoSpaceDE/>
        <w:autoSpaceDN/>
        <w:bidi w:val="0"/>
        <w:spacing w:line="360" w:lineRule="auto"/>
        <w:ind w:left="357"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（1）取样勺多触点设计，方便病人多点取样；                                                                           （2）底部凸起、双侧螺旋桨式设计，在搅拌过程中形成涡轮水流，混匀更充分，使病理成分有效分离和富集；</w:t>
      </w:r>
    </w:p>
    <w:p>
      <w:pPr>
        <w:pStyle w:val="40"/>
        <w:pageBreakBefore w:val="0"/>
        <w:kinsoku/>
        <w:wordWrap/>
        <w:overflowPunct/>
        <w:topLinePunct w:val="0"/>
        <w:autoSpaceDE/>
        <w:autoSpaceDN/>
        <w:bidi w:val="0"/>
        <w:spacing w:line="360" w:lineRule="auto"/>
        <w:ind w:left="357"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（3）动态滤网设计，不仅可实现对有用成分的主动式捕捞，而且通过分侧分布的大、小孔径滤网，在搅拌过程中形成对冲液流，可有效过滤残渣并集卵，有用成分回收率在80%以上（提供相关专利证书）。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智能搅拌功能：仪器在搅拌过程中根据性状判断结果自动调整搅拌时间与力度，稀便轻搅、软便搅拌短时、硬便搅拌时间长力度大，确保得到经过最佳处理的样本悬液，提高检出率；</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*检测卡组合式排列装置：</w:t>
      </w:r>
    </w:p>
    <w:p>
      <w:pPr>
        <w:pStyle w:val="40"/>
        <w:pageBreakBefore w:val="0"/>
        <w:kinsoku/>
        <w:wordWrap/>
        <w:overflowPunct/>
        <w:topLinePunct w:val="0"/>
        <w:autoSpaceDE/>
        <w:autoSpaceDN/>
        <w:bidi w:val="0"/>
        <w:spacing w:line="360" w:lineRule="auto"/>
        <w:ind w:left="357" w:firstLine="0"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（1）胶体金法检测项目可自动任选组合检测，</w:t>
      </w:r>
      <w:r>
        <w:rPr>
          <w:rFonts w:hint="eastAsia" w:ascii="新宋体" w:hAnsi="新宋体" w:eastAsia="新宋体" w:cs="新宋体"/>
          <w:b w:val="0"/>
          <w:bCs/>
          <w:color w:val="C00000"/>
          <w:sz w:val="24"/>
          <w:szCs w:val="24"/>
        </w:rPr>
        <w:t>一次可检测5个不同项目</w:t>
      </w:r>
      <w:r>
        <w:rPr>
          <w:rFonts w:hint="eastAsia" w:ascii="新宋体" w:hAnsi="新宋体" w:eastAsia="新宋体" w:cs="新宋体"/>
          <w:b w:val="0"/>
          <w:bCs/>
          <w:sz w:val="24"/>
          <w:szCs w:val="24"/>
        </w:rPr>
        <w:t>（提供相关专利证书）；</w:t>
      </w:r>
      <w:r>
        <w:rPr>
          <w:rFonts w:hint="eastAsia" w:ascii="新宋体" w:hAnsi="新宋体" w:eastAsia="新宋体" w:cs="新宋体"/>
          <w:b w:val="0"/>
          <w:bCs/>
          <w:sz w:val="24"/>
          <w:szCs w:val="24"/>
        </w:rPr>
        <w:cr/>
      </w:r>
      <w:r>
        <w:rPr>
          <w:rFonts w:hint="eastAsia" w:ascii="新宋体" w:hAnsi="新宋体" w:eastAsia="新宋体" w:cs="新宋体"/>
          <w:b w:val="0"/>
          <w:bCs/>
          <w:sz w:val="24"/>
          <w:szCs w:val="24"/>
        </w:rPr>
        <w:t>（2）采用“子弹夹式”设计，防潮且易于装载。</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*计数板：采用高精度一次性计数板，可避免使用流动计数池易造成的管路或计数池堵塞，及后续人工疏通堵塞管路易造成的生物安全风险，还可避免样本间的交叉污染（提供相关专利证书）；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计数板排队沉淀装置：</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（1）保证粪便标本沉淀时间充分，提高图片清晰度；</w:t>
      </w:r>
    </w:p>
    <w:p>
      <w:pPr>
        <w:pageBreakBefore w:val="0"/>
        <w:kinsoku/>
        <w:wordWrap/>
        <w:overflowPunct/>
        <w:topLinePunct w:val="0"/>
        <w:autoSpaceDE/>
        <w:autoSpaceDN/>
        <w:bidi w:val="0"/>
        <w:spacing w:line="360" w:lineRule="auto"/>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（2）一次性可容纳6个样本同时排队沉淀，大大提高仪器综合检测速度。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智能视域调节功能：根据粪便标本分离情况自动动态调节视域下的背景，获取最佳视觉环境，提高图片清晰度；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多层面自动聚焦功能：在显微镜上下聚焦过程中分层进行拍照和目标参数的采集，应对不同状态标本确保采集到病理有形成分的清晰图片，提高检出率；</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*图像处理系统：单物镜采集高倍放大图像，通过图像处理实现低倍放大图像，避免高低倍物镜的切换（提供相关专利证书）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智能捕捉功能：根据有形成分大小、轴比、形状、纹理、梯度、颜色、灰度等上百种特征参数设置特异语义模型,在复杂背景下自动选择性抓取疑似病理有形成分；</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集中审核功能：仪器自动从CCD所拍图片中截取单个有形成分的图片，分类集中排列，方便审核；</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急诊功能：特设急诊位，急诊标本自动传送，自动检测；</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故障报警功能：故障自动报警；</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报告方式：以数据、图像和文字描述相结合的方式发出综合报告，为临床诊断提供全面参考信息；</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检测速度：</w:t>
      </w:r>
      <w:r>
        <w:rPr>
          <w:rFonts w:hint="eastAsia" w:ascii="新宋体" w:hAnsi="新宋体" w:eastAsia="新宋体" w:cs="新宋体"/>
          <w:b w:val="0"/>
          <w:bCs/>
          <w:color w:val="C00000"/>
          <w:sz w:val="24"/>
          <w:szCs w:val="24"/>
        </w:rPr>
        <w:t>综合速度30-60个标本/小时；</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有形成分回收率：≥80%；</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准确率偏差：有形成分的综合识别与计数：准确率偏差≤5%；</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*重复性：浓度20～100个/µl：CV≤20%；浓度500～1000个/µl：CV≤12%；浓度5000个/µl：CV≤8%（提供注册检验报告）；</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*携带污染率：浓度（4600～5400）个/µl：≤1个/µl；浓度（9200～10800）个/µl：≤2个/µl（提供注册检验报告）；</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计数板贮存仓容量：200个；</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打印机：激光打印机；</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数据接口：双向通讯接口，方便数据传输；</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数据储存量：≥200000个结果；</w:t>
      </w:r>
    </w:p>
    <w:p>
      <w:pPr>
        <w:pStyle w:val="40"/>
        <w:pageBreakBefore w:val="0"/>
        <w:numPr>
          <w:ilvl w:val="0"/>
          <w:numId w:val="15"/>
        </w:numPr>
        <w:kinsoku/>
        <w:wordWrap/>
        <w:overflowPunct/>
        <w:topLinePunct w:val="0"/>
        <w:autoSpaceDE/>
        <w:autoSpaceDN/>
        <w:bidi w:val="0"/>
        <w:spacing w:line="360" w:lineRule="auto"/>
        <w:ind w:left="357" w:hanging="357" w:firstLineChars="0"/>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网络功能：可联机科室及医院计算机网络，实现分析报告无纸化传输。</w:t>
      </w:r>
    </w:p>
    <w:p>
      <w:pPr>
        <w:pStyle w:val="18"/>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17.</w:t>
      </w:r>
      <w:r>
        <w:rPr>
          <w:rFonts w:hint="eastAsia" w:ascii="新宋体" w:hAnsi="新宋体" w:eastAsia="新宋体" w:cs="新宋体"/>
          <w:b/>
          <w:bCs w:val="0"/>
          <w:sz w:val="24"/>
          <w:szCs w:val="24"/>
        </w:rPr>
        <w:t>血气生化分析仪</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设备名称：血气生化分析仪</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▲方法学：干式电化学法、交流阻抗</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电极测量方式：免维护微电极技术</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▲测量速度：从吸样到显示检测结果≤60S</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▲测试参数：PH、PO2、PCO2、Na＋、K＋，CL-,Ca++, Hct，Lac，Glu等并且所有参数只需一张测试卡即可完成，并至少可以提供两种9项项目检测试剂盒</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▲试剂盒注册型号（种类）≥42个，代表不同的检测项目组合，以灵活应用于不同的用户检测需求</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计算项目：cH+，HCO3-act，HCO3-std，BE(ecf)，BE(B)，BB(B)，ctCO2，sO2(est)，Ca++(7.4)，AnGap等, 测试+计算项目≥34项</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标本类型：可适用于动脉血、静脉血、毛细血管血、混合动静脉血等≥6种样本类型</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进样方式：自动平行抽吸式自动进样，有效降低生物污染</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▲用血量：样本检测最低用血量为80ul</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定标方式：无气瓶的气体定标方式（也可称为液体定标）</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▲配套耗材：包含质控液在内试剂耗材≤2种</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试检测耗材：耗材单人份设计，独立包装，常温或冷藏保存，一次性使用，无交叉污染，结果安全可靠</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▲试剂盒存储：试剂盒运输条件可达-10～37℃；试剂盒存储条件可达2～30℃</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质量控制：提供原厂配套具有溯源性的三级液体质控品</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▲操作界面：≥7英寸彩色触摸屏操作,中英文语言自由切换，内置多媒体操作教程</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内置高容量充电电池，待机时间≥24h或可连续测量样本数≥50个</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小巧便携，重量&lt; 5Kg（含电池），便于不同病人终端移动及床旁检测</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仪器内置二维条码扫描仪及热敏打印机，方便数据管理及结果的打印</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▲数据接口：串口、网络接口、USB口，有线、无线网络链接，能连接LIS、HIS</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数据管理：仪器可自动存储≥10000个病人结果，连接POCT数据管理系统，同时可以与产网连接，规范病例数据的管理</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▲检测参数的升级：院内联网升级软件，使用新的试剂盒即可完成，无需增加模块</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使用环境要求：10-31℃</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产品需获得FDA、CE认证</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可选配POCT管理软件（DMS），可实现实时传输到电脑上进行分析，报告，存储，A4纸打印</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lang w:eastAsia="zh-CN"/>
        </w:rPr>
      </w:pPr>
      <w:r>
        <w:rPr>
          <w:rFonts w:hint="eastAsia" w:ascii="新宋体" w:hAnsi="新宋体" w:eastAsia="新宋体" w:cs="新宋体"/>
          <w:b w:val="0"/>
          <w:bCs/>
          <w:kern w:val="0"/>
          <w:sz w:val="24"/>
          <w:szCs w:val="24"/>
          <w:lang w:eastAsia="zh-CN"/>
        </w:rPr>
        <w:t>▲全国三级医院装机量≥100家，以确保品牌与产品的成熟、稳定性</w:t>
      </w:r>
    </w:p>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color w:val="000000"/>
          <w:sz w:val="24"/>
          <w:szCs w:val="24"/>
        </w:rPr>
      </w:pPr>
      <w:r>
        <w:rPr>
          <w:rFonts w:hint="eastAsia" w:ascii="新宋体" w:hAnsi="新宋体" w:eastAsia="新宋体" w:cs="新宋体"/>
          <w:b/>
          <w:bCs w:val="0"/>
          <w:color w:val="000000"/>
          <w:sz w:val="24"/>
          <w:szCs w:val="24"/>
          <w:lang w:val="en-US" w:eastAsia="zh-CN"/>
        </w:rPr>
        <w:t>18.</w:t>
      </w:r>
      <w:r>
        <w:rPr>
          <w:rFonts w:hint="eastAsia" w:ascii="新宋体" w:hAnsi="新宋体" w:eastAsia="新宋体" w:cs="新宋体"/>
          <w:b/>
          <w:bCs w:val="0"/>
          <w:color w:val="000000"/>
          <w:sz w:val="24"/>
          <w:szCs w:val="24"/>
        </w:rPr>
        <w:t>生物安全柜</w:t>
      </w:r>
    </w:p>
    <w:p>
      <w:pPr>
        <w:pageBreakBefore w:val="0"/>
        <w:widowControl/>
        <w:kinsoku/>
        <w:wordWrap/>
        <w:overflowPunct/>
        <w:topLinePunct w:val="0"/>
        <w:autoSpaceDE/>
        <w:autoSpaceDN/>
        <w:bidi w:val="0"/>
        <w:spacing w:before="75" w:after="75"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一、技术参数</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1、安全柜基本参数：</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（1）分类：A2型，30%外排，70%循环</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（2）外部尺寸≥（L×D×H）1500mm×750mm×2250mm；</w:t>
      </w:r>
    </w:p>
    <w:p>
      <w:pPr>
        <w:pageBreakBefore w:val="0"/>
        <w:widowControl/>
        <w:kinsoku/>
        <w:wordWrap/>
        <w:overflowPunct/>
        <w:topLinePunct w:val="0"/>
        <w:autoSpaceDE/>
        <w:autoSpaceDN/>
        <w:bidi w:val="0"/>
        <w:spacing w:before="75" w:after="75" w:line="360" w:lineRule="auto"/>
        <w:ind w:firstLine="360" w:firstLineChars="1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*（3）内部尺寸≥（L×D×H）1350mm ×600mm×660mm 。</w:t>
      </w:r>
    </w:p>
    <w:p>
      <w:pPr>
        <w:pageBreakBefore w:val="0"/>
        <w:widowControl/>
        <w:kinsoku/>
        <w:wordWrap/>
        <w:overflowPunct/>
        <w:topLinePunct w:val="0"/>
        <w:autoSpaceDE/>
        <w:autoSpaceDN/>
        <w:bidi w:val="0"/>
        <w:spacing w:before="75" w:after="75" w:line="360" w:lineRule="auto"/>
        <w:ind w:firstLine="360" w:firstLineChars="1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*（4）台面距离地面高度：750mm（尺寸可根据要求订制修改）</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（5）风速： 平均下降风速：0.33±0.025m/s； 平均吸入口风速0.53±0.025m/s</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（6）系统排风总量：500 m3/h</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（7）额定功率：1800W（包含操作区插座负载500W）</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（8）噪音等级：≤6</w:t>
      </w:r>
      <w:r>
        <w:rPr>
          <w:rFonts w:hint="eastAsia" w:ascii="新宋体" w:hAnsi="新宋体" w:eastAsia="新宋体" w:cs="新宋体"/>
          <w:b w:val="0"/>
          <w:bCs/>
          <w:kern w:val="0"/>
          <w:sz w:val="24"/>
          <w:szCs w:val="24"/>
          <w:lang w:val="en-US" w:eastAsia="zh-CN"/>
        </w:rPr>
        <w:t>5</w:t>
      </w:r>
      <w:r>
        <w:rPr>
          <w:rFonts w:hint="eastAsia" w:ascii="新宋体" w:hAnsi="新宋体" w:eastAsia="新宋体" w:cs="新宋体"/>
          <w:b w:val="0"/>
          <w:bCs/>
          <w:kern w:val="0"/>
          <w:sz w:val="24"/>
          <w:szCs w:val="24"/>
        </w:rPr>
        <w:t>dB（A）</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（9）照明：≥</w:t>
      </w:r>
      <w:r>
        <w:rPr>
          <w:rFonts w:hint="eastAsia" w:ascii="新宋体" w:hAnsi="新宋体" w:eastAsia="新宋体" w:cs="新宋体"/>
          <w:b w:val="0"/>
          <w:bCs/>
          <w:kern w:val="0"/>
          <w:sz w:val="24"/>
          <w:szCs w:val="24"/>
          <w:lang w:val="en-US" w:eastAsia="zh-CN"/>
        </w:rPr>
        <w:t>10</w:t>
      </w:r>
      <w:r>
        <w:rPr>
          <w:rFonts w:hint="eastAsia" w:ascii="新宋体" w:hAnsi="新宋体" w:eastAsia="新宋体" w:cs="新宋体"/>
          <w:b w:val="0"/>
          <w:bCs/>
          <w:kern w:val="0"/>
          <w:sz w:val="24"/>
          <w:szCs w:val="24"/>
        </w:rPr>
        <w:t>00lx</w:t>
      </w:r>
    </w:p>
    <w:p>
      <w:pPr>
        <w:pageBreakBefore w:val="0"/>
        <w:widowControl/>
        <w:kinsoku/>
        <w:wordWrap/>
        <w:overflowPunct/>
        <w:topLinePunct w:val="0"/>
        <w:autoSpaceDE/>
        <w:autoSpaceDN/>
        <w:bidi w:val="0"/>
        <w:spacing w:before="75" w:after="75" w:line="360" w:lineRule="auto"/>
        <w:ind w:left="1203" w:leftChars="173" w:hanging="840" w:hangingChars="3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*（10）过滤效率:送风和排风过滤器均采用世界知名品牌的硼硅酸盐玻璃纤维材质的HEPA（ULPA）高效过滤器，对0.3μm（0.12）颗粒过滤效率≥99.999%（99.9995%）</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（11）注册证号：国械注准20143222263</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（12）重量：    毛重316KG       净重 295KG</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（13）使用人数：1—2人</w:t>
      </w:r>
    </w:p>
    <w:p>
      <w:pPr>
        <w:pageBreakBefore w:val="0"/>
        <w:widowControl/>
        <w:kinsoku/>
        <w:wordWrap/>
        <w:overflowPunct/>
        <w:topLinePunct w:val="0"/>
        <w:autoSpaceDE/>
        <w:autoSpaceDN/>
        <w:bidi w:val="0"/>
        <w:spacing w:before="75" w:after="75" w:line="360" w:lineRule="auto"/>
        <w:ind w:firstLine="120" w:firstLineChars="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2、生物安全性：</w:t>
      </w:r>
    </w:p>
    <w:p>
      <w:pPr>
        <w:pageBreakBefore w:val="0"/>
        <w:widowControl/>
        <w:kinsoku/>
        <w:wordWrap/>
        <w:overflowPunct/>
        <w:topLinePunct w:val="0"/>
        <w:autoSpaceDE/>
        <w:autoSpaceDN/>
        <w:bidi w:val="0"/>
        <w:spacing w:before="75" w:after="75" w:line="360" w:lineRule="auto"/>
        <w:ind w:firstLine="360" w:firstLineChars="1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 人员安全性：用碘化钾（KI）法测试，前窗操作口的保护因子应不小于1×10</w:t>
      </w:r>
      <w:r>
        <w:rPr>
          <w:rFonts w:hint="eastAsia" w:ascii="新宋体" w:hAnsi="新宋体" w:eastAsia="新宋体" w:cs="新宋体"/>
          <w:b w:val="0"/>
          <w:bCs/>
          <w:kern w:val="0"/>
          <w:sz w:val="24"/>
          <w:szCs w:val="24"/>
          <w:vertAlign w:val="superscript"/>
        </w:rPr>
        <w:t>5</w:t>
      </w:r>
      <w:r>
        <w:rPr>
          <w:rFonts w:hint="eastAsia" w:ascii="新宋体" w:hAnsi="新宋体" w:eastAsia="新宋体" w:cs="新宋体"/>
          <w:b w:val="0"/>
          <w:bCs/>
          <w:kern w:val="0"/>
          <w:sz w:val="24"/>
          <w:szCs w:val="24"/>
        </w:rPr>
        <w:t xml:space="preserve"> </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（2） 产品安全性：菌落数≤5CFU/次 </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（3） 交叉污染安全性：菌落数≤2CFU/次</w:t>
      </w:r>
    </w:p>
    <w:p>
      <w:pPr>
        <w:pageBreakBefore w:val="0"/>
        <w:widowControl/>
        <w:kinsoku/>
        <w:wordWrap/>
        <w:overflowPunct/>
        <w:topLinePunct w:val="0"/>
        <w:autoSpaceDE/>
        <w:autoSpaceDN/>
        <w:bidi w:val="0"/>
        <w:spacing w:before="75" w:after="75"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二、结构功能特点：</w:t>
      </w:r>
    </w:p>
    <w:p>
      <w:pPr>
        <w:pageBreakBefore w:val="0"/>
        <w:widowControl/>
        <w:kinsoku/>
        <w:wordWrap/>
        <w:overflowPunct/>
        <w:topLinePunct w:val="0"/>
        <w:autoSpaceDE/>
        <w:autoSpaceDN/>
        <w:bidi w:val="0"/>
        <w:spacing w:before="75" w:after="75" w:line="360" w:lineRule="auto"/>
        <w:ind w:left="885" w:leftChars="250" w:hanging="360" w:hangingChars="1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1、济南鑫贝西生物技术有限公司是中华人民共和国医药行业YY0569-2011生物安全柜产品标准的主要起草单位；</w:t>
      </w:r>
    </w:p>
    <w:p>
      <w:pPr>
        <w:pageBreakBefore w:val="0"/>
        <w:widowControl/>
        <w:kinsoku/>
        <w:wordWrap/>
        <w:overflowPunct/>
        <w:topLinePunct w:val="0"/>
        <w:autoSpaceDE/>
        <w:autoSpaceDN/>
        <w:bidi w:val="0"/>
        <w:spacing w:before="75" w:after="75" w:line="360" w:lineRule="auto"/>
        <w:ind w:left="1035" w:leftChars="150" w:hanging="720" w:hangingChars="3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2、柜体采用10°倾斜角设计，符合人体工程学原理，视角更大，操作方便且更加人性化；   </w:t>
      </w:r>
    </w:p>
    <w:p>
      <w:pPr>
        <w:pageBreakBefore w:val="0"/>
        <w:widowControl/>
        <w:kinsoku/>
        <w:wordWrap/>
        <w:overflowPunct/>
        <w:topLinePunct w:val="0"/>
        <w:autoSpaceDE/>
        <w:autoSpaceDN/>
        <w:bidi w:val="0"/>
        <w:spacing w:before="75" w:after="75" w:line="360" w:lineRule="auto"/>
        <w:ind w:left="915" w:leftChars="150"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3、安全柜裸露工作区三侧壁板采用优质304#不锈钢一体化结构，内部可清洗部位采用8mm大圆角处理，不留死角，易于清洁；</w:t>
      </w:r>
    </w:p>
    <w:p>
      <w:pPr>
        <w:pageBreakBefore w:val="0"/>
        <w:widowControl/>
        <w:kinsoku/>
        <w:wordWrap/>
        <w:overflowPunct/>
        <w:topLinePunct w:val="0"/>
        <w:autoSpaceDE/>
        <w:autoSpaceDN/>
        <w:bidi w:val="0"/>
        <w:spacing w:before="75" w:after="75" w:line="360" w:lineRule="auto"/>
        <w:ind w:left="990" w:leftChars="300" w:hanging="360" w:hangingChars="1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4、工作区采用四面（左右二侧、后部、底部）负压环绕设计工作区内，保护性更好、更安全；</w:t>
      </w:r>
    </w:p>
    <w:p>
      <w:pPr>
        <w:pageBreakBefore w:val="0"/>
        <w:widowControl/>
        <w:kinsoku/>
        <w:wordWrap/>
        <w:overflowPunct/>
        <w:topLinePunct w:val="0"/>
        <w:autoSpaceDE/>
        <w:autoSpaceDN/>
        <w:bidi w:val="0"/>
        <w:spacing w:before="75" w:after="75" w:line="360" w:lineRule="auto"/>
        <w:ind w:left="1005" w:leftChars="250" w:hanging="480" w:hanging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5、工作台面材质为优质304#不锈钢，采用盆状式设计，即使实验有废液溢出，也不会流入积液槽中，便于清理；</w:t>
      </w:r>
    </w:p>
    <w:p>
      <w:pPr>
        <w:pageBreakBefore w:val="0"/>
        <w:widowControl/>
        <w:kinsoku/>
        <w:wordWrap/>
        <w:overflowPunct/>
        <w:topLinePunct w:val="0"/>
        <w:autoSpaceDE/>
        <w:autoSpaceDN/>
        <w:bidi w:val="0"/>
        <w:spacing w:before="75" w:after="75" w:line="360" w:lineRule="auto"/>
        <w:ind w:left="945" w:leftChars="50" w:hanging="840" w:hangingChars="3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 6、福马脚轮设计：脚轮与支架一体化设计，安全柜即可通过脚轮安全移动，也可以通过调节脚轮支脚进行固定和调平；</w:t>
      </w:r>
    </w:p>
    <w:p>
      <w:pPr>
        <w:pageBreakBefore w:val="0"/>
        <w:widowControl/>
        <w:kinsoku/>
        <w:wordWrap/>
        <w:overflowPunct/>
        <w:topLinePunct w:val="0"/>
        <w:autoSpaceDE/>
        <w:autoSpaceDN/>
        <w:bidi w:val="0"/>
        <w:spacing w:before="75" w:after="75" w:line="360" w:lineRule="auto"/>
        <w:ind w:firstLine="283" w:firstLineChars="118"/>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 7、柜体和支架可分离，支架高度可根据实际情况订制修改；</w:t>
      </w:r>
    </w:p>
    <w:p>
      <w:pPr>
        <w:pageBreakBefore w:val="0"/>
        <w:widowControl/>
        <w:kinsoku/>
        <w:wordWrap/>
        <w:overflowPunct/>
        <w:topLinePunct w:val="0"/>
        <w:autoSpaceDE/>
        <w:autoSpaceDN/>
        <w:bidi w:val="0"/>
        <w:spacing w:before="75" w:after="75" w:line="360" w:lineRule="auto"/>
        <w:ind w:left="968" w:leftChars="118" w:hanging="720" w:hangingChars="3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8、合理的结构设计：安全柜过滤器和风机的维修、更换，都可在安全柜的前侧进行，更加方便、快捷。</w:t>
      </w:r>
    </w:p>
    <w:p>
      <w:pPr>
        <w:pageBreakBefore w:val="0"/>
        <w:widowControl/>
        <w:kinsoku/>
        <w:wordWrap/>
        <w:overflowPunct/>
        <w:topLinePunct w:val="0"/>
        <w:autoSpaceDE/>
        <w:autoSpaceDN/>
        <w:bidi w:val="0"/>
        <w:spacing w:before="75" w:after="75" w:line="360" w:lineRule="auto"/>
        <w:ind w:left="982" w:leftChars="182"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9、前窗玻璃采用双层夹胶防爆安全玻璃；即使玻璃破损，也不会伤人，并且生物安全柜还能正常工作，直到实验结束，更好的保护了人员及实验的安全；</w:t>
      </w:r>
    </w:p>
    <w:p>
      <w:pPr>
        <w:pageBreakBefore w:val="0"/>
        <w:widowControl/>
        <w:kinsoku/>
        <w:wordWrap/>
        <w:overflowPunct/>
        <w:topLinePunct w:val="0"/>
        <w:autoSpaceDE/>
        <w:autoSpaceDN/>
        <w:bidi w:val="0"/>
        <w:spacing w:before="75" w:after="75" w:line="360" w:lineRule="auto"/>
        <w:ind w:left="848" w:leftChars="118"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 10、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pageBreakBefore w:val="0"/>
        <w:widowControl/>
        <w:kinsoku/>
        <w:wordWrap/>
        <w:overflowPunct/>
        <w:topLinePunct w:val="0"/>
        <w:autoSpaceDE/>
        <w:autoSpaceDN/>
        <w:bidi w:val="0"/>
        <w:spacing w:before="75" w:after="75" w:line="360" w:lineRule="auto"/>
        <w:ind w:left="848" w:leftChars="118"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11、电动控制前窗玻璃门，可同时采用脚踏控制、按键控制或遥控控制，玻璃门升降到安全操作高度时，自动停止升降，使操作更加方便；且玻璃门升降时不用直接接触玻璃，使实验人员更安全；</w:t>
      </w:r>
    </w:p>
    <w:p>
      <w:pPr>
        <w:pageBreakBefore w:val="0"/>
        <w:widowControl/>
        <w:kinsoku/>
        <w:wordWrap/>
        <w:overflowPunct/>
        <w:topLinePunct w:val="0"/>
        <w:autoSpaceDE/>
        <w:autoSpaceDN/>
        <w:bidi w:val="0"/>
        <w:spacing w:before="75" w:after="75" w:line="360" w:lineRule="auto"/>
        <w:ind w:left="848" w:leftChars="118"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12、遥控控制：安全柜的所有按键操作，都可通过遥控控制实现，使安全柜的使用更加快捷方便；且遥控器的使用，大大减少了使用者与安全柜的直接接触，更加保护了使用者的人身安全；</w:t>
      </w:r>
    </w:p>
    <w:p>
      <w:pPr>
        <w:pageBreakBefore w:val="0"/>
        <w:widowControl/>
        <w:kinsoku/>
        <w:wordWrap/>
        <w:overflowPunct/>
        <w:topLinePunct w:val="0"/>
        <w:autoSpaceDE/>
        <w:autoSpaceDN/>
        <w:bidi w:val="0"/>
        <w:spacing w:before="75" w:after="75" w:line="360" w:lineRule="auto"/>
        <w:ind w:left="848" w:leftChars="118"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  13、具有预约定时功能，能自动设定安全柜定时开机、关机及紫外灯消毒时间，大大节省了工作时间，提高了工作效率；</w:t>
      </w:r>
    </w:p>
    <w:p>
      <w:pPr>
        <w:pageBreakBefore w:val="0"/>
        <w:widowControl/>
        <w:kinsoku/>
        <w:wordWrap/>
        <w:overflowPunct/>
        <w:topLinePunct w:val="0"/>
        <w:autoSpaceDE/>
        <w:autoSpaceDN/>
        <w:bidi w:val="0"/>
        <w:spacing w:before="75" w:after="75" w:line="360" w:lineRule="auto"/>
        <w:ind w:firstLine="523" w:firstLineChars="218"/>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14、严格的气密性检测：安全柜内加压500Pa，保持30min后气压不低于450Pa。</w:t>
      </w:r>
    </w:p>
    <w:p>
      <w:pPr>
        <w:pageBreakBefore w:val="0"/>
        <w:widowControl/>
        <w:kinsoku/>
        <w:wordWrap/>
        <w:overflowPunct/>
        <w:topLinePunct w:val="0"/>
        <w:autoSpaceDE/>
        <w:autoSpaceDN/>
        <w:bidi w:val="0"/>
        <w:spacing w:before="75" w:after="75" w:line="360" w:lineRule="auto"/>
        <w:ind w:firstLine="523" w:firstLineChars="218"/>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15、前窗气流隔断设计：防止了气流通过前窗侧壁及上侧进行泄露，使试验更加安全；</w:t>
      </w:r>
    </w:p>
    <w:p>
      <w:pPr>
        <w:pageBreakBefore w:val="0"/>
        <w:widowControl/>
        <w:kinsoku/>
        <w:wordWrap/>
        <w:overflowPunct/>
        <w:topLinePunct w:val="0"/>
        <w:autoSpaceDE/>
        <w:autoSpaceDN/>
        <w:bidi w:val="0"/>
        <w:spacing w:before="75" w:after="75" w:line="360" w:lineRule="auto"/>
        <w:ind w:left="563" w:leftChars="268"/>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16、优良的风机选用：风机的电机当安全柜在正常运行而不调整电机的速度控制，经过滤器的风压下降50%时，风机的排气量下降不超过10%</w:t>
      </w:r>
    </w:p>
    <w:p>
      <w:pPr>
        <w:pageBreakBefore w:val="0"/>
        <w:widowControl/>
        <w:kinsoku/>
        <w:wordWrap/>
        <w:overflowPunct/>
        <w:topLinePunct w:val="0"/>
        <w:autoSpaceDE/>
        <w:autoSpaceDN/>
        <w:bidi w:val="0"/>
        <w:spacing w:before="75" w:after="75" w:line="360" w:lineRule="auto"/>
        <w:ind w:firstLine="480" w:firstLineChars="2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17、完善的报警系统：</w:t>
      </w:r>
    </w:p>
    <w:p>
      <w:pPr>
        <w:pageBreakBefore w:val="0"/>
        <w:widowControl/>
        <w:kinsoku/>
        <w:wordWrap/>
        <w:overflowPunct/>
        <w:topLinePunct w:val="0"/>
        <w:autoSpaceDE/>
        <w:autoSpaceDN/>
        <w:bidi w:val="0"/>
        <w:spacing w:before="75" w:after="75" w:line="360" w:lineRule="auto"/>
        <w:ind w:left="1335" w:leftChars="350" w:hanging="600" w:hangingChars="2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（1）玻璃门不在安全高度报警：玻璃门安全高度为200mm，当安全柜前侧高于或低于安全高度时，安全柜会声光报警；</w:t>
      </w:r>
    </w:p>
    <w:p>
      <w:pPr>
        <w:pageBreakBefore w:val="0"/>
        <w:widowControl/>
        <w:kinsoku/>
        <w:wordWrap/>
        <w:overflowPunct/>
        <w:topLinePunct w:val="0"/>
        <w:autoSpaceDE/>
        <w:autoSpaceDN/>
        <w:bidi w:val="0"/>
        <w:spacing w:before="75" w:after="75" w:line="360" w:lineRule="auto"/>
        <w:ind w:firstLine="720" w:firstLineChars="3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（2）过滤器压力超高报警：当过滤器的阻力变大，安全柜会声光报警</w:t>
      </w:r>
    </w:p>
    <w:p>
      <w:pPr>
        <w:pageBreakBefore w:val="0"/>
        <w:widowControl/>
        <w:kinsoku/>
        <w:wordWrap/>
        <w:overflowPunct/>
        <w:topLinePunct w:val="0"/>
        <w:autoSpaceDE/>
        <w:autoSpaceDN/>
        <w:bidi w:val="0"/>
        <w:spacing w:before="75" w:after="75" w:line="360" w:lineRule="auto"/>
        <w:ind w:firstLine="720" w:firstLineChars="3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（3）过滤器失效更换报警：当过滤器寿命使用到期后，会有过滤器更换声光报警；</w:t>
      </w:r>
    </w:p>
    <w:p>
      <w:pPr>
        <w:pageBreakBefore w:val="0"/>
        <w:widowControl/>
        <w:kinsoku/>
        <w:wordWrap/>
        <w:overflowPunct/>
        <w:topLinePunct w:val="0"/>
        <w:autoSpaceDE/>
        <w:autoSpaceDN/>
        <w:bidi w:val="0"/>
        <w:spacing w:before="75" w:after="75" w:line="360" w:lineRule="auto"/>
        <w:ind w:firstLine="720" w:firstLineChars="3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（4）气流波动报警：当安全柜的气流波动超过标称值的20%时，声光报警，</w:t>
      </w:r>
    </w:p>
    <w:p>
      <w:pPr>
        <w:pageBreakBefore w:val="0"/>
        <w:widowControl/>
        <w:kinsoku/>
        <w:wordWrap/>
        <w:overflowPunct/>
        <w:topLinePunct w:val="0"/>
        <w:autoSpaceDE/>
        <w:autoSpaceDN/>
        <w:bidi w:val="0"/>
        <w:spacing w:before="75" w:after="75" w:line="360" w:lineRule="auto"/>
        <w:ind w:left="315" w:leftChars="150" w:firstLine="120" w:firstLineChars="5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18、安全的连锁保护设计：对误操作均设置连锁保护，即使误操作，也不会造成伤害</w:t>
      </w:r>
    </w:p>
    <w:p>
      <w:pPr>
        <w:pageBreakBefore w:val="0"/>
        <w:widowControl/>
        <w:kinsoku/>
        <w:wordWrap/>
        <w:overflowPunct/>
        <w:topLinePunct w:val="0"/>
        <w:autoSpaceDE/>
        <w:autoSpaceDN/>
        <w:bidi w:val="0"/>
        <w:spacing w:before="75" w:after="75" w:line="360" w:lineRule="auto"/>
        <w:ind w:left="531" w:leftChars="253" w:firstLine="240" w:firstLineChars="100"/>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（1）安全柜风机与玻璃门互锁：当安全柜玻璃门落到最底部时，安全柜风机自动关闭，更改保护了安全柜的使用，增加了安全柜的使用寿命</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（2）紫外灯与安全柜玻璃门、风机及照明灯互锁：当玻璃落到底部且照明灯不开启时，紫外灯才能开启，防止紫外灯误操作对人体造成危害，更加保护了人员的安全；</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19.</w:t>
      </w:r>
      <w:r>
        <w:rPr>
          <w:rFonts w:hint="eastAsia" w:ascii="新宋体" w:hAnsi="新宋体" w:eastAsia="新宋体" w:cs="新宋体"/>
          <w:b/>
          <w:bCs w:val="0"/>
          <w:sz w:val="24"/>
          <w:szCs w:val="24"/>
        </w:rPr>
        <w:t>全自动凝血分析仪</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方法学：支持磁珠法和光学法项目同时检测，相互独立，互不影响。</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分析速度：PT每小时不低于260测试，DD每小时不低于60测试。</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加样针：具有液面感应、凝块探测功能，避免由加样异常导致的错误结果。</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样本装载模块：同时装载样本数量≥50个，可以连续装载。样本支持自动稀释功能。</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样本条码：具有样品条码自动识别功能，能连接实验室LIS，并支持双向通讯。</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试剂：提供与仪器同品牌、原厂配套经CFDA注册的试剂。</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检测项目：APTT、PT、TT、PT、DD、FDP等</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试剂针：试剂针具有液面感应及加热功能。</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试剂仓：冷藏试剂位≥10个，常温试剂位≥3个。</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仪器通过对条形码识别试剂项目、测试数、有效期等，且试剂位任意放置。</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质控品、校准品：能提供原厂配套的校准品和质控品。</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自动复查功能：支持。</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进样方式：轨道进样。</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结果：检测数据可永久保存</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试剂、耗材存量自动监测、报警功能，且在不停机状态进行更换耗材。</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系统接口：RS-232C。</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电源：不间断电源配置（220V  UPS稳压电源），过流保护及短路保护。</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打印：外接打印机，可打印结果。</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电脑：WIN7专业版，≥21寸触屏显示器；</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售后：签订合同后，</w:t>
      </w:r>
      <w:r>
        <w:rPr>
          <w:rFonts w:hint="eastAsia" w:ascii="新宋体" w:hAnsi="新宋体" w:eastAsia="新宋体" w:cs="新宋体"/>
          <w:b w:val="0"/>
          <w:bCs/>
          <w:kern w:val="0"/>
          <w:sz w:val="24"/>
          <w:szCs w:val="24"/>
          <w:lang w:val="en-US" w:eastAsia="zh-CN"/>
        </w:rPr>
        <w:t>30</w:t>
      </w:r>
      <w:r>
        <w:rPr>
          <w:rFonts w:hint="eastAsia" w:ascii="新宋体" w:hAnsi="新宋体" w:eastAsia="新宋体" w:cs="新宋体"/>
          <w:b w:val="0"/>
          <w:bCs/>
          <w:kern w:val="0"/>
          <w:sz w:val="24"/>
          <w:szCs w:val="24"/>
        </w:rPr>
        <w:t>日装机并培训。仪器保修期</w:t>
      </w:r>
      <w:r>
        <w:rPr>
          <w:rFonts w:hint="eastAsia" w:ascii="新宋体" w:hAnsi="新宋体" w:eastAsia="新宋体" w:cs="新宋体"/>
          <w:b w:val="0"/>
          <w:bCs/>
          <w:kern w:val="0"/>
          <w:sz w:val="24"/>
          <w:szCs w:val="24"/>
          <w:lang w:val="en-US" w:eastAsia="zh-CN"/>
        </w:rPr>
        <w:t>1</w:t>
      </w:r>
      <w:r>
        <w:rPr>
          <w:rFonts w:hint="eastAsia" w:ascii="新宋体" w:hAnsi="新宋体" w:eastAsia="新宋体" w:cs="新宋体"/>
          <w:b w:val="0"/>
          <w:bCs/>
          <w:kern w:val="0"/>
          <w:sz w:val="24"/>
          <w:szCs w:val="24"/>
        </w:rPr>
        <w:t>年，7*24小时响应。</w:t>
      </w:r>
    </w:p>
    <w:p>
      <w:pPr>
        <w:pageBreakBefore w:val="0"/>
        <w:kinsoku/>
        <w:wordWrap/>
        <w:overflowPunct/>
        <w:topLinePunct w:val="0"/>
        <w:autoSpaceDE/>
        <w:autoSpaceDN/>
        <w:bidi w:val="0"/>
        <w:spacing w:line="360" w:lineRule="auto"/>
        <w:rPr>
          <w:rFonts w:hint="eastAsia" w:ascii="新宋体" w:hAnsi="新宋体" w:eastAsia="新宋体" w:cs="新宋体"/>
          <w:b w:val="0"/>
          <w:bCs/>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20.</w:t>
      </w:r>
      <w:r>
        <w:rPr>
          <w:rFonts w:hint="eastAsia" w:ascii="新宋体" w:hAnsi="新宋体" w:eastAsia="新宋体" w:cs="新宋体"/>
          <w:b/>
          <w:bCs w:val="0"/>
          <w:sz w:val="24"/>
          <w:szCs w:val="24"/>
        </w:rPr>
        <w:t>特定蛋白分析仪</w:t>
      </w:r>
    </w:p>
    <w:p>
      <w:pPr>
        <w:pStyle w:val="38"/>
        <w:pageBreakBefore w:val="0"/>
        <w:numPr>
          <w:ilvl w:val="0"/>
          <w:numId w:val="16"/>
        </w:numPr>
        <w:kinsoku/>
        <w:wordWrap/>
        <w:overflowPunct/>
        <w:topLinePunct w:val="0"/>
        <w:autoSpaceDE/>
        <w:autoSpaceDN/>
        <w:bidi w:val="0"/>
        <w:spacing w:line="360" w:lineRule="auto"/>
        <w:ind w:firstLineChars="0"/>
        <w:rPr>
          <w:rFonts w:hint="eastAsia" w:ascii="新宋体" w:hAnsi="新宋体" w:eastAsia="新宋体" w:cs="新宋体"/>
          <w:b w:val="0"/>
          <w:bCs/>
          <w:color w:val="000000" w:themeColor="text1"/>
          <w:sz w:val="24"/>
          <w:szCs w:val="24"/>
          <w14:textFill>
            <w14:solidFill>
              <w14:schemeClr w14:val="tx1"/>
            </w14:solidFill>
          </w14:textFill>
        </w:rPr>
      </w:pPr>
      <w:r>
        <w:rPr>
          <w:rFonts w:hint="eastAsia" w:ascii="新宋体" w:hAnsi="新宋体" w:eastAsia="新宋体" w:cs="新宋体"/>
          <w:b w:val="0"/>
          <w:bCs/>
          <w:color w:val="000000" w:themeColor="text1"/>
          <w:sz w:val="24"/>
          <w:szCs w:val="24"/>
          <w14:textFill>
            <w14:solidFill>
              <w14:schemeClr w14:val="tx1"/>
            </w14:solidFill>
          </w14:textFill>
        </w:rPr>
        <w:t>技术参数：</w:t>
      </w:r>
    </w:p>
    <w:tbl>
      <w:tblPr>
        <w:tblStyle w:val="20"/>
        <w:tblW w:w="99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1902"/>
        <w:gridCol w:w="6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序号</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项目</w:t>
            </w:r>
          </w:p>
        </w:tc>
        <w:tc>
          <w:tcPr>
            <w:tcW w:w="6884" w:type="dxa"/>
            <w:vAlign w:val="center"/>
          </w:tcPr>
          <w:p>
            <w:pPr>
              <w:pageBreakBefore w:val="0"/>
              <w:kinsoku/>
              <w:wordWrap/>
              <w:overflowPunct/>
              <w:topLinePunct w:val="0"/>
              <w:autoSpaceDE/>
              <w:autoSpaceDN/>
              <w:bidi w:val="0"/>
              <w:spacing w:line="360" w:lineRule="auto"/>
              <w:ind w:right="252" w:rightChars="120"/>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光源</w:t>
            </w:r>
          </w:p>
        </w:tc>
        <w:tc>
          <w:tcPr>
            <w:tcW w:w="688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670nm红色激光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2</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测试速度</w:t>
            </w:r>
          </w:p>
        </w:tc>
        <w:tc>
          <w:tcPr>
            <w:tcW w:w="688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100T/小时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3</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环境温度</w:t>
            </w:r>
          </w:p>
        </w:tc>
        <w:tc>
          <w:tcPr>
            <w:tcW w:w="688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4</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工作电源</w:t>
            </w:r>
          </w:p>
        </w:tc>
        <w:tc>
          <w:tcPr>
            <w:tcW w:w="688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额定电压220V～额定频率50Hz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5</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体积</w:t>
            </w:r>
          </w:p>
        </w:tc>
        <w:tc>
          <w:tcPr>
            <w:tcW w:w="688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0.15m</w:t>
            </w:r>
            <w:r>
              <w:rPr>
                <w:rFonts w:hint="eastAsia" w:ascii="新宋体" w:hAnsi="新宋体" w:eastAsia="新宋体" w:cs="新宋体"/>
                <w:b w:val="0"/>
                <w:bCs/>
                <w:color w:val="000000" w:themeColor="text1"/>
                <w:kern w:val="0"/>
                <w:sz w:val="24"/>
                <w:szCs w:val="24"/>
                <w:vertAlign w:val="superscript"/>
                <w14:textFill>
                  <w14:solidFill>
                    <w14:schemeClr w14:val="tx1"/>
                  </w14:solidFill>
                </w14:textFill>
              </w:rPr>
              <w:t>3</w:t>
            </w:r>
            <w:r>
              <w:rPr>
                <w:rFonts w:hint="eastAsia" w:ascii="新宋体" w:hAnsi="新宋体" w:eastAsia="新宋体" w:cs="新宋体"/>
                <w:b w:val="0"/>
                <w:bCs/>
                <w:color w:val="000000" w:themeColor="text1"/>
                <w:kern w:val="0"/>
                <w:sz w:val="24"/>
                <w:szCs w:val="24"/>
                <w14:textFill>
                  <w14:solidFill>
                    <w14:schemeClr w14:val="tx1"/>
                  </w14:solidFill>
                </w14:textFill>
              </w:rPr>
              <w:t>（其中，长：492mm宽：493mm高：617mm）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jc w:val="center"/>
        </w:trPr>
        <w:tc>
          <w:tcPr>
            <w:tcW w:w="1213"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6</w:t>
            </w:r>
          </w:p>
        </w:tc>
        <w:tc>
          <w:tcPr>
            <w:tcW w:w="1902"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重量</w:t>
            </w:r>
          </w:p>
        </w:tc>
        <w:tc>
          <w:tcPr>
            <w:tcW w:w="688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57Kg</w:t>
            </w:r>
          </w:p>
        </w:tc>
      </w:tr>
    </w:tbl>
    <w:p>
      <w:pPr>
        <w:pStyle w:val="38"/>
        <w:pageBreakBefore w:val="0"/>
        <w:numPr>
          <w:ilvl w:val="0"/>
          <w:numId w:val="16"/>
        </w:numPr>
        <w:kinsoku/>
        <w:wordWrap/>
        <w:overflowPunct/>
        <w:topLinePunct w:val="0"/>
        <w:autoSpaceDE/>
        <w:autoSpaceDN/>
        <w:bidi w:val="0"/>
        <w:spacing w:line="360" w:lineRule="auto"/>
        <w:ind w:firstLineChars="0"/>
        <w:rPr>
          <w:rFonts w:hint="eastAsia" w:ascii="新宋体" w:hAnsi="新宋体" w:eastAsia="新宋体" w:cs="新宋体"/>
          <w:b w:val="0"/>
          <w:bCs/>
          <w:color w:val="000000" w:themeColor="text1"/>
          <w:sz w:val="24"/>
          <w:szCs w:val="24"/>
          <w14:textFill>
            <w14:solidFill>
              <w14:schemeClr w14:val="tx1"/>
            </w14:solidFill>
          </w14:textFill>
        </w:rPr>
      </w:pPr>
      <w:r>
        <w:rPr>
          <w:rFonts w:hint="eastAsia" w:ascii="新宋体" w:hAnsi="新宋体" w:eastAsia="新宋体" w:cs="新宋体"/>
          <w:b w:val="0"/>
          <w:bCs/>
          <w:color w:val="000000" w:themeColor="text1"/>
          <w:sz w:val="24"/>
          <w:szCs w:val="24"/>
          <w14:textFill>
            <w14:solidFill>
              <w14:schemeClr w14:val="tx1"/>
            </w14:solidFill>
          </w14:textFill>
        </w:rPr>
        <w:t>性能参数：</w:t>
      </w:r>
    </w:p>
    <w:tbl>
      <w:tblPr>
        <w:tblStyle w:val="20"/>
        <w:tblW w:w="98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序号</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重复性：对同一样品重复测量时变异系数不超过2%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2</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准确度：在规定的测量范围内相对误差不超过±5%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3</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稳定性：在30分钟内的读值波动不超过满量程值的±1.5%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4</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零点漂移：在30分钟内的读值波动不超过满量程值的±1.5%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5</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温度准确度与波动度：温度值在设定值的±0.3℃内，波动度不超过±0.2℃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6</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样品携带污染率不超过0.5%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1004"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7</w:t>
            </w:r>
          </w:p>
        </w:tc>
        <w:tc>
          <w:tcPr>
            <w:tcW w:w="8835"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加样准确度与重复性：加样准确度误差不超过±5%，变异系数不超过2%</w:t>
            </w:r>
          </w:p>
        </w:tc>
      </w:tr>
    </w:tbl>
    <w:p>
      <w:pPr>
        <w:pStyle w:val="38"/>
        <w:pageBreakBefore w:val="0"/>
        <w:numPr>
          <w:ilvl w:val="0"/>
          <w:numId w:val="16"/>
        </w:numPr>
        <w:kinsoku/>
        <w:wordWrap/>
        <w:overflowPunct/>
        <w:topLinePunct w:val="0"/>
        <w:autoSpaceDE/>
        <w:autoSpaceDN/>
        <w:bidi w:val="0"/>
        <w:spacing w:line="360" w:lineRule="auto"/>
        <w:ind w:firstLineChars="0"/>
        <w:rPr>
          <w:rFonts w:hint="eastAsia" w:ascii="新宋体" w:hAnsi="新宋体" w:eastAsia="新宋体" w:cs="新宋体"/>
          <w:b w:val="0"/>
          <w:bCs/>
          <w:color w:val="000000" w:themeColor="text1"/>
          <w:sz w:val="24"/>
          <w:szCs w:val="24"/>
          <w14:textFill>
            <w14:solidFill>
              <w14:schemeClr w14:val="tx1"/>
            </w14:solidFill>
          </w14:textFill>
        </w:rPr>
      </w:pPr>
      <w:r>
        <w:rPr>
          <w:rFonts w:hint="eastAsia" w:ascii="新宋体" w:hAnsi="新宋体" w:eastAsia="新宋体" w:cs="新宋体"/>
          <w:b w:val="0"/>
          <w:bCs/>
          <w:color w:val="000000" w:themeColor="text1"/>
          <w:sz w:val="24"/>
          <w:szCs w:val="24"/>
          <w14:textFill>
            <w14:solidFill>
              <w14:schemeClr w14:val="tx1"/>
            </w14:solidFill>
          </w14:textFill>
        </w:rPr>
        <w:t>产品特点：</w:t>
      </w:r>
    </w:p>
    <w:tbl>
      <w:tblPr>
        <w:tblStyle w:val="20"/>
        <w:tblW w:w="98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9"/>
        <w:gridCol w:w="8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序号</w:t>
            </w:r>
          </w:p>
        </w:tc>
        <w:tc>
          <w:tcPr>
            <w:tcW w:w="8770"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产品特点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采用先进的散射免疫比浊法，结果准确可靠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2</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全中文操作界面，操作极其简便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3</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智能化信息管理系统，定标、质控、样本测试智能化管理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4</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外接RS232、USB接口，网口等，支持LIS系统连接，足够的数据存储空间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5</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支持外接RS232串口或者USB口的条码扫描仪，实现样本编号的扫描输入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6</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检测灵敏度高，检测范围广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7</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配套试剂特异性及灵敏度强，可避免非特异性反应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8</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样本类型：全血、血清、血浆、尿液等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9</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支持原始采血管直接轨道式进样（选配）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10</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穿刺/开盖模式自由选择，采血管机械臂摇匀，有效避免血沉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11</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支持外接打印机、条码扫描仪、支持双向LIS连接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12</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样本架自动识别样本信息，有序检测样本对应的项目信息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13</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3个专用独立急诊位，支持采血管和末梢血样本进样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14</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可自主定标，符合ISO15189质量控制要求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15</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可检测全程全血C反应蛋白(hsCRP+常规CRP)、血清淀粉样蛋白A(SAA) 、糖化血红蛋白(HbA1c)、尿微量白蛋白(mALB)、D-二聚体等项目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16</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装载50个反应杯，每个反应杯经自动清洗后可重复使用100次，减少操作者劳动强度的同时确保检测准确性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17</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试剂盘带有不间断冷藏功能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18</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试剂类型自动识别，实时提醒试剂状态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1089" w:type="dxa"/>
            <w:vAlign w:val="center"/>
          </w:tcPr>
          <w:p>
            <w:pPr>
              <w:pageBreakBefore w:val="0"/>
              <w:kinsoku/>
              <w:wordWrap/>
              <w:overflowPunct/>
              <w:topLinePunct w:val="0"/>
              <w:autoSpaceDE/>
              <w:autoSpaceDN/>
              <w:bidi w:val="0"/>
              <w:spacing w:line="360" w:lineRule="auto"/>
              <w:jc w:val="center"/>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19</w:t>
            </w:r>
          </w:p>
        </w:tc>
        <w:tc>
          <w:tcPr>
            <w:tcW w:w="8770" w:type="dxa"/>
            <w:vAlign w:val="center"/>
          </w:tcPr>
          <w:p>
            <w:pPr>
              <w:pageBreakBefore w:val="0"/>
              <w:kinsoku/>
              <w:wordWrap/>
              <w:overflowPunct/>
              <w:topLinePunct w:val="0"/>
              <w:autoSpaceDE/>
              <w:autoSpaceDN/>
              <w:bidi w:val="0"/>
              <w:spacing w:line="360" w:lineRule="auto"/>
              <w:rPr>
                <w:rFonts w:hint="eastAsia" w:ascii="新宋体" w:hAnsi="新宋体" w:eastAsia="新宋体" w:cs="新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color w:val="000000" w:themeColor="text1"/>
                <w:kern w:val="0"/>
                <w:sz w:val="24"/>
                <w:szCs w:val="24"/>
                <w14:textFill>
                  <w14:solidFill>
                    <w14:schemeClr w14:val="tx1"/>
                  </w14:solidFill>
                </w14:textFill>
              </w:rPr>
              <w:t>仪器提供10年免费保修服务，全国多地设有厂家专业售后服务网点</w:t>
            </w:r>
          </w:p>
        </w:tc>
      </w:tr>
    </w:tbl>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lang w:val="en-US" w:eastAsia="zh-CN"/>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kern w:val="0"/>
          <w:sz w:val="24"/>
          <w:szCs w:val="24"/>
          <w:lang w:val="en-US" w:eastAsia="zh-CN"/>
        </w:rPr>
      </w:pPr>
      <w:r>
        <w:rPr>
          <w:rFonts w:hint="eastAsia" w:ascii="新宋体" w:hAnsi="新宋体" w:eastAsia="新宋体" w:cs="新宋体"/>
          <w:b/>
          <w:bCs w:val="0"/>
          <w:kern w:val="0"/>
          <w:sz w:val="24"/>
          <w:szCs w:val="24"/>
          <w:lang w:val="en-US" w:eastAsia="zh-CN"/>
        </w:rPr>
        <w:t>21.空调</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质保年限-六年质保</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面板材质-普通塑料</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电压/频率-220V/50Hz</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制冷剂-R32</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功能内机噪音(dB(A)-18</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变频</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循环风量(m3/h)-620m3/h</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能效等级-三级能效</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外机噪音(dB(A)-50</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制热功率(W)-1150+1050</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制冷功率(W)-730</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产品匹数-1匹</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冷暖</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睡眠模式</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按键调节</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扫风方式-上下扫风</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rPr>
        <w:t xml:space="preserve">制冷量(W)-2600W </w:t>
      </w:r>
    </w:p>
    <w:p>
      <w:pPr>
        <w:pageBreakBefore w:val="0"/>
        <w:kinsoku/>
        <w:wordWrap/>
        <w:overflowPunct/>
        <w:topLinePunct w:val="0"/>
        <w:autoSpaceDE/>
        <w:autoSpaceDN/>
        <w:bidi w:val="0"/>
        <w:spacing w:line="360" w:lineRule="auto"/>
        <w:rPr>
          <w:rFonts w:hint="eastAsia" w:ascii="新宋体" w:hAnsi="新宋体" w:eastAsia="新宋体" w:cs="新宋体"/>
          <w:b w:val="0"/>
          <w:bCs/>
          <w:kern w:val="0"/>
          <w:sz w:val="24"/>
          <w:szCs w:val="24"/>
        </w:rPr>
      </w:pPr>
    </w:p>
    <w:p>
      <w:pPr>
        <w:pageBreakBefore w:val="0"/>
        <w:kinsoku/>
        <w:wordWrap/>
        <w:overflowPunct/>
        <w:topLinePunct w:val="0"/>
        <w:autoSpaceDE/>
        <w:autoSpaceDN/>
        <w:bidi w:val="0"/>
        <w:spacing w:line="360" w:lineRule="auto"/>
        <w:jc w:val="center"/>
        <w:rPr>
          <w:rFonts w:hint="eastAsia" w:ascii="新宋体" w:hAnsi="新宋体" w:eastAsia="新宋体" w:cs="新宋体"/>
          <w:b/>
          <w:bCs w:val="0"/>
          <w:kern w:val="0"/>
          <w:sz w:val="24"/>
          <w:szCs w:val="24"/>
          <w:lang w:val="en-US" w:eastAsia="zh-CN"/>
        </w:rPr>
      </w:pPr>
      <w:r>
        <w:rPr>
          <w:rFonts w:hint="eastAsia" w:ascii="新宋体" w:hAnsi="新宋体" w:eastAsia="新宋体" w:cs="新宋体"/>
          <w:b/>
          <w:bCs w:val="0"/>
          <w:kern w:val="0"/>
          <w:sz w:val="24"/>
          <w:szCs w:val="24"/>
          <w:lang w:val="en-US" w:eastAsia="zh-CN"/>
        </w:rPr>
        <w:t>22.全自动雾化空气消毒机</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 xml:space="preserve"> 1、工作电源：AC220V，50Hz。</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2、功率：2000W。</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3、外观：304不锈钢支架，一体304不锈钢外壳。</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4、空气流量：≥20m3/h。</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5、有效灭菌空间：500m3。</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▲6、注射速率：1～10g/min。</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7、功能：过氧化氢浓度检测功能，高效过滤功能。</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8、灭菌剂：35%食品级过氧化氢溶液。</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9、杀灭率：对嗜热脂肪芽胞的杀灭能力达到100%。</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10、工作方式：连续工作。</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▲11、工作模式：直接喷射、管道循环双模式。</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12、参考外形尺寸：约400mm×400mm×970mm（长×宽×高）。</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13、参考重量：约45kg。</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14、操作方式：内置屏幕和无线平板操作</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15、系统：采用可编程控制器（PLC）进行模块化控制，并配备有触摸屏作为本地的HMI，用以对该系统进行现场操作和关键参数显示、记录。</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16、控制：配有密码保护，只允许经授权的人员进行灭菌操作、参数设定等相关操作，可控制灭菌阶段的灭菌时间、过氧化氢注射速率等参数，能记录并打印灭菌参数，设备具有报警提示功能，以便于程序运行结束时提醒操作人员。</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▲17、自带智能计算药液剩余量和远程操控的功能。</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▲18、产品具备卫计委出具的安全评价报告及省级以上疾病预防控制中心消毒效果检测报告。</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19、提供消毒产品生产企业卫生许可证。</w:t>
      </w:r>
    </w:p>
    <w:p>
      <w:pPr>
        <w:pageBreakBefore w:val="0"/>
        <w:kinsoku/>
        <w:wordWrap/>
        <w:overflowPunct/>
        <w:topLinePunct w:val="0"/>
        <w:autoSpaceDE/>
        <w:autoSpaceDN/>
        <w:bidi w:val="0"/>
        <w:spacing w:line="360" w:lineRule="auto"/>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▲20、企业ISO9001认证证书。</w:t>
      </w:r>
    </w:p>
    <w:p>
      <w:pPr>
        <w:pStyle w:val="2"/>
        <w:jc w:val="both"/>
        <w:rPr>
          <w:rFonts w:hint="eastAsia" w:ascii="楷体" w:hAnsi="楷体" w:eastAsia="楷体" w:cs="楷体"/>
          <w:b/>
          <w:bCs w:val="0"/>
          <w:kern w:val="0"/>
          <w:sz w:val="28"/>
          <w:szCs w:val="28"/>
          <w:lang w:val="en-US" w:eastAsia="zh-CN" w:bidi="ar-SA"/>
        </w:rPr>
      </w:pPr>
    </w:p>
    <w:p>
      <w:pPr>
        <w:pStyle w:val="2"/>
        <w:jc w:val="center"/>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23.信息化系统</w:t>
      </w:r>
    </w:p>
    <w:tbl>
      <w:tblPr>
        <w:tblStyle w:val="19"/>
        <w:tblW w:w="8627" w:type="dxa"/>
        <w:tblInd w:w="0" w:type="dxa"/>
        <w:shd w:val="clear" w:color="auto" w:fill="auto"/>
        <w:tblLayout w:type="fixed"/>
        <w:tblCellMar>
          <w:top w:w="0" w:type="dxa"/>
          <w:left w:w="0" w:type="dxa"/>
          <w:bottom w:w="0" w:type="dxa"/>
          <w:right w:w="0" w:type="dxa"/>
        </w:tblCellMar>
      </w:tblPr>
      <w:tblGrid>
        <w:gridCol w:w="496"/>
        <w:gridCol w:w="115"/>
        <w:gridCol w:w="1240"/>
        <w:gridCol w:w="395"/>
        <w:gridCol w:w="1016"/>
        <w:gridCol w:w="124"/>
        <w:gridCol w:w="1980"/>
        <w:gridCol w:w="585"/>
        <w:gridCol w:w="196"/>
        <w:gridCol w:w="761"/>
        <w:gridCol w:w="522"/>
        <w:gridCol w:w="770"/>
        <w:gridCol w:w="427"/>
      </w:tblGrid>
      <w:tr>
        <w:tblPrEx>
          <w:shd w:val="clear" w:color="auto" w:fill="auto"/>
          <w:tblLayout w:type="fixed"/>
          <w:tblCellMar>
            <w:top w:w="0" w:type="dxa"/>
            <w:left w:w="0" w:type="dxa"/>
            <w:bottom w:w="0" w:type="dxa"/>
            <w:right w:w="0" w:type="dxa"/>
          </w:tblCellMar>
        </w:tblPrEx>
        <w:trPr>
          <w:gridAfter w:val="1"/>
          <w:wAfter w:w="427" w:type="dxa"/>
          <w:trHeight w:val="405" w:hRule="atLeast"/>
        </w:trPr>
        <w:tc>
          <w:tcPr>
            <w:tcW w:w="8200" w:type="dxa"/>
            <w:gridSpan w:val="12"/>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综合布线</w:t>
            </w:r>
          </w:p>
        </w:tc>
      </w:tr>
      <w:tr>
        <w:tblPrEx>
          <w:tblLayout w:type="fixed"/>
          <w:tblCellMar>
            <w:top w:w="0" w:type="dxa"/>
            <w:left w:w="0" w:type="dxa"/>
            <w:bottom w:w="0" w:type="dxa"/>
            <w:right w:w="0" w:type="dxa"/>
          </w:tblCellMar>
        </w:tblPrEx>
        <w:trPr>
          <w:gridAfter w:val="1"/>
          <w:wAfter w:w="427" w:type="dxa"/>
          <w:trHeight w:val="405"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4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28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292"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gridAfter w:val="1"/>
          <w:wAfter w:w="427" w:type="dxa"/>
          <w:trHeight w:val="31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2"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427"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六类非屏蔽模块（数据）</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H-T6050</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UTP Cat.6 六类4对RJ45非屏蔽插座模块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r>
      <w:tr>
        <w:tblPrEx>
          <w:tblLayout w:type="fixed"/>
          <w:tblCellMar>
            <w:top w:w="0" w:type="dxa"/>
            <w:left w:w="0" w:type="dxa"/>
            <w:bottom w:w="0" w:type="dxa"/>
            <w:right w:w="0" w:type="dxa"/>
          </w:tblCellMar>
        </w:tblPrEx>
        <w:trPr>
          <w:gridAfter w:val="1"/>
          <w:wAfter w:w="427" w:type="dxa"/>
          <w:trHeight w:val="7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H-W650</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UTP Cat.6六类4对非屏蔽双绞线，PVC护套，305米/箱，敷设方式综合考虑</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7680</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网络配线架</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H-P600Y-24P</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24口，含模块，19英寸</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理线架</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H-L355-12</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1U，19英寸</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110配线架</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H-T3100</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100对110型配线架，含模块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电话跳线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H-YT45D1-1</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RJ45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六类水晶头</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H-S6030</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六类非屏蔽水晶头（100个/盒）</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盒</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r>
      <w:tr>
        <w:tblPrEx>
          <w:tblLayout w:type="fixed"/>
          <w:tblCellMar>
            <w:top w:w="0" w:type="dxa"/>
            <w:left w:w="0" w:type="dxa"/>
            <w:bottom w:w="0" w:type="dxa"/>
            <w:right w:w="0" w:type="dxa"/>
          </w:tblCellMar>
        </w:tblPrEx>
        <w:trPr>
          <w:gridAfter w:val="1"/>
          <w:wAfter w:w="427" w:type="dxa"/>
          <w:trHeight w:val="7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大对数线缆</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H-W300-50</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UTP Cat.3三类50对非屏大对数电缆，PVC护套，敷设方式综合考虑</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r>
      <w:tr>
        <w:tblPrEx>
          <w:tblLayout w:type="fixed"/>
          <w:tblCellMar>
            <w:top w:w="0" w:type="dxa"/>
            <w:left w:w="0" w:type="dxa"/>
            <w:bottom w:w="0" w:type="dxa"/>
            <w:right w:w="0" w:type="dxa"/>
          </w:tblCellMar>
        </w:tblPrEx>
        <w:trPr>
          <w:gridAfter w:val="1"/>
          <w:wAfter w:w="427" w:type="dxa"/>
          <w:trHeight w:val="7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双口面板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H-T356-2P</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双口86型信息面板，86x86mm，带防尘盖，瓷白色</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单口面板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H-T356-1P</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单口86型信息面板，86x86mm，带防尘盖，瓷白色</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底盒</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86x86mm金属底盒，暗装</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网络跳线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H-WT650-1</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Cat.6 4对非屏蔽多股跳线，1米</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网络跳线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H-WT650-3</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Cat.6 4对非屏蔽多股跳线，3米</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网络机柜</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HD-6842</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42U,600*800机柜，前后网孔门，带10位万用电源插座带防雷</w:t>
            </w:r>
          </w:p>
        </w:tc>
        <w:tc>
          <w:tcPr>
            <w:tcW w:w="7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光缆</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HD-GSN-24B</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24芯单模室内光缆</w:t>
            </w:r>
          </w:p>
        </w:tc>
        <w:tc>
          <w:tcPr>
            <w:tcW w:w="7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机架式熔接盒</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HD-J63-24</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24口机架式光纤熔接盒(含偶合器、法兰盘)</w:t>
            </w:r>
          </w:p>
        </w:tc>
        <w:tc>
          <w:tcPr>
            <w:tcW w:w="7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套</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光纤熔接</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弱电井和机房光纤熔接</w:t>
            </w:r>
          </w:p>
        </w:tc>
        <w:tc>
          <w:tcPr>
            <w:tcW w:w="7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芯</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光纤尾纤</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1.5米</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r>
      <w:tr>
        <w:tblPrEx>
          <w:tblLayout w:type="fixed"/>
          <w:tblCellMar>
            <w:top w:w="0" w:type="dxa"/>
            <w:left w:w="0" w:type="dxa"/>
            <w:bottom w:w="0" w:type="dxa"/>
            <w:right w:w="0" w:type="dxa"/>
          </w:tblCellMar>
        </w:tblPrEx>
        <w:trPr>
          <w:gridAfter w:val="1"/>
          <w:wAfter w:w="427" w:type="dxa"/>
          <w:trHeight w:val="32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光纤跳线</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3米</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r>
      <w:tr>
        <w:tblPrEx>
          <w:tblLayout w:type="fixed"/>
          <w:tblCellMar>
            <w:top w:w="0" w:type="dxa"/>
            <w:left w:w="0" w:type="dxa"/>
            <w:bottom w:w="0" w:type="dxa"/>
            <w:right w:w="0" w:type="dxa"/>
          </w:tblCellMar>
        </w:tblPrEx>
        <w:trPr>
          <w:gridAfter w:val="1"/>
          <w:wAfter w:w="427" w:type="dxa"/>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桥架200*100</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定制</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200*100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r>
      <w:tr>
        <w:tblPrEx>
          <w:tblLayout w:type="fixed"/>
          <w:tblCellMar>
            <w:top w:w="0" w:type="dxa"/>
            <w:left w:w="0" w:type="dxa"/>
            <w:bottom w:w="0" w:type="dxa"/>
            <w:right w:w="0" w:type="dxa"/>
          </w:tblCellMar>
        </w:tblPrEx>
        <w:trPr>
          <w:gridAfter w:val="1"/>
          <w:wAfter w:w="427" w:type="dxa"/>
          <w:trHeight w:val="3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桥架支架</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定制</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含螺杆(10mm)，螺丝螺帽,连接板、接地跨接线等配件制作安装</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套</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r>
      <w:tr>
        <w:tblPrEx>
          <w:tblLayout w:type="fixed"/>
          <w:tblCellMar>
            <w:top w:w="0" w:type="dxa"/>
            <w:left w:w="0" w:type="dxa"/>
            <w:bottom w:w="0" w:type="dxa"/>
            <w:right w:w="0" w:type="dxa"/>
          </w:tblCellMar>
        </w:tblPrEx>
        <w:trPr>
          <w:gridAfter w:val="1"/>
          <w:wAfter w:w="427" w:type="dxa"/>
          <w:trHeight w:val="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穿线管</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φ20</w:t>
            </w: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PVC20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r>
      <w:tr>
        <w:tblPrEx>
          <w:tblLayout w:type="fixed"/>
          <w:tblCellMar>
            <w:top w:w="0" w:type="dxa"/>
            <w:left w:w="0" w:type="dxa"/>
            <w:bottom w:w="0" w:type="dxa"/>
            <w:right w:w="0" w:type="dxa"/>
          </w:tblCellMar>
        </w:tblPrEx>
        <w:trPr>
          <w:gridAfter w:val="1"/>
          <w:wAfter w:w="427" w:type="dxa"/>
          <w:trHeight w:val="29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安装调试费</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r>
      <w:tr>
        <w:tblPrEx>
          <w:tblLayout w:type="fixed"/>
          <w:tblCellMar>
            <w:top w:w="0" w:type="dxa"/>
            <w:left w:w="0" w:type="dxa"/>
            <w:bottom w:w="0" w:type="dxa"/>
            <w:right w:w="0" w:type="dxa"/>
          </w:tblCellMar>
        </w:tblPrEx>
        <w:trPr>
          <w:gridAfter w:val="1"/>
          <w:wAfter w:w="427" w:type="dxa"/>
          <w:trHeight w:val="405" w:hRule="atLeast"/>
        </w:trPr>
        <w:tc>
          <w:tcPr>
            <w:tcW w:w="8200" w:type="dxa"/>
            <w:gridSpan w:val="1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计算机网络</w:t>
            </w:r>
          </w:p>
        </w:tc>
      </w:tr>
      <w:tr>
        <w:tblPrEx>
          <w:tblLayout w:type="fixed"/>
          <w:tblCellMar>
            <w:top w:w="0" w:type="dxa"/>
            <w:left w:w="0" w:type="dxa"/>
            <w:bottom w:w="0" w:type="dxa"/>
            <w:right w:w="0" w:type="dxa"/>
          </w:tblCellMar>
        </w:tblPrEx>
        <w:trPr>
          <w:gridAfter w:val="1"/>
          <w:wAfter w:w="427" w:type="dxa"/>
          <w:trHeight w:val="240" w:hRule="atLeast"/>
        </w:trPr>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2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gridAfter w:val="1"/>
          <w:wAfter w:w="427" w:type="dxa"/>
          <w:trHeight w:val="260" w:hRule="atLeast"/>
        </w:trPr>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427" w:type="dxa"/>
          <w:trHeight w:val="405" w:hRule="atLeast"/>
        </w:trPr>
        <w:tc>
          <w:tcPr>
            <w:tcW w:w="8200" w:type="dxa"/>
            <w:gridSpan w:val="12"/>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一、网络设备</w:t>
            </w:r>
          </w:p>
        </w:tc>
      </w:tr>
      <w:tr>
        <w:tblPrEx>
          <w:tblLayout w:type="fixed"/>
          <w:tblCellMar>
            <w:top w:w="0" w:type="dxa"/>
            <w:left w:w="0" w:type="dxa"/>
            <w:bottom w:w="0" w:type="dxa"/>
            <w:right w:w="0" w:type="dxa"/>
          </w:tblCellMar>
        </w:tblPrEx>
        <w:trPr>
          <w:gridAfter w:val="1"/>
          <w:wAfter w:w="427" w:type="dxa"/>
          <w:trHeight w:val="620" w:hRule="atLeast"/>
        </w:trPr>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万兆单模光模块</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SFP+-10G</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万兆LC接口模块（1310nm），10km，SFP+接口</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块</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r>
      <w:tr>
        <w:tblPrEx>
          <w:tblLayout w:type="fixed"/>
          <w:tblCellMar>
            <w:top w:w="0" w:type="dxa"/>
            <w:left w:w="0" w:type="dxa"/>
            <w:bottom w:w="0" w:type="dxa"/>
            <w:right w:w="0" w:type="dxa"/>
          </w:tblCellMar>
        </w:tblPrEx>
        <w:trPr>
          <w:gridAfter w:val="1"/>
          <w:wAfter w:w="427" w:type="dxa"/>
          <w:trHeight w:val="620" w:hRule="atLeast"/>
        </w:trPr>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千兆单模光模块</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eSFP-GE</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1000BASE-LX mini GBIC转换模块（1310nm）</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块</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r>
      <w:tr>
        <w:tblPrEx>
          <w:tblLayout w:type="fixed"/>
          <w:tblCellMar>
            <w:top w:w="0" w:type="dxa"/>
            <w:left w:w="0" w:type="dxa"/>
            <w:bottom w:w="0" w:type="dxa"/>
            <w:right w:w="0" w:type="dxa"/>
          </w:tblCellMar>
        </w:tblPrEx>
        <w:trPr>
          <w:gridAfter w:val="1"/>
          <w:wAfter w:w="427" w:type="dxa"/>
          <w:trHeight w:val="940" w:hRule="atLeast"/>
        </w:trPr>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 </w:t>
            </w:r>
          </w:p>
        </w:tc>
        <w:tc>
          <w:tcPr>
            <w:tcW w:w="16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接入交换机24口</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S5720-28X-LI-AC</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(24个10/100/1000Base-T以太网端口,4个万兆SFP+,交流供电)</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r>
      <w:tr>
        <w:tblPrEx>
          <w:tblLayout w:type="fixed"/>
          <w:tblCellMar>
            <w:top w:w="0" w:type="dxa"/>
            <w:left w:w="0" w:type="dxa"/>
            <w:bottom w:w="0" w:type="dxa"/>
            <w:right w:w="0" w:type="dxa"/>
          </w:tblCellMar>
        </w:tblPrEx>
        <w:trPr>
          <w:gridAfter w:val="1"/>
          <w:wAfter w:w="427" w:type="dxa"/>
          <w:trHeight w:val="1040" w:hRule="atLeast"/>
        </w:trPr>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24口POE交换机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S5720-28P-PWR-LI-AC</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24个10/100/1000Base-T以太网端口,4个万兆SFP+,PoE+,370W POE交流供电)</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r>
      <w:tr>
        <w:tblPrEx>
          <w:tblLayout w:type="fixed"/>
          <w:tblCellMar>
            <w:top w:w="0" w:type="dxa"/>
            <w:left w:w="0" w:type="dxa"/>
            <w:bottom w:w="0" w:type="dxa"/>
            <w:right w:w="0" w:type="dxa"/>
          </w:tblCellMar>
        </w:tblPrEx>
        <w:trPr>
          <w:trHeight w:val="450" w:hRule="atLeast"/>
        </w:trPr>
        <w:tc>
          <w:tcPr>
            <w:tcW w:w="8627" w:type="dxa"/>
            <w:gridSpan w:val="13"/>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0"/>
                <w:szCs w:val="20"/>
                <w:u w:val="none"/>
                <w:lang w:val="en-US" w:eastAsia="zh-CN" w:bidi="ar"/>
              </w:rPr>
              <w:t>医患对讲系统</w:t>
            </w:r>
          </w:p>
        </w:tc>
      </w:tr>
      <w:tr>
        <w:tblPrEx>
          <w:tblLayout w:type="fixed"/>
          <w:tblCellMar>
            <w:top w:w="0" w:type="dxa"/>
            <w:left w:w="0" w:type="dxa"/>
            <w:bottom w:w="0" w:type="dxa"/>
            <w:right w:w="0" w:type="dxa"/>
          </w:tblCellMar>
        </w:tblPrEx>
        <w:trPr>
          <w:trHeight w:val="270" w:hRule="atLeast"/>
        </w:trPr>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14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197"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270" w:hRule="atLeast"/>
        </w:trPr>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97"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病床分机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LED7-A64M-T</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尺寸 7寸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1024 x600 (16:9)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喇叭 8Ω、0.5W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音频接口 2个mic 外接电容式麦克风，一个内置，一个外接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外形：16:9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材质：塑胶前、后壳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安装：横挂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视频接口 Ｍicro USB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数据接口 Ｍicro USB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颜色搭配 标配：白色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其他颜色：可定制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通信接口 Ethernet: 10/100Mbps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扩展(WIFI、4G)，蓝牙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CPU：64位，四核AEM Cortex A53，1.3GHZ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1GB，1333MHz，DDR3L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显示屏  RGB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外存   EMMC5.0,8GB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系统：Android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音频格式 MP3,WMA,WAV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AAC,AC-3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视频格式 MP4  avi mpg1/2/3  mkv flv mov wmv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图片格式 JPG, JPEG, GIF, BMP, PNG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整机额定功率 ≤10W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屏显比例 16：9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待机功率 ≤1W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 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亮度 250cd/m²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响应时间 3.5ms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触摸方式：电容；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输入方法：手指，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接触面积大于5mm；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触摸次数：不受限制；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透光度：≥95% 最高100%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色域 68%(NTSC)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视角 U/D/R/L(CR＞10):80/80/85/85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屏寿命 大于50000小时</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门口机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LED-10-A64S-B</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 10寸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1366 x768 (16:9)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 （长×高×厚） 262*179*26(mm)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喇叭 8Ω、5W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音频接口 Earphone-out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外形：16:9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材质：塑胶前、后壳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安装：横挂、竖挂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视频接口 Out-HDMI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数据接口 Ｍicro USB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USB-MINI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通信接口 Ethernet: 10/100Mbps、扩展(WIFI、4G)，蓝牙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电路方案 机芯 A64P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CPU：64位四核Cortex A53，1.3GHZ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2 x 16bit，1GB，1333MHz，DDR3L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   LVDS驱动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外存   EMMC5.0：8GByte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系统   Android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音频格式 MP3,WMA,WAV ,AAC,AC-3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视频格式 MP4  avi mpg1/2/3  mkv flv mov wmv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整机额定功率 ≤10W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屏显比例 16：9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待机功率 ≤1W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分辨率 1366 x768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 220V 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门灯尺寸：262*232*26(mm)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亮度 200cd/m²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响应时间 3.5ms 触摸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屏色数 16.7M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电容触摸，手指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色域 68%(NTSC)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触摸次数 不爱限制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视角 U/D/R/L(CR＞10):80/80/85/85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透光度 ≥95% 最高100%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屏寿命 大于50000小时</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双面中文显示屏</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EC-DL25-100</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点间距：4.75 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点密度：44321点/㎡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单元板尺寸：304mm×152mm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单元板点数：64点×32点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像素组成：1红1绿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亮度：300cd/m2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峰值功耗：600W/m2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屏体重量：30kg/m2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最佳视距：≥6m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驱动方式：1/16 扫描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视角：水平、垂直± 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工作电压：AC 220V ± 10%， 50HZ ± 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工作环境温度：0℃ ～ 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工作环境湿度：10%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失控点  ：≤ 万分之二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使用寿命：≥ 10万小时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平均无障碍时间：＞25000小时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安装方式：挂装、吊装、座装、支架、镶嵌等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平整度  整屏：±1mm  模组间的拼缝：＜1mm＞</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卫生间紧急按钮</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EC-T2</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外观尺寸 86 x 86 x 40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通讯接口 RJ45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功率（W） ≤0.125W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 DC 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 拉绳、防水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安装方式 标准86盒安装方式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使用寿命 ＞5000次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工作时间 可7x24小时不间断工作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面板 亚克力触摸式或按键式</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专用电源</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EC-321</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安装方式 病房治疗带上壁挂安装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外部接口数量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外部接口规格 RJ45网络接口，10/100M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卫生间接口数量 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卫生间接口规格 RJ45接口，建议B类网线连接。带供电输出。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门灯接口数量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门灯接口规格 RJ45接口，建议B类网线连接。带供电输出。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扩展IP接口数量 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扩展IP接口规格 RJ45网络接口，10/100M，支持POE供电，POE输出12V1A。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治疗带开孔尺寸 140 X 76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外观尺寸 160 X 80 X 15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供电方式 12V/4A 外置电源适配器，内藏治疗带安装。</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单键呼叫手柄</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EC-H</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一个红色呼叫\取消键，材质：医用塑料、线缆：六芯专用线缆，冷压接线端子头、1.5m(最大张力)；50cm(悬挂时)、</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UTPCat.6六类4对非屏蔽双绞线</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RVV2*2.5mm2 </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穿线管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φ20</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PVC20</w:t>
            </w: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0" w:hRule="atLeast"/>
        </w:trPr>
        <w:tc>
          <w:tcPr>
            <w:tcW w:w="6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技术服务费</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
    <w:p/>
    <w:p/>
    <w:tbl>
      <w:tblPr>
        <w:tblStyle w:val="19"/>
        <w:tblW w:w="8512" w:type="dxa"/>
        <w:tblInd w:w="0" w:type="dxa"/>
        <w:shd w:val="clear" w:color="auto" w:fill="auto"/>
        <w:tblLayout w:type="fixed"/>
        <w:tblCellMar>
          <w:top w:w="0" w:type="dxa"/>
          <w:left w:w="0" w:type="dxa"/>
          <w:bottom w:w="0" w:type="dxa"/>
          <w:right w:w="0" w:type="dxa"/>
        </w:tblCellMar>
      </w:tblPr>
      <w:tblGrid>
        <w:gridCol w:w="579"/>
        <w:gridCol w:w="1391"/>
        <w:gridCol w:w="1550"/>
        <w:gridCol w:w="1874"/>
        <w:gridCol w:w="558"/>
        <w:gridCol w:w="2560"/>
      </w:tblGrid>
      <w:tr>
        <w:tblPrEx>
          <w:shd w:val="clear" w:color="auto" w:fill="auto"/>
          <w:tblLayout w:type="fixed"/>
          <w:tblCellMar>
            <w:top w:w="0" w:type="dxa"/>
            <w:left w:w="0" w:type="dxa"/>
            <w:bottom w:w="0" w:type="dxa"/>
            <w:right w:w="0" w:type="dxa"/>
          </w:tblCellMar>
        </w:tblPrEx>
        <w:trPr>
          <w:trHeight w:val="405" w:hRule="atLeast"/>
        </w:trPr>
        <w:tc>
          <w:tcPr>
            <w:tcW w:w="851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计算机网络</w:t>
            </w:r>
          </w:p>
        </w:tc>
      </w:tr>
      <w:tr>
        <w:tblPrEx>
          <w:tblLayout w:type="fixed"/>
          <w:tblCellMar>
            <w:top w:w="0" w:type="dxa"/>
            <w:left w:w="0" w:type="dxa"/>
            <w:bottom w:w="0" w:type="dxa"/>
            <w:right w:w="0" w:type="dxa"/>
          </w:tblCellMar>
        </w:tblPrEx>
        <w:trPr>
          <w:trHeight w:val="24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26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5" w:hRule="atLeast"/>
        </w:trPr>
        <w:tc>
          <w:tcPr>
            <w:tcW w:w="8512" w:type="dxa"/>
            <w:gridSpan w:val="6"/>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一、网络设备</w:t>
            </w:r>
          </w:p>
        </w:tc>
      </w:tr>
      <w:tr>
        <w:tblPrEx>
          <w:tblLayout w:type="fixed"/>
          <w:tblCellMar>
            <w:top w:w="0" w:type="dxa"/>
            <w:left w:w="0" w:type="dxa"/>
            <w:bottom w:w="0" w:type="dxa"/>
            <w:right w:w="0" w:type="dxa"/>
          </w:tblCellMar>
        </w:tblPrEx>
        <w:trPr>
          <w:trHeight w:val="6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13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万兆单模光模块</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SFP+-10G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万兆LC接口模块（1310nm），10km，SFP+接口</w:t>
            </w:r>
          </w:p>
        </w:tc>
        <w:tc>
          <w:tcPr>
            <w:tcW w:w="5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块</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r>
      <w:tr>
        <w:tblPrEx>
          <w:tblLayout w:type="fixed"/>
          <w:tblCellMar>
            <w:top w:w="0" w:type="dxa"/>
            <w:left w:w="0" w:type="dxa"/>
            <w:bottom w:w="0" w:type="dxa"/>
            <w:right w:w="0" w:type="dxa"/>
          </w:tblCellMar>
        </w:tblPrEx>
        <w:trPr>
          <w:trHeight w:val="6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13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千兆单模光模块</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eSFP-GE</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1000BASE-LX mini GBIC转换模块（1310nm）</w:t>
            </w:r>
          </w:p>
        </w:tc>
        <w:tc>
          <w:tcPr>
            <w:tcW w:w="5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块</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r>
      <w:tr>
        <w:tblPrEx>
          <w:tblLayout w:type="fixed"/>
          <w:tblCellMar>
            <w:top w:w="0" w:type="dxa"/>
            <w:left w:w="0" w:type="dxa"/>
            <w:bottom w:w="0" w:type="dxa"/>
            <w:right w:w="0" w:type="dxa"/>
          </w:tblCellMar>
        </w:tblPrEx>
        <w:trPr>
          <w:trHeight w:val="9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 </w:t>
            </w:r>
          </w:p>
        </w:tc>
        <w:tc>
          <w:tcPr>
            <w:tcW w:w="13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接入交换机24口</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S5720-28X-LI-AC</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(24个10/100/1000Base-T以太网端口,4个万兆SFP+,交流供电)</w:t>
            </w:r>
          </w:p>
        </w:tc>
        <w:tc>
          <w:tcPr>
            <w:tcW w:w="5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r>
      <w:tr>
        <w:tblPrEx>
          <w:tblLayout w:type="fixed"/>
          <w:tblCellMar>
            <w:top w:w="0" w:type="dxa"/>
            <w:left w:w="0" w:type="dxa"/>
            <w:bottom w:w="0" w:type="dxa"/>
            <w:right w:w="0" w:type="dxa"/>
          </w:tblCellMar>
        </w:tblPrEx>
        <w:trPr>
          <w:trHeight w:val="10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 </w:t>
            </w:r>
          </w:p>
        </w:tc>
        <w:tc>
          <w:tcPr>
            <w:tcW w:w="1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24口POE交换机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S5720-28P-PWR-LI-AC</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24个10/100/1000Base-T以太网端口,4个万兆SFP+,PoE+,370W POE交流供电)</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r>
    </w:tbl>
    <w:p/>
    <w:tbl>
      <w:tblPr>
        <w:tblStyle w:val="19"/>
        <w:tblW w:w="8443" w:type="dxa"/>
        <w:tblInd w:w="0" w:type="dxa"/>
        <w:shd w:val="clear" w:color="auto" w:fill="auto"/>
        <w:tblLayout w:type="fixed"/>
        <w:tblCellMar>
          <w:top w:w="0" w:type="dxa"/>
          <w:left w:w="0" w:type="dxa"/>
          <w:bottom w:w="0" w:type="dxa"/>
          <w:right w:w="0" w:type="dxa"/>
        </w:tblCellMar>
      </w:tblPr>
      <w:tblGrid>
        <w:gridCol w:w="444"/>
        <w:gridCol w:w="1510"/>
        <w:gridCol w:w="1308"/>
        <w:gridCol w:w="3335"/>
        <w:gridCol w:w="842"/>
        <w:gridCol w:w="1004"/>
      </w:tblGrid>
      <w:tr>
        <w:tblPrEx>
          <w:shd w:val="clear" w:color="auto" w:fill="auto"/>
          <w:tblLayout w:type="fixed"/>
          <w:tblCellMar>
            <w:top w:w="0" w:type="dxa"/>
            <w:left w:w="0" w:type="dxa"/>
            <w:bottom w:w="0" w:type="dxa"/>
            <w:right w:w="0" w:type="dxa"/>
          </w:tblCellMar>
        </w:tblPrEx>
        <w:trPr>
          <w:trHeight w:val="450" w:hRule="atLeast"/>
        </w:trPr>
        <w:tc>
          <w:tcPr>
            <w:tcW w:w="8443" w:type="dxa"/>
            <w:gridSpan w:val="6"/>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0"/>
                <w:szCs w:val="20"/>
                <w:u w:val="none"/>
                <w:lang w:val="en-US" w:eastAsia="zh-CN" w:bidi="ar"/>
              </w:rPr>
              <w:t>医患对讲系统</w:t>
            </w:r>
          </w:p>
        </w:tc>
      </w:tr>
      <w:tr>
        <w:tblPrEx>
          <w:tblLayout w:type="fixed"/>
          <w:tblCellMar>
            <w:top w:w="0" w:type="dxa"/>
            <w:left w:w="0" w:type="dxa"/>
            <w:bottom w:w="0" w:type="dxa"/>
            <w:right w:w="0" w:type="dxa"/>
          </w:tblCellMar>
        </w:tblPrEx>
        <w:trPr>
          <w:trHeight w:val="270"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3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0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27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病床分机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LED7-A64M-T</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尺寸 7寸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分辨率 1024 x600 (16:9)</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喇叭 8Ω、0.5W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音频接口 2个mic 外接电容式麦克风，一个内置，一个外接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外形：16:9</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材质：塑胶前、后壳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安装：横挂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视频接口 Ｍicro USB</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数据接口 Ｍicro USB</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颜色搭配 标配：白色</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其他颜色：可定制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通信接口 Ethernet: 10/100Mbps</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扩展(WIFI、4G)，蓝牙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CPU：64位，四核AEM Cortex A53，1.3GHZ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内存： 1GB，1333MHz，DDR3L</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显示屏  RGB</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外存   EMMC5.0,8GB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系统：Android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音频格式 MP3,WMA,WAV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AAC,AC-3</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视频格式 MP4  avi mpg1/2/3  mkv flv mov wmv</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图片格式 JPG, JPEG, GIF, BMP, PNG</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整机额定功率 ≤10W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屏显比例 16：9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待机功率 ≤1W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工作电压 220V 50Hz</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亮度 250cd/m²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响应时间 3.5ms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触摸方式：电容；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输入方法：手指，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接触面积大于5mm；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触摸次数：不受限制；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透光度：≥95% 最高100%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色域 68%(NTSC)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视角 U/D/R/L(CR＞10):80/80/85/85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屏寿命 大于50000小时</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门口机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LED-10-A64S-B</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尺寸 10寸</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分辨率 1366 x768 (16:9)</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尺寸 （长×高×厚） 262*179*26(mm)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喇叭 8Ω、5W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音频接口 Earphone-out</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外形：16:9</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材质：塑胶前、后壳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安装：横挂、竖挂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视频接口 Out-HDMI</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数据接口 Ｍicro USB</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USB-MINI</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通信接口 Ethernet: 10/100Mbps、扩展(WIFI、4G)，蓝牙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电路方案 机芯 A64P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CPU：64位四核Cortex A53，1.3GHZ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内存   2 x 16bit，1GB，1333MHz，DDR3L</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显示   LVDS驱动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外存   EMMC5.0：8GByte</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系统   Android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音频格式 MP3,WMA,WAV ,AAC,AC-3</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视频格式 MP4  avi mpg1/2/3  mkv flv mov wmv</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整机额定功率 ≤10W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屏显比例 16：9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待机功率 ≤1W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分辨率 1366 x768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工作电压 220V 60Hz</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门灯尺寸：262*232*26(mm)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亮度 200cd/m²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响应时间 3.5ms 触摸</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屏色数 16.7M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触摸方式 电容触摸，手指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色域 68%(NTSC)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触摸次数 不爱限制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视角 U/D/R/L(CR＞10):80/80/85/85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透光度 ≥95% 最高100%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屏寿命 大于50000小时</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双面中文显示屏</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EC-DL25-100</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点间距：4.75 mm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点密度：44321点/㎡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单元板尺寸：304mm×152mm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单元板点数：64点×32点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像素组成：1红1绿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亮度：300cd/m2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峰值功耗：600W/m2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屏体重量：30kg/m2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最佳视距：≥6m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驱动方式：1/16 扫描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视角：水平、垂直± 60°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工作电压：AC 220V ± 10%， 50HZ ± 10%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工作环境温度：0℃ ～ 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工作环境湿度：10% ～ 95% RH</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失控点  ：≤ 万分之二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使用寿命：≥ 10万小时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平均无障碍时间：＞25000小时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安装方式：挂装、吊装、座装、支架、镶嵌等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平整度  整屏：±1mm  模组间的拼缝：＜1mm＞</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卫生间紧急按钮</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EC-T2</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外观尺寸 86 x 86 x 40 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通讯接口 RJ45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功率（W） ≤0.125W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工作电压 DC 5V</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拉绳、防水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安装方式 标准86盒安装方式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使用寿命 ＞5000次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工作时间 可7x24小时不间断工作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面板 亚克力触摸式或按键式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专用电源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EC-321</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安装方式 病房治疗带上壁挂安装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外部接口数量 1</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外部接口规格 RJ45网络接口，10/100M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卫生间接口数量 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卫生间接口规格 RJ45接口，建议B类网线连接。带供电输出。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门灯接口数量 1</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门灯接口规格 RJ45接口，建议B类网线连接。带供电输出。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扩展IP接口数量 3</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扩展IP接口规格 RJ45网络接口，10/100M，支持POE供电，POE输出12V1A。</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治疗带开孔尺寸 140 X 76 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外观尺寸 160 X 80 X 15 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供电方式 12V/4A 外置电源适配器，内藏治疗带安装。</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单键呼叫手柄</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EC-H</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一个红色呼叫\取消键，材质：医用塑料、线缆：六芯专用线缆，冷压接线端子头、1.5m(最大张力)；50cm(悬挂时)、</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网线</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UTPCat.6六类4对非屏蔽双绞线</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米</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300</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电源线</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RVV2*2.5mm2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米</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穿线管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φ20</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PVC20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米</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r>
      <w:tr>
        <w:tblPrEx>
          <w:tblLayout w:type="fixed"/>
          <w:tblCellMar>
            <w:top w:w="0" w:type="dxa"/>
            <w:left w:w="0" w:type="dxa"/>
            <w:bottom w:w="0" w:type="dxa"/>
            <w:right w:w="0" w:type="dxa"/>
          </w:tblCellMar>
        </w:tblPrEx>
        <w:trPr>
          <w:trHeight w:val="440" w:hRule="atLeast"/>
        </w:trPr>
        <w:tc>
          <w:tcPr>
            <w:tcW w:w="4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技术服务费</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r>
    </w:tbl>
    <w:p/>
    <w:p/>
    <w:tbl>
      <w:tblPr>
        <w:tblStyle w:val="19"/>
        <w:tblW w:w="8362" w:type="dxa"/>
        <w:tblInd w:w="0" w:type="dxa"/>
        <w:shd w:val="clear" w:color="auto" w:fill="auto"/>
        <w:tblLayout w:type="fixed"/>
        <w:tblCellMar>
          <w:top w:w="0" w:type="dxa"/>
          <w:left w:w="0" w:type="dxa"/>
          <w:bottom w:w="0" w:type="dxa"/>
          <w:right w:w="0" w:type="dxa"/>
        </w:tblCellMar>
      </w:tblPr>
      <w:tblGrid>
        <w:gridCol w:w="441"/>
        <w:gridCol w:w="1379"/>
        <w:gridCol w:w="1407"/>
        <w:gridCol w:w="2320"/>
        <w:gridCol w:w="1257"/>
        <w:gridCol w:w="1558"/>
      </w:tblGrid>
      <w:tr>
        <w:tblPrEx>
          <w:tblLayout w:type="fixed"/>
          <w:tblCellMar>
            <w:top w:w="0" w:type="dxa"/>
            <w:left w:w="0" w:type="dxa"/>
            <w:bottom w:w="0" w:type="dxa"/>
            <w:right w:w="0" w:type="dxa"/>
          </w:tblCellMar>
        </w:tblPrEx>
        <w:trPr>
          <w:trHeight w:val="270" w:hRule="atLeast"/>
        </w:trPr>
        <w:tc>
          <w:tcPr>
            <w:tcW w:w="8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程控电话系统</w:t>
            </w:r>
          </w:p>
        </w:tc>
      </w:tr>
      <w:tr>
        <w:tblPrEx>
          <w:tblLayout w:type="fixed"/>
          <w:tblCellMar>
            <w:top w:w="0" w:type="dxa"/>
            <w:left w:w="0" w:type="dxa"/>
            <w:bottom w:w="0" w:type="dxa"/>
            <w:right w:w="0" w:type="dxa"/>
          </w:tblCellMar>
        </w:tblPrEx>
        <w:trPr>
          <w:trHeight w:val="270"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58"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27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58"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数字中继母板</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支持20个2M</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电话跳线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RJ45/RJ11</w:t>
            </w: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RJ45转RJ11,1.5米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Layout w:type="fixed"/>
          <w:tblCellMar>
            <w:top w:w="0" w:type="dxa"/>
            <w:left w:w="0" w:type="dxa"/>
            <w:bottom w:w="0" w:type="dxa"/>
            <w:right w:w="0" w:type="dxa"/>
          </w:tblCellMar>
        </w:tblPrEx>
        <w:trPr>
          <w:trHeight w:val="6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免提式话机</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黑色（电脑白）</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bl>
    <w:p/>
    <w:p/>
    <w:tbl>
      <w:tblPr>
        <w:tblStyle w:val="19"/>
        <w:tblW w:w="8339" w:type="dxa"/>
        <w:tblInd w:w="0" w:type="dxa"/>
        <w:shd w:val="clear" w:color="auto" w:fill="auto"/>
        <w:tblLayout w:type="fixed"/>
        <w:tblCellMar>
          <w:top w:w="0" w:type="dxa"/>
          <w:left w:w="0" w:type="dxa"/>
          <w:bottom w:w="0" w:type="dxa"/>
          <w:right w:w="0" w:type="dxa"/>
        </w:tblCellMar>
      </w:tblPr>
      <w:tblGrid>
        <w:gridCol w:w="495"/>
        <w:gridCol w:w="1355"/>
        <w:gridCol w:w="1364"/>
        <w:gridCol w:w="2333"/>
        <w:gridCol w:w="1234"/>
        <w:gridCol w:w="1558"/>
      </w:tblGrid>
      <w:tr>
        <w:tblPrEx>
          <w:shd w:val="clear" w:color="auto" w:fill="auto"/>
          <w:tblLayout w:type="fixed"/>
          <w:tblCellMar>
            <w:top w:w="0" w:type="dxa"/>
            <w:left w:w="0" w:type="dxa"/>
            <w:bottom w:w="0" w:type="dxa"/>
            <w:right w:w="0" w:type="dxa"/>
          </w:tblCellMar>
        </w:tblPrEx>
        <w:trPr>
          <w:trHeight w:val="405" w:hRule="atLeast"/>
        </w:trPr>
        <w:tc>
          <w:tcPr>
            <w:tcW w:w="8339" w:type="dxa"/>
            <w:gridSpan w:val="6"/>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视频监控</w:t>
            </w:r>
          </w:p>
        </w:tc>
      </w:tr>
      <w:tr>
        <w:tblPrEx>
          <w:tblLayout w:type="fixed"/>
          <w:tblCellMar>
            <w:top w:w="0" w:type="dxa"/>
            <w:left w:w="0" w:type="dxa"/>
            <w:bottom w:w="0" w:type="dxa"/>
            <w:right w:w="0" w:type="dxa"/>
          </w:tblCellMar>
        </w:tblPrEx>
        <w:trPr>
          <w:trHeight w:val="405"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58"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58"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网线</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H-W650</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UTP Cat.6六类4对非屏蔽双绞线，PVC护套，305米/箱，敷设方式综合考虑</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2500</w:t>
            </w:r>
          </w:p>
        </w:tc>
      </w:tr>
      <w:tr>
        <w:tblPrEx>
          <w:tblLayout w:type="fixed"/>
          <w:tblCellMar>
            <w:top w:w="0" w:type="dxa"/>
            <w:left w:w="0" w:type="dxa"/>
            <w:bottom w:w="0" w:type="dxa"/>
            <w:right w:w="0" w:type="dxa"/>
          </w:tblCellMar>
        </w:tblPrEx>
        <w:trPr>
          <w:trHeight w:val="4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理线架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H-L355-12</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1U，19英寸</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r>
      <w:tr>
        <w:tblPrEx>
          <w:tblLayout w:type="fixed"/>
          <w:tblCellMar>
            <w:top w:w="0" w:type="dxa"/>
            <w:left w:w="0" w:type="dxa"/>
            <w:bottom w:w="0" w:type="dxa"/>
            <w:right w:w="0" w:type="dxa"/>
          </w:tblCellMar>
        </w:tblPrEx>
        <w:trPr>
          <w:trHeight w:val="4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摄像机安装</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不包括摄像机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r>
      <w:tr>
        <w:tblPrEx>
          <w:tblLayout w:type="fixed"/>
          <w:tblCellMar>
            <w:top w:w="0" w:type="dxa"/>
            <w:left w:w="0" w:type="dxa"/>
            <w:bottom w:w="0" w:type="dxa"/>
            <w:right w:w="0" w:type="dxa"/>
          </w:tblCellMar>
        </w:tblPrEx>
        <w:trPr>
          <w:trHeight w:val="4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穿线管</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φ20</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PVC20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r>
    </w:tbl>
    <w:p/>
    <w:p/>
    <w:tbl>
      <w:tblPr>
        <w:tblStyle w:val="19"/>
        <w:tblW w:w="8327" w:type="dxa"/>
        <w:tblInd w:w="0" w:type="dxa"/>
        <w:shd w:val="clear" w:color="auto" w:fill="auto"/>
        <w:tblLayout w:type="fixed"/>
        <w:tblCellMar>
          <w:top w:w="0" w:type="dxa"/>
          <w:left w:w="0" w:type="dxa"/>
          <w:bottom w:w="0" w:type="dxa"/>
          <w:right w:w="0" w:type="dxa"/>
        </w:tblCellMar>
      </w:tblPr>
      <w:tblGrid>
        <w:gridCol w:w="989"/>
        <w:gridCol w:w="1432"/>
        <w:gridCol w:w="1139"/>
        <w:gridCol w:w="1977"/>
        <w:gridCol w:w="944"/>
        <w:gridCol w:w="1846"/>
      </w:tblGrid>
      <w:tr>
        <w:tblPrEx>
          <w:shd w:val="clear" w:color="auto" w:fill="auto"/>
          <w:tblLayout w:type="fixed"/>
          <w:tblCellMar>
            <w:top w:w="0" w:type="dxa"/>
            <w:left w:w="0" w:type="dxa"/>
            <w:bottom w:w="0" w:type="dxa"/>
            <w:right w:w="0" w:type="dxa"/>
          </w:tblCellMar>
        </w:tblPrEx>
        <w:trPr>
          <w:trHeight w:val="405" w:hRule="atLeast"/>
        </w:trPr>
        <w:tc>
          <w:tcPr>
            <w:tcW w:w="832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办公设备清单</w:t>
            </w:r>
          </w:p>
        </w:tc>
      </w:tr>
      <w:tr>
        <w:tblPrEx>
          <w:tblLayout w:type="fixed"/>
          <w:tblCellMar>
            <w:top w:w="0" w:type="dxa"/>
            <w:left w:w="0" w:type="dxa"/>
            <w:bottom w:w="0" w:type="dxa"/>
            <w:right w:w="0" w:type="dxa"/>
          </w:tblCellMar>
        </w:tblPrEx>
        <w:trPr>
          <w:trHeight w:val="405"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56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5" w:hRule="atLeast"/>
        </w:trPr>
        <w:tc>
          <w:tcPr>
            <w:tcW w:w="8327" w:type="dxa"/>
            <w:gridSpan w:val="6"/>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一、电脑</w:t>
            </w:r>
          </w:p>
        </w:tc>
      </w:tr>
      <w:tr>
        <w:tblPrEx>
          <w:tblLayout w:type="fixed"/>
          <w:tblCellMar>
            <w:top w:w="0" w:type="dxa"/>
            <w:left w:w="0" w:type="dxa"/>
            <w:bottom w:w="0" w:type="dxa"/>
            <w:right w:w="0" w:type="dxa"/>
          </w:tblCellMar>
        </w:tblPrEx>
        <w:trPr>
          <w:trHeight w:val="5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内网电脑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联想T4900</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intel i5 9400 4G内存 1000G硬盘  显示器21.5</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 </w:t>
            </w:r>
          </w:p>
        </w:tc>
      </w:tr>
      <w:tr>
        <w:tblPrEx>
          <w:tblLayout w:type="fixed"/>
          <w:tblCellMar>
            <w:top w:w="0" w:type="dxa"/>
            <w:left w:w="0" w:type="dxa"/>
            <w:bottom w:w="0" w:type="dxa"/>
            <w:right w:w="0"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外网电脑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联想T4900</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intel i5 9400 4G内存 1000G硬盘  显示器21.5</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r>
        <w:tblPrEx>
          <w:tblLayout w:type="fixed"/>
          <w:tblCellMar>
            <w:top w:w="0" w:type="dxa"/>
            <w:left w:w="0" w:type="dxa"/>
            <w:bottom w:w="0" w:type="dxa"/>
            <w:right w:w="0" w:type="dxa"/>
          </w:tblCellMar>
        </w:tblPrEx>
        <w:trPr>
          <w:trHeight w:val="405" w:hRule="atLeast"/>
        </w:trPr>
        <w:tc>
          <w:tcPr>
            <w:tcW w:w="8327" w:type="dxa"/>
            <w:gridSpan w:val="6"/>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三、打印机</w:t>
            </w:r>
          </w:p>
        </w:tc>
      </w:tr>
      <w:tr>
        <w:tblPrEx>
          <w:tblLayout w:type="fixed"/>
          <w:tblCellMar>
            <w:top w:w="0" w:type="dxa"/>
            <w:left w:w="0" w:type="dxa"/>
            <w:bottom w:w="0" w:type="dxa"/>
            <w:right w:w="0" w:type="dxa"/>
          </w:tblCellMar>
        </w:tblPrEx>
        <w:trPr>
          <w:trHeight w:val="3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内网打印机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HP1020</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打印  </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 </w:t>
            </w:r>
          </w:p>
        </w:tc>
      </w:tr>
      <w:tr>
        <w:tblPrEx>
          <w:tblLayout w:type="fixed"/>
          <w:tblCellMar>
            <w:top w:w="0" w:type="dxa"/>
            <w:left w:w="0" w:type="dxa"/>
            <w:bottom w:w="0" w:type="dxa"/>
            <w:right w:w="0" w:type="dxa"/>
          </w:tblCellMar>
        </w:tblPrEx>
        <w:trPr>
          <w:trHeight w:val="405"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外网打印机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 LaserJet M1005 MFP</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打印  复印 扫描</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r>
        <w:tblPrEx>
          <w:tblLayout w:type="fixed"/>
          <w:tblCellMar>
            <w:top w:w="0" w:type="dxa"/>
            <w:left w:w="0" w:type="dxa"/>
            <w:bottom w:w="0" w:type="dxa"/>
            <w:right w:w="0" w:type="dxa"/>
          </w:tblCellMar>
        </w:tblPrEx>
        <w:trPr>
          <w:trHeight w:val="4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 </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输液条码打印机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兄弟P700打印机</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 </w:t>
            </w:r>
          </w:p>
        </w:tc>
      </w:tr>
      <w:tr>
        <w:tblPrEx>
          <w:tblLayout w:type="fixed"/>
          <w:tblCellMar>
            <w:top w:w="0" w:type="dxa"/>
            <w:left w:w="0" w:type="dxa"/>
            <w:bottom w:w="0" w:type="dxa"/>
            <w:right w:w="0" w:type="dxa"/>
          </w:tblCellMar>
        </w:tblPrEx>
        <w:trPr>
          <w:trHeight w:val="4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 </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刷卡器</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1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bl>
    <w:p/>
    <w:p/>
    <w:tbl>
      <w:tblPr>
        <w:tblStyle w:val="19"/>
        <w:tblW w:w="8339" w:type="dxa"/>
        <w:tblInd w:w="0" w:type="dxa"/>
        <w:shd w:val="clear" w:color="auto" w:fill="auto"/>
        <w:tblLayout w:type="fixed"/>
        <w:tblCellMar>
          <w:top w:w="0" w:type="dxa"/>
          <w:left w:w="0" w:type="dxa"/>
          <w:bottom w:w="0" w:type="dxa"/>
          <w:right w:w="0" w:type="dxa"/>
        </w:tblCellMar>
      </w:tblPr>
      <w:tblGrid>
        <w:gridCol w:w="472"/>
        <w:gridCol w:w="1878"/>
        <w:gridCol w:w="1454"/>
        <w:gridCol w:w="4535"/>
      </w:tblGrid>
      <w:tr>
        <w:tblPrEx>
          <w:shd w:val="clear" w:color="auto" w:fill="auto"/>
          <w:tblLayout w:type="fixed"/>
          <w:tblCellMar>
            <w:top w:w="0" w:type="dxa"/>
            <w:left w:w="0" w:type="dxa"/>
            <w:bottom w:w="0" w:type="dxa"/>
            <w:right w:w="0" w:type="dxa"/>
          </w:tblCellMar>
        </w:tblPrEx>
        <w:trPr>
          <w:trHeight w:val="460" w:hRule="atLeast"/>
        </w:trPr>
        <w:tc>
          <w:tcPr>
            <w:tcW w:w="8339" w:type="dxa"/>
            <w:gridSpan w:val="4"/>
            <w:tcBorders>
              <w:top w:val="nil"/>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信息系统清单</w:t>
            </w:r>
          </w:p>
        </w:tc>
      </w:tr>
      <w:tr>
        <w:tblPrEx>
          <w:tblLayout w:type="fixed"/>
          <w:tblCellMar>
            <w:top w:w="0" w:type="dxa"/>
            <w:left w:w="0" w:type="dxa"/>
            <w:bottom w:w="0" w:type="dxa"/>
            <w:right w:w="0" w:type="dxa"/>
          </w:tblCellMar>
        </w:tblPrEx>
        <w:trPr>
          <w:trHeight w:val="27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120"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8339" w:type="dxa"/>
            <w:gridSpan w:val="4"/>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一、检验仪器软件接口(单向)</w:t>
            </w:r>
          </w:p>
        </w:tc>
      </w:tr>
      <w:tr>
        <w:tblPrEx>
          <w:tblLayout w:type="fixed"/>
          <w:tblCellMar>
            <w:top w:w="0" w:type="dxa"/>
            <w:left w:w="0" w:type="dxa"/>
            <w:bottom w:w="0" w:type="dxa"/>
            <w:right w:w="0" w:type="dxa"/>
          </w:tblCellMar>
        </w:tblPrEx>
        <w:trPr>
          <w:trHeight w:val="64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1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三大常规</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 </w:t>
            </w:r>
          </w:p>
        </w:tc>
      </w:tr>
      <w:tr>
        <w:tblPrEx>
          <w:tblLayout w:type="fixed"/>
          <w:tblCellMar>
            <w:top w:w="0" w:type="dxa"/>
            <w:left w:w="0" w:type="dxa"/>
            <w:bottom w:w="0" w:type="dxa"/>
            <w:right w:w="0" w:type="dxa"/>
          </w:tblCellMar>
        </w:tblPrEx>
        <w:trPr>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1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凝血功能分析仪</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r>
        <w:tblPrEx>
          <w:tblLayout w:type="fixed"/>
          <w:tblCellMar>
            <w:top w:w="0" w:type="dxa"/>
            <w:left w:w="0" w:type="dxa"/>
            <w:bottom w:w="0" w:type="dxa"/>
            <w:right w:w="0" w:type="dxa"/>
          </w:tblCellMar>
        </w:tblPrEx>
        <w:trPr>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 </w:t>
            </w:r>
          </w:p>
        </w:tc>
        <w:tc>
          <w:tcPr>
            <w:tcW w:w="1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血气分析仪</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r>
        <w:tblPrEx>
          <w:tblLayout w:type="fixed"/>
          <w:tblCellMar>
            <w:top w:w="0" w:type="dxa"/>
            <w:left w:w="0" w:type="dxa"/>
            <w:bottom w:w="0" w:type="dxa"/>
            <w:right w:w="0" w:type="dxa"/>
          </w:tblCellMar>
        </w:tblPrEx>
        <w:trPr>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 </w:t>
            </w:r>
          </w:p>
        </w:tc>
        <w:tc>
          <w:tcPr>
            <w:tcW w:w="1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生化分析仪</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r>
        <w:tblPrEx>
          <w:tblLayout w:type="fixed"/>
          <w:tblCellMar>
            <w:top w:w="0" w:type="dxa"/>
            <w:left w:w="0" w:type="dxa"/>
            <w:bottom w:w="0" w:type="dxa"/>
            <w:right w:w="0" w:type="dxa"/>
          </w:tblCellMar>
        </w:tblPrEx>
        <w:trPr>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 </w:t>
            </w:r>
          </w:p>
        </w:tc>
        <w:tc>
          <w:tcPr>
            <w:tcW w:w="1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PCR仪</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 </w:t>
            </w:r>
          </w:p>
        </w:tc>
      </w:tr>
      <w:tr>
        <w:tblPrEx>
          <w:tblLayout w:type="fixed"/>
          <w:tblCellMar>
            <w:top w:w="0" w:type="dxa"/>
            <w:left w:w="0" w:type="dxa"/>
            <w:bottom w:w="0" w:type="dxa"/>
            <w:right w:w="0" w:type="dxa"/>
          </w:tblCellMar>
        </w:tblPrEx>
        <w:trPr>
          <w:trHeight w:val="34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 </w:t>
            </w:r>
          </w:p>
        </w:tc>
        <w:tc>
          <w:tcPr>
            <w:tcW w:w="1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特定蛋白分析仪</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bl>
    <w:p/>
    <w:p/>
    <w:tbl>
      <w:tblPr>
        <w:tblStyle w:val="19"/>
        <w:tblW w:w="8339" w:type="dxa"/>
        <w:tblInd w:w="0" w:type="dxa"/>
        <w:shd w:val="clear" w:color="auto" w:fill="auto"/>
        <w:tblLayout w:type="fixed"/>
        <w:tblCellMar>
          <w:top w:w="0" w:type="dxa"/>
          <w:left w:w="0" w:type="dxa"/>
          <w:bottom w:w="0" w:type="dxa"/>
          <w:right w:w="0" w:type="dxa"/>
        </w:tblCellMar>
      </w:tblPr>
      <w:tblGrid>
        <w:gridCol w:w="623"/>
        <w:gridCol w:w="1739"/>
        <w:gridCol w:w="854"/>
        <w:gridCol w:w="641"/>
        <w:gridCol w:w="1713"/>
        <w:gridCol w:w="2769"/>
      </w:tblGrid>
      <w:tr>
        <w:tblPrEx>
          <w:shd w:val="clear" w:color="auto" w:fill="auto"/>
          <w:tblLayout w:type="fixed"/>
          <w:tblCellMar>
            <w:top w:w="0" w:type="dxa"/>
            <w:left w:w="0" w:type="dxa"/>
            <w:bottom w:w="0" w:type="dxa"/>
            <w:right w:w="0" w:type="dxa"/>
          </w:tblCellMar>
        </w:tblPrEx>
        <w:trPr>
          <w:trHeight w:val="270" w:hRule="atLeast"/>
        </w:trPr>
        <w:tc>
          <w:tcPr>
            <w:tcW w:w="833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非接触式挂号与收费系统清单</w:t>
            </w:r>
          </w:p>
        </w:tc>
      </w:tr>
      <w:tr>
        <w:tblPrEx>
          <w:tblLayout w:type="fixed"/>
          <w:tblCellMar>
            <w:top w:w="0" w:type="dxa"/>
            <w:left w:w="0" w:type="dxa"/>
            <w:bottom w:w="0" w:type="dxa"/>
            <w:right w:w="0" w:type="dxa"/>
          </w:tblCellMar>
        </w:tblPrEx>
        <w:trPr>
          <w:trHeight w:val="27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27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铜仁二院就医助手接口费</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2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bl>
    <w:p/>
    <w:p>
      <w:pPr>
        <w:rPr>
          <w:rFonts w:hint="eastAsia"/>
          <w:lang w:val="en-US" w:eastAsia="zh-CN"/>
        </w:rPr>
      </w:pPr>
    </w:p>
    <w:p>
      <w:pPr>
        <w:pStyle w:val="14"/>
        <w:rPr>
          <w:rFonts w:hint="eastAsia"/>
          <w:lang w:val="en-US" w:eastAsia="zh-CN"/>
        </w:rPr>
      </w:pPr>
    </w:p>
    <w:p>
      <w:pPr>
        <w:pStyle w:val="14"/>
        <w:rPr>
          <w:rFonts w:hint="eastAsia"/>
          <w:lang w:val="en-US" w:eastAsia="zh-CN"/>
        </w:rPr>
      </w:pPr>
    </w:p>
    <w:p>
      <w:pPr>
        <w:pStyle w:val="4"/>
        <w:spacing w:before="55"/>
        <w:ind w:left="160"/>
        <w:jc w:val="center"/>
      </w:pPr>
    </w:p>
    <w:p>
      <w:pPr>
        <w:pStyle w:val="4"/>
        <w:spacing w:before="55"/>
        <w:ind w:left="160"/>
        <w:jc w:val="center"/>
      </w:pPr>
    </w:p>
    <w:p/>
    <w:p>
      <w:pPr>
        <w:jc w:val="center"/>
      </w:pPr>
    </w:p>
    <w:p>
      <w:pPr>
        <w:pStyle w:val="2"/>
      </w:pPr>
    </w:p>
    <w:p>
      <w:pPr>
        <w:pStyle w:val="2"/>
      </w:pPr>
    </w:p>
    <w:p/>
    <w:p/>
    <w:p>
      <w:pPr>
        <w:pStyle w:val="4"/>
        <w:spacing w:before="55"/>
        <w:ind w:left="160"/>
        <w:jc w:val="center"/>
      </w:pPr>
    </w:p>
    <w:p/>
    <w:p/>
    <w:p>
      <w:pPr>
        <w:jc w:val="center"/>
      </w:pPr>
    </w:p>
    <w:p>
      <w:pPr>
        <w:pStyle w:val="2"/>
      </w:pPr>
    </w:p>
    <w:p/>
    <w:p>
      <w:pPr>
        <w:pStyle w:val="2"/>
      </w:pPr>
    </w:p>
    <w:p/>
    <w:p>
      <w:pPr>
        <w:pStyle w:val="2"/>
      </w:pPr>
    </w:p>
    <w:p>
      <w:pPr>
        <w:pStyle w:val="4"/>
        <w:spacing w:before="55"/>
        <w:ind w:left="160"/>
        <w:jc w:val="center"/>
        <w:rPr>
          <w:b/>
          <w:sz w:val="32"/>
        </w:rPr>
      </w:pPr>
      <w:r>
        <w:t>第二节 商务要求</w:t>
      </w:r>
    </w:p>
    <w:p>
      <w:pPr>
        <w:spacing w:after="0" w:line="306" w:lineRule="exact"/>
        <w:jc w:val="left"/>
        <w:rPr>
          <w:sz w:val="24"/>
        </w:rPr>
      </w:pPr>
    </w:p>
    <w:p>
      <w:pPr>
        <w:pStyle w:val="14"/>
        <w:numPr>
          <w:ilvl w:val="0"/>
          <w:numId w:val="0"/>
        </w:numPr>
        <w:rPr>
          <w:rFonts w:ascii="宋体" w:hAnsi="宋体" w:eastAsia="宋体" w:cs="宋体"/>
          <w:color w:val="FF0000"/>
          <w:sz w:val="24"/>
          <w:szCs w:val="24"/>
        </w:rPr>
      </w:pPr>
      <w:r>
        <w:rPr>
          <w:rFonts w:ascii="宋体" w:hAnsi="宋体" w:eastAsia="宋体" w:cs="宋体"/>
          <w:sz w:val="24"/>
          <w:szCs w:val="24"/>
        </w:rPr>
        <w:t>1.付款条件：签订合同后，</w:t>
      </w:r>
      <w:r>
        <w:rPr>
          <w:rFonts w:hint="eastAsia" w:ascii="宋体" w:hAnsi="宋体" w:eastAsia="宋体" w:cs="宋体"/>
          <w:sz w:val="24"/>
          <w:szCs w:val="24"/>
          <w:lang w:eastAsia="zh-CN"/>
        </w:rPr>
        <w:t>支付总价的</w:t>
      </w:r>
      <w:r>
        <w:rPr>
          <w:rFonts w:hint="eastAsia" w:ascii="宋体" w:hAnsi="宋体" w:eastAsia="宋体" w:cs="宋体"/>
          <w:sz w:val="24"/>
          <w:szCs w:val="24"/>
          <w:lang w:val="en-US" w:eastAsia="zh-CN"/>
        </w:rPr>
        <w:t>80%，</w:t>
      </w:r>
      <w:r>
        <w:rPr>
          <w:rFonts w:ascii="宋体" w:hAnsi="宋体" w:eastAsia="宋体" w:cs="宋体"/>
          <w:sz w:val="24"/>
          <w:szCs w:val="24"/>
        </w:rPr>
        <w:t>设备安装、调试、验收合格后无任何质量问题</w:t>
      </w:r>
      <w:r>
        <w:rPr>
          <w:rFonts w:ascii="宋体" w:hAnsi="宋体" w:eastAsia="宋体" w:cs="宋体"/>
          <w:color w:val="FF0000"/>
          <w:sz w:val="24"/>
          <w:szCs w:val="24"/>
        </w:rPr>
        <w:t>，</w:t>
      </w:r>
      <w:r>
        <w:rPr>
          <w:rFonts w:hint="eastAsia" w:ascii="宋体" w:hAnsi="宋体" w:eastAsia="宋体" w:cs="宋体"/>
          <w:color w:val="FF0000"/>
          <w:sz w:val="24"/>
          <w:szCs w:val="24"/>
          <w:lang w:eastAsia="zh-CN"/>
        </w:rPr>
        <w:t>支付</w:t>
      </w:r>
      <w:r>
        <w:rPr>
          <w:rFonts w:hint="eastAsia" w:ascii="宋体" w:hAnsi="宋体" w:eastAsia="宋体" w:cs="宋体"/>
          <w:color w:val="FF0000"/>
          <w:sz w:val="24"/>
          <w:szCs w:val="24"/>
          <w:lang w:val="en-US" w:eastAsia="zh-CN"/>
        </w:rPr>
        <w:t>20%</w:t>
      </w:r>
      <w:r>
        <w:rPr>
          <w:rFonts w:ascii="宋体" w:hAnsi="宋体" w:eastAsia="宋体" w:cs="宋体"/>
          <w:color w:val="FF0000"/>
          <w:sz w:val="24"/>
          <w:szCs w:val="24"/>
        </w:rPr>
        <w:t>。</w:t>
      </w:r>
    </w:p>
    <w:p>
      <w:pPr>
        <w:pStyle w:val="14"/>
        <w:numPr>
          <w:ilvl w:val="0"/>
          <w:numId w:val="0"/>
        </w:numPr>
        <w:rPr>
          <w:sz w:val="24"/>
        </w:rPr>
      </w:pPr>
      <w:r>
        <w:rPr>
          <w:rFonts w:ascii="宋体" w:hAnsi="宋体" w:eastAsia="宋体" w:cs="宋体"/>
          <w:sz w:val="24"/>
          <w:szCs w:val="24"/>
        </w:rPr>
        <w:t>2.交货期：合同签订之日起</w:t>
      </w:r>
      <w:r>
        <w:rPr>
          <w:rFonts w:ascii="宋体" w:hAnsi="宋体" w:eastAsia="宋体" w:cs="宋体"/>
          <w:sz w:val="24"/>
          <w:szCs w:val="24"/>
          <w:u w:val="single"/>
        </w:rPr>
        <w:t> </w:t>
      </w:r>
      <w:r>
        <w:rPr>
          <w:rFonts w:hint="eastAsia" w:ascii="宋体" w:hAnsi="宋体" w:eastAsia="宋体" w:cs="宋体"/>
          <w:color w:val="FF0000"/>
          <w:sz w:val="24"/>
          <w:szCs w:val="24"/>
          <w:u w:val="single"/>
          <w:lang w:val="en-US" w:eastAsia="zh-CN"/>
        </w:rPr>
        <w:t>15</w:t>
      </w:r>
      <w:r>
        <w:rPr>
          <w:rFonts w:ascii="宋体" w:hAnsi="宋体" w:eastAsia="宋体" w:cs="宋体"/>
          <w:sz w:val="24"/>
          <w:szCs w:val="24"/>
          <w:u w:val="single"/>
        </w:rPr>
        <w:t> </w:t>
      </w:r>
      <w:r>
        <w:rPr>
          <w:rFonts w:ascii="宋体" w:hAnsi="宋体" w:eastAsia="宋体" w:cs="宋体"/>
          <w:sz w:val="24"/>
          <w:szCs w:val="24"/>
        </w:rPr>
        <w:t>日内。</w:t>
      </w:r>
    </w:p>
    <w:p>
      <w:pPr>
        <w:pStyle w:val="14"/>
        <w:numPr>
          <w:ilvl w:val="0"/>
          <w:numId w:val="0"/>
        </w:numPr>
        <w:rPr>
          <w:rFonts w:hint="eastAsia" w:ascii="宋体" w:hAnsi="宋体" w:eastAsia="宋体" w:cs="宋体"/>
          <w:sz w:val="24"/>
          <w:szCs w:val="24"/>
          <w:lang w:eastAsia="zh-CN"/>
        </w:rPr>
      </w:pPr>
      <w:r>
        <w:rPr>
          <w:rFonts w:ascii="宋体" w:hAnsi="宋体" w:eastAsia="宋体" w:cs="宋体"/>
          <w:sz w:val="24"/>
          <w:szCs w:val="24"/>
        </w:rPr>
        <w:t>3.交货地点：</w:t>
      </w:r>
      <w:r>
        <w:rPr>
          <w:rFonts w:hint="eastAsia" w:ascii="宋体" w:hAnsi="宋体" w:eastAsia="宋体" w:cs="宋体"/>
          <w:sz w:val="24"/>
          <w:szCs w:val="24"/>
          <w:lang w:eastAsia="zh-CN"/>
        </w:rPr>
        <w:t>铜仁市第二人民医院</w:t>
      </w:r>
    </w:p>
    <w:p>
      <w:pPr>
        <w:pStyle w:val="14"/>
        <w:numPr>
          <w:ilvl w:val="0"/>
          <w:numId w:val="0"/>
        </w:numPr>
        <w:rPr>
          <w:sz w:val="24"/>
        </w:rPr>
      </w:pPr>
      <w:r>
        <w:rPr>
          <w:rFonts w:ascii="宋体" w:hAnsi="宋体" w:eastAsia="宋体" w:cs="宋体"/>
          <w:sz w:val="24"/>
          <w:szCs w:val="24"/>
        </w:rPr>
        <w:t>4.验收：</w:t>
      </w:r>
      <w:r>
        <w:rPr>
          <w:rFonts w:hint="eastAsia" w:ascii="宋体" w:hAnsi="宋体" w:eastAsia="宋体" w:cs="宋体"/>
          <w:sz w:val="24"/>
          <w:szCs w:val="24"/>
          <w:lang w:eastAsia="zh-CN"/>
        </w:rPr>
        <w:t>供应商</w:t>
      </w:r>
      <w:r>
        <w:rPr>
          <w:rFonts w:ascii="宋体" w:hAnsi="宋体" w:eastAsia="宋体" w:cs="宋体"/>
          <w:sz w:val="24"/>
          <w:szCs w:val="24"/>
        </w:rPr>
        <w:t>必须无条件保证所提供投标产品的制造、检验以及质量完全符合国家有关产品制造和验收标准。</w:t>
      </w:r>
    </w:p>
    <w:p>
      <w:pPr>
        <w:pStyle w:val="11"/>
        <w:keepNext w:val="0"/>
        <w:keepLines w:val="0"/>
        <w:pageBreakBefore w:val="0"/>
        <w:widowControl w:val="0"/>
        <w:kinsoku/>
        <w:wordWrap/>
        <w:overflowPunct/>
        <w:topLinePunct w:val="0"/>
        <w:autoSpaceDE/>
        <w:autoSpaceDN/>
        <w:bidi w:val="0"/>
        <w:spacing w:line="56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售后服务：</w:t>
      </w:r>
      <w:r>
        <w:rPr>
          <w:rFonts w:hint="eastAsia"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包</w:t>
      </w:r>
      <w:r>
        <w:rPr>
          <w:rFonts w:ascii="宋体" w:hAnsi="宋体" w:eastAsia="宋体" w:cs="宋体"/>
          <w:kern w:val="2"/>
          <w:sz w:val="24"/>
          <w:szCs w:val="24"/>
          <w:lang w:val="en-US" w:eastAsia="zh-CN" w:bidi="ar-SA"/>
        </w:rPr>
        <w:t>还需提供CT制造商或其中国境内总代理商出具的针对本项目的销售授权书及售后服务承诺函，如不提供授权委托书和售后服务承诺书，其</w:t>
      </w:r>
      <w:r>
        <w:rPr>
          <w:rFonts w:hint="eastAsia" w:ascii="宋体" w:hAnsi="宋体" w:eastAsia="宋体" w:cs="宋体"/>
          <w:kern w:val="2"/>
          <w:sz w:val="24"/>
          <w:szCs w:val="24"/>
          <w:lang w:val="en-US" w:eastAsia="zh-CN" w:bidi="ar-SA"/>
        </w:rPr>
        <w:t>谈判</w:t>
      </w:r>
      <w:r>
        <w:rPr>
          <w:rFonts w:ascii="宋体" w:hAnsi="宋体" w:eastAsia="宋体" w:cs="宋体"/>
          <w:kern w:val="2"/>
          <w:sz w:val="24"/>
          <w:szCs w:val="24"/>
          <w:lang w:val="en-US" w:eastAsia="zh-CN" w:bidi="ar-SA"/>
        </w:rPr>
        <w:t>将被拒绝。 </w:t>
      </w:r>
    </w:p>
    <w:p>
      <w:pPr>
        <w:pStyle w:val="14"/>
        <w:numPr>
          <w:ilvl w:val="0"/>
          <w:numId w:val="0"/>
        </w:numPr>
        <w:rPr>
          <w:sz w:val="24"/>
        </w:rPr>
      </w:pPr>
      <w:r>
        <w:rPr>
          <w:rFonts w:ascii="宋体" w:hAnsi="宋体" w:eastAsia="宋体" w:cs="宋体"/>
          <w:sz w:val="24"/>
          <w:szCs w:val="24"/>
        </w:rPr>
        <w:t>6.质量保证期：至少</w:t>
      </w:r>
      <w:r>
        <w:rPr>
          <w:rFonts w:ascii="宋体" w:hAnsi="宋体" w:eastAsia="宋体" w:cs="宋体"/>
          <w:sz w:val="24"/>
          <w:szCs w:val="24"/>
          <w:u w:val="single"/>
        </w:rPr>
        <w:t> </w:t>
      </w:r>
      <w:r>
        <w:rPr>
          <w:rFonts w:hint="eastAsia" w:ascii="宋体" w:hAnsi="宋体" w:eastAsia="宋体" w:cs="宋体"/>
          <w:color w:val="FF0000"/>
          <w:sz w:val="24"/>
          <w:szCs w:val="24"/>
          <w:u w:val="single"/>
          <w:lang w:val="en-US" w:eastAsia="zh-CN"/>
        </w:rPr>
        <w:t xml:space="preserve">12 </w:t>
      </w:r>
      <w:r>
        <w:rPr>
          <w:rFonts w:ascii="宋体" w:hAnsi="宋体" w:eastAsia="宋体" w:cs="宋体"/>
          <w:sz w:val="24"/>
          <w:szCs w:val="24"/>
        </w:rPr>
        <w:t>个月。</w:t>
      </w:r>
    </w:p>
    <w:p>
      <w:pPr>
        <w:pStyle w:val="14"/>
        <w:numPr>
          <w:ilvl w:val="0"/>
          <w:numId w:val="0"/>
        </w:numPr>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lang w:eastAsia="zh-CN"/>
        </w:rPr>
        <w:t>响应文件</w:t>
      </w:r>
      <w:r>
        <w:rPr>
          <w:rFonts w:ascii="宋体" w:hAnsi="宋体" w:eastAsia="宋体" w:cs="宋体"/>
          <w:sz w:val="24"/>
          <w:szCs w:val="24"/>
        </w:rPr>
        <w:t>有效期：  </w:t>
      </w:r>
    </w:p>
    <w:p>
      <w:pPr>
        <w:pStyle w:val="14"/>
        <w:numPr>
          <w:ilvl w:val="0"/>
          <w:numId w:val="0"/>
        </w:numPr>
        <w:rPr>
          <w:rFonts w:ascii="宋体" w:hAnsi="宋体" w:eastAsia="宋体" w:cs="宋体"/>
          <w:sz w:val="24"/>
          <w:szCs w:val="24"/>
        </w:rPr>
      </w:pPr>
      <w:r>
        <w:rPr>
          <w:rFonts w:ascii="宋体" w:hAnsi="宋体" w:eastAsia="宋体" w:cs="宋体"/>
          <w:sz w:val="24"/>
          <w:szCs w:val="24"/>
        </w:rPr>
        <w:t>8、其他要求：</w:t>
      </w:r>
    </w:p>
    <w:p>
      <w:pPr>
        <w:pStyle w:val="14"/>
        <w:numPr>
          <w:ilvl w:val="0"/>
          <w:numId w:val="0"/>
        </w:numPr>
        <w:rPr>
          <w:sz w:val="24"/>
        </w:rPr>
      </w:pPr>
      <w:r>
        <w:rPr>
          <w:rFonts w:ascii="宋体" w:hAnsi="宋体" w:eastAsia="宋体" w:cs="宋体"/>
          <w:sz w:val="24"/>
          <w:szCs w:val="24"/>
        </w:rPr>
        <w:t>8.1交通运输、安全等责任由中标方承担；</w:t>
      </w:r>
    </w:p>
    <w:p>
      <w:pPr>
        <w:pStyle w:val="14"/>
        <w:numPr>
          <w:ilvl w:val="0"/>
          <w:numId w:val="0"/>
        </w:numPr>
        <w:rPr>
          <w:rFonts w:ascii="宋体" w:hAnsi="宋体" w:eastAsia="宋体" w:cs="宋体"/>
          <w:sz w:val="24"/>
          <w:szCs w:val="24"/>
        </w:rPr>
      </w:pPr>
      <w:r>
        <w:rPr>
          <w:rFonts w:ascii="宋体" w:hAnsi="宋体" w:eastAsia="宋体" w:cs="宋体"/>
          <w:sz w:val="24"/>
          <w:szCs w:val="24"/>
        </w:rPr>
        <w:t>8.2本项目在中标公示期间，</w:t>
      </w:r>
      <w:r>
        <w:rPr>
          <w:rFonts w:hint="eastAsia" w:ascii="宋体" w:hAnsi="宋体" w:eastAsia="宋体" w:cs="宋体"/>
          <w:sz w:val="24"/>
          <w:szCs w:val="24"/>
          <w:lang w:eastAsia="zh-CN"/>
        </w:rPr>
        <w:t>采购人</w:t>
      </w:r>
      <w:r>
        <w:rPr>
          <w:rFonts w:ascii="宋体" w:hAnsi="宋体" w:eastAsia="宋体" w:cs="宋体"/>
          <w:sz w:val="24"/>
          <w:szCs w:val="24"/>
        </w:rPr>
        <w:t>将组织相关监督和职能部门根据中标供应商的</w:t>
      </w:r>
      <w:r>
        <w:rPr>
          <w:rFonts w:hint="eastAsia" w:ascii="宋体" w:hAnsi="宋体" w:eastAsia="宋体" w:cs="宋体"/>
          <w:sz w:val="24"/>
          <w:szCs w:val="24"/>
          <w:lang w:eastAsia="zh-CN"/>
        </w:rPr>
        <w:t>响应</w:t>
      </w:r>
      <w:r>
        <w:rPr>
          <w:rFonts w:ascii="宋体" w:hAnsi="宋体" w:eastAsia="宋体" w:cs="宋体"/>
          <w:sz w:val="24"/>
          <w:szCs w:val="24"/>
        </w:rPr>
        <w:t>文件所提交的资料对中标供应商实地检查核实，若发生与其</w:t>
      </w:r>
      <w:r>
        <w:rPr>
          <w:rFonts w:hint="eastAsia" w:ascii="宋体" w:hAnsi="宋体" w:eastAsia="宋体" w:cs="宋体"/>
          <w:sz w:val="24"/>
          <w:szCs w:val="24"/>
          <w:lang w:eastAsia="zh-CN"/>
        </w:rPr>
        <w:t>响应</w:t>
      </w:r>
      <w:r>
        <w:rPr>
          <w:rFonts w:ascii="宋体" w:hAnsi="宋体" w:eastAsia="宋体" w:cs="宋体"/>
          <w:sz w:val="24"/>
          <w:szCs w:val="24"/>
        </w:rPr>
        <w:t>承诺及资料不符合、不一致等虚假行为的，将取消其中标资格。</w:t>
      </w:r>
    </w:p>
    <w:p>
      <w:pPr>
        <w:pStyle w:val="14"/>
        <w:numPr>
          <w:ilvl w:val="0"/>
          <w:numId w:val="0"/>
        </w:numPr>
        <w:rPr>
          <w:sz w:val="24"/>
        </w:rPr>
      </w:pPr>
      <w:r>
        <w:rPr>
          <w:rFonts w:ascii="宋体" w:hAnsi="宋体" w:eastAsia="宋体" w:cs="宋体"/>
          <w:sz w:val="24"/>
          <w:szCs w:val="24"/>
        </w:rPr>
        <w:t>8.3其他相关要求在签订合同时另行协商约定；</w:t>
      </w:r>
      <w:r>
        <w:rPr>
          <w:rFonts w:ascii="宋体" w:hAnsi="宋体" w:eastAsia="宋体" w:cs="宋体"/>
          <w:sz w:val="24"/>
          <w:szCs w:val="24"/>
        </w:rPr>
        <w:br w:type="textWrapping"/>
      </w:r>
    </w:p>
    <w:p>
      <w:pPr>
        <w:pStyle w:val="14"/>
        <w:rPr>
          <w:sz w:val="24"/>
        </w:rPr>
      </w:pPr>
    </w:p>
    <w:p>
      <w:pPr>
        <w:pStyle w:val="14"/>
        <w:rPr>
          <w:sz w:val="24"/>
        </w:rPr>
      </w:pPr>
    </w:p>
    <w:p>
      <w:pPr>
        <w:pStyle w:val="14"/>
        <w:rPr>
          <w:sz w:val="24"/>
        </w:rPr>
      </w:pPr>
    </w:p>
    <w:p>
      <w:pPr>
        <w:pStyle w:val="14"/>
        <w:rPr>
          <w:sz w:val="24"/>
        </w:rPr>
      </w:pPr>
    </w:p>
    <w:p>
      <w:pPr>
        <w:pStyle w:val="14"/>
        <w:rPr>
          <w:sz w:val="24"/>
        </w:rPr>
      </w:pPr>
    </w:p>
    <w:p>
      <w:pPr>
        <w:spacing w:line="360" w:lineRule="auto"/>
        <w:jc w:val="both"/>
        <w:rPr>
          <w:rFonts w:hint="eastAsia" w:eastAsiaTheme="minorEastAsia"/>
          <w:lang w:eastAsia="zh-CN"/>
        </w:rPr>
        <w:sectPr>
          <w:footerReference r:id="rId3" w:type="default"/>
          <w:pgSz w:w="11910" w:h="16840"/>
          <w:pgMar w:top="1060" w:right="1480" w:bottom="1180" w:left="1320" w:header="878" w:footer="1000" w:gutter="0"/>
        </w:sectPr>
      </w:pPr>
      <w:r>
        <w:rPr>
          <w:rFonts w:hint="eastAsia" w:ascii="宋体" w:hAnsi="宋体" w:cs="宋体"/>
          <w:b/>
          <w:bCs/>
          <w:sz w:val="24"/>
        </w:rPr>
        <w:t>备注：1.专家论证费和专家评审费由中标人承担</w:t>
      </w:r>
    </w:p>
    <w:p>
      <w:pPr>
        <w:spacing w:line="360" w:lineRule="auto"/>
        <w:jc w:val="center"/>
        <w:rPr>
          <w:rFonts w:ascii="宋体" w:hAnsi="宋体"/>
          <w:b/>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14:textFill>
            <w14:solidFill>
              <w14:schemeClr w14:val="tx1"/>
            </w14:solidFill>
          </w14:textFill>
        </w:rPr>
        <w:t>五章  铜仁市</w:t>
      </w:r>
      <w:r>
        <w:rPr>
          <w:rFonts w:hint="eastAsia" w:ascii="宋体" w:hAnsi="宋体"/>
          <w:b/>
          <w:color w:val="000000" w:themeColor="text1"/>
          <w:sz w:val="36"/>
          <w:szCs w:val="36"/>
          <w14:textFill>
            <w14:solidFill>
              <w14:schemeClr w14:val="tx1"/>
            </w14:solidFill>
          </w14:textFill>
        </w:rPr>
        <w:t>政府采购合同（参考文本）</w:t>
      </w:r>
    </w:p>
    <w:bookmarkEnd w:id="3"/>
    <w:p>
      <w:pPr>
        <w:spacing w:line="400" w:lineRule="exact"/>
        <w:rPr>
          <w:rFonts w:ascii="宋体" w:hAnsi="宋体" w:eastAsia="宋体" w:cs="宋体"/>
          <w:b/>
          <w:color w:val="000000" w:themeColor="text1"/>
          <w:sz w:val="24"/>
          <w:szCs w:val="24"/>
          <w14:textFill>
            <w14:solidFill>
              <w14:schemeClr w14:val="tx1"/>
            </w14:solidFill>
          </w14:textFill>
        </w:rPr>
      </w:pPr>
      <w:bookmarkStart w:id="53" w:name="_Toc296602499"/>
      <w:bookmarkStart w:id="54" w:name="_Toc184635098"/>
      <w:bookmarkStart w:id="55" w:name="_Toc246996254"/>
      <w:bookmarkStart w:id="56" w:name="_Toc246996997"/>
      <w:bookmarkStart w:id="57" w:name="_Toc247085769"/>
      <w:bookmarkStart w:id="58" w:name="_Toc268599011"/>
      <w:r>
        <w:rPr>
          <w:rFonts w:hint="eastAsia" w:ascii="宋体" w:hAnsi="宋体" w:eastAsia="宋体" w:cs="宋体"/>
          <w:b/>
          <w:color w:val="000000" w:themeColor="text1"/>
          <w:sz w:val="24"/>
          <w:szCs w:val="24"/>
          <w14:textFill>
            <w14:solidFill>
              <w14:schemeClr w14:val="tx1"/>
            </w14:solidFill>
          </w14:textFill>
        </w:rPr>
        <w:t>1. 一般约定</w:t>
      </w:r>
      <w:bookmarkEnd w:id="53"/>
      <w:bookmarkEnd w:id="54"/>
      <w:bookmarkEnd w:id="55"/>
      <w:bookmarkEnd w:id="56"/>
      <w:bookmarkEnd w:id="57"/>
    </w:p>
    <w:p>
      <w:pPr>
        <w:spacing w:line="400" w:lineRule="exact"/>
        <w:rPr>
          <w:rFonts w:ascii="宋体" w:hAnsi="宋体" w:eastAsia="宋体" w:cs="宋体"/>
          <w:b/>
          <w:color w:val="000000" w:themeColor="text1"/>
          <w:sz w:val="24"/>
          <w:szCs w:val="24"/>
          <w14:textFill>
            <w14:solidFill>
              <w14:schemeClr w14:val="tx1"/>
            </w14:solidFill>
          </w14:textFill>
        </w:rPr>
      </w:pPr>
      <w:bookmarkStart w:id="59" w:name="_Toc246996255"/>
      <w:bookmarkStart w:id="60" w:name="_Toc246996998"/>
      <w:bookmarkStart w:id="61" w:name="_Toc296602500"/>
      <w:bookmarkStart w:id="62" w:name="_Toc247085770"/>
      <w:r>
        <w:rPr>
          <w:rFonts w:hint="eastAsia" w:ascii="宋体" w:hAnsi="宋体" w:eastAsia="宋体" w:cs="宋体"/>
          <w:b/>
          <w:color w:val="000000" w:themeColor="text1"/>
          <w:sz w:val="24"/>
          <w:szCs w:val="24"/>
          <w14:textFill>
            <w14:solidFill>
              <w14:schemeClr w14:val="tx1"/>
            </w14:solidFill>
          </w14:textFill>
        </w:rPr>
        <w:t>1.1 词语定义</w:t>
      </w:r>
      <w:bookmarkEnd w:id="59"/>
      <w:bookmarkEnd w:id="60"/>
      <w:bookmarkEnd w:id="61"/>
      <w:bookmarkEnd w:id="6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通用合同条款、专用合同条款中的下列词语应具有本款所赋予的含义。</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合同</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1.1.1.2 合同协议书：指第1.5 款所指的合同协议书。</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1.1.1.3 中标通知书：指发包人通知承包人中标的函件。中标通知书随附的澄清、说明、补正事项纪要等，是中标通知书的组成部分。</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1.1.1.4 投标函：指构成合同文件组成部分的由承包人填写并签署的投标函。</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1.1.1.5 投标函附录：指附在投标函后构成合同文件的投标函附录。</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1.1.1.6 技术标准和要求：指构成合同文件组成部分的名为技术标准和要求的文件，以及合同双方当事人约定对其所作的修改或补充。</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1.1.1.7 图纸：指包含在合同中的工程图纸，以及由发包人按合同约定提供的任何补充和修改的图纸，包括配套的说明。</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1.1.1.8 已标价工程量清单：指构成合同文件组成部分的由承包人按照规定的格式和要求填写并标明价格的工程量清单。</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1.1.1.9 其他合同文件：指经合同双方当事人确认构成合同文件的其他文件。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合同当事人和人员</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 合同当事人：指发包人和（或）承包人。</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发包人：指专用合同条款中指明并与承包人在合同协议书中签字的当事人。 </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1.1.2.3 承包人：指与发包人签订合同协议书的当事人。</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1.1.2.4 承包人项目经理：指承包人派驻施工场地的全权负责人。</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1.1.2.5 监理人：指在专用合同条款中指明的，受发包人委托对合同履行实施管理的法人或其他组织。属于国家强制监理的，监理人应当具有相应的监理资质。</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1.1.2.6 总监理工程师（总监）：指由监理人委派常驻施工场地对合同履行实施管理的全权负责人。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工程和设备</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 工程：指永久工程和（或）临时工程。</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 工程设备：指构成或计划构成永久工程一部分的机电设备、仪器装置、运载工具及其他类似的设备和装置。</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1.1.3.3 施工场地（或称工地、现场）：指用于合同工程施工的场所，以及在合同中指定作为施工场地组成部分的其他场所，包括永久占地和临时占地。</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日期</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1.1.4.1 开工通知：指监理人按第6.2款通知承包人开工的函件。</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1.1.4.2 开工日期：指监理人按第6.2款发出的开工通知中写明的开工日期。</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1.1.4.3 工期：指承包人在投标函中承诺的完成合同工程所需的期限，包括按第6.3款、第6.4款约定所作的变更。</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1.1.4.4 竣工日期：指第1.1.4.3目约定工期届满时的日期。实际竣工日期以工程接收证书中写明的日期为准。</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1.1.4.5 缺陷责任期：指履行第12.1款约定的缺陷责任的期限，具体期限由专用合同条款约定。</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1.1.4.6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 合同价格和费用</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1.1.5.1 签约合同价：指签定合同时合同协议书中写明的，包括了暂列金额的合同总金额。</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1.1.5.3 费用：指为履行合同所发生的或将要发生的所有合理开支，包括管理费和应分摊的其他费用，但不包括利润。</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1.1.5.5 计日工：指对零星工作采取的一种计价方式，按合同中的计日工子目及其单价计价付款。</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1.1.5.6 质量保证金（或称保留金）：指按第10.4款约定用于保证在缺陷责任期内履行缺陷修复义务的金额。</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 其他</w:t>
      </w:r>
    </w:p>
    <w:p>
      <w:pPr>
        <w:spacing w:line="400" w:lineRule="exact"/>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1.1.6.1 书面形式：指合同文件、信函、电报、传真、电子数据交换和电子邮件等可以有形地表现所载内容的形式。</w:t>
      </w:r>
    </w:p>
    <w:p>
      <w:pPr>
        <w:spacing w:line="400" w:lineRule="exact"/>
        <w:rPr>
          <w:rFonts w:ascii="宋体" w:hAnsi="宋体" w:eastAsia="宋体" w:cs="宋体"/>
          <w:b/>
          <w:color w:val="000000" w:themeColor="text1"/>
          <w:sz w:val="24"/>
          <w:szCs w:val="24"/>
          <w14:textFill>
            <w14:solidFill>
              <w14:schemeClr w14:val="tx1"/>
            </w14:solidFill>
          </w14:textFill>
        </w:rPr>
      </w:pPr>
      <w:bookmarkStart w:id="63" w:name="_Toc296602501"/>
      <w:bookmarkStart w:id="64" w:name="_Toc247085771"/>
      <w:bookmarkStart w:id="65" w:name="_Toc246996999"/>
      <w:bookmarkStart w:id="66" w:name="_Toc246996256"/>
      <w:r>
        <w:rPr>
          <w:rFonts w:hint="eastAsia" w:ascii="宋体" w:hAnsi="宋体" w:eastAsia="宋体" w:cs="宋体"/>
          <w:b/>
          <w:color w:val="000000" w:themeColor="text1"/>
          <w:sz w:val="24"/>
          <w:szCs w:val="24"/>
          <w14:textFill>
            <w14:solidFill>
              <w14:schemeClr w14:val="tx1"/>
            </w14:solidFill>
          </w14:textFill>
        </w:rPr>
        <w:t>1.2 语言文字</w:t>
      </w:r>
      <w:bookmarkEnd w:id="63"/>
      <w:bookmarkEnd w:id="64"/>
      <w:bookmarkEnd w:id="65"/>
      <w:bookmarkEnd w:id="66"/>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bookmarkStart w:id="67" w:name="_Toc246996257"/>
      <w:bookmarkStart w:id="68" w:name="_Toc246997000"/>
      <w:bookmarkStart w:id="69" w:name="_Toc247085772"/>
      <w:r>
        <w:rPr>
          <w:rFonts w:hint="eastAsia" w:ascii="宋体" w:hAnsi="宋体" w:eastAsia="宋体" w:cs="宋体"/>
          <w:color w:val="000000" w:themeColor="text1"/>
          <w:sz w:val="24"/>
          <w:szCs w:val="24"/>
          <w14:textFill>
            <w14:solidFill>
              <w14:schemeClr w14:val="tx1"/>
            </w14:solidFill>
          </w14:textFill>
        </w:rPr>
        <w:t>合同使用的语言文字为中文。专用术语使用外文的，应附有中文注释。</w:t>
      </w:r>
    </w:p>
    <w:p>
      <w:pPr>
        <w:spacing w:line="400" w:lineRule="exact"/>
        <w:rPr>
          <w:rFonts w:ascii="宋体" w:hAnsi="宋体" w:eastAsia="宋体" w:cs="宋体"/>
          <w:b/>
          <w:color w:val="000000" w:themeColor="text1"/>
          <w:sz w:val="24"/>
          <w:szCs w:val="24"/>
          <w14:textFill>
            <w14:solidFill>
              <w14:schemeClr w14:val="tx1"/>
            </w14:solidFill>
          </w14:textFill>
        </w:rPr>
      </w:pPr>
      <w:bookmarkStart w:id="70" w:name="_Toc296602502"/>
      <w:r>
        <w:rPr>
          <w:rFonts w:hint="eastAsia" w:ascii="宋体" w:hAnsi="宋体" w:eastAsia="宋体" w:cs="宋体"/>
          <w:b/>
          <w:color w:val="000000" w:themeColor="text1"/>
          <w:sz w:val="24"/>
          <w:szCs w:val="24"/>
          <w14:textFill>
            <w14:solidFill>
              <w14:schemeClr w14:val="tx1"/>
            </w14:solidFill>
          </w14:textFill>
        </w:rPr>
        <w:t>1.3 法律</w:t>
      </w:r>
      <w:bookmarkEnd w:id="67"/>
      <w:bookmarkEnd w:id="68"/>
      <w:bookmarkEnd w:id="69"/>
      <w:bookmarkEnd w:id="70"/>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适用于合同的法律包括中华人民共和国法律、行政法规、部门规章，以及工程所在地的地方法规、自治条例、单行条例和地方政府规章。</w:t>
      </w:r>
    </w:p>
    <w:p>
      <w:pPr>
        <w:spacing w:line="400" w:lineRule="exact"/>
        <w:rPr>
          <w:rFonts w:ascii="宋体" w:hAnsi="宋体" w:eastAsia="宋体" w:cs="宋体"/>
          <w:b/>
          <w:color w:val="000000" w:themeColor="text1"/>
          <w:sz w:val="24"/>
          <w:szCs w:val="24"/>
          <w14:textFill>
            <w14:solidFill>
              <w14:schemeClr w14:val="tx1"/>
            </w14:solidFill>
          </w14:textFill>
        </w:rPr>
      </w:pPr>
      <w:bookmarkStart w:id="71" w:name="_Toc247085773"/>
      <w:bookmarkStart w:id="72" w:name="_Toc246997001"/>
      <w:bookmarkStart w:id="73" w:name="_Toc296602503"/>
      <w:bookmarkStart w:id="74" w:name="_Toc246996258"/>
      <w:r>
        <w:rPr>
          <w:rFonts w:hint="eastAsia" w:ascii="宋体" w:hAnsi="宋体" w:eastAsia="宋体" w:cs="宋体"/>
          <w:b/>
          <w:color w:val="000000" w:themeColor="text1"/>
          <w:sz w:val="24"/>
          <w:szCs w:val="24"/>
          <w14:textFill>
            <w14:solidFill>
              <w14:schemeClr w14:val="tx1"/>
            </w14:solidFill>
          </w14:textFill>
        </w:rPr>
        <w:t>1.4 合同文件的优先顺序</w:t>
      </w:r>
      <w:bookmarkEnd w:id="71"/>
      <w:bookmarkEnd w:id="72"/>
      <w:bookmarkEnd w:id="73"/>
      <w:bookmarkEnd w:id="74"/>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组成合同的各项文件应互相解释，互为说明。除专用合同条款另有约定外，解释合同文件的优先顺序如下：</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（1）合同协议书；</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（2）中标通知书；</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（3）投标函及投标函附录；</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（4）专用合同条款；</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（5）通用合同条款；</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（6）技术标准和要求；</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（7）图纸；</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（8）已标价工程量清单；</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（9）其他合同文件。</w:t>
      </w:r>
    </w:p>
    <w:p>
      <w:pPr>
        <w:spacing w:line="400" w:lineRule="exact"/>
        <w:rPr>
          <w:rFonts w:ascii="宋体" w:hAnsi="宋体" w:eastAsia="宋体" w:cs="宋体"/>
          <w:b/>
          <w:color w:val="000000" w:themeColor="text1"/>
          <w:sz w:val="24"/>
          <w:szCs w:val="24"/>
          <w14:textFill>
            <w14:solidFill>
              <w14:schemeClr w14:val="tx1"/>
            </w14:solidFill>
          </w14:textFill>
        </w:rPr>
      </w:pPr>
      <w:bookmarkStart w:id="75" w:name="_Toc296602504"/>
      <w:bookmarkStart w:id="76" w:name="_Toc246996259"/>
      <w:bookmarkStart w:id="77" w:name="_Toc246997002"/>
      <w:bookmarkStart w:id="78" w:name="_Toc247085774"/>
      <w:r>
        <w:rPr>
          <w:rFonts w:hint="eastAsia" w:ascii="宋体" w:hAnsi="宋体" w:eastAsia="宋体" w:cs="宋体"/>
          <w:b/>
          <w:color w:val="000000" w:themeColor="text1"/>
          <w:sz w:val="24"/>
          <w:szCs w:val="24"/>
          <w14:textFill>
            <w14:solidFill>
              <w14:schemeClr w14:val="tx1"/>
            </w14:solidFill>
          </w14:textFill>
        </w:rPr>
        <w:t>1.5 合同协议书</w:t>
      </w:r>
      <w:bookmarkEnd w:id="75"/>
      <w:bookmarkEnd w:id="76"/>
      <w:bookmarkEnd w:id="77"/>
      <w:bookmarkEnd w:id="7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spacing w:line="400" w:lineRule="exact"/>
        <w:rPr>
          <w:rFonts w:ascii="宋体" w:hAnsi="宋体" w:eastAsia="宋体" w:cs="宋体"/>
          <w:b/>
          <w:color w:val="000000" w:themeColor="text1"/>
          <w:sz w:val="24"/>
          <w:szCs w:val="24"/>
          <w14:textFill>
            <w14:solidFill>
              <w14:schemeClr w14:val="tx1"/>
            </w14:solidFill>
          </w14:textFill>
        </w:rPr>
      </w:pPr>
      <w:bookmarkStart w:id="79" w:name="_Toc247085775"/>
      <w:bookmarkStart w:id="80" w:name="_Toc246996260"/>
      <w:bookmarkStart w:id="81" w:name="_Toc296602505"/>
      <w:bookmarkStart w:id="82" w:name="_Toc246997003"/>
      <w:r>
        <w:rPr>
          <w:rFonts w:hint="eastAsia" w:ascii="宋体" w:hAnsi="宋体" w:eastAsia="宋体" w:cs="宋体"/>
          <w:b/>
          <w:color w:val="000000" w:themeColor="text1"/>
          <w:sz w:val="24"/>
          <w:szCs w:val="24"/>
          <w14:textFill>
            <w14:solidFill>
              <w14:schemeClr w14:val="tx1"/>
            </w14:solidFill>
          </w14:textFill>
        </w:rPr>
        <w:t>1.6 图纸和承包人文件</w:t>
      </w:r>
      <w:bookmarkEnd w:id="79"/>
      <w:bookmarkEnd w:id="80"/>
      <w:bookmarkEnd w:id="81"/>
      <w:bookmarkEnd w:id="8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发包人提供的图纸</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除专用合同条款另有约定外，图纸应在合理的期限内按照合同约定的数量提供给承包人。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承包人提供的文件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按专用合同条款约定由承包人提供的文件，包括部分工程的大样图、加工图等，承包人应按约定的数量和期限报送监理人。监理人应在专用合同条款约定的期限内批复。</w:t>
      </w:r>
    </w:p>
    <w:p>
      <w:pPr>
        <w:spacing w:line="400" w:lineRule="exact"/>
        <w:rPr>
          <w:rFonts w:ascii="宋体" w:hAnsi="宋体" w:eastAsia="宋体" w:cs="宋体"/>
          <w:b/>
          <w:color w:val="000000" w:themeColor="text1"/>
          <w:sz w:val="24"/>
          <w:szCs w:val="24"/>
          <w14:textFill>
            <w14:solidFill>
              <w14:schemeClr w14:val="tx1"/>
            </w14:solidFill>
          </w14:textFill>
        </w:rPr>
      </w:pPr>
      <w:bookmarkStart w:id="83" w:name="_Toc246996261"/>
      <w:bookmarkStart w:id="84" w:name="_Toc247085776"/>
      <w:bookmarkStart w:id="85" w:name="_Toc246997004"/>
      <w:bookmarkStart w:id="86" w:name="_Toc296602506"/>
      <w:r>
        <w:rPr>
          <w:rFonts w:hint="eastAsia" w:ascii="宋体" w:hAnsi="宋体" w:eastAsia="宋体" w:cs="宋体"/>
          <w:b/>
          <w:color w:val="000000" w:themeColor="text1"/>
          <w:sz w:val="24"/>
          <w:szCs w:val="24"/>
          <w14:textFill>
            <w14:solidFill>
              <w14:schemeClr w14:val="tx1"/>
            </w14:solidFill>
          </w14:textFill>
        </w:rPr>
        <w:t>1.7 联络</w:t>
      </w:r>
      <w:bookmarkEnd w:id="83"/>
      <w:bookmarkEnd w:id="84"/>
      <w:bookmarkEnd w:id="85"/>
      <w:bookmarkEnd w:id="86"/>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与合同有关的通知、批准、证明、证书、指示、要求、请求、同意、意见、确定和决定等重要文件，均应采用书面形式。</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spacing w:line="400" w:lineRule="exact"/>
        <w:rPr>
          <w:rFonts w:ascii="宋体" w:hAnsi="宋体" w:eastAsia="宋体" w:cs="宋体"/>
          <w:b/>
          <w:color w:val="000000" w:themeColor="text1"/>
          <w:sz w:val="24"/>
          <w:szCs w:val="24"/>
          <w14:textFill>
            <w14:solidFill>
              <w14:schemeClr w14:val="tx1"/>
            </w14:solidFill>
          </w14:textFill>
        </w:rPr>
      </w:pPr>
      <w:bookmarkStart w:id="87" w:name="_Toc246996263"/>
      <w:bookmarkStart w:id="88" w:name="_Toc296602507"/>
      <w:bookmarkStart w:id="89" w:name="_Toc246997006"/>
      <w:bookmarkStart w:id="90" w:name="_Toc184635099"/>
      <w:bookmarkStart w:id="91" w:name="_Toc247085778"/>
      <w:r>
        <w:rPr>
          <w:rFonts w:hint="eastAsia" w:ascii="宋体" w:hAnsi="宋体" w:eastAsia="宋体" w:cs="宋体"/>
          <w:b/>
          <w:color w:val="000000" w:themeColor="text1"/>
          <w:sz w:val="24"/>
          <w:szCs w:val="24"/>
          <w14:textFill>
            <w14:solidFill>
              <w14:schemeClr w14:val="tx1"/>
            </w14:solidFill>
          </w14:textFill>
        </w:rPr>
        <w:t>2. 发包人义务</w:t>
      </w:r>
      <w:bookmarkEnd w:id="87"/>
      <w:bookmarkEnd w:id="88"/>
      <w:bookmarkEnd w:id="89"/>
      <w:bookmarkEnd w:id="90"/>
      <w:bookmarkEnd w:id="91"/>
    </w:p>
    <w:p>
      <w:pPr>
        <w:spacing w:line="400" w:lineRule="exact"/>
        <w:rPr>
          <w:rFonts w:ascii="宋体" w:hAnsi="宋体" w:eastAsia="宋体" w:cs="宋体"/>
          <w:b/>
          <w:color w:val="000000" w:themeColor="text1"/>
          <w:sz w:val="24"/>
          <w:szCs w:val="24"/>
          <w14:textFill>
            <w14:solidFill>
              <w14:schemeClr w14:val="tx1"/>
            </w14:solidFill>
          </w14:textFill>
        </w:rPr>
      </w:pPr>
      <w:bookmarkStart w:id="92" w:name="_Toc246997007"/>
      <w:bookmarkStart w:id="93" w:name="_Toc246996264"/>
      <w:bookmarkStart w:id="94" w:name="_Toc296602508"/>
      <w:bookmarkStart w:id="95" w:name="_Toc247085779"/>
      <w:r>
        <w:rPr>
          <w:rFonts w:hint="eastAsia" w:ascii="宋体" w:hAnsi="宋体" w:eastAsia="宋体" w:cs="宋体"/>
          <w:b/>
          <w:color w:val="000000" w:themeColor="text1"/>
          <w:sz w:val="24"/>
          <w:szCs w:val="24"/>
          <w14:textFill>
            <w14:solidFill>
              <w14:schemeClr w14:val="tx1"/>
            </w14:solidFill>
          </w14:textFill>
        </w:rPr>
        <w:t>2.1 遵守法律</w:t>
      </w:r>
      <w:bookmarkEnd w:id="92"/>
      <w:bookmarkEnd w:id="93"/>
      <w:bookmarkEnd w:id="94"/>
      <w:bookmarkEnd w:id="9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发包人在履行合同过程中应遵守法律，并保证承包人免于承担因发包人违反法律而引起的任何责任。</w:t>
      </w:r>
    </w:p>
    <w:p>
      <w:pPr>
        <w:spacing w:line="400" w:lineRule="exact"/>
        <w:rPr>
          <w:rFonts w:ascii="宋体" w:hAnsi="宋体" w:eastAsia="宋体" w:cs="宋体"/>
          <w:b/>
          <w:color w:val="000000" w:themeColor="text1"/>
          <w:sz w:val="24"/>
          <w:szCs w:val="24"/>
          <w14:textFill>
            <w14:solidFill>
              <w14:schemeClr w14:val="tx1"/>
            </w14:solidFill>
          </w14:textFill>
        </w:rPr>
      </w:pPr>
      <w:bookmarkStart w:id="96" w:name="_Toc246997008"/>
      <w:bookmarkStart w:id="97" w:name="_Toc246996265"/>
      <w:bookmarkStart w:id="98" w:name="_Toc296602509"/>
      <w:bookmarkStart w:id="99" w:name="_Toc247085780"/>
      <w:r>
        <w:rPr>
          <w:rFonts w:hint="eastAsia" w:ascii="宋体" w:hAnsi="宋体" w:eastAsia="宋体" w:cs="宋体"/>
          <w:b/>
          <w:color w:val="000000" w:themeColor="text1"/>
          <w:sz w:val="24"/>
          <w:szCs w:val="24"/>
          <w14:textFill>
            <w14:solidFill>
              <w14:schemeClr w14:val="tx1"/>
            </w14:solidFill>
          </w14:textFill>
        </w:rPr>
        <w:t>2.2 发出开工通知</w:t>
      </w:r>
      <w:bookmarkEnd w:id="96"/>
      <w:bookmarkEnd w:id="97"/>
      <w:bookmarkEnd w:id="98"/>
      <w:bookmarkEnd w:id="9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发包人应委托监理人按第6.2 款的约定向承包人发出开工通知。</w:t>
      </w:r>
    </w:p>
    <w:p>
      <w:pPr>
        <w:spacing w:line="400" w:lineRule="exact"/>
        <w:rPr>
          <w:rFonts w:ascii="宋体" w:hAnsi="宋体" w:eastAsia="宋体" w:cs="宋体"/>
          <w:b/>
          <w:color w:val="000000" w:themeColor="text1"/>
          <w:sz w:val="24"/>
          <w:szCs w:val="24"/>
          <w14:textFill>
            <w14:solidFill>
              <w14:schemeClr w14:val="tx1"/>
            </w14:solidFill>
          </w14:textFill>
        </w:rPr>
      </w:pPr>
      <w:bookmarkStart w:id="100" w:name="_Toc246997009"/>
      <w:bookmarkStart w:id="101" w:name="_Toc296602510"/>
      <w:bookmarkStart w:id="102" w:name="_Toc246996266"/>
      <w:bookmarkStart w:id="103" w:name="_Toc247085781"/>
      <w:r>
        <w:rPr>
          <w:rFonts w:hint="eastAsia" w:ascii="宋体" w:hAnsi="宋体" w:eastAsia="宋体" w:cs="宋体"/>
          <w:b/>
          <w:color w:val="000000" w:themeColor="text1"/>
          <w:sz w:val="24"/>
          <w:szCs w:val="24"/>
          <w14:textFill>
            <w14:solidFill>
              <w14:schemeClr w14:val="tx1"/>
            </w14:solidFill>
          </w14:textFill>
        </w:rPr>
        <w:t>2.3 提供施工场地</w:t>
      </w:r>
      <w:bookmarkEnd w:id="100"/>
      <w:bookmarkEnd w:id="101"/>
      <w:bookmarkEnd w:id="102"/>
      <w:bookmarkEnd w:id="10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发包人应按专用合同条款约定向承包人提供施工场地，以及施工场地内地下管线和地下设施等有关资料，并保证资料的真实、准确、完整。</w:t>
      </w:r>
    </w:p>
    <w:p>
      <w:pPr>
        <w:spacing w:line="400" w:lineRule="exact"/>
        <w:rPr>
          <w:rFonts w:ascii="宋体" w:hAnsi="宋体" w:eastAsia="宋体" w:cs="宋体"/>
          <w:b/>
          <w:color w:val="000000" w:themeColor="text1"/>
          <w:sz w:val="24"/>
          <w:szCs w:val="24"/>
          <w14:textFill>
            <w14:solidFill>
              <w14:schemeClr w14:val="tx1"/>
            </w14:solidFill>
          </w14:textFill>
        </w:rPr>
      </w:pPr>
      <w:bookmarkStart w:id="104" w:name="_Toc246996267"/>
      <w:bookmarkStart w:id="105" w:name="_Toc247085782"/>
      <w:bookmarkStart w:id="106" w:name="_Toc296602511"/>
      <w:bookmarkStart w:id="107" w:name="_Toc246997010"/>
      <w:r>
        <w:rPr>
          <w:rFonts w:hint="eastAsia" w:ascii="宋体" w:hAnsi="宋体" w:eastAsia="宋体" w:cs="宋体"/>
          <w:b/>
          <w:color w:val="000000" w:themeColor="text1"/>
          <w:sz w:val="24"/>
          <w:szCs w:val="24"/>
          <w14:textFill>
            <w14:solidFill>
              <w14:schemeClr w14:val="tx1"/>
            </w14:solidFill>
          </w14:textFill>
        </w:rPr>
        <w:t>2.4 协助承包人办理证件和批件</w:t>
      </w:r>
      <w:bookmarkEnd w:id="104"/>
      <w:bookmarkEnd w:id="105"/>
      <w:bookmarkEnd w:id="106"/>
      <w:bookmarkEnd w:id="10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发包人应协助承包人办理法律规定的有关施工证件和批件。</w:t>
      </w:r>
    </w:p>
    <w:p>
      <w:pPr>
        <w:spacing w:line="400" w:lineRule="exact"/>
        <w:rPr>
          <w:rFonts w:ascii="宋体" w:hAnsi="宋体" w:eastAsia="宋体" w:cs="宋体"/>
          <w:b/>
          <w:color w:val="000000" w:themeColor="text1"/>
          <w:sz w:val="24"/>
          <w:szCs w:val="24"/>
          <w14:textFill>
            <w14:solidFill>
              <w14:schemeClr w14:val="tx1"/>
            </w14:solidFill>
          </w14:textFill>
        </w:rPr>
      </w:pPr>
      <w:bookmarkStart w:id="108" w:name="_Toc246996268"/>
      <w:bookmarkStart w:id="109" w:name="_Toc246997011"/>
      <w:bookmarkStart w:id="110" w:name="_Toc247085783"/>
      <w:bookmarkStart w:id="111" w:name="_Toc296602512"/>
      <w:r>
        <w:rPr>
          <w:rFonts w:hint="eastAsia" w:ascii="宋体" w:hAnsi="宋体" w:eastAsia="宋体" w:cs="宋体"/>
          <w:b/>
          <w:color w:val="000000" w:themeColor="text1"/>
          <w:sz w:val="24"/>
          <w:szCs w:val="24"/>
          <w14:textFill>
            <w14:solidFill>
              <w14:schemeClr w14:val="tx1"/>
            </w14:solidFill>
          </w14:textFill>
        </w:rPr>
        <w:t>2.5 组织设计交底</w:t>
      </w:r>
      <w:bookmarkEnd w:id="108"/>
      <w:bookmarkEnd w:id="109"/>
      <w:bookmarkEnd w:id="110"/>
      <w:bookmarkEnd w:id="111"/>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发包人应根据合同进度计划，组织设计单位向承包人进行设计交底。</w:t>
      </w:r>
    </w:p>
    <w:p>
      <w:pPr>
        <w:spacing w:line="400" w:lineRule="exact"/>
        <w:rPr>
          <w:rFonts w:ascii="宋体" w:hAnsi="宋体" w:eastAsia="宋体" w:cs="宋体"/>
          <w:b/>
          <w:color w:val="000000" w:themeColor="text1"/>
          <w:sz w:val="24"/>
          <w:szCs w:val="24"/>
          <w14:textFill>
            <w14:solidFill>
              <w14:schemeClr w14:val="tx1"/>
            </w14:solidFill>
          </w14:textFill>
        </w:rPr>
      </w:pPr>
      <w:bookmarkStart w:id="112" w:name="_Toc246997012"/>
      <w:bookmarkStart w:id="113" w:name="_Toc296602513"/>
      <w:bookmarkStart w:id="114" w:name="_Toc247085784"/>
      <w:bookmarkStart w:id="115" w:name="_Toc246996269"/>
      <w:r>
        <w:rPr>
          <w:rFonts w:hint="eastAsia" w:ascii="宋体" w:hAnsi="宋体" w:eastAsia="宋体" w:cs="宋体"/>
          <w:b/>
          <w:color w:val="000000" w:themeColor="text1"/>
          <w:sz w:val="24"/>
          <w:szCs w:val="24"/>
          <w14:textFill>
            <w14:solidFill>
              <w14:schemeClr w14:val="tx1"/>
            </w14:solidFill>
          </w14:textFill>
        </w:rPr>
        <w:t>2.6 支付合同价款</w:t>
      </w:r>
      <w:bookmarkEnd w:id="112"/>
      <w:bookmarkEnd w:id="113"/>
      <w:bookmarkEnd w:id="114"/>
      <w:bookmarkEnd w:id="11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发包人应按合同约定向承包人及时支付合同价款。</w:t>
      </w:r>
    </w:p>
    <w:p>
      <w:pPr>
        <w:spacing w:line="400" w:lineRule="exact"/>
        <w:rPr>
          <w:rFonts w:ascii="宋体" w:hAnsi="宋体" w:eastAsia="宋体" w:cs="宋体"/>
          <w:b/>
          <w:color w:val="000000" w:themeColor="text1"/>
          <w:sz w:val="24"/>
          <w:szCs w:val="24"/>
          <w14:textFill>
            <w14:solidFill>
              <w14:schemeClr w14:val="tx1"/>
            </w14:solidFill>
          </w14:textFill>
        </w:rPr>
      </w:pPr>
      <w:bookmarkStart w:id="116" w:name="_Toc246997013"/>
      <w:bookmarkStart w:id="117" w:name="_Toc247085785"/>
      <w:bookmarkStart w:id="118" w:name="_Toc296602514"/>
      <w:bookmarkStart w:id="119" w:name="_Toc246996270"/>
      <w:r>
        <w:rPr>
          <w:rFonts w:hint="eastAsia" w:ascii="宋体" w:hAnsi="宋体" w:eastAsia="宋体" w:cs="宋体"/>
          <w:b/>
          <w:color w:val="000000" w:themeColor="text1"/>
          <w:sz w:val="24"/>
          <w:szCs w:val="24"/>
          <w14:textFill>
            <w14:solidFill>
              <w14:schemeClr w14:val="tx1"/>
            </w14:solidFill>
          </w14:textFill>
        </w:rPr>
        <w:t>2.7 组织竣工验收</w:t>
      </w:r>
      <w:bookmarkEnd w:id="116"/>
      <w:bookmarkEnd w:id="117"/>
      <w:bookmarkEnd w:id="118"/>
      <w:bookmarkEnd w:id="11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发包人应按合同约定及时组织竣工验收。</w:t>
      </w:r>
    </w:p>
    <w:p>
      <w:pPr>
        <w:spacing w:line="400" w:lineRule="exact"/>
        <w:rPr>
          <w:rFonts w:ascii="宋体" w:hAnsi="宋体" w:eastAsia="宋体" w:cs="宋体"/>
          <w:b/>
          <w:color w:val="000000" w:themeColor="text1"/>
          <w:sz w:val="24"/>
          <w:szCs w:val="24"/>
          <w14:textFill>
            <w14:solidFill>
              <w14:schemeClr w14:val="tx1"/>
            </w14:solidFill>
          </w14:textFill>
        </w:rPr>
      </w:pPr>
      <w:bookmarkStart w:id="120" w:name="_Toc246996271"/>
      <w:bookmarkStart w:id="121" w:name="_Toc296602515"/>
      <w:bookmarkStart w:id="122" w:name="_Toc247085786"/>
      <w:bookmarkStart w:id="123" w:name="_Toc246997014"/>
      <w:r>
        <w:rPr>
          <w:rFonts w:hint="eastAsia" w:ascii="宋体" w:hAnsi="宋体" w:eastAsia="宋体" w:cs="宋体"/>
          <w:b/>
          <w:color w:val="000000" w:themeColor="text1"/>
          <w:sz w:val="24"/>
          <w:szCs w:val="24"/>
          <w14:textFill>
            <w14:solidFill>
              <w14:schemeClr w14:val="tx1"/>
            </w14:solidFill>
          </w14:textFill>
        </w:rPr>
        <w:t>2.8 其他义务</w:t>
      </w:r>
      <w:bookmarkEnd w:id="120"/>
      <w:bookmarkEnd w:id="121"/>
      <w:bookmarkEnd w:id="122"/>
      <w:bookmarkEnd w:id="12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发包人应履行合同约定的其他义务。</w:t>
      </w:r>
    </w:p>
    <w:p>
      <w:pPr>
        <w:spacing w:line="400" w:lineRule="exact"/>
        <w:rPr>
          <w:rFonts w:ascii="宋体" w:hAnsi="宋体" w:eastAsia="宋体" w:cs="宋体"/>
          <w:b/>
          <w:color w:val="000000" w:themeColor="text1"/>
          <w:sz w:val="24"/>
          <w:szCs w:val="24"/>
          <w14:textFill>
            <w14:solidFill>
              <w14:schemeClr w14:val="tx1"/>
            </w14:solidFill>
          </w14:textFill>
        </w:rPr>
      </w:pPr>
      <w:bookmarkStart w:id="124" w:name="_Toc246996272"/>
      <w:bookmarkStart w:id="125" w:name="_Toc247085787"/>
      <w:bookmarkStart w:id="126" w:name="_Toc184635100"/>
      <w:bookmarkStart w:id="127" w:name="_Toc296602516"/>
      <w:bookmarkStart w:id="128" w:name="_Toc246997015"/>
      <w:r>
        <w:rPr>
          <w:rFonts w:hint="eastAsia" w:ascii="宋体" w:hAnsi="宋体" w:eastAsia="宋体" w:cs="宋体"/>
          <w:b/>
          <w:color w:val="000000" w:themeColor="text1"/>
          <w:sz w:val="24"/>
          <w:szCs w:val="24"/>
          <w14:textFill>
            <w14:solidFill>
              <w14:schemeClr w14:val="tx1"/>
            </w14:solidFill>
          </w14:textFill>
        </w:rPr>
        <w:t>3. 监理人</w:t>
      </w:r>
      <w:bookmarkEnd w:id="124"/>
      <w:bookmarkEnd w:id="125"/>
      <w:bookmarkEnd w:id="126"/>
      <w:bookmarkEnd w:id="127"/>
      <w:bookmarkEnd w:id="128"/>
    </w:p>
    <w:p>
      <w:pPr>
        <w:spacing w:line="400" w:lineRule="exact"/>
        <w:rPr>
          <w:rFonts w:ascii="宋体" w:hAnsi="宋体" w:eastAsia="宋体" w:cs="宋体"/>
          <w:b/>
          <w:color w:val="000000" w:themeColor="text1"/>
          <w:sz w:val="24"/>
          <w:szCs w:val="24"/>
          <w14:textFill>
            <w14:solidFill>
              <w14:schemeClr w14:val="tx1"/>
            </w14:solidFill>
          </w14:textFill>
        </w:rPr>
      </w:pPr>
      <w:bookmarkStart w:id="129" w:name="_Toc246996273"/>
      <w:bookmarkStart w:id="130" w:name="_Toc247085788"/>
      <w:bookmarkStart w:id="131" w:name="_Toc246997016"/>
      <w:bookmarkStart w:id="132" w:name="_Toc296602517"/>
      <w:r>
        <w:rPr>
          <w:rFonts w:hint="eastAsia" w:ascii="宋体" w:hAnsi="宋体" w:eastAsia="宋体" w:cs="宋体"/>
          <w:b/>
          <w:color w:val="000000" w:themeColor="text1"/>
          <w:sz w:val="24"/>
          <w:szCs w:val="24"/>
          <w14:textFill>
            <w14:solidFill>
              <w14:schemeClr w14:val="tx1"/>
            </w14:solidFill>
          </w14:textFill>
        </w:rPr>
        <w:t>3.1 监理人的职责和权力</w:t>
      </w:r>
      <w:bookmarkEnd w:id="129"/>
      <w:bookmarkEnd w:id="130"/>
      <w:bookmarkEnd w:id="131"/>
      <w:bookmarkEnd w:id="13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 合同约定应由承包人承担的义务和责任，不因监理人对承包人文件的审查或批准，对工程、材料和工程设备的检查和检验，以及为实施监理作出的指示等职务行为而减轻或解除。</w:t>
      </w:r>
    </w:p>
    <w:p>
      <w:pPr>
        <w:spacing w:line="400" w:lineRule="exact"/>
        <w:rPr>
          <w:rFonts w:ascii="宋体" w:hAnsi="宋体" w:eastAsia="宋体" w:cs="宋体"/>
          <w:b/>
          <w:color w:val="000000" w:themeColor="text1"/>
          <w:sz w:val="24"/>
          <w:szCs w:val="24"/>
          <w14:textFill>
            <w14:solidFill>
              <w14:schemeClr w14:val="tx1"/>
            </w14:solidFill>
          </w14:textFill>
        </w:rPr>
      </w:pPr>
      <w:bookmarkStart w:id="133" w:name="_Toc247085789"/>
      <w:bookmarkStart w:id="134" w:name="_Toc246997017"/>
      <w:bookmarkStart w:id="135" w:name="_Toc296602518"/>
      <w:bookmarkStart w:id="136" w:name="_Toc246996274"/>
      <w:r>
        <w:rPr>
          <w:rFonts w:hint="eastAsia" w:ascii="宋体" w:hAnsi="宋体" w:eastAsia="宋体" w:cs="宋体"/>
          <w:b/>
          <w:color w:val="000000" w:themeColor="text1"/>
          <w:sz w:val="24"/>
          <w:szCs w:val="24"/>
          <w14:textFill>
            <w14:solidFill>
              <w14:schemeClr w14:val="tx1"/>
            </w14:solidFill>
          </w14:textFill>
        </w:rPr>
        <w:t>3.2 总监理工程师</w:t>
      </w:r>
      <w:bookmarkEnd w:id="133"/>
      <w:bookmarkEnd w:id="134"/>
      <w:bookmarkEnd w:id="135"/>
      <w:bookmarkEnd w:id="136"/>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发包人应在发出开工通知前将总监理工程师的任命通知承包人。</w:t>
      </w:r>
    </w:p>
    <w:p>
      <w:pPr>
        <w:spacing w:line="400" w:lineRule="exact"/>
        <w:rPr>
          <w:rFonts w:ascii="宋体" w:hAnsi="宋体" w:eastAsia="宋体" w:cs="宋体"/>
          <w:b/>
          <w:color w:val="000000" w:themeColor="text1"/>
          <w:sz w:val="24"/>
          <w:szCs w:val="24"/>
          <w14:textFill>
            <w14:solidFill>
              <w14:schemeClr w14:val="tx1"/>
            </w14:solidFill>
          </w14:textFill>
        </w:rPr>
      </w:pPr>
      <w:bookmarkStart w:id="137" w:name="_Toc247085790"/>
      <w:bookmarkStart w:id="138" w:name="_Toc296602519"/>
      <w:bookmarkStart w:id="139" w:name="_Toc246997018"/>
      <w:bookmarkStart w:id="140" w:name="_Toc246996275"/>
      <w:r>
        <w:rPr>
          <w:rFonts w:hint="eastAsia" w:ascii="宋体" w:hAnsi="宋体" w:eastAsia="宋体" w:cs="宋体"/>
          <w:b/>
          <w:color w:val="000000" w:themeColor="text1"/>
          <w:sz w:val="24"/>
          <w:szCs w:val="24"/>
          <w14:textFill>
            <w14:solidFill>
              <w14:schemeClr w14:val="tx1"/>
            </w14:solidFill>
          </w14:textFill>
        </w:rPr>
        <w:t>3.3 监理人员</w:t>
      </w:r>
      <w:bookmarkEnd w:id="137"/>
      <w:bookmarkEnd w:id="138"/>
      <w:bookmarkEnd w:id="139"/>
      <w:bookmarkEnd w:id="140"/>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 承包人对总监理工程师授权的监理人员发出的指示有疑问的，可在该指示发出的48小时内向总监理工程师提出书面异议，总监理工程师应在48小时内对该指示予以确认、更改或撤销。</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 除专用合同条款另有约定外，总监理工程师不应将第3.5 款约定应由总监理工程师作出确定的权力授权或委托给其他监理人员。</w:t>
      </w:r>
    </w:p>
    <w:p>
      <w:pPr>
        <w:spacing w:line="400" w:lineRule="exact"/>
        <w:rPr>
          <w:rFonts w:ascii="宋体" w:hAnsi="宋体" w:eastAsia="宋体" w:cs="宋体"/>
          <w:b/>
          <w:color w:val="000000" w:themeColor="text1"/>
          <w:sz w:val="24"/>
          <w:szCs w:val="24"/>
          <w14:textFill>
            <w14:solidFill>
              <w14:schemeClr w14:val="tx1"/>
            </w14:solidFill>
          </w14:textFill>
        </w:rPr>
      </w:pPr>
      <w:bookmarkStart w:id="141" w:name="_Toc246996276"/>
      <w:bookmarkStart w:id="142" w:name="_Toc247085791"/>
      <w:bookmarkStart w:id="143" w:name="_Toc246997019"/>
      <w:bookmarkStart w:id="144" w:name="_Toc296602520"/>
      <w:r>
        <w:rPr>
          <w:rFonts w:hint="eastAsia" w:ascii="宋体" w:hAnsi="宋体" w:eastAsia="宋体" w:cs="宋体"/>
          <w:b/>
          <w:color w:val="000000" w:themeColor="text1"/>
          <w:sz w:val="24"/>
          <w:szCs w:val="24"/>
          <w14:textFill>
            <w14:solidFill>
              <w14:schemeClr w14:val="tx1"/>
            </w14:solidFill>
          </w14:textFill>
        </w:rPr>
        <w:t>3.4 监理人的指示</w:t>
      </w:r>
      <w:bookmarkEnd w:id="141"/>
      <w:bookmarkEnd w:id="142"/>
      <w:bookmarkEnd w:id="143"/>
      <w:bookmarkEnd w:id="144"/>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 监理人应按第3.1 款的约定向承包人发出指示，监理人的指示应盖有监理人授权的施工场地机构章，并由总监理工程师或总监理工程师按第3.3.1 项约定授权的监理人员签字。</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 承包人收到监理人按第3.4.1 项作出的指示后应遵照执行。指示构成变更的，应按第9条处理。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3.4.4 除合同另有约定外，承包人只从总监理工程师或按第3.3.1 项被授权的监理人员处取得指示。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3.4.5 由于监理人未能按合同约定发出指示、指示延误或指示错误而导致承包人费用增加和（或）工期延误的，由发包人承担赔偿责任。</w:t>
      </w:r>
    </w:p>
    <w:p>
      <w:pPr>
        <w:spacing w:line="400" w:lineRule="exact"/>
        <w:rPr>
          <w:rFonts w:ascii="宋体" w:hAnsi="宋体" w:eastAsia="宋体" w:cs="宋体"/>
          <w:b/>
          <w:color w:val="000000" w:themeColor="text1"/>
          <w:sz w:val="24"/>
          <w:szCs w:val="24"/>
          <w14:textFill>
            <w14:solidFill>
              <w14:schemeClr w14:val="tx1"/>
            </w14:solidFill>
          </w14:textFill>
        </w:rPr>
      </w:pPr>
      <w:bookmarkStart w:id="145" w:name="_Toc246997020"/>
      <w:bookmarkStart w:id="146" w:name="_Toc296602521"/>
      <w:bookmarkStart w:id="147" w:name="_Toc247085792"/>
      <w:bookmarkStart w:id="148" w:name="_Toc246996277"/>
      <w:r>
        <w:rPr>
          <w:rFonts w:hint="eastAsia" w:ascii="宋体" w:hAnsi="宋体" w:eastAsia="宋体" w:cs="宋体"/>
          <w:b/>
          <w:color w:val="000000" w:themeColor="text1"/>
          <w:sz w:val="24"/>
          <w:szCs w:val="24"/>
          <w14:textFill>
            <w14:solidFill>
              <w14:schemeClr w14:val="tx1"/>
            </w14:solidFill>
          </w14:textFill>
        </w:rPr>
        <w:t>3.5 商定或确定</w:t>
      </w:r>
      <w:bookmarkEnd w:id="145"/>
      <w:bookmarkEnd w:id="146"/>
      <w:bookmarkEnd w:id="147"/>
      <w:bookmarkEnd w:id="14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 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spacing w:line="400" w:lineRule="exact"/>
        <w:rPr>
          <w:rFonts w:ascii="宋体" w:hAnsi="宋体" w:eastAsia="宋体" w:cs="宋体"/>
          <w:b/>
          <w:color w:val="000000" w:themeColor="text1"/>
          <w:sz w:val="24"/>
          <w:szCs w:val="24"/>
          <w14:textFill>
            <w14:solidFill>
              <w14:schemeClr w14:val="tx1"/>
            </w14:solidFill>
          </w14:textFill>
        </w:rPr>
      </w:pPr>
      <w:bookmarkStart w:id="149" w:name="_Toc247085793"/>
      <w:bookmarkStart w:id="150" w:name="_Toc246997021"/>
      <w:bookmarkStart w:id="151" w:name="_Toc184635101"/>
      <w:bookmarkStart w:id="152" w:name="_Toc296602522"/>
      <w:bookmarkStart w:id="153" w:name="_Toc246996278"/>
      <w:r>
        <w:rPr>
          <w:rFonts w:hint="eastAsia" w:ascii="宋体" w:hAnsi="宋体" w:eastAsia="宋体" w:cs="宋体"/>
          <w:b/>
          <w:color w:val="000000" w:themeColor="text1"/>
          <w:sz w:val="24"/>
          <w:szCs w:val="24"/>
          <w14:textFill>
            <w14:solidFill>
              <w14:schemeClr w14:val="tx1"/>
            </w14:solidFill>
          </w14:textFill>
        </w:rPr>
        <w:t>4. 承包人</w:t>
      </w:r>
      <w:bookmarkEnd w:id="149"/>
      <w:bookmarkEnd w:id="150"/>
      <w:bookmarkEnd w:id="151"/>
      <w:bookmarkEnd w:id="152"/>
      <w:bookmarkEnd w:id="153"/>
    </w:p>
    <w:p>
      <w:pPr>
        <w:spacing w:line="400" w:lineRule="exact"/>
        <w:rPr>
          <w:rFonts w:ascii="宋体" w:hAnsi="宋体" w:eastAsia="宋体" w:cs="宋体"/>
          <w:b/>
          <w:color w:val="000000" w:themeColor="text1"/>
          <w:sz w:val="24"/>
          <w:szCs w:val="24"/>
          <w14:textFill>
            <w14:solidFill>
              <w14:schemeClr w14:val="tx1"/>
            </w14:solidFill>
          </w14:textFill>
        </w:rPr>
      </w:pPr>
      <w:bookmarkStart w:id="154" w:name="_Toc296602523"/>
      <w:bookmarkStart w:id="155" w:name="_Toc247085794"/>
      <w:bookmarkStart w:id="156" w:name="_Toc246997022"/>
      <w:bookmarkStart w:id="157" w:name="_Toc246996279"/>
      <w:r>
        <w:rPr>
          <w:rFonts w:hint="eastAsia" w:ascii="宋体" w:hAnsi="宋体" w:eastAsia="宋体" w:cs="宋体"/>
          <w:b/>
          <w:color w:val="000000" w:themeColor="text1"/>
          <w:sz w:val="24"/>
          <w:szCs w:val="24"/>
          <w14:textFill>
            <w14:solidFill>
              <w14:schemeClr w14:val="tx1"/>
            </w14:solidFill>
          </w14:textFill>
        </w:rPr>
        <w:t>4.1 承包人的一般义务</w:t>
      </w:r>
      <w:bookmarkEnd w:id="154"/>
      <w:bookmarkEnd w:id="155"/>
      <w:bookmarkEnd w:id="156"/>
      <w:bookmarkEnd w:id="157"/>
    </w:p>
    <w:p>
      <w:pPr>
        <w:spacing w:line="400" w:lineRule="exact"/>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 承包人应按合同约定以及监理人根据第3.4 款作出的指示，实施、完成全部工程，并修补工程中的任何缺陷。</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 除合同另有约定外，承包人应提供为按照合同完成工程所需的劳务、材料、施工设备、工程设备和其他物品，以及按合同约定的临时设施等。</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 承包人应对所有现场作业、所有施工方法和全部工程的完备性、稳定性和安全性负责。</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4.1.4 承包人应按照法律规定和合同约定，负责施工场地及其周边环境与生态的保护工作。</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 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4.1.6 承包人应履行合同约定的其他义务。</w:t>
      </w:r>
    </w:p>
    <w:p>
      <w:pPr>
        <w:spacing w:line="400" w:lineRule="exact"/>
        <w:rPr>
          <w:rFonts w:ascii="宋体" w:hAnsi="宋体" w:eastAsia="宋体" w:cs="宋体"/>
          <w:b/>
          <w:color w:val="000000" w:themeColor="text1"/>
          <w:sz w:val="24"/>
          <w:szCs w:val="24"/>
          <w14:textFill>
            <w14:solidFill>
              <w14:schemeClr w14:val="tx1"/>
            </w14:solidFill>
          </w14:textFill>
        </w:rPr>
      </w:pPr>
      <w:bookmarkStart w:id="158" w:name="_Toc296602524"/>
      <w:bookmarkStart w:id="159" w:name="_Toc246996280"/>
      <w:bookmarkStart w:id="160" w:name="_Toc246997023"/>
      <w:bookmarkStart w:id="161" w:name="_Toc247085795"/>
      <w:r>
        <w:rPr>
          <w:rFonts w:hint="eastAsia" w:ascii="宋体" w:hAnsi="宋体" w:eastAsia="宋体" w:cs="宋体"/>
          <w:b/>
          <w:color w:val="000000" w:themeColor="text1"/>
          <w:sz w:val="24"/>
          <w:szCs w:val="24"/>
          <w14:textFill>
            <w14:solidFill>
              <w14:schemeClr w14:val="tx1"/>
            </w14:solidFill>
          </w14:textFill>
        </w:rPr>
        <w:t>4.2 履约担保</w:t>
      </w:r>
      <w:bookmarkEnd w:id="158"/>
      <w:bookmarkEnd w:id="159"/>
      <w:bookmarkEnd w:id="160"/>
      <w:bookmarkEnd w:id="161"/>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4.2.1承包人应保证其履约担保在发包人颁发工程接收证书前一直有效。发包人应在工程接收证书颁发后28 天内把履约担保退还给承包人。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4.2.2如工程延期，承包人有义务继续提供履约担保。由于发包人原因导致延期的，继续提供履约担保所需的费用由发包人承担；由于承包人原因导致延期的，继续提供履约担保所需费用由承包人承担。</w:t>
      </w:r>
    </w:p>
    <w:p>
      <w:pPr>
        <w:spacing w:line="400" w:lineRule="exact"/>
        <w:rPr>
          <w:rFonts w:ascii="宋体" w:hAnsi="宋体" w:eastAsia="宋体" w:cs="宋体"/>
          <w:b/>
          <w:color w:val="000000" w:themeColor="text1"/>
          <w:sz w:val="24"/>
          <w:szCs w:val="24"/>
          <w14:textFill>
            <w14:solidFill>
              <w14:schemeClr w14:val="tx1"/>
            </w14:solidFill>
          </w14:textFill>
        </w:rPr>
      </w:pPr>
      <w:bookmarkStart w:id="162" w:name="_Toc246997025"/>
      <w:bookmarkStart w:id="163" w:name="_Toc296602525"/>
      <w:bookmarkStart w:id="164" w:name="_Toc246996282"/>
      <w:bookmarkStart w:id="165" w:name="_Toc247085797"/>
      <w:r>
        <w:rPr>
          <w:rFonts w:hint="eastAsia" w:ascii="宋体" w:hAnsi="宋体" w:eastAsia="宋体" w:cs="宋体"/>
          <w:b/>
          <w:color w:val="000000" w:themeColor="text1"/>
          <w:sz w:val="24"/>
          <w:szCs w:val="24"/>
          <w14:textFill>
            <w14:solidFill>
              <w14:schemeClr w14:val="tx1"/>
            </w14:solidFill>
          </w14:textFill>
        </w:rPr>
        <w:t>4.3 承包人项目经理</w:t>
      </w:r>
      <w:bookmarkEnd w:id="162"/>
      <w:bookmarkEnd w:id="163"/>
      <w:bookmarkEnd w:id="164"/>
      <w:bookmarkEnd w:id="16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pacing w:line="400" w:lineRule="exact"/>
        <w:rPr>
          <w:rFonts w:ascii="宋体" w:hAnsi="宋体" w:eastAsia="宋体" w:cs="宋体"/>
          <w:b/>
          <w:color w:val="000000" w:themeColor="text1"/>
          <w:sz w:val="24"/>
          <w:szCs w:val="24"/>
          <w14:textFill>
            <w14:solidFill>
              <w14:schemeClr w14:val="tx1"/>
            </w14:solidFill>
          </w14:textFill>
        </w:rPr>
      </w:pPr>
      <w:bookmarkStart w:id="166" w:name="_Toc246997026"/>
      <w:bookmarkStart w:id="167" w:name="_Toc246996283"/>
      <w:bookmarkStart w:id="168" w:name="_Toc247085798"/>
      <w:bookmarkStart w:id="169" w:name="_Toc296602526"/>
      <w:r>
        <w:rPr>
          <w:rFonts w:hint="eastAsia" w:ascii="宋体" w:hAnsi="宋体" w:eastAsia="宋体" w:cs="宋体"/>
          <w:b/>
          <w:color w:val="000000" w:themeColor="text1"/>
          <w:sz w:val="24"/>
          <w:szCs w:val="24"/>
          <w14:textFill>
            <w14:solidFill>
              <w14:schemeClr w14:val="tx1"/>
            </w14:solidFill>
          </w14:textFill>
        </w:rPr>
        <w:t>4.4 工程价款应专款专用</w:t>
      </w:r>
      <w:bookmarkEnd w:id="166"/>
      <w:bookmarkEnd w:id="167"/>
      <w:bookmarkEnd w:id="168"/>
      <w:bookmarkEnd w:id="16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发包人按合同约定支付给承包人的各项价款应专用于合同工程。</w:t>
      </w:r>
      <w:bookmarkStart w:id="170" w:name="_Toc246997027"/>
      <w:bookmarkStart w:id="171" w:name="_Toc246996284"/>
      <w:bookmarkStart w:id="172" w:name="_Toc247085799"/>
    </w:p>
    <w:p>
      <w:pPr>
        <w:spacing w:line="400" w:lineRule="exact"/>
        <w:rPr>
          <w:rFonts w:ascii="宋体" w:hAnsi="宋体" w:eastAsia="宋体" w:cs="宋体"/>
          <w:b/>
          <w:color w:val="000000" w:themeColor="text1"/>
          <w:sz w:val="24"/>
          <w:szCs w:val="24"/>
          <w14:textFill>
            <w14:solidFill>
              <w14:schemeClr w14:val="tx1"/>
            </w14:solidFill>
          </w14:textFill>
        </w:rPr>
      </w:pPr>
      <w:bookmarkStart w:id="173" w:name="_Toc296602527"/>
      <w:r>
        <w:rPr>
          <w:rFonts w:hint="eastAsia" w:ascii="宋体" w:hAnsi="宋体" w:eastAsia="宋体" w:cs="宋体"/>
          <w:b/>
          <w:color w:val="000000" w:themeColor="text1"/>
          <w:sz w:val="24"/>
          <w:szCs w:val="24"/>
          <w14:textFill>
            <w14:solidFill>
              <w14:schemeClr w14:val="tx1"/>
            </w14:solidFill>
          </w14:textFill>
        </w:rPr>
        <w:t>4.5 不利物质条件</w:t>
      </w:r>
      <w:bookmarkEnd w:id="17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pacing w:line="400" w:lineRule="exact"/>
        <w:rPr>
          <w:rFonts w:ascii="宋体" w:hAnsi="宋体" w:eastAsia="宋体" w:cs="宋体"/>
          <w:b/>
          <w:color w:val="000000" w:themeColor="text1"/>
          <w:sz w:val="24"/>
          <w:szCs w:val="24"/>
          <w14:textFill>
            <w14:solidFill>
              <w14:schemeClr w14:val="tx1"/>
            </w14:solidFill>
          </w14:textFill>
        </w:rPr>
      </w:pPr>
      <w:bookmarkStart w:id="174" w:name="_Toc179632686"/>
      <w:bookmarkStart w:id="175" w:name="_Toc144974636"/>
      <w:bookmarkStart w:id="176" w:name="_Toc152045668"/>
      <w:bookmarkStart w:id="177" w:name="_Toc152042446"/>
      <w:bookmarkStart w:id="178" w:name="_Toc296602528"/>
      <w:r>
        <w:rPr>
          <w:rFonts w:hint="eastAsia" w:ascii="宋体" w:hAnsi="宋体" w:eastAsia="宋体" w:cs="宋体"/>
          <w:b/>
          <w:color w:val="000000" w:themeColor="text1"/>
          <w:sz w:val="24"/>
          <w:szCs w:val="24"/>
          <w14:textFill>
            <w14:solidFill>
              <w14:schemeClr w14:val="tx1"/>
            </w14:solidFill>
          </w14:textFill>
        </w:rPr>
        <w:t xml:space="preserve">5. </w:t>
      </w:r>
      <w:bookmarkEnd w:id="174"/>
      <w:bookmarkEnd w:id="175"/>
      <w:bookmarkEnd w:id="176"/>
      <w:bookmarkEnd w:id="177"/>
      <w:r>
        <w:rPr>
          <w:rFonts w:hint="eastAsia" w:ascii="宋体" w:hAnsi="宋体" w:eastAsia="宋体" w:cs="宋体"/>
          <w:b/>
          <w:color w:val="000000" w:themeColor="text1"/>
          <w:sz w:val="24"/>
          <w:szCs w:val="24"/>
          <w14:textFill>
            <w14:solidFill>
              <w14:schemeClr w14:val="tx1"/>
            </w14:solidFill>
          </w14:textFill>
        </w:rPr>
        <w:t>施工控制网</w:t>
      </w:r>
      <w:bookmarkEnd w:id="17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承包人应负责管理施工控制网点。施工控制网点丢失或损坏的，承包人应及时修复。承包人应承担施工控制网点的管理与修复费用，并在工程竣工后将施工控制网点移交发包人。</w:t>
      </w:r>
    </w:p>
    <w:p>
      <w:pPr>
        <w:spacing w:line="400" w:lineRule="exact"/>
        <w:rPr>
          <w:rFonts w:ascii="宋体" w:hAnsi="宋体" w:eastAsia="宋体" w:cs="宋体"/>
          <w:b/>
          <w:color w:val="000000" w:themeColor="text1"/>
          <w:sz w:val="24"/>
          <w:szCs w:val="24"/>
          <w14:textFill>
            <w14:solidFill>
              <w14:schemeClr w14:val="tx1"/>
            </w14:solidFill>
          </w14:textFill>
        </w:rPr>
      </w:pPr>
      <w:bookmarkStart w:id="179" w:name="_Toc296602529"/>
      <w:r>
        <w:rPr>
          <w:rFonts w:hint="eastAsia" w:ascii="宋体" w:hAnsi="宋体" w:eastAsia="宋体" w:cs="宋体"/>
          <w:b/>
          <w:color w:val="000000" w:themeColor="text1"/>
          <w:sz w:val="24"/>
          <w:szCs w:val="24"/>
          <w14:textFill>
            <w14:solidFill>
              <w14:schemeClr w14:val="tx1"/>
            </w14:solidFill>
          </w14:textFill>
        </w:rPr>
        <w:t>6. 工期</w:t>
      </w:r>
      <w:bookmarkEnd w:id="179"/>
    </w:p>
    <w:p>
      <w:pPr>
        <w:spacing w:line="400" w:lineRule="exact"/>
        <w:rPr>
          <w:rFonts w:ascii="宋体" w:hAnsi="宋体" w:eastAsia="宋体" w:cs="宋体"/>
          <w:b/>
          <w:color w:val="000000" w:themeColor="text1"/>
          <w:sz w:val="24"/>
          <w:szCs w:val="24"/>
          <w14:textFill>
            <w14:solidFill>
              <w14:schemeClr w14:val="tx1"/>
            </w14:solidFill>
          </w14:textFill>
        </w:rPr>
      </w:pPr>
      <w:bookmarkStart w:id="180" w:name="_Toc296602530"/>
      <w:bookmarkStart w:id="181" w:name="_Toc152045682"/>
      <w:bookmarkStart w:id="182" w:name="_Toc152042460"/>
      <w:bookmarkStart w:id="183" w:name="_Toc144974650"/>
      <w:bookmarkStart w:id="184" w:name="_Toc179632700"/>
      <w:r>
        <w:rPr>
          <w:rFonts w:hint="eastAsia" w:ascii="宋体" w:hAnsi="宋体" w:eastAsia="宋体" w:cs="宋体"/>
          <w:b/>
          <w:color w:val="000000" w:themeColor="text1"/>
          <w:sz w:val="24"/>
          <w:szCs w:val="24"/>
          <w14:textFill>
            <w14:solidFill>
              <w14:schemeClr w14:val="tx1"/>
            </w14:solidFill>
          </w14:textFill>
        </w:rPr>
        <w:t>6.1 进度计划</w:t>
      </w:r>
      <w:bookmarkEnd w:id="180"/>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81"/>
    <w:bookmarkEnd w:id="182"/>
    <w:bookmarkEnd w:id="183"/>
    <w:bookmarkEnd w:id="184"/>
    <w:p>
      <w:pPr>
        <w:spacing w:line="400" w:lineRule="exact"/>
        <w:rPr>
          <w:rFonts w:ascii="宋体" w:hAnsi="宋体" w:eastAsia="宋体" w:cs="宋体"/>
          <w:b/>
          <w:color w:val="000000" w:themeColor="text1"/>
          <w:sz w:val="24"/>
          <w:szCs w:val="24"/>
          <w14:textFill>
            <w14:solidFill>
              <w14:schemeClr w14:val="tx1"/>
            </w14:solidFill>
          </w14:textFill>
        </w:rPr>
      </w:pPr>
      <w:bookmarkStart w:id="185" w:name="_Toc296602531"/>
      <w:r>
        <w:rPr>
          <w:rFonts w:hint="eastAsia" w:ascii="宋体" w:hAnsi="宋体" w:eastAsia="宋体" w:cs="宋体"/>
          <w:b/>
          <w:color w:val="000000" w:themeColor="text1"/>
          <w:sz w:val="24"/>
          <w:szCs w:val="24"/>
          <w14:textFill>
            <w14:solidFill>
              <w14:schemeClr w14:val="tx1"/>
            </w14:solidFill>
          </w14:textFill>
        </w:rPr>
        <w:t>6.2 工程实施</w:t>
      </w:r>
      <w:bookmarkEnd w:id="18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监理人应在开工日期7天前向承包人发出开工通知。承包人应在第1.1.4.3目约定的期限内完成合同工程。实际竣工日期在接收证书中写明。</w:t>
      </w:r>
    </w:p>
    <w:p>
      <w:pPr>
        <w:spacing w:line="400" w:lineRule="exact"/>
        <w:rPr>
          <w:rFonts w:ascii="宋体" w:hAnsi="宋体" w:eastAsia="宋体" w:cs="宋体"/>
          <w:b/>
          <w:color w:val="000000" w:themeColor="text1"/>
          <w:sz w:val="24"/>
          <w:szCs w:val="24"/>
          <w14:textFill>
            <w14:solidFill>
              <w14:schemeClr w14:val="tx1"/>
            </w14:solidFill>
          </w14:textFill>
        </w:rPr>
      </w:pPr>
      <w:bookmarkStart w:id="186" w:name="_Toc296602532"/>
      <w:r>
        <w:rPr>
          <w:rFonts w:hint="eastAsia" w:ascii="宋体" w:hAnsi="宋体" w:eastAsia="宋体" w:cs="宋体"/>
          <w:b/>
          <w:color w:val="000000" w:themeColor="text1"/>
          <w:sz w:val="24"/>
          <w:szCs w:val="24"/>
          <w14:textFill>
            <w14:solidFill>
              <w14:schemeClr w14:val="tx1"/>
            </w14:solidFill>
          </w14:textFill>
        </w:rPr>
        <w:t>6.3 发包人引起的工期延误</w:t>
      </w:r>
      <w:bookmarkEnd w:id="186"/>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在履行合同过程中，由于发包人的下列原因造成工期延误的，承包人有权要求发包人延长工期和（或）增加费用，并支付合理利润。需要修订合同进度计划的，按照第6.1款的约定执行。</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（1）增加合同工作内容；</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（2）改变合同中任何一项工作的质量要求或其他特性；</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（3）发包人迟延提供材料、工程设备或变更交货地点；</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（4）因发包人原因导致的暂停施工；</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（5）提供图纸延误；</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（6）未按合同约定及时支付预付款、进度款；</w:t>
      </w:r>
    </w:p>
    <w:p>
      <w:pPr>
        <w:spacing w:line="400" w:lineRule="exact"/>
        <w:ind w:firstLine="410" w:firstLineChars="17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（7）发包人造成工期延误的其他原因。</w:t>
      </w:r>
    </w:p>
    <w:p>
      <w:pPr>
        <w:spacing w:line="400" w:lineRule="exact"/>
        <w:rPr>
          <w:rFonts w:ascii="宋体" w:hAnsi="宋体" w:eastAsia="宋体" w:cs="宋体"/>
          <w:b/>
          <w:color w:val="000000" w:themeColor="text1"/>
          <w:sz w:val="24"/>
          <w:szCs w:val="24"/>
          <w14:textFill>
            <w14:solidFill>
              <w14:schemeClr w14:val="tx1"/>
            </w14:solidFill>
          </w14:textFill>
        </w:rPr>
      </w:pPr>
      <w:bookmarkStart w:id="187" w:name="_Toc296602533"/>
      <w:r>
        <w:rPr>
          <w:rFonts w:hint="eastAsia" w:ascii="宋体" w:hAnsi="宋体" w:eastAsia="宋体" w:cs="宋体"/>
          <w:b/>
          <w:color w:val="000000" w:themeColor="text1"/>
          <w:sz w:val="24"/>
          <w:szCs w:val="24"/>
          <w14:textFill>
            <w14:solidFill>
              <w14:schemeClr w14:val="tx1"/>
            </w14:solidFill>
          </w14:textFill>
        </w:rPr>
        <w:t>6.4 异常恶劣的气候条件</w:t>
      </w:r>
      <w:bookmarkEnd w:id="18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由于出现专用合同条款约定的异常恶劣气候导致工期延误的，承包人有权要求发包人延长工期。</w:t>
      </w:r>
    </w:p>
    <w:p>
      <w:pPr>
        <w:spacing w:line="400" w:lineRule="exact"/>
        <w:rPr>
          <w:rFonts w:ascii="宋体" w:hAnsi="宋体" w:eastAsia="宋体" w:cs="宋体"/>
          <w:b/>
          <w:color w:val="000000" w:themeColor="text1"/>
          <w:sz w:val="24"/>
          <w:szCs w:val="24"/>
          <w14:textFill>
            <w14:solidFill>
              <w14:schemeClr w14:val="tx1"/>
            </w14:solidFill>
          </w14:textFill>
        </w:rPr>
      </w:pPr>
      <w:bookmarkStart w:id="188" w:name="_Toc296602534"/>
      <w:r>
        <w:rPr>
          <w:rFonts w:hint="eastAsia" w:ascii="宋体" w:hAnsi="宋体" w:eastAsia="宋体" w:cs="宋体"/>
          <w:b/>
          <w:color w:val="000000" w:themeColor="text1"/>
          <w:sz w:val="24"/>
          <w:szCs w:val="24"/>
          <w14:textFill>
            <w14:solidFill>
              <w14:schemeClr w14:val="tx1"/>
            </w14:solidFill>
          </w14:textFill>
        </w:rPr>
        <w:t>6.5 承包人引起的工期延误</w:t>
      </w:r>
      <w:bookmarkEnd w:id="18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70"/>
    <w:bookmarkEnd w:id="171"/>
    <w:bookmarkEnd w:id="172"/>
    <w:p>
      <w:pPr>
        <w:spacing w:line="400" w:lineRule="exact"/>
        <w:rPr>
          <w:rFonts w:ascii="宋体" w:hAnsi="宋体" w:eastAsia="宋体" w:cs="宋体"/>
          <w:b/>
          <w:color w:val="000000" w:themeColor="text1"/>
          <w:sz w:val="24"/>
          <w:szCs w:val="24"/>
          <w14:textFill>
            <w14:solidFill>
              <w14:schemeClr w14:val="tx1"/>
            </w14:solidFill>
          </w14:textFill>
        </w:rPr>
      </w:pPr>
      <w:bookmarkStart w:id="189" w:name="_Toc246997034"/>
      <w:bookmarkStart w:id="190" w:name="_Toc246996291"/>
      <w:bookmarkStart w:id="191" w:name="_Toc296602535"/>
      <w:bookmarkStart w:id="192" w:name="_Toc247085806"/>
      <w:bookmarkStart w:id="193" w:name="_Toc184635110"/>
      <w:r>
        <w:rPr>
          <w:rFonts w:hint="eastAsia" w:ascii="宋体" w:hAnsi="宋体" w:eastAsia="宋体" w:cs="宋体"/>
          <w:b/>
          <w:color w:val="000000" w:themeColor="text1"/>
          <w:sz w:val="24"/>
          <w:szCs w:val="24"/>
          <w14:textFill>
            <w14:solidFill>
              <w14:schemeClr w14:val="tx1"/>
            </w14:solidFill>
          </w14:textFill>
        </w:rPr>
        <w:t>7. 工程质量</w:t>
      </w:r>
      <w:bookmarkEnd w:id="189"/>
      <w:bookmarkEnd w:id="190"/>
      <w:bookmarkEnd w:id="191"/>
      <w:bookmarkEnd w:id="192"/>
      <w:bookmarkEnd w:id="193"/>
    </w:p>
    <w:p>
      <w:pPr>
        <w:spacing w:line="400" w:lineRule="exact"/>
        <w:rPr>
          <w:rFonts w:ascii="宋体" w:hAnsi="宋体" w:eastAsia="宋体" w:cs="宋体"/>
          <w:b/>
          <w:color w:val="000000" w:themeColor="text1"/>
          <w:sz w:val="24"/>
          <w:szCs w:val="24"/>
          <w14:textFill>
            <w14:solidFill>
              <w14:schemeClr w14:val="tx1"/>
            </w14:solidFill>
          </w14:textFill>
        </w:rPr>
      </w:pPr>
      <w:bookmarkStart w:id="194" w:name="_Toc296602536"/>
      <w:bookmarkStart w:id="195" w:name="_Toc246996292"/>
      <w:bookmarkStart w:id="196" w:name="_Toc246997035"/>
      <w:bookmarkStart w:id="197" w:name="_Toc247085807"/>
      <w:r>
        <w:rPr>
          <w:rFonts w:hint="eastAsia" w:ascii="宋体" w:hAnsi="宋体" w:eastAsia="宋体" w:cs="宋体"/>
          <w:b/>
          <w:color w:val="000000" w:themeColor="text1"/>
          <w:sz w:val="24"/>
          <w:szCs w:val="24"/>
          <w14:textFill>
            <w14:solidFill>
              <w14:schemeClr w14:val="tx1"/>
            </w14:solidFill>
          </w14:textFill>
        </w:rPr>
        <w:t>7.1 工程质量要求</w:t>
      </w:r>
      <w:bookmarkEnd w:id="194"/>
      <w:bookmarkEnd w:id="195"/>
      <w:bookmarkEnd w:id="196"/>
      <w:bookmarkEnd w:id="19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工程质量验收按照合同约定的验收标准执行。</w:t>
      </w:r>
    </w:p>
    <w:p>
      <w:pPr>
        <w:spacing w:line="400" w:lineRule="exact"/>
        <w:rPr>
          <w:rFonts w:ascii="宋体" w:hAnsi="宋体" w:eastAsia="宋体" w:cs="宋体"/>
          <w:b/>
          <w:color w:val="000000" w:themeColor="text1"/>
          <w:sz w:val="24"/>
          <w:szCs w:val="24"/>
          <w14:textFill>
            <w14:solidFill>
              <w14:schemeClr w14:val="tx1"/>
            </w14:solidFill>
          </w14:textFill>
        </w:rPr>
      </w:pPr>
      <w:bookmarkStart w:id="198" w:name="_Toc246996293"/>
      <w:bookmarkStart w:id="199" w:name="_Toc296602537"/>
      <w:bookmarkStart w:id="200" w:name="_Toc247085808"/>
      <w:bookmarkStart w:id="201" w:name="_Toc246997036"/>
      <w:r>
        <w:rPr>
          <w:rFonts w:hint="eastAsia" w:ascii="宋体" w:hAnsi="宋体" w:eastAsia="宋体" w:cs="宋体"/>
          <w:b/>
          <w:color w:val="000000" w:themeColor="text1"/>
          <w:sz w:val="24"/>
          <w:szCs w:val="24"/>
          <w14:textFill>
            <w14:solidFill>
              <w14:schemeClr w14:val="tx1"/>
            </w14:solidFill>
          </w14:textFill>
        </w:rPr>
        <w:t>7.2 监理人的质量检查</w:t>
      </w:r>
      <w:bookmarkEnd w:id="198"/>
      <w:bookmarkEnd w:id="199"/>
      <w:bookmarkEnd w:id="200"/>
      <w:bookmarkEnd w:id="201"/>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监理人有权对工程的所有部位及其施工工艺、材料和工程设备进行检查和检验。监理人的检查和检验，不免除承包人按合同约定应负的责任。</w:t>
      </w:r>
    </w:p>
    <w:p>
      <w:pPr>
        <w:spacing w:line="400" w:lineRule="exact"/>
        <w:rPr>
          <w:rFonts w:ascii="宋体" w:hAnsi="宋体" w:eastAsia="宋体" w:cs="宋体"/>
          <w:b/>
          <w:color w:val="000000" w:themeColor="text1"/>
          <w:sz w:val="24"/>
          <w:szCs w:val="24"/>
          <w14:textFill>
            <w14:solidFill>
              <w14:schemeClr w14:val="tx1"/>
            </w14:solidFill>
          </w14:textFill>
        </w:rPr>
      </w:pPr>
      <w:bookmarkStart w:id="202" w:name="_Toc246996294"/>
      <w:bookmarkStart w:id="203" w:name="_Toc296602538"/>
      <w:bookmarkStart w:id="204" w:name="_Toc247085809"/>
      <w:bookmarkStart w:id="205" w:name="_Toc246997037"/>
      <w:r>
        <w:rPr>
          <w:rFonts w:hint="eastAsia" w:ascii="宋体" w:hAnsi="宋体" w:eastAsia="宋体" w:cs="宋体"/>
          <w:b/>
          <w:color w:val="000000" w:themeColor="text1"/>
          <w:sz w:val="24"/>
          <w:szCs w:val="24"/>
          <w14:textFill>
            <w14:solidFill>
              <w14:schemeClr w14:val="tx1"/>
            </w14:solidFill>
          </w14:textFill>
        </w:rPr>
        <w:t>7.3 工程隐蔽部位覆盖前的检查</w:t>
      </w:r>
      <w:bookmarkEnd w:id="202"/>
      <w:bookmarkEnd w:id="203"/>
      <w:bookmarkEnd w:id="204"/>
      <w:bookmarkEnd w:id="20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承包人未通知监理人到场检查，私自将工程隐蔽部位覆盖的，监理人有权指示承包人钻孔探测或揭开检查，无论工程隐蔽部位质量是否合格，由此增加的费用和（或）工期延误由承包人承担。</w:t>
      </w:r>
    </w:p>
    <w:p>
      <w:pPr>
        <w:spacing w:line="400" w:lineRule="exact"/>
        <w:rPr>
          <w:rFonts w:ascii="宋体" w:hAnsi="宋体" w:eastAsia="宋体" w:cs="宋体"/>
          <w:b/>
          <w:color w:val="000000" w:themeColor="text1"/>
          <w:sz w:val="24"/>
          <w:szCs w:val="24"/>
          <w14:textFill>
            <w14:solidFill>
              <w14:schemeClr w14:val="tx1"/>
            </w14:solidFill>
          </w14:textFill>
        </w:rPr>
      </w:pPr>
      <w:bookmarkStart w:id="206" w:name="_Toc246997038"/>
      <w:bookmarkStart w:id="207" w:name="_Toc296602539"/>
      <w:bookmarkStart w:id="208" w:name="_Toc247085810"/>
      <w:bookmarkStart w:id="209" w:name="_Toc246996295"/>
      <w:r>
        <w:rPr>
          <w:rFonts w:hint="eastAsia" w:ascii="宋体" w:hAnsi="宋体" w:eastAsia="宋体" w:cs="宋体"/>
          <w:b/>
          <w:color w:val="000000" w:themeColor="text1"/>
          <w:sz w:val="24"/>
          <w:szCs w:val="24"/>
          <w14:textFill>
            <w14:solidFill>
              <w14:schemeClr w14:val="tx1"/>
            </w14:solidFill>
          </w14:textFill>
        </w:rPr>
        <w:t>7.4 清除不合格工程</w:t>
      </w:r>
      <w:bookmarkEnd w:id="206"/>
      <w:bookmarkEnd w:id="207"/>
      <w:bookmarkEnd w:id="208"/>
      <w:bookmarkEnd w:id="20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spacing w:line="400" w:lineRule="exact"/>
        <w:rPr>
          <w:rFonts w:ascii="宋体" w:hAnsi="宋体" w:eastAsia="宋体" w:cs="宋体"/>
          <w:b/>
          <w:color w:val="000000" w:themeColor="text1"/>
          <w:sz w:val="24"/>
          <w:szCs w:val="24"/>
          <w14:textFill>
            <w14:solidFill>
              <w14:schemeClr w14:val="tx1"/>
            </w14:solidFill>
          </w14:textFill>
        </w:rPr>
      </w:pPr>
      <w:bookmarkStart w:id="210" w:name="_Toc247085811"/>
      <w:bookmarkStart w:id="211" w:name="_Toc246997039"/>
      <w:bookmarkStart w:id="212" w:name="_Toc246996296"/>
      <w:bookmarkStart w:id="213" w:name="_Toc296602540"/>
      <w:r>
        <w:rPr>
          <w:rFonts w:hint="eastAsia" w:ascii="宋体" w:hAnsi="宋体" w:eastAsia="宋体" w:cs="宋体"/>
          <w:b/>
          <w:color w:val="000000" w:themeColor="text1"/>
          <w:sz w:val="24"/>
          <w:szCs w:val="24"/>
          <w14:textFill>
            <w14:solidFill>
              <w14:schemeClr w14:val="tx1"/>
            </w14:solidFill>
          </w14:textFill>
        </w:rPr>
        <w:t>8. 试验和检验</w:t>
      </w:r>
      <w:bookmarkEnd w:id="210"/>
      <w:bookmarkEnd w:id="211"/>
      <w:bookmarkEnd w:id="212"/>
      <w:bookmarkEnd w:id="213"/>
    </w:p>
    <w:p>
      <w:pPr>
        <w:spacing w:line="400" w:lineRule="exact"/>
        <w:rPr>
          <w:rFonts w:ascii="宋体" w:hAnsi="宋体" w:eastAsia="宋体" w:cs="宋体"/>
          <w:b/>
          <w:color w:val="000000" w:themeColor="text1"/>
          <w:sz w:val="24"/>
          <w:szCs w:val="24"/>
          <w14:textFill>
            <w14:solidFill>
              <w14:schemeClr w14:val="tx1"/>
            </w14:solidFill>
          </w14:textFill>
        </w:rPr>
      </w:pPr>
      <w:bookmarkStart w:id="214" w:name="_Toc296602541"/>
      <w:r>
        <w:rPr>
          <w:rFonts w:hint="eastAsia" w:ascii="宋体" w:hAnsi="宋体" w:eastAsia="宋体" w:cs="宋体"/>
          <w:b/>
          <w:color w:val="000000" w:themeColor="text1"/>
          <w:sz w:val="24"/>
          <w:szCs w:val="24"/>
          <w14:textFill>
            <w14:solidFill>
              <w14:schemeClr w14:val="tx1"/>
            </w14:solidFill>
          </w14:textFill>
        </w:rPr>
        <w:t>8.1 材料、工程设备和工程的试验和检验</w:t>
      </w:r>
      <w:bookmarkEnd w:id="214"/>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rPr>
          <w:rFonts w:ascii="宋体" w:hAnsi="宋体" w:eastAsia="宋体" w:cs="宋体"/>
          <w:b/>
          <w:color w:val="000000" w:themeColor="text1"/>
          <w:sz w:val="24"/>
          <w:szCs w:val="24"/>
          <w14:textFill>
            <w14:solidFill>
              <w14:schemeClr w14:val="tx1"/>
            </w14:solidFill>
          </w14:textFill>
        </w:rPr>
      </w:pPr>
      <w:bookmarkStart w:id="215" w:name="_Toc296602542"/>
      <w:r>
        <w:rPr>
          <w:rFonts w:hint="eastAsia" w:ascii="宋体" w:hAnsi="宋体" w:eastAsia="宋体" w:cs="宋体"/>
          <w:b/>
          <w:color w:val="000000" w:themeColor="text1"/>
          <w:sz w:val="24"/>
          <w:szCs w:val="24"/>
          <w14:textFill>
            <w14:solidFill>
              <w14:schemeClr w14:val="tx1"/>
            </w14:solidFill>
          </w14:textFill>
        </w:rPr>
        <w:t>8.2 现场材料试验</w:t>
      </w:r>
      <w:bookmarkEnd w:id="21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8.2.2 监理人在必要时可以使用承包人的试验场所、试验设备器材以及其他试验条件，进行以工程质量检查为目的的复核性材料试验，承包人应予以协助。</w:t>
      </w:r>
    </w:p>
    <w:p>
      <w:pPr>
        <w:spacing w:line="400" w:lineRule="exact"/>
        <w:rPr>
          <w:rFonts w:ascii="宋体" w:hAnsi="宋体" w:eastAsia="宋体" w:cs="宋体"/>
          <w:b/>
          <w:color w:val="000000" w:themeColor="text1"/>
          <w:sz w:val="24"/>
          <w:szCs w:val="24"/>
          <w14:textFill>
            <w14:solidFill>
              <w14:schemeClr w14:val="tx1"/>
            </w14:solidFill>
          </w14:textFill>
        </w:rPr>
      </w:pPr>
      <w:bookmarkStart w:id="216" w:name="_Toc296602543"/>
      <w:bookmarkStart w:id="217" w:name="_Toc246996297"/>
      <w:bookmarkStart w:id="218" w:name="_Toc184635112"/>
      <w:bookmarkStart w:id="219" w:name="_Toc246997040"/>
      <w:bookmarkStart w:id="220" w:name="_Toc247085812"/>
      <w:r>
        <w:rPr>
          <w:rFonts w:hint="eastAsia" w:ascii="宋体" w:hAnsi="宋体" w:eastAsia="宋体" w:cs="宋体"/>
          <w:b/>
          <w:color w:val="000000" w:themeColor="text1"/>
          <w:sz w:val="24"/>
          <w:szCs w:val="24"/>
          <w14:textFill>
            <w14:solidFill>
              <w14:schemeClr w14:val="tx1"/>
            </w14:solidFill>
          </w14:textFill>
        </w:rPr>
        <w:t>9. 变更</w:t>
      </w:r>
      <w:bookmarkEnd w:id="216"/>
      <w:bookmarkEnd w:id="217"/>
      <w:bookmarkEnd w:id="218"/>
      <w:bookmarkEnd w:id="219"/>
      <w:bookmarkEnd w:id="220"/>
    </w:p>
    <w:p>
      <w:pPr>
        <w:spacing w:line="400" w:lineRule="exact"/>
        <w:rPr>
          <w:rFonts w:ascii="宋体" w:hAnsi="宋体" w:eastAsia="宋体" w:cs="宋体"/>
          <w:b/>
          <w:color w:val="000000" w:themeColor="text1"/>
          <w:sz w:val="24"/>
          <w:szCs w:val="24"/>
          <w14:textFill>
            <w14:solidFill>
              <w14:schemeClr w14:val="tx1"/>
            </w14:solidFill>
          </w14:textFill>
        </w:rPr>
      </w:pPr>
      <w:bookmarkStart w:id="221" w:name="_Toc247085813"/>
      <w:bookmarkStart w:id="222" w:name="_Toc246997041"/>
      <w:bookmarkStart w:id="223" w:name="_Toc246996298"/>
      <w:bookmarkStart w:id="224" w:name="_Toc296602544"/>
      <w:r>
        <w:rPr>
          <w:rFonts w:hint="eastAsia" w:ascii="宋体" w:hAnsi="宋体" w:eastAsia="宋体" w:cs="宋体"/>
          <w:b/>
          <w:color w:val="000000" w:themeColor="text1"/>
          <w:sz w:val="24"/>
          <w:szCs w:val="24"/>
          <w14:textFill>
            <w14:solidFill>
              <w14:schemeClr w14:val="tx1"/>
            </w14:solidFill>
          </w14:textFill>
        </w:rPr>
        <w:t>9.1 变更权</w:t>
      </w:r>
      <w:bookmarkEnd w:id="221"/>
      <w:bookmarkEnd w:id="222"/>
      <w:bookmarkEnd w:id="223"/>
      <w:bookmarkEnd w:id="224"/>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在履行合同过程中，经发包人同意，监理人可按第9.2款约定的变更程序向承包人作出变更指示，承包人应遵照执行。</w:t>
      </w:r>
    </w:p>
    <w:p>
      <w:pPr>
        <w:spacing w:line="400" w:lineRule="exact"/>
        <w:rPr>
          <w:rFonts w:ascii="宋体" w:hAnsi="宋体" w:eastAsia="宋体" w:cs="宋体"/>
          <w:b/>
          <w:color w:val="000000" w:themeColor="text1"/>
          <w:sz w:val="24"/>
          <w:szCs w:val="24"/>
          <w14:textFill>
            <w14:solidFill>
              <w14:schemeClr w14:val="tx1"/>
            </w14:solidFill>
          </w14:textFill>
        </w:rPr>
      </w:pPr>
      <w:bookmarkStart w:id="225" w:name="_Toc246996299"/>
      <w:bookmarkStart w:id="226" w:name="_Toc247085814"/>
      <w:bookmarkStart w:id="227" w:name="_Toc246997042"/>
      <w:bookmarkStart w:id="228" w:name="_Toc296602545"/>
      <w:r>
        <w:rPr>
          <w:rFonts w:hint="eastAsia" w:ascii="宋体" w:hAnsi="宋体" w:eastAsia="宋体" w:cs="宋体"/>
          <w:b/>
          <w:color w:val="000000" w:themeColor="text1"/>
          <w:sz w:val="24"/>
          <w:szCs w:val="24"/>
          <w14:textFill>
            <w14:solidFill>
              <w14:schemeClr w14:val="tx1"/>
            </w14:solidFill>
          </w14:textFill>
        </w:rPr>
        <w:t>9.2 变更程序</w:t>
      </w:r>
      <w:bookmarkEnd w:id="225"/>
      <w:bookmarkEnd w:id="226"/>
      <w:bookmarkEnd w:id="227"/>
      <w:bookmarkEnd w:id="22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承包人应在收到变更指示14天内，向监理人提交变更报价书。监理人应审查，并在收到承包人变更报价书后14天内，与发包人和承包人共同商定此估价。在未达成协议的情况下，监理人应确定该估价。</w:t>
      </w:r>
    </w:p>
    <w:p>
      <w:pPr>
        <w:spacing w:line="400" w:lineRule="exact"/>
        <w:rPr>
          <w:rFonts w:ascii="宋体" w:hAnsi="宋体" w:eastAsia="宋体" w:cs="宋体"/>
          <w:b/>
          <w:color w:val="000000" w:themeColor="text1"/>
          <w:sz w:val="24"/>
          <w:szCs w:val="24"/>
          <w14:textFill>
            <w14:solidFill>
              <w14:schemeClr w14:val="tx1"/>
            </w14:solidFill>
          </w14:textFill>
        </w:rPr>
      </w:pPr>
      <w:bookmarkStart w:id="229" w:name="_Toc246997043"/>
      <w:bookmarkStart w:id="230" w:name="_Toc296602546"/>
      <w:bookmarkStart w:id="231" w:name="_Toc246996300"/>
      <w:bookmarkStart w:id="232" w:name="_Toc247085815"/>
      <w:r>
        <w:rPr>
          <w:rFonts w:hint="eastAsia" w:ascii="宋体" w:hAnsi="宋体" w:eastAsia="宋体" w:cs="宋体"/>
          <w:b/>
          <w:color w:val="000000" w:themeColor="text1"/>
          <w:sz w:val="24"/>
          <w:szCs w:val="24"/>
          <w14:textFill>
            <w14:solidFill>
              <w14:schemeClr w14:val="tx1"/>
            </w14:solidFill>
          </w14:textFill>
        </w:rPr>
        <w:t>9.3 变更的估价原则</w:t>
      </w:r>
      <w:bookmarkEnd w:id="229"/>
      <w:bookmarkEnd w:id="230"/>
      <w:bookmarkEnd w:id="231"/>
      <w:bookmarkEnd w:id="23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（1）已标价工程量清单中有适用于变更工作的子目的，采用该子目的单价；</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（2）已标价工程量清单中无适用于变更工作的子目，但有类似子目的，可在合理范围内参照类似项目，由监理人按第3.5款商定或确定变更工作的单价； </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（3）已标价工程量清单中无适用或类似子目的单价，可按照成本加利润的原则，由监理人按第3.5款商定或确定变更工作的单价。</w:t>
      </w:r>
    </w:p>
    <w:p>
      <w:pPr>
        <w:spacing w:line="400" w:lineRule="exact"/>
        <w:rPr>
          <w:rFonts w:ascii="宋体" w:hAnsi="宋体" w:eastAsia="宋体" w:cs="宋体"/>
          <w:b/>
          <w:color w:val="000000" w:themeColor="text1"/>
          <w:sz w:val="24"/>
          <w:szCs w:val="24"/>
          <w14:textFill>
            <w14:solidFill>
              <w14:schemeClr w14:val="tx1"/>
            </w14:solidFill>
          </w14:textFill>
        </w:rPr>
      </w:pPr>
      <w:bookmarkStart w:id="233" w:name="_Toc246996301"/>
      <w:bookmarkStart w:id="234" w:name="_Toc246997044"/>
      <w:bookmarkStart w:id="235" w:name="_Toc296602547"/>
      <w:bookmarkStart w:id="236" w:name="_Toc247085816"/>
      <w:r>
        <w:rPr>
          <w:rFonts w:hint="eastAsia" w:ascii="宋体" w:hAnsi="宋体" w:eastAsia="宋体" w:cs="宋体"/>
          <w:b/>
          <w:color w:val="000000" w:themeColor="text1"/>
          <w:sz w:val="24"/>
          <w:szCs w:val="24"/>
          <w14:textFill>
            <w14:solidFill>
              <w14:schemeClr w14:val="tx1"/>
            </w14:solidFill>
          </w14:textFill>
        </w:rPr>
        <w:t>9.4 暂列金额</w:t>
      </w:r>
      <w:bookmarkEnd w:id="233"/>
      <w:bookmarkEnd w:id="234"/>
      <w:bookmarkEnd w:id="235"/>
      <w:bookmarkEnd w:id="236"/>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暂列金额只能按照监理人的指示使用，并对合同价格进行相应调整。</w:t>
      </w:r>
    </w:p>
    <w:p>
      <w:pPr>
        <w:spacing w:line="400" w:lineRule="exact"/>
        <w:rPr>
          <w:rFonts w:ascii="宋体" w:hAnsi="宋体" w:eastAsia="宋体" w:cs="宋体"/>
          <w:b/>
          <w:color w:val="000000" w:themeColor="text1"/>
          <w:sz w:val="24"/>
          <w:szCs w:val="24"/>
          <w14:textFill>
            <w14:solidFill>
              <w14:schemeClr w14:val="tx1"/>
            </w14:solidFill>
          </w14:textFill>
        </w:rPr>
      </w:pPr>
      <w:bookmarkStart w:id="237" w:name="_Toc246997045"/>
      <w:bookmarkStart w:id="238" w:name="_Toc296602548"/>
      <w:bookmarkStart w:id="239" w:name="_Toc247085817"/>
      <w:bookmarkStart w:id="240" w:name="_Toc246996302"/>
      <w:r>
        <w:rPr>
          <w:rFonts w:hint="eastAsia" w:ascii="宋体" w:hAnsi="宋体" w:eastAsia="宋体" w:cs="宋体"/>
          <w:b/>
          <w:color w:val="000000" w:themeColor="text1"/>
          <w:sz w:val="24"/>
          <w:szCs w:val="24"/>
          <w14:textFill>
            <w14:solidFill>
              <w14:schemeClr w14:val="tx1"/>
            </w14:solidFill>
          </w14:textFill>
        </w:rPr>
        <w:t>9.5 计日工</w:t>
      </w:r>
      <w:bookmarkEnd w:id="237"/>
      <w:bookmarkEnd w:id="238"/>
      <w:bookmarkEnd w:id="239"/>
      <w:bookmarkEnd w:id="240"/>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9.5.2 采用计日工计价的任何一项变更工作，应从暂列金额中支付，承包人应在该项变更的实施过程中，每天提交以下报表和有关凭证报送监理人审批：</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（l）工作名称、内容和数量；</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（2）投入该工作所有人员的姓名、工种、级别和耗用工时；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（3）投入该工作的材料类别和数量；</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（4）投入该工作的施工设备型号、台数和耗用台时；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（5）监理人要求提交的其他资料和凭证。</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9.5.3 计日工由承包人汇总后，按第10.3款的约定列入进度付款申请单，由监理人复核并经发包人同意后列入进度付款。</w:t>
      </w:r>
    </w:p>
    <w:p>
      <w:pPr>
        <w:spacing w:line="400" w:lineRule="exact"/>
        <w:rPr>
          <w:rFonts w:ascii="宋体" w:hAnsi="宋体" w:eastAsia="宋体" w:cs="宋体"/>
          <w:b/>
          <w:color w:val="000000" w:themeColor="text1"/>
          <w:sz w:val="24"/>
          <w:szCs w:val="24"/>
          <w14:textFill>
            <w14:solidFill>
              <w14:schemeClr w14:val="tx1"/>
            </w14:solidFill>
          </w14:textFill>
        </w:rPr>
      </w:pPr>
      <w:bookmarkStart w:id="241" w:name="_Toc247085819"/>
      <w:bookmarkStart w:id="242" w:name="_Toc296602549"/>
      <w:bookmarkStart w:id="243" w:name="_Toc246996304"/>
      <w:bookmarkStart w:id="244" w:name="_Toc246997047"/>
      <w:bookmarkStart w:id="245" w:name="_Toc184635114"/>
      <w:r>
        <w:rPr>
          <w:rFonts w:hint="eastAsia" w:ascii="宋体" w:hAnsi="宋体" w:eastAsia="宋体" w:cs="宋体"/>
          <w:b/>
          <w:color w:val="000000" w:themeColor="text1"/>
          <w:sz w:val="24"/>
          <w:szCs w:val="24"/>
          <w14:textFill>
            <w14:solidFill>
              <w14:schemeClr w14:val="tx1"/>
            </w14:solidFill>
          </w14:textFill>
        </w:rPr>
        <w:t>10. 计量与支付</w:t>
      </w:r>
      <w:bookmarkEnd w:id="241"/>
      <w:bookmarkEnd w:id="242"/>
      <w:bookmarkEnd w:id="243"/>
      <w:bookmarkEnd w:id="244"/>
      <w:bookmarkEnd w:id="245"/>
    </w:p>
    <w:p>
      <w:pPr>
        <w:spacing w:line="400" w:lineRule="exact"/>
        <w:rPr>
          <w:rFonts w:ascii="宋体" w:hAnsi="宋体" w:eastAsia="宋体" w:cs="宋体"/>
          <w:b/>
          <w:color w:val="000000" w:themeColor="text1"/>
          <w:sz w:val="24"/>
          <w:szCs w:val="24"/>
          <w14:textFill>
            <w14:solidFill>
              <w14:schemeClr w14:val="tx1"/>
            </w14:solidFill>
          </w14:textFill>
        </w:rPr>
      </w:pPr>
      <w:bookmarkStart w:id="246" w:name="_Toc246996305"/>
      <w:bookmarkStart w:id="247" w:name="_Toc296602550"/>
      <w:bookmarkStart w:id="248" w:name="_Toc246997048"/>
      <w:bookmarkStart w:id="249" w:name="_Toc247085820"/>
      <w:r>
        <w:rPr>
          <w:rFonts w:hint="eastAsia" w:ascii="宋体" w:hAnsi="宋体" w:eastAsia="宋体" w:cs="宋体"/>
          <w:b/>
          <w:color w:val="000000" w:themeColor="text1"/>
          <w:sz w:val="24"/>
          <w:szCs w:val="24"/>
          <w14:textFill>
            <w14:solidFill>
              <w14:schemeClr w14:val="tx1"/>
            </w14:solidFill>
          </w14:textFill>
        </w:rPr>
        <w:t>10.1 计量</w:t>
      </w:r>
      <w:bookmarkEnd w:id="246"/>
      <w:bookmarkEnd w:id="247"/>
      <w:bookmarkEnd w:id="248"/>
      <w:bookmarkEnd w:id="24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pacing w:line="400" w:lineRule="exact"/>
        <w:rPr>
          <w:rFonts w:ascii="宋体" w:hAnsi="宋体" w:eastAsia="宋体" w:cs="宋体"/>
          <w:b/>
          <w:color w:val="000000" w:themeColor="text1"/>
          <w:sz w:val="24"/>
          <w:szCs w:val="24"/>
          <w14:textFill>
            <w14:solidFill>
              <w14:schemeClr w14:val="tx1"/>
            </w14:solidFill>
          </w14:textFill>
        </w:rPr>
      </w:pPr>
      <w:bookmarkStart w:id="250" w:name="_Toc246997049"/>
      <w:bookmarkStart w:id="251" w:name="_Toc296602551"/>
      <w:bookmarkStart w:id="252" w:name="_Toc246996306"/>
      <w:bookmarkStart w:id="253" w:name="_Toc247085821"/>
      <w:r>
        <w:rPr>
          <w:rFonts w:hint="eastAsia" w:ascii="宋体" w:hAnsi="宋体" w:eastAsia="宋体" w:cs="宋体"/>
          <w:b/>
          <w:color w:val="000000" w:themeColor="text1"/>
          <w:sz w:val="24"/>
          <w:szCs w:val="24"/>
          <w14:textFill>
            <w14:solidFill>
              <w14:schemeClr w14:val="tx1"/>
            </w14:solidFill>
          </w14:textFill>
        </w:rPr>
        <w:t>10.2 预付款</w:t>
      </w:r>
      <w:bookmarkEnd w:id="250"/>
      <w:bookmarkEnd w:id="251"/>
      <w:bookmarkEnd w:id="252"/>
      <w:bookmarkEnd w:id="25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spacing w:line="400" w:lineRule="exact"/>
        <w:rPr>
          <w:rFonts w:ascii="宋体" w:hAnsi="宋体" w:eastAsia="宋体" w:cs="宋体"/>
          <w:b/>
          <w:color w:val="000000" w:themeColor="text1"/>
          <w:sz w:val="24"/>
          <w:szCs w:val="24"/>
          <w14:textFill>
            <w14:solidFill>
              <w14:schemeClr w14:val="tx1"/>
            </w14:solidFill>
          </w14:textFill>
        </w:rPr>
      </w:pPr>
      <w:bookmarkStart w:id="254" w:name="_Toc247085822"/>
      <w:bookmarkStart w:id="255" w:name="_Toc296602552"/>
      <w:bookmarkStart w:id="256" w:name="_Toc246997050"/>
      <w:bookmarkStart w:id="257" w:name="_Toc246996307"/>
      <w:r>
        <w:rPr>
          <w:rFonts w:hint="eastAsia" w:ascii="宋体" w:hAnsi="宋体" w:eastAsia="宋体" w:cs="宋体"/>
          <w:b/>
          <w:color w:val="000000" w:themeColor="text1"/>
          <w:sz w:val="24"/>
          <w:szCs w:val="24"/>
          <w14:textFill>
            <w14:solidFill>
              <w14:schemeClr w14:val="tx1"/>
            </w14:solidFill>
          </w14:textFill>
        </w:rPr>
        <w:t>10.3 工程进度付款</w:t>
      </w:r>
      <w:bookmarkEnd w:id="254"/>
      <w:bookmarkEnd w:id="255"/>
      <w:bookmarkEnd w:id="256"/>
      <w:bookmarkEnd w:id="25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（1）截至本次付款周期末已实施工程的合同价款；</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（2）根据第9条应增加和扣减的变更金额；</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（3）根据第16条应增加和扣减的索赔金额；</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（4）根据第10.2款应支付的预付款和扣减的返还预付款；</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（5）根据第10.4款应扣减的质量保证金；</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（6）根据合同应增加和扣减的其他金额。</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pacing w:line="400" w:lineRule="exact"/>
        <w:rPr>
          <w:rFonts w:ascii="宋体" w:hAnsi="宋体" w:eastAsia="宋体" w:cs="宋体"/>
          <w:b/>
          <w:color w:val="000000" w:themeColor="text1"/>
          <w:sz w:val="24"/>
          <w:szCs w:val="24"/>
          <w14:textFill>
            <w14:solidFill>
              <w14:schemeClr w14:val="tx1"/>
            </w14:solidFill>
          </w14:textFill>
        </w:rPr>
      </w:pPr>
      <w:bookmarkStart w:id="258" w:name="_Toc246996308"/>
      <w:bookmarkStart w:id="259" w:name="_Toc247085823"/>
      <w:bookmarkStart w:id="260" w:name="_Toc246997051"/>
      <w:bookmarkStart w:id="261" w:name="_Toc296602553"/>
      <w:r>
        <w:rPr>
          <w:rFonts w:hint="eastAsia" w:ascii="宋体" w:hAnsi="宋体" w:eastAsia="宋体" w:cs="宋体"/>
          <w:b/>
          <w:color w:val="000000" w:themeColor="text1"/>
          <w:sz w:val="24"/>
          <w:szCs w:val="24"/>
          <w14:textFill>
            <w14:solidFill>
              <w14:schemeClr w14:val="tx1"/>
            </w14:solidFill>
          </w14:textFill>
        </w:rPr>
        <w:t>10.4 质量保证金</w:t>
      </w:r>
      <w:bookmarkEnd w:id="258"/>
      <w:bookmarkEnd w:id="259"/>
      <w:bookmarkEnd w:id="260"/>
      <w:bookmarkEnd w:id="261"/>
    </w:p>
    <w:p>
      <w:pPr>
        <w:spacing w:line="400" w:lineRule="exact"/>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监理人应从第一个付款周期开始，在发包人的进度付款中，按专用合同条款的约定扣留质量保证金，直至扣留的质量保证金总额达到专用合同条款约定的金额或比例为止。</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pacing w:line="400" w:lineRule="exact"/>
        <w:rPr>
          <w:rFonts w:ascii="宋体" w:hAnsi="宋体" w:eastAsia="宋体" w:cs="宋体"/>
          <w:b/>
          <w:color w:val="000000" w:themeColor="text1"/>
          <w:sz w:val="24"/>
          <w:szCs w:val="24"/>
          <w14:textFill>
            <w14:solidFill>
              <w14:schemeClr w14:val="tx1"/>
            </w14:solidFill>
          </w14:textFill>
        </w:rPr>
      </w:pPr>
      <w:bookmarkStart w:id="262" w:name="_Toc246996309"/>
      <w:bookmarkStart w:id="263" w:name="_Toc246997052"/>
      <w:bookmarkStart w:id="264" w:name="_Toc247085824"/>
      <w:bookmarkStart w:id="265" w:name="_Toc296602554"/>
      <w:r>
        <w:rPr>
          <w:rFonts w:hint="eastAsia" w:ascii="宋体" w:hAnsi="宋体" w:eastAsia="宋体" w:cs="宋体"/>
          <w:b/>
          <w:color w:val="000000" w:themeColor="text1"/>
          <w:sz w:val="24"/>
          <w:szCs w:val="24"/>
          <w14:textFill>
            <w14:solidFill>
              <w14:schemeClr w14:val="tx1"/>
            </w14:solidFill>
          </w14:textFill>
        </w:rPr>
        <w:t>10.5 竣工结算</w:t>
      </w:r>
      <w:bookmarkEnd w:id="262"/>
      <w:bookmarkEnd w:id="263"/>
      <w:bookmarkEnd w:id="264"/>
      <w:bookmarkEnd w:id="26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10.5.1 除专用合同条款另有约定外，竣工结算价格不因物价波动和法律变化而调整。</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10.5.3竣工付款涉及政府投资资金的，按照国库集中支付等国家相关规定和专用合同条款的约定执行。</w:t>
      </w:r>
    </w:p>
    <w:p>
      <w:pPr>
        <w:spacing w:line="400" w:lineRule="exact"/>
        <w:rPr>
          <w:rFonts w:ascii="宋体" w:hAnsi="宋体" w:eastAsia="宋体" w:cs="宋体"/>
          <w:b/>
          <w:color w:val="000000" w:themeColor="text1"/>
          <w:sz w:val="24"/>
          <w:szCs w:val="24"/>
          <w14:textFill>
            <w14:solidFill>
              <w14:schemeClr w14:val="tx1"/>
            </w14:solidFill>
          </w14:textFill>
        </w:rPr>
      </w:pPr>
      <w:bookmarkStart w:id="266" w:name="_Toc246996310"/>
      <w:bookmarkStart w:id="267" w:name="_Toc246997053"/>
      <w:bookmarkStart w:id="268" w:name="_Toc247085825"/>
      <w:bookmarkStart w:id="269" w:name="_Toc296602555"/>
      <w:r>
        <w:rPr>
          <w:rFonts w:hint="eastAsia" w:ascii="宋体" w:hAnsi="宋体" w:eastAsia="宋体" w:cs="宋体"/>
          <w:b/>
          <w:color w:val="000000" w:themeColor="text1"/>
          <w:sz w:val="24"/>
          <w:szCs w:val="24"/>
          <w14:textFill>
            <w14:solidFill>
              <w14:schemeClr w14:val="tx1"/>
            </w14:solidFill>
          </w14:textFill>
        </w:rPr>
        <w:t>10.6 付款延误</w:t>
      </w:r>
      <w:bookmarkEnd w:id="266"/>
      <w:bookmarkEnd w:id="267"/>
      <w:bookmarkEnd w:id="268"/>
      <w:bookmarkEnd w:id="26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发包人不按期支付的，按专用合同条款的约定支付逾期付款违约金。</w:t>
      </w:r>
    </w:p>
    <w:p>
      <w:pPr>
        <w:spacing w:line="400" w:lineRule="exact"/>
        <w:rPr>
          <w:rFonts w:ascii="宋体" w:hAnsi="宋体" w:eastAsia="宋体" w:cs="宋体"/>
          <w:b/>
          <w:color w:val="000000" w:themeColor="text1"/>
          <w:sz w:val="24"/>
          <w:szCs w:val="24"/>
          <w14:textFill>
            <w14:solidFill>
              <w14:schemeClr w14:val="tx1"/>
            </w14:solidFill>
          </w14:textFill>
        </w:rPr>
      </w:pPr>
      <w:bookmarkStart w:id="270" w:name="_Toc246996311"/>
      <w:bookmarkStart w:id="271" w:name="_Toc184635115"/>
      <w:bookmarkStart w:id="272" w:name="_Toc247085826"/>
      <w:bookmarkStart w:id="273" w:name="_Toc296602556"/>
      <w:bookmarkStart w:id="274" w:name="_Toc246997054"/>
      <w:r>
        <w:rPr>
          <w:rFonts w:hint="eastAsia" w:ascii="宋体" w:hAnsi="宋体" w:eastAsia="宋体" w:cs="宋体"/>
          <w:b/>
          <w:color w:val="000000" w:themeColor="text1"/>
          <w:sz w:val="24"/>
          <w:szCs w:val="24"/>
          <w14:textFill>
            <w14:solidFill>
              <w14:schemeClr w14:val="tx1"/>
            </w14:solidFill>
          </w14:textFill>
        </w:rPr>
        <w:t>11. 竣工验收</w:t>
      </w:r>
      <w:bookmarkEnd w:id="270"/>
      <w:bookmarkEnd w:id="271"/>
      <w:bookmarkEnd w:id="272"/>
      <w:bookmarkEnd w:id="273"/>
      <w:bookmarkEnd w:id="274"/>
    </w:p>
    <w:p>
      <w:pPr>
        <w:spacing w:line="400" w:lineRule="exact"/>
        <w:rPr>
          <w:rFonts w:ascii="宋体" w:hAnsi="宋体" w:eastAsia="宋体" w:cs="宋体"/>
          <w:b/>
          <w:color w:val="000000" w:themeColor="text1"/>
          <w:sz w:val="24"/>
          <w:szCs w:val="24"/>
          <w14:textFill>
            <w14:solidFill>
              <w14:schemeClr w14:val="tx1"/>
            </w14:solidFill>
          </w14:textFill>
        </w:rPr>
      </w:pPr>
      <w:bookmarkStart w:id="275" w:name="_Toc296602557"/>
      <w:bookmarkStart w:id="276" w:name="_Toc246996312"/>
      <w:bookmarkStart w:id="277" w:name="_Toc247085827"/>
      <w:bookmarkStart w:id="278" w:name="_Toc246997055"/>
      <w:r>
        <w:rPr>
          <w:rFonts w:hint="eastAsia" w:ascii="宋体" w:hAnsi="宋体" w:eastAsia="宋体" w:cs="宋体"/>
          <w:b/>
          <w:color w:val="000000" w:themeColor="text1"/>
          <w:sz w:val="24"/>
          <w:szCs w:val="24"/>
          <w14:textFill>
            <w14:solidFill>
              <w14:schemeClr w14:val="tx1"/>
            </w14:solidFill>
          </w14:textFill>
        </w:rPr>
        <w:t>11.1 竣工验收的含义</w:t>
      </w:r>
      <w:bookmarkEnd w:id="27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 竣工验收是指承包人完成了全部合同工作后，发包人按合同要求进行的验收。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11.1.2 需要进行国家验收的，竣工验收是国家验收的一部分。竣工验收所采用的各项验收和评定标准应符合国家验收标准。发包人和承包人为竣工验收提供的各项竣工验收资料应符合国家验收的要求。</w:t>
      </w:r>
    </w:p>
    <w:p>
      <w:pPr>
        <w:spacing w:line="400" w:lineRule="exact"/>
        <w:rPr>
          <w:rFonts w:ascii="宋体" w:hAnsi="宋体" w:eastAsia="宋体" w:cs="宋体"/>
          <w:b/>
          <w:color w:val="000000" w:themeColor="text1"/>
          <w:sz w:val="24"/>
          <w:szCs w:val="24"/>
          <w14:textFill>
            <w14:solidFill>
              <w14:schemeClr w14:val="tx1"/>
            </w14:solidFill>
          </w14:textFill>
        </w:rPr>
      </w:pPr>
      <w:bookmarkStart w:id="279" w:name="_Toc296602558"/>
      <w:r>
        <w:rPr>
          <w:rFonts w:hint="eastAsia" w:ascii="宋体" w:hAnsi="宋体" w:eastAsia="宋体" w:cs="宋体"/>
          <w:b/>
          <w:color w:val="000000" w:themeColor="text1"/>
          <w:sz w:val="24"/>
          <w:szCs w:val="24"/>
          <w14:textFill>
            <w14:solidFill>
              <w14:schemeClr w14:val="tx1"/>
            </w14:solidFill>
          </w14:textFill>
        </w:rPr>
        <w:t>11.2 竣工验收申请报告</w:t>
      </w:r>
      <w:bookmarkEnd w:id="276"/>
      <w:bookmarkEnd w:id="277"/>
      <w:bookmarkEnd w:id="278"/>
      <w:bookmarkEnd w:id="279"/>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当工程具备竣工条件时，承包人即可向监理人报送竣工验收申请报告。</w:t>
      </w:r>
    </w:p>
    <w:p>
      <w:pPr>
        <w:spacing w:line="400" w:lineRule="exact"/>
        <w:rPr>
          <w:rFonts w:ascii="宋体" w:hAnsi="宋体" w:eastAsia="宋体" w:cs="宋体"/>
          <w:b/>
          <w:color w:val="000000" w:themeColor="text1"/>
          <w:sz w:val="24"/>
          <w:szCs w:val="24"/>
          <w14:textFill>
            <w14:solidFill>
              <w14:schemeClr w14:val="tx1"/>
            </w14:solidFill>
          </w14:textFill>
        </w:rPr>
      </w:pPr>
      <w:bookmarkStart w:id="280" w:name="_Toc246996313"/>
      <w:bookmarkStart w:id="281" w:name="_Toc246997056"/>
      <w:bookmarkStart w:id="282" w:name="_Toc296602559"/>
      <w:bookmarkStart w:id="283" w:name="_Toc247085828"/>
      <w:r>
        <w:rPr>
          <w:rFonts w:hint="eastAsia" w:ascii="宋体" w:hAnsi="宋体" w:eastAsia="宋体" w:cs="宋体"/>
          <w:b/>
          <w:color w:val="000000" w:themeColor="text1"/>
          <w:sz w:val="24"/>
          <w:szCs w:val="24"/>
          <w14:textFill>
            <w14:solidFill>
              <w14:schemeClr w14:val="tx1"/>
            </w14:solidFill>
          </w14:textFill>
        </w:rPr>
        <w:t>11.3 竣工和验收</w:t>
      </w:r>
      <w:bookmarkEnd w:id="280"/>
      <w:bookmarkEnd w:id="281"/>
      <w:bookmarkEnd w:id="282"/>
      <w:bookmarkEnd w:id="28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监理人审查后认为具备竣工验收条件的，提请发包人进行工程验收。发包人经过验收后同意接收工程的，由监理人向承包人出具经发包人签认的工程接收证书。</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除专用合同条款另有约定外，经验收合格工程的实际竣工日期，以提交竣工验收申请报告的日期为准，并在工程接收证书中写明。</w:t>
      </w:r>
    </w:p>
    <w:p>
      <w:pPr>
        <w:spacing w:line="400" w:lineRule="exact"/>
        <w:rPr>
          <w:rFonts w:ascii="宋体" w:hAnsi="宋体" w:eastAsia="宋体" w:cs="宋体"/>
          <w:b/>
          <w:color w:val="000000" w:themeColor="text1"/>
          <w:sz w:val="24"/>
          <w:szCs w:val="24"/>
          <w14:textFill>
            <w14:solidFill>
              <w14:schemeClr w14:val="tx1"/>
            </w14:solidFill>
          </w14:textFill>
        </w:rPr>
      </w:pPr>
      <w:bookmarkStart w:id="284" w:name="_Toc296602560"/>
      <w:bookmarkStart w:id="285" w:name="_Toc246997057"/>
      <w:bookmarkStart w:id="286" w:name="_Toc246996314"/>
      <w:bookmarkStart w:id="287" w:name="_Toc247085829"/>
      <w:r>
        <w:rPr>
          <w:rFonts w:hint="eastAsia" w:ascii="宋体" w:hAnsi="宋体" w:eastAsia="宋体" w:cs="宋体"/>
          <w:b/>
          <w:color w:val="000000" w:themeColor="text1"/>
          <w:sz w:val="24"/>
          <w:szCs w:val="24"/>
          <w14:textFill>
            <w14:solidFill>
              <w14:schemeClr w14:val="tx1"/>
            </w14:solidFill>
          </w14:textFill>
        </w:rPr>
        <w:t>11.4 试运行</w:t>
      </w:r>
      <w:bookmarkEnd w:id="284"/>
      <w:bookmarkEnd w:id="285"/>
      <w:bookmarkEnd w:id="286"/>
      <w:bookmarkEnd w:id="28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除专用合同条款另有约定外，承包人应按专用合同条款约定进行工程及工程设备试运行，负责提供试运行所需的人员、器材和必要的条件，并承担全部试运行费用。</w:t>
      </w:r>
    </w:p>
    <w:p>
      <w:pPr>
        <w:spacing w:line="400" w:lineRule="exact"/>
        <w:rPr>
          <w:rFonts w:ascii="宋体" w:hAnsi="宋体" w:eastAsia="宋体" w:cs="宋体"/>
          <w:b/>
          <w:color w:val="000000" w:themeColor="text1"/>
          <w:sz w:val="24"/>
          <w:szCs w:val="24"/>
          <w14:textFill>
            <w14:solidFill>
              <w14:schemeClr w14:val="tx1"/>
            </w14:solidFill>
          </w14:textFill>
        </w:rPr>
      </w:pPr>
      <w:bookmarkStart w:id="288" w:name="_Toc247085830"/>
      <w:bookmarkStart w:id="289" w:name="_Toc246996315"/>
      <w:bookmarkStart w:id="290" w:name="_Toc296602561"/>
      <w:bookmarkStart w:id="291" w:name="_Toc246997058"/>
      <w:r>
        <w:rPr>
          <w:rFonts w:hint="eastAsia" w:ascii="宋体" w:hAnsi="宋体" w:eastAsia="宋体" w:cs="宋体"/>
          <w:b/>
          <w:color w:val="000000" w:themeColor="text1"/>
          <w:sz w:val="24"/>
          <w:szCs w:val="24"/>
          <w14:textFill>
            <w14:solidFill>
              <w14:schemeClr w14:val="tx1"/>
            </w14:solidFill>
          </w14:textFill>
        </w:rPr>
        <w:t>11.5 竣工清场</w:t>
      </w:r>
      <w:bookmarkEnd w:id="288"/>
      <w:bookmarkEnd w:id="289"/>
      <w:bookmarkEnd w:id="290"/>
      <w:bookmarkEnd w:id="291"/>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除合同另有约定外，工程接收证书颁发后，承包人应对施工场地进行清理，直至监理人检验合格为止。竣工清场费用由承包人承担。</w:t>
      </w:r>
    </w:p>
    <w:p>
      <w:pPr>
        <w:spacing w:line="400" w:lineRule="exact"/>
        <w:rPr>
          <w:rFonts w:ascii="宋体" w:hAnsi="宋体" w:eastAsia="宋体" w:cs="宋体"/>
          <w:b/>
          <w:color w:val="000000" w:themeColor="text1"/>
          <w:sz w:val="24"/>
          <w:szCs w:val="24"/>
          <w14:textFill>
            <w14:solidFill>
              <w14:schemeClr w14:val="tx1"/>
            </w14:solidFill>
          </w14:textFill>
        </w:rPr>
      </w:pPr>
      <w:bookmarkStart w:id="292" w:name="_Toc247085831"/>
      <w:bookmarkStart w:id="293" w:name="_Toc296602562"/>
      <w:bookmarkStart w:id="294" w:name="_Toc246996316"/>
      <w:bookmarkStart w:id="295" w:name="_Toc184635116"/>
      <w:bookmarkStart w:id="296" w:name="_Toc246997059"/>
      <w:r>
        <w:rPr>
          <w:rFonts w:hint="eastAsia" w:ascii="宋体" w:hAnsi="宋体" w:eastAsia="宋体" w:cs="宋体"/>
          <w:b/>
          <w:color w:val="000000" w:themeColor="text1"/>
          <w:sz w:val="24"/>
          <w:szCs w:val="24"/>
          <w14:textFill>
            <w14:solidFill>
              <w14:schemeClr w14:val="tx1"/>
            </w14:solidFill>
          </w14:textFill>
        </w:rPr>
        <w:t>12. 缺陷责任与保修责任</w:t>
      </w:r>
      <w:bookmarkEnd w:id="292"/>
      <w:bookmarkEnd w:id="293"/>
      <w:bookmarkEnd w:id="294"/>
      <w:bookmarkEnd w:id="295"/>
      <w:bookmarkEnd w:id="296"/>
    </w:p>
    <w:p>
      <w:pPr>
        <w:spacing w:line="400" w:lineRule="exact"/>
        <w:rPr>
          <w:rFonts w:ascii="宋体" w:hAnsi="宋体" w:eastAsia="宋体" w:cs="宋体"/>
          <w:b/>
          <w:color w:val="000000" w:themeColor="text1"/>
          <w:sz w:val="24"/>
          <w:szCs w:val="24"/>
          <w14:textFill>
            <w14:solidFill>
              <w14:schemeClr w14:val="tx1"/>
            </w14:solidFill>
          </w14:textFill>
        </w:rPr>
      </w:pPr>
      <w:bookmarkStart w:id="297" w:name="_Toc296602563"/>
      <w:bookmarkStart w:id="298" w:name="_Toc246997060"/>
      <w:bookmarkStart w:id="299" w:name="_Toc247085832"/>
      <w:bookmarkStart w:id="300" w:name="_Toc246996317"/>
      <w:r>
        <w:rPr>
          <w:rFonts w:hint="eastAsia" w:ascii="宋体" w:hAnsi="宋体" w:eastAsia="宋体" w:cs="宋体"/>
          <w:b/>
          <w:color w:val="000000" w:themeColor="text1"/>
          <w:sz w:val="24"/>
          <w:szCs w:val="24"/>
          <w14:textFill>
            <w14:solidFill>
              <w14:schemeClr w14:val="tx1"/>
            </w14:solidFill>
          </w14:textFill>
        </w:rPr>
        <w:t>12.1 缺陷责任</w:t>
      </w:r>
      <w:bookmarkEnd w:id="297"/>
      <w:bookmarkEnd w:id="298"/>
      <w:bookmarkEnd w:id="299"/>
      <w:bookmarkEnd w:id="300"/>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pacing w:line="400" w:lineRule="exact"/>
        <w:rPr>
          <w:rFonts w:ascii="宋体" w:hAnsi="宋体" w:eastAsia="宋体" w:cs="宋体"/>
          <w:b/>
          <w:color w:val="000000" w:themeColor="text1"/>
          <w:sz w:val="24"/>
          <w:szCs w:val="24"/>
          <w14:textFill>
            <w14:solidFill>
              <w14:schemeClr w14:val="tx1"/>
            </w14:solidFill>
          </w14:textFill>
        </w:rPr>
      </w:pPr>
      <w:bookmarkStart w:id="301" w:name="_Toc296602564"/>
      <w:bookmarkStart w:id="302" w:name="_Toc247085833"/>
      <w:bookmarkStart w:id="303" w:name="_Toc246997061"/>
      <w:bookmarkStart w:id="304" w:name="_Toc246996318"/>
      <w:r>
        <w:rPr>
          <w:rFonts w:hint="eastAsia" w:ascii="宋体" w:hAnsi="宋体" w:eastAsia="宋体" w:cs="宋体"/>
          <w:b/>
          <w:color w:val="000000" w:themeColor="text1"/>
          <w:sz w:val="24"/>
          <w:szCs w:val="24"/>
          <w14:textFill>
            <w14:solidFill>
              <w14:schemeClr w14:val="tx1"/>
            </w14:solidFill>
          </w14:textFill>
        </w:rPr>
        <w:t>12.2 保修责任</w:t>
      </w:r>
      <w:bookmarkEnd w:id="301"/>
      <w:bookmarkEnd w:id="302"/>
      <w:bookmarkEnd w:id="303"/>
      <w:bookmarkEnd w:id="304"/>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合同当事人根据有关法律规定，在专用合同条款中约定工程质量保修范围、期限和责任。保修期自实际竣工日期起计算。</w:t>
      </w:r>
      <w:bookmarkStart w:id="305" w:name="_Toc184635117"/>
      <w:bookmarkStart w:id="306" w:name="_Toc247085834"/>
      <w:bookmarkStart w:id="307" w:name="_Toc246997062"/>
      <w:bookmarkStart w:id="308" w:name="_Toc246996319"/>
    </w:p>
    <w:p>
      <w:pPr>
        <w:spacing w:line="400" w:lineRule="exact"/>
        <w:rPr>
          <w:rFonts w:ascii="宋体" w:hAnsi="宋体" w:eastAsia="宋体" w:cs="宋体"/>
          <w:b/>
          <w:color w:val="000000" w:themeColor="text1"/>
          <w:sz w:val="24"/>
          <w:szCs w:val="24"/>
          <w14:textFill>
            <w14:solidFill>
              <w14:schemeClr w14:val="tx1"/>
            </w14:solidFill>
          </w14:textFill>
        </w:rPr>
      </w:pPr>
      <w:bookmarkStart w:id="309" w:name="_Toc296602565"/>
      <w:r>
        <w:rPr>
          <w:rFonts w:hint="eastAsia" w:ascii="宋体" w:hAnsi="宋体" w:eastAsia="宋体" w:cs="宋体"/>
          <w:b/>
          <w:color w:val="000000" w:themeColor="text1"/>
          <w:sz w:val="24"/>
          <w:szCs w:val="24"/>
          <w14:textFill>
            <w14:solidFill>
              <w14:schemeClr w14:val="tx1"/>
            </w14:solidFill>
          </w14:textFill>
        </w:rPr>
        <w:t>13. 保险</w:t>
      </w:r>
      <w:bookmarkEnd w:id="305"/>
      <w:bookmarkEnd w:id="306"/>
      <w:bookmarkEnd w:id="307"/>
      <w:bookmarkEnd w:id="308"/>
      <w:bookmarkEnd w:id="309"/>
    </w:p>
    <w:p>
      <w:pPr>
        <w:spacing w:line="400" w:lineRule="exact"/>
        <w:rPr>
          <w:rFonts w:ascii="宋体" w:hAnsi="宋体" w:eastAsia="宋体" w:cs="宋体"/>
          <w:b/>
          <w:color w:val="000000" w:themeColor="text1"/>
          <w:sz w:val="24"/>
          <w:szCs w:val="24"/>
          <w14:textFill>
            <w14:solidFill>
              <w14:schemeClr w14:val="tx1"/>
            </w14:solidFill>
          </w14:textFill>
        </w:rPr>
      </w:pPr>
      <w:bookmarkStart w:id="310" w:name="_Toc296602566"/>
      <w:bookmarkStart w:id="311" w:name="_Toc247085835"/>
      <w:bookmarkStart w:id="312" w:name="_Toc246996320"/>
      <w:bookmarkStart w:id="313" w:name="_Toc246997063"/>
      <w:r>
        <w:rPr>
          <w:rFonts w:hint="eastAsia" w:ascii="宋体" w:hAnsi="宋体" w:eastAsia="宋体" w:cs="宋体"/>
          <w:b/>
          <w:color w:val="000000" w:themeColor="text1"/>
          <w:sz w:val="24"/>
          <w:szCs w:val="24"/>
          <w14:textFill>
            <w14:solidFill>
              <w14:schemeClr w14:val="tx1"/>
            </w14:solidFill>
          </w14:textFill>
        </w:rPr>
        <w:t>13.1 保险范围</w:t>
      </w:r>
      <w:bookmarkEnd w:id="310"/>
      <w:bookmarkEnd w:id="311"/>
      <w:bookmarkEnd w:id="312"/>
      <w:bookmarkEnd w:id="31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13.1.2承包人应依照有关法律规定参加工伤保险和人身意外伤害险，为其履行合同所雇佣的全部人员，缴纳工伤保险费和人身意外伤害险费。</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13.1.3发包人应依照有关法律规定参加工伤保险和人身意外伤害险，为其现场机构雇佣的全部人员，缴纳工伤保险费和人身意外伤害险费，并要求其监理人也进行此类保险。</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14" w:name="_Toc246996321"/>
      <w:bookmarkStart w:id="315" w:name="_Toc246997064"/>
      <w:bookmarkStart w:id="316" w:name="_Toc247085836"/>
      <w:r>
        <w:rPr>
          <w:rFonts w:hint="eastAsia" w:ascii="宋体" w:hAnsi="宋体" w:eastAsia="宋体" w:cs="宋体"/>
          <w:color w:val="000000" w:themeColor="text1"/>
          <w:sz w:val="24"/>
          <w:szCs w:val="24"/>
          <w14:textFill>
            <w14:solidFill>
              <w14:schemeClr w14:val="tx1"/>
            </w14:solidFill>
          </w14:textFill>
        </w:rPr>
        <w:t xml:space="preserve"> </w:t>
      </w:r>
      <w:bookmarkStart w:id="317" w:name="_Toc296602567"/>
      <w:bookmarkStart w:id="318" w:name="_Toc450569923"/>
      <w:r>
        <w:rPr>
          <w:rFonts w:hint="eastAsia" w:ascii="宋体" w:hAnsi="宋体" w:eastAsia="宋体" w:cs="宋体"/>
          <w:color w:val="000000" w:themeColor="text1"/>
          <w:sz w:val="24"/>
          <w:szCs w:val="24"/>
          <w14:textFill>
            <w14:solidFill>
              <w14:schemeClr w14:val="tx1"/>
            </w14:solidFill>
          </w14:textFill>
        </w:rPr>
        <w:t>13.2 未办理保险</w:t>
      </w:r>
      <w:bookmarkEnd w:id="314"/>
      <w:bookmarkEnd w:id="315"/>
      <w:bookmarkEnd w:id="316"/>
      <w:bookmarkEnd w:id="317"/>
      <w:bookmarkEnd w:id="31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bookmarkStart w:id="319" w:name="_Toc184635118"/>
      <w:r>
        <w:rPr>
          <w:rFonts w:hint="eastAsia" w:ascii="宋体" w:hAnsi="宋体" w:eastAsia="宋体" w:cs="宋体"/>
          <w:color w:val="000000" w:themeColor="text1"/>
          <w:sz w:val="24"/>
          <w:szCs w:val="24"/>
          <w14:textFill>
            <w14:solidFill>
              <w14:schemeClr w14:val="tx1"/>
            </w14:solidFill>
          </w14:textFill>
        </w:rPr>
        <w:t>13.2.1由于负有投保义务的一方当事人未按合同约定办理保险，或未能使保险持续有效的，另一方当事人可代为办理，所需费用由对方当事人承担。</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13.2.2由于负有投保义务的一方当事人未按合同约定办理某项保险，导致受益人未能得到保险人的赔偿，原应从该项保险得到的保险金应由负有投保义务的一方当事人支付。</w:t>
      </w:r>
    </w:p>
    <w:bookmarkEnd w:id="319"/>
    <w:p>
      <w:pPr>
        <w:spacing w:line="400" w:lineRule="exact"/>
        <w:rPr>
          <w:rFonts w:ascii="宋体" w:hAnsi="宋体" w:eastAsia="宋体" w:cs="宋体"/>
          <w:b/>
          <w:color w:val="000000" w:themeColor="text1"/>
          <w:sz w:val="24"/>
          <w:szCs w:val="24"/>
          <w14:textFill>
            <w14:solidFill>
              <w14:schemeClr w14:val="tx1"/>
            </w14:solidFill>
          </w14:textFill>
        </w:rPr>
      </w:pPr>
      <w:bookmarkStart w:id="320" w:name="_Toc296602568"/>
      <w:bookmarkStart w:id="321" w:name="_Toc271821895"/>
      <w:bookmarkStart w:id="322" w:name="_Toc247514180"/>
      <w:bookmarkStart w:id="323" w:name="_Toc247527781"/>
      <w:bookmarkStart w:id="324" w:name="_Toc184635119"/>
      <w:bookmarkStart w:id="325" w:name="_Toc247085837"/>
      <w:bookmarkStart w:id="326" w:name="_Toc246997065"/>
      <w:bookmarkStart w:id="327" w:name="_Toc246996322"/>
      <w:r>
        <w:rPr>
          <w:rFonts w:hint="eastAsia" w:ascii="宋体" w:hAnsi="宋体" w:eastAsia="宋体" w:cs="宋体"/>
          <w:b/>
          <w:color w:val="000000" w:themeColor="text1"/>
          <w:sz w:val="24"/>
          <w:szCs w:val="24"/>
          <w14:textFill>
            <w14:solidFill>
              <w14:schemeClr w14:val="tx1"/>
            </w14:solidFill>
          </w14:textFill>
        </w:rPr>
        <w:t>14. 不可抗力</w:t>
      </w:r>
      <w:bookmarkEnd w:id="320"/>
      <w:bookmarkEnd w:id="321"/>
      <w:bookmarkEnd w:id="322"/>
      <w:bookmarkEnd w:id="323"/>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28" w:name="_Toc247527782"/>
      <w:bookmarkStart w:id="329" w:name="_Toc271821896"/>
      <w:bookmarkStart w:id="330" w:name="_Toc450569924"/>
      <w:bookmarkStart w:id="331" w:name="_Toc296602569"/>
      <w:bookmarkStart w:id="332" w:name="_Toc247514181"/>
      <w:r>
        <w:rPr>
          <w:rFonts w:hint="eastAsia" w:ascii="宋体" w:hAnsi="宋体" w:eastAsia="宋体" w:cs="宋体"/>
          <w:color w:val="000000" w:themeColor="text1"/>
          <w:sz w:val="24"/>
          <w:szCs w:val="24"/>
          <w14:textFill>
            <w14:solidFill>
              <w14:schemeClr w14:val="tx1"/>
            </w14:solidFill>
          </w14:textFill>
        </w:rPr>
        <w:t>14.1 不可抗力的确认</w:t>
      </w:r>
      <w:bookmarkEnd w:id="328"/>
      <w:bookmarkEnd w:id="329"/>
      <w:bookmarkEnd w:id="330"/>
      <w:bookmarkEnd w:id="331"/>
      <w:bookmarkEnd w:id="33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33" w:name="_Toc450569925"/>
      <w:bookmarkStart w:id="334" w:name="_Toc247527783"/>
      <w:bookmarkStart w:id="335" w:name="_Toc296602570"/>
      <w:bookmarkStart w:id="336" w:name="_Toc271821897"/>
      <w:bookmarkStart w:id="337" w:name="_Toc247514182"/>
      <w:r>
        <w:rPr>
          <w:rFonts w:hint="eastAsia" w:ascii="宋体" w:hAnsi="宋体" w:eastAsia="宋体" w:cs="宋体"/>
          <w:color w:val="000000" w:themeColor="text1"/>
          <w:sz w:val="24"/>
          <w:szCs w:val="24"/>
          <w14:textFill>
            <w14:solidFill>
              <w14:schemeClr w14:val="tx1"/>
            </w14:solidFill>
          </w14:textFill>
        </w:rPr>
        <w:t>14.2 不可抗力的通知</w:t>
      </w:r>
      <w:bookmarkEnd w:id="333"/>
      <w:bookmarkEnd w:id="334"/>
      <w:bookmarkEnd w:id="335"/>
      <w:bookmarkEnd w:id="336"/>
      <w:bookmarkEnd w:id="33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38" w:name="_Toc296602571"/>
      <w:bookmarkStart w:id="339" w:name="_Toc450569926"/>
      <w:bookmarkStart w:id="340" w:name="_Toc271821898"/>
      <w:bookmarkStart w:id="341" w:name="_Toc247527784"/>
      <w:bookmarkStart w:id="342" w:name="_Toc247514183"/>
      <w:r>
        <w:rPr>
          <w:rFonts w:hint="eastAsia" w:ascii="宋体" w:hAnsi="宋体" w:eastAsia="宋体" w:cs="宋体"/>
          <w:color w:val="000000" w:themeColor="text1"/>
          <w:sz w:val="24"/>
          <w:szCs w:val="24"/>
          <w14:textFill>
            <w14:solidFill>
              <w14:schemeClr w14:val="tx1"/>
            </w14:solidFill>
          </w14:textFill>
        </w:rPr>
        <w:t>14.3 不可抗力后果及其处理</w:t>
      </w:r>
      <w:bookmarkEnd w:id="338"/>
      <w:bookmarkEnd w:id="339"/>
      <w:bookmarkEnd w:id="340"/>
      <w:bookmarkEnd w:id="341"/>
      <w:bookmarkEnd w:id="34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（1）永久工程，包括已运至施工场地的材料和工程设备的损害，以及因工程损害造成的第三者人员伤亡和财产损失由发包人承担；</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（2）承包人设备的损坏由承包人承担；</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（3）发包人和承包人各自承担其人员伤亡和其他财产损失及其相关费用；</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（4）承包人的停工损失由承包人承担，但停工期间应监理人要求照管工程和清理、修复工程的金额由发包人承担；</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（5）不能按期竣工的，应合理延长工期，承包人不需支付逾期竣工违约金。发包人要求赶工的，承包人应采取赶工措施，赶工费用由发包人承担。</w:t>
      </w:r>
    </w:p>
    <w:p>
      <w:pPr>
        <w:spacing w:line="400" w:lineRule="exact"/>
        <w:rPr>
          <w:rFonts w:ascii="宋体" w:hAnsi="宋体" w:eastAsia="宋体" w:cs="宋体"/>
          <w:b/>
          <w:color w:val="000000" w:themeColor="text1"/>
          <w:sz w:val="24"/>
          <w:szCs w:val="24"/>
          <w14:textFill>
            <w14:solidFill>
              <w14:schemeClr w14:val="tx1"/>
            </w14:solidFill>
          </w14:textFill>
        </w:rPr>
      </w:pPr>
      <w:bookmarkStart w:id="343" w:name="_Toc296602572"/>
      <w:r>
        <w:rPr>
          <w:rFonts w:hint="eastAsia" w:ascii="宋体" w:hAnsi="宋体" w:eastAsia="宋体" w:cs="宋体"/>
          <w:b/>
          <w:color w:val="000000" w:themeColor="text1"/>
          <w:sz w:val="24"/>
          <w:szCs w:val="24"/>
          <w14:textFill>
            <w14:solidFill>
              <w14:schemeClr w14:val="tx1"/>
            </w14:solidFill>
          </w14:textFill>
        </w:rPr>
        <w:t>15. 违约</w:t>
      </w:r>
      <w:bookmarkEnd w:id="324"/>
      <w:bookmarkEnd w:id="325"/>
      <w:bookmarkEnd w:id="326"/>
      <w:bookmarkEnd w:id="327"/>
      <w:bookmarkEnd w:id="343"/>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44" w:name="_Toc246997066"/>
      <w:bookmarkStart w:id="345" w:name="_Toc247085838"/>
      <w:bookmarkStart w:id="346" w:name="_Toc246996323"/>
      <w:bookmarkStart w:id="347" w:name="_Toc296602573"/>
      <w:bookmarkStart w:id="348" w:name="_Toc450569927"/>
      <w:r>
        <w:rPr>
          <w:rFonts w:hint="eastAsia" w:ascii="宋体" w:hAnsi="宋体" w:eastAsia="宋体" w:cs="宋体"/>
          <w:color w:val="000000" w:themeColor="text1"/>
          <w:sz w:val="24"/>
          <w:szCs w:val="24"/>
          <w14:textFill>
            <w14:solidFill>
              <w14:schemeClr w14:val="tx1"/>
            </w14:solidFill>
          </w14:textFill>
        </w:rPr>
        <w:t>15.1 承包人违约</w:t>
      </w:r>
      <w:bookmarkEnd w:id="344"/>
      <w:bookmarkEnd w:id="345"/>
      <w:bookmarkEnd w:id="346"/>
      <w:bookmarkEnd w:id="347"/>
      <w:bookmarkEnd w:id="34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15.1.1 如果承包人拒绝或未能遵守监理人的指示，或未能按合同进度计划及时完成合同约定的工作，已造成或预期造成工期延误，或违反合同不顾书面警告，监理人可发出通知，告知承包人违约。</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49" w:name="_Toc246997067"/>
      <w:bookmarkStart w:id="350" w:name="_Toc246996324"/>
      <w:bookmarkStart w:id="351" w:name="_Toc247085839"/>
      <w:bookmarkStart w:id="352" w:name="_Toc450569928"/>
      <w:bookmarkStart w:id="353" w:name="_Toc296602574"/>
      <w:r>
        <w:rPr>
          <w:rFonts w:hint="eastAsia" w:ascii="宋体" w:hAnsi="宋体" w:eastAsia="宋体" w:cs="宋体"/>
          <w:color w:val="000000" w:themeColor="text1"/>
          <w:sz w:val="24"/>
          <w:szCs w:val="24"/>
          <w14:textFill>
            <w14:solidFill>
              <w14:schemeClr w14:val="tx1"/>
            </w14:solidFill>
          </w14:textFill>
        </w:rPr>
        <w:t>15.2 发包人违约</w:t>
      </w:r>
      <w:bookmarkEnd w:id="349"/>
      <w:bookmarkEnd w:id="350"/>
      <w:bookmarkEnd w:id="351"/>
      <w:bookmarkEnd w:id="352"/>
      <w:bookmarkEnd w:id="35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15.2.1 如果发包人未能按合同付款，或违反合同不顾书面警告，承包人可发出通知，告知发包人违约。如果发包人在收到该通知后14天内未纠正违约，承包人可暂停工作或放慢工作进度。</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spacing w:line="400" w:lineRule="exact"/>
        <w:rPr>
          <w:rFonts w:ascii="宋体" w:hAnsi="宋体" w:eastAsia="宋体" w:cs="宋体"/>
          <w:b/>
          <w:color w:val="000000" w:themeColor="text1"/>
          <w:sz w:val="24"/>
          <w:szCs w:val="24"/>
          <w14:textFill>
            <w14:solidFill>
              <w14:schemeClr w14:val="tx1"/>
            </w14:solidFill>
          </w14:textFill>
        </w:rPr>
      </w:pPr>
      <w:bookmarkStart w:id="354" w:name="_Toc296602575"/>
      <w:bookmarkStart w:id="355" w:name="_Toc246996326"/>
      <w:bookmarkStart w:id="356" w:name="_Toc247085841"/>
      <w:bookmarkStart w:id="357" w:name="_Toc184635120"/>
      <w:bookmarkStart w:id="358" w:name="_Toc246997069"/>
      <w:r>
        <w:rPr>
          <w:rFonts w:hint="eastAsia" w:ascii="宋体" w:hAnsi="宋体" w:eastAsia="宋体" w:cs="宋体"/>
          <w:b/>
          <w:color w:val="000000" w:themeColor="text1"/>
          <w:sz w:val="24"/>
          <w:szCs w:val="24"/>
          <w14:textFill>
            <w14:solidFill>
              <w14:schemeClr w14:val="tx1"/>
            </w14:solidFill>
          </w14:textFill>
        </w:rPr>
        <w:t>16. 索赔</w:t>
      </w:r>
      <w:bookmarkEnd w:id="354"/>
      <w:bookmarkEnd w:id="355"/>
      <w:bookmarkEnd w:id="356"/>
      <w:bookmarkEnd w:id="357"/>
      <w:bookmarkEnd w:id="358"/>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59" w:name="_Toc450569929"/>
      <w:bookmarkStart w:id="360" w:name="_Toc246996327"/>
      <w:bookmarkStart w:id="361" w:name="_Toc247085842"/>
      <w:bookmarkStart w:id="362" w:name="_Toc296602576"/>
      <w:bookmarkStart w:id="363" w:name="_Toc246997070"/>
      <w:r>
        <w:rPr>
          <w:rFonts w:hint="eastAsia" w:ascii="宋体" w:hAnsi="宋体" w:eastAsia="宋体" w:cs="宋体"/>
          <w:color w:val="000000" w:themeColor="text1"/>
          <w:sz w:val="24"/>
          <w:szCs w:val="24"/>
          <w14:textFill>
            <w14:solidFill>
              <w14:schemeClr w14:val="tx1"/>
            </w14:solidFill>
          </w14:textFill>
        </w:rPr>
        <w:t>16.1 承包人索赔的提出</w:t>
      </w:r>
      <w:bookmarkEnd w:id="359"/>
      <w:bookmarkEnd w:id="360"/>
      <w:bookmarkEnd w:id="361"/>
      <w:bookmarkEnd w:id="362"/>
      <w:bookmarkEnd w:id="36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根据合同约定，承包人认为有权得到追加付款和（或）延长工期的，应按以下程序向发包人提出索赔：</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（l）承包人应在知道或应当知道索赔事件发生后14天内，向监理人递交索赔通知书。索赔通知书应详细说明索赔理由以及要求追加的付款金额和（或）延长的工期，并附必要的记录和证明材料； </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（2）索赔事件具有连续影响的，承包人应在索赔事件影响结束后的14天内，向监理人递交最终索赔通知书，说明最终要求索赔的追加付款金额和延长的工期，并附必要的记录和证明材料；</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（3）承包人未在前述14天内递交索赔通知书的，丧失要求追加付款和（或）延长工期的权利。</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64" w:name="_Toc296602577"/>
      <w:bookmarkStart w:id="365" w:name="_Toc246996328"/>
      <w:bookmarkStart w:id="366" w:name="_Toc247085843"/>
      <w:bookmarkStart w:id="367" w:name="_Toc450569930"/>
      <w:bookmarkStart w:id="368" w:name="_Toc246997071"/>
      <w:r>
        <w:rPr>
          <w:rFonts w:hint="eastAsia" w:ascii="宋体" w:hAnsi="宋体" w:eastAsia="宋体" w:cs="宋体"/>
          <w:color w:val="000000" w:themeColor="text1"/>
          <w:sz w:val="24"/>
          <w:szCs w:val="24"/>
          <w14:textFill>
            <w14:solidFill>
              <w14:schemeClr w14:val="tx1"/>
            </w14:solidFill>
          </w14:textFill>
        </w:rPr>
        <w:t>16.2 承包人索赔处理程序</w:t>
      </w:r>
      <w:bookmarkEnd w:id="364"/>
      <w:bookmarkEnd w:id="365"/>
      <w:bookmarkEnd w:id="366"/>
      <w:bookmarkEnd w:id="367"/>
      <w:bookmarkEnd w:id="368"/>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（1）监理人收到承包人提交的索赔通知书后，应按第3.5 款商定或确定追加的付款和（或）延长的工期，并在收到上述索赔通知书或有关索赔的进一步证明材料后的14天内，将索赔处理结果答复承包人。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（2）承包人接受索赔处理结果的，发包人应在作出索赔处理结果答复后14天内完成赔付。承包人不接受索赔处理结果的，按第17条的约定执行。</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69" w:name="_Toc247085844"/>
      <w:bookmarkStart w:id="370" w:name="_Toc246997072"/>
      <w:bookmarkStart w:id="371" w:name="_Toc246996329"/>
      <w:bookmarkStart w:id="372" w:name="_Toc296602578"/>
      <w:bookmarkStart w:id="373" w:name="_Toc450569931"/>
      <w:r>
        <w:rPr>
          <w:rFonts w:hint="eastAsia" w:ascii="宋体" w:hAnsi="宋体" w:eastAsia="宋体" w:cs="宋体"/>
          <w:color w:val="000000" w:themeColor="text1"/>
          <w:sz w:val="24"/>
          <w:szCs w:val="24"/>
          <w14:textFill>
            <w14:solidFill>
              <w14:schemeClr w14:val="tx1"/>
            </w14:solidFill>
          </w14:textFill>
        </w:rPr>
        <w:t>16.3 承包人提出索赔的期限</w:t>
      </w:r>
      <w:bookmarkEnd w:id="369"/>
      <w:bookmarkEnd w:id="370"/>
      <w:bookmarkEnd w:id="371"/>
      <w:bookmarkEnd w:id="372"/>
      <w:bookmarkEnd w:id="373"/>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承包人按第10.5 款的约定接受了竣工付款证书后，应被认为已无权再提出在合同工程接收证书颁发前所发生的任何索赔。</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74" w:name="_Toc450569932"/>
      <w:bookmarkStart w:id="375" w:name="_Toc296602579"/>
      <w:r>
        <w:rPr>
          <w:rFonts w:hint="eastAsia" w:ascii="宋体" w:hAnsi="宋体" w:eastAsia="宋体" w:cs="宋体"/>
          <w:color w:val="000000" w:themeColor="text1"/>
          <w:sz w:val="24"/>
          <w:szCs w:val="24"/>
          <w14:textFill>
            <w14:solidFill>
              <w14:schemeClr w14:val="tx1"/>
            </w14:solidFill>
          </w14:textFill>
        </w:rPr>
        <w:t>16.4 发包人索赔的提出</w:t>
      </w:r>
      <w:bookmarkEnd w:id="374"/>
      <w:bookmarkEnd w:id="375"/>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根据合同约定，发包人认为有权得到追加付款和（或）延长工期的，应按以下程序向承包人提出索赔：</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（l）监理人应在知道或应当知道索赔事件发生后14天内，向承包人递交索赔通知书。索赔通知书应详细说明索赔理由以及要求追加的付款金额和（或）延长的工期，并附必要的记录和证明材料； </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（2）索赔事件具有连续影响的，监理人应在索赔事件影响结束后的14天内，向承包人递交最终索赔通知书，说明最终要求索赔的追加付款金额和延长的工期，并附必要的记录和证明材料。</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76" w:name="_Toc450569933"/>
      <w:bookmarkStart w:id="377" w:name="_Toc296602580"/>
      <w:r>
        <w:rPr>
          <w:rFonts w:hint="eastAsia" w:ascii="宋体" w:hAnsi="宋体" w:eastAsia="宋体" w:cs="宋体"/>
          <w:color w:val="000000" w:themeColor="text1"/>
          <w:sz w:val="24"/>
          <w:szCs w:val="24"/>
          <w14:textFill>
            <w14:solidFill>
              <w14:schemeClr w14:val="tx1"/>
            </w14:solidFill>
          </w14:textFill>
        </w:rPr>
        <w:t>16.5 发包人索赔处理程序</w:t>
      </w:r>
      <w:bookmarkEnd w:id="376"/>
      <w:bookmarkEnd w:id="37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（1）承包人收到监理人提交的索赔通知书后，应按第3.5 款商定或确定追加的付款和（或）延长的工期，并在收到上述索赔通知书或有关索赔的进一步证明材料后的14天内，将索赔处理结果答复监理人。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（2）监理人接受索赔处理结果的，承包人应在作出索赔处理结果答复后14天内完成赔付。监理人不接受索赔处理结果的，按第17条的约定执行。</w:t>
      </w:r>
    </w:p>
    <w:p>
      <w:pPr>
        <w:spacing w:line="400" w:lineRule="exact"/>
        <w:rPr>
          <w:rFonts w:ascii="宋体" w:hAnsi="宋体" w:eastAsia="宋体" w:cs="宋体"/>
          <w:b/>
          <w:color w:val="000000" w:themeColor="text1"/>
          <w:sz w:val="24"/>
          <w:szCs w:val="24"/>
          <w14:textFill>
            <w14:solidFill>
              <w14:schemeClr w14:val="tx1"/>
            </w14:solidFill>
          </w14:textFill>
        </w:rPr>
      </w:pPr>
      <w:bookmarkStart w:id="378" w:name="_Toc246996331"/>
      <w:bookmarkStart w:id="379" w:name="_Toc296602581"/>
      <w:bookmarkStart w:id="380" w:name="_Toc247085846"/>
      <w:bookmarkStart w:id="381" w:name="_Toc246997074"/>
      <w:bookmarkStart w:id="382" w:name="_Toc184635121"/>
      <w:r>
        <w:rPr>
          <w:rFonts w:hint="eastAsia" w:ascii="宋体" w:hAnsi="宋体" w:eastAsia="宋体" w:cs="宋体"/>
          <w:b/>
          <w:color w:val="000000" w:themeColor="text1"/>
          <w:sz w:val="24"/>
          <w:szCs w:val="24"/>
          <w14:textFill>
            <w14:solidFill>
              <w14:schemeClr w14:val="tx1"/>
            </w14:solidFill>
          </w14:textFill>
        </w:rPr>
        <w:t>17. 争议的解决</w:t>
      </w:r>
      <w:bookmarkEnd w:id="378"/>
      <w:bookmarkEnd w:id="379"/>
      <w:bookmarkEnd w:id="380"/>
      <w:bookmarkEnd w:id="381"/>
      <w:bookmarkEnd w:id="382"/>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83" w:name="_Toc450569934"/>
      <w:bookmarkStart w:id="384" w:name="_Toc246997075"/>
      <w:bookmarkStart w:id="385" w:name="_Toc296602582"/>
      <w:bookmarkStart w:id="386" w:name="_Toc247085847"/>
      <w:bookmarkStart w:id="387" w:name="_Toc246996332"/>
      <w:r>
        <w:rPr>
          <w:rFonts w:hint="eastAsia" w:ascii="宋体" w:hAnsi="宋体" w:eastAsia="宋体" w:cs="宋体"/>
          <w:color w:val="000000" w:themeColor="text1"/>
          <w:sz w:val="24"/>
          <w:szCs w:val="24"/>
          <w14:textFill>
            <w14:solidFill>
              <w14:schemeClr w14:val="tx1"/>
            </w14:solidFill>
          </w14:textFill>
        </w:rPr>
        <w:t>17.1 争议的解决方式</w:t>
      </w:r>
      <w:bookmarkEnd w:id="383"/>
      <w:bookmarkEnd w:id="384"/>
      <w:bookmarkEnd w:id="385"/>
      <w:bookmarkEnd w:id="386"/>
      <w:bookmarkEnd w:id="38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（l）向约定的仲裁委员会申请仲裁；</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（2）向有管辖权的人民法院提起诉讼。</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88" w:name="_Toc246997076"/>
      <w:bookmarkStart w:id="389" w:name="_Toc450569935"/>
      <w:bookmarkStart w:id="390" w:name="_Toc296602583"/>
      <w:bookmarkStart w:id="391" w:name="_Toc247085848"/>
      <w:bookmarkStart w:id="392" w:name="_Toc246996333"/>
      <w:r>
        <w:rPr>
          <w:rFonts w:hint="eastAsia" w:ascii="宋体" w:hAnsi="宋体" w:eastAsia="宋体" w:cs="宋体"/>
          <w:color w:val="000000" w:themeColor="text1"/>
          <w:sz w:val="24"/>
          <w:szCs w:val="24"/>
          <w14:textFill>
            <w14:solidFill>
              <w14:schemeClr w14:val="tx1"/>
            </w14:solidFill>
          </w14:textFill>
        </w:rPr>
        <w:t>17.2 友好解决</w:t>
      </w:r>
      <w:bookmarkEnd w:id="388"/>
      <w:bookmarkEnd w:id="389"/>
      <w:bookmarkEnd w:id="390"/>
      <w:bookmarkEnd w:id="391"/>
      <w:bookmarkEnd w:id="392"/>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在提请争议评审、仲裁或者诉讼前，以及在争议评审、仲裁或诉讼过程中，发包人和承包人均可共同努力友好协商解决争议。</w:t>
      </w:r>
    </w:p>
    <w:p>
      <w:pPr>
        <w:pStyle w:val="5"/>
        <w:spacing w:line="400" w:lineRule="exact"/>
        <w:rPr>
          <w:rFonts w:ascii="宋体" w:hAnsi="宋体" w:eastAsia="宋体" w:cs="宋体"/>
          <w:color w:val="000000" w:themeColor="text1"/>
          <w:sz w:val="24"/>
          <w:szCs w:val="24"/>
          <w14:textFill>
            <w14:solidFill>
              <w14:schemeClr w14:val="tx1"/>
            </w14:solidFill>
          </w14:textFill>
        </w:rPr>
      </w:pPr>
      <w:bookmarkStart w:id="393" w:name="_Toc247085849"/>
      <w:bookmarkStart w:id="394" w:name="_Toc246997077"/>
      <w:bookmarkStart w:id="395" w:name="_Toc296602584"/>
      <w:bookmarkStart w:id="396" w:name="_Toc450569936"/>
      <w:bookmarkStart w:id="397" w:name="_Toc246996334"/>
      <w:r>
        <w:rPr>
          <w:rFonts w:hint="eastAsia" w:ascii="宋体" w:hAnsi="宋体" w:eastAsia="宋体" w:cs="宋体"/>
          <w:color w:val="000000" w:themeColor="text1"/>
          <w:sz w:val="24"/>
          <w:szCs w:val="24"/>
          <w14:textFill>
            <w14:solidFill>
              <w14:schemeClr w14:val="tx1"/>
            </w14:solidFill>
          </w14:textFill>
        </w:rPr>
        <w:t>17.3 争议评审</w:t>
      </w:r>
      <w:bookmarkEnd w:id="393"/>
      <w:bookmarkEnd w:id="394"/>
      <w:bookmarkEnd w:id="395"/>
      <w:bookmarkEnd w:id="396"/>
      <w:bookmarkEnd w:id="397"/>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17.3.1 采用争议评审的，发包人和承包人应当在专用合同条款中约定争议评审的程序和规则，并在开工日后的28天内或在争议发生后，协商成立争议评审组。</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17.3.2 发包人和承包人接受评审意见的，由监理人根据评审意见拟定执行协议，经争议双方签字后作为合同的补充文件，并遵照执行。</w:t>
      </w:r>
    </w:p>
    <w:p>
      <w:pPr>
        <w:spacing w:line="400" w:lineRule="exact"/>
        <w:ind w:firstLine="480" w:firstLineChars="200"/>
        <w:rPr>
          <w:rFonts w:hint="eastAsia" w:ascii="宋体" w:hAnsi="宋体"/>
          <w:b/>
          <w:bCs/>
          <w:color w:val="000000" w:themeColor="text1"/>
          <w:sz w:val="44"/>
          <w:szCs w:val="4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jc w:val="center"/>
        <w:outlineLvl w:val="0"/>
        <w:rPr>
          <w:rFonts w:hint="eastAsia" w:ascii="宋体" w:hAnsi="宋体"/>
          <w:b/>
          <w:bCs/>
          <w:color w:val="000000" w:themeColor="text1"/>
          <w:sz w:val="44"/>
          <w:szCs w:val="44"/>
          <w14:textFill>
            <w14:solidFill>
              <w14:schemeClr w14:val="tx1"/>
            </w14:solidFill>
          </w14:textFill>
        </w:rPr>
      </w:pPr>
    </w:p>
    <w:p>
      <w:pPr>
        <w:spacing w:line="360" w:lineRule="auto"/>
        <w:jc w:val="center"/>
        <w:outlineLvl w:val="0"/>
        <w:rPr>
          <w:rFonts w:hint="eastAsia" w:ascii="宋体" w:hAnsi="宋体"/>
          <w:b/>
          <w:bCs/>
          <w:color w:val="000000" w:themeColor="text1"/>
          <w:sz w:val="44"/>
          <w:szCs w:val="44"/>
          <w14:textFill>
            <w14:solidFill>
              <w14:schemeClr w14:val="tx1"/>
            </w14:solidFill>
          </w14:textFill>
        </w:rPr>
      </w:pPr>
    </w:p>
    <w:p>
      <w:pPr>
        <w:spacing w:line="360" w:lineRule="auto"/>
        <w:jc w:val="center"/>
        <w:outlineLvl w:val="0"/>
        <w:rPr>
          <w:rFonts w:hint="eastAsia" w:ascii="宋体" w:hAnsi="宋体"/>
          <w:b/>
          <w:bCs/>
          <w:color w:val="000000" w:themeColor="text1"/>
          <w:sz w:val="44"/>
          <w:szCs w:val="44"/>
          <w14:textFill>
            <w14:solidFill>
              <w14:schemeClr w14:val="tx1"/>
            </w14:solidFill>
          </w14:textFill>
        </w:rPr>
      </w:pPr>
    </w:p>
    <w:p>
      <w:pPr>
        <w:spacing w:line="360" w:lineRule="auto"/>
        <w:jc w:val="center"/>
        <w:outlineLvl w:val="0"/>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第六章　响应文件格式</w:t>
      </w:r>
      <w:bookmarkEnd w:id="58"/>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投标密封袋及文件封面格式</w:t>
      </w:r>
    </w:p>
    <w:p>
      <w:pPr>
        <w:spacing w:line="48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p>
    <w:p>
      <w:pPr>
        <w:spacing w:line="48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注:投标文件标明</w:t>
      </w:r>
      <w:r>
        <w:rPr>
          <w:rFonts w:hint="eastAsia" w:ascii="宋体" w:hAnsi="宋体" w:cs="宋体"/>
          <w:b/>
          <w:color w:val="000000" w:themeColor="text1"/>
          <w:sz w:val="28"/>
          <w:szCs w:val="28"/>
          <w:u w:val="single"/>
          <w14:textFill>
            <w14:solidFill>
              <w14:schemeClr w14:val="tx1"/>
            </w14:solidFill>
          </w14:textFill>
        </w:rPr>
        <w:t>正本或副本</w:t>
      </w:r>
    </w:p>
    <w:p>
      <w:pPr>
        <w:spacing w:line="480" w:lineRule="auto"/>
        <w:jc w:val="center"/>
        <w:rPr>
          <w:rFonts w:hint="eastAsia"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响</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应</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文</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件</w:t>
      </w:r>
    </w:p>
    <w:p>
      <w:pPr>
        <w:spacing w:line="400" w:lineRule="exact"/>
        <w:rPr>
          <w:rFonts w:ascii="宋体" w:hAnsi="宋体" w:cs="宋体"/>
          <w:bCs/>
          <w:color w:val="000000" w:themeColor="text1"/>
          <w:sz w:val="28"/>
          <w:szCs w:val="28"/>
          <w14:textFill>
            <w14:solidFill>
              <w14:schemeClr w14:val="tx1"/>
            </w14:solidFill>
          </w14:textFill>
        </w:rPr>
      </w:pPr>
    </w:p>
    <w:p>
      <w:pPr>
        <w:spacing w:line="400" w:lineRule="exact"/>
        <w:ind w:left="180"/>
        <w:rPr>
          <w:rFonts w:ascii="宋体" w:hAnsi="宋体" w:cs="宋体"/>
          <w:bCs/>
          <w:color w:val="000000" w:themeColor="text1"/>
          <w:sz w:val="28"/>
          <w:szCs w:val="28"/>
          <w14:textFill>
            <w14:solidFill>
              <w14:schemeClr w14:val="tx1"/>
            </w14:solidFill>
          </w14:textFill>
        </w:rPr>
      </w:pPr>
    </w:p>
    <w:p>
      <w:pPr>
        <w:spacing w:line="400" w:lineRule="exact"/>
        <w:rPr>
          <w:rFonts w:ascii="宋体" w:hAnsi="宋体" w:cs="宋体"/>
          <w:bCs/>
          <w:color w:val="000000" w:themeColor="text1"/>
          <w:sz w:val="28"/>
          <w:szCs w:val="28"/>
          <w14:textFill>
            <w14:solidFill>
              <w14:schemeClr w14:val="tx1"/>
            </w14:solidFill>
          </w14:textFill>
        </w:rPr>
      </w:pPr>
    </w:p>
    <w:p>
      <w:pPr>
        <w:spacing w:line="400" w:lineRule="exact"/>
        <w:rPr>
          <w:rFonts w:ascii="宋体" w:hAnsi="宋体" w:cs="宋体"/>
          <w:bCs/>
          <w:color w:val="000000" w:themeColor="text1"/>
          <w:sz w:val="28"/>
          <w:szCs w:val="28"/>
          <w14:textFill>
            <w14:solidFill>
              <w14:schemeClr w14:val="tx1"/>
            </w14:solidFill>
          </w14:textFill>
        </w:rPr>
      </w:pPr>
    </w:p>
    <w:p>
      <w:pPr>
        <w:spacing w:line="400" w:lineRule="exact"/>
        <w:ind w:left="180"/>
        <w:rPr>
          <w:rFonts w:ascii="宋体" w:hAnsi="宋体" w:cs="宋体"/>
          <w:bCs/>
          <w:color w:val="000000" w:themeColor="text1"/>
          <w:sz w:val="28"/>
          <w:szCs w:val="28"/>
          <w14:textFill>
            <w14:solidFill>
              <w14:schemeClr w14:val="tx1"/>
            </w14:solidFill>
          </w14:textFill>
        </w:rPr>
      </w:pPr>
    </w:p>
    <w:p>
      <w:pPr>
        <w:spacing w:line="400" w:lineRule="exact"/>
        <w:ind w:left="180" w:firstLine="280" w:firstLineChars="1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采购项目名称:</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u w:val="single"/>
          <w:lang w:val="en-US" w:eastAsia="zh-CN"/>
          <w14:textFill>
            <w14:solidFill>
              <w14:schemeClr w14:val="tx1"/>
            </w14:solidFill>
          </w14:textFill>
        </w:rPr>
        <w:t>1包或2包</w:t>
      </w:r>
      <w:r>
        <w:rPr>
          <w:rFonts w:hint="eastAsia" w:ascii="宋体" w:hAnsi="宋体" w:cs="宋体"/>
          <w:bCs/>
          <w:color w:val="000000" w:themeColor="text1"/>
          <w:sz w:val="28"/>
          <w:szCs w:val="28"/>
          <w:u w:val="single"/>
          <w14:textFill>
            <w14:solidFill>
              <w14:schemeClr w14:val="tx1"/>
            </w14:solidFill>
          </w14:textFill>
        </w:rPr>
        <w:t xml:space="preserve">              </w:t>
      </w:r>
    </w:p>
    <w:p>
      <w:pPr>
        <w:spacing w:line="400" w:lineRule="exact"/>
        <w:ind w:left="180" w:firstLine="280" w:firstLineChars="1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采购项目编号:</w:t>
      </w:r>
      <w:r>
        <w:rPr>
          <w:rFonts w:hint="eastAsia" w:ascii="宋体" w:hAnsi="宋体" w:cs="宋体"/>
          <w:bCs/>
          <w:color w:val="000000" w:themeColor="text1"/>
          <w:sz w:val="28"/>
          <w:szCs w:val="28"/>
          <w:u w:val="single"/>
          <w14:textFill>
            <w14:solidFill>
              <w14:schemeClr w14:val="tx1"/>
            </w14:solidFill>
          </w14:textFill>
        </w:rPr>
        <w:t xml:space="preserve">                                          </w:t>
      </w:r>
    </w:p>
    <w:p>
      <w:pPr>
        <w:spacing w:line="400" w:lineRule="exact"/>
        <w:ind w:left="180" w:firstLine="280" w:firstLineChars="1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谈判供应商</w:t>
      </w:r>
      <w:r>
        <w:rPr>
          <w:rFonts w:hint="eastAsia" w:ascii="宋体" w:hAnsi="宋体" w:cs="宋体"/>
          <w:bCs/>
          <w:color w:val="000000" w:themeColor="text1"/>
          <w:sz w:val="28"/>
          <w:szCs w:val="28"/>
          <w14:textFill>
            <w14:solidFill>
              <w14:schemeClr w14:val="tx1"/>
            </w14:solidFill>
          </w14:textFill>
        </w:rPr>
        <w:t>名称:</w:t>
      </w:r>
      <w:r>
        <w:rPr>
          <w:rFonts w:hint="eastAsia" w:ascii="宋体" w:hAnsi="宋体" w:cs="宋体"/>
          <w:bCs/>
          <w:color w:val="000000" w:themeColor="text1"/>
          <w:sz w:val="28"/>
          <w:szCs w:val="28"/>
          <w:u w:val="single"/>
          <w14:textFill>
            <w14:solidFill>
              <w14:schemeClr w14:val="tx1"/>
            </w14:solidFill>
          </w14:textFill>
        </w:rPr>
        <w:t xml:space="preserve">                                           </w:t>
      </w:r>
    </w:p>
    <w:p>
      <w:pPr>
        <w:spacing w:line="400" w:lineRule="exact"/>
        <w:ind w:left="180" w:firstLine="280" w:firstLineChars="1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地        址:</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 xml:space="preserve">      </w:t>
      </w:r>
    </w:p>
    <w:p>
      <w:pPr>
        <w:spacing w:line="400" w:lineRule="exact"/>
        <w:ind w:left="180" w:firstLine="280" w:firstLineChars="1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联   系   人:</w:t>
      </w:r>
      <w:r>
        <w:rPr>
          <w:rFonts w:hint="eastAsia" w:ascii="宋体" w:hAnsi="宋体" w:cs="宋体"/>
          <w:bCs/>
          <w:color w:val="000000" w:themeColor="text1"/>
          <w:sz w:val="28"/>
          <w:szCs w:val="28"/>
          <w:u w:val="single"/>
          <w14:textFill>
            <w14:solidFill>
              <w14:schemeClr w14:val="tx1"/>
            </w14:solidFill>
          </w14:textFill>
        </w:rPr>
        <w:t xml:space="preserve">                                          </w:t>
      </w:r>
    </w:p>
    <w:p>
      <w:pPr>
        <w:spacing w:line="400" w:lineRule="exact"/>
        <w:ind w:left="180" w:firstLine="280" w:firstLineChars="100"/>
        <w:rPr>
          <w:rFonts w:ascii="宋体" w:hAnsi="宋体" w:cs="宋体"/>
          <w:b/>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联  系 电 话:</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14:textFill>
            <w14:solidFill>
              <w14:schemeClr w14:val="tx1"/>
            </w14:solidFill>
          </w14:textFill>
        </w:rPr>
        <w:t xml:space="preserve"> </w:t>
      </w:r>
    </w:p>
    <w:p>
      <w:pPr>
        <w:pStyle w:val="8"/>
        <w:snapToGrid w:val="0"/>
        <w:spacing w:line="360" w:lineRule="auto"/>
        <w:ind w:firstLine="883" w:firstLineChars="275"/>
        <w:jc w:val="center"/>
        <w:rPr>
          <w:b/>
          <w:bCs/>
          <w:color w:val="000000" w:themeColor="text1"/>
          <w:sz w:val="32"/>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2"/>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2"/>
      </w:pPr>
    </w:p>
    <w:p>
      <w:pPr>
        <w:spacing w:line="360" w:lineRule="auto"/>
        <w:jc w:val="center"/>
        <w:rPr>
          <w:rFonts w:hint="eastAsia" w:ascii="宋体" w:hAnsi="宋体"/>
          <w:b/>
          <w:color w:val="000000" w:themeColor="text1"/>
          <w:sz w:val="36"/>
          <w14:textFill>
            <w14:solidFill>
              <w14:schemeClr w14:val="tx1"/>
            </w14:solidFill>
          </w14:textFill>
        </w:rPr>
      </w:pPr>
    </w:p>
    <w:p>
      <w:pPr>
        <w:spacing w:line="360" w:lineRule="auto"/>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一  响应声明函</w:t>
      </w:r>
    </w:p>
    <w:p>
      <w:pPr>
        <w:pStyle w:val="11"/>
        <w:spacing w:line="400" w:lineRule="exac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铜仁市第二人民医院</w:t>
      </w:r>
    </w:p>
    <w:p>
      <w:pPr>
        <w:kinsoku w:val="0"/>
        <w:wordWrap w:val="0"/>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000000" w:themeColor="text1"/>
          <w:sz w:val="24"/>
          <w:szCs w:val="24"/>
          <w14:textFill>
            <w14:solidFill>
              <w14:schemeClr w14:val="tx1"/>
            </w14:solidFill>
          </w14:textFill>
        </w:rPr>
        <w:t>根据贵方为</w:t>
      </w:r>
      <w:r>
        <w:rPr>
          <w:rFonts w:hint="eastAsia" w:asciiTheme="minorEastAsia" w:hAnsiTheme="minorEastAsia" w:cstheme="minorEastAsia"/>
          <w:color w:val="000000" w:themeColor="text1"/>
          <w:sz w:val="24"/>
          <w:szCs w:val="24"/>
          <w:u w:val="single"/>
          <w14:textFill>
            <w14:solidFill>
              <w14:schemeClr w14:val="tx1"/>
            </w14:solidFill>
          </w14:textFill>
        </w:rPr>
        <w:t xml:space="preserve"> （项目名称） </w:t>
      </w:r>
      <w:r>
        <w:rPr>
          <w:rFonts w:hint="eastAsia" w:asciiTheme="minorEastAsia" w:hAnsiTheme="minorEastAsia" w:cstheme="minorEastAsia"/>
          <w:color w:val="000000" w:themeColor="text1"/>
          <w:sz w:val="24"/>
          <w:szCs w:val="24"/>
          <w14:textFill>
            <w14:solidFill>
              <w14:schemeClr w14:val="tx1"/>
            </w14:solidFill>
          </w14:textFill>
        </w:rPr>
        <w:t>项目的</w:t>
      </w:r>
      <w:r>
        <w:rPr>
          <w:rFonts w:hint="eastAsia" w:asciiTheme="minorEastAsia" w:hAnsiTheme="minorEastAsia" w:cstheme="minorEastAsia"/>
          <w:color w:val="000000" w:themeColor="text1"/>
          <w:sz w:val="24"/>
          <w:szCs w:val="24"/>
          <w:lang w:eastAsia="zh-CN"/>
          <w14:textFill>
            <w14:solidFill>
              <w14:schemeClr w14:val="tx1"/>
            </w14:solidFill>
          </w14:textFill>
        </w:rPr>
        <w:t>竞争性谈判</w:t>
      </w:r>
      <w:r>
        <w:rPr>
          <w:rFonts w:hint="eastAsia" w:asciiTheme="minorEastAsia" w:hAnsiTheme="minorEastAsia" w:cstheme="minorEastAsia"/>
          <w:color w:val="000000" w:themeColor="text1"/>
          <w:sz w:val="24"/>
          <w:szCs w:val="24"/>
          <w14:textFill>
            <w14:solidFill>
              <w14:schemeClr w14:val="tx1"/>
            </w14:solidFill>
          </w14:textFill>
        </w:rPr>
        <w:t>公告，签字代表</w:t>
      </w:r>
      <w:r>
        <w:rPr>
          <w:rFonts w:hint="eastAsia" w:asciiTheme="minorEastAsia" w:hAnsiTheme="minorEastAsia" w:cstheme="minorEastAsia"/>
          <w:color w:val="000000" w:themeColor="text1"/>
          <w:sz w:val="24"/>
          <w:szCs w:val="24"/>
          <w:u w:val="single"/>
          <w14:textFill>
            <w14:solidFill>
              <w14:schemeClr w14:val="tx1"/>
            </w14:solidFill>
          </w14:textFill>
        </w:rPr>
        <w:t>（姓名、职务）</w:t>
      </w:r>
      <w:r>
        <w:rPr>
          <w:rFonts w:hint="eastAsia" w:asciiTheme="minorEastAsia" w:hAnsiTheme="minorEastAsia" w:cstheme="minorEastAsia"/>
          <w:color w:val="000000" w:themeColor="text1"/>
          <w:sz w:val="24"/>
          <w:szCs w:val="24"/>
          <w14:textFill>
            <w14:solidFill>
              <w14:schemeClr w14:val="tx1"/>
            </w14:solidFill>
          </w14:textFill>
        </w:rPr>
        <w:t>经正式授权并代表</w:t>
      </w:r>
      <w:r>
        <w:rPr>
          <w:rFonts w:hint="eastAsia" w:asciiTheme="minorEastAsia" w:hAnsiTheme="minorEastAsia" w:cstheme="minorEastAsia"/>
          <w:color w:val="000000" w:themeColor="text1"/>
          <w:sz w:val="24"/>
          <w:szCs w:val="24"/>
          <w:lang w:eastAsia="zh-CN"/>
          <w14:textFill>
            <w14:solidFill>
              <w14:schemeClr w14:val="tx1"/>
            </w14:solidFill>
          </w14:textFill>
        </w:rPr>
        <w:t>谈判供应商</w:t>
      </w:r>
      <w:r>
        <w:rPr>
          <w:rFonts w:hint="eastAsia" w:asciiTheme="minorEastAsia" w:hAnsi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谈判供应商</w:t>
      </w:r>
      <w:r>
        <w:rPr>
          <w:rFonts w:hint="eastAsia" w:asciiTheme="minorEastAsia" w:hAnsiTheme="minorEastAsia" w:cstheme="minorEastAsia"/>
          <w:color w:val="000000" w:themeColor="text1"/>
          <w:sz w:val="24"/>
          <w:szCs w:val="24"/>
          <w:u w:val="single"/>
          <w14:textFill>
            <w14:solidFill>
              <w14:schemeClr w14:val="tx1"/>
            </w14:solidFill>
          </w14:textFill>
        </w:rPr>
        <w:t>名称、地址）</w:t>
      </w:r>
      <w:r>
        <w:rPr>
          <w:rFonts w:hint="eastAsia" w:asciiTheme="minorEastAsia" w:hAnsiTheme="minorEastAsia" w:cstheme="minorEastAsia"/>
          <w:color w:val="000000" w:themeColor="text1"/>
          <w:sz w:val="24"/>
          <w:szCs w:val="24"/>
          <w14:textFill>
            <w14:solidFill>
              <w14:schemeClr w14:val="tx1"/>
            </w14:solidFill>
          </w14:textFill>
        </w:rPr>
        <w:t>提交本项目</w:t>
      </w:r>
      <w:r>
        <w:rPr>
          <w:rFonts w:hint="eastAsia" w:asciiTheme="minorEastAsia" w:hAnsiTheme="minorEastAsia" w:cstheme="minorEastAsia"/>
          <w:color w:val="auto"/>
          <w:sz w:val="24"/>
          <w:szCs w:val="24"/>
          <w:lang w:val="en-US" w:eastAsia="zh-CN"/>
        </w:rPr>
        <w:t>1包或2包</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lang w:eastAsia="zh-CN"/>
        </w:rPr>
        <w:t>响应</w:t>
      </w:r>
      <w:r>
        <w:rPr>
          <w:rFonts w:hint="eastAsia" w:asciiTheme="minorEastAsia" w:hAnsiTheme="minorEastAsia" w:cstheme="minorEastAsia"/>
          <w:color w:val="auto"/>
          <w:sz w:val="24"/>
          <w:szCs w:val="24"/>
        </w:rPr>
        <w:t>文件正本</w:t>
      </w:r>
      <w:r>
        <w:rPr>
          <w:rFonts w:hint="eastAsia" w:asciiTheme="minorEastAsia" w:hAnsiTheme="minorEastAsia" w:cstheme="minorEastAsia"/>
          <w:color w:val="auto"/>
          <w:sz w:val="24"/>
          <w:szCs w:val="24"/>
          <w:u w:val="single"/>
        </w:rPr>
        <w:t>（   ）</w:t>
      </w:r>
      <w:r>
        <w:rPr>
          <w:rFonts w:hint="eastAsia" w:asciiTheme="minorEastAsia" w:hAnsiTheme="minorEastAsia" w:cstheme="minorEastAsia"/>
          <w:color w:val="auto"/>
          <w:sz w:val="24"/>
          <w:szCs w:val="24"/>
        </w:rPr>
        <w:t>份及副本</w:t>
      </w:r>
      <w:r>
        <w:rPr>
          <w:rFonts w:hint="eastAsia" w:asciiTheme="minorEastAsia" w:hAnsiTheme="minorEastAsia" w:cstheme="minorEastAsia"/>
          <w:color w:val="auto"/>
          <w:sz w:val="24"/>
          <w:szCs w:val="24"/>
          <w:u w:val="single"/>
        </w:rPr>
        <w:t>（   ）</w:t>
      </w:r>
      <w:r>
        <w:rPr>
          <w:rFonts w:hint="eastAsia" w:asciiTheme="minorEastAsia" w:hAnsiTheme="minorEastAsia" w:cstheme="minorEastAsia"/>
          <w:color w:val="auto"/>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auto"/>
          <w:sz w:val="24"/>
          <w:szCs w:val="24"/>
        </w:rPr>
        <w:t>1、所附投标价格表中规定的应提交和交付的货物投标总价为</w:t>
      </w:r>
      <w:r>
        <w:rPr>
          <w:rFonts w:hint="eastAsia" w:asciiTheme="minorEastAsia" w:hAnsiTheme="minorEastAsia" w:cstheme="minorEastAsia"/>
          <w:color w:val="auto"/>
          <w:sz w:val="24"/>
          <w:szCs w:val="24"/>
          <w:u w:val="single"/>
        </w:rPr>
        <w:t>（注明币种，</w:t>
      </w:r>
      <w:r>
        <w:rPr>
          <w:rFonts w:hint="eastAsia" w:asciiTheme="minorEastAsia" w:hAnsiTheme="minorEastAsia" w:cstheme="minorEastAsia"/>
          <w:color w:val="000000" w:themeColor="text1"/>
          <w:sz w:val="24"/>
          <w:szCs w:val="24"/>
          <w:u w:val="single"/>
          <w14:textFill>
            <w14:solidFill>
              <w14:schemeClr w14:val="tx1"/>
            </w14:solidFill>
          </w14:textFill>
        </w:rPr>
        <w:t>并用文字和数字表示投标总价）（必须按要求填写清楚）</w:t>
      </w:r>
      <w:r>
        <w:rPr>
          <w:rFonts w:hint="eastAsia" w:asciiTheme="minorEastAsia" w:hAnsiTheme="minorEastAsia" w:cstheme="minorEastAsia"/>
          <w:color w:val="000000" w:themeColor="text1"/>
          <w:sz w:val="24"/>
          <w:szCs w:val="24"/>
          <w14:textFill>
            <w14:solidFill>
              <w14:schemeClr w14:val="tx1"/>
            </w14:solidFill>
          </w14:textFill>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计划</w:t>
      </w:r>
      <w:r>
        <w:rPr>
          <w:rFonts w:hint="eastAsia" w:asciiTheme="minorEastAsia" w:hAnsiTheme="minorEastAsia" w:cstheme="minorEastAsia"/>
          <w:color w:val="000000" w:themeColor="text1"/>
          <w:sz w:val="24"/>
          <w:szCs w:val="24"/>
          <w14:textFill>
            <w14:solidFill>
              <w14:schemeClr w14:val="tx1"/>
            </w14:solidFill>
          </w14:textFill>
        </w:rPr>
        <w:t>工期</w:t>
      </w:r>
      <w:r>
        <w:rPr>
          <w:rFonts w:hint="eastAsia" w:asciiTheme="minorEastAsia" w:hAnsiTheme="minorEastAsia" w:cstheme="minorEastAsia"/>
          <w:color w:val="000000" w:themeColor="text1"/>
          <w:sz w:val="24"/>
          <w:szCs w:val="24"/>
          <w:lang w:eastAsia="zh-CN"/>
          <w14:textFill>
            <w14:solidFill>
              <w14:schemeClr w14:val="tx1"/>
            </w14:solidFill>
          </w14:textFill>
        </w:rPr>
        <w:t>（服务期限）</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天</w:t>
      </w:r>
      <w:r>
        <w:rPr>
          <w:rFonts w:hint="eastAsia" w:asciiTheme="minorEastAsia" w:hAnsiTheme="minorEastAsia" w:cstheme="minorEastAsia"/>
          <w:color w:val="000000" w:themeColor="text1"/>
          <w:sz w:val="24"/>
          <w:szCs w:val="24"/>
          <w:u w:val="single"/>
          <w14:textFill>
            <w14:solidFill>
              <w14:schemeClr w14:val="tx1"/>
            </w14:solidFill>
          </w14:textFill>
        </w:rPr>
        <w:t>（日历天）</w:t>
      </w:r>
      <w:r>
        <w:rPr>
          <w:rFonts w:hint="eastAsia" w:asciiTheme="minorEastAsia" w:hAnsiTheme="minorEastAsia" w:cstheme="minorEastAsia"/>
          <w:color w:val="000000" w:themeColor="text1"/>
          <w:sz w:val="24"/>
          <w:szCs w:val="24"/>
          <w14:textFill>
            <w14:solidFill>
              <w14:schemeClr w14:val="tx1"/>
            </w14:solidFill>
          </w14:textFill>
        </w:rPr>
        <w:t>，保修期：</w:t>
      </w:r>
      <w:r>
        <w:rPr>
          <w:rFonts w:hint="eastAsia" w:asciiTheme="minorEastAsia" w:hAnsiTheme="minorEastAsia" w:cstheme="minorEastAsia"/>
          <w:color w:val="000000" w:themeColor="text1"/>
          <w:sz w:val="24"/>
          <w:szCs w:val="24"/>
          <w:u w:val="single"/>
          <w14:textFill>
            <w14:solidFill>
              <w14:schemeClr w14:val="tx1"/>
            </w14:solidFill>
          </w14:textFill>
        </w:rPr>
        <w:t xml:space="preserve">     （月）</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w:t>
      </w:r>
      <w:r>
        <w:rPr>
          <w:rFonts w:hint="eastAsia" w:asciiTheme="minorEastAsia" w:hAnsiTheme="minorEastAsia" w:cstheme="minorEastAsia"/>
          <w:color w:val="000000" w:themeColor="text1"/>
          <w:sz w:val="24"/>
          <w:szCs w:val="24"/>
          <w:lang w:eastAsia="zh-CN"/>
          <w14:textFill>
            <w14:solidFill>
              <w14:schemeClr w14:val="tx1"/>
            </w14:solidFill>
          </w14:textFill>
        </w:rPr>
        <w:t>谈判供应商</w:t>
      </w:r>
      <w:r>
        <w:rPr>
          <w:rFonts w:hint="eastAsia" w:asciiTheme="minorEastAsia" w:hAnsiTheme="minorEastAsia" w:cstheme="minorEastAsia"/>
          <w:color w:val="000000" w:themeColor="text1"/>
          <w:sz w:val="24"/>
          <w:szCs w:val="24"/>
          <w14:textFill>
            <w14:solidFill>
              <w14:schemeClr w14:val="tx1"/>
            </w14:solidFill>
          </w14:textFill>
        </w:rPr>
        <w:t>将按</w:t>
      </w:r>
      <w:r>
        <w:rPr>
          <w:rFonts w:hint="eastAsia" w:asciiTheme="minorEastAsia" w:hAnsiTheme="minorEastAsia" w:cstheme="minorEastAsia"/>
          <w:color w:val="000000" w:themeColor="text1"/>
          <w:sz w:val="24"/>
          <w:szCs w:val="24"/>
          <w:lang w:eastAsia="zh-CN"/>
          <w14:textFill>
            <w14:solidFill>
              <w14:schemeClr w14:val="tx1"/>
            </w14:solidFill>
          </w14:textFill>
        </w:rPr>
        <w:t>响应</w:t>
      </w:r>
      <w:r>
        <w:rPr>
          <w:rFonts w:hint="eastAsia" w:asciiTheme="minorEastAsia" w:hAnsiTheme="minorEastAsia" w:cstheme="minorEastAsia"/>
          <w:color w:val="000000" w:themeColor="text1"/>
          <w:sz w:val="24"/>
          <w:szCs w:val="24"/>
          <w14:textFill>
            <w14:solidFill>
              <w14:schemeClr w14:val="tx1"/>
            </w14:solidFill>
          </w14:textFill>
        </w:rPr>
        <w:t>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color w:val="000000" w:themeColor="text1"/>
          <w:sz w:val="24"/>
          <w:szCs w:val="24"/>
          <w:lang w:eastAsia="zh-CN"/>
          <w14:textFill>
            <w14:solidFill>
              <w14:schemeClr w14:val="tx1"/>
            </w14:solidFill>
          </w14:textFill>
        </w:rPr>
        <w:t>谈判供应商</w:t>
      </w:r>
      <w:r>
        <w:rPr>
          <w:rFonts w:hint="eastAsia" w:asciiTheme="minorEastAsia" w:hAnsiTheme="minorEastAsia" w:cstheme="minorEastAsia"/>
          <w:color w:val="000000" w:themeColor="text1"/>
          <w:sz w:val="24"/>
          <w:szCs w:val="24"/>
          <w14:textFill>
            <w14:solidFill>
              <w14:schemeClr w14:val="tx1"/>
            </w14:solidFill>
          </w14:textFill>
        </w:rPr>
        <w:t>已详细阅读了全部</w:t>
      </w:r>
      <w:r>
        <w:rPr>
          <w:rFonts w:hint="eastAsia" w:asciiTheme="minorEastAsia" w:hAnsiTheme="minorEastAsia" w:cstheme="minorEastAsia"/>
          <w:color w:val="000000" w:themeColor="text1"/>
          <w:sz w:val="24"/>
          <w:szCs w:val="24"/>
          <w:lang w:eastAsia="zh-CN"/>
          <w14:textFill>
            <w14:solidFill>
              <w14:schemeClr w14:val="tx1"/>
            </w14:solidFill>
          </w14:textFill>
        </w:rPr>
        <w:t>响应</w:t>
      </w:r>
      <w:r>
        <w:rPr>
          <w:rFonts w:hint="eastAsia" w:asciiTheme="minorEastAsia" w:hAnsiTheme="minorEastAsia" w:cstheme="minorEastAsia"/>
          <w:color w:val="000000" w:themeColor="text1"/>
          <w:sz w:val="24"/>
          <w:szCs w:val="24"/>
          <w14:textFill>
            <w14:solidFill>
              <w14:schemeClr w14:val="tx1"/>
            </w14:solidFill>
          </w14:textFill>
        </w:rPr>
        <w:t>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w:t>
      </w:r>
      <w:r>
        <w:rPr>
          <w:rFonts w:hint="eastAsia" w:asciiTheme="minorEastAsia" w:hAnsiTheme="minorEastAsia" w:cstheme="minorEastAsia"/>
          <w:color w:val="000000" w:themeColor="text1"/>
          <w:sz w:val="24"/>
          <w:szCs w:val="24"/>
          <w:lang w:eastAsia="zh-CN"/>
          <w14:textFill>
            <w14:solidFill>
              <w14:schemeClr w14:val="tx1"/>
            </w14:solidFill>
          </w14:textFill>
        </w:rPr>
        <w:t>响应文件</w:t>
      </w:r>
      <w:r>
        <w:rPr>
          <w:rFonts w:hint="eastAsia" w:asciiTheme="minorEastAsia" w:hAnsiTheme="minorEastAsia" w:cstheme="minorEastAsia"/>
          <w:color w:val="000000" w:themeColor="text1"/>
          <w:sz w:val="24"/>
          <w:szCs w:val="24"/>
          <w14:textFill>
            <w14:solidFill>
              <w14:schemeClr w14:val="tx1"/>
            </w14:solidFill>
          </w14:textFill>
        </w:rPr>
        <w:t>有效期为</w:t>
      </w:r>
      <w:r>
        <w:rPr>
          <w:rFonts w:hint="eastAsia" w:asciiTheme="minorEastAsia" w:hAnsiTheme="minorEastAsia" w:cstheme="minorEastAsia"/>
          <w:color w:val="000000" w:themeColor="text1"/>
          <w:sz w:val="24"/>
          <w:szCs w:val="24"/>
          <w:lang w:eastAsia="zh-CN"/>
          <w14:textFill>
            <w14:solidFill>
              <w14:schemeClr w14:val="tx1"/>
            </w14:solidFill>
          </w14:textFill>
        </w:rPr>
        <w:t>响应文件提交</w:t>
      </w:r>
      <w:r>
        <w:rPr>
          <w:rFonts w:hint="eastAsia" w:asciiTheme="minorEastAsia" w:hAnsiTheme="minorEastAsia" w:cstheme="minorEastAsia"/>
          <w:color w:val="000000" w:themeColor="text1"/>
          <w:sz w:val="24"/>
          <w:szCs w:val="24"/>
          <w14:textFill>
            <w14:solidFill>
              <w14:schemeClr w14:val="tx1"/>
            </w14:solidFill>
          </w14:textFill>
        </w:rPr>
        <w:t>截止日起</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日历</w:t>
      </w:r>
      <w:r>
        <w:rPr>
          <w:rFonts w:hint="eastAsia" w:asciiTheme="minorEastAsia" w:hAnsiTheme="minorEastAsia" w:cstheme="minorEastAsia"/>
          <w:color w:val="000000" w:themeColor="text1"/>
          <w:sz w:val="24"/>
          <w:szCs w:val="24"/>
          <w:lang w:eastAsia="zh-CN"/>
          <w14:textFill>
            <w14:solidFill>
              <w14:schemeClr w14:val="tx1"/>
            </w14:solidFill>
          </w14:textFill>
        </w:rPr>
        <w:t>天</w:t>
      </w:r>
      <w:r>
        <w:rPr>
          <w:rFonts w:hint="eastAsia" w:asciiTheme="minorEastAsia" w:hAnsiTheme="minorEastAsia" w:cstheme="minorEastAsia"/>
          <w:color w:val="000000" w:themeColor="text1"/>
          <w:sz w:val="24"/>
          <w:szCs w:val="24"/>
          <w14:textFill>
            <w14:solidFill>
              <w14:schemeClr w14:val="tx1"/>
            </w14:solidFill>
          </w14:textFill>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w:t>
      </w:r>
      <w:r>
        <w:rPr>
          <w:rFonts w:hint="eastAsia" w:asciiTheme="minorEastAsia" w:hAnsiTheme="minorEastAsia" w:cstheme="minorEastAsia"/>
          <w:color w:val="000000" w:themeColor="text1"/>
          <w:sz w:val="24"/>
          <w:szCs w:val="24"/>
          <w:lang w:eastAsia="zh-CN"/>
          <w14:textFill>
            <w14:solidFill>
              <w14:schemeClr w14:val="tx1"/>
            </w14:solidFill>
          </w14:textFill>
        </w:rPr>
        <w:t>谈判供应商</w:t>
      </w:r>
      <w:r>
        <w:rPr>
          <w:rFonts w:hint="eastAsia" w:asciiTheme="minorEastAsia" w:hAnsiTheme="minorEastAsia" w:cstheme="minorEastAsia"/>
          <w:color w:val="000000" w:themeColor="text1"/>
          <w:sz w:val="24"/>
          <w:szCs w:val="24"/>
          <w14:textFill>
            <w14:solidFill>
              <w14:schemeClr w14:val="tx1"/>
            </w14:solidFill>
          </w14:textFill>
        </w:rPr>
        <w:t>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7、完全理解贵方不一定要接受收到的任何投标。</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8、我单位承诺满足</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文件要求的付款方式和条件。我方在参与投标前已仔细研究了</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文件和所有相关资料，我方完全明白并认为此</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文件没有倾向性，也没有存在排斥潜在投标人的内容，我方同意</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文件的相关条款，放弃对</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文件提出误解和质疑的一切权利。</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9、我方声明</w:t>
      </w:r>
      <w:r>
        <w:rPr>
          <w:rFonts w:hint="eastAsia" w:asciiTheme="minorEastAsia" w:hAnsiTheme="minorEastAsia" w:cstheme="minorEastAsia"/>
          <w:color w:val="000000" w:themeColor="text1"/>
          <w:sz w:val="24"/>
          <w:szCs w:val="24"/>
          <w:lang w:eastAsia="zh-CN"/>
          <w14:textFill>
            <w14:solidFill>
              <w14:schemeClr w14:val="tx1"/>
            </w14:solidFill>
          </w14:textFill>
        </w:rPr>
        <w:t>响应</w:t>
      </w:r>
      <w:r>
        <w:rPr>
          <w:rFonts w:hint="eastAsia" w:asciiTheme="minorEastAsia" w:hAnsiTheme="minorEastAsia" w:cstheme="minorEastAsia"/>
          <w:color w:val="000000" w:themeColor="text1"/>
          <w:sz w:val="24"/>
          <w:szCs w:val="24"/>
          <w14:textFill>
            <w14:solidFill>
              <w14:schemeClr w14:val="tx1"/>
            </w14:solidFill>
          </w14:textFill>
        </w:rPr>
        <w:t>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电话：</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谈判响应供应商代表签字：</w:t>
      </w:r>
      <w:r>
        <w:rPr>
          <w:rFonts w:hint="eastAsia" w:ascii="宋体" w:hAnsi="宋体"/>
          <w:bCs/>
          <w:color w:val="000000" w:themeColor="text1"/>
          <w:sz w:val="24"/>
          <w:u w:val="single"/>
          <w14:textFill>
            <w14:solidFill>
              <w14:schemeClr w14:val="tx1"/>
            </w14:solidFill>
          </w14:textFill>
        </w:rPr>
        <w:t>　　　　　　　　　　　　</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谈判响应供应商名称（全称并加盖公章）：</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spacing w:line="360" w:lineRule="auto"/>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日      期：</w:t>
      </w:r>
      <w:r>
        <w:rPr>
          <w:rFonts w:hint="eastAsia" w:ascii="宋体" w:hAnsi="宋体"/>
          <w:bCs/>
          <w:color w:val="000000" w:themeColor="text1"/>
          <w:sz w:val="24"/>
          <w:u w:val="single"/>
          <w14:textFill>
            <w14:solidFill>
              <w14:schemeClr w14:val="tx1"/>
            </w14:solidFill>
          </w14:textFill>
        </w:rPr>
        <w:t>　　年　　月　　</w:t>
      </w:r>
      <w:r>
        <w:rPr>
          <w:rFonts w:hint="eastAsia" w:ascii="宋体" w:hAnsi="宋体"/>
          <w:bCs/>
          <w:color w:val="000000" w:themeColor="text1"/>
          <w:sz w:val="24"/>
          <w:u w:val="single"/>
          <w:lang w:eastAsia="zh-CN"/>
          <w14:textFill>
            <w14:solidFill>
              <w14:schemeClr w14:val="tx1"/>
            </w14:solidFill>
          </w14:textFill>
        </w:rPr>
        <w:t>日</w:t>
      </w:r>
    </w:p>
    <w:p>
      <w:pPr>
        <w:spacing w:line="720" w:lineRule="auto"/>
        <w:ind w:firstLine="2891" w:firstLineChars="800"/>
        <w:jc w:val="both"/>
        <w:rPr>
          <w:rFonts w:asciiTheme="minorEastAsia" w:hAnsiTheme="minorEastAsia" w:cstheme="minorEastAsia"/>
          <w:b/>
          <w:bCs/>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sz w:val="36"/>
          <w:szCs w:val="36"/>
          <w14:textFill>
            <w14:solidFill>
              <w14:schemeClr w14:val="tx1"/>
            </w14:solidFill>
          </w14:textFill>
        </w:rPr>
        <w:t>二  报价一览表</w:t>
      </w:r>
    </w:p>
    <w:p>
      <w:pPr>
        <w:jc w:val="cente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招标编号：__________</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招标项目名称：</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rPr>
          <w:rFonts w:asciiTheme="minorEastAsia" w:hAnsiTheme="minorEastAsia" w:cstheme="minorEastAsia"/>
          <w:color w:val="000000" w:themeColor="text1"/>
          <w:sz w:val="24"/>
          <w:szCs w:val="24"/>
          <w14:textFill>
            <w14:solidFill>
              <w14:schemeClr w14:val="tx1"/>
            </w14:solidFill>
          </w14:textFill>
        </w:rPr>
      </w:pPr>
    </w:p>
    <w:p>
      <w:pPr>
        <w:ind w:firstLine="2168" w:firstLineChars="900"/>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价格单位：人民币元</w:t>
      </w:r>
    </w:p>
    <w:tbl>
      <w:tblPr>
        <w:tblStyle w:val="19"/>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投标总价</w:t>
            </w:r>
          </w:p>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（项目现场完税价，包括所有的服务）</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p>
        </w:tc>
        <w:tc>
          <w:tcPr>
            <w:tcW w:w="3325" w:type="dxa"/>
          </w:tcPr>
          <w:p>
            <w:pPr>
              <w:rPr>
                <w:rFonts w:asciiTheme="minorEastAsia" w:hAnsiTheme="minorEastAsia" w:cstheme="minorEastAsia"/>
                <w:color w:val="000000" w:themeColor="text1"/>
                <w:sz w:val="24"/>
                <w:szCs w:val="24"/>
                <w:u w:val="single"/>
                <w14:textFill>
                  <w14:solidFill>
                    <w14:schemeClr w14:val="tx1"/>
                  </w14:solidFill>
                </w14:textFill>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14:textFill>
                  <w14:solidFill>
                    <w14:schemeClr w14:val="tx1"/>
                  </w14:solidFill>
                </w14:textFill>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p>
        </w:tc>
        <w:tc>
          <w:tcPr>
            <w:tcW w:w="3325" w:type="dxa"/>
          </w:tcPr>
          <w:p>
            <w:pPr>
              <w:rPr>
                <w:rFonts w:asciiTheme="minorEastAsia" w:hAnsiTheme="minorEastAsia" w:cstheme="minorEastAsia"/>
                <w:color w:val="000000" w:themeColor="text1"/>
                <w:sz w:val="24"/>
                <w:szCs w:val="24"/>
                <w14:textFill>
                  <w14:solidFill>
                    <w14:schemeClr w14:val="tx1"/>
                  </w14:solidFill>
                </w14:textFill>
              </w:rPr>
            </w:pPr>
          </w:p>
        </w:tc>
        <w:tc>
          <w:tcPr>
            <w:tcW w:w="1982" w:type="dxa"/>
            <w:tcBorders>
              <w:right w:val="single" w:color="auto" w:sz="4" w:space="0"/>
            </w:tcBorders>
          </w:tcPr>
          <w:p>
            <w:pPr>
              <w:rPr>
                <w:rFonts w:asciiTheme="minorEastAsia" w:hAnsiTheme="minorEastAsia" w:cstheme="minorEastAsia"/>
                <w:color w:val="000000" w:themeColor="text1"/>
                <w:sz w:val="24"/>
                <w:szCs w:val="24"/>
                <w14:textFill>
                  <w14:solidFill>
                    <w14:schemeClr w14:val="tx1"/>
                  </w14:solidFill>
                </w14:textFill>
              </w:rPr>
            </w:pPr>
          </w:p>
        </w:tc>
        <w:tc>
          <w:tcPr>
            <w:tcW w:w="2102" w:type="dxa"/>
            <w:tcBorders>
              <w:left w:val="single" w:color="auto" w:sz="4" w:space="0"/>
            </w:tcBorders>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w:t>
            </w:r>
          </w:p>
        </w:tc>
        <w:tc>
          <w:tcPr>
            <w:tcW w:w="3325" w:type="dxa"/>
          </w:tcPr>
          <w:p>
            <w:pPr>
              <w:rPr>
                <w:rFonts w:asciiTheme="minorEastAsia" w:hAnsiTheme="minorEastAsia" w:cstheme="minorEastAsia"/>
                <w:color w:val="000000" w:themeColor="text1"/>
                <w:sz w:val="24"/>
                <w:szCs w:val="24"/>
                <w14:textFill>
                  <w14:solidFill>
                    <w14:schemeClr w14:val="tx1"/>
                  </w14:solidFill>
                </w14:textFill>
              </w:rPr>
            </w:pPr>
          </w:p>
        </w:tc>
        <w:tc>
          <w:tcPr>
            <w:tcW w:w="1982" w:type="dxa"/>
            <w:tcBorders>
              <w:right w:val="single" w:color="auto" w:sz="4" w:space="0"/>
            </w:tcBorders>
          </w:tcPr>
          <w:p>
            <w:pPr>
              <w:rPr>
                <w:rFonts w:asciiTheme="minorEastAsia" w:hAnsiTheme="minorEastAsia" w:cstheme="minorEastAsia"/>
                <w:color w:val="000000" w:themeColor="text1"/>
                <w:sz w:val="24"/>
                <w:szCs w:val="24"/>
                <w14:textFill>
                  <w14:solidFill>
                    <w14:schemeClr w14:val="tx1"/>
                  </w14:solidFill>
                </w14:textFill>
              </w:rPr>
            </w:pPr>
          </w:p>
        </w:tc>
        <w:tc>
          <w:tcPr>
            <w:tcW w:w="2102" w:type="dxa"/>
            <w:tcBorders>
              <w:left w:val="single" w:color="auto" w:sz="4" w:space="0"/>
            </w:tcBorders>
          </w:tcPr>
          <w:p>
            <w:pPr>
              <w:rPr>
                <w:rFonts w:asciiTheme="minorEastAsia" w:hAnsiTheme="minorEastAsia" w:cstheme="minorEastAsia"/>
                <w:color w:val="000000" w:themeColor="text1"/>
                <w:sz w:val="24"/>
                <w:szCs w:val="24"/>
                <w14:textFill>
                  <w14:solidFill>
                    <w14:schemeClr w14:val="tx1"/>
                  </w14:solidFill>
                </w14:textFill>
              </w:rPr>
            </w:pPr>
          </w:p>
        </w:tc>
      </w:tr>
    </w:tbl>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w:t>
      </w:r>
      <w:r>
        <w:rPr>
          <w:rFonts w:hint="eastAsia" w:asciiTheme="minorEastAsia" w:hAnsiTheme="minorEastAsia" w:cstheme="minorEastAsia"/>
          <w:color w:val="000000" w:themeColor="text1"/>
          <w:sz w:val="24"/>
          <w:szCs w:val="24"/>
          <w14:textFill>
            <w14:solidFill>
              <w14:schemeClr w14:val="tx1"/>
            </w14:solidFill>
          </w14:textFill>
        </w:rPr>
        <w:t>名称：                （单位公章）</w:t>
      </w: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授权代表：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（签字）</w:t>
      </w: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日期：                   </w:t>
      </w:r>
    </w:p>
    <w:p>
      <w:pPr>
        <w:pStyle w:val="4"/>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pStyle w:val="2"/>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pStyle w:val="2"/>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pStyle w:val="2"/>
        <w:rPr>
          <w:rFonts w:ascii="黑体"/>
          <w:color w:val="000000" w:themeColor="text1"/>
          <w14:textFill>
            <w14:solidFill>
              <w14:schemeClr w14:val="tx1"/>
            </w14:solidFill>
          </w14:textFill>
        </w:rPr>
      </w:pPr>
    </w:p>
    <w:p/>
    <w:p>
      <w:pPr>
        <w:rPr>
          <w:rFonts w:ascii="黑体"/>
          <w:color w:val="000000" w:themeColor="text1"/>
          <w14:textFill>
            <w14:solidFill>
              <w14:schemeClr w14:val="tx1"/>
            </w14:solidFill>
          </w14:textFill>
        </w:rPr>
      </w:pPr>
    </w:p>
    <w:p>
      <w:pPr>
        <w:rPr>
          <w:rFonts w:ascii="黑体"/>
          <w:color w:val="000000" w:themeColor="text1"/>
          <w14:textFill>
            <w14:solidFill>
              <w14:schemeClr w14:val="tx1"/>
            </w14:solidFill>
          </w14:textFill>
        </w:rPr>
      </w:pPr>
    </w:p>
    <w:p>
      <w:pPr>
        <w:pStyle w:val="4"/>
        <w:jc w:val="center"/>
        <w:rPr>
          <w:rFonts w:hint="default" w:ascii="黑体" w:eastAsia="黑体"/>
          <w:color w:val="000000" w:themeColor="text1"/>
          <w:sz w:val="36"/>
          <w:szCs w:val="36"/>
          <w:highlight w:val="green"/>
          <w:lang w:val="en-US" w:eastAsia="zh-CN"/>
          <w14:textFill>
            <w14:solidFill>
              <w14:schemeClr w14:val="tx1"/>
            </w14:solidFill>
          </w14:textFill>
        </w:rPr>
      </w:pPr>
      <w:r>
        <w:rPr>
          <w:rFonts w:hint="eastAsia" w:ascii="黑体"/>
          <w:color w:val="000000" w:themeColor="text1"/>
          <w:sz w:val="36"/>
          <w:szCs w:val="36"/>
          <w14:textFill>
            <w14:solidFill>
              <w14:schemeClr w14:val="tx1"/>
            </w14:solidFill>
          </w14:textFill>
        </w:rPr>
        <w:t xml:space="preserve">三 </w:t>
      </w:r>
      <w:r>
        <w:rPr>
          <w:rFonts w:hint="eastAsia" w:ascii="黑体"/>
          <w:color w:val="000000" w:themeColor="text1"/>
          <w:sz w:val="36"/>
          <w:szCs w:val="36"/>
          <w:lang w:eastAsia="zh-CN"/>
          <w14:textFill>
            <w14:solidFill>
              <w14:schemeClr w14:val="tx1"/>
            </w14:solidFill>
          </w14:textFill>
        </w:rPr>
        <w:t>报价明细表</w:t>
      </w:r>
      <w:r>
        <w:rPr>
          <w:rFonts w:hint="eastAsia" w:ascii="黑体"/>
          <w:color w:val="000000" w:themeColor="text1"/>
          <w:sz w:val="36"/>
          <w:szCs w:val="36"/>
          <w:lang w:val="en-US" w:eastAsia="zh-CN"/>
          <w14:textFill>
            <w14:solidFill>
              <w14:schemeClr w14:val="tx1"/>
            </w14:solidFill>
          </w14:textFill>
        </w:rPr>
        <w:t xml:space="preserve">                                                         </w:t>
      </w:r>
    </w:p>
    <w:p>
      <w:pPr>
        <w:spacing w:line="400" w:lineRule="exact"/>
        <w:rPr>
          <w:rFonts w:ascii="宋体" w:hAnsi="宋体"/>
          <w:b/>
          <w:sz w:val="24"/>
          <w:szCs w:val="24"/>
        </w:rPr>
      </w:pPr>
      <w:r>
        <w:rPr>
          <w:rFonts w:hint="eastAsia" w:ascii="宋体" w:hAnsi="宋体"/>
          <w:b/>
          <w:sz w:val="24"/>
          <w:szCs w:val="24"/>
        </w:rPr>
        <w:t>供应商名称(盖章)：</w:t>
      </w:r>
    </w:p>
    <w:p>
      <w:pPr>
        <w:spacing w:line="400" w:lineRule="exact"/>
        <w:rPr>
          <w:rFonts w:ascii="宋体" w:hAnsi="宋体"/>
          <w:b/>
          <w:sz w:val="24"/>
          <w:szCs w:val="24"/>
          <w:u w:val="single"/>
        </w:rPr>
      </w:pPr>
      <w:r>
        <w:rPr>
          <w:rFonts w:hint="eastAsia" w:ascii="宋体" w:hAnsi="宋体"/>
          <w:b/>
          <w:sz w:val="24"/>
          <w:szCs w:val="24"/>
        </w:rPr>
        <w:t>项目编号：</w:t>
      </w:r>
    </w:p>
    <w:p>
      <w:pPr>
        <w:spacing w:after="160" w:afterLines="50" w:line="400" w:lineRule="exact"/>
        <w:rPr>
          <w:rFonts w:ascii="宋体" w:hAnsi="宋体"/>
          <w:b/>
          <w:sz w:val="24"/>
          <w:szCs w:val="24"/>
        </w:rPr>
      </w:pPr>
      <w:r>
        <w:rPr>
          <w:rFonts w:hint="eastAsia" w:ascii="宋体" w:hAnsi="宋体"/>
          <w:b/>
          <w:sz w:val="24"/>
          <w:szCs w:val="24"/>
        </w:rPr>
        <w:t>项目名称：</w:t>
      </w:r>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720"/>
        <w:gridCol w:w="216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1620" w:type="dxa"/>
            <w:vAlign w:val="center"/>
          </w:tcPr>
          <w:p>
            <w:pPr>
              <w:spacing w:line="400" w:lineRule="exact"/>
              <w:jc w:val="center"/>
              <w:rPr>
                <w:rFonts w:ascii="宋体" w:hAnsi="宋体"/>
                <w:b/>
                <w:sz w:val="24"/>
                <w:szCs w:val="24"/>
              </w:rPr>
            </w:pPr>
            <w:r>
              <w:rPr>
                <w:rFonts w:hint="eastAsia" w:ascii="宋体" w:hAnsi="宋体"/>
                <w:b/>
                <w:sz w:val="24"/>
                <w:szCs w:val="24"/>
              </w:rPr>
              <w:t>设备名称</w:t>
            </w:r>
          </w:p>
        </w:tc>
        <w:tc>
          <w:tcPr>
            <w:tcW w:w="1260" w:type="dxa"/>
            <w:vAlign w:val="center"/>
          </w:tcPr>
          <w:p>
            <w:pPr>
              <w:spacing w:line="400" w:lineRule="exact"/>
              <w:jc w:val="center"/>
              <w:rPr>
                <w:rFonts w:ascii="宋体" w:hAnsi="宋体"/>
                <w:b/>
                <w:sz w:val="24"/>
                <w:szCs w:val="24"/>
              </w:rPr>
            </w:pPr>
            <w:r>
              <w:rPr>
                <w:rFonts w:hint="eastAsia" w:ascii="宋体" w:hAnsi="宋体"/>
                <w:b/>
                <w:sz w:val="24"/>
                <w:szCs w:val="24"/>
              </w:rPr>
              <w:t>规格</w:t>
            </w:r>
          </w:p>
        </w:tc>
        <w:tc>
          <w:tcPr>
            <w:tcW w:w="720" w:type="dxa"/>
            <w:vAlign w:val="center"/>
          </w:tcPr>
          <w:p>
            <w:pPr>
              <w:spacing w:line="400" w:lineRule="exact"/>
              <w:jc w:val="center"/>
              <w:rPr>
                <w:rFonts w:ascii="宋体" w:hAnsi="宋体"/>
                <w:b/>
                <w:sz w:val="24"/>
                <w:szCs w:val="24"/>
              </w:rPr>
            </w:pPr>
            <w:r>
              <w:rPr>
                <w:rFonts w:hint="eastAsia" w:ascii="宋体" w:hAnsi="宋体"/>
                <w:b/>
                <w:sz w:val="24"/>
                <w:szCs w:val="24"/>
              </w:rPr>
              <w:t>数量</w:t>
            </w:r>
          </w:p>
        </w:tc>
        <w:tc>
          <w:tcPr>
            <w:tcW w:w="2160" w:type="dxa"/>
            <w:vAlign w:val="center"/>
          </w:tcPr>
          <w:p>
            <w:pPr>
              <w:spacing w:line="400" w:lineRule="exact"/>
              <w:jc w:val="center"/>
              <w:rPr>
                <w:rFonts w:ascii="宋体" w:hAnsi="宋体"/>
                <w:b/>
                <w:sz w:val="24"/>
                <w:szCs w:val="24"/>
              </w:rPr>
            </w:pPr>
            <w:r>
              <w:rPr>
                <w:rFonts w:hint="eastAsia" w:ascii="宋体" w:hAnsi="宋体"/>
                <w:b/>
                <w:sz w:val="24"/>
                <w:szCs w:val="24"/>
              </w:rPr>
              <w:t>服务或货物提供商</w:t>
            </w:r>
          </w:p>
        </w:tc>
        <w:tc>
          <w:tcPr>
            <w:tcW w:w="1440" w:type="dxa"/>
            <w:vAlign w:val="center"/>
          </w:tcPr>
          <w:p>
            <w:pPr>
              <w:spacing w:line="400" w:lineRule="exact"/>
              <w:jc w:val="center"/>
              <w:rPr>
                <w:rFonts w:ascii="宋体" w:hAnsi="宋体"/>
                <w:b/>
                <w:sz w:val="24"/>
                <w:szCs w:val="24"/>
              </w:rPr>
            </w:pPr>
            <w:r>
              <w:rPr>
                <w:rFonts w:hint="eastAsia" w:ascii="宋体" w:hAnsi="宋体"/>
                <w:b/>
                <w:sz w:val="24"/>
                <w:szCs w:val="24"/>
              </w:rPr>
              <w:t>单价（元）</w:t>
            </w:r>
          </w:p>
        </w:tc>
        <w:tc>
          <w:tcPr>
            <w:tcW w:w="1980" w:type="dxa"/>
            <w:vAlign w:val="center"/>
          </w:tcPr>
          <w:p>
            <w:pPr>
              <w:spacing w:line="400" w:lineRule="exact"/>
              <w:jc w:val="center"/>
              <w:rPr>
                <w:rFonts w:ascii="宋体" w:hAnsi="宋体"/>
                <w:b/>
                <w:sz w:val="24"/>
                <w:szCs w:val="24"/>
              </w:rPr>
            </w:pPr>
            <w:r>
              <w:rPr>
                <w:rFonts w:hint="eastAsia" w:ascii="宋体" w:hAnsi="宋体"/>
                <w:b/>
                <w:sz w:val="24"/>
                <w:szCs w:val="24"/>
              </w:rPr>
              <w:t>投标小计金额（元）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620" w:type="dxa"/>
          </w:tcPr>
          <w:p>
            <w:pPr>
              <w:spacing w:line="400" w:lineRule="exact"/>
              <w:rPr>
                <w:rFonts w:ascii="宋体" w:hAnsi="宋体"/>
                <w:sz w:val="24"/>
                <w:szCs w:val="24"/>
              </w:rPr>
            </w:pPr>
          </w:p>
        </w:tc>
        <w:tc>
          <w:tcPr>
            <w:tcW w:w="1260" w:type="dxa"/>
          </w:tcPr>
          <w:p>
            <w:pPr>
              <w:spacing w:line="400" w:lineRule="exact"/>
              <w:rPr>
                <w:rFonts w:ascii="宋体" w:hAnsi="宋体"/>
                <w:sz w:val="24"/>
                <w:szCs w:val="24"/>
              </w:rPr>
            </w:pPr>
          </w:p>
        </w:tc>
        <w:tc>
          <w:tcPr>
            <w:tcW w:w="720" w:type="dxa"/>
          </w:tcPr>
          <w:p>
            <w:pPr>
              <w:spacing w:line="400" w:lineRule="exact"/>
              <w:rPr>
                <w:rFonts w:ascii="宋体" w:hAnsi="宋体"/>
                <w:sz w:val="24"/>
                <w:szCs w:val="24"/>
              </w:rPr>
            </w:pPr>
          </w:p>
        </w:tc>
        <w:tc>
          <w:tcPr>
            <w:tcW w:w="2160" w:type="dxa"/>
          </w:tcPr>
          <w:p>
            <w:pPr>
              <w:spacing w:line="400" w:lineRule="exact"/>
              <w:rPr>
                <w:rFonts w:ascii="宋体" w:hAnsi="宋体"/>
                <w:sz w:val="24"/>
                <w:szCs w:val="24"/>
              </w:rPr>
            </w:pPr>
          </w:p>
        </w:tc>
        <w:tc>
          <w:tcPr>
            <w:tcW w:w="1440" w:type="dxa"/>
          </w:tcPr>
          <w:p>
            <w:pPr>
              <w:spacing w:line="400" w:lineRule="exact"/>
              <w:rPr>
                <w:rFonts w:ascii="宋体" w:hAnsi="宋体"/>
                <w:sz w:val="24"/>
                <w:szCs w:val="24"/>
              </w:rPr>
            </w:pPr>
          </w:p>
        </w:tc>
        <w:tc>
          <w:tcPr>
            <w:tcW w:w="1980"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620" w:type="dxa"/>
          </w:tcPr>
          <w:p>
            <w:pPr>
              <w:spacing w:line="400" w:lineRule="exact"/>
              <w:rPr>
                <w:rFonts w:ascii="宋体" w:hAnsi="宋体"/>
                <w:sz w:val="24"/>
                <w:szCs w:val="24"/>
              </w:rPr>
            </w:pPr>
          </w:p>
        </w:tc>
        <w:tc>
          <w:tcPr>
            <w:tcW w:w="1260" w:type="dxa"/>
          </w:tcPr>
          <w:p>
            <w:pPr>
              <w:spacing w:line="400" w:lineRule="exact"/>
              <w:rPr>
                <w:rFonts w:ascii="宋体" w:hAnsi="宋体"/>
                <w:sz w:val="24"/>
                <w:szCs w:val="24"/>
              </w:rPr>
            </w:pPr>
          </w:p>
        </w:tc>
        <w:tc>
          <w:tcPr>
            <w:tcW w:w="720" w:type="dxa"/>
          </w:tcPr>
          <w:p>
            <w:pPr>
              <w:spacing w:line="400" w:lineRule="exact"/>
              <w:rPr>
                <w:rFonts w:ascii="宋体" w:hAnsi="宋体"/>
                <w:sz w:val="24"/>
                <w:szCs w:val="24"/>
              </w:rPr>
            </w:pPr>
          </w:p>
        </w:tc>
        <w:tc>
          <w:tcPr>
            <w:tcW w:w="2160" w:type="dxa"/>
          </w:tcPr>
          <w:p>
            <w:pPr>
              <w:spacing w:line="400" w:lineRule="exact"/>
              <w:rPr>
                <w:rFonts w:ascii="宋体" w:hAnsi="宋体"/>
                <w:sz w:val="24"/>
                <w:szCs w:val="24"/>
              </w:rPr>
            </w:pPr>
          </w:p>
        </w:tc>
        <w:tc>
          <w:tcPr>
            <w:tcW w:w="1440" w:type="dxa"/>
          </w:tcPr>
          <w:p>
            <w:pPr>
              <w:spacing w:line="400" w:lineRule="exact"/>
              <w:rPr>
                <w:rFonts w:ascii="宋体" w:hAnsi="宋体"/>
                <w:sz w:val="24"/>
                <w:szCs w:val="24"/>
              </w:rPr>
            </w:pPr>
          </w:p>
        </w:tc>
        <w:tc>
          <w:tcPr>
            <w:tcW w:w="1980"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620" w:type="dxa"/>
          </w:tcPr>
          <w:p>
            <w:pPr>
              <w:spacing w:line="400" w:lineRule="exact"/>
              <w:rPr>
                <w:rFonts w:ascii="宋体" w:hAnsi="宋体"/>
                <w:sz w:val="24"/>
                <w:szCs w:val="24"/>
              </w:rPr>
            </w:pPr>
          </w:p>
        </w:tc>
        <w:tc>
          <w:tcPr>
            <w:tcW w:w="1260" w:type="dxa"/>
          </w:tcPr>
          <w:p>
            <w:pPr>
              <w:spacing w:line="400" w:lineRule="exact"/>
              <w:rPr>
                <w:rFonts w:ascii="宋体" w:hAnsi="宋体"/>
                <w:sz w:val="24"/>
                <w:szCs w:val="24"/>
              </w:rPr>
            </w:pPr>
          </w:p>
        </w:tc>
        <w:tc>
          <w:tcPr>
            <w:tcW w:w="720" w:type="dxa"/>
          </w:tcPr>
          <w:p>
            <w:pPr>
              <w:spacing w:line="400" w:lineRule="exact"/>
              <w:rPr>
                <w:rFonts w:ascii="宋体" w:hAnsi="宋体"/>
                <w:sz w:val="24"/>
                <w:szCs w:val="24"/>
              </w:rPr>
            </w:pPr>
          </w:p>
        </w:tc>
        <w:tc>
          <w:tcPr>
            <w:tcW w:w="2160" w:type="dxa"/>
          </w:tcPr>
          <w:p>
            <w:pPr>
              <w:spacing w:line="400" w:lineRule="exact"/>
              <w:rPr>
                <w:rFonts w:ascii="宋体" w:hAnsi="宋体"/>
                <w:sz w:val="24"/>
                <w:szCs w:val="24"/>
              </w:rPr>
            </w:pPr>
          </w:p>
        </w:tc>
        <w:tc>
          <w:tcPr>
            <w:tcW w:w="1440" w:type="dxa"/>
          </w:tcPr>
          <w:p>
            <w:pPr>
              <w:spacing w:line="400" w:lineRule="exact"/>
              <w:rPr>
                <w:rFonts w:ascii="宋体" w:hAnsi="宋体"/>
                <w:sz w:val="24"/>
                <w:szCs w:val="24"/>
              </w:rPr>
            </w:pPr>
          </w:p>
        </w:tc>
        <w:tc>
          <w:tcPr>
            <w:tcW w:w="1980"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620" w:type="dxa"/>
          </w:tcPr>
          <w:p>
            <w:pPr>
              <w:spacing w:line="400" w:lineRule="exact"/>
              <w:rPr>
                <w:rFonts w:ascii="宋体" w:hAnsi="宋体"/>
                <w:sz w:val="24"/>
                <w:szCs w:val="24"/>
              </w:rPr>
            </w:pPr>
          </w:p>
        </w:tc>
        <w:tc>
          <w:tcPr>
            <w:tcW w:w="1260" w:type="dxa"/>
          </w:tcPr>
          <w:p>
            <w:pPr>
              <w:spacing w:line="400" w:lineRule="exact"/>
              <w:rPr>
                <w:rFonts w:ascii="宋体" w:hAnsi="宋体"/>
                <w:sz w:val="24"/>
                <w:szCs w:val="24"/>
              </w:rPr>
            </w:pPr>
          </w:p>
        </w:tc>
        <w:tc>
          <w:tcPr>
            <w:tcW w:w="720" w:type="dxa"/>
          </w:tcPr>
          <w:p>
            <w:pPr>
              <w:spacing w:line="400" w:lineRule="exact"/>
              <w:rPr>
                <w:rFonts w:ascii="宋体" w:hAnsi="宋体"/>
                <w:sz w:val="24"/>
                <w:szCs w:val="24"/>
              </w:rPr>
            </w:pPr>
          </w:p>
        </w:tc>
        <w:tc>
          <w:tcPr>
            <w:tcW w:w="2160" w:type="dxa"/>
          </w:tcPr>
          <w:p>
            <w:pPr>
              <w:spacing w:line="400" w:lineRule="exact"/>
              <w:rPr>
                <w:rFonts w:ascii="宋体" w:hAnsi="宋体"/>
                <w:sz w:val="24"/>
                <w:szCs w:val="24"/>
              </w:rPr>
            </w:pPr>
          </w:p>
        </w:tc>
        <w:tc>
          <w:tcPr>
            <w:tcW w:w="1440" w:type="dxa"/>
          </w:tcPr>
          <w:p>
            <w:pPr>
              <w:spacing w:line="400" w:lineRule="exact"/>
              <w:rPr>
                <w:rFonts w:ascii="宋体" w:hAnsi="宋体"/>
                <w:sz w:val="24"/>
                <w:szCs w:val="24"/>
              </w:rPr>
            </w:pPr>
          </w:p>
        </w:tc>
        <w:tc>
          <w:tcPr>
            <w:tcW w:w="1980"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620" w:type="dxa"/>
          </w:tcPr>
          <w:p>
            <w:pPr>
              <w:spacing w:line="400" w:lineRule="exact"/>
              <w:rPr>
                <w:rFonts w:ascii="宋体" w:hAnsi="宋体"/>
                <w:sz w:val="24"/>
                <w:szCs w:val="24"/>
              </w:rPr>
            </w:pPr>
          </w:p>
        </w:tc>
        <w:tc>
          <w:tcPr>
            <w:tcW w:w="1260" w:type="dxa"/>
          </w:tcPr>
          <w:p>
            <w:pPr>
              <w:spacing w:line="400" w:lineRule="exact"/>
              <w:rPr>
                <w:rFonts w:ascii="宋体" w:hAnsi="宋体"/>
                <w:sz w:val="24"/>
                <w:szCs w:val="24"/>
              </w:rPr>
            </w:pPr>
          </w:p>
        </w:tc>
        <w:tc>
          <w:tcPr>
            <w:tcW w:w="720" w:type="dxa"/>
          </w:tcPr>
          <w:p>
            <w:pPr>
              <w:spacing w:line="400" w:lineRule="exact"/>
              <w:rPr>
                <w:rFonts w:ascii="宋体" w:hAnsi="宋体"/>
                <w:sz w:val="24"/>
                <w:szCs w:val="24"/>
              </w:rPr>
            </w:pPr>
          </w:p>
        </w:tc>
        <w:tc>
          <w:tcPr>
            <w:tcW w:w="2160" w:type="dxa"/>
          </w:tcPr>
          <w:p>
            <w:pPr>
              <w:spacing w:line="400" w:lineRule="exact"/>
              <w:rPr>
                <w:rFonts w:ascii="宋体" w:hAnsi="宋体"/>
                <w:sz w:val="24"/>
                <w:szCs w:val="24"/>
              </w:rPr>
            </w:pPr>
          </w:p>
        </w:tc>
        <w:tc>
          <w:tcPr>
            <w:tcW w:w="1440" w:type="dxa"/>
          </w:tcPr>
          <w:p>
            <w:pPr>
              <w:spacing w:line="400" w:lineRule="exact"/>
              <w:rPr>
                <w:rFonts w:ascii="宋体" w:hAnsi="宋体"/>
                <w:sz w:val="24"/>
                <w:szCs w:val="24"/>
              </w:rPr>
            </w:pPr>
          </w:p>
        </w:tc>
        <w:tc>
          <w:tcPr>
            <w:tcW w:w="1980" w:type="dxa"/>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9180" w:type="dxa"/>
            <w:gridSpan w:val="6"/>
          </w:tcPr>
          <w:p>
            <w:pPr>
              <w:spacing w:line="400" w:lineRule="exact"/>
              <w:rPr>
                <w:rFonts w:ascii="宋体" w:hAnsi="宋体"/>
                <w:sz w:val="24"/>
                <w:szCs w:val="24"/>
              </w:rPr>
            </w:pPr>
            <w:r>
              <w:rPr>
                <w:rFonts w:hint="eastAsia" w:ascii="宋体" w:hAnsi="宋体"/>
                <w:sz w:val="24"/>
                <w:szCs w:val="24"/>
              </w:rPr>
              <w:t>合计金额：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rPr>
        <w:tc>
          <w:tcPr>
            <w:tcW w:w="9180" w:type="dxa"/>
            <w:gridSpan w:val="6"/>
          </w:tcPr>
          <w:p>
            <w:pPr>
              <w:spacing w:line="400" w:lineRule="exact"/>
              <w:rPr>
                <w:rFonts w:ascii="宋体" w:hAnsi="宋体"/>
                <w:sz w:val="24"/>
                <w:szCs w:val="24"/>
              </w:rPr>
            </w:pPr>
            <w:r>
              <w:rPr>
                <w:rFonts w:hint="eastAsia" w:ascii="宋体" w:hAnsi="宋体"/>
                <w:sz w:val="24"/>
                <w:szCs w:val="24"/>
              </w:rPr>
              <w:t>最终投标总价（人民币大写）：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rPr>
        <w:tc>
          <w:tcPr>
            <w:tcW w:w="9180" w:type="dxa"/>
            <w:gridSpan w:val="6"/>
          </w:tcPr>
          <w:p>
            <w:pPr>
              <w:spacing w:line="400" w:lineRule="exact"/>
              <w:rPr>
                <w:rFonts w:ascii="宋体" w:hAnsi="宋体"/>
                <w:sz w:val="24"/>
                <w:szCs w:val="24"/>
              </w:rPr>
            </w:pPr>
            <w:r>
              <w:rPr>
                <w:rFonts w:hint="eastAsia" w:ascii="宋体" w:hAnsi="宋体"/>
                <w:sz w:val="24"/>
                <w:szCs w:val="24"/>
              </w:rPr>
              <w:t>交货期及安装调试期（工作日）：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9180" w:type="dxa"/>
            <w:gridSpan w:val="6"/>
          </w:tcPr>
          <w:p>
            <w:pPr>
              <w:spacing w:line="400" w:lineRule="exact"/>
              <w:rPr>
                <w:rFonts w:ascii="宋体" w:hAnsi="宋体"/>
                <w:sz w:val="24"/>
                <w:szCs w:val="24"/>
              </w:rPr>
            </w:pPr>
            <w:r>
              <w:rPr>
                <w:rFonts w:hint="eastAsia" w:ascii="宋体" w:hAnsi="宋体"/>
                <w:sz w:val="24"/>
                <w:szCs w:val="24"/>
              </w:rPr>
              <w:t>备注:</w:t>
            </w:r>
          </w:p>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tc>
      </w:tr>
    </w:tbl>
    <w:p>
      <w:pPr>
        <w:spacing w:line="400" w:lineRule="exact"/>
        <w:rPr>
          <w:rFonts w:hint="eastAsia" w:ascii="宋体" w:hAnsi="宋体"/>
          <w:sz w:val="24"/>
          <w:szCs w:val="24"/>
        </w:rPr>
      </w:pPr>
      <w:r>
        <w:rPr>
          <w:rFonts w:hint="eastAsia" w:ascii="宋体" w:hAnsi="宋体"/>
          <w:sz w:val="24"/>
          <w:szCs w:val="24"/>
        </w:rPr>
        <w:t>投标供应商法定代表人或授权代表签字：</w:t>
      </w:r>
      <w:r>
        <w:rPr>
          <w:rFonts w:hint="eastAsia" w:ascii="宋体" w:hAnsi="宋体"/>
          <w:sz w:val="24"/>
          <w:szCs w:val="24"/>
          <w:lang w:val="en-US" w:eastAsia="zh-CN"/>
        </w:rPr>
        <w:t xml:space="preserve">      </w:t>
      </w:r>
      <w:r>
        <w:rPr>
          <w:rFonts w:hint="eastAsia" w:ascii="宋体" w:hAnsi="宋体"/>
          <w:sz w:val="24"/>
          <w:szCs w:val="24"/>
        </w:rPr>
        <w:t>职务：</w:t>
      </w:r>
    </w:p>
    <w:p>
      <w:pPr>
        <w:spacing w:line="400" w:lineRule="exact"/>
        <w:rPr>
          <w:rFonts w:hint="eastAsia" w:ascii="宋体" w:hAnsi="宋体"/>
          <w:sz w:val="24"/>
          <w:szCs w:val="24"/>
        </w:rPr>
      </w:pPr>
    </w:p>
    <w:p>
      <w:pPr>
        <w:spacing w:line="400" w:lineRule="exact"/>
        <w:rPr>
          <w:rFonts w:ascii="宋体" w:hAnsi="宋体"/>
          <w:sz w:val="24"/>
          <w:szCs w:val="24"/>
          <w:u w:val="single"/>
        </w:rPr>
      </w:pPr>
      <w:r>
        <w:rPr>
          <w:rFonts w:hint="eastAsia" w:ascii="宋体" w:hAnsi="宋体"/>
          <w:sz w:val="24"/>
          <w:szCs w:val="24"/>
        </w:rPr>
        <w:t>日期：</w:t>
      </w:r>
    </w:p>
    <w:p>
      <w:pPr>
        <w:spacing w:line="400" w:lineRule="exact"/>
        <w:rPr>
          <w:rFonts w:ascii="宋体" w:hAnsi="宋体"/>
          <w:b/>
          <w:sz w:val="24"/>
          <w:szCs w:val="24"/>
        </w:rPr>
      </w:pPr>
      <w:r>
        <w:rPr>
          <w:rFonts w:hint="eastAsia" w:ascii="宋体" w:hAnsi="宋体"/>
          <w:b/>
          <w:sz w:val="24"/>
          <w:szCs w:val="24"/>
        </w:rPr>
        <w:t>注：1、请供应商按谈判文件中采购清单逐项填写，按包合计；</w:t>
      </w:r>
    </w:p>
    <w:p>
      <w:pPr>
        <w:spacing w:line="400" w:lineRule="exact"/>
        <w:ind w:firstLine="472" w:firstLineChars="196"/>
        <w:rPr>
          <w:rFonts w:ascii="宋体" w:hAnsi="宋体"/>
          <w:b/>
          <w:sz w:val="24"/>
          <w:szCs w:val="24"/>
        </w:rPr>
      </w:pPr>
      <w:r>
        <w:rPr>
          <w:rFonts w:hint="eastAsia" w:ascii="宋体" w:hAnsi="宋体"/>
          <w:b/>
          <w:sz w:val="24"/>
          <w:szCs w:val="24"/>
        </w:rPr>
        <w:t>2、本表所填单价均应包括其他所有费用；</w:t>
      </w:r>
    </w:p>
    <w:p>
      <w:pPr>
        <w:spacing w:line="360" w:lineRule="exact"/>
        <w:ind w:firstLine="482" w:firstLineChars="200"/>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、每一包单独用一份报价一览表；</w:t>
      </w:r>
    </w:p>
    <w:p>
      <w:pPr>
        <w:spacing w:line="360" w:lineRule="exact"/>
        <w:ind w:firstLine="482" w:firstLineChars="200"/>
        <w:rPr>
          <w:rFonts w:ascii="宋体" w:hAnsi="宋体"/>
          <w:b/>
        </w:rPr>
      </w:pPr>
      <w:r>
        <w:rPr>
          <w:rFonts w:hint="eastAsia" w:ascii="宋体" w:hAnsi="宋体"/>
          <w:b/>
          <w:sz w:val="24"/>
          <w:szCs w:val="24"/>
          <w:lang w:val="en-US" w:eastAsia="zh-CN"/>
        </w:rPr>
        <w:t>4</w:t>
      </w:r>
      <w:r>
        <w:rPr>
          <w:rFonts w:hint="eastAsia" w:ascii="宋体" w:hAnsi="宋体"/>
          <w:b/>
          <w:sz w:val="24"/>
          <w:szCs w:val="24"/>
        </w:rPr>
        <w:t>、此表可自行扩展。</w:t>
      </w:r>
    </w:p>
    <w:p>
      <w:pPr>
        <w:spacing w:line="400" w:lineRule="exact"/>
        <w:rPr>
          <w:rFonts w:hint="eastAsia" w:ascii="宋体" w:hAnsi="宋体" w:eastAsia="宋体" w:cs="宋体"/>
          <w:b/>
          <w:bCs/>
          <w:color w:val="000000" w:themeColor="text1"/>
          <w:sz w:val="36"/>
          <w:szCs w:val="36"/>
          <w:lang w:val="zh-CN"/>
          <w14:textFill>
            <w14:solidFill>
              <w14:schemeClr w14:val="tx1"/>
            </w14:solidFill>
          </w14:textFill>
        </w:rPr>
      </w:pPr>
      <w:r>
        <w:rPr>
          <w:rFonts w:ascii="宋体" w:hAnsi="宋体"/>
          <w:b/>
          <w:szCs w:val="21"/>
        </w:rPr>
        <w:t xml:space="preserve"> </w:t>
      </w:r>
    </w:p>
    <w:p>
      <w:pPr>
        <w:autoSpaceDE w:val="0"/>
        <w:autoSpaceDN w:val="0"/>
        <w:adjustRightInd w:val="0"/>
        <w:spacing w:line="360" w:lineRule="auto"/>
        <w:jc w:val="center"/>
        <w:rPr>
          <w:rFonts w:hint="eastAsia" w:ascii="宋体" w:hAnsi="宋体" w:eastAsia="宋体" w:cs="宋体"/>
          <w:b/>
          <w:bCs/>
          <w:color w:val="000000" w:themeColor="text1"/>
          <w:sz w:val="36"/>
          <w:szCs w:val="36"/>
          <w:lang w:val="zh-CN"/>
          <w14:textFill>
            <w14:solidFill>
              <w14:schemeClr w14:val="tx1"/>
            </w14:solidFill>
          </w14:textFill>
        </w:rPr>
      </w:pPr>
    </w:p>
    <w:p>
      <w:pPr>
        <w:pStyle w:val="2"/>
        <w:rPr>
          <w:rFonts w:hint="eastAsia" w:ascii="宋体" w:hAnsi="宋体" w:eastAsia="宋体" w:cs="宋体"/>
          <w:b/>
          <w:bCs/>
          <w:color w:val="000000" w:themeColor="text1"/>
          <w:sz w:val="36"/>
          <w:szCs w:val="36"/>
          <w:lang w:val="zh-CN"/>
          <w14:textFill>
            <w14:solidFill>
              <w14:schemeClr w14:val="tx1"/>
            </w14:solidFill>
          </w14:textFill>
        </w:rPr>
      </w:pPr>
    </w:p>
    <w:p>
      <w:pPr>
        <w:rPr>
          <w:rFonts w:hint="eastAsia"/>
          <w:lang w:val="zh-CN"/>
        </w:rPr>
      </w:pPr>
    </w:p>
    <w:p>
      <w:pPr>
        <w:autoSpaceDE w:val="0"/>
        <w:autoSpaceDN w:val="0"/>
        <w:adjustRightInd w:val="0"/>
        <w:spacing w:line="360" w:lineRule="auto"/>
        <w:ind w:firstLine="2530" w:firstLineChars="700"/>
        <w:jc w:val="both"/>
        <w:rPr>
          <w:rFonts w:ascii="宋体" w:hAnsi="宋体" w:eastAsia="宋体" w:cs="宋体"/>
          <w:b/>
          <w:bCs/>
          <w:color w:val="000000" w:themeColor="text1"/>
          <w:sz w:val="36"/>
          <w:szCs w:val="36"/>
          <w:lang w:val="zh-CN"/>
          <w14:textFill>
            <w14:solidFill>
              <w14:schemeClr w14:val="tx1"/>
            </w14:solidFill>
          </w14:textFill>
        </w:rPr>
      </w:pPr>
      <w:r>
        <w:rPr>
          <w:rFonts w:hint="eastAsia" w:ascii="宋体" w:hAnsi="宋体" w:eastAsia="宋体" w:cs="宋体"/>
          <w:b/>
          <w:bCs/>
          <w:color w:val="000000" w:themeColor="text1"/>
          <w:sz w:val="36"/>
          <w:szCs w:val="36"/>
          <w:lang w:val="zh-CN"/>
          <w14:textFill>
            <w14:solidFill>
              <w14:schemeClr w14:val="tx1"/>
            </w14:solidFill>
          </w14:textFill>
        </w:rPr>
        <w:t>四</w:t>
      </w:r>
      <w:r>
        <w:rPr>
          <w:rFonts w:hint="eastAsia" w:ascii="宋体" w:hAnsi="宋体" w:eastAsia="宋体" w:cs="宋体"/>
          <w:b/>
          <w:bCs/>
          <w:color w:val="000000" w:themeColor="text1"/>
          <w:sz w:val="36"/>
          <w:szCs w:val="36"/>
          <w14:textFill>
            <w14:solidFill>
              <w14:schemeClr w14:val="tx1"/>
            </w14:solidFill>
          </w14:textFill>
        </w:rPr>
        <w:t xml:space="preserve">  </w:t>
      </w:r>
      <w:r>
        <w:rPr>
          <w:rFonts w:hint="eastAsia" w:ascii="宋体" w:hAnsi="宋体" w:eastAsia="宋体" w:cs="宋体"/>
          <w:b/>
          <w:bCs/>
          <w:color w:val="000000" w:themeColor="text1"/>
          <w:sz w:val="36"/>
          <w:szCs w:val="36"/>
          <w:lang w:val="zh-CN"/>
          <w14:textFill>
            <w14:solidFill>
              <w14:schemeClr w14:val="tx1"/>
            </w14:solidFill>
          </w14:textFill>
        </w:rPr>
        <w:t>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（由投标人据实提交，技术参数须按编写序号须逐条对应）</w:t>
      </w:r>
    </w:p>
    <w:p>
      <w:pPr>
        <w:autoSpaceDE w:val="0"/>
        <w:autoSpaceDN w:val="0"/>
        <w:adjustRightInd w:val="0"/>
        <w:spacing w:line="360" w:lineRule="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项目编号:</w:t>
      </w:r>
    </w:p>
    <w:p>
      <w:pPr>
        <w:pStyle w:val="11"/>
        <w:spacing w:line="360" w:lineRule="auto"/>
        <w:rPr>
          <w:rFonts w:hAnsi="宋体" w:eastAsia="宋体" w:cs="宋体"/>
          <w:color w:val="000000" w:themeColor="text1"/>
          <w:sz w:val="24"/>
          <w:szCs w:val="24"/>
          <w:lang w:val="zh-CN"/>
          <w14:textFill>
            <w14:solidFill>
              <w14:schemeClr w14:val="tx1"/>
            </w14:solidFill>
          </w14:textFill>
        </w:rPr>
      </w:pPr>
      <w:r>
        <w:rPr>
          <w:rFonts w:hint="eastAsia" w:hAnsi="宋体" w:eastAsia="宋体" w:cs="宋体"/>
          <w:color w:val="000000" w:themeColor="text1"/>
          <w:sz w:val="24"/>
          <w:szCs w:val="24"/>
          <w:lang w:val="zh-CN"/>
          <w14:textFill>
            <w14:solidFill>
              <w14:schemeClr w14:val="tx1"/>
            </w14:solidFill>
          </w14:textFill>
        </w:rPr>
        <w:t>项目名称：</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14:textFill>
                  <w14:solidFill>
                    <w14:schemeClr w14:val="tx1"/>
                  </w14:solidFill>
                </w14:textFill>
              </w:rPr>
            </w:pPr>
          </w:p>
        </w:tc>
      </w:tr>
    </w:tbl>
    <w:p>
      <w:pPr>
        <w:autoSpaceDE w:val="0"/>
        <w:autoSpaceDN w:val="0"/>
        <w:adjustRightInd w:val="0"/>
        <w:spacing w:line="440" w:lineRule="exact"/>
        <w:rPr>
          <w:rFonts w:hint="eastAsia" w:ascii="宋体" w:hAnsi="宋体" w:eastAsia="宋体" w:cs="宋体"/>
          <w:color w:val="000000" w:themeColor="text1"/>
          <w:sz w:val="24"/>
          <w:szCs w:val="24"/>
          <w:lang w:val="zh-CN"/>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w:t>
      </w:r>
      <w:r>
        <w:rPr>
          <w:rFonts w:hint="eastAsia" w:asciiTheme="minorEastAsia" w:hAnsiTheme="minorEastAsia" w:cstheme="minorEastAsia"/>
          <w:color w:val="000000" w:themeColor="text1"/>
          <w:sz w:val="24"/>
          <w:szCs w:val="24"/>
          <w14:textFill>
            <w14:solidFill>
              <w14:schemeClr w14:val="tx1"/>
            </w14:solidFill>
          </w14:textFill>
        </w:rPr>
        <w:t>名称：                （单位公章）</w:t>
      </w: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授权代表：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（签字）</w:t>
      </w:r>
    </w:p>
    <w:p>
      <w:pPr>
        <w:rPr>
          <w:rFonts w:asciiTheme="minorEastAsia" w:hAnsiTheme="minorEastAsia" w:cstheme="minorEastAsia"/>
          <w:color w:val="000000" w:themeColor="text1"/>
          <w:sz w:val="24"/>
          <w:szCs w:val="24"/>
          <w14:textFill>
            <w14:solidFill>
              <w14:schemeClr w14:val="tx1"/>
            </w14:solidFill>
          </w14:textFill>
        </w:rPr>
      </w:pPr>
    </w:p>
    <w:p>
      <w:pP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日期：                   </w:t>
      </w:r>
    </w:p>
    <w:p>
      <w:pPr>
        <w:pStyle w:val="4"/>
        <w:rPr>
          <w:rFonts w:hint="eastAsia" w:asciiTheme="minorEastAsia" w:hAnsiTheme="minorEastAsia" w:cstheme="minorEastAsia"/>
          <w:color w:val="000000" w:themeColor="text1"/>
          <w:sz w:val="24"/>
          <w:szCs w:val="24"/>
          <w14:textFill>
            <w14:solidFill>
              <w14:schemeClr w14:val="tx1"/>
            </w14:solidFill>
          </w14:textFill>
        </w:rPr>
      </w:pPr>
    </w:p>
    <w:p>
      <w:pPr>
        <w:rPr>
          <w:rFonts w:hint="eastAsia"/>
          <w:lang w:val="zh-CN"/>
        </w:rPr>
      </w:pPr>
    </w:p>
    <w:p>
      <w:pPr>
        <w:autoSpaceDE w:val="0"/>
        <w:autoSpaceDN w:val="0"/>
        <w:adjustRightInd w:val="0"/>
        <w:spacing w:line="440" w:lineRule="exac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bCs/>
          <w:color w:val="000000" w:themeColor="text1"/>
          <w:sz w:val="24"/>
          <w:szCs w:val="24"/>
          <w:lang w:val="zh-CN"/>
          <w14:textFill>
            <w14:solidFill>
              <w14:schemeClr w14:val="tx1"/>
            </w14:solidFill>
          </w14:textFill>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w:t>
      </w:r>
      <w:r>
        <w:rPr>
          <w:rFonts w:hint="eastAsia" w:ascii="宋体" w:hAnsi="宋体"/>
          <w:bCs/>
          <w:color w:val="000000" w:themeColor="text1"/>
          <w:sz w:val="24"/>
          <w14:textFill>
            <w14:solidFill>
              <w14:schemeClr w14:val="tx1"/>
            </w14:solidFill>
          </w14:textFill>
        </w:rPr>
        <w:t>谈判响应供应商</w:t>
      </w:r>
      <w:r>
        <w:rPr>
          <w:rFonts w:hint="eastAsia" w:ascii="宋体" w:hAnsi="宋体" w:eastAsia="宋体" w:cs="宋体"/>
          <w:color w:val="000000" w:themeColor="text1"/>
          <w:sz w:val="24"/>
          <w:szCs w:val="24"/>
          <w:lang w:val="zh-CN"/>
          <w14:textFill>
            <w14:solidFill>
              <w14:schemeClr w14:val="tx1"/>
            </w14:solidFill>
          </w14:textFill>
        </w:rPr>
        <w:t>可根据各个需求表的内容填报技术规格响应表，但技术规格响应表的内容必须对其相对应的供货需求的内容全部响应，否则，该投标将被视为非响应性投标而被拒绝。</w:t>
      </w:r>
    </w:p>
    <w:p>
      <w:pPr>
        <w:autoSpaceDE w:val="0"/>
        <w:autoSpaceDN w:val="0"/>
        <w:adjustRightInd w:val="0"/>
        <w:spacing w:line="440" w:lineRule="exact"/>
        <w:ind w:firstLine="480" w:firstLineChars="200"/>
        <w:rPr>
          <w:rFonts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5.如谈判文件中规定技术规格货物如因停产或其他原因造成市场上无法供货，可采用不低于原有配置的货物投标。</w:t>
      </w:r>
    </w:p>
    <w:p>
      <w:pPr>
        <w:rPr>
          <w:rFonts w:ascii="宋体" w:hAnsi="宋体" w:eastAsia="宋体" w:cs="宋体"/>
          <w:color w:val="000000" w:themeColor="text1"/>
          <w:sz w:val="24"/>
          <w:szCs w:val="24"/>
          <w:lang w:val="zh-CN"/>
          <w14:textFill>
            <w14:solidFill>
              <w14:schemeClr w14:val="tx1"/>
            </w14:solidFill>
          </w14:textFill>
        </w:rPr>
      </w:pPr>
    </w:p>
    <w:p>
      <w:pPr>
        <w:tabs>
          <w:tab w:val="left" w:pos="887"/>
        </w:tabs>
        <w:spacing w:before="50"/>
        <w:ind w:left="165" w:right="0" w:firstLine="0"/>
        <w:jc w:val="center"/>
        <w:rPr>
          <w:b/>
          <w:sz w:val="36"/>
        </w:rPr>
      </w:pPr>
      <w:r>
        <w:rPr>
          <w:b/>
          <w:sz w:val="36"/>
        </w:rPr>
        <w:t>五</w:t>
      </w:r>
      <w:r>
        <w:rPr>
          <w:b/>
          <w:sz w:val="36"/>
        </w:rPr>
        <w:tab/>
      </w:r>
      <w:r>
        <w:rPr>
          <w:b/>
          <w:sz w:val="36"/>
        </w:rPr>
        <w:t>商务条款偏离表</w:t>
      </w:r>
    </w:p>
    <w:p>
      <w:pPr>
        <w:pStyle w:val="2"/>
        <w:spacing w:before="162" w:line="364" w:lineRule="auto"/>
        <w:ind w:left="480" w:right="-94" w:rightChars="0"/>
        <w:rPr>
          <w:rFonts w:hint="eastAsia" w:ascii="宋体" w:hAnsi="宋体" w:eastAsia="宋体" w:cs="宋体"/>
          <w:kern w:val="2"/>
          <w:sz w:val="24"/>
          <w:szCs w:val="22"/>
          <w:lang w:val="en-US" w:eastAsia="zh-CN" w:bidi="zh-CN"/>
        </w:rPr>
      </w:pPr>
      <w:r>
        <mc:AlternateContent>
          <mc:Choice Requires="wps">
            <w:drawing>
              <wp:anchor distT="0" distB="0" distL="114300" distR="114300" simplePos="0" relativeHeight="251685888" behindDoc="0" locked="0" layoutInCell="1" allowOverlap="1">
                <wp:simplePos x="0" y="0"/>
                <wp:positionH relativeFrom="page">
                  <wp:posOffset>1133475</wp:posOffset>
                </wp:positionH>
                <wp:positionV relativeFrom="paragraph">
                  <wp:posOffset>645795</wp:posOffset>
                </wp:positionV>
                <wp:extent cx="5339715" cy="4450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39715" cy="4450715"/>
                        </a:xfrm>
                        <a:prstGeom prst="rect">
                          <a:avLst/>
                        </a:prstGeom>
                        <a:noFill/>
                        <a:ln>
                          <a:noFill/>
                        </a:ln>
                      </wps:spPr>
                      <wps:txbx>
                        <w:txbxContent>
                          <w:tbl>
                            <w:tblPr>
                              <w:tblStyle w:val="19"/>
                              <w:tblW w:w="836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6"/>
                              <w:gridCol w:w="2118"/>
                              <w:gridCol w:w="2118"/>
                              <w:gridCol w:w="2118"/>
                              <w:gridCol w:w="12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0" w:hRule="atLeast"/>
                              </w:trPr>
                              <w:tc>
                                <w:tcPr>
                                  <w:tcW w:w="766" w:type="dxa"/>
                                  <w:tcBorders>
                                    <w:bottom w:val="single" w:color="000000" w:sz="4" w:space="0"/>
                                    <w:right w:val="single" w:color="000000" w:sz="4" w:space="0"/>
                                  </w:tcBorders>
                                </w:tcPr>
                                <w:p>
                                  <w:pPr>
                                    <w:pStyle w:val="37"/>
                                    <w:spacing w:before="82"/>
                                    <w:ind w:left="143"/>
                                    <w:rPr>
                                      <w:sz w:val="24"/>
                                    </w:rPr>
                                  </w:pPr>
                                  <w:r>
                                    <w:rPr>
                                      <w:sz w:val="24"/>
                                    </w:rPr>
                                    <w:t>序号</w:t>
                                  </w:r>
                                </w:p>
                              </w:tc>
                              <w:tc>
                                <w:tcPr>
                                  <w:tcW w:w="2118" w:type="dxa"/>
                                  <w:tcBorders>
                                    <w:left w:val="single" w:color="000000" w:sz="4" w:space="0"/>
                                    <w:bottom w:val="single" w:color="000000" w:sz="4" w:space="0"/>
                                    <w:right w:val="single" w:color="000000" w:sz="4" w:space="0"/>
                                  </w:tcBorders>
                                </w:tcPr>
                                <w:p>
                                  <w:pPr>
                                    <w:pStyle w:val="37"/>
                                    <w:spacing w:before="82"/>
                                    <w:ind w:left="227"/>
                                    <w:rPr>
                                      <w:sz w:val="24"/>
                                    </w:rPr>
                                  </w:pPr>
                                  <w:r>
                                    <w:rPr>
                                      <w:sz w:val="24"/>
                                    </w:rPr>
                                    <w:t>谈判文件条目号</w:t>
                                  </w:r>
                                </w:p>
                              </w:tc>
                              <w:tc>
                                <w:tcPr>
                                  <w:tcW w:w="2118" w:type="dxa"/>
                                  <w:tcBorders>
                                    <w:left w:val="single" w:color="000000" w:sz="4" w:space="0"/>
                                    <w:bottom w:val="single" w:color="000000" w:sz="4" w:space="0"/>
                                    <w:right w:val="single" w:color="000000" w:sz="4" w:space="0"/>
                                  </w:tcBorders>
                                </w:tcPr>
                                <w:p>
                                  <w:pPr>
                                    <w:pStyle w:val="37"/>
                                    <w:spacing w:before="3" w:line="398" w:lineRule="exact"/>
                                    <w:ind w:left="948" w:right="197" w:hanging="720"/>
                                    <w:rPr>
                                      <w:sz w:val="24"/>
                                    </w:rPr>
                                  </w:pPr>
                                  <w:r>
                                    <w:rPr>
                                      <w:sz w:val="24"/>
                                    </w:rPr>
                                    <w:t>谈判文件商务要求</w:t>
                                  </w:r>
                                </w:p>
                              </w:tc>
                              <w:tc>
                                <w:tcPr>
                                  <w:tcW w:w="2118" w:type="dxa"/>
                                  <w:tcBorders>
                                    <w:left w:val="single" w:color="000000" w:sz="4" w:space="0"/>
                                    <w:bottom w:val="single" w:color="000000" w:sz="4" w:space="0"/>
                                    <w:right w:val="single" w:color="000000" w:sz="4" w:space="0"/>
                                  </w:tcBorders>
                                </w:tcPr>
                                <w:p>
                                  <w:pPr>
                                    <w:pStyle w:val="37"/>
                                    <w:spacing w:before="3" w:line="398" w:lineRule="exact"/>
                                    <w:ind w:left="947" w:right="198" w:hanging="720"/>
                                    <w:rPr>
                                      <w:sz w:val="24"/>
                                    </w:rPr>
                                  </w:pPr>
                                  <w:r>
                                    <w:rPr>
                                      <w:sz w:val="24"/>
                                    </w:rPr>
                                    <w:t>谈判文件商务响应</w:t>
                                  </w:r>
                                </w:p>
                              </w:tc>
                              <w:tc>
                                <w:tcPr>
                                  <w:tcW w:w="1245" w:type="dxa"/>
                                  <w:tcBorders>
                                    <w:left w:val="single" w:color="000000" w:sz="4" w:space="0"/>
                                    <w:bottom w:val="single" w:color="000000" w:sz="4" w:space="0"/>
                                  </w:tcBorders>
                                </w:tcPr>
                                <w:p>
                                  <w:pPr>
                                    <w:pStyle w:val="37"/>
                                    <w:spacing w:before="82"/>
                                    <w:ind w:left="151"/>
                                    <w:rPr>
                                      <w:sz w:val="24"/>
                                    </w:rPr>
                                  </w:pPr>
                                  <w:r>
                                    <w:rPr>
                                      <w:sz w:val="24"/>
                                    </w:rPr>
                                    <w:t>偏差说明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766" w:type="dxa"/>
                                  <w:tcBorders>
                                    <w:top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tcBorders>
                                </w:tcPr>
                                <w:p>
                                  <w:pPr>
                                    <w:pStyle w:val="37"/>
                                    <w:rPr>
                                      <w:rFonts w:ascii="Times New Roman"/>
                                      <w:sz w:val="24"/>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89.25pt;margin-top:50.85pt;height:350.45pt;width:420.45pt;mso-position-horizontal-relative:page;z-index:251685888;mso-width-relative:page;mso-height-relative:page;" filled="f" stroked="f" coordsize="21600,21600" o:gfxdata="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6ddX/2QAAAAwBAAAPAAAAAAAA&#10;AAEAIAAAACIAAABkcnMvZG93bnJldi54bWxQSwECFAAUAAAACACHTuJAhWYU2p8BAAAlAwAADgAA&#10;AAAAAAABACAAAAAoAQAAZHJzL2Uyb0RvYy54bWxQSwUGAAAAAAYABgBZAQAAOQUAAAAA&#10;">
                <v:fill on="f" focussize="0,0"/>
                <v:stroke on="f"/>
                <v:imagedata o:title=""/>
                <o:lock v:ext="edit" aspectratio="f"/>
                <v:textbox inset="0mm,0mm,0mm,0mm">
                  <w:txbxContent>
                    <w:tbl>
                      <w:tblPr>
                        <w:tblStyle w:val="19"/>
                        <w:tblW w:w="836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6"/>
                        <w:gridCol w:w="2118"/>
                        <w:gridCol w:w="2118"/>
                        <w:gridCol w:w="2118"/>
                        <w:gridCol w:w="12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0" w:hRule="atLeast"/>
                        </w:trPr>
                        <w:tc>
                          <w:tcPr>
                            <w:tcW w:w="766" w:type="dxa"/>
                            <w:tcBorders>
                              <w:bottom w:val="single" w:color="000000" w:sz="4" w:space="0"/>
                              <w:right w:val="single" w:color="000000" w:sz="4" w:space="0"/>
                            </w:tcBorders>
                          </w:tcPr>
                          <w:p>
                            <w:pPr>
                              <w:pStyle w:val="37"/>
                              <w:spacing w:before="82"/>
                              <w:ind w:left="143"/>
                              <w:rPr>
                                <w:sz w:val="24"/>
                              </w:rPr>
                            </w:pPr>
                            <w:r>
                              <w:rPr>
                                <w:sz w:val="24"/>
                              </w:rPr>
                              <w:t>序号</w:t>
                            </w:r>
                          </w:p>
                        </w:tc>
                        <w:tc>
                          <w:tcPr>
                            <w:tcW w:w="2118" w:type="dxa"/>
                            <w:tcBorders>
                              <w:left w:val="single" w:color="000000" w:sz="4" w:space="0"/>
                              <w:bottom w:val="single" w:color="000000" w:sz="4" w:space="0"/>
                              <w:right w:val="single" w:color="000000" w:sz="4" w:space="0"/>
                            </w:tcBorders>
                          </w:tcPr>
                          <w:p>
                            <w:pPr>
                              <w:pStyle w:val="37"/>
                              <w:spacing w:before="82"/>
                              <w:ind w:left="227"/>
                              <w:rPr>
                                <w:sz w:val="24"/>
                              </w:rPr>
                            </w:pPr>
                            <w:r>
                              <w:rPr>
                                <w:sz w:val="24"/>
                              </w:rPr>
                              <w:t>谈判文件条目号</w:t>
                            </w:r>
                          </w:p>
                        </w:tc>
                        <w:tc>
                          <w:tcPr>
                            <w:tcW w:w="2118" w:type="dxa"/>
                            <w:tcBorders>
                              <w:left w:val="single" w:color="000000" w:sz="4" w:space="0"/>
                              <w:bottom w:val="single" w:color="000000" w:sz="4" w:space="0"/>
                              <w:right w:val="single" w:color="000000" w:sz="4" w:space="0"/>
                            </w:tcBorders>
                          </w:tcPr>
                          <w:p>
                            <w:pPr>
                              <w:pStyle w:val="37"/>
                              <w:spacing w:before="3" w:line="398" w:lineRule="exact"/>
                              <w:ind w:left="948" w:right="197" w:hanging="720"/>
                              <w:rPr>
                                <w:sz w:val="24"/>
                              </w:rPr>
                            </w:pPr>
                            <w:r>
                              <w:rPr>
                                <w:sz w:val="24"/>
                              </w:rPr>
                              <w:t>谈判文件商务要求</w:t>
                            </w:r>
                          </w:p>
                        </w:tc>
                        <w:tc>
                          <w:tcPr>
                            <w:tcW w:w="2118" w:type="dxa"/>
                            <w:tcBorders>
                              <w:left w:val="single" w:color="000000" w:sz="4" w:space="0"/>
                              <w:bottom w:val="single" w:color="000000" w:sz="4" w:space="0"/>
                              <w:right w:val="single" w:color="000000" w:sz="4" w:space="0"/>
                            </w:tcBorders>
                          </w:tcPr>
                          <w:p>
                            <w:pPr>
                              <w:pStyle w:val="37"/>
                              <w:spacing w:before="3" w:line="398" w:lineRule="exact"/>
                              <w:ind w:left="947" w:right="198" w:hanging="720"/>
                              <w:rPr>
                                <w:sz w:val="24"/>
                              </w:rPr>
                            </w:pPr>
                            <w:r>
                              <w:rPr>
                                <w:sz w:val="24"/>
                              </w:rPr>
                              <w:t>谈判文件商务响应</w:t>
                            </w:r>
                          </w:p>
                        </w:tc>
                        <w:tc>
                          <w:tcPr>
                            <w:tcW w:w="1245" w:type="dxa"/>
                            <w:tcBorders>
                              <w:left w:val="single" w:color="000000" w:sz="4" w:space="0"/>
                              <w:bottom w:val="single" w:color="000000" w:sz="4" w:space="0"/>
                            </w:tcBorders>
                          </w:tcPr>
                          <w:p>
                            <w:pPr>
                              <w:pStyle w:val="37"/>
                              <w:spacing w:before="82"/>
                              <w:ind w:left="151"/>
                              <w:rPr>
                                <w:sz w:val="24"/>
                              </w:rPr>
                            </w:pPr>
                            <w:r>
                              <w:rPr>
                                <w:sz w:val="24"/>
                              </w:rPr>
                              <w:t>偏差说明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766" w:type="dxa"/>
                            <w:tcBorders>
                              <w:top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bottom w:val="single" w:color="000000" w:sz="4" w:space="0"/>
                            </w:tcBorders>
                          </w:tcPr>
                          <w:p>
                            <w:pPr>
                              <w:pStyle w:val="3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766" w:type="dxa"/>
                            <w:tcBorders>
                              <w:top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right w:val="single" w:color="000000" w:sz="4" w:space="0"/>
                            </w:tcBorders>
                          </w:tcPr>
                          <w:p>
                            <w:pPr>
                              <w:pStyle w:val="37"/>
                              <w:rPr>
                                <w:rFonts w:ascii="Times New Roman"/>
                                <w:sz w:val="24"/>
                              </w:rPr>
                            </w:pPr>
                          </w:p>
                        </w:tc>
                        <w:tc>
                          <w:tcPr>
                            <w:tcW w:w="2118" w:type="dxa"/>
                            <w:tcBorders>
                              <w:top w:val="single" w:color="000000" w:sz="4" w:space="0"/>
                              <w:left w:val="single" w:color="000000" w:sz="4" w:space="0"/>
                              <w:right w:val="single" w:color="000000" w:sz="4" w:space="0"/>
                            </w:tcBorders>
                          </w:tcPr>
                          <w:p>
                            <w:pPr>
                              <w:pStyle w:val="37"/>
                              <w:rPr>
                                <w:rFonts w:ascii="Times New Roman"/>
                                <w:sz w:val="24"/>
                              </w:rPr>
                            </w:pPr>
                          </w:p>
                        </w:tc>
                        <w:tc>
                          <w:tcPr>
                            <w:tcW w:w="1245" w:type="dxa"/>
                            <w:tcBorders>
                              <w:top w:val="single" w:color="000000" w:sz="4" w:space="0"/>
                              <w:left w:val="single" w:color="000000" w:sz="4" w:space="0"/>
                            </w:tcBorders>
                          </w:tcPr>
                          <w:p>
                            <w:pPr>
                              <w:pStyle w:val="37"/>
                              <w:rPr>
                                <w:rFonts w:ascii="Times New Roman"/>
                                <w:sz w:val="24"/>
                              </w:rPr>
                            </w:pPr>
                          </w:p>
                        </w:tc>
                      </w:tr>
                    </w:tbl>
                    <w:p>
                      <w:pPr>
                        <w:pStyle w:val="2"/>
                      </w:pPr>
                    </w:p>
                  </w:txbxContent>
                </v:textbox>
              </v:shape>
            </w:pict>
          </mc:Fallback>
        </mc:AlternateContent>
      </w:r>
      <w:r>
        <w:rPr>
          <w:rFonts w:hint="eastAsia"/>
          <w:lang w:val="en-US" w:eastAsia="zh-CN"/>
        </w:rPr>
        <w:t xml:space="preserve"> </w:t>
      </w:r>
      <w:r>
        <w:rPr>
          <w:rFonts w:hint="eastAsia" w:ascii="宋体" w:hAnsi="宋体" w:eastAsia="宋体" w:cs="宋体"/>
          <w:kern w:val="2"/>
          <w:sz w:val="24"/>
          <w:szCs w:val="22"/>
          <w:lang w:val="en-US" w:eastAsia="zh-CN" w:bidi="zh-CN"/>
        </w:rPr>
        <w:t>项目编号：</w:t>
      </w:r>
    </w:p>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 xml:space="preserve">     项目名称：</w:t>
      </w:r>
    </w:p>
    <w:p>
      <w:pPr>
        <w:pStyle w:val="14"/>
        <w:rPr>
          <w:rFonts w:hint="eastAsia"/>
          <w:lang w:val="en-US" w:eastAsia="zh-CN"/>
        </w:rPr>
      </w:pPr>
    </w:p>
    <w:p>
      <w:pPr>
        <w:pStyle w:val="14"/>
        <w:rPr>
          <w:rFonts w:hint="default"/>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w:t>
      </w:r>
      <w:r>
        <w:rPr>
          <w:rFonts w:hint="eastAsia" w:asciiTheme="minorEastAsia" w:hAnsiTheme="minorEastAsia" w:cstheme="minorEastAsia"/>
          <w:color w:val="000000" w:themeColor="text1"/>
          <w:sz w:val="24"/>
          <w:szCs w:val="24"/>
          <w14:textFill>
            <w14:solidFill>
              <w14:schemeClr w14:val="tx1"/>
            </w14:solidFill>
          </w14:textFill>
        </w:rPr>
        <w:t>名称：                （单位公章）</w:t>
      </w:r>
    </w:p>
    <w:p>
      <w:pPr>
        <w:rPr>
          <w:rFonts w:asciiTheme="minorEastAsia" w:hAnsiTheme="minorEastAsia" w:cstheme="minorEastAsia"/>
          <w:color w:val="000000" w:themeColor="text1"/>
          <w:sz w:val="24"/>
          <w:szCs w:val="24"/>
          <w14:textFill>
            <w14:solidFill>
              <w14:schemeClr w14:val="tx1"/>
            </w14:solidFill>
          </w14:textFill>
        </w:rPr>
      </w:pP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授权代表：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（签字）</w:t>
      </w:r>
    </w:p>
    <w:p>
      <w:pPr>
        <w:rPr>
          <w:rFonts w:asciiTheme="minorEastAsia" w:hAnsiTheme="minorEastAsia" w:cstheme="minorEastAsia"/>
          <w:color w:val="000000" w:themeColor="text1"/>
          <w:sz w:val="24"/>
          <w:szCs w:val="24"/>
          <w14:textFill>
            <w14:solidFill>
              <w14:schemeClr w14:val="tx1"/>
            </w14:solidFill>
          </w14:textFill>
        </w:rPr>
      </w:pPr>
    </w:p>
    <w:p>
      <w:pPr>
        <w:pStyle w:val="2"/>
      </w:pPr>
      <w:r>
        <w:rPr>
          <w:rFonts w:hint="eastAsia" w:asciiTheme="minorEastAsia" w:hAnsiTheme="minorEastAsia" w:cstheme="minorEastAsia"/>
          <w:color w:val="000000" w:themeColor="text1"/>
          <w:sz w:val="24"/>
          <w:szCs w:val="24"/>
          <w14:textFill>
            <w14:solidFill>
              <w14:schemeClr w14:val="tx1"/>
            </w14:solidFill>
          </w14:textFill>
        </w:rPr>
        <w:t xml:space="preserve">日期：   </w:t>
      </w:r>
    </w:p>
    <w:p>
      <w:pPr>
        <w:pStyle w:val="2"/>
      </w:pPr>
    </w:p>
    <w:p>
      <w:pPr>
        <w:pStyle w:val="4"/>
        <w:rPr>
          <w:lang w:val="zh-CN"/>
        </w:rPr>
      </w:pPr>
    </w:p>
    <w:p>
      <w:pPr>
        <w:rPr>
          <w:lang w:val="zh-CN"/>
        </w:rPr>
      </w:pPr>
    </w:p>
    <w:p>
      <w:pPr>
        <w:pStyle w:val="2"/>
        <w:rPr>
          <w:lang w:val="zh-CN"/>
        </w:rPr>
      </w:pPr>
    </w:p>
    <w:p>
      <w:pPr>
        <w:rPr>
          <w:lang w:val="zh-CN"/>
        </w:rPr>
      </w:pPr>
    </w:p>
    <w:p>
      <w:pPr>
        <w:spacing w:line="360" w:lineRule="auto"/>
        <w:ind w:firstLine="2891" w:firstLineChars="800"/>
        <w:rPr>
          <w:rFonts w:hint="eastAsia" w:asciiTheme="minorEastAsia" w:hAnsiTheme="minorEastAsia" w:cstheme="minorEastAsia"/>
          <w:b/>
          <w:color w:val="000000" w:themeColor="text1"/>
          <w:sz w:val="36"/>
          <w:szCs w:val="36"/>
          <w:lang w:eastAsia="zh-CN"/>
          <w14:textFill>
            <w14:solidFill>
              <w14:schemeClr w14:val="tx1"/>
            </w14:solidFill>
          </w14:textFill>
        </w:rPr>
      </w:pPr>
    </w:p>
    <w:p>
      <w:pPr>
        <w:spacing w:line="360" w:lineRule="auto"/>
        <w:ind w:firstLine="2891" w:firstLineChars="800"/>
        <w:rPr>
          <w:rFonts w:hint="eastAsia" w:asciiTheme="minorEastAsia" w:hAnsi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sz w:val="36"/>
          <w:szCs w:val="36"/>
          <w:lang w:eastAsia="zh-CN"/>
          <w14:textFill>
            <w14:solidFill>
              <w14:schemeClr w14:val="tx1"/>
            </w14:solidFill>
          </w14:textFill>
        </w:rPr>
        <w:t>六、</w:t>
      </w:r>
      <w:r>
        <w:rPr>
          <w:rFonts w:hint="eastAsia" w:asciiTheme="minorEastAsia" w:hAnsiTheme="minorEastAsia" w:cstheme="minorEastAsia"/>
          <w:b/>
          <w:color w:val="000000" w:themeColor="text1"/>
          <w:sz w:val="36"/>
          <w:szCs w:val="36"/>
          <w14:textFill>
            <w14:solidFill>
              <w14:schemeClr w14:val="tx1"/>
            </w14:solidFill>
          </w14:textFill>
        </w:rPr>
        <w:t>资格声明函</w:t>
      </w:r>
    </w:p>
    <w:p>
      <w:pPr>
        <w:pStyle w:val="4"/>
      </w:pPr>
    </w:p>
    <w:p>
      <w:pPr>
        <w:spacing w:line="360" w:lineRule="auto"/>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铜仁市第二人民医院</w:t>
      </w: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bCs/>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关于贵方</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日第</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（项目编号）政府谈判邀请，本签字人愿意参加谈判，提供谈判文件“采购服务及要求”中规定的</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（项目名称），并证明提交的下列文件和说明是准确的和真实的。</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1．本签字人确认资格文件中的说明以及响应文件中所有提交的文件和材料是真实的、准确的。</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2．我方的资格声明正本一份，副本</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份，随响应文件一同递交。</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谈判响应供应商（全称并加盖公章）：</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地     址：</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邮     编：</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电 话/传 真：</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电子信箱：</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谈判响应供应商代表签字： </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 xml:space="preserve">      </w:t>
      </w:r>
    </w:p>
    <w:p>
      <w:pPr>
        <w:jc w:val="center"/>
        <w:rPr>
          <w:rFonts w:asciiTheme="minorEastAsia" w:hAnsiTheme="minorEastAsia" w:cstheme="minorEastAsia"/>
          <w:color w:val="000000" w:themeColor="text1"/>
          <w:sz w:val="28"/>
          <w:szCs w:val="28"/>
          <w14:textFill>
            <w14:solidFill>
              <w14:schemeClr w14:val="tx1"/>
            </w14:solidFill>
          </w14:textFill>
        </w:rPr>
      </w:pPr>
    </w:p>
    <w:p>
      <w:pPr>
        <w:spacing w:line="360" w:lineRule="auto"/>
        <w:jc w:val="center"/>
        <w:rPr>
          <w:rFonts w:asciiTheme="minorEastAsia" w:hAnsiTheme="minorEastAsia" w:cstheme="minorEastAsia"/>
          <w:b/>
          <w:bCs/>
          <w:color w:val="000000" w:themeColor="text1"/>
          <w:sz w:val="36"/>
          <w:szCs w:val="36"/>
          <w14:textFill>
            <w14:solidFill>
              <w14:schemeClr w14:val="tx1"/>
            </w14:solidFill>
          </w14:textFill>
        </w:rPr>
      </w:pPr>
      <w:r>
        <w:rPr>
          <w:rFonts w:hint="eastAsia" w:asciiTheme="minorEastAsia" w:hAnsiTheme="minorEastAsia" w:cstheme="minorEastAsia"/>
          <w:b/>
          <w:bCs/>
          <w:color w:val="000000" w:themeColor="text1"/>
          <w:sz w:val="36"/>
          <w:szCs w:val="36"/>
          <w:lang w:eastAsia="zh-CN"/>
          <w14:textFill>
            <w14:solidFill>
              <w14:schemeClr w14:val="tx1"/>
            </w14:solidFill>
          </w14:textFill>
        </w:rPr>
        <w:t>七</w:t>
      </w:r>
      <w:r>
        <w:rPr>
          <w:rFonts w:hint="eastAsia" w:asciiTheme="minorEastAsia" w:hAnsiTheme="minorEastAsia" w:cstheme="minorEastAsia"/>
          <w:b/>
          <w:bCs/>
          <w:color w:val="000000" w:themeColor="text1"/>
          <w:sz w:val="36"/>
          <w:szCs w:val="36"/>
          <w14:textFill>
            <w14:solidFill>
              <w14:schemeClr w14:val="tx1"/>
            </w14:solidFill>
          </w14:textFill>
        </w:rPr>
        <w:t xml:space="preserve">  法定代表人授权书</w:t>
      </w:r>
    </w:p>
    <w:p>
      <w:pPr>
        <w:spacing w:line="360" w:lineRule="auto"/>
        <w:jc w:val="center"/>
        <w:rPr>
          <w:rFonts w:asciiTheme="minorEastAsia" w:hAnsiTheme="minorEastAsia" w:cstheme="minorEastAsia"/>
          <w:bCs/>
          <w:color w:val="000000" w:themeColor="text1"/>
          <w:sz w:val="28"/>
          <w:szCs w:val="28"/>
          <w14:textFill>
            <w14:solidFill>
              <w14:schemeClr w14:val="tx1"/>
            </w14:solidFill>
          </w14:textFill>
        </w:rPr>
      </w:pP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t xml:space="preserve">铜仁市第二人民医院 </w:t>
      </w:r>
      <w:r>
        <w:rPr>
          <w:rFonts w:hint="eastAsia" w:asciiTheme="minorEastAsia" w:hAnsiTheme="minorEastAsia" w:cstheme="minorEastAsia"/>
          <w:color w:val="000000" w:themeColor="text1"/>
          <w:sz w:val="24"/>
          <w:szCs w:val="24"/>
          <w14:textFill>
            <w14:solidFill>
              <w14:schemeClr w14:val="tx1"/>
            </w14:solidFill>
          </w14:textFill>
        </w:rPr>
        <w:t>：</w:t>
      </w:r>
    </w:p>
    <w:p>
      <w:pPr>
        <w:pStyle w:val="11"/>
        <w:snapToGrid w:val="0"/>
        <w:spacing w:line="36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u w:val="single"/>
          <w14:textFill>
            <w14:solidFill>
              <w14:schemeClr w14:val="tx1"/>
            </w14:solidFill>
          </w14:textFill>
        </w:rPr>
        <w:t>（谈判响应供应商全称）</w:t>
      </w:r>
      <w:r>
        <w:rPr>
          <w:rFonts w:hint="eastAsia" w:asciiTheme="minorEastAsia" w:hAnsi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授权</w:t>
      </w:r>
      <w:r>
        <w:rPr>
          <w:rFonts w:hint="eastAsia" w:asciiTheme="minorEastAsia" w:hAnsiTheme="minorEastAsia" w:cstheme="minorEastAsia"/>
          <w:color w:val="000000" w:themeColor="text1"/>
          <w:sz w:val="24"/>
          <w:szCs w:val="24"/>
          <w:u w:val="single"/>
          <w14:textFill>
            <w14:solidFill>
              <w14:schemeClr w14:val="tx1"/>
            </w14:solidFill>
          </w14:textFill>
        </w:rPr>
        <w:t xml:space="preserve">  （谈判响应供应商代表姓名）</w:t>
      </w:r>
      <w:r>
        <w:rPr>
          <w:rFonts w:hint="eastAsia" w:asciiTheme="minorEastAsia" w:hAnsiTheme="minorEastAsia" w:cstheme="minorEastAsia"/>
          <w:color w:val="000000" w:themeColor="text1"/>
          <w:sz w:val="24"/>
          <w:szCs w:val="24"/>
          <w14:textFill>
            <w14:solidFill>
              <w14:schemeClr w14:val="tx1"/>
            </w14:solidFill>
          </w14:textFill>
        </w:rPr>
        <w:t>为谈判响应供应商代表，代表本公司参加贵</w:t>
      </w:r>
      <w:r>
        <w:rPr>
          <w:rFonts w:hint="eastAsia" w:asciiTheme="minorEastAsia" w:hAnsiTheme="minorEastAsia" w:cstheme="minorEastAsia"/>
          <w:color w:val="000000" w:themeColor="text1"/>
          <w:sz w:val="24"/>
          <w:szCs w:val="24"/>
          <w:lang w:eastAsia="zh-CN"/>
          <w14:textFill>
            <w14:solidFill>
              <w14:schemeClr w14:val="tx1"/>
            </w14:solidFill>
          </w14:textFill>
        </w:rPr>
        <w:t>院</w:t>
      </w:r>
      <w:r>
        <w:rPr>
          <w:rFonts w:hint="eastAsia" w:asciiTheme="minorEastAsia" w:hAnsiTheme="minorEastAsia" w:cstheme="minorEastAsia"/>
          <w:color w:val="000000" w:themeColor="text1"/>
          <w:sz w:val="24"/>
          <w:szCs w:val="24"/>
          <w14:textFill>
            <w14:solidFill>
              <w14:schemeClr w14:val="tx1"/>
            </w14:solidFill>
          </w14:textFill>
        </w:rPr>
        <w:t>组织的</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项目（项目编号</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本授权书自出具之日起生效。</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谈判响应供应商代表：</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性别：</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身份证号：</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部门：</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职务：</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详细通讯地址：</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b/>
          <w:bCs/>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邮政编码:</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 xml:space="preserve"> 电话：</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电子信箱：</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附：授权人身份证件（正反面）</w:t>
      </w:r>
      <w:r>
        <w:rPr>
          <w:rFonts w:hint="eastAsia" w:asciiTheme="minorEastAsia" w:hAnsiTheme="minorEastAsia" w:cstheme="minorEastAsia"/>
          <w:color w:val="000000" w:themeColor="text1"/>
          <w:sz w:val="24"/>
          <w:szCs w:val="24"/>
          <w:lang w:eastAsia="zh-CN"/>
          <w14:textFill>
            <w14:solidFill>
              <w14:schemeClr w14:val="tx1"/>
            </w14:solidFill>
          </w14:textFill>
        </w:rPr>
        <w:t>复印件或扫描件</w:t>
      </w: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被授权人身份证件（正反面）</w:t>
      </w:r>
      <w:r>
        <w:rPr>
          <w:rFonts w:hint="eastAsia" w:asciiTheme="minorEastAsia" w:hAnsiTheme="minorEastAsia" w:cstheme="minorEastAsia"/>
          <w:color w:val="000000" w:themeColor="text1"/>
          <w:sz w:val="24"/>
          <w:szCs w:val="24"/>
          <w:lang w:eastAsia="zh-CN"/>
          <w14:textFill>
            <w14:solidFill>
              <w14:schemeClr w14:val="tx1"/>
            </w14:solidFill>
          </w14:textFill>
        </w:rPr>
        <w:t>复印件或扫描件</w:t>
      </w: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ind w:firstLine="4080" w:firstLineChars="17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授权方</w:t>
      </w:r>
    </w:p>
    <w:p>
      <w:pPr>
        <w:spacing w:line="360" w:lineRule="auto"/>
        <w:ind w:firstLine="3960" w:firstLineChars="16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谈判响应供应商（全称并加盖公章）：</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ind w:firstLine="3960" w:firstLineChars="16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法定代表人签字：</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ind w:firstLine="4800" w:firstLineChars="20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p>
    <w:p>
      <w:pPr>
        <w:spacing w:line="360" w:lineRule="auto"/>
        <w:ind w:firstLine="4080" w:firstLineChars="17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接受授权方</w:t>
      </w:r>
    </w:p>
    <w:p>
      <w:pPr>
        <w:spacing w:line="360" w:lineRule="auto"/>
        <w:ind w:firstLine="4800" w:firstLineChars="20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谈判响应供应商代表签字：</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ind w:firstLine="4800" w:firstLineChars="2000"/>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ind w:firstLine="2512" w:firstLineChars="695"/>
        <w:rPr>
          <w:rFonts w:hint="eastAsia" w:asciiTheme="minorEastAsia" w:hAnsiTheme="minorEastAsia" w:cstheme="minorEastAsia"/>
          <w:b/>
          <w:color w:val="000000" w:themeColor="text1"/>
          <w:sz w:val="36"/>
          <w:szCs w:val="36"/>
          <w:lang w:eastAsia="zh-CN"/>
          <w14:textFill>
            <w14:solidFill>
              <w14:schemeClr w14:val="tx1"/>
            </w14:solidFill>
          </w14:textFill>
        </w:rPr>
      </w:pPr>
    </w:p>
    <w:p>
      <w:pPr>
        <w:ind w:firstLine="2512" w:firstLineChars="695"/>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36"/>
          <w:szCs w:val="36"/>
          <w:lang w:eastAsia="zh-CN"/>
          <w14:textFill>
            <w14:solidFill>
              <w14:schemeClr w14:val="tx1"/>
            </w14:solidFill>
          </w14:textFill>
        </w:rPr>
        <w:t>八</w:t>
      </w:r>
      <w:r>
        <w:rPr>
          <w:rFonts w:hint="eastAsia" w:asciiTheme="minorEastAsia" w:hAnsiTheme="minorEastAsia" w:cstheme="minorEastAsia"/>
          <w:b/>
          <w:color w:val="000000" w:themeColor="text1"/>
          <w:sz w:val="36"/>
          <w:szCs w:val="36"/>
          <w14:textFill>
            <w14:solidFill>
              <w14:schemeClr w14:val="tx1"/>
            </w14:solidFill>
          </w14:textFill>
        </w:rPr>
        <w:t xml:space="preserve">  资质声明函</w:t>
      </w:r>
    </w:p>
    <w:p>
      <w:pPr>
        <w:pStyle w:val="11"/>
        <w:spacing w:line="360" w:lineRule="auto"/>
        <w:ind w:firstLine="720" w:firstLineChars="300"/>
        <w:rPr>
          <w:rFonts w:asciiTheme="minorEastAsia" w:hAnsiTheme="minorEastAsia" w:cstheme="minorEastAsia"/>
          <w:b/>
          <w:color w:val="auto"/>
          <w:sz w:val="24"/>
          <w:szCs w:val="24"/>
        </w:rPr>
      </w:pPr>
      <w:r>
        <w:rPr>
          <w:rFonts w:hint="eastAsia" w:asciiTheme="minorEastAsia" w:hAnsiTheme="minorEastAsia" w:cstheme="minorEastAsia"/>
          <w:color w:val="000000" w:themeColor="text1"/>
          <w:sz w:val="24"/>
          <w:szCs w:val="24"/>
          <w14:textFill>
            <w14:solidFill>
              <w14:schemeClr w14:val="tx1"/>
            </w14:solidFill>
          </w14:textFill>
        </w:rPr>
        <w:t>根据贵方的</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邀请，本签字人愿意参加</w:t>
      </w: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，并按谈判文件要求提交下列资质文件，同时声明，保证所提交文件是准确的、真实的。</w:t>
      </w:r>
      <w:r>
        <w:rPr>
          <w:rFonts w:hint="eastAsia" w:asciiTheme="minorEastAsia" w:hAnsiTheme="minorEastAsia" w:cstheme="minorEastAsia"/>
          <w:b/>
          <w:color w:val="000000" w:themeColor="text1"/>
          <w:sz w:val="24"/>
          <w:szCs w:val="24"/>
          <w14:textFill>
            <w14:solidFill>
              <w14:schemeClr w14:val="tx1"/>
            </w14:solidFill>
          </w14:textFill>
        </w:rPr>
        <w:t>以下资质文件的复印件</w:t>
      </w:r>
      <w:r>
        <w:rPr>
          <w:rFonts w:hint="eastAsia" w:asciiTheme="minorEastAsia" w:hAnsiTheme="minorEastAsia" w:cstheme="minorEastAsia"/>
          <w:b/>
          <w:color w:val="auto"/>
          <w:sz w:val="24"/>
          <w:szCs w:val="24"/>
        </w:rPr>
        <w:t>需加盖鲜章装订在投标文件中。</w:t>
      </w:r>
    </w:p>
    <w:p>
      <w:pPr>
        <w:pStyle w:val="2"/>
        <w:ind w:firstLine="480" w:firstLineChars="200"/>
        <w:rPr>
          <w:rFonts w:hint="eastAsia" w:eastAsiaTheme="minorEastAsia"/>
          <w:color w:val="auto"/>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s="宋体"/>
          <w:color w:val="auto"/>
          <w:kern w:val="0"/>
          <w:sz w:val="24"/>
          <w:szCs w:val="24"/>
        </w:rPr>
        <w:t>有效的</w:t>
      </w:r>
      <w:r>
        <w:rPr>
          <w:rFonts w:hint="eastAsia" w:ascii="宋体" w:hAnsi="宋体" w:cs="宋体"/>
          <w:color w:val="auto"/>
          <w:sz w:val="24"/>
        </w:rPr>
        <w:t>营业执照</w:t>
      </w:r>
      <w:r>
        <w:rPr>
          <w:rFonts w:hint="eastAsia" w:ascii="宋体" w:hAnsi="宋体" w:cs="宋体"/>
          <w:color w:val="auto"/>
          <w:kern w:val="0"/>
          <w:sz w:val="24"/>
          <w:szCs w:val="24"/>
        </w:rPr>
        <w:t>（三证合一）</w:t>
      </w:r>
      <w:r>
        <w:rPr>
          <w:rFonts w:hint="eastAsia" w:ascii="宋体" w:hAnsi="宋体" w:cs="宋体"/>
          <w:color w:val="auto"/>
          <w:kern w:val="0"/>
          <w:sz w:val="24"/>
          <w:szCs w:val="24"/>
          <w:lang w:eastAsia="zh-CN"/>
        </w:rPr>
        <w:t>；</w:t>
      </w:r>
    </w:p>
    <w:p>
      <w:pPr>
        <w:spacing w:line="5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eastAsia="宋体" w:cs="宋体"/>
          <w:color w:val="auto"/>
          <w:kern w:val="2"/>
          <w:sz w:val="24"/>
          <w:szCs w:val="24"/>
          <w:lang w:val="en-US" w:eastAsia="zh-CN" w:bidi="ar-SA"/>
        </w:rPr>
        <w:t>具有良好的商业信誉和健全的财务会计制度：</w:t>
      </w:r>
    </w:p>
    <w:p>
      <w:pPr>
        <w:pStyle w:val="17"/>
        <w:spacing w:before="0" w:beforeAutospacing="0" w:after="0" w:afterAutospacing="0" w:line="360" w:lineRule="auto"/>
        <w:ind w:firstLine="480" w:firstLineChars="200"/>
        <w:jc w:val="both"/>
        <w:rPr>
          <w:rFonts w:hint="eastAsia"/>
          <w:color w:val="auto"/>
        </w:rPr>
      </w:pPr>
      <w:r>
        <w:rPr>
          <w:rFonts w:hint="eastAsia"/>
          <w:color w:val="auto"/>
        </w:rPr>
        <w:t>具体要求：提供</w:t>
      </w:r>
      <w:r>
        <w:rPr>
          <w:rFonts w:hint="eastAsia"/>
          <w:color w:val="auto"/>
          <w:lang w:eastAsia="zh-CN"/>
        </w:rPr>
        <w:t>近半年任意三个月的财务报表，</w:t>
      </w:r>
      <w:r>
        <w:rPr>
          <w:rFonts w:hint="eastAsia"/>
          <w:color w:val="auto"/>
        </w:rPr>
        <w:t>企业提供的财务报表（含资产负债表、利润及利润分配表、现金流量表和财务报表附注）；（新成立的公司</w:t>
      </w:r>
      <w:r>
        <w:rPr>
          <w:rFonts w:hint="eastAsia"/>
          <w:color w:val="auto"/>
          <w:lang w:val="en-US" w:eastAsia="zh-CN"/>
        </w:rPr>
        <w:t>提供三个月财务报表或者银行资信证明，</w:t>
      </w:r>
      <w:r>
        <w:rPr>
          <w:rFonts w:hint="eastAsia" w:ascii="Calibri" w:hAnsi="Calibri" w:eastAsia="宋体" w:cs="Times New Roman"/>
          <w:color w:val="auto"/>
          <w:kern w:val="2"/>
          <w:sz w:val="24"/>
          <w:szCs w:val="24"/>
          <w:lang w:val="en-US" w:eastAsia="zh-CN" w:bidi="ar-SA"/>
        </w:rPr>
        <w:t>新成立不足一个月的公司可以不提供</w:t>
      </w:r>
      <w:r>
        <w:rPr>
          <w:rFonts w:hint="eastAsia"/>
          <w:color w:val="auto"/>
        </w:rPr>
        <w:t>）；</w:t>
      </w:r>
    </w:p>
    <w:p>
      <w:pPr>
        <w:pStyle w:val="17"/>
        <w:spacing w:before="0" w:beforeAutospacing="0" w:after="0" w:afterAutospacing="0" w:line="360" w:lineRule="auto"/>
        <w:ind w:firstLine="480" w:firstLineChars="200"/>
        <w:jc w:val="both"/>
        <w:rPr>
          <w:rFonts w:hint="eastAsia"/>
          <w:color w:val="auto"/>
        </w:rPr>
      </w:pPr>
      <w:r>
        <w:rPr>
          <w:rFonts w:hint="eastAsia" w:ascii="Calibri" w:hAnsi="Calibri" w:eastAsia="宋体" w:cs="Times New Roman"/>
          <w:color w:val="auto"/>
          <w:kern w:val="2"/>
          <w:sz w:val="24"/>
          <w:szCs w:val="24"/>
          <w:lang w:val="en-US" w:eastAsia="zh-CN" w:bidi="ar-SA"/>
        </w:rPr>
        <w:t>（3）具有履行合同所必需的设备和专业技术能力：提供具备履行合同所必需的设备和专业技术能力的承诺函（格式自拟）</w:t>
      </w:r>
    </w:p>
    <w:p>
      <w:pPr>
        <w:pStyle w:val="11"/>
        <w:spacing w:line="560" w:lineRule="exact"/>
        <w:ind w:firstLine="480" w:firstLineChars="2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（4）具有依法缴纳税收和社会保障资金的良好记录。</w:t>
      </w:r>
    </w:p>
    <w:p>
      <w:pPr>
        <w:pStyle w:val="11"/>
        <w:spacing w:line="560" w:lineRule="exact"/>
        <w:ind w:firstLine="240" w:firstLineChars="1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具体要求：提供近半年任意三个月依法缴纳税收及社保的有效证明材料，新成立不足一个月的公司纳税，社保可以不提供；</w:t>
      </w:r>
    </w:p>
    <w:p>
      <w:pPr>
        <w:pStyle w:val="11"/>
        <w:spacing w:line="560" w:lineRule="exact"/>
        <w:ind w:firstLine="480" w:firstLineChars="200"/>
        <w:rPr>
          <w:rFonts w:hint="eastAsia" w:ascii="Calibri" w:hAnsi="Calibri" w:eastAsia="宋体" w:cs="Times New Roman"/>
          <w:color w:val="auto"/>
          <w:kern w:val="2"/>
          <w:sz w:val="24"/>
          <w:szCs w:val="24"/>
          <w:lang w:val="en-US" w:eastAsia="zh-CN" w:bidi="ar-SA"/>
        </w:rPr>
      </w:pPr>
      <w:r>
        <w:rPr>
          <w:rFonts w:hint="eastAsia" w:hAnsi="宋体" w:cs="宋体"/>
          <w:color w:val="auto"/>
          <w:sz w:val="24"/>
          <w:shd w:val="clear" w:color="auto" w:fill="FFFFFF"/>
          <w:lang w:eastAsia="zh-CN"/>
        </w:rPr>
        <w:t>（</w:t>
      </w:r>
      <w:r>
        <w:rPr>
          <w:rFonts w:hint="eastAsia" w:hAnsi="宋体" w:cs="宋体"/>
          <w:color w:val="auto"/>
          <w:sz w:val="24"/>
          <w:shd w:val="clear" w:color="auto" w:fill="FFFFFF"/>
          <w:lang w:val="en-US" w:eastAsia="zh-CN"/>
        </w:rPr>
        <w:t>5）</w:t>
      </w:r>
      <w:r>
        <w:rPr>
          <w:rFonts w:hint="eastAsia" w:ascii="宋体" w:hAnsi="宋体" w:cs="宋体"/>
          <w:color w:val="auto"/>
          <w:sz w:val="24"/>
          <w:shd w:val="clear" w:color="auto" w:fill="FFFFFF"/>
          <w:lang w:eastAsia="zh-CN"/>
        </w:rPr>
        <w:t>参加本次政府采购活动前三年内，在经营活动中没有违法违规记录：提供参加政府采购活动前 3 年内在经营活动中没有重大违法记录的书面声明（</w:t>
      </w:r>
      <w:r>
        <w:rPr>
          <w:rFonts w:hint="eastAsia" w:hAnsi="宋体" w:cs="宋体"/>
          <w:color w:val="auto"/>
          <w:sz w:val="24"/>
          <w:shd w:val="clear" w:color="auto" w:fill="FFFFFF"/>
          <w:lang w:eastAsia="zh-CN"/>
        </w:rPr>
        <w:t>格式自拟</w:t>
      </w:r>
      <w:r>
        <w:rPr>
          <w:rFonts w:hint="eastAsia" w:ascii="宋体" w:hAnsi="宋体" w:cs="宋体"/>
          <w:color w:val="auto"/>
          <w:sz w:val="24"/>
          <w:shd w:val="clear" w:color="auto" w:fill="FFFFFF"/>
          <w:lang w:eastAsia="zh-CN"/>
        </w:rPr>
        <w:t>）</w:t>
      </w:r>
    </w:p>
    <w:p>
      <w:pPr>
        <w:pStyle w:val="38"/>
        <w:numPr>
          <w:ilvl w:val="0"/>
          <w:numId w:val="0"/>
        </w:numPr>
        <w:tabs>
          <w:tab w:val="left" w:pos="1559"/>
        </w:tabs>
        <w:spacing w:before="91" w:after="0" w:line="240" w:lineRule="auto"/>
        <w:ind w:right="0" w:rightChars="0" w:firstLine="480" w:firstLineChars="200"/>
        <w:jc w:val="left"/>
        <w:rPr>
          <w:rFonts w:hint="eastAsia" w:hAnsi="宋体" w:cs="宋体"/>
          <w:color w:val="auto"/>
          <w:kern w:val="0"/>
          <w:sz w:val="24"/>
        </w:rPr>
      </w:pPr>
      <w:r>
        <w:rPr>
          <w:rFonts w:hint="eastAsia" w:ascii="Calibri" w:hAnsi="Calibri" w:eastAsia="宋体" w:cs="Times New Roman"/>
          <w:color w:val="auto"/>
          <w:kern w:val="2"/>
          <w:sz w:val="24"/>
          <w:szCs w:val="24"/>
          <w:lang w:val="en-US" w:eastAsia="zh-CN" w:bidi="ar-SA"/>
        </w:rPr>
        <w:t>（</w:t>
      </w:r>
      <w:r>
        <w:rPr>
          <w:rFonts w:hint="eastAsia" w:ascii="Calibri" w:hAnsi="Calibri" w:cs="Times New Roman"/>
          <w:color w:val="auto"/>
          <w:kern w:val="2"/>
          <w:sz w:val="24"/>
          <w:szCs w:val="24"/>
          <w:lang w:val="en-US" w:eastAsia="zh-CN" w:bidi="ar-SA"/>
        </w:rPr>
        <w:t>6</w:t>
      </w:r>
      <w:r>
        <w:rPr>
          <w:rFonts w:hint="eastAsia" w:ascii="Calibri" w:hAnsi="Calibri" w:eastAsia="宋体" w:cs="Times New Roman"/>
          <w:color w:val="auto"/>
          <w:kern w:val="2"/>
          <w:sz w:val="24"/>
          <w:szCs w:val="24"/>
          <w:lang w:val="en-US" w:eastAsia="zh-CN" w:bidi="ar-SA"/>
        </w:rPr>
        <w:t>）</w:t>
      </w:r>
      <w:r>
        <w:rPr>
          <w:rFonts w:hint="eastAsia" w:cs="宋体"/>
          <w:color w:val="auto"/>
          <w:kern w:val="0"/>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sz w:val="24"/>
          <w:szCs w:val="24"/>
        </w:rPr>
        <w:t>www.creditchina.gov.cn</w:t>
      </w:r>
      <w:r>
        <w:rPr>
          <w:rFonts w:hint="eastAsia" w:cs="宋体"/>
          <w:color w:val="auto"/>
          <w:kern w:val="0"/>
          <w:sz w:val="24"/>
          <w:szCs w:val="24"/>
        </w:rPr>
        <w:fldChar w:fldCharType="end"/>
      </w:r>
      <w:r>
        <w:rPr>
          <w:rFonts w:hint="eastAsia" w:cs="宋体"/>
          <w:color w:val="auto"/>
          <w:kern w:val="0"/>
          <w:sz w:val="24"/>
          <w:szCs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s="宋体"/>
          <w:color w:val="auto"/>
          <w:kern w:val="0"/>
          <w:sz w:val="24"/>
          <w:szCs w:val="24"/>
        </w:rPr>
        <w:t>http://www.ccgp.gov.cn/search/cr/</w:t>
      </w:r>
      <w:r>
        <w:rPr>
          <w:rFonts w:hint="eastAsia" w:cs="宋体"/>
          <w:color w:val="auto"/>
          <w:kern w:val="0"/>
          <w:sz w:val="24"/>
          <w:szCs w:val="24"/>
        </w:rPr>
        <w:fldChar w:fldCharType="end"/>
      </w:r>
      <w:r>
        <w:rPr>
          <w:rFonts w:hint="eastAsia" w:cs="宋体"/>
          <w:color w:val="auto"/>
          <w:kern w:val="0"/>
          <w:sz w:val="24"/>
          <w:szCs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w:t>
      </w:r>
      <w:r>
        <w:rPr>
          <w:rFonts w:hint="eastAsia" w:ascii="宋体" w:cs="宋体"/>
          <w:color w:val="auto"/>
          <w:kern w:val="0"/>
          <w:sz w:val="24"/>
          <w:szCs w:val="24"/>
        </w:rPr>
        <w:t>购买标书当日至开标前一天任一时间</w:t>
      </w:r>
      <w:r>
        <w:rPr>
          <w:rFonts w:hint="eastAsia" w:cs="宋体"/>
          <w:color w:val="auto"/>
          <w:kern w:val="0"/>
          <w:sz w:val="24"/>
          <w:szCs w:val="24"/>
        </w:rPr>
        <w:t>；信用信息查询记录和证据留存方式：投标人提供查询记录截图（制作于标书内）</w:t>
      </w:r>
      <w:r>
        <w:rPr>
          <w:rFonts w:hint="eastAsia" w:hAnsi="宋体" w:cs="宋体"/>
          <w:color w:val="auto"/>
          <w:kern w:val="0"/>
          <w:sz w:val="24"/>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ascii="宋体" w:hAnsi="宋体" w:eastAsia="宋体" w:cs="宋体"/>
          <w:color w:val="auto"/>
          <w:sz w:val="24"/>
          <w:szCs w:val="24"/>
        </w:rPr>
      </w:pPr>
      <w:r>
        <w:rPr>
          <w:rFonts w:hint="eastAsia" w:ascii="Calibri" w:hAnsi="Calibri" w:eastAsia="宋体" w:cs="Times New Roman"/>
          <w:color w:val="auto"/>
          <w:kern w:val="2"/>
          <w:sz w:val="24"/>
          <w:szCs w:val="24"/>
          <w:lang w:val="en-US" w:eastAsia="zh-CN" w:bidi="ar-SA"/>
        </w:rPr>
        <w:t>（</w:t>
      </w:r>
      <w:r>
        <w:rPr>
          <w:rFonts w:hint="eastAsia" w:ascii="Calibri" w:hAnsi="Calibri" w:cs="Times New Roman"/>
          <w:color w:val="auto"/>
          <w:kern w:val="2"/>
          <w:sz w:val="24"/>
          <w:szCs w:val="24"/>
          <w:lang w:val="en-US" w:eastAsia="zh-CN" w:bidi="ar-SA"/>
        </w:rPr>
        <w:t>7</w:t>
      </w:r>
      <w:r>
        <w:rPr>
          <w:rFonts w:hint="eastAsia" w:ascii="Calibri" w:hAnsi="Calibri" w:eastAsia="宋体" w:cs="Times New Roman"/>
          <w:color w:val="auto"/>
          <w:kern w:val="2"/>
          <w:sz w:val="24"/>
          <w:szCs w:val="24"/>
          <w:lang w:val="en-US" w:eastAsia="zh-CN" w:bidi="ar-SA"/>
        </w:rPr>
        <w:t>）</w:t>
      </w:r>
      <w:r>
        <w:rPr>
          <w:rFonts w:hint="eastAsia" w:hAnsi="宋体" w:eastAsia="宋体" w:cs="宋体"/>
          <w:color w:val="auto"/>
          <w:sz w:val="24"/>
          <w:szCs w:val="24"/>
          <w:lang w:eastAsia="zh-CN"/>
        </w:rPr>
        <w:t>供应商</w:t>
      </w:r>
      <w:r>
        <w:rPr>
          <w:rFonts w:ascii="宋体" w:hAnsi="宋体" w:eastAsia="宋体" w:cs="宋体"/>
          <w:color w:val="auto"/>
          <w:sz w:val="24"/>
          <w:szCs w:val="24"/>
        </w:rPr>
        <w:t>为制造商的需提供医疗器械生产许可证，</w:t>
      </w:r>
      <w:r>
        <w:rPr>
          <w:rFonts w:hint="eastAsia" w:hAnsi="宋体" w:eastAsia="宋体" w:cs="宋体"/>
          <w:color w:val="auto"/>
          <w:sz w:val="24"/>
          <w:szCs w:val="24"/>
          <w:lang w:eastAsia="zh-CN"/>
        </w:rPr>
        <w:t>供应商</w:t>
      </w:r>
      <w:r>
        <w:rPr>
          <w:rFonts w:ascii="宋体" w:hAnsi="宋体" w:eastAsia="宋体" w:cs="宋体"/>
          <w:color w:val="auto"/>
          <w:sz w:val="24"/>
          <w:szCs w:val="24"/>
        </w:rPr>
        <w:t>为代理商的须提供医疗器械经营许可证或医疗器械经营许可备案证明；</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ascii="宋体" w:hAnsi="宋体" w:eastAsia="宋体" w:cs="宋体"/>
          <w:color w:val="auto"/>
          <w:sz w:val="24"/>
          <w:szCs w:val="24"/>
          <w:lang w:eastAsia="zh-CN"/>
        </w:rPr>
      </w:pPr>
      <w:r>
        <w:rPr>
          <w:rFonts w:hint="eastAsia" w:hAnsi="宋体" w:cs="宋体"/>
          <w:bCs/>
          <w:color w:val="auto"/>
          <w:sz w:val="24"/>
          <w:szCs w:val="24"/>
          <w:lang w:eastAsia="zh-CN"/>
        </w:rPr>
        <w:t>（</w:t>
      </w:r>
      <w:r>
        <w:rPr>
          <w:rFonts w:hint="eastAsia" w:hAnsi="宋体" w:cs="宋体"/>
          <w:bCs/>
          <w:color w:val="auto"/>
          <w:sz w:val="24"/>
          <w:szCs w:val="24"/>
          <w:lang w:val="en-US" w:eastAsia="zh-CN"/>
        </w:rPr>
        <w:t>8</w:t>
      </w:r>
      <w:r>
        <w:rPr>
          <w:rFonts w:hint="eastAsia" w:hAnsi="宋体" w:cs="宋体"/>
          <w:bCs/>
          <w:color w:val="auto"/>
          <w:sz w:val="24"/>
          <w:szCs w:val="24"/>
          <w:lang w:eastAsia="zh-CN"/>
        </w:rPr>
        <w:t>）</w:t>
      </w:r>
      <w:r>
        <w:rPr>
          <w:rFonts w:ascii="宋体" w:hAnsi="宋体" w:eastAsia="宋体" w:cs="宋体"/>
          <w:color w:val="auto"/>
          <w:sz w:val="24"/>
          <w:szCs w:val="24"/>
        </w:rPr>
        <w:t>投标产品为医疗器械的须提供医疗器械注册登记表</w:t>
      </w:r>
      <w:r>
        <w:rPr>
          <w:rFonts w:hint="eastAsia"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hAnsi="宋体" w:eastAsia="宋体" w:cs="宋体"/>
          <w:bCs/>
          <w:color w:val="auto"/>
          <w:sz w:val="24"/>
          <w:szCs w:val="24"/>
          <w:lang w:val="en-US" w:eastAsia="zh-CN"/>
        </w:rPr>
      </w:pPr>
      <w:r>
        <w:rPr>
          <w:rFonts w:hint="eastAsia" w:hAnsi="宋体" w:cs="宋体"/>
          <w:bCs/>
          <w:color w:val="auto"/>
          <w:sz w:val="24"/>
          <w:szCs w:val="24"/>
          <w:lang w:val="en-US" w:eastAsia="zh-CN"/>
        </w:rPr>
        <w:t>（9）</w:t>
      </w:r>
      <w:r>
        <w:rPr>
          <w:rFonts w:hint="eastAsia"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包</w:t>
      </w:r>
      <w:r>
        <w:rPr>
          <w:rFonts w:ascii="宋体" w:hAnsi="宋体" w:eastAsia="宋体" w:cs="宋体"/>
          <w:color w:val="auto"/>
          <w:sz w:val="24"/>
          <w:szCs w:val="24"/>
        </w:rPr>
        <w:t>还需提供CT制造商或其中国境内总代理商出具的针对本项目的销售授权书及售后服务承诺函</w:t>
      </w:r>
      <w:r>
        <w:rPr>
          <w:rFonts w:hint="eastAsia" w:hAnsi="宋体" w:eastAsia="宋体" w:cs="宋体"/>
          <w:color w:val="C00000"/>
          <w:sz w:val="24"/>
          <w:szCs w:val="24"/>
          <w:highlight w:val="none"/>
          <w:lang w:eastAsia="zh-CN"/>
        </w:rPr>
        <w:t>原件</w:t>
      </w:r>
    </w:p>
    <w:p>
      <w:pPr>
        <w:pStyle w:val="38"/>
        <w:numPr>
          <w:ilvl w:val="0"/>
          <w:numId w:val="0"/>
        </w:numPr>
        <w:tabs>
          <w:tab w:val="left" w:pos="1559"/>
        </w:tabs>
        <w:spacing w:before="91" w:after="0" w:line="240" w:lineRule="auto"/>
        <w:ind w:right="0" w:rightChars="0" w:firstLine="480" w:firstLineChars="200"/>
        <w:jc w:val="left"/>
        <w:rPr>
          <w:rFonts w:hint="eastAsia" w:hAnsi="宋体" w:cs="宋体"/>
          <w:color w:val="auto"/>
          <w:kern w:val="0"/>
          <w:sz w:val="24"/>
        </w:rPr>
      </w:pP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谈判响应供应商（全称并加盖公章）：</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谈判响应供应商代表签字：</w:t>
      </w:r>
      <w:r>
        <w:rPr>
          <w:rFonts w:hint="eastAsia" w:asciiTheme="minorEastAsia" w:hAnsiTheme="minorEastAsia" w:cstheme="minorEastAsia"/>
          <w:color w:val="auto"/>
          <w:sz w:val="24"/>
          <w:szCs w:val="24"/>
          <w:u w:val="single"/>
        </w:rPr>
        <w:t xml:space="preserve">                         </w:t>
      </w:r>
    </w:p>
    <w:p>
      <w:pPr>
        <w:spacing w:line="360" w:lineRule="auto"/>
        <w:rPr>
          <w:rFonts w:hint="eastAsia" w:ascii="宋体" w:hAnsi="宋体"/>
          <w:b/>
          <w:color w:val="auto"/>
          <w:sz w:val="32"/>
          <w:szCs w:val="32"/>
          <w:lang w:eastAsia="zh-CN"/>
        </w:rPr>
      </w:pPr>
      <w:r>
        <w:rPr>
          <w:rFonts w:hint="eastAsia" w:asciiTheme="minorEastAsia" w:hAnsiTheme="minorEastAsia" w:cstheme="minorEastAsia"/>
          <w:color w:val="auto"/>
          <w:sz w:val="24"/>
          <w:szCs w:val="24"/>
        </w:rPr>
        <w:t xml:space="preserve">     日      期：</w:t>
      </w:r>
      <w:r>
        <w:rPr>
          <w:rFonts w:hint="eastAsia" w:asciiTheme="minorEastAsia" w:hAnsiTheme="minorEastAsia" w:cstheme="minorEastAsia"/>
          <w:color w:val="auto"/>
          <w:sz w:val="24"/>
          <w:szCs w:val="24"/>
          <w:u w:val="single"/>
        </w:rPr>
        <w:t xml:space="preserve">                                </w:t>
      </w:r>
    </w:p>
    <w:p>
      <w:pPr>
        <w:jc w:val="center"/>
        <w:rPr>
          <w:rFonts w:hint="eastAsia" w:ascii="宋体" w:hAnsi="宋体"/>
          <w:b/>
          <w:color w:val="auto"/>
          <w:sz w:val="32"/>
          <w:szCs w:val="32"/>
          <w:lang w:eastAsia="zh-CN"/>
        </w:rPr>
      </w:pPr>
    </w:p>
    <w:p>
      <w:pPr>
        <w:jc w:val="center"/>
        <w:rPr>
          <w:rFonts w:hint="eastAsia" w:ascii="宋体" w:hAnsi="宋体"/>
          <w:b/>
          <w:color w:val="auto"/>
          <w:sz w:val="32"/>
          <w:szCs w:val="32"/>
          <w:lang w:eastAsia="zh-CN"/>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center"/>
        <w:rPr>
          <w:rFonts w:hint="eastAsia" w:ascii="宋体" w:hAnsi="宋体"/>
          <w:b/>
          <w:color w:val="000000" w:themeColor="text1"/>
          <w:sz w:val="32"/>
          <w:szCs w:val="32"/>
          <w:lang w:eastAsia="zh-CN"/>
          <w14:textFill>
            <w14:solidFill>
              <w14:schemeClr w14:val="tx1"/>
            </w14:solidFill>
          </w14:textFill>
        </w:rPr>
      </w:pPr>
    </w:p>
    <w:p>
      <w:pPr>
        <w:jc w:val="both"/>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pStyle w:val="14"/>
        <w:rPr>
          <w:rFonts w:hint="eastAsia" w:ascii="宋体" w:hAnsi="宋体"/>
          <w:b/>
          <w:color w:val="000000" w:themeColor="text1"/>
          <w:sz w:val="32"/>
          <w:szCs w:val="32"/>
          <w:lang w:eastAsia="zh-CN"/>
          <w14:textFill>
            <w14:solidFill>
              <w14:schemeClr w14:val="tx1"/>
            </w14:solidFill>
          </w14:textFill>
        </w:rPr>
      </w:pP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九</w:t>
      </w:r>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（2）质量保证承诺书</w:t>
      </w:r>
    </w:p>
    <w:p>
      <w:pPr>
        <w:autoSpaceDE w:val="0"/>
        <w:autoSpaceDN w:val="0"/>
        <w:adjustRightInd w:val="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（3）按照国家验收标准执行</w:t>
      </w:r>
    </w:p>
    <w:p>
      <w:pPr>
        <w:autoSpaceDE w:val="0"/>
        <w:autoSpaceDN w:val="0"/>
        <w:adjustRightInd w:val="0"/>
        <w:ind w:left="482" w:hanging="482" w:hangingChars="200"/>
        <w:rPr>
          <w:rFonts w:asciiTheme="minorEastAsia" w:hAnsiTheme="minorEastAsia" w:cstheme="minorEastAsia"/>
          <w:b/>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pStyle w:val="14"/>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谈判响应供应商（盖章）：</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autoSpaceDE w:val="0"/>
        <w:autoSpaceDN w:val="0"/>
        <w:adjustRightInd w:val="0"/>
        <w:jc w:val="center"/>
        <w:rPr>
          <w:rFonts w:asciiTheme="minorEastAsia" w:hAnsiTheme="minorEastAsia" w:cstheme="minorEastAsia"/>
          <w:color w:val="000000" w:themeColor="text1"/>
          <w:sz w:val="24"/>
          <w:szCs w:val="24"/>
          <w14:textFill>
            <w14:solidFill>
              <w14:schemeClr w14:val="tx1"/>
            </w14:solidFill>
          </w14:textFill>
        </w:rPr>
      </w:pPr>
    </w:p>
    <w:p>
      <w:pPr>
        <w:autoSpaceDE w:val="0"/>
        <w:autoSpaceDN w:val="0"/>
        <w:adjustRightInd w:val="0"/>
        <w:jc w:val="center"/>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法定代表（签字）：</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autoSpaceDE w:val="0"/>
        <w:autoSpaceDN w:val="0"/>
        <w:adjustRightInd w:val="0"/>
        <w:jc w:val="center"/>
        <w:rPr>
          <w:rFonts w:asciiTheme="minorEastAsia" w:hAnsiTheme="minorEastAsia" w:cstheme="minorEastAsia"/>
          <w:color w:val="000000" w:themeColor="text1"/>
          <w:sz w:val="24"/>
          <w:szCs w:val="24"/>
          <w:u w:val="single"/>
          <w14:textFill>
            <w14:solidFill>
              <w14:schemeClr w14:val="tx1"/>
            </w14:solidFill>
          </w14:textFill>
        </w:rPr>
      </w:pPr>
    </w:p>
    <w:p>
      <w:pPr>
        <w:ind w:firstLine="3000" w:firstLineChars="12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   年  月  日</w:t>
      </w: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14:textFill>
            <w14:solidFill>
              <w14:schemeClr w14:val="tx1"/>
            </w14:solidFill>
          </w14:textFill>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14:textFill>
            <w14:solidFill>
              <w14:schemeClr w14:val="tx1"/>
            </w14:solidFill>
          </w14:textFill>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14:textFill>
            <w14:solidFill>
              <w14:schemeClr w14:val="tx1"/>
            </w14:solidFill>
          </w14:textFill>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14:textFill>
            <w14:solidFill>
              <w14:schemeClr w14:val="tx1"/>
            </w14:solidFill>
          </w14:textFill>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14:textFill>
            <w14:solidFill>
              <w14:schemeClr w14:val="tx1"/>
            </w14:solidFill>
          </w14:textFill>
        </w:rPr>
      </w:pPr>
    </w:p>
    <w:p>
      <w:pPr>
        <w:spacing w:line="360" w:lineRule="auto"/>
        <w:jc w:val="center"/>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spacing w:line="360" w:lineRule="auto"/>
        <w:jc w:val="center"/>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spacing w:line="360" w:lineRule="auto"/>
        <w:jc w:val="center"/>
        <w:rPr>
          <w:rFonts w:asciiTheme="minorEastAsia" w:hAnsi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bCs/>
          <w:color w:val="000000" w:themeColor="text1"/>
          <w:sz w:val="36"/>
          <w:szCs w:val="36"/>
          <w:lang w:eastAsia="zh-CN"/>
          <w14:textFill>
            <w14:solidFill>
              <w14:schemeClr w14:val="tx1"/>
            </w14:solidFill>
          </w14:textFill>
        </w:rPr>
        <w:t>十</w:t>
      </w:r>
      <w:r>
        <w:rPr>
          <w:rFonts w:hint="eastAsia" w:asciiTheme="minorEastAsia" w:hAnsiTheme="minorEastAsia" w:cstheme="minorEastAsia"/>
          <w:b/>
          <w:color w:val="000000" w:themeColor="text1"/>
          <w:sz w:val="36"/>
          <w:szCs w:val="36"/>
          <w14:textFill>
            <w14:solidFill>
              <w14:schemeClr w14:val="tx1"/>
            </w14:solidFill>
          </w14:textFill>
        </w:rPr>
        <w:t xml:space="preserve"> 中小企业声明函（如有）</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本公司郑重声明，根据《政府采购促进中小企业发展暂行办法》（财库〔2011〕181号）的规定，本公司为</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（请填写：中型、小型、微型）企业。</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2.本公司参加</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单位的</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项目采购活动提供本企业制造的货物，由本企业承担工程、提供服务，或者提供其他</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14:textFill>
            <w14:solidFill>
              <w14:schemeClr w14:val="tx1"/>
            </w14:solidFill>
          </w14:textFill>
        </w:rPr>
      </w:pPr>
    </w:p>
    <w:p>
      <w:pPr>
        <w:spacing w:line="360" w:lineRule="auto"/>
        <w:ind w:firstLine="435"/>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p>
    <w:p>
      <w:pPr>
        <w:spacing w:line="360" w:lineRule="auto"/>
        <w:ind w:firstLine="2772" w:firstLineChars="1155"/>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谈判响应供应商名称（盖章）：</w:t>
      </w:r>
    </w:p>
    <w:p>
      <w:pPr>
        <w:spacing w:line="360" w:lineRule="auto"/>
        <w:ind w:firstLine="435"/>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日   期：</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附：1.《小型或微型企业产品价格清单》</w:t>
      </w:r>
    </w:p>
    <w:p>
      <w:pPr>
        <w:spacing w:line="360" w:lineRule="auto"/>
        <w:ind w:firstLine="435"/>
        <w:rPr>
          <w:rFonts w:ascii="宋体" w:hAnsi="宋体"/>
          <w:color w:val="000000" w:themeColor="text1"/>
          <w:sz w:val="24"/>
          <w:szCs w:val="24"/>
          <w14:textFill>
            <w14:solidFill>
              <w14:schemeClr w14:val="tx1"/>
            </w14:solidFill>
          </w14:textFill>
        </w:rPr>
      </w:pPr>
    </w:p>
    <w:p>
      <w:pPr>
        <w:pStyle w:val="14"/>
        <w:rPr>
          <w:rFonts w:hint="eastAsia" w:ascii="宋体" w:hAnsi="宋体"/>
          <w:sz w:val="24"/>
          <w:szCs w:val="24"/>
          <w:lang w:eastAsia="zh-CN"/>
        </w:rPr>
      </w:pPr>
      <w:r>
        <w:rPr>
          <w:rFonts w:hint="eastAsia" w:ascii="宋体" w:hAnsi="宋体"/>
          <w:sz w:val="24"/>
          <w:szCs w:val="24"/>
          <w:lang w:eastAsia="zh-CN"/>
        </w:rPr>
        <w:t>附件</w:t>
      </w:r>
      <w:r>
        <w:rPr>
          <w:rFonts w:hint="eastAsia" w:ascii="宋体" w:hAnsi="宋体"/>
          <w:sz w:val="24"/>
          <w:szCs w:val="24"/>
          <w:lang w:val="en-US" w:eastAsia="zh-CN"/>
        </w:rPr>
        <w:t xml:space="preserve"> ：</w:t>
      </w:r>
      <w:r>
        <w:rPr>
          <w:rFonts w:hint="eastAsia" w:ascii="宋体" w:hAnsi="宋体"/>
          <w:sz w:val="24"/>
          <w:szCs w:val="24"/>
          <w:lang w:eastAsia="zh-CN"/>
        </w:rPr>
        <w:t>报价表格式</w:t>
      </w:r>
    </w:p>
    <w:p>
      <w:pPr>
        <w:pStyle w:val="14"/>
        <w:rPr>
          <w:rFonts w:hint="eastAsia" w:ascii="宋体" w:hAnsi="宋体"/>
          <w:sz w:val="24"/>
          <w:szCs w:val="24"/>
          <w:lang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rPr>
      </w:pPr>
    </w:p>
    <w:p>
      <w:pPr>
        <w:pStyle w:val="14"/>
        <w:rPr>
          <w:rFonts w:hint="eastAsia" w:ascii="宋体" w:hAnsi="宋体"/>
          <w:sz w:val="24"/>
          <w:szCs w:val="24"/>
          <w:lang w:eastAsia="zh-CN"/>
        </w:rPr>
      </w:pPr>
      <w:r>
        <w:rPr>
          <w:rFonts w:hint="eastAsia" w:ascii="宋体" w:hAnsi="宋体"/>
          <w:sz w:val="24"/>
          <w:szCs w:val="24"/>
          <w:lang w:eastAsia="zh-CN"/>
        </w:rPr>
        <w:t>附件</w:t>
      </w:r>
      <w:r>
        <w:rPr>
          <w:rFonts w:hint="eastAsia" w:ascii="宋体" w:hAnsi="宋体"/>
          <w:sz w:val="24"/>
          <w:szCs w:val="24"/>
          <w:lang w:val="en-US" w:eastAsia="zh-CN"/>
        </w:rPr>
        <w:t xml:space="preserve"> ：</w:t>
      </w:r>
      <w:r>
        <w:rPr>
          <w:rFonts w:hint="eastAsia" w:ascii="宋体" w:hAnsi="宋体"/>
          <w:sz w:val="24"/>
          <w:szCs w:val="24"/>
          <w:lang w:eastAsia="zh-CN"/>
        </w:rPr>
        <w:t>报价表格式</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黑体" w:hAnsi="黑体" w:eastAsia="黑体" w:cs="黑体"/>
          <w:snapToGrid/>
          <w:sz w:val="32"/>
          <w:szCs w:val="32"/>
          <w:lang w:eastAsia="zh-CN"/>
        </w:rPr>
      </w:pPr>
      <w:r>
        <w:rPr>
          <w:rFonts w:hint="eastAsia" w:ascii="黑体" w:hAnsi="黑体" w:eastAsia="黑体" w:cs="黑体"/>
          <w:snapToGrid/>
          <w:sz w:val="32"/>
          <w:szCs w:val="32"/>
        </w:rPr>
        <w:t>报价表</w:t>
      </w:r>
      <w:r>
        <w:rPr>
          <w:rFonts w:hint="eastAsia" w:ascii="黑体" w:hAnsi="黑体" w:eastAsia="黑体" w:cs="黑体"/>
          <w:snapToGrid/>
          <w:sz w:val="32"/>
          <w:szCs w:val="32"/>
          <w:lang w:eastAsia="zh-CN"/>
        </w:rPr>
        <w:t>（二次</w:t>
      </w:r>
      <w:r>
        <w:rPr>
          <w:rFonts w:hint="eastAsia" w:ascii="黑体" w:hAnsi="黑体" w:eastAsia="黑体" w:cs="黑体"/>
          <w:snapToGrid/>
          <w:sz w:val="32"/>
          <w:szCs w:val="32"/>
        </w:rPr>
        <w:t>报价</w:t>
      </w:r>
      <w:r>
        <w:rPr>
          <w:rFonts w:hint="eastAsia" w:ascii="黑体" w:hAnsi="黑体" w:eastAsia="黑体" w:cs="黑体"/>
          <w:snapToGrid/>
          <w:sz w:val="32"/>
          <w:szCs w:val="32"/>
          <w:lang w:eastAsia="zh-CN"/>
        </w:rPr>
        <w:t>）</w:t>
      </w:r>
    </w:p>
    <w:p>
      <w:pPr>
        <w:pStyle w:val="2"/>
        <w:rPr>
          <w:rFonts w:hint="eastAsia"/>
          <w:lang w:eastAsia="zh-CN"/>
        </w:rPr>
      </w:pPr>
    </w:p>
    <w:p>
      <w:pPr>
        <w:ind w:firstLine="2160" w:firstLineChars="900"/>
        <w:jc w:val="center"/>
        <w:rPr>
          <w:rFonts w:hint="default" w:ascii="黑体" w:hAnsi="黑体" w:eastAsia="黑体" w:cs="黑体"/>
          <w:snapToGrid/>
          <w:sz w:val="24"/>
          <w:szCs w:val="24"/>
          <w:lang w:val="en-US" w:eastAsia="zh-CN"/>
        </w:rPr>
      </w:pPr>
      <w:r>
        <w:rPr>
          <w:rFonts w:hint="eastAsia" w:ascii="黑体" w:hAnsi="黑体" w:eastAsia="黑体" w:cs="黑体"/>
          <w:snapToGrid/>
          <w:sz w:val="24"/>
          <w:szCs w:val="24"/>
          <w:lang w:val="en-US" w:eastAsia="zh-CN"/>
        </w:rPr>
        <w:t xml:space="preserve">                       </w:t>
      </w:r>
      <w:r>
        <w:rPr>
          <w:rFonts w:hint="eastAsia" w:asciiTheme="minorEastAsia" w:hAnsiTheme="minorEastAsia" w:cstheme="minorEastAsia"/>
          <w:b/>
          <w:bCs/>
          <w:color w:val="000000" w:themeColor="text1"/>
          <w:sz w:val="24"/>
          <w:szCs w:val="24"/>
          <w14:textFill>
            <w14:solidFill>
              <w14:schemeClr w14:val="tx1"/>
            </w14:solidFill>
          </w14:textFill>
        </w:rPr>
        <w:t>价格单位：人民币元</w:t>
      </w:r>
    </w:p>
    <w:tbl>
      <w:tblPr>
        <w:tblStyle w:val="19"/>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28" w:type="dxa"/>
            <w:noWrap w:val="0"/>
            <w:vAlign w:val="center"/>
          </w:tcPr>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napToGrid/>
                <w:sz w:val="24"/>
                <w:szCs w:val="24"/>
                <w:vertAlign w:val="baseline"/>
              </w:rPr>
            </w:pPr>
            <w:r>
              <w:rPr>
                <w:rFonts w:hint="default" w:ascii="宋体" w:hAnsi="宋体"/>
                <w:snapToGrid/>
                <w:sz w:val="24"/>
                <w:szCs w:val="24"/>
              </w:rPr>
              <w:t>供应商名称</w:t>
            </w:r>
          </w:p>
        </w:tc>
        <w:tc>
          <w:tcPr>
            <w:tcW w:w="6532" w:type="dxa"/>
            <w:noWrap w:val="0"/>
            <w:vAlign w:val="center"/>
          </w:tcPr>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napToGri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2028" w:type="dxa"/>
            <w:noWrap w:val="0"/>
            <w:vAlign w:val="center"/>
          </w:tcPr>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napToGrid/>
                <w:sz w:val="24"/>
                <w:szCs w:val="24"/>
                <w:vertAlign w:val="baseline"/>
              </w:rPr>
            </w:pPr>
            <w:r>
              <w:rPr>
                <w:rFonts w:hint="eastAsia" w:ascii="宋体" w:hAnsi="宋体"/>
                <w:snapToGrid/>
                <w:sz w:val="24"/>
                <w:szCs w:val="24"/>
                <w:lang w:eastAsia="zh-CN"/>
              </w:rPr>
              <w:t>谈判</w:t>
            </w:r>
            <w:r>
              <w:rPr>
                <w:rFonts w:hint="default" w:ascii="宋体" w:hAnsi="宋体"/>
                <w:snapToGrid/>
                <w:sz w:val="24"/>
                <w:szCs w:val="24"/>
              </w:rPr>
              <w:t>报价</w:t>
            </w:r>
          </w:p>
        </w:tc>
        <w:tc>
          <w:tcPr>
            <w:tcW w:w="6532" w:type="dxa"/>
            <w:noWrap w:val="0"/>
            <w:vAlign w:val="center"/>
          </w:tcPr>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default" w:ascii="宋体" w:hAnsi="宋体"/>
                <w:snapToGrid/>
                <w:sz w:val="24"/>
                <w:szCs w:val="24"/>
                <w:lang w:val="en-US" w:eastAsia="zh-CN"/>
              </w:rPr>
            </w:pPr>
            <w:r>
              <w:rPr>
                <w:rFonts w:hint="eastAsia" w:ascii="宋体" w:hAnsi="宋体"/>
                <w:snapToGrid/>
                <w:sz w:val="24"/>
                <w:szCs w:val="24"/>
                <w:lang w:eastAsia="zh-CN"/>
              </w:rPr>
              <w:t>（</w:t>
            </w:r>
            <w:r>
              <w:rPr>
                <w:rFonts w:hint="default" w:ascii="宋体" w:hAnsi="宋体"/>
                <w:snapToGrid/>
                <w:sz w:val="24"/>
                <w:szCs w:val="24"/>
              </w:rPr>
              <w:t>大写</w:t>
            </w:r>
            <w:r>
              <w:rPr>
                <w:rFonts w:hint="eastAsia" w:ascii="宋体" w:hAnsi="宋体"/>
                <w:snapToGrid/>
                <w:sz w:val="24"/>
                <w:szCs w:val="24"/>
                <w:lang w:eastAsia="zh-CN"/>
              </w:rPr>
              <w:t>）</w:t>
            </w:r>
            <w:r>
              <w:rPr>
                <w:rFonts w:hint="eastAsia" w:ascii="宋体" w:hAnsi="宋体"/>
                <w:snapToGrid/>
                <w:sz w:val="24"/>
                <w:szCs w:val="24"/>
                <w:u w:val="none" w:color="auto"/>
                <w:lang w:val="en-US" w:eastAsia="zh-CN"/>
              </w:rPr>
              <w:t xml:space="preserve">           </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snapToGrid/>
                <w:sz w:val="24"/>
                <w:szCs w:val="24"/>
                <w:vertAlign w:val="baseline"/>
              </w:rPr>
            </w:pPr>
            <w:r>
              <w:rPr>
                <w:rFonts w:hint="eastAsia" w:ascii="宋体" w:hAnsi="宋体"/>
                <w:snapToGrid/>
                <w:sz w:val="24"/>
                <w:szCs w:val="24"/>
                <w:lang w:val="en-US" w:eastAsia="zh-CN"/>
              </w:rPr>
              <w:t xml:space="preserve">    </w:t>
            </w:r>
            <w:r>
              <w:rPr>
                <w:rFonts w:hint="eastAsia" w:ascii="宋体" w:hAnsi="宋体"/>
                <w:snapToGrid/>
                <w:sz w:val="24"/>
                <w:szCs w:val="24"/>
                <w:lang w:eastAsia="zh-CN"/>
              </w:rPr>
              <w:t>（</w:t>
            </w:r>
            <w:r>
              <w:rPr>
                <w:rFonts w:hint="default" w:ascii="宋体" w:hAnsi="宋体"/>
                <w:snapToGrid/>
                <w:sz w:val="24"/>
                <w:szCs w:val="24"/>
              </w:rPr>
              <w:t>小写</w:t>
            </w:r>
            <w:r>
              <w:rPr>
                <w:rFonts w:hint="eastAsia" w:ascii="宋体" w:hAnsi="宋体"/>
                <w:snapToGrid/>
                <w:sz w:val="24"/>
                <w:szCs w:val="24"/>
                <w:lang w:eastAsia="zh-CN"/>
              </w:rPr>
              <w:t>）</w:t>
            </w:r>
            <w:r>
              <w:rPr>
                <w:rFonts w:hint="eastAsia" w:ascii="宋体" w:hAnsi="宋体"/>
                <w:snapToGrid/>
                <w:sz w:val="24"/>
                <w:szCs w:val="24"/>
                <w:u w:val="none" w:color="auto"/>
                <w:lang w:val="en-US" w:eastAsia="zh-CN"/>
              </w:rPr>
              <w:t xml:space="preserve">                   </w:t>
            </w:r>
            <w:r>
              <w:rPr>
                <w:rFonts w:hint="eastAsia" w:ascii="宋体" w:hAnsi="宋体"/>
                <w:snapToGrid/>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3" w:hRule="atLeast"/>
        </w:trPr>
        <w:tc>
          <w:tcPr>
            <w:tcW w:w="2028" w:type="dxa"/>
            <w:noWrap w:val="0"/>
            <w:vAlign w:val="center"/>
          </w:tcPr>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napToGrid/>
                <w:sz w:val="24"/>
                <w:szCs w:val="24"/>
                <w:vertAlign w:val="baseline"/>
              </w:rPr>
            </w:pPr>
            <w:r>
              <w:rPr>
                <w:rFonts w:hint="default" w:ascii="宋体" w:hAnsi="宋体"/>
                <w:snapToGrid/>
                <w:sz w:val="24"/>
                <w:szCs w:val="24"/>
              </w:rPr>
              <w:t>其他</w:t>
            </w:r>
          </w:p>
        </w:tc>
        <w:tc>
          <w:tcPr>
            <w:tcW w:w="6532" w:type="dxa"/>
            <w:noWrap w:val="0"/>
            <w:vAlign w:val="center"/>
          </w:tcPr>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napToGrid/>
                <w:sz w:val="24"/>
                <w:szCs w:val="24"/>
                <w:vertAlign w:val="baseline"/>
              </w:rPr>
            </w:pPr>
          </w:p>
        </w:tc>
      </w:tr>
    </w:tbl>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snapToGrid/>
          <w:sz w:val="24"/>
          <w:szCs w:val="24"/>
        </w:rPr>
      </w:pP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snapToGrid/>
          <w:sz w:val="24"/>
          <w:szCs w:val="24"/>
          <w:lang w:eastAsia="zh-CN"/>
        </w:rPr>
      </w:pPr>
      <w:r>
        <w:rPr>
          <w:rFonts w:hint="eastAsia" w:asciiTheme="minorEastAsia" w:hAnsiTheme="minorEastAsia" w:cstheme="minorEastAsia"/>
          <w:color w:val="000000" w:themeColor="text1"/>
          <w:sz w:val="24"/>
          <w:szCs w:val="24"/>
          <w14:textFill>
            <w14:solidFill>
              <w14:schemeClr w14:val="tx1"/>
            </w14:solidFill>
          </w14:textFill>
        </w:rPr>
        <w:t>谈判响应供应商</w:t>
      </w:r>
      <w:r>
        <w:rPr>
          <w:rFonts w:hint="eastAsia" w:ascii="宋体" w:hAnsi="宋体"/>
          <w:snapToGrid/>
          <w:sz w:val="24"/>
          <w:szCs w:val="24"/>
          <w:lang w:eastAsia="zh-CN"/>
        </w:rPr>
        <w:t>（</w:t>
      </w:r>
      <w:r>
        <w:rPr>
          <w:rFonts w:hint="default" w:ascii="宋体" w:hAnsi="宋体"/>
          <w:snapToGrid/>
          <w:sz w:val="24"/>
          <w:szCs w:val="24"/>
        </w:rPr>
        <w:t>加盖公章</w:t>
      </w:r>
      <w:r>
        <w:rPr>
          <w:rFonts w:hint="eastAsia" w:ascii="宋体" w:hAnsi="宋体"/>
          <w:snapToGrid/>
          <w:sz w:val="24"/>
          <w:szCs w:val="24"/>
          <w:lang w:eastAsia="zh-CN"/>
        </w:rPr>
        <w:t>）：</w:t>
      </w:r>
      <w:r>
        <w:rPr>
          <w:rFonts w:hint="default" w:ascii="宋体" w:hAnsi="宋体"/>
          <w:sz w:val="24"/>
          <w:szCs w:val="24"/>
        </w:rPr>
        <w:br w:type="textWrapping"/>
      </w:r>
      <w:r>
        <w:rPr>
          <w:rFonts w:hint="eastAsia" w:asciiTheme="minorEastAsia" w:hAnsiTheme="minorEastAsia" w:cstheme="minorEastAsia"/>
          <w:color w:val="000000" w:themeColor="text1"/>
          <w:sz w:val="24"/>
          <w:szCs w:val="24"/>
          <w14:textFill>
            <w14:solidFill>
              <w14:schemeClr w14:val="tx1"/>
            </w14:solidFill>
          </w14:textFill>
        </w:rPr>
        <w:t xml:space="preserve"> 谈判响应供应商</w:t>
      </w:r>
      <w:r>
        <w:rPr>
          <w:rFonts w:hint="eastAsia" w:asciiTheme="minorEastAsia" w:hAnsiTheme="minorEastAsia" w:cstheme="minorEastAsia"/>
          <w:color w:val="000000" w:themeColor="text1"/>
          <w:sz w:val="24"/>
          <w:szCs w:val="24"/>
          <w:lang w:eastAsia="zh-CN"/>
          <w14:textFill>
            <w14:solidFill>
              <w14:schemeClr w14:val="tx1"/>
            </w14:solidFill>
          </w14:textFill>
        </w:rPr>
        <w:t>代表</w:t>
      </w:r>
      <w:r>
        <w:rPr>
          <w:rFonts w:hint="eastAsia" w:ascii="宋体" w:hAnsi="宋体"/>
          <w:snapToGrid/>
          <w:sz w:val="24"/>
          <w:szCs w:val="24"/>
          <w:lang w:eastAsia="zh-CN"/>
        </w:rPr>
        <w:t>（</w:t>
      </w:r>
      <w:r>
        <w:rPr>
          <w:rFonts w:hint="default" w:ascii="宋体" w:hAnsi="宋体"/>
          <w:snapToGrid/>
          <w:sz w:val="24"/>
          <w:szCs w:val="24"/>
        </w:rPr>
        <w:t>签字</w:t>
      </w:r>
      <w:r>
        <w:rPr>
          <w:rFonts w:hint="eastAsia" w:ascii="宋体" w:hAnsi="宋体"/>
          <w:snapToGrid/>
          <w:sz w:val="24"/>
          <w:szCs w:val="24"/>
          <w:lang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宋体" w:hAnsi="宋体"/>
          <w:snapToGrid/>
          <w:sz w:val="24"/>
          <w:szCs w:val="24"/>
          <w:lang w:val="en-US" w:eastAsia="zh-CN"/>
        </w:rPr>
      </w:pPr>
      <w:r>
        <w:rPr>
          <w:rFonts w:hint="eastAsia" w:ascii="宋体" w:hAnsi="宋体"/>
          <w:snapToGrid/>
          <w:sz w:val="24"/>
          <w:szCs w:val="24"/>
          <w:lang w:eastAsia="zh-CN"/>
        </w:rPr>
        <w:t>日</w:t>
      </w:r>
      <w:r>
        <w:rPr>
          <w:rFonts w:hint="eastAsia" w:ascii="宋体" w:hAnsi="宋体"/>
          <w:snapToGrid/>
          <w:sz w:val="24"/>
          <w:szCs w:val="24"/>
          <w:lang w:val="en-US" w:eastAsia="zh-CN"/>
        </w:rPr>
        <w:t xml:space="preserve">    </w:t>
      </w:r>
      <w:r>
        <w:rPr>
          <w:rFonts w:hint="default" w:ascii="宋体" w:hAnsi="宋体"/>
          <w:snapToGrid/>
          <w:sz w:val="24"/>
          <w:szCs w:val="24"/>
        </w:rPr>
        <w:t>期</w:t>
      </w:r>
      <w:r>
        <w:rPr>
          <w:rFonts w:hint="eastAsia" w:ascii="宋体" w:hAnsi="宋体"/>
          <w:snapToGrid/>
          <w:sz w:val="24"/>
          <w:szCs w:val="24"/>
          <w:lang w:eastAsia="zh-CN"/>
        </w:rPr>
        <w:t>：</w:t>
      </w:r>
      <w:r>
        <w:rPr>
          <w:rFonts w:hint="eastAsia" w:ascii="宋体" w:hAnsi="宋体"/>
          <w:snapToGrid/>
          <w:sz w:val="24"/>
          <w:szCs w:val="24"/>
          <w:lang w:val="en-US" w:eastAsia="zh-CN"/>
        </w:rPr>
        <w:t xml:space="preserve">   </w:t>
      </w:r>
      <w:r>
        <w:rPr>
          <w:rFonts w:hint="default" w:ascii="宋体" w:hAnsi="宋体"/>
          <w:snapToGrid/>
          <w:sz w:val="24"/>
          <w:szCs w:val="24"/>
        </w:rPr>
        <w:t>年</w:t>
      </w:r>
      <w:r>
        <w:rPr>
          <w:rFonts w:hint="eastAsia" w:ascii="宋体" w:hAnsi="宋体"/>
          <w:snapToGrid/>
          <w:sz w:val="24"/>
          <w:szCs w:val="24"/>
          <w:lang w:val="en-US" w:eastAsia="zh-CN"/>
        </w:rPr>
        <w:t xml:space="preserve">   </w:t>
      </w:r>
      <w:r>
        <w:rPr>
          <w:rFonts w:hint="default" w:ascii="宋体" w:hAnsi="宋体"/>
          <w:snapToGrid/>
          <w:sz w:val="24"/>
          <w:szCs w:val="24"/>
        </w:rPr>
        <w:t>月</w:t>
      </w:r>
      <w:r>
        <w:rPr>
          <w:rFonts w:hint="eastAsia" w:ascii="宋体" w:hAnsi="宋体"/>
          <w:snapToGrid/>
          <w:sz w:val="24"/>
          <w:szCs w:val="24"/>
          <w:lang w:val="en-US" w:eastAsia="zh-CN"/>
        </w:rPr>
        <w:t xml:space="preserve">   </w:t>
      </w:r>
      <w:r>
        <w:rPr>
          <w:rFonts w:hint="default" w:ascii="宋体" w:hAnsi="宋体"/>
          <w:snapToGrid/>
          <w:sz w:val="24"/>
          <w:szCs w:val="24"/>
        </w:rPr>
        <w:t>日</w:t>
      </w:r>
      <w:r>
        <w:rPr>
          <w:rFonts w:hint="default" w:ascii="宋体" w:hAnsi="宋体"/>
          <w:sz w:val="24"/>
          <w:szCs w:val="24"/>
        </w:rPr>
        <w:br w:type="textWrapping"/>
      </w:r>
      <w:r>
        <w:rPr>
          <w:rFonts w:hint="default" w:ascii="宋体" w:hAnsi="宋体"/>
          <w:sz w:val="24"/>
          <w:szCs w:val="24"/>
        </w:rPr>
        <w:br w:type="textWrapping"/>
      </w:r>
      <w:r>
        <w:rPr>
          <w:rFonts w:hint="default" w:ascii="宋体" w:hAnsi="宋体"/>
          <w:snapToGrid/>
          <w:sz w:val="24"/>
          <w:szCs w:val="24"/>
        </w:rPr>
        <w:t>说明</w:t>
      </w:r>
      <w:r>
        <w:rPr>
          <w:rFonts w:hint="eastAsia" w:ascii="宋体" w:hAnsi="宋体"/>
          <w:snapToGrid/>
          <w:sz w:val="24"/>
          <w:szCs w:val="24"/>
          <w:lang w:eastAsia="zh-CN"/>
        </w:rPr>
        <w:t>：</w:t>
      </w:r>
      <w:r>
        <w:rPr>
          <w:rFonts w:hint="default" w:ascii="宋体" w:hAnsi="宋体"/>
          <w:snapToGrid/>
          <w:sz w:val="24"/>
          <w:szCs w:val="24"/>
        </w:rPr>
        <w:t>本表是经</w:t>
      </w:r>
      <w:r>
        <w:rPr>
          <w:rFonts w:hint="eastAsia" w:ascii="宋体" w:hAnsi="宋体"/>
          <w:snapToGrid/>
          <w:sz w:val="24"/>
          <w:szCs w:val="24"/>
          <w:lang w:eastAsia="zh-CN"/>
        </w:rPr>
        <w:t>谈判</w:t>
      </w:r>
      <w:r>
        <w:rPr>
          <w:rFonts w:hint="default" w:ascii="宋体" w:hAnsi="宋体"/>
          <w:snapToGrid/>
          <w:sz w:val="24"/>
          <w:szCs w:val="24"/>
        </w:rPr>
        <w:t>后供应商的</w:t>
      </w:r>
      <w:r>
        <w:rPr>
          <w:rFonts w:hint="eastAsia" w:ascii="宋体" w:hAnsi="宋体"/>
          <w:snapToGrid/>
          <w:sz w:val="24"/>
          <w:szCs w:val="24"/>
          <w:lang w:eastAsia="zh-CN"/>
        </w:rPr>
        <w:t>二次</w:t>
      </w:r>
      <w:r>
        <w:rPr>
          <w:rFonts w:hint="default" w:ascii="宋体" w:hAnsi="宋体"/>
          <w:snapToGrid/>
          <w:sz w:val="24"/>
          <w:szCs w:val="24"/>
        </w:rPr>
        <w:t>报价表，供应商不需要在响应性文件中附此表，而是自行准备加盖单位公章的空白报价表若干份，以便在</w:t>
      </w:r>
      <w:r>
        <w:rPr>
          <w:rFonts w:hint="eastAsia" w:ascii="宋体" w:hAnsi="宋体"/>
          <w:snapToGrid/>
          <w:sz w:val="24"/>
          <w:szCs w:val="24"/>
          <w:lang w:eastAsia="zh-CN"/>
        </w:rPr>
        <w:t>谈判</w:t>
      </w:r>
      <w:r>
        <w:rPr>
          <w:rFonts w:hint="default" w:ascii="宋体" w:hAnsi="宋体"/>
          <w:snapToGrid/>
          <w:sz w:val="24"/>
          <w:szCs w:val="24"/>
        </w:rPr>
        <w:t>小组规定的时间现场填写。</w:t>
      </w:r>
    </w:p>
    <w:p>
      <w:pPr>
        <w:rPr>
          <w:color w:val="000000" w:themeColor="text1"/>
          <w:sz w:val="24"/>
          <w:szCs w:val="24"/>
          <w14:textFill>
            <w14:solidFill>
              <w14:schemeClr w14:val="tx1"/>
            </w14:solidFill>
          </w14:textFill>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Kx4a8BAABM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Os396UOsMe0pYGIarv2Acx79EZ1Z9qDA5i8K&#10;IhjHTu9O3ZVDIiI/ms/m8wpDAmPjBfHZ6/MAMd1Jb0k2Ggo4vtJVvv0S0yF1TMnVnL/VxpQRGveP&#10;AzGzh2XuB47ZSsNqOApa+XaHenqcfEMdriYl5t5hY/OSjAaMxmo0NgH0uitblOv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1uKx4a8BAABM&#10;AwAADgAAAAAAAAABACAAAAAeAQAAZHJzL2Uyb0RvYy54bWxQSwUGAAAAAAYABgBZAQAAPwUAAAAA&#10;">
              <v:fill on="f" focussize="0,0"/>
              <v:stroke on="f"/>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mz7ABAABM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iTZs+wAQAA&#10;TAMAAA4AAAAAAAAAAQAgAAAAHgEAAGRycy9lMm9Eb2MueG1sUEsFBgAAAAAGAAYAWQEAAEAFAAAA&#10;AA==&#10;">
              <v:fill on="f" focussize="0,0"/>
              <v:stroke on="f"/>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B45F6"/>
    <w:multiLevelType w:val="singleLevel"/>
    <w:tmpl w:val="A8BB45F6"/>
    <w:lvl w:ilvl="0" w:tentative="0">
      <w:start w:val="1"/>
      <w:numFmt w:val="chineseCounting"/>
      <w:suff w:val="space"/>
      <w:lvlText w:val="第%1节"/>
      <w:lvlJc w:val="left"/>
      <w:rPr>
        <w:rFonts w:hint="eastAsia"/>
      </w:rPr>
    </w:lvl>
  </w:abstractNum>
  <w:abstractNum w:abstractNumId="1">
    <w:nsid w:val="021A484A"/>
    <w:multiLevelType w:val="multilevel"/>
    <w:tmpl w:val="021A48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1AD16A"/>
    <w:multiLevelType w:val="singleLevel"/>
    <w:tmpl w:val="071AD16A"/>
    <w:lvl w:ilvl="0" w:tentative="0">
      <w:start w:val="1"/>
      <w:numFmt w:val="decimal"/>
      <w:suff w:val="nothing"/>
      <w:lvlText w:val="（%1）"/>
      <w:lvlJc w:val="left"/>
    </w:lvl>
  </w:abstractNum>
  <w:abstractNum w:abstractNumId="3">
    <w:nsid w:val="08A964C2"/>
    <w:multiLevelType w:val="multilevel"/>
    <w:tmpl w:val="08A964C2"/>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F11655"/>
    <w:multiLevelType w:val="multilevel"/>
    <w:tmpl w:val="0DF116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90756C"/>
    <w:multiLevelType w:val="singleLevel"/>
    <w:tmpl w:val="1590756C"/>
    <w:lvl w:ilvl="0" w:tentative="0">
      <w:start w:val="20"/>
      <w:numFmt w:val="decimal"/>
      <w:lvlText w:val="%1."/>
      <w:lvlJc w:val="left"/>
      <w:pPr>
        <w:tabs>
          <w:tab w:val="left" w:pos="312"/>
        </w:tabs>
      </w:pPr>
    </w:lvl>
  </w:abstractNum>
  <w:abstractNum w:abstractNumId="6">
    <w:nsid w:val="260837C3"/>
    <w:multiLevelType w:val="multilevel"/>
    <w:tmpl w:val="260837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0E394E"/>
    <w:multiLevelType w:val="multilevel"/>
    <w:tmpl w:val="380E394E"/>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4D4A13"/>
    <w:multiLevelType w:val="multilevel"/>
    <w:tmpl w:val="494D4A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A303B5"/>
    <w:multiLevelType w:val="singleLevel"/>
    <w:tmpl w:val="59A303B5"/>
    <w:lvl w:ilvl="0" w:tentative="0">
      <w:start w:val="1"/>
      <w:numFmt w:val="chineseCounting"/>
      <w:suff w:val="space"/>
      <w:lvlText w:val="第%1章"/>
      <w:lvlJc w:val="left"/>
    </w:lvl>
  </w:abstractNum>
  <w:abstractNum w:abstractNumId="10">
    <w:nsid w:val="59E837DD"/>
    <w:multiLevelType w:val="singleLevel"/>
    <w:tmpl w:val="59E837DD"/>
    <w:lvl w:ilvl="0" w:tentative="0">
      <w:start w:val="6"/>
      <w:numFmt w:val="chineseCounting"/>
      <w:suff w:val="nothing"/>
      <w:lvlText w:val="%1、"/>
      <w:lvlJc w:val="left"/>
    </w:lvl>
  </w:abstractNum>
  <w:abstractNum w:abstractNumId="11">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DBD63E4"/>
    <w:multiLevelType w:val="multilevel"/>
    <w:tmpl w:val="5DBD63E4"/>
    <w:lvl w:ilvl="0" w:tentative="0">
      <w:start w:val="1"/>
      <w:numFmt w:val="japaneseCounting"/>
      <w:lvlText w:val="%1、"/>
      <w:lvlJc w:val="left"/>
      <w:pPr>
        <w:ind w:left="720" w:hanging="720"/>
      </w:pPr>
      <w:rPr>
        <w:rFonts w:hint="default" w:hAnsi="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FD24C80"/>
    <w:multiLevelType w:val="multilevel"/>
    <w:tmpl w:val="5FD24C8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39DA9E4"/>
    <w:multiLevelType w:val="singleLevel"/>
    <w:tmpl w:val="739DA9E4"/>
    <w:lvl w:ilvl="0" w:tentative="0">
      <w:start w:val="1"/>
      <w:numFmt w:val="decimal"/>
      <w:suff w:val="nothing"/>
      <w:lvlText w:val="（%1）"/>
      <w:lvlJc w:val="left"/>
    </w:lvl>
  </w:abstractNum>
  <w:abstractNum w:abstractNumId="15">
    <w:nsid w:val="79F3311C"/>
    <w:multiLevelType w:val="multilevel"/>
    <w:tmpl w:val="79F331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11"/>
  </w:num>
  <w:num w:numId="4">
    <w:abstractNumId w:val="5"/>
  </w:num>
  <w:num w:numId="5">
    <w:abstractNumId w:val="10"/>
  </w:num>
  <w:num w:numId="6">
    <w:abstractNumId w:val="0"/>
  </w:num>
  <w:num w:numId="7">
    <w:abstractNumId w:val="14"/>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0744D"/>
    <w:rsid w:val="00433324"/>
    <w:rsid w:val="00490EAC"/>
    <w:rsid w:val="00914CC7"/>
    <w:rsid w:val="00BD0879"/>
    <w:rsid w:val="00E04A96"/>
    <w:rsid w:val="010E599C"/>
    <w:rsid w:val="017153B4"/>
    <w:rsid w:val="02182AF8"/>
    <w:rsid w:val="02263FCC"/>
    <w:rsid w:val="026B3BDE"/>
    <w:rsid w:val="02FA5E2E"/>
    <w:rsid w:val="032209E0"/>
    <w:rsid w:val="034C586C"/>
    <w:rsid w:val="03C4568D"/>
    <w:rsid w:val="03F36A0E"/>
    <w:rsid w:val="0480138E"/>
    <w:rsid w:val="049217A3"/>
    <w:rsid w:val="0497022E"/>
    <w:rsid w:val="05433931"/>
    <w:rsid w:val="056D1584"/>
    <w:rsid w:val="05785B1A"/>
    <w:rsid w:val="05B233FF"/>
    <w:rsid w:val="05ED3F07"/>
    <w:rsid w:val="0612331E"/>
    <w:rsid w:val="062C658C"/>
    <w:rsid w:val="065361FA"/>
    <w:rsid w:val="06944D83"/>
    <w:rsid w:val="06A96237"/>
    <w:rsid w:val="06C335F8"/>
    <w:rsid w:val="06FD0982"/>
    <w:rsid w:val="070D7A23"/>
    <w:rsid w:val="07982E15"/>
    <w:rsid w:val="07E12060"/>
    <w:rsid w:val="08034F0B"/>
    <w:rsid w:val="083A3D4B"/>
    <w:rsid w:val="085F3A07"/>
    <w:rsid w:val="086A44BF"/>
    <w:rsid w:val="0875493D"/>
    <w:rsid w:val="08D56D3F"/>
    <w:rsid w:val="08EA3594"/>
    <w:rsid w:val="091C0B82"/>
    <w:rsid w:val="09C94522"/>
    <w:rsid w:val="09E10B2F"/>
    <w:rsid w:val="0A724BEE"/>
    <w:rsid w:val="0A897DF5"/>
    <w:rsid w:val="0AD0695E"/>
    <w:rsid w:val="0ADA512A"/>
    <w:rsid w:val="0ADB569E"/>
    <w:rsid w:val="0B164B1C"/>
    <w:rsid w:val="0B995E3A"/>
    <w:rsid w:val="0BAC1E78"/>
    <w:rsid w:val="0C783FCE"/>
    <w:rsid w:val="0CBE10BA"/>
    <w:rsid w:val="0D521937"/>
    <w:rsid w:val="0D6E1D07"/>
    <w:rsid w:val="0DB9681F"/>
    <w:rsid w:val="0DC81468"/>
    <w:rsid w:val="0DDC1289"/>
    <w:rsid w:val="0E68220D"/>
    <w:rsid w:val="0E6B4D3B"/>
    <w:rsid w:val="0EF74993"/>
    <w:rsid w:val="0F0D3ACA"/>
    <w:rsid w:val="0F8E581A"/>
    <w:rsid w:val="0FB5064E"/>
    <w:rsid w:val="0FD553FE"/>
    <w:rsid w:val="107075D0"/>
    <w:rsid w:val="10805C5B"/>
    <w:rsid w:val="11996D74"/>
    <w:rsid w:val="11AE14B2"/>
    <w:rsid w:val="12B90B79"/>
    <w:rsid w:val="12BB690B"/>
    <w:rsid w:val="12EB4DBC"/>
    <w:rsid w:val="13623309"/>
    <w:rsid w:val="13925200"/>
    <w:rsid w:val="144D760E"/>
    <w:rsid w:val="14597A1F"/>
    <w:rsid w:val="148A2903"/>
    <w:rsid w:val="14A352E5"/>
    <w:rsid w:val="15136EEB"/>
    <w:rsid w:val="158244D2"/>
    <w:rsid w:val="15C55852"/>
    <w:rsid w:val="161173A7"/>
    <w:rsid w:val="16975CD1"/>
    <w:rsid w:val="16DB2163"/>
    <w:rsid w:val="173E05CA"/>
    <w:rsid w:val="178C2181"/>
    <w:rsid w:val="17D16C9E"/>
    <w:rsid w:val="181A1A74"/>
    <w:rsid w:val="186150BC"/>
    <w:rsid w:val="18B85C48"/>
    <w:rsid w:val="191713BE"/>
    <w:rsid w:val="19900800"/>
    <w:rsid w:val="19B2673C"/>
    <w:rsid w:val="1A07051E"/>
    <w:rsid w:val="1A426DB2"/>
    <w:rsid w:val="1A6606A8"/>
    <w:rsid w:val="1A6A7E84"/>
    <w:rsid w:val="1A8774E7"/>
    <w:rsid w:val="1ACA077D"/>
    <w:rsid w:val="1B474031"/>
    <w:rsid w:val="1B913F82"/>
    <w:rsid w:val="1BE817FF"/>
    <w:rsid w:val="1C2C31C0"/>
    <w:rsid w:val="1C540F4F"/>
    <w:rsid w:val="1C6C61DC"/>
    <w:rsid w:val="1C9D20D0"/>
    <w:rsid w:val="1CA42636"/>
    <w:rsid w:val="1CE16C05"/>
    <w:rsid w:val="1CF36A0A"/>
    <w:rsid w:val="1DE9322C"/>
    <w:rsid w:val="1DF3117E"/>
    <w:rsid w:val="1E3F2E53"/>
    <w:rsid w:val="1EA447E3"/>
    <w:rsid w:val="1ED00B91"/>
    <w:rsid w:val="1ED972D8"/>
    <w:rsid w:val="1F445278"/>
    <w:rsid w:val="1FE36C2E"/>
    <w:rsid w:val="1FFE2FA2"/>
    <w:rsid w:val="206D22B6"/>
    <w:rsid w:val="20AD7F26"/>
    <w:rsid w:val="20B90A6F"/>
    <w:rsid w:val="20F315C0"/>
    <w:rsid w:val="212166A4"/>
    <w:rsid w:val="21375BD1"/>
    <w:rsid w:val="21490003"/>
    <w:rsid w:val="216D07DE"/>
    <w:rsid w:val="21827D2D"/>
    <w:rsid w:val="21BA63EC"/>
    <w:rsid w:val="22077070"/>
    <w:rsid w:val="2208724F"/>
    <w:rsid w:val="223E2C99"/>
    <w:rsid w:val="22D85054"/>
    <w:rsid w:val="22F97F1D"/>
    <w:rsid w:val="23557682"/>
    <w:rsid w:val="23A72ED9"/>
    <w:rsid w:val="252D460C"/>
    <w:rsid w:val="25524ACB"/>
    <w:rsid w:val="2579536C"/>
    <w:rsid w:val="257E4E1A"/>
    <w:rsid w:val="25AA3269"/>
    <w:rsid w:val="2620101A"/>
    <w:rsid w:val="26402144"/>
    <w:rsid w:val="26A76A4D"/>
    <w:rsid w:val="26BA47A1"/>
    <w:rsid w:val="27007F56"/>
    <w:rsid w:val="273A4F9D"/>
    <w:rsid w:val="27C13B0D"/>
    <w:rsid w:val="27E7758A"/>
    <w:rsid w:val="27FB5A8F"/>
    <w:rsid w:val="281828B6"/>
    <w:rsid w:val="28194165"/>
    <w:rsid w:val="283B7112"/>
    <w:rsid w:val="285D3BBB"/>
    <w:rsid w:val="28D531A9"/>
    <w:rsid w:val="292D3ACC"/>
    <w:rsid w:val="29522AC3"/>
    <w:rsid w:val="298A172D"/>
    <w:rsid w:val="29D9058E"/>
    <w:rsid w:val="2BD30593"/>
    <w:rsid w:val="2C0B2D67"/>
    <w:rsid w:val="2C52688E"/>
    <w:rsid w:val="2C5A6B61"/>
    <w:rsid w:val="2D326995"/>
    <w:rsid w:val="2D4C74FE"/>
    <w:rsid w:val="2DA0516A"/>
    <w:rsid w:val="2DC80B45"/>
    <w:rsid w:val="2DF96DBA"/>
    <w:rsid w:val="2E1C648C"/>
    <w:rsid w:val="2F075604"/>
    <w:rsid w:val="2F2C1717"/>
    <w:rsid w:val="2F5233C9"/>
    <w:rsid w:val="2F5C5C85"/>
    <w:rsid w:val="2FA8484F"/>
    <w:rsid w:val="2FAC6B3F"/>
    <w:rsid w:val="2FEF64C1"/>
    <w:rsid w:val="30D64883"/>
    <w:rsid w:val="30EB7927"/>
    <w:rsid w:val="314E1CDA"/>
    <w:rsid w:val="3188305D"/>
    <w:rsid w:val="31BD624F"/>
    <w:rsid w:val="31C15055"/>
    <w:rsid w:val="323C48C2"/>
    <w:rsid w:val="32651091"/>
    <w:rsid w:val="32764039"/>
    <w:rsid w:val="3298720D"/>
    <w:rsid w:val="329F2AC0"/>
    <w:rsid w:val="331617C0"/>
    <w:rsid w:val="336211C9"/>
    <w:rsid w:val="33792592"/>
    <w:rsid w:val="33C12FBE"/>
    <w:rsid w:val="33E00204"/>
    <w:rsid w:val="3477399D"/>
    <w:rsid w:val="34853D1D"/>
    <w:rsid w:val="34BE11C8"/>
    <w:rsid w:val="34F27AC3"/>
    <w:rsid w:val="352A215E"/>
    <w:rsid w:val="35737804"/>
    <w:rsid w:val="364D4277"/>
    <w:rsid w:val="36A10ECF"/>
    <w:rsid w:val="36BE4D19"/>
    <w:rsid w:val="37296B0A"/>
    <w:rsid w:val="375F115D"/>
    <w:rsid w:val="37890EAB"/>
    <w:rsid w:val="378C00B6"/>
    <w:rsid w:val="37F96322"/>
    <w:rsid w:val="393B0550"/>
    <w:rsid w:val="39A912D9"/>
    <w:rsid w:val="39C44508"/>
    <w:rsid w:val="39E01B8E"/>
    <w:rsid w:val="3A3417B7"/>
    <w:rsid w:val="3A522858"/>
    <w:rsid w:val="3A6933A8"/>
    <w:rsid w:val="3A804D9D"/>
    <w:rsid w:val="3A867809"/>
    <w:rsid w:val="3AC57C4C"/>
    <w:rsid w:val="3AF84CD2"/>
    <w:rsid w:val="3B4F00CE"/>
    <w:rsid w:val="3B740AEF"/>
    <w:rsid w:val="3B8371AC"/>
    <w:rsid w:val="3BDB6F2A"/>
    <w:rsid w:val="3CF40B0A"/>
    <w:rsid w:val="3D2C516D"/>
    <w:rsid w:val="3DCA6553"/>
    <w:rsid w:val="3E1723B7"/>
    <w:rsid w:val="3E485B4A"/>
    <w:rsid w:val="3EC0264C"/>
    <w:rsid w:val="3F0D2819"/>
    <w:rsid w:val="3F241E4F"/>
    <w:rsid w:val="3F283AC7"/>
    <w:rsid w:val="3FC0733E"/>
    <w:rsid w:val="3FCB1778"/>
    <w:rsid w:val="40024EF6"/>
    <w:rsid w:val="400440A7"/>
    <w:rsid w:val="40DA55FF"/>
    <w:rsid w:val="411C7403"/>
    <w:rsid w:val="41696C02"/>
    <w:rsid w:val="41E329C6"/>
    <w:rsid w:val="41F61C33"/>
    <w:rsid w:val="425639B5"/>
    <w:rsid w:val="42CE5F42"/>
    <w:rsid w:val="43431EC0"/>
    <w:rsid w:val="4352409E"/>
    <w:rsid w:val="43DA49BC"/>
    <w:rsid w:val="442B497D"/>
    <w:rsid w:val="44A30CA5"/>
    <w:rsid w:val="44E573B4"/>
    <w:rsid w:val="45605244"/>
    <w:rsid w:val="45BD4461"/>
    <w:rsid w:val="468839B0"/>
    <w:rsid w:val="468D0C0A"/>
    <w:rsid w:val="47170AD4"/>
    <w:rsid w:val="48632F4C"/>
    <w:rsid w:val="48687264"/>
    <w:rsid w:val="48AF20A5"/>
    <w:rsid w:val="48EA5358"/>
    <w:rsid w:val="48F24FD4"/>
    <w:rsid w:val="49016ABD"/>
    <w:rsid w:val="49483B0E"/>
    <w:rsid w:val="4A387008"/>
    <w:rsid w:val="4A3E670B"/>
    <w:rsid w:val="4AB92E0B"/>
    <w:rsid w:val="4AC13459"/>
    <w:rsid w:val="4BB7372F"/>
    <w:rsid w:val="4C6F1A85"/>
    <w:rsid w:val="4CB7147E"/>
    <w:rsid w:val="4CC90DDD"/>
    <w:rsid w:val="4D8A08D6"/>
    <w:rsid w:val="4D99416B"/>
    <w:rsid w:val="4DB14666"/>
    <w:rsid w:val="4EE53109"/>
    <w:rsid w:val="4EFC49F9"/>
    <w:rsid w:val="4FB570AD"/>
    <w:rsid w:val="4FEE666C"/>
    <w:rsid w:val="4FF82107"/>
    <w:rsid w:val="510F6785"/>
    <w:rsid w:val="51437171"/>
    <w:rsid w:val="5171328E"/>
    <w:rsid w:val="51AE2C20"/>
    <w:rsid w:val="51BF5735"/>
    <w:rsid w:val="51C75016"/>
    <w:rsid w:val="52255A5A"/>
    <w:rsid w:val="525D3BEA"/>
    <w:rsid w:val="52EE6196"/>
    <w:rsid w:val="52F1710D"/>
    <w:rsid w:val="532146F3"/>
    <w:rsid w:val="54176079"/>
    <w:rsid w:val="54367B1F"/>
    <w:rsid w:val="5502052F"/>
    <w:rsid w:val="55036A93"/>
    <w:rsid w:val="553E3A4C"/>
    <w:rsid w:val="55424BF3"/>
    <w:rsid w:val="560E35D5"/>
    <w:rsid w:val="5651064F"/>
    <w:rsid w:val="56642387"/>
    <w:rsid w:val="56B20AF0"/>
    <w:rsid w:val="56B51524"/>
    <w:rsid w:val="572B6402"/>
    <w:rsid w:val="57340A1C"/>
    <w:rsid w:val="573A6121"/>
    <w:rsid w:val="57AA5A35"/>
    <w:rsid w:val="57B42FA6"/>
    <w:rsid w:val="58100EEF"/>
    <w:rsid w:val="587A539C"/>
    <w:rsid w:val="58B273B2"/>
    <w:rsid w:val="58D32108"/>
    <w:rsid w:val="58EB2E83"/>
    <w:rsid w:val="58EC53F0"/>
    <w:rsid w:val="58FF7C7D"/>
    <w:rsid w:val="59003129"/>
    <w:rsid w:val="590D5628"/>
    <w:rsid w:val="591C60DF"/>
    <w:rsid w:val="595424C1"/>
    <w:rsid w:val="5A3E3409"/>
    <w:rsid w:val="5A5331AA"/>
    <w:rsid w:val="5AAE1D63"/>
    <w:rsid w:val="5B015124"/>
    <w:rsid w:val="5B23270B"/>
    <w:rsid w:val="5B6418B9"/>
    <w:rsid w:val="5BA80343"/>
    <w:rsid w:val="5BD0585F"/>
    <w:rsid w:val="5D361142"/>
    <w:rsid w:val="5D615756"/>
    <w:rsid w:val="5D751589"/>
    <w:rsid w:val="5D9B3DCD"/>
    <w:rsid w:val="5DEB6466"/>
    <w:rsid w:val="5E125392"/>
    <w:rsid w:val="5E2B1729"/>
    <w:rsid w:val="5E3408F1"/>
    <w:rsid w:val="5E9D2773"/>
    <w:rsid w:val="5EA12FDF"/>
    <w:rsid w:val="5ECE21B7"/>
    <w:rsid w:val="5EF65782"/>
    <w:rsid w:val="5EFC4325"/>
    <w:rsid w:val="5F0D1AF4"/>
    <w:rsid w:val="5F1B1781"/>
    <w:rsid w:val="5F3028B4"/>
    <w:rsid w:val="5FA47949"/>
    <w:rsid w:val="5FEE7548"/>
    <w:rsid w:val="604F210E"/>
    <w:rsid w:val="60C443E2"/>
    <w:rsid w:val="610252B4"/>
    <w:rsid w:val="61036E80"/>
    <w:rsid w:val="61CB3DE7"/>
    <w:rsid w:val="61E73466"/>
    <w:rsid w:val="61F50BF7"/>
    <w:rsid w:val="624C43BE"/>
    <w:rsid w:val="636426A2"/>
    <w:rsid w:val="645D0BFA"/>
    <w:rsid w:val="646E7142"/>
    <w:rsid w:val="64702337"/>
    <w:rsid w:val="649F0FF1"/>
    <w:rsid w:val="64D52B3E"/>
    <w:rsid w:val="65340199"/>
    <w:rsid w:val="65905C67"/>
    <w:rsid w:val="65EA4519"/>
    <w:rsid w:val="661D65DF"/>
    <w:rsid w:val="665C5239"/>
    <w:rsid w:val="66753787"/>
    <w:rsid w:val="66874949"/>
    <w:rsid w:val="66F22343"/>
    <w:rsid w:val="67730ABE"/>
    <w:rsid w:val="677D6906"/>
    <w:rsid w:val="67E35454"/>
    <w:rsid w:val="68281780"/>
    <w:rsid w:val="68470A55"/>
    <w:rsid w:val="68980E34"/>
    <w:rsid w:val="689B0E72"/>
    <w:rsid w:val="69F52227"/>
    <w:rsid w:val="6A0D49F8"/>
    <w:rsid w:val="6A29129E"/>
    <w:rsid w:val="6A3D77FE"/>
    <w:rsid w:val="6A414009"/>
    <w:rsid w:val="6A4C3FE2"/>
    <w:rsid w:val="6A5A410B"/>
    <w:rsid w:val="6B2C4948"/>
    <w:rsid w:val="6B7357CF"/>
    <w:rsid w:val="6B7C3B69"/>
    <w:rsid w:val="6B98571D"/>
    <w:rsid w:val="6BE5697A"/>
    <w:rsid w:val="6C4B4ADC"/>
    <w:rsid w:val="6C5A5018"/>
    <w:rsid w:val="6CAA5CF2"/>
    <w:rsid w:val="6D5723C2"/>
    <w:rsid w:val="6D6449E0"/>
    <w:rsid w:val="6D6E2770"/>
    <w:rsid w:val="6D963559"/>
    <w:rsid w:val="6DAC6264"/>
    <w:rsid w:val="6E0A0B59"/>
    <w:rsid w:val="6E5B06A4"/>
    <w:rsid w:val="6E6A580B"/>
    <w:rsid w:val="6E9A5852"/>
    <w:rsid w:val="6E9F5263"/>
    <w:rsid w:val="6EE92CE8"/>
    <w:rsid w:val="6FB21C9A"/>
    <w:rsid w:val="6FB73CCB"/>
    <w:rsid w:val="6FEF5A7E"/>
    <w:rsid w:val="700F05C4"/>
    <w:rsid w:val="70687013"/>
    <w:rsid w:val="709905F4"/>
    <w:rsid w:val="70C61BF5"/>
    <w:rsid w:val="71543CD1"/>
    <w:rsid w:val="71B230A7"/>
    <w:rsid w:val="71E24452"/>
    <w:rsid w:val="71FD56D3"/>
    <w:rsid w:val="72B26712"/>
    <w:rsid w:val="72B33449"/>
    <w:rsid w:val="73131A1E"/>
    <w:rsid w:val="73152B70"/>
    <w:rsid w:val="738459C6"/>
    <w:rsid w:val="73A043AE"/>
    <w:rsid w:val="73AA0381"/>
    <w:rsid w:val="73B22CCC"/>
    <w:rsid w:val="73C67C64"/>
    <w:rsid w:val="73DE445E"/>
    <w:rsid w:val="741C5A51"/>
    <w:rsid w:val="745528B8"/>
    <w:rsid w:val="74B767F8"/>
    <w:rsid w:val="75815C1E"/>
    <w:rsid w:val="75BA2AF4"/>
    <w:rsid w:val="75EF5105"/>
    <w:rsid w:val="76225112"/>
    <w:rsid w:val="7635352E"/>
    <w:rsid w:val="7653555A"/>
    <w:rsid w:val="76780A83"/>
    <w:rsid w:val="76EB63CC"/>
    <w:rsid w:val="77637410"/>
    <w:rsid w:val="77EC3BD7"/>
    <w:rsid w:val="77F24FA9"/>
    <w:rsid w:val="78683A4D"/>
    <w:rsid w:val="786B30CC"/>
    <w:rsid w:val="787A2CBD"/>
    <w:rsid w:val="78D5232E"/>
    <w:rsid w:val="79093B0D"/>
    <w:rsid w:val="794D053B"/>
    <w:rsid w:val="795A4B78"/>
    <w:rsid w:val="7A7B0B8B"/>
    <w:rsid w:val="7A8A5AD3"/>
    <w:rsid w:val="7B0F2BB2"/>
    <w:rsid w:val="7B41067B"/>
    <w:rsid w:val="7B4E43FD"/>
    <w:rsid w:val="7B8C2BF7"/>
    <w:rsid w:val="7BCB1860"/>
    <w:rsid w:val="7C09728E"/>
    <w:rsid w:val="7C5061EC"/>
    <w:rsid w:val="7CCD1404"/>
    <w:rsid w:val="7CF328D7"/>
    <w:rsid w:val="7D2C3640"/>
    <w:rsid w:val="7E441F14"/>
    <w:rsid w:val="7E4D5C27"/>
    <w:rsid w:val="7E8B09E1"/>
    <w:rsid w:val="7E934443"/>
    <w:rsid w:val="7FA5527D"/>
    <w:rsid w:val="7FD1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3" w:lineRule="auto"/>
      <w:outlineLvl w:val="2"/>
    </w:pPr>
    <w:rPr>
      <w:b/>
      <w:bCs/>
      <w:sz w:val="32"/>
      <w:szCs w:val="32"/>
    </w:rPr>
  </w:style>
  <w:style w:type="paragraph" w:styleId="6">
    <w:name w:val="heading 4"/>
    <w:basedOn w:val="1"/>
    <w:next w:val="1"/>
    <w:qFormat/>
    <w:uiPriority w:val="1"/>
    <w:pPr>
      <w:ind w:left="960" w:hanging="483"/>
      <w:outlineLvl w:val="4"/>
    </w:pPr>
    <w:rPr>
      <w:rFonts w:ascii="宋体" w:hAnsi="宋体" w:eastAsia="宋体" w:cs="宋体"/>
      <w:b/>
      <w:bCs/>
      <w:sz w:val="24"/>
      <w:szCs w:val="24"/>
      <w:lang w:val="zh-CN" w:eastAsia="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annotation text"/>
    <w:basedOn w:val="1"/>
    <w:qFormat/>
    <w:uiPriority w:val="0"/>
    <w:pPr>
      <w:jc w:val="left"/>
    </w:pPr>
  </w:style>
  <w:style w:type="paragraph" w:styleId="10">
    <w:name w:val="Body Text Indent"/>
    <w:basedOn w:val="1"/>
    <w:qFormat/>
    <w:uiPriority w:val="0"/>
    <w:pPr>
      <w:adjustRightInd w:val="0"/>
      <w:snapToGrid w:val="0"/>
      <w:spacing w:line="360" w:lineRule="exact"/>
      <w:ind w:left="1668" w:hanging="1668" w:hangingChars="695"/>
    </w:pPr>
    <w:rPr>
      <w:sz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qFormat/>
    <w:uiPriority w:val="0"/>
    <w:pPr>
      <w:spacing w:before="240" w:after="240" w:line="360" w:lineRule="auto"/>
      <w:jc w:val="center"/>
      <w:outlineLvl w:val="0"/>
    </w:pPr>
    <w:rPr>
      <w:rFonts w:ascii="Arial" w:hAnsi="Arial" w:eastAsia="黑体" w:cs="Arial"/>
      <w:b/>
      <w:bCs/>
      <w:sz w:val="48"/>
      <w:szCs w:val="4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page number"/>
    <w:basedOn w:val="21"/>
    <w:qFormat/>
    <w:uiPriority w:val="0"/>
  </w:style>
  <w:style w:type="character" w:styleId="23">
    <w:name w:val="Emphasis"/>
    <w:basedOn w:val="21"/>
    <w:qFormat/>
    <w:uiPriority w:val="0"/>
    <w:rPr>
      <w:i/>
    </w:rPr>
  </w:style>
  <w:style w:type="character" w:styleId="24">
    <w:name w:val="Hyperlink"/>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Char Char Char Char Char Char"/>
    <w:basedOn w:val="1"/>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29">
    <w:name w:val="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1"/>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msolistparagraph"/>
    <w:basedOn w:val="1"/>
    <w:qFormat/>
    <w:uiPriority w:val="0"/>
    <w:pPr>
      <w:ind w:firstLine="420" w:firstLineChars="200"/>
    </w:pPr>
    <w:rPr>
      <w:rFonts w:ascii="Calibri" w:hAnsi="Calibri" w:eastAsia="宋体" w:cs="Times New Roman"/>
      <w:szCs w:val="21"/>
    </w:rPr>
  </w:style>
  <w:style w:type="character" w:customStyle="1" w:styleId="34">
    <w:name w:val="批注框文本 Char"/>
    <w:basedOn w:val="21"/>
    <w:link w:val="13"/>
    <w:qFormat/>
    <w:uiPriority w:val="0"/>
    <w:rPr>
      <w:rFonts w:asciiTheme="minorHAnsi" w:hAnsiTheme="minorHAnsi" w:cstheme="minorBidi"/>
      <w:kern w:val="2"/>
      <w:sz w:val="18"/>
      <w:szCs w:val="18"/>
    </w:rPr>
  </w:style>
  <w:style w:type="character" w:customStyle="1" w:styleId="35">
    <w:name w:val="p141"/>
    <w:qFormat/>
    <w:uiPriority w:val="0"/>
    <w:rPr>
      <w:sz w:val="21"/>
      <w:szCs w:val="21"/>
    </w:rPr>
  </w:style>
  <w:style w:type="paragraph" w:customStyle="1" w:styleId="36">
    <w:name w:val="Plain Text"/>
    <w:basedOn w:val="1"/>
    <w:qFormat/>
    <w:uiPriority w:val="0"/>
    <w:rPr>
      <w:rFonts w:ascii="宋体" w:hAnsi="Courier New"/>
      <w:kern w:val="0"/>
      <w:sz w:val="20"/>
      <w:szCs w:val="20"/>
    </w:rPr>
  </w:style>
  <w:style w:type="paragraph" w:customStyle="1" w:styleId="37">
    <w:name w:val="Table Paragraph"/>
    <w:basedOn w:val="1"/>
    <w:qFormat/>
    <w:uiPriority w:val="1"/>
    <w:rPr>
      <w:rFonts w:ascii="宋体" w:hAnsi="宋体" w:eastAsia="宋体" w:cs="宋体"/>
      <w:lang w:val="zh-CN" w:eastAsia="zh-CN" w:bidi="zh-CN"/>
    </w:rPr>
  </w:style>
  <w:style w:type="paragraph" w:styleId="38">
    <w:name w:val="List Paragraph"/>
    <w:basedOn w:val="1"/>
    <w:qFormat/>
    <w:uiPriority w:val="1"/>
    <w:pPr>
      <w:ind w:left="477" w:firstLine="480"/>
    </w:pPr>
    <w:rPr>
      <w:rFonts w:ascii="宋体" w:hAnsi="宋体" w:eastAsia="宋体" w:cs="宋体"/>
      <w:lang w:val="zh-CN" w:eastAsia="zh-CN" w:bidi="zh-CN"/>
    </w:rPr>
  </w:style>
  <w:style w:type="paragraph" w:customStyle="1" w:styleId="39">
    <w:name w:val="Other|1"/>
    <w:basedOn w:val="1"/>
    <w:qFormat/>
    <w:uiPriority w:val="0"/>
    <w:pPr>
      <w:widowControl w:val="0"/>
      <w:shd w:val="clear" w:color="auto" w:fill="auto"/>
      <w:jc w:val="center"/>
    </w:pPr>
    <w:rPr>
      <w:b/>
      <w:bCs/>
      <w:sz w:val="19"/>
      <w:szCs w:val="19"/>
      <w:u w:val="none"/>
      <w:shd w:val="clear" w:color="auto" w:fill="auto"/>
    </w:rPr>
  </w:style>
  <w:style w:type="paragraph" w:customStyle="1" w:styleId="40">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32507</Words>
  <Characters>7892</Characters>
  <Lines>65</Lines>
  <Paragraphs>80</Paragraphs>
  <TotalTime>17</TotalTime>
  <ScaleCrop>false</ScaleCrop>
  <LinksUpToDate>false</LinksUpToDate>
  <CharactersWithSpaces>40319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2020-01-10T03:16:00Z</cp:lastPrinted>
  <dcterms:modified xsi:type="dcterms:W3CDTF">2020-09-14T01:05:15Z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