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2"/>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2"/>
        <w:spacing w:line="700" w:lineRule="exact"/>
        <w:jc w:val="center"/>
        <w:rPr>
          <w:rFonts w:ascii="黑体" w:hAnsi="宋体" w:eastAsia="黑体"/>
          <w:b/>
          <w:color w:val="000000"/>
          <w:spacing w:val="-4"/>
          <w:sz w:val="44"/>
          <w:szCs w:val="44"/>
        </w:rPr>
      </w:pPr>
    </w:p>
    <w:p>
      <w:pPr>
        <w:pStyle w:val="12"/>
        <w:spacing w:line="700" w:lineRule="exact"/>
        <w:rPr>
          <w:rFonts w:ascii="黑体" w:hAnsi="宋体" w:eastAsia="黑体"/>
          <w:b/>
          <w:color w:val="000000"/>
          <w:spacing w:val="-4"/>
          <w:sz w:val="44"/>
          <w:szCs w:val="44"/>
        </w:rPr>
      </w:pPr>
    </w:p>
    <w:p>
      <w:pPr>
        <w:pStyle w:val="12"/>
        <w:spacing w:line="700" w:lineRule="exact"/>
        <w:rPr>
          <w:rFonts w:ascii="黑体" w:hAnsi="宋体" w:eastAsia="黑体"/>
          <w:b/>
          <w:color w:val="000000"/>
          <w:spacing w:val="-4"/>
          <w:sz w:val="44"/>
          <w:szCs w:val="44"/>
        </w:rPr>
      </w:pP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2"/>
        <w:spacing w:line="360" w:lineRule="auto"/>
        <w:ind w:firstLine="1265" w:firstLineChars="450"/>
        <w:rPr>
          <w:rFonts w:asciiTheme="minorEastAsia" w:hAnsiTheme="minorEastAsia" w:cstheme="minorEastAsia"/>
          <w:b/>
          <w:color w:val="000000"/>
          <w:sz w:val="28"/>
          <w:szCs w:val="28"/>
        </w:rPr>
      </w:pPr>
    </w:p>
    <w:p>
      <w:pPr>
        <w:pStyle w:val="12"/>
        <w:spacing w:line="360" w:lineRule="auto"/>
        <w:ind w:firstLine="1265" w:firstLineChars="450"/>
        <w:rPr>
          <w:rFonts w:asciiTheme="minorEastAsia" w:hAnsiTheme="minorEastAsia" w:cstheme="minorEastAsia"/>
          <w:b/>
          <w:color w:val="000000"/>
          <w:sz w:val="28"/>
          <w:szCs w:val="28"/>
        </w:rPr>
      </w:pPr>
    </w:p>
    <w:p>
      <w:pPr>
        <w:pStyle w:val="12"/>
        <w:spacing w:line="360" w:lineRule="auto"/>
        <w:rPr>
          <w:rFonts w:asciiTheme="minorEastAsia" w:hAnsiTheme="minorEastAsia" w:cstheme="minorEastAsia"/>
          <w:b/>
          <w:color w:val="000000"/>
          <w:sz w:val="28"/>
          <w:szCs w:val="28"/>
        </w:rPr>
      </w:pPr>
    </w:p>
    <w:p>
      <w:pPr>
        <w:pStyle w:val="12"/>
        <w:spacing w:line="560" w:lineRule="exact"/>
        <w:ind w:firstLine="281" w:firstLineChars="100"/>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铜仁职业技术学院IPv6网络升级设备采购</w:t>
      </w:r>
    </w:p>
    <w:p>
      <w:pPr>
        <w:pStyle w:val="12"/>
        <w:spacing w:line="560" w:lineRule="exact"/>
        <w:ind w:firstLine="281" w:firstLineChars="1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TRZFCG-2020-152</w:t>
      </w:r>
    </w:p>
    <w:p>
      <w:pPr>
        <w:pStyle w:val="12"/>
        <w:spacing w:line="560" w:lineRule="exact"/>
        <w:ind w:firstLine="281" w:firstLineChars="1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2"/>
        <w:spacing w:line="560" w:lineRule="exact"/>
        <w:ind w:firstLine="281" w:firstLineChars="1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2"/>
        <w:spacing w:line="560" w:lineRule="exact"/>
        <w:rPr>
          <w:rFonts w:asciiTheme="minorEastAsia" w:hAnsiTheme="minorEastAsia" w:cstheme="minorEastAsia"/>
          <w:b/>
          <w:color w:val="000000"/>
          <w:sz w:val="28"/>
          <w:szCs w:val="28"/>
        </w:rPr>
      </w:pPr>
    </w:p>
    <w:p>
      <w:pPr>
        <w:pStyle w:val="12"/>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2"/>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5"/>
      </w:pPr>
    </w:p>
    <w:p>
      <w:pPr>
        <w:jc w:val="center"/>
        <w:rPr>
          <w:color w:val="000000"/>
          <w:sz w:val="36"/>
          <w:szCs w:val="36"/>
        </w:rPr>
      </w:pPr>
      <w:r>
        <w:rPr>
          <w:rFonts w:hint="eastAsia" w:ascii="宋体" w:hAnsi="宋体"/>
          <w:b/>
          <w:color w:val="000000"/>
          <w:sz w:val="36"/>
          <w:szCs w:val="36"/>
        </w:rPr>
        <w:t>第一章  谈判公告</w:t>
      </w:r>
    </w:p>
    <w:p>
      <w:pPr>
        <w:pStyle w:val="12"/>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铜仁职业技术学院</w:t>
      </w:r>
      <w:r>
        <w:rPr>
          <w:rFonts w:hint="eastAsia" w:hAnsi="宋体"/>
          <w:color w:val="000000"/>
          <w:sz w:val="24"/>
          <w:szCs w:val="24"/>
        </w:rPr>
        <w:t>委托，对</w:t>
      </w:r>
      <w:r>
        <w:rPr>
          <w:rFonts w:hint="eastAsia" w:hAnsi="宋体"/>
          <w:b/>
          <w:bCs/>
          <w:color w:val="000000"/>
          <w:sz w:val="24"/>
          <w:szCs w:val="24"/>
          <w:lang w:eastAsia="zh-CN"/>
        </w:rPr>
        <w:t>铜仁职业技术学院IPv6网络升级设备采购</w:t>
      </w:r>
      <w:r>
        <w:rPr>
          <w:rFonts w:hint="eastAsia" w:hAnsi="宋体"/>
          <w:color w:val="000000"/>
          <w:sz w:val="24"/>
          <w:szCs w:val="24"/>
        </w:rPr>
        <w:t>采用竞争性谈判的方式进行采购，欢迎具备投标资质条件的供货商参加投标。</w:t>
      </w:r>
    </w:p>
    <w:p>
      <w:pPr>
        <w:pStyle w:val="12"/>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铜仁职业技术学院IPv6网络升级设备采购</w:t>
      </w:r>
    </w:p>
    <w:p>
      <w:pPr>
        <w:pStyle w:val="12"/>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TRZFCG-2020-152</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9月29</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10</w:t>
      </w:r>
      <w:r>
        <w:rPr>
          <w:rFonts w:hint="eastAsia" w:ascii="宋体" w:hAnsi="宋体"/>
          <w:b w:val="0"/>
          <w:bCs w:val="0"/>
          <w:color w:val="0000FF"/>
          <w:sz w:val="24"/>
        </w:rPr>
        <w:t>月</w:t>
      </w:r>
      <w:r>
        <w:rPr>
          <w:rFonts w:hint="eastAsia" w:ascii="宋体" w:hAnsi="宋体"/>
          <w:b w:val="0"/>
          <w:bCs w:val="0"/>
          <w:color w:val="0000FF"/>
          <w:sz w:val="24"/>
          <w:lang w:val="en-US" w:eastAsia="zh-CN"/>
        </w:rPr>
        <w:t>9</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2"/>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3"/>
          <w:color w:val="000000"/>
          <w:sz w:val="24"/>
          <w:szCs w:val="24"/>
        </w:rPr>
        <w:t>http://</w:t>
      </w:r>
      <w:r>
        <w:rPr>
          <w:rStyle w:val="23"/>
          <w:rFonts w:hint="eastAsia"/>
          <w:color w:val="000000"/>
          <w:sz w:val="24"/>
          <w:szCs w:val="24"/>
          <w:lang w:eastAsia="zh-CN"/>
        </w:rPr>
        <w:t>jyzx.trs.gov.cn</w:t>
      </w:r>
      <w:r>
        <w:rPr>
          <w:rStyle w:val="23"/>
          <w:color w:val="000000"/>
          <w:sz w:val="24"/>
          <w:szCs w:val="24"/>
        </w:rPr>
        <w:fldChar w:fldCharType="end"/>
      </w:r>
      <w:r>
        <w:rPr>
          <w:color w:val="000000"/>
          <w:sz w:val="24"/>
          <w:szCs w:val="24"/>
        </w:rPr>
        <w:t>）</w:t>
      </w:r>
    </w:p>
    <w:p>
      <w:pPr>
        <w:pStyle w:val="12"/>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21</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2"/>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2"/>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2"/>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2"/>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10000</w:t>
      </w:r>
      <w:r>
        <w:rPr>
          <w:rFonts w:hint="eastAsia"/>
          <w:kern w:val="0"/>
          <w:sz w:val="24"/>
        </w:rPr>
        <w:t>元人民币</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b/>
          <w:bCs/>
          <w:color w:val="000000"/>
          <w:sz w:val="24"/>
          <w:lang w:eastAsia="zh-CN"/>
        </w:rPr>
        <w:t>：</w:t>
      </w:r>
      <w:r>
        <w:rPr>
          <w:rFonts w:hint="eastAsia" w:ascii="宋体" w:hAnsi="宋体"/>
          <w:color w:val="000000"/>
          <w:sz w:val="24"/>
          <w:lang w:eastAsia="zh-CN"/>
        </w:rPr>
        <w:t>580000.00元（最高限价：580000.00</w:t>
      </w:r>
      <w:r>
        <w:rPr>
          <w:rFonts w:hint="eastAsia" w:ascii="宋体" w:hAnsi="宋体"/>
          <w:color w:val="000000"/>
          <w:sz w:val="24"/>
          <w:lang w:val="en-US" w:eastAsia="zh-CN"/>
        </w:rPr>
        <w:t>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10月10</w:t>
      </w:r>
      <w:bookmarkStart w:id="7" w:name="_GoBack"/>
      <w:bookmarkEnd w:id="7"/>
      <w:r>
        <w:rPr>
          <w:rFonts w:hint="eastAsia" w:ascii="宋体" w:hAnsi="宋体"/>
          <w:color w:val="0000FF"/>
          <w:sz w:val="24"/>
        </w:rPr>
        <w:t>日</w:t>
      </w:r>
      <w:r>
        <w:rPr>
          <w:rFonts w:hint="eastAsia" w:ascii="宋体" w:hAnsi="宋体"/>
          <w:color w:val="0000FF"/>
          <w:sz w:val="24"/>
          <w:lang w:val="en-US" w:eastAsia="zh-CN"/>
        </w:rPr>
        <w:t>14</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hint="default" w:ascii="宋体" w:hAnsi="宋体" w:eastAsiaTheme="minorEastAsia"/>
          <w:color w:val="000000"/>
          <w:sz w:val="24"/>
          <w:lang w:val="en-US" w:eastAsia="zh-CN"/>
        </w:rPr>
      </w:pPr>
      <w:r>
        <w:rPr>
          <w:rFonts w:hint="eastAsia" w:ascii="宋体" w:hAnsi="宋体"/>
          <w:color w:val="000000"/>
          <w:sz w:val="24"/>
        </w:rPr>
        <w:t>联系电话：0856-39129</w:t>
      </w:r>
      <w:r>
        <w:rPr>
          <w:rFonts w:hint="eastAsia" w:ascii="宋体" w:hAnsi="宋体"/>
          <w:color w:val="000000"/>
          <w:sz w:val="24"/>
          <w:lang w:val="en-US" w:eastAsia="zh-CN"/>
        </w:rPr>
        <w:t>21</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杨惠茹</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铜仁职业技术学院</w:t>
      </w:r>
      <w:r>
        <w:rPr>
          <w:rFonts w:hint="eastAsia" w:ascii="宋体" w:hAnsi="宋体"/>
          <w:sz w:val="24"/>
        </w:rPr>
        <w:br w:type="textWrapping"/>
      </w:r>
      <w:r>
        <w:rPr>
          <w:rFonts w:hint="eastAsia" w:ascii="宋体" w:hAnsi="宋体"/>
          <w:sz w:val="24"/>
        </w:rPr>
        <w:t>项目联系人:龙先生</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联系电话:0856-6909019 15685689777</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7"/>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铜仁职业技术学院IPv6网络升级设备采购</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铜仁职业技术学院</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铜仁职业技术学院</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IPv6网络升级设备采购</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TRZFCG-2020-152</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lang w:val="en-US" w:eastAsia="zh-CN"/>
              </w:rPr>
              <w:t>58</w:t>
            </w:r>
            <w:r>
              <w:rPr>
                <w:rFonts w:hint="eastAsia" w:ascii="Arial" w:hAnsi="Arial" w:cs="Arial"/>
                <w:sz w:val="24"/>
                <w:u w:val="single"/>
                <w:lang w:val="en-US" w:eastAsia="zh-CN"/>
              </w:rPr>
              <w:t>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10</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8"/>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7"/>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8"/>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360" w:lineRule="auto"/>
              <w:ind w:firstLine="600"/>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节能、环境标志、信息安全产品优先采购政策</w:t>
            </w:r>
          </w:p>
          <w:p>
            <w:pPr>
              <w:spacing w:line="360" w:lineRule="auto"/>
              <w:ind w:firstLine="600"/>
              <w:rPr>
                <w:rFonts w:asciiTheme="minorEastAsia" w:hAnsiTheme="minorEastAsia"/>
                <w:color w:val="FF0000"/>
                <w:sz w:val="24"/>
              </w:rPr>
            </w:pPr>
            <w:r>
              <w:rPr>
                <w:rFonts w:asciiTheme="minorEastAsia" w:hAnsiTheme="minorEastAsia"/>
                <w:color w:val="FF0000"/>
                <w:sz w:val="24"/>
              </w:rPr>
              <w:t>《关于进一步落实政府采购有关政策的通知》黔财采 〔2014〕15号文件规定：</w:t>
            </w:r>
          </w:p>
          <w:p>
            <w:pPr>
              <w:spacing w:line="360" w:lineRule="auto"/>
              <w:ind w:firstLine="600"/>
              <w:rPr>
                <w:rFonts w:asciiTheme="minorEastAsia" w:hAnsiTheme="minorEastAsia"/>
                <w:color w:val="FF0000"/>
                <w:sz w:val="24"/>
              </w:rPr>
            </w:pPr>
            <w:r>
              <w:rPr>
                <w:rFonts w:asciiTheme="minorEastAsia" w:hAnsiTheme="minorEastAsia"/>
                <w:color w:val="FF0000"/>
                <w:sz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spacing w:line="360" w:lineRule="auto"/>
              <w:ind w:firstLine="60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480" w:firstLineChars="200"/>
              <w:rPr>
                <w:rFonts w:ascii="宋体" w:hAnsi="宋体"/>
                <w:sz w:val="24"/>
              </w:rPr>
            </w:pPr>
            <w:r>
              <w:rPr>
                <w:rFonts w:asciiTheme="minorEastAsia" w:hAnsiTheme="minorEastAsia"/>
                <w:color w:val="FF0000"/>
                <w:sz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sectPr>
          <w:pgSz w:w="11906" w:h="16838"/>
          <w:pgMar w:top="1440" w:right="1797" w:bottom="1440" w:left="1797" w:header="851" w:footer="992" w:gutter="0"/>
          <w:cols w:space="720" w:num="1"/>
          <w:docGrid w:linePitch="312" w:charSpace="0"/>
        </w:sectPr>
      </w:pPr>
    </w:p>
    <w:p>
      <w:pPr>
        <w:pStyle w:val="12"/>
        <w:spacing w:line="360" w:lineRule="auto"/>
        <w:jc w:val="center"/>
        <w:rPr>
          <w:rFonts w:hAnsi="宋体"/>
          <w:b/>
          <w:sz w:val="32"/>
          <w:szCs w:val="32"/>
        </w:rPr>
      </w:pPr>
    </w:p>
    <w:p>
      <w:pPr>
        <w:pStyle w:val="12"/>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2"/>
        <w:spacing w:line="400" w:lineRule="exact"/>
        <w:jc w:val="center"/>
        <w:rPr>
          <w:rFonts w:hAnsi="宋体"/>
          <w:b/>
          <w:sz w:val="24"/>
        </w:rPr>
      </w:pPr>
      <w:r>
        <w:rPr>
          <w:rFonts w:hint="eastAsia" w:hAnsi="宋体"/>
          <w:b/>
          <w:sz w:val="24"/>
        </w:rPr>
        <w:t>一、</w:t>
      </w:r>
      <w:r>
        <w:rPr>
          <w:rFonts w:hAnsi="宋体"/>
          <w:b/>
          <w:sz w:val="24"/>
        </w:rPr>
        <w:t>说明</w:t>
      </w:r>
    </w:p>
    <w:p>
      <w:pPr>
        <w:pStyle w:val="12"/>
        <w:spacing w:line="400" w:lineRule="exact"/>
        <w:jc w:val="left"/>
        <w:rPr>
          <w:rFonts w:hAnsi="宋体"/>
          <w:b/>
          <w:sz w:val="24"/>
        </w:rPr>
      </w:pPr>
      <w:r>
        <w:rPr>
          <w:rFonts w:hAnsi="宋体"/>
          <w:b/>
          <w:sz w:val="24"/>
        </w:rPr>
        <w:t>1.适用范围</w:t>
      </w:r>
    </w:p>
    <w:p>
      <w:pPr>
        <w:pStyle w:val="12"/>
        <w:spacing w:line="400" w:lineRule="exact"/>
        <w:ind w:firstLine="480" w:firstLineChars="200"/>
        <w:jc w:val="left"/>
        <w:rPr>
          <w:rFonts w:hAnsi="宋体"/>
          <w:sz w:val="24"/>
        </w:rPr>
      </w:pPr>
      <w:r>
        <w:rPr>
          <w:rFonts w:hAnsi="宋体"/>
          <w:sz w:val="24"/>
        </w:rPr>
        <w:t>1.1本谈判文件仅适用于邀请中所叙述项目的货物采购。</w:t>
      </w:r>
    </w:p>
    <w:p>
      <w:pPr>
        <w:pStyle w:val="12"/>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2"/>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2"/>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2"/>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2"/>
        <w:spacing w:line="400" w:lineRule="exact"/>
        <w:jc w:val="left"/>
        <w:rPr>
          <w:rFonts w:hAnsi="宋体"/>
          <w:b/>
          <w:sz w:val="24"/>
        </w:rPr>
      </w:pPr>
      <w:r>
        <w:rPr>
          <w:rFonts w:hAnsi="宋体"/>
          <w:b/>
          <w:sz w:val="24"/>
        </w:rPr>
        <w:t>4.谈判费用</w:t>
      </w:r>
    </w:p>
    <w:p>
      <w:pPr>
        <w:pStyle w:val="12"/>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2"/>
        <w:spacing w:line="400" w:lineRule="exact"/>
        <w:jc w:val="left"/>
        <w:rPr>
          <w:rFonts w:hAnsi="宋体"/>
          <w:b/>
          <w:sz w:val="24"/>
        </w:rPr>
      </w:pPr>
      <w:r>
        <w:rPr>
          <w:rFonts w:hAnsi="宋体"/>
          <w:b/>
          <w:sz w:val="24"/>
        </w:rPr>
        <w:t>5.知识产权</w:t>
      </w:r>
    </w:p>
    <w:p>
      <w:pPr>
        <w:pStyle w:val="12"/>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1"/>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3"/>
          <w:rFonts w:hint="eastAsia" w:hAnsi="宋体"/>
          <w:sz w:val="24"/>
        </w:rPr>
        <w:t>trggzyjyzxzfcg@163.com，该邮箱仅用于发送文件）。</w:t>
      </w:r>
      <w:r>
        <w:rPr>
          <w:rStyle w:val="23"/>
          <w:rFonts w:hint="eastAsia" w:hAnsi="宋体"/>
          <w:sz w:val="24"/>
        </w:rPr>
        <w:fldChar w:fldCharType="end"/>
      </w:r>
    </w:p>
    <w:p>
      <w:pPr>
        <w:pStyle w:val="31"/>
        <w:spacing w:line="400" w:lineRule="exact"/>
        <w:jc w:val="center"/>
        <w:outlineLvl w:val="9"/>
        <w:rPr>
          <w:rFonts w:hAnsi="宋体"/>
          <w:b/>
          <w:sz w:val="24"/>
        </w:rPr>
      </w:pPr>
      <w:r>
        <w:rPr>
          <w:rFonts w:hint="eastAsia" w:hAnsi="宋体"/>
          <w:b/>
          <w:sz w:val="24"/>
        </w:rPr>
        <w:t>二、谈判文件</w:t>
      </w:r>
    </w:p>
    <w:p>
      <w:pPr>
        <w:pStyle w:val="12"/>
        <w:spacing w:line="400" w:lineRule="exact"/>
        <w:jc w:val="left"/>
        <w:rPr>
          <w:rFonts w:hAnsi="宋体"/>
          <w:b/>
          <w:sz w:val="24"/>
        </w:rPr>
      </w:pPr>
      <w:r>
        <w:rPr>
          <w:rFonts w:hint="eastAsia" w:hAnsi="宋体"/>
          <w:b/>
          <w:sz w:val="24"/>
        </w:rPr>
        <w:t>7</w:t>
      </w:r>
      <w:r>
        <w:rPr>
          <w:rFonts w:hAnsi="宋体"/>
          <w:b/>
          <w:sz w:val="24"/>
        </w:rPr>
        <w:t>.谈判文件的组成</w:t>
      </w:r>
    </w:p>
    <w:p>
      <w:pPr>
        <w:pStyle w:val="12"/>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2"/>
        <w:spacing w:line="400" w:lineRule="exact"/>
        <w:jc w:val="left"/>
        <w:rPr>
          <w:rFonts w:hAnsi="宋体"/>
          <w:sz w:val="24"/>
        </w:rPr>
      </w:pPr>
      <w:r>
        <w:rPr>
          <w:rFonts w:hAnsi="宋体"/>
          <w:sz w:val="24"/>
        </w:rPr>
        <w:t>（1）</w:t>
      </w:r>
      <w:r>
        <w:rPr>
          <w:rFonts w:hint="eastAsia" w:hAnsi="宋体"/>
          <w:sz w:val="24"/>
        </w:rPr>
        <w:t>谈判邀请</w:t>
      </w:r>
    </w:p>
    <w:p>
      <w:pPr>
        <w:pStyle w:val="12"/>
        <w:spacing w:line="400" w:lineRule="exact"/>
        <w:jc w:val="left"/>
        <w:rPr>
          <w:rFonts w:hAnsi="宋体"/>
          <w:sz w:val="24"/>
        </w:rPr>
      </w:pPr>
      <w:r>
        <w:rPr>
          <w:rFonts w:hAnsi="宋体"/>
          <w:sz w:val="24"/>
        </w:rPr>
        <w:t>（2）</w:t>
      </w:r>
      <w:r>
        <w:rPr>
          <w:rFonts w:hint="eastAsia" w:hAnsi="宋体"/>
          <w:sz w:val="24"/>
        </w:rPr>
        <w:t>谈判响应供应商须知</w:t>
      </w:r>
    </w:p>
    <w:p>
      <w:pPr>
        <w:pStyle w:val="12"/>
        <w:spacing w:line="400" w:lineRule="exact"/>
        <w:jc w:val="left"/>
        <w:rPr>
          <w:rFonts w:hAnsi="宋体"/>
          <w:sz w:val="24"/>
        </w:rPr>
      </w:pPr>
      <w:r>
        <w:rPr>
          <w:rFonts w:hint="eastAsia" w:hAnsi="宋体"/>
          <w:sz w:val="24"/>
        </w:rPr>
        <w:t>（3）谈判供应商须知正文部分</w:t>
      </w:r>
    </w:p>
    <w:p>
      <w:pPr>
        <w:pStyle w:val="12"/>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2"/>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2"/>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2"/>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2"/>
        <w:spacing w:line="400" w:lineRule="exact"/>
        <w:jc w:val="left"/>
        <w:rPr>
          <w:rFonts w:hAnsi="宋体"/>
          <w:b/>
          <w:sz w:val="24"/>
        </w:rPr>
      </w:pPr>
      <w:r>
        <w:rPr>
          <w:rFonts w:hint="eastAsia" w:hAnsi="宋体"/>
          <w:b/>
          <w:sz w:val="24"/>
        </w:rPr>
        <w:t>9</w:t>
      </w:r>
      <w:r>
        <w:rPr>
          <w:rFonts w:hAnsi="宋体"/>
          <w:b/>
          <w:sz w:val="24"/>
        </w:rPr>
        <w:t>.要求</w:t>
      </w:r>
    </w:p>
    <w:p>
      <w:pPr>
        <w:pStyle w:val="12"/>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2"/>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2"/>
        <w:spacing w:line="400" w:lineRule="exact"/>
        <w:jc w:val="left"/>
        <w:rPr>
          <w:rFonts w:hAnsi="宋体"/>
          <w:b/>
          <w:sz w:val="24"/>
        </w:rPr>
      </w:pPr>
      <w:r>
        <w:rPr>
          <w:rFonts w:hint="eastAsia" w:hAnsi="宋体"/>
          <w:b/>
          <w:sz w:val="24"/>
        </w:rPr>
        <w:t>10.谈判响应文件语言及报价要求</w:t>
      </w:r>
    </w:p>
    <w:p>
      <w:pPr>
        <w:pStyle w:val="12"/>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2"/>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2"/>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2"/>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2"/>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2"/>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2"/>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2"/>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2"/>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2"/>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2"/>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2"/>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2"/>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2"/>
        <w:spacing w:line="400" w:lineRule="exact"/>
        <w:jc w:val="left"/>
        <w:rPr>
          <w:rFonts w:hAnsi="宋体"/>
          <w:sz w:val="24"/>
        </w:rPr>
      </w:pPr>
      <w:r>
        <w:rPr>
          <w:rFonts w:hint="eastAsia" w:hAnsi="宋体"/>
          <w:sz w:val="24"/>
        </w:rPr>
        <w:t xml:space="preserve">   （4）谈判响应供应商在响应文件中提供虚假材料的；</w:t>
      </w:r>
    </w:p>
    <w:p>
      <w:pPr>
        <w:pStyle w:val="12"/>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2"/>
        <w:spacing w:line="400" w:lineRule="exact"/>
        <w:ind w:firstLine="360" w:firstLineChars="150"/>
        <w:jc w:val="left"/>
        <w:rPr>
          <w:rFonts w:hAnsi="宋体"/>
          <w:sz w:val="24"/>
        </w:rPr>
      </w:pPr>
      <w:r>
        <w:rPr>
          <w:rFonts w:hint="eastAsia" w:hAnsi="宋体"/>
          <w:sz w:val="24"/>
        </w:rPr>
        <w:t>（6）以不正当手段诋毁、排挤其他供应商的；</w:t>
      </w:r>
    </w:p>
    <w:p>
      <w:pPr>
        <w:pStyle w:val="12"/>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2"/>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2"/>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2"/>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2"/>
        <w:spacing w:line="400" w:lineRule="exact"/>
        <w:ind w:firstLine="480" w:firstLineChars="200"/>
        <w:rPr>
          <w:rFonts w:hAnsi="宋体"/>
          <w:sz w:val="24"/>
        </w:rPr>
      </w:pPr>
      <w:r>
        <w:rPr>
          <w:rFonts w:hint="eastAsia" w:hAnsi="宋体"/>
          <w:sz w:val="24"/>
        </w:rPr>
        <w:t>13.9网上缴纳保证金流程</w:t>
      </w:r>
    </w:p>
    <w:p>
      <w:pPr>
        <w:pStyle w:val="12"/>
        <w:spacing w:line="400" w:lineRule="exact"/>
        <w:ind w:firstLine="480" w:firstLineChars="200"/>
        <w:rPr>
          <w:rFonts w:hAnsi="宋体"/>
          <w:sz w:val="24"/>
        </w:rPr>
      </w:pPr>
      <w:r>
        <w:rPr>
          <w:rFonts w:hint="eastAsia" w:hAnsi="宋体"/>
          <w:sz w:val="24"/>
        </w:rPr>
        <w:t>1.线上报名获取缴纳随机码</w:t>
      </w:r>
    </w:p>
    <w:p>
      <w:pPr>
        <w:pStyle w:val="12"/>
        <w:spacing w:line="400" w:lineRule="exact"/>
        <w:ind w:firstLine="480" w:firstLineChars="200"/>
        <w:rPr>
          <w:rFonts w:hAnsi="宋体"/>
          <w:sz w:val="24"/>
        </w:rPr>
      </w:pPr>
      <w:r>
        <w:rPr>
          <w:rFonts w:hint="eastAsia" w:hAnsi="宋体"/>
          <w:sz w:val="24"/>
        </w:rPr>
        <w:t>·登录公共资源电子交易系统（jyzx.trs.gov.cn）</w:t>
      </w:r>
    </w:p>
    <w:p>
      <w:pPr>
        <w:pStyle w:val="12"/>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2"/>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2"/>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2"/>
        <w:spacing w:line="400" w:lineRule="exact"/>
        <w:ind w:firstLine="480" w:firstLineChars="200"/>
        <w:rPr>
          <w:rFonts w:hAnsi="宋体"/>
          <w:sz w:val="24"/>
        </w:rPr>
      </w:pPr>
      <w:r>
        <w:rPr>
          <w:rFonts w:hint="eastAsia" w:hAnsi="宋体"/>
          <w:sz w:val="24"/>
        </w:rPr>
        <w:t>2.缴纳保证金</w:t>
      </w:r>
    </w:p>
    <w:p>
      <w:pPr>
        <w:pStyle w:val="12"/>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2"/>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2"/>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2"/>
        <w:spacing w:line="400" w:lineRule="exact"/>
        <w:ind w:firstLine="480" w:firstLineChars="200"/>
        <w:rPr>
          <w:rFonts w:hAnsi="宋体"/>
          <w:sz w:val="24"/>
        </w:rPr>
      </w:pPr>
      <w:r>
        <w:rPr>
          <w:rFonts w:hint="eastAsia" w:hAnsi="宋体"/>
          <w:sz w:val="24"/>
        </w:rPr>
        <w:t>3.打印回执</w:t>
      </w:r>
    </w:p>
    <w:p>
      <w:pPr>
        <w:pStyle w:val="12"/>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2"/>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2"/>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2"/>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2"/>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1"/>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1"/>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1"/>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1"/>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1"/>
        <w:spacing w:line="400" w:lineRule="exact"/>
        <w:ind w:firstLine="482" w:firstLineChars="200"/>
        <w:jc w:val="center"/>
        <w:outlineLvl w:val="9"/>
        <w:rPr>
          <w:rFonts w:hAnsi="宋体"/>
          <w:b/>
          <w:sz w:val="24"/>
        </w:rPr>
      </w:pPr>
    </w:p>
    <w:p>
      <w:pPr>
        <w:pStyle w:val="31"/>
        <w:spacing w:line="400" w:lineRule="exact"/>
        <w:ind w:firstLine="482" w:firstLineChars="200"/>
        <w:jc w:val="center"/>
        <w:outlineLvl w:val="9"/>
        <w:rPr>
          <w:rFonts w:hAnsi="宋体"/>
          <w:b/>
          <w:sz w:val="24"/>
        </w:rPr>
      </w:pPr>
      <w:r>
        <w:rPr>
          <w:rFonts w:hint="eastAsia" w:hAnsi="宋体"/>
          <w:b/>
          <w:sz w:val="24"/>
        </w:rPr>
        <w:t>四、响应文件的提交</w:t>
      </w:r>
    </w:p>
    <w:p>
      <w:pPr>
        <w:pStyle w:val="31"/>
        <w:spacing w:line="400" w:lineRule="exact"/>
        <w:outlineLvl w:val="9"/>
        <w:rPr>
          <w:rFonts w:hAnsi="宋体"/>
          <w:b/>
          <w:sz w:val="24"/>
        </w:rPr>
      </w:pPr>
      <w:r>
        <w:rPr>
          <w:rFonts w:hint="eastAsia" w:hAnsi="宋体"/>
          <w:b/>
          <w:sz w:val="24"/>
        </w:rPr>
        <w:t>15.响应文件的密封、标记和递交</w:t>
      </w:r>
    </w:p>
    <w:p>
      <w:pPr>
        <w:pStyle w:val="31"/>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2"/>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1"/>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1"/>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1"/>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1"/>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2"/>
        <w:spacing w:line="400" w:lineRule="exact"/>
        <w:jc w:val="left"/>
        <w:rPr>
          <w:rFonts w:hAnsi="宋体"/>
          <w:b/>
          <w:sz w:val="24"/>
        </w:rPr>
      </w:pPr>
      <w:r>
        <w:rPr>
          <w:rFonts w:hint="eastAsia" w:hAnsi="宋体"/>
          <w:b/>
          <w:sz w:val="24"/>
        </w:rPr>
        <w:t>16.谈判时间</w:t>
      </w:r>
    </w:p>
    <w:p>
      <w:pPr>
        <w:pStyle w:val="12"/>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2"/>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2"/>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2"/>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2"/>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2"/>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2"/>
        <w:spacing w:line="400" w:lineRule="exact"/>
        <w:ind w:firstLine="475" w:firstLineChars="198"/>
        <w:rPr>
          <w:rFonts w:hAnsi="宋体"/>
          <w:sz w:val="24"/>
        </w:rPr>
      </w:pPr>
      <w:r>
        <w:rPr>
          <w:rFonts w:hint="eastAsia" w:hAnsi="宋体"/>
          <w:sz w:val="24"/>
        </w:rPr>
        <w:t>（1）工商营业执照副本；</w:t>
      </w:r>
    </w:p>
    <w:p>
      <w:pPr>
        <w:pStyle w:val="12"/>
        <w:spacing w:line="400" w:lineRule="exact"/>
        <w:ind w:firstLine="475" w:firstLineChars="198"/>
        <w:rPr>
          <w:rFonts w:hAnsi="宋体"/>
          <w:sz w:val="24"/>
        </w:rPr>
      </w:pPr>
      <w:r>
        <w:rPr>
          <w:rFonts w:hint="eastAsia" w:hAnsi="宋体"/>
          <w:sz w:val="24"/>
        </w:rPr>
        <w:t>（2）税务登记证；</w:t>
      </w:r>
    </w:p>
    <w:p>
      <w:pPr>
        <w:pStyle w:val="12"/>
        <w:spacing w:line="400" w:lineRule="exact"/>
        <w:ind w:firstLine="475" w:firstLineChars="198"/>
        <w:rPr>
          <w:rFonts w:hAnsi="宋体"/>
          <w:sz w:val="24"/>
        </w:rPr>
      </w:pPr>
      <w:r>
        <w:rPr>
          <w:rFonts w:hint="eastAsia" w:hAnsi="宋体"/>
          <w:sz w:val="24"/>
        </w:rPr>
        <w:t>（3）组织机构代码证；</w:t>
      </w:r>
    </w:p>
    <w:p>
      <w:pPr>
        <w:pStyle w:val="12"/>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2"/>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2"/>
        <w:spacing w:line="400" w:lineRule="exact"/>
        <w:ind w:firstLine="475" w:firstLineChars="198"/>
        <w:rPr>
          <w:rFonts w:hint="eastAsia"/>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2"/>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2"/>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2"/>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2"/>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2"/>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2"/>
        <w:spacing w:line="400" w:lineRule="exact"/>
        <w:ind w:firstLine="480" w:firstLineChars="200"/>
        <w:jc w:val="left"/>
        <w:rPr>
          <w:rFonts w:hAnsi="宋体"/>
          <w:sz w:val="24"/>
        </w:rPr>
      </w:pPr>
      <w:r>
        <w:rPr>
          <w:rFonts w:hint="eastAsia" w:hAnsi="宋体"/>
          <w:sz w:val="24"/>
        </w:rPr>
        <w:t>21.项目采购失败处理</w:t>
      </w:r>
    </w:p>
    <w:p>
      <w:pPr>
        <w:pStyle w:val="12"/>
        <w:spacing w:line="400" w:lineRule="exact"/>
        <w:ind w:firstLine="480" w:firstLineChars="200"/>
        <w:jc w:val="left"/>
        <w:rPr>
          <w:rFonts w:hAnsi="宋体"/>
          <w:sz w:val="24"/>
        </w:rPr>
      </w:pPr>
      <w:r>
        <w:rPr>
          <w:rFonts w:hint="eastAsia" w:hAnsi="宋体"/>
          <w:sz w:val="24"/>
        </w:rPr>
        <w:t>出现下列情况将作采购失败处理：</w:t>
      </w:r>
    </w:p>
    <w:p>
      <w:pPr>
        <w:pStyle w:val="12"/>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2"/>
        <w:spacing w:line="400" w:lineRule="exact"/>
        <w:ind w:firstLine="480" w:firstLineChars="200"/>
        <w:jc w:val="left"/>
        <w:rPr>
          <w:rFonts w:hAnsi="宋体"/>
          <w:sz w:val="24"/>
        </w:rPr>
      </w:pPr>
      <w:r>
        <w:rPr>
          <w:rFonts w:hint="eastAsia" w:hAnsi="宋体"/>
          <w:sz w:val="24"/>
        </w:rPr>
        <w:t>(二)出现影响采购公正的违法、违规行为的；</w:t>
      </w:r>
    </w:p>
    <w:p>
      <w:pPr>
        <w:pStyle w:val="12"/>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2"/>
        <w:spacing w:line="400" w:lineRule="exact"/>
        <w:ind w:firstLine="480" w:firstLineChars="200"/>
        <w:jc w:val="left"/>
        <w:rPr>
          <w:rFonts w:hAnsi="宋体"/>
          <w:sz w:val="24"/>
        </w:rPr>
      </w:pPr>
      <w:r>
        <w:rPr>
          <w:rFonts w:hint="eastAsia" w:hAnsi="宋体"/>
          <w:sz w:val="24"/>
        </w:rPr>
        <w:t>（四）因重大变故，采购任务取消的。</w:t>
      </w:r>
    </w:p>
    <w:p>
      <w:pPr>
        <w:pStyle w:val="31"/>
        <w:spacing w:line="400" w:lineRule="exact"/>
        <w:jc w:val="center"/>
        <w:outlineLvl w:val="9"/>
        <w:rPr>
          <w:rFonts w:hAnsi="宋体"/>
          <w:b/>
          <w:sz w:val="24"/>
        </w:rPr>
      </w:pPr>
      <w:r>
        <w:rPr>
          <w:rFonts w:hint="eastAsia" w:hAnsi="宋体"/>
          <w:b/>
          <w:sz w:val="24"/>
        </w:rPr>
        <w:t>六、成交与签订合同</w:t>
      </w:r>
    </w:p>
    <w:p>
      <w:pPr>
        <w:pStyle w:val="12"/>
        <w:spacing w:line="400" w:lineRule="exact"/>
        <w:jc w:val="left"/>
        <w:rPr>
          <w:rFonts w:hAnsi="宋体"/>
          <w:sz w:val="24"/>
        </w:rPr>
      </w:pPr>
      <w:r>
        <w:rPr>
          <w:rFonts w:hint="eastAsia" w:hAnsi="宋体"/>
          <w:sz w:val="24"/>
        </w:rPr>
        <w:t>22.成交准则</w:t>
      </w:r>
    </w:p>
    <w:p>
      <w:pPr>
        <w:pStyle w:val="12"/>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2"/>
        <w:spacing w:line="400" w:lineRule="exact"/>
        <w:jc w:val="left"/>
        <w:rPr>
          <w:rFonts w:hAnsi="宋体"/>
          <w:b/>
          <w:sz w:val="24"/>
        </w:rPr>
      </w:pPr>
      <w:r>
        <w:rPr>
          <w:rFonts w:hint="eastAsia" w:hAnsi="宋体"/>
          <w:b/>
          <w:sz w:val="24"/>
        </w:rPr>
        <w:t>23</w:t>
      </w:r>
      <w:r>
        <w:rPr>
          <w:rFonts w:hAnsi="宋体"/>
          <w:b/>
          <w:sz w:val="24"/>
        </w:rPr>
        <w:t>.成交通知</w:t>
      </w:r>
    </w:p>
    <w:p>
      <w:pPr>
        <w:pStyle w:val="12"/>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2"/>
        <w:spacing w:line="400" w:lineRule="exact"/>
        <w:jc w:val="left"/>
        <w:rPr>
          <w:rFonts w:hAnsi="宋体"/>
          <w:b/>
          <w:sz w:val="24"/>
        </w:rPr>
      </w:pPr>
      <w:r>
        <w:rPr>
          <w:rFonts w:hint="eastAsia" w:hAnsi="宋体"/>
          <w:b/>
          <w:sz w:val="24"/>
        </w:rPr>
        <w:t>24.</w:t>
      </w:r>
      <w:r>
        <w:rPr>
          <w:rFonts w:hAnsi="宋体"/>
          <w:b/>
          <w:sz w:val="24"/>
        </w:rPr>
        <w:t>签订合同</w:t>
      </w:r>
    </w:p>
    <w:p>
      <w:pPr>
        <w:pStyle w:val="12"/>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2"/>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2"/>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2"/>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Pr>
        <w:pStyle w:val="2"/>
      </w:pPr>
    </w:p>
    <w:p>
      <w:pPr>
        <w:pStyle w:val="2"/>
        <w:ind w:left="0" w:leftChars="0" w:firstLine="0" w:firstLineChars="0"/>
      </w:pPr>
    </w:p>
    <w:tbl>
      <w:tblPr>
        <w:tblStyle w:val="18"/>
        <w:tblW w:w="5000" w:type="pct"/>
        <w:tblInd w:w="0" w:type="dxa"/>
        <w:tblLayout w:type="autofit"/>
        <w:tblCellMar>
          <w:top w:w="0" w:type="dxa"/>
          <w:left w:w="108" w:type="dxa"/>
          <w:bottom w:w="0" w:type="dxa"/>
          <w:right w:w="108" w:type="dxa"/>
        </w:tblCellMar>
      </w:tblPr>
      <w:tblGrid>
        <w:gridCol w:w="1254"/>
        <w:gridCol w:w="6457"/>
        <w:gridCol w:w="907"/>
      </w:tblGrid>
      <w:tr>
        <w:tblPrEx>
          <w:tblCellMar>
            <w:top w:w="0" w:type="dxa"/>
            <w:left w:w="108" w:type="dxa"/>
            <w:bottom w:w="0" w:type="dxa"/>
            <w:right w:w="108" w:type="dxa"/>
          </w:tblCellMar>
        </w:tblPrEx>
        <w:trPr>
          <w:trHeight w:val="547" w:hRule="atLeast"/>
        </w:trPr>
        <w:tc>
          <w:tcPr>
            <w:tcW w:w="5000" w:type="pct"/>
            <w:gridSpan w:val="3"/>
            <w:tcBorders>
              <w:top w:val="single" w:color="000000" w:sz="8" w:space="0"/>
              <w:left w:val="single" w:color="000000" w:sz="8" w:space="0"/>
              <w:bottom w:val="single" w:color="000000" w:sz="8" w:space="0"/>
              <w:right w:val="single" w:color="000000" w:sz="8" w:space="0"/>
            </w:tcBorders>
            <w:vAlign w:val="center"/>
          </w:tcPr>
          <w:p>
            <w:pPr>
              <w:spacing w:line="400" w:lineRule="exact"/>
              <w:jc w:val="center"/>
              <w:rPr>
                <w:rFonts w:ascii="宋体" w:hAnsi="宋体" w:eastAsia="宋体"/>
                <w:kern w:val="0"/>
                <w:sz w:val="32"/>
                <w:szCs w:val="32"/>
              </w:rPr>
            </w:pPr>
            <w:r>
              <w:rPr>
                <w:rFonts w:hint="eastAsia" w:cs="宋体" w:asciiTheme="minorHAnsi" w:hAnsiTheme="minorHAnsi" w:eastAsiaTheme="minorEastAsia"/>
                <w:b/>
                <w:bCs/>
                <w:kern w:val="44"/>
                <w:sz w:val="32"/>
                <w:szCs w:val="44"/>
                <w:lang w:val="en-US" w:eastAsia="zh-CN" w:bidi="ar-SA"/>
              </w:rPr>
              <w:t>IPv6网络升级设备技术参数要求</w:t>
            </w:r>
          </w:p>
        </w:tc>
      </w:tr>
      <w:tr>
        <w:tblPrEx>
          <w:tblCellMar>
            <w:top w:w="0" w:type="dxa"/>
            <w:left w:w="108" w:type="dxa"/>
            <w:bottom w:w="0" w:type="dxa"/>
            <w:right w:w="108" w:type="dxa"/>
          </w:tblCellMar>
        </w:tblPrEx>
        <w:trPr>
          <w:trHeight w:val="408" w:hRule="atLeast"/>
        </w:trPr>
        <w:tc>
          <w:tcPr>
            <w:tcW w:w="728" w:type="pct"/>
            <w:tcBorders>
              <w:top w:val="single" w:color="000000" w:sz="8" w:space="0"/>
              <w:left w:val="single" w:color="000000" w:sz="8" w:space="0"/>
              <w:bottom w:val="single" w:color="000000" w:sz="8" w:space="0"/>
              <w:right w:val="single" w:color="000000" w:sz="8" w:space="0"/>
            </w:tcBorders>
            <w:vAlign w:val="center"/>
          </w:tcPr>
          <w:p>
            <w:pPr>
              <w:spacing w:line="400" w:lineRule="exact"/>
              <w:jc w:val="center"/>
              <w:rPr>
                <w:rFonts w:hint="eastAsia" w:ascii="宋体" w:hAnsi="宋体" w:eastAsia="宋体"/>
                <w:kern w:val="0"/>
                <w:sz w:val="24"/>
              </w:rPr>
            </w:pPr>
            <w:r>
              <w:rPr>
                <w:rFonts w:hint="eastAsia" w:ascii="宋体" w:hAnsi="宋体" w:eastAsia="宋体"/>
                <w:kern w:val="0"/>
                <w:sz w:val="24"/>
              </w:rPr>
              <w:t>名称</w:t>
            </w:r>
          </w:p>
        </w:tc>
        <w:tc>
          <w:tcPr>
            <w:tcW w:w="3746" w:type="pct"/>
            <w:tcBorders>
              <w:top w:val="single" w:color="000000" w:sz="8" w:space="0"/>
              <w:left w:val="nil"/>
              <w:bottom w:val="single" w:color="000000" w:sz="8" w:space="0"/>
              <w:right w:val="single" w:color="000000" w:sz="8" w:space="0"/>
            </w:tcBorders>
            <w:vAlign w:val="center"/>
          </w:tcPr>
          <w:p>
            <w:pPr>
              <w:spacing w:line="400" w:lineRule="exact"/>
              <w:jc w:val="center"/>
              <w:rPr>
                <w:rFonts w:hint="eastAsia" w:ascii="宋体" w:hAnsi="宋体" w:eastAsia="宋体"/>
                <w:kern w:val="0"/>
                <w:sz w:val="24"/>
              </w:rPr>
            </w:pPr>
            <w:r>
              <w:rPr>
                <w:rFonts w:hint="eastAsia" w:ascii="宋体" w:hAnsi="宋体" w:eastAsia="宋体"/>
                <w:kern w:val="0"/>
                <w:sz w:val="24"/>
              </w:rPr>
              <w:t>技术参数</w:t>
            </w:r>
          </w:p>
        </w:tc>
        <w:tc>
          <w:tcPr>
            <w:tcW w:w="525" w:type="pct"/>
            <w:tcBorders>
              <w:top w:val="single" w:color="000000" w:sz="8" w:space="0"/>
              <w:left w:val="nil"/>
              <w:bottom w:val="single" w:color="000000" w:sz="8" w:space="0"/>
              <w:right w:val="single" w:color="000000" w:sz="8" w:space="0"/>
            </w:tcBorders>
            <w:vAlign w:val="center"/>
          </w:tcPr>
          <w:p>
            <w:pPr>
              <w:spacing w:line="400" w:lineRule="exact"/>
              <w:jc w:val="center"/>
              <w:rPr>
                <w:rFonts w:hint="eastAsia" w:ascii="宋体" w:hAnsi="宋体" w:eastAsia="宋体"/>
                <w:kern w:val="0"/>
                <w:sz w:val="24"/>
              </w:rPr>
            </w:pPr>
            <w:r>
              <w:rPr>
                <w:rFonts w:hint="eastAsia" w:ascii="宋体" w:hAnsi="宋体" w:eastAsia="宋体"/>
                <w:kern w:val="0"/>
                <w:sz w:val="24"/>
              </w:rPr>
              <w:t>数量</w:t>
            </w:r>
          </w:p>
        </w:tc>
      </w:tr>
      <w:tr>
        <w:tblPrEx>
          <w:tblCellMar>
            <w:top w:w="0" w:type="dxa"/>
            <w:left w:w="108" w:type="dxa"/>
            <w:bottom w:w="0" w:type="dxa"/>
            <w:right w:w="108" w:type="dxa"/>
          </w:tblCellMar>
        </w:tblPrEx>
        <w:trPr>
          <w:trHeight w:val="686" w:hRule="atLeast"/>
        </w:trPr>
        <w:tc>
          <w:tcPr>
            <w:tcW w:w="728"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IPv4/IPv6协议翻译设备</w:t>
            </w:r>
          </w:p>
        </w:tc>
        <w:tc>
          <w:tcPr>
            <w:tcW w:w="3746" w:type="pct"/>
            <w:tcBorders>
              <w:top w:val="single" w:color="000000" w:sz="8" w:space="0"/>
              <w:left w:val="nil"/>
              <w:bottom w:val="single" w:color="000000" w:sz="8" w:space="0"/>
              <w:right w:val="single" w:color="000000" w:sz="8" w:space="0"/>
            </w:tcBorders>
          </w:tcPr>
          <w:p>
            <w:pPr>
              <w:spacing w:line="340" w:lineRule="exact"/>
              <w:rPr>
                <w:rFonts w:hint="eastAsia" w:ascii="宋体" w:hAnsi="宋体"/>
                <w:szCs w:val="21"/>
              </w:rPr>
            </w:pPr>
            <w:r>
              <w:rPr>
                <w:rFonts w:hint="eastAsia" w:ascii="宋体" w:hAnsi="宋体"/>
                <w:szCs w:val="21"/>
              </w:rPr>
              <w:t>一、硬件要求：</w:t>
            </w:r>
          </w:p>
          <w:p>
            <w:pPr>
              <w:spacing w:line="340" w:lineRule="exact"/>
              <w:rPr>
                <w:rFonts w:hint="eastAsia" w:ascii="宋体" w:hAnsi="宋体"/>
                <w:szCs w:val="21"/>
              </w:rPr>
            </w:pPr>
            <w:r>
              <w:rPr>
                <w:rFonts w:hint="eastAsia" w:ascii="宋体" w:hAnsi="宋体"/>
                <w:szCs w:val="21"/>
              </w:rPr>
              <w:t>1.CPU：单块处理器核心数≥4个，处理器配置数量≥1块。</w:t>
            </w:r>
          </w:p>
          <w:p>
            <w:pPr>
              <w:spacing w:line="340" w:lineRule="exact"/>
              <w:rPr>
                <w:rFonts w:hint="eastAsia" w:ascii="宋体" w:hAnsi="宋体"/>
                <w:szCs w:val="21"/>
              </w:rPr>
            </w:pPr>
            <w:r>
              <w:rPr>
                <w:rFonts w:hint="eastAsia" w:ascii="宋体" w:hAnsi="宋体"/>
                <w:szCs w:val="21"/>
              </w:rPr>
              <w:t>2.内存：DDR4≥16GB。</w:t>
            </w:r>
          </w:p>
          <w:p>
            <w:pPr>
              <w:spacing w:line="340" w:lineRule="exact"/>
              <w:rPr>
                <w:rFonts w:hint="eastAsia" w:ascii="宋体" w:hAnsi="宋体"/>
                <w:szCs w:val="21"/>
              </w:rPr>
            </w:pPr>
            <w:r>
              <w:rPr>
                <w:rFonts w:hint="eastAsia" w:ascii="宋体" w:hAnsi="宋体"/>
                <w:szCs w:val="21"/>
              </w:rPr>
              <w:t>3.硬盘：容量≥500GB。</w:t>
            </w:r>
          </w:p>
          <w:p>
            <w:pPr>
              <w:spacing w:line="340" w:lineRule="exact"/>
              <w:rPr>
                <w:rFonts w:hint="eastAsia" w:ascii="宋体" w:hAnsi="宋体"/>
                <w:szCs w:val="21"/>
              </w:rPr>
            </w:pPr>
            <w:r>
              <w:rPr>
                <w:rFonts w:hint="eastAsia" w:ascii="宋体" w:hAnsi="宋体"/>
                <w:szCs w:val="21"/>
              </w:rPr>
              <w:t xml:space="preserve">4.网络接口：千兆接口≥4个。  </w:t>
            </w:r>
          </w:p>
          <w:p>
            <w:pPr>
              <w:spacing w:line="340" w:lineRule="exact"/>
              <w:rPr>
                <w:rFonts w:hint="eastAsia" w:ascii="宋体" w:hAnsi="宋体"/>
                <w:szCs w:val="21"/>
              </w:rPr>
            </w:pPr>
            <w:r>
              <w:rPr>
                <w:rFonts w:hint="eastAsia" w:ascii="宋体" w:hAnsi="宋体"/>
                <w:szCs w:val="21"/>
              </w:rPr>
              <w:t>5.吞吐量：单向吞吐量≥1.8Gbps，双向吞吐量≥3.6Gbps。</w:t>
            </w:r>
          </w:p>
          <w:p>
            <w:pPr>
              <w:spacing w:line="340" w:lineRule="exact"/>
              <w:rPr>
                <w:rFonts w:hint="eastAsia" w:ascii="宋体" w:hAnsi="宋体"/>
                <w:szCs w:val="21"/>
              </w:rPr>
            </w:pPr>
            <w:r>
              <w:rPr>
                <w:rFonts w:hint="eastAsia" w:ascii="宋体" w:hAnsi="宋体"/>
                <w:szCs w:val="21"/>
              </w:rPr>
              <w:t>6.最大并发连接数：≥300万。</w:t>
            </w:r>
          </w:p>
          <w:p>
            <w:pPr>
              <w:spacing w:line="340" w:lineRule="exact"/>
              <w:rPr>
                <w:rFonts w:hint="eastAsia" w:ascii="宋体" w:hAnsi="宋体"/>
                <w:szCs w:val="21"/>
              </w:rPr>
            </w:pPr>
            <w:r>
              <w:rPr>
                <w:rFonts w:hint="eastAsia" w:ascii="宋体" w:hAnsi="宋体"/>
                <w:szCs w:val="21"/>
              </w:rPr>
              <w:t>7.最大新建连接数:≥50000个/秒。</w:t>
            </w:r>
          </w:p>
          <w:p>
            <w:pPr>
              <w:spacing w:line="340" w:lineRule="exact"/>
              <w:rPr>
                <w:rFonts w:hint="eastAsia" w:ascii="宋体" w:hAnsi="宋体"/>
                <w:szCs w:val="21"/>
              </w:rPr>
            </w:pPr>
            <w:r>
              <w:rPr>
                <w:rFonts w:hint="eastAsia" w:ascii="宋体" w:hAnsi="宋体"/>
                <w:szCs w:val="21"/>
              </w:rPr>
              <w:t>二、功能要求</w:t>
            </w:r>
          </w:p>
          <w:p>
            <w:pPr>
              <w:spacing w:line="340" w:lineRule="exact"/>
              <w:rPr>
                <w:rFonts w:hint="eastAsia" w:ascii="宋体" w:hAnsi="宋体"/>
                <w:szCs w:val="21"/>
              </w:rPr>
            </w:pPr>
            <w:r>
              <w:rPr>
                <w:rFonts w:hint="eastAsia" w:ascii="宋体" w:hAnsi="宋体"/>
                <w:szCs w:val="21"/>
              </w:rPr>
              <w:t>1.支持NAT64、NAT66协议。保持现有IPv4网络架构和主要设备不变，在Web应用系统无需改动的前提下，进行设备的部署，实现翻译功能。</w:t>
            </w:r>
          </w:p>
          <w:p>
            <w:pPr>
              <w:spacing w:line="340" w:lineRule="exact"/>
              <w:rPr>
                <w:rFonts w:hint="eastAsia" w:ascii="宋体" w:hAnsi="宋体"/>
                <w:szCs w:val="21"/>
              </w:rPr>
            </w:pPr>
            <w:r>
              <w:rPr>
                <w:rFonts w:hint="eastAsia" w:ascii="宋体" w:hAnsi="宋体"/>
                <w:szCs w:val="21"/>
              </w:rPr>
              <w:t>2.跨协议栈互访：支持IPv4/IPv6用户访问IPv4/IPv6信息源。</w:t>
            </w:r>
          </w:p>
          <w:p>
            <w:pPr>
              <w:spacing w:line="340" w:lineRule="exact"/>
              <w:rPr>
                <w:rFonts w:hint="eastAsia" w:ascii="宋体" w:hAnsi="宋体"/>
                <w:szCs w:val="21"/>
              </w:rPr>
            </w:pPr>
            <w:r>
              <w:rPr>
                <w:rFonts w:hint="eastAsia" w:ascii="宋体" w:hAnsi="宋体"/>
                <w:szCs w:val="21"/>
              </w:rPr>
              <w:t>3.天窗及外链：支持处理显示天窗问题以及打开外链的问题，当网站页面链接使站外非IPv6资源是可以正常显示和使用。</w:t>
            </w:r>
          </w:p>
          <w:p>
            <w:pPr>
              <w:spacing w:line="340" w:lineRule="exact"/>
              <w:rPr>
                <w:rFonts w:hint="eastAsia" w:ascii="宋体" w:hAnsi="宋体"/>
                <w:szCs w:val="21"/>
              </w:rPr>
            </w:pPr>
            <w:r>
              <w:rPr>
                <w:rFonts w:hint="eastAsia" w:ascii="宋体" w:hAnsi="宋体"/>
                <w:szCs w:val="21"/>
              </w:rPr>
              <w:t>4.安全特性：支持基于IPv4/IPv6地址的源和目标访问控制。</w:t>
            </w:r>
          </w:p>
          <w:p>
            <w:pPr>
              <w:spacing w:line="340" w:lineRule="exact"/>
              <w:rPr>
                <w:rFonts w:hint="eastAsia" w:ascii="宋体" w:hAnsi="宋体"/>
                <w:szCs w:val="21"/>
              </w:rPr>
            </w:pPr>
            <w:r>
              <w:rPr>
                <w:rFonts w:hint="eastAsia" w:ascii="宋体" w:hAnsi="宋体"/>
                <w:szCs w:val="21"/>
              </w:rPr>
              <w:t>5.日志管理：支持IPv4/IPv6协议转换日志记录功能。提供系统操作日志、支持访问日志的自定义查询。日志保存180天以上。</w:t>
            </w:r>
          </w:p>
          <w:p>
            <w:pPr>
              <w:spacing w:line="340" w:lineRule="exact"/>
              <w:rPr>
                <w:rFonts w:hint="eastAsia" w:ascii="宋体" w:hAnsi="宋体"/>
                <w:szCs w:val="21"/>
              </w:rPr>
            </w:pPr>
            <w:r>
              <w:rPr>
                <w:rFonts w:hint="eastAsia" w:ascii="宋体" w:hAnsi="宋体"/>
                <w:szCs w:val="21"/>
              </w:rPr>
              <w:t>三、其它要求：</w:t>
            </w:r>
          </w:p>
          <w:p>
            <w:pPr>
              <w:spacing w:line="340" w:lineRule="exact"/>
              <w:rPr>
                <w:rFonts w:hint="eastAsia" w:ascii="宋体" w:hAnsi="宋体"/>
                <w:szCs w:val="21"/>
              </w:rPr>
            </w:pPr>
            <w:r>
              <w:rPr>
                <w:rFonts w:hint="eastAsia" w:ascii="宋体" w:hAnsi="宋体"/>
                <w:szCs w:val="21"/>
              </w:rPr>
              <w:t>1.具备中国国家信息安全（ISCCC）产品认证证书提供对应认证证书复印件，加盖原厂鲜章。</w:t>
            </w:r>
          </w:p>
          <w:p>
            <w:pPr>
              <w:spacing w:line="340" w:lineRule="exact"/>
              <w:rPr>
                <w:rFonts w:hint="eastAsia" w:ascii="宋体" w:hAnsi="宋体"/>
                <w:szCs w:val="21"/>
              </w:rPr>
            </w:pPr>
            <w:r>
              <w:rPr>
                <w:rFonts w:hint="eastAsia" w:ascii="宋体" w:hAnsi="宋体"/>
                <w:szCs w:val="21"/>
              </w:rPr>
              <w:t>2.具备公安部信息系统安全等级保护测评三级认证测试报告提供对应认证证书复印件，加盖原厂鲜章。</w:t>
            </w:r>
          </w:p>
          <w:p>
            <w:pPr>
              <w:spacing w:line="340" w:lineRule="exact"/>
              <w:rPr>
                <w:rFonts w:hint="eastAsia" w:ascii="宋体" w:hAnsi="宋体"/>
                <w:szCs w:val="21"/>
              </w:rPr>
            </w:pPr>
            <w:r>
              <w:rPr>
                <w:rFonts w:hint="eastAsia" w:ascii="宋体" w:hAnsi="宋体"/>
                <w:szCs w:val="21"/>
              </w:rPr>
              <w:t>3.产品获得工信部电信设备进网许可证证书提供对应认证证书复印件，加盖原厂鲜章。</w:t>
            </w:r>
          </w:p>
          <w:p>
            <w:pPr>
              <w:spacing w:line="340" w:lineRule="exact"/>
              <w:rPr>
                <w:rFonts w:hint="eastAsia" w:ascii="宋体" w:hAnsi="宋体"/>
                <w:szCs w:val="21"/>
              </w:rPr>
            </w:pPr>
            <w:r>
              <w:rPr>
                <w:rFonts w:hint="eastAsia" w:ascii="宋体" w:hAnsi="宋体"/>
                <w:szCs w:val="21"/>
              </w:rPr>
              <w:t>4.三年硬件质保、软件免费升级。</w:t>
            </w:r>
          </w:p>
        </w:tc>
        <w:tc>
          <w:tcPr>
            <w:tcW w:w="525" w:type="pct"/>
            <w:tcBorders>
              <w:top w:val="single" w:color="000000" w:sz="8"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1台</w:t>
            </w:r>
          </w:p>
        </w:tc>
      </w:tr>
      <w:tr>
        <w:tblPrEx>
          <w:tblCellMar>
            <w:top w:w="0" w:type="dxa"/>
            <w:left w:w="108" w:type="dxa"/>
            <w:bottom w:w="0" w:type="dxa"/>
            <w:right w:w="108" w:type="dxa"/>
          </w:tblCellMar>
        </w:tblPrEx>
        <w:trPr>
          <w:trHeight w:val="686" w:hRule="atLeast"/>
        </w:trPr>
        <w:tc>
          <w:tcPr>
            <w:tcW w:w="728"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IPv4/IPv6智能DNS</w:t>
            </w:r>
          </w:p>
        </w:tc>
        <w:tc>
          <w:tcPr>
            <w:tcW w:w="3746" w:type="pct"/>
            <w:tcBorders>
              <w:top w:val="single" w:color="000000" w:sz="8" w:space="0"/>
              <w:left w:val="nil"/>
              <w:bottom w:val="single" w:color="000000" w:sz="8" w:space="0"/>
              <w:right w:val="single" w:color="000000" w:sz="8" w:space="0"/>
            </w:tcBorders>
          </w:tcPr>
          <w:p>
            <w:pPr>
              <w:spacing w:line="340" w:lineRule="exact"/>
              <w:rPr>
                <w:rFonts w:hint="eastAsia" w:ascii="宋体" w:hAnsi="宋体"/>
                <w:szCs w:val="21"/>
              </w:rPr>
            </w:pPr>
            <w:r>
              <w:rPr>
                <w:rFonts w:hint="eastAsia" w:ascii="宋体" w:hAnsi="宋体"/>
                <w:szCs w:val="21"/>
              </w:rPr>
              <w:t>一、硬件要求：</w:t>
            </w:r>
          </w:p>
          <w:p>
            <w:pPr>
              <w:spacing w:line="340" w:lineRule="exact"/>
              <w:rPr>
                <w:rFonts w:hint="eastAsia" w:ascii="宋体" w:hAnsi="宋体"/>
                <w:szCs w:val="21"/>
              </w:rPr>
            </w:pPr>
            <w:r>
              <w:rPr>
                <w:rFonts w:hint="eastAsia" w:ascii="宋体" w:hAnsi="宋体"/>
                <w:szCs w:val="21"/>
              </w:rPr>
              <w:t>1.千兆接口≥4个，内置磁盘容量≥1TB。</w:t>
            </w:r>
          </w:p>
          <w:p>
            <w:pPr>
              <w:spacing w:line="340" w:lineRule="exact"/>
              <w:rPr>
                <w:rFonts w:hint="eastAsia" w:ascii="宋体" w:hAnsi="宋体"/>
                <w:szCs w:val="21"/>
              </w:rPr>
            </w:pPr>
            <w:r>
              <w:rPr>
                <w:rFonts w:hint="eastAsia" w:ascii="宋体" w:hAnsi="宋体"/>
                <w:szCs w:val="21"/>
              </w:rPr>
              <w:t>2.性能QPS≥80000。</w:t>
            </w:r>
          </w:p>
          <w:p>
            <w:pPr>
              <w:spacing w:line="340" w:lineRule="exact"/>
              <w:rPr>
                <w:rFonts w:hint="eastAsia" w:ascii="宋体" w:hAnsi="宋体"/>
                <w:szCs w:val="21"/>
              </w:rPr>
            </w:pPr>
            <w:r>
              <w:rPr>
                <w:rFonts w:hint="eastAsia" w:ascii="宋体" w:hAnsi="宋体"/>
                <w:szCs w:val="21"/>
              </w:rPr>
              <w:t>二、功能要求：</w:t>
            </w:r>
          </w:p>
          <w:p>
            <w:pPr>
              <w:spacing w:line="340" w:lineRule="exact"/>
              <w:rPr>
                <w:rFonts w:hint="eastAsia" w:ascii="宋体" w:hAnsi="宋体"/>
                <w:color w:val="000000"/>
                <w:szCs w:val="21"/>
              </w:rPr>
            </w:pPr>
            <w:r>
              <w:rPr>
                <w:rFonts w:hint="eastAsia" w:ascii="宋体" w:hAnsi="宋体"/>
                <w:szCs w:val="21"/>
              </w:rPr>
              <w:t>1.</w:t>
            </w:r>
            <w:r>
              <w:rPr>
                <w:rFonts w:hint="eastAsia" w:ascii="宋体" w:hAnsi="宋体"/>
                <w:color w:val="000000"/>
                <w:szCs w:val="21"/>
              </w:rPr>
              <w:t>支持纯IPv6，纯IPv4和IPv6/IPv4双栈协议解析。</w:t>
            </w:r>
          </w:p>
          <w:p>
            <w:pPr>
              <w:spacing w:line="340" w:lineRule="exact"/>
              <w:rPr>
                <w:rFonts w:hint="eastAsia" w:ascii="宋体" w:hAnsi="宋体"/>
                <w:color w:val="000000"/>
                <w:szCs w:val="21"/>
              </w:rPr>
            </w:pPr>
            <w:r>
              <w:rPr>
                <w:rFonts w:hint="eastAsia" w:ascii="宋体" w:hAnsi="宋体"/>
                <w:color w:val="000000"/>
                <w:szCs w:val="21"/>
              </w:rPr>
              <w:t>2.解析功能：支持正、反向域名解析，支持自动创建反向解析域名。</w:t>
            </w:r>
          </w:p>
          <w:p>
            <w:pPr>
              <w:spacing w:line="340" w:lineRule="exact"/>
              <w:rPr>
                <w:rFonts w:hint="eastAsia" w:ascii="宋体" w:hAnsi="宋体"/>
                <w:color w:val="000000"/>
                <w:szCs w:val="21"/>
              </w:rPr>
            </w:pPr>
            <w:r>
              <w:rPr>
                <w:rFonts w:hint="eastAsia" w:ascii="宋体" w:hAnsi="宋体"/>
                <w:color w:val="000000"/>
                <w:szCs w:val="21"/>
              </w:rPr>
              <w:t>3.域名记录类型：支持A、AAAA、A6、CNAME、DNAME、HINFO、MX、NS、NAPTR、PTR、SRV、TXT、URL记录类型。</w:t>
            </w:r>
          </w:p>
          <w:p>
            <w:pPr>
              <w:spacing w:line="340" w:lineRule="exact"/>
              <w:rPr>
                <w:rFonts w:hint="eastAsia" w:ascii="宋体" w:hAnsi="宋体"/>
                <w:color w:val="000000"/>
                <w:szCs w:val="21"/>
              </w:rPr>
            </w:pPr>
            <w:r>
              <w:rPr>
                <w:rFonts w:hint="eastAsia" w:ascii="宋体" w:hAnsi="宋体"/>
                <w:color w:val="000000"/>
                <w:szCs w:val="21"/>
              </w:rPr>
              <w:t>4.智能解析：支持外部用户访问本地站点时，引导不同ISP的用户访问到不同的线路的IP。支持接入多条ISP线路，绑定多个ISP的IP地址，实现对不同ISP提供解析。</w:t>
            </w:r>
          </w:p>
          <w:p>
            <w:pPr>
              <w:spacing w:line="340" w:lineRule="exact"/>
              <w:rPr>
                <w:rFonts w:hint="eastAsia" w:ascii="宋体" w:hAnsi="宋体"/>
                <w:color w:val="000000"/>
                <w:szCs w:val="21"/>
              </w:rPr>
            </w:pPr>
            <w:r>
              <w:rPr>
                <w:rFonts w:hint="eastAsia" w:ascii="宋体" w:hAnsi="宋体"/>
                <w:color w:val="000000"/>
                <w:szCs w:val="21"/>
              </w:rPr>
              <w:t>5.IP库管理：内置国内电信、移动、联通、教育网</w:t>
            </w:r>
            <w:r>
              <w:rPr>
                <w:rFonts w:hint="eastAsia" w:ascii="宋体" w:hAnsi="宋体"/>
                <w:szCs w:val="21"/>
              </w:rPr>
              <w:t>4</w:t>
            </w:r>
            <w:r>
              <w:rPr>
                <w:rFonts w:hint="eastAsia" w:ascii="宋体" w:hAnsi="宋体"/>
                <w:color w:val="000000"/>
                <w:szCs w:val="21"/>
              </w:rPr>
              <w:t>大运营商IP地址库，地址库支持自定义维护，支持远程在线更新。</w:t>
            </w:r>
          </w:p>
          <w:p>
            <w:pPr>
              <w:spacing w:line="340" w:lineRule="exact"/>
              <w:rPr>
                <w:rFonts w:hint="eastAsia" w:ascii="宋体" w:hAnsi="宋体"/>
                <w:color w:val="000000"/>
                <w:szCs w:val="21"/>
              </w:rPr>
            </w:pPr>
            <w:r>
              <w:rPr>
                <w:rFonts w:hint="eastAsia" w:ascii="宋体" w:hAnsi="宋体"/>
                <w:color w:val="000000"/>
                <w:szCs w:val="21"/>
              </w:rPr>
              <w:t>6.资源负载：支持将某网站类型负载到指定出口链路，实现链路均衡利用，提升用户体验。</w:t>
            </w:r>
          </w:p>
          <w:p>
            <w:pPr>
              <w:spacing w:line="340" w:lineRule="exact"/>
              <w:rPr>
                <w:rFonts w:hint="eastAsia" w:ascii="宋体" w:hAnsi="宋体"/>
                <w:color w:val="000000"/>
                <w:szCs w:val="21"/>
              </w:rPr>
            </w:pPr>
            <w:r>
              <w:rPr>
                <w:rFonts w:hint="eastAsia" w:ascii="宋体" w:hAnsi="宋体"/>
                <w:szCs w:val="21"/>
              </w:rPr>
              <w:t>7.</w:t>
            </w:r>
            <w:r>
              <w:rPr>
                <w:rFonts w:hint="eastAsia" w:ascii="宋体" w:hAnsi="宋体"/>
                <w:color w:val="000000"/>
                <w:szCs w:val="21"/>
              </w:rPr>
              <w:t>CDN加速：通过主动检测技术自动维护CDN目录，并提供给用户最快节点的目标地址，起到CDN加速的效果，支持内置主流域名探测并定期更新，支持用户自定义探测。</w:t>
            </w:r>
          </w:p>
          <w:p>
            <w:pPr>
              <w:spacing w:line="340" w:lineRule="exact"/>
              <w:rPr>
                <w:rFonts w:hint="eastAsia" w:ascii="宋体" w:hAnsi="宋体"/>
                <w:color w:val="000000"/>
                <w:szCs w:val="21"/>
              </w:rPr>
            </w:pPr>
            <w:r>
              <w:rPr>
                <w:rFonts w:hint="eastAsia" w:ascii="宋体" w:hAnsi="宋体"/>
                <w:szCs w:val="21"/>
              </w:rPr>
              <w:t>8.</w:t>
            </w:r>
            <w:r>
              <w:rPr>
                <w:rFonts w:hint="eastAsia" w:ascii="宋体" w:hAnsi="宋体"/>
                <w:color w:val="000000"/>
                <w:szCs w:val="21"/>
              </w:rPr>
              <w:t>支持串口、SSH、WEB-GUI、SNMP等多种方式对设备进行管理和维护。支持多人管理，支持分权限自定义管理；支持固件远程在线升级，支持本地升级。</w:t>
            </w:r>
          </w:p>
          <w:p>
            <w:pPr>
              <w:spacing w:line="340" w:lineRule="exact"/>
              <w:rPr>
                <w:rFonts w:hint="eastAsia" w:ascii="宋体" w:hAnsi="宋体"/>
                <w:color w:val="000000"/>
                <w:szCs w:val="21"/>
              </w:rPr>
            </w:pPr>
            <w:r>
              <w:rPr>
                <w:rFonts w:hint="eastAsia" w:ascii="宋体" w:hAnsi="宋体"/>
                <w:color w:val="000000"/>
                <w:szCs w:val="21"/>
              </w:rPr>
              <w:t>9.</w:t>
            </w:r>
            <w:r>
              <w:rPr>
                <w:rFonts w:hint="eastAsia" w:ascii="宋体" w:hAnsi="宋体"/>
                <w:szCs w:val="21"/>
              </w:rPr>
              <w:t>支持自动定期备份系统配置到本地或远程服务器，并可以使用备份文件进行恢复。</w:t>
            </w:r>
          </w:p>
          <w:p>
            <w:pPr>
              <w:spacing w:line="340" w:lineRule="exact"/>
              <w:rPr>
                <w:rFonts w:hint="eastAsia" w:ascii="宋体" w:hAnsi="宋体"/>
                <w:color w:val="000000"/>
                <w:szCs w:val="21"/>
              </w:rPr>
            </w:pPr>
            <w:r>
              <w:rPr>
                <w:rFonts w:hint="eastAsia" w:ascii="宋体" w:hAnsi="宋体"/>
                <w:color w:val="000000"/>
                <w:szCs w:val="21"/>
              </w:rPr>
              <w:t>三、日志要求：</w:t>
            </w:r>
          </w:p>
          <w:p>
            <w:pPr>
              <w:spacing w:line="340" w:lineRule="exact"/>
              <w:rPr>
                <w:rFonts w:hint="eastAsia" w:ascii="宋体" w:hAnsi="宋体"/>
                <w:color w:val="000000"/>
                <w:szCs w:val="21"/>
              </w:rPr>
            </w:pPr>
            <w:r>
              <w:rPr>
                <w:rFonts w:hint="eastAsia" w:ascii="宋体" w:hAnsi="宋体"/>
                <w:color w:val="000000"/>
                <w:szCs w:val="21"/>
              </w:rPr>
              <w:t>1.日志记录：支持记录系统日志、查询日志、安全日志、操作日志、登录日志、系统日志等。</w:t>
            </w:r>
          </w:p>
          <w:p>
            <w:pPr>
              <w:spacing w:line="340" w:lineRule="exact"/>
              <w:rPr>
                <w:rFonts w:hint="eastAsia" w:ascii="宋体" w:hAnsi="宋体"/>
                <w:color w:val="000000"/>
                <w:szCs w:val="21"/>
              </w:rPr>
            </w:pPr>
            <w:r>
              <w:rPr>
                <w:rFonts w:hint="eastAsia" w:ascii="宋体" w:hAnsi="宋体"/>
                <w:color w:val="000000"/>
                <w:szCs w:val="21"/>
              </w:rPr>
              <w:t>2.日志分析：支持本地、远程日志深度分析。</w:t>
            </w:r>
            <w:r>
              <w:rPr>
                <w:rFonts w:hint="eastAsia" w:ascii="宋体" w:hAnsi="宋体"/>
                <w:szCs w:val="21"/>
              </w:rPr>
              <w:t>提供对失败解析情况的统计分析，能够从解析失败终端数、解析失败次数占比等多个维度进行统计，以便主动发现问题并及时解决。</w:t>
            </w:r>
          </w:p>
          <w:p>
            <w:pPr>
              <w:spacing w:line="340" w:lineRule="exact"/>
              <w:rPr>
                <w:rFonts w:hint="eastAsia" w:ascii="宋体" w:hAnsi="宋体"/>
                <w:color w:val="000000"/>
                <w:szCs w:val="21"/>
              </w:rPr>
            </w:pPr>
            <w:r>
              <w:rPr>
                <w:rFonts w:hint="eastAsia" w:ascii="宋体" w:hAnsi="宋体"/>
                <w:color w:val="000000"/>
                <w:szCs w:val="21"/>
              </w:rPr>
              <w:t>3.日志存储：支持本地存储日志、远程日志存储。</w:t>
            </w:r>
          </w:p>
          <w:p>
            <w:pPr>
              <w:spacing w:line="340" w:lineRule="exact"/>
              <w:rPr>
                <w:rFonts w:hint="eastAsia" w:ascii="宋体" w:hAnsi="宋体"/>
                <w:color w:val="000000"/>
                <w:szCs w:val="21"/>
              </w:rPr>
            </w:pPr>
            <w:r>
              <w:rPr>
                <w:rFonts w:hint="eastAsia" w:ascii="宋体" w:hAnsi="宋体"/>
                <w:color w:val="000000"/>
                <w:szCs w:val="21"/>
              </w:rPr>
              <w:t>4.报表功能：支持日志分析之后将分析结果以报表报告的方式呈现。</w:t>
            </w:r>
          </w:p>
          <w:p>
            <w:pPr>
              <w:spacing w:line="340" w:lineRule="exact"/>
              <w:rPr>
                <w:rFonts w:hint="eastAsia" w:ascii="宋体" w:hAnsi="宋体"/>
                <w:color w:val="000000"/>
                <w:szCs w:val="21"/>
              </w:rPr>
            </w:pPr>
            <w:r>
              <w:rPr>
                <w:rFonts w:hint="eastAsia" w:ascii="宋体" w:hAnsi="宋体"/>
                <w:color w:val="000000"/>
                <w:szCs w:val="21"/>
              </w:rPr>
              <w:t>四、安全要求：</w:t>
            </w:r>
          </w:p>
          <w:p>
            <w:pPr>
              <w:spacing w:line="340" w:lineRule="exact"/>
              <w:rPr>
                <w:rFonts w:hint="eastAsia" w:ascii="宋体" w:hAnsi="宋体"/>
                <w:szCs w:val="21"/>
              </w:rPr>
            </w:pPr>
            <w:r>
              <w:rPr>
                <w:rFonts w:hint="eastAsia" w:ascii="宋体" w:hAnsi="宋体"/>
                <w:szCs w:val="21"/>
              </w:rPr>
              <w:t>1.支持禁止DNSANY类型请求，支持防止DDOS攻击和放大攻击，支持基于IP或域名进行请求限速，支持自定义防火墙规则。</w:t>
            </w:r>
          </w:p>
          <w:p>
            <w:pPr>
              <w:spacing w:line="340" w:lineRule="exact"/>
              <w:rPr>
                <w:rFonts w:hint="eastAsia" w:ascii="宋体" w:hAnsi="宋体"/>
                <w:szCs w:val="21"/>
              </w:rPr>
            </w:pPr>
            <w:r>
              <w:rPr>
                <w:rFonts w:hint="eastAsia" w:ascii="宋体" w:hAnsi="宋体"/>
                <w:szCs w:val="21"/>
              </w:rPr>
              <w:t>2.支持DNS黑/白名单，自定义待过滤黑名单IP，实时生效。</w:t>
            </w:r>
          </w:p>
          <w:p>
            <w:pPr>
              <w:spacing w:line="340" w:lineRule="exact"/>
              <w:rPr>
                <w:rFonts w:hint="eastAsia" w:ascii="宋体" w:hAnsi="宋体"/>
                <w:szCs w:val="21"/>
              </w:rPr>
            </w:pPr>
            <w:r>
              <w:rPr>
                <w:rFonts w:hint="eastAsia" w:ascii="宋体" w:hAnsi="宋体"/>
                <w:szCs w:val="21"/>
              </w:rPr>
              <w:t>3.支持DNS防火墙响应策略，支持恶意域名的识别和过滤，针对域名进行阻断，支持域名不存在/存在无响应/不启用策略/强制TCP/丢弃/域名劫持等操作。</w:t>
            </w:r>
          </w:p>
          <w:p>
            <w:pPr>
              <w:spacing w:line="340" w:lineRule="exact"/>
              <w:rPr>
                <w:rFonts w:hint="eastAsia" w:ascii="宋体" w:hAnsi="宋体"/>
                <w:szCs w:val="21"/>
              </w:rPr>
            </w:pPr>
            <w:r>
              <w:rPr>
                <w:rFonts w:hint="eastAsia" w:ascii="宋体" w:hAnsi="宋体"/>
                <w:szCs w:val="21"/>
              </w:rPr>
              <w:t>五、其他要求：</w:t>
            </w:r>
          </w:p>
          <w:p>
            <w:pPr>
              <w:spacing w:line="340" w:lineRule="exact"/>
              <w:rPr>
                <w:rFonts w:hint="eastAsia" w:ascii="宋体" w:hAnsi="宋体"/>
                <w:szCs w:val="21"/>
              </w:rPr>
            </w:pPr>
            <w:r>
              <w:rPr>
                <w:rFonts w:hint="eastAsia" w:ascii="宋体" w:hAnsi="宋体"/>
                <w:szCs w:val="21"/>
              </w:rPr>
              <w:t>1.具备中国国家信息安全（ISCCC）产品认证证书提供对应认证证书复印件，加盖原厂鲜章。</w:t>
            </w:r>
          </w:p>
          <w:p>
            <w:pPr>
              <w:spacing w:line="340" w:lineRule="exact"/>
              <w:rPr>
                <w:rFonts w:hint="eastAsia" w:ascii="宋体" w:hAnsi="宋体"/>
                <w:szCs w:val="21"/>
              </w:rPr>
            </w:pPr>
            <w:r>
              <w:rPr>
                <w:rFonts w:hint="eastAsia" w:ascii="宋体" w:hAnsi="宋体"/>
                <w:szCs w:val="21"/>
              </w:rPr>
              <w:t>2.具备公安部信息系统安全等级保护测评三级认证测试报告提供对应认证证书复印件，加盖原厂鲜章。</w:t>
            </w:r>
          </w:p>
          <w:p>
            <w:pPr>
              <w:spacing w:line="340" w:lineRule="exact"/>
              <w:rPr>
                <w:rFonts w:hint="eastAsia" w:ascii="宋体" w:hAnsi="宋体"/>
                <w:szCs w:val="21"/>
              </w:rPr>
            </w:pPr>
            <w:r>
              <w:rPr>
                <w:rFonts w:hint="eastAsia" w:ascii="宋体" w:hAnsi="宋体"/>
                <w:szCs w:val="21"/>
              </w:rPr>
              <w:t>3.产品获得工信部电信设备进网许可证证书提供对应认证证书复印件，加盖原厂鲜章。</w:t>
            </w:r>
          </w:p>
          <w:p>
            <w:pPr>
              <w:spacing w:line="340" w:lineRule="exact"/>
              <w:rPr>
                <w:rFonts w:hint="eastAsia" w:ascii="宋体" w:hAnsi="宋体" w:cs="宋体"/>
                <w:color w:val="000000"/>
                <w:szCs w:val="21"/>
              </w:rPr>
            </w:pPr>
            <w:r>
              <w:rPr>
                <w:rFonts w:hint="eastAsia" w:ascii="宋体" w:hAnsi="宋体"/>
                <w:szCs w:val="21"/>
              </w:rPr>
              <w:t>4.</w:t>
            </w:r>
            <w:r>
              <w:rPr>
                <w:rFonts w:hint="eastAsia" w:ascii="宋体" w:hAnsi="宋体" w:cs="宋体"/>
                <w:color w:val="000000"/>
                <w:szCs w:val="21"/>
              </w:rPr>
              <w:t>提供产品软件著作权证书。</w:t>
            </w:r>
          </w:p>
          <w:p>
            <w:pPr>
              <w:spacing w:line="340" w:lineRule="exact"/>
              <w:rPr>
                <w:rFonts w:hint="eastAsia" w:ascii="宋体" w:hAnsi="宋体"/>
                <w:color w:val="000000"/>
                <w:szCs w:val="21"/>
              </w:rPr>
            </w:pPr>
            <w:r>
              <w:rPr>
                <w:rFonts w:hint="eastAsia" w:ascii="宋体" w:hAnsi="宋体"/>
                <w:color w:val="000000"/>
                <w:szCs w:val="21"/>
              </w:rPr>
              <w:t>5.提供三年全免费质保服务承诺。</w:t>
            </w:r>
          </w:p>
        </w:tc>
        <w:tc>
          <w:tcPr>
            <w:tcW w:w="525" w:type="pct"/>
            <w:tcBorders>
              <w:top w:val="single" w:color="000000" w:sz="8" w:space="0"/>
              <w:left w:val="nil"/>
              <w:bottom w:val="single" w:color="000000" w:sz="8" w:space="0"/>
              <w:right w:val="single" w:color="000000" w:sz="8" w:space="0"/>
            </w:tcBorders>
            <w:vAlign w:val="center"/>
          </w:tcPr>
          <w:p>
            <w:pPr>
              <w:jc w:val="center"/>
              <w:rPr>
                <w:rFonts w:hint="eastAsia" w:ascii="宋体" w:hAnsi="宋体"/>
                <w:szCs w:val="21"/>
              </w:rPr>
            </w:pPr>
            <w:r>
              <w:rPr>
                <w:rFonts w:hint="eastAsia" w:ascii="宋体" w:hAnsi="宋体"/>
                <w:szCs w:val="21"/>
              </w:rPr>
              <w:t>2台</w:t>
            </w:r>
          </w:p>
        </w:tc>
      </w:tr>
    </w:tbl>
    <w:p>
      <w:pPr>
        <w:pStyle w:val="25"/>
        <w:keepNext w:val="0"/>
        <w:keepLines w:val="0"/>
        <w:pageBreakBefore w:val="0"/>
        <w:numPr>
          <w:ilvl w:val="0"/>
          <w:numId w:val="0"/>
        </w:numPr>
        <w:kinsoku/>
        <w:wordWrap/>
        <w:overflowPunct/>
        <w:topLinePunct w:val="0"/>
        <w:bidi w:val="0"/>
        <w:spacing w:line="520" w:lineRule="exact"/>
        <w:textAlignment w:val="auto"/>
        <w:sectPr>
          <w:pgSz w:w="11906" w:h="16838"/>
          <w:pgMar w:top="1440" w:right="1752" w:bottom="1440" w:left="1752" w:header="851" w:footer="992" w:gutter="0"/>
          <w:cols w:space="720" w:num="1"/>
          <w:docGrid w:linePitch="312" w:charSpace="0"/>
        </w:sect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8"/>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8"/>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2"/>
        <w:spacing w:line="360" w:lineRule="auto"/>
        <w:jc w:val="left"/>
        <w:rPr>
          <w:rFonts w:hAnsi="宋体"/>
          <w:sz w:val="24"/>
        </w:rPr>
      </w:pPr>
    </w:p>
    <w:p>
      <w:pPr>
        <w:pStyle w:val="1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2"/>
        <w:spacing w:line="360" w:lineRule="auto"/>
        <w:jc w:val="center"/>
        <w:rPr>
          <w:rFonts w:hAnsi="宋体"/>
          <w:bCs/>
          <w:sz w:val="24"/>
        </w:rPr>
      </w:pPr>
      <w:r>
        <w:rPr>
          <w:rFonts w:hint="eastAsia" w:hAnsi="宋体"/>
          <w:bCs/>
          <w:sz w:val="24"/>
        </w:rPr>
        <w:t>格式自拟</w:t>
      </w: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31"/>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default" w:ascii="宋体" w:hAnsi="宋体" w:eastAsiaTheme="minorEastAsia"/>
          <w:b/>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2"/>
        <w:spacing w:line="360" w:lineRule="auto"/>
        <w:jc w:val="center"/>
        <w:rPr>
          <w:rFonts w:hAnsi="宋体"/>
          <w:b/>
          <w:color w:val="000000"/>
          <w:sz w:val="36"/>
          <w:szCs w:val="36"/>
        </w:rPr>
      </w:pPr>
      <w:r>
        <w:rPr>
          <w:rFonts w:hint="eastAsia" w:hAnsi="宋体"/>
          <w:b/>
          <w:color w:val="000000"/>
          <w:sz w:val="36"/>
          <w:szCs w:val="36"/>
        </w:rPr>
        <w:t>五商务条款偏离表</w:t>
      </w:r>
    </w:p>
    <w:p>
      <w:pPr>
        <w:pStyle w:val="12"/>
        <w:spacing w:line="360" w:lineRule="auto"/>
        <w:rPr>
          <w:rFonts w:hAnsi="宋体"/>
          <w:color w:val="000000"/>
          <w:sz w:val="28"/>
          <w:szCs w:val="28"/>
        </w:rPr>
      </w:pPr>
      <w:r>
        <w:rPr>
          <w:rFonts w:hint="eastAsia" w:hAnsi="宋体"/>
          <w:color w:val="000000"/>
          <w:sz w:val="28"/>
          <w:szCs w:val="28"/>
        </w:rPr>
        <w:t xml:space="preserve">供应商名称：           </w:t>
      </w:r>
    </w:p>
    <w:p>
      <w:pPr>
        <w:pStyle w:val="12"/>
        <w:spacing w:line="360" w:lineRule="auto"/>
        <w:rPr>
          <w:rFonts w:hAnsi="宋体"/>
          <w:color w:val="000000"/>
          <w:sz w:val="28"/>
          <w:szCs w:val="28"/>
        </w:rPr>
      </w:pPr>
      <w:r>
        <w:rPr>
          <w:rFonts w:hint="eastAsia" w:hAnsi="宋体"/>
          <w:color w:val="000000"/>
          <w:sz w:val="28"/>
          <w:szCs w:val="28"/>
        </w:rPr>
        <w:t>采购编号：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4"/>
                <w:szCs w:val="24"/>
              </w:rPr>
            </w:pPr>
          </w:p>
        </w:tc>
        <w:tc>
          <w:tcPr>
            <w:tcW w:w="2118"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4"/>
                <w:szCs w:val="24"/>
              </w:rPr>
            </w:pPr>
          </w:p>
        </w:tc>
        <w:tc>
          <w:tcPr>
            <w:tcW w:w="2118" w:type="dxa"/>
          </w:tcPr>
          <w:p>
            <w:pPr>
              <w:pStyle w:val="12"/>
              <w:spacing w:line="400" w:lineRule="exact"/>
              <w:rPr>
                <w:rFonts w:hAnsi="宋体"/>
                <w:color w:val="000000"/>
                <w:sz w:val="24"/>
                <w:szCs w:val="24"/>
              </w:rPr>
            </w:pPr>
          </w:p>
        </w:tc>
        <w:tc>
          <w:tcPr>
            <w:tcW w:w="2118" w:type="dxa"/>
          </w:tcPr>
          <w:p>
            <w:pPr>
              <w:pStyle w:val="12"/>
              <w:spacing w:line="400" w:lineRule="exact"/>
              <w:rPr>
                <w:rFonts w:hAnsi="宋体"/>
                <w:color w:val="000000"/>
                <w:sz w:val="24"/>
                <w:szCs w:val="24"/>
              </w:rPr>
            </w:pPr>
          </w:p>
        </w:tc>
        <w:tc>
          <w:tcPr>
            <w:tcW w:w="2118" w:type="dxa"/>
          </w:tcPr>
          <w:p>
            <w:pPr>
              <w:pStyle w:val="12"/>
              <w:spacing w:line="400" w:lineRule="exact"/>
              <w:rPr>
                <w:rFonts w:hAnsi="宋体"/>
                <w:color w:val="000000"/>
                <w:sz w:val="24"/>
                <w:szCs w:val="24"/>
              </w:rPr>
            </w:pPr>
          </w:p>
        </w:tc>
        <w:tc>
          <w:tcPr>
            <w:tcW w:w="1245" w:type="dxa"/>
          </w:tcPr>
          <w:p>
            <w:pPr>
              <w:pStyle w:val="12"/>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bl>
    <w:p>
      <w:pPr>
        <w:pStyle w:val="12"/>
        <w:spacing w:line="360" w:lineRule="auto"/>
        <w:jc w:val="center"/>
        <w:rPr>
          <w:rFonts w:hAnsi="宋体"/>
          <w:b/>
          <w:color w:val="000000"/>
          <w:sz w:val="28"/>
          <w:szCs w:val="28"/>
        </w:rPr>
      </w:pPr>
    </w:p>
    <w:p>
      <w:pPr>
        <w:pStyle w:val="12"/>
        <w:spacing w:line="360" w:lineRule="auto"/>
        <w:jc w:val="center"/>
        <w:rPr>
          <w:rFonts w:hAnsi="宋体"/>
          <w:b/>
          <w:color w:val="000000"/>
          <w:sz w:val="28"/>
          <w:szCs w:val="28"/>
        </w:rPr>
      </w:pPr>
    </w:p>
    <w:p>
      <w:pPr>
        <w:pStyle w:val="12"/>
        <w:spacing w:line="360" w:lineRule="auto"/>
        <w:jc w:val="center"/>
        <w:rPr>
          <w:rFonts w:hAnsi="宋体"/>
          <w:b/>
          <w:color w:val="000000"/>
          <w:sz w:val="28"/>
          <w:szCs w:val="28"/>
        </w:rPr>
      </w:pPr>
    </w:p>
    <w:p>
      <w:pPr>
        <w:pStyle w:val="12"/>
        <w:spacing w:line="360" w:lineRule="auto"/>
        <w:rPr>
          <w:rFonts w:hAnsi="宋体"/>
          <w:b/>
          <w:color w:val="000000"/>
          <w:sz w:val="28"/>
          <w:szCs w:val="28"/>
        </w:rPr>
      </w:pPr>
    </w:p>
    <w:p>
      <w:pPr>
        <w:pStyle w:val="1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4"/>
        <w:spacing w:line="336" w:lineRule="auto"/>
        <w:ind w:right="84" w:rightChars="40"/>
        <w:rPr>
          <w:rFonts w:ascii="宋体" w:hAnsi="宋体"/>
          <w:sz w:val="24"/>
          <w:szCs w:val="24"/>
        </w:rPr>
      </w:pPr>
    </w:p>
    <w:p>
      <w:pPr>
        <w:pStyle w:val="34"/>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2"/>
        <w:spacing w:line="360" w:lineRule="auto"/>
        <w:ind w:firstLine="840" w:firstLineChars="300"/>
        <w:rPr>
          <w:rFonts w:asciiTheme="minorEastAsia" w:hAnsiTheme="minorEastAsia" w:cstheme="minorEastAsia"/>
          <w:color w:val="000000"/>
          <w:sz w:val="28"/>
          <w:szCs w:val="28"/>
        </w:rPr>
      </w:pPr>
    </w:p>
    <w:p>
      <w:pPr>
        <w:pStyle w:val="12"/>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）财务状况报告，依法缴纳税收和社会保障资金的相关材料（</w:t>
      </w:r>
      <w:r>
        <w:rPr>
          <w:rFonts w:hint="eastAsia" w:asciiTheme="minorEastAsia" w:hAnsiTheme="minorEastAsia" w:cstheme="minorEastAsia"/>
          <w:sz w:val="24"/>
          <w:szCs w:val="24"/>
          <w:lang w:val="en-US" w:eastAsia="zh-CN"/>
        </w:rPr>
        <w:t>2018年度或者2019年度</w:t>
      </w:r>
      <w:r>
        <w:rPr>
          <w:rFonts w:hint="eastAsia" w:asciiTheme="minorEastAsia" w:hAnsiTheme="minorEastAsia" w:cstheme="minorEastAsia"/>
          <w:sz w:val="24"/>
          <w:szCs w:val="24"/>
          <w:lang w:eastAsia="zh-CN"/>
        </w:rPr>
        <w:t>财务审计报告或银行资信证明或近一年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）提供参加政府采购活动前3年内在经营活动中没有重大违法记录的书面声明；</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2"/>
        <w:spacing w:line="360" w:lineRule="auto"/>
        <w:rPr>
          <w:rFonts w:hint="eastAsia" w:asciiTheme="minorEastAsia" w:hAnsiTheme="minorEastAsia" w:cstheme="minorEastAsia"/>
          <w:b/>
          <w:color w:val="FF0000"/>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Style w:val="12"/>
        <w:spacing w:line="360" w:lineRule="auto"/>
        <w:rPr>
          <w:rFonts w:hint="eastAsia" w:asciiTheme="minorEastAsia" w:hAnsiTheme="minorEastAsia" w:cstheme="minorEastAsia"/>
          <w:b/>
          <w:color w:val="FF0000"/>
          <w:sz w:val="28"/>
          <w:szCs w:val="28"/>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3"/>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3"/>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3"/>
        <w:spacing w:line="360" w:lineRule="auto"/>
        <w:jc w:val="center"/>
        <w:rPr>
          <w:rFonts w:ascii="宋体" w:hAnsi="宋体"/>
          <w:b/>
          <w:spacing w:val="6"/>
          <w:sz w:val="28"/>
          <w:szCs w:val="28"/>
        </w:rPr>
      </w:pPr>
    </w:p>
    <w:p>
      <w:pPr>
        <w:pStyle w:val="33"/>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3"/>
        <w:spacing w:line="360" w:lineRule="auto"/>
        <w:ind w:firstLine="504" w:firstLineChars="200"/>
        <w:rPr>
          <w:rFonts w:ascii="宋体" w:hAnsi="宋体"/>
          <w:color w:val="993300"/>
          <w:spacing w:val="6"/>
          <w:sz w:val="24"/>
        </w:rPr>
      </w:pPr>
    </w:p>
    <w:p>
      <w:pPr>
        <w:pStyle w:val="33"/>
        <w:tabs>
          <w:tab w:val="left" w:pos="4860"/>
        </w:tabs>
        <w:spacing w:line="360" w:lineRule="auto"/>
        <w:ind w:right="1560" w:firstLine="504" w:firstLineChars="200"/>
        <w:jc w:val="center"/>
        <w:rPr>
          <w:rFonts w:ascii="宋体" w:hAnsi="宋体"/>
          <w:spacing w:val="6"/>
          <w:sz w:val="24"/>
        </w:rPr>
      </w:pPr>
    </w:p>
    <w:p>
      <w:pPr>
        <w:pStyle w:val="33"/>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3"/>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3"/>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3"/>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34</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63F1"/>
    <w:multiLevelType w:val="singleLevel"/>
    <w:tmpl w:val="AC6663F1"/>
    <w:lvl w:ilvl="0" w:tentative="0">
      <w:start w:val="11"/>
      <w:numFmt w:val="decimal"/>
      <w:suff w:val="nothing"/>
      <w:lvlText w:val="%1、"/>
      <w:lvlJc w:val="left"/>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45127EF"/>
    <w:rsid w:val="050A61E0"/>
    <w:rsid w:val="05257096"/>
    <w:rsid w:val="055871DA"/>
    <w:rsid w:val="05977CBF"/>
    <w:rsid w:val="05C06C9E"/>
    <w:rsid w:val="063F4412"/>
    <w:rsid w:val="07CB68F8"/>
    <w:rsid w:val="086F28FF"/>
    <w:rsid w:val="089115FE"/>
    <w:rsid w:val="08C3322C"/>
    <w:rsid w:val="09AA25F0"/>
    <w:rsid w:val="0BEB13C9"/>
    <w:rsid w:val="0C0301D2"/>
    <w:rsid w:val="0D410AF2"/>
    <w:rsid w:val="0D580277"/>
    <w:rsid w:val="0DCB288A"/>
    <w:rsid w:val="0E2139E1"/>
    <w:rsid w:val="0EA70C7C"/>
    <w:rsid w:val="0ED320EB"/>
    <w:rsid w:val="0EFC12F2"/>
    <w:rsid w:val="10D30FE9"/>
    <w:rsid w:val="126157BD"/>
    <w:rsid w:val="12781041"/>
    <w:rsid w:val="132B38CA"/>
    <w:rsid w:val="143A0681"/>
    <w:rsid w:val="148D406E"/>
    <w:rsid w:val="14AA53FA"/>
    <w:rsid w:val="14C14126"/>
    <w:rsid w:val="15563104"/>
    <w:rsid w:val="159D653B"/>
    <w:rsid w:val="15A569C1"/>
    <w:rsid w:val="164B7D6D"/>
    <w:rsid w:val="166D6283"/>
    <w:rsid w:val="1692624F"/>
    <w:rsid w:val="16D308AD"/>
    <w:rsid w:val="17A77B57"/>
    <w:rsid w:val="17B71831"/>
    <w:rsid w:val="17D83125"/>
    <w:rsid w:val="184E6EE6"/>
    <w:rsid w:val="18A425AC"/>
    <w:rsid w:val="1BB31C31"/>
    <w:rsid w:val="1BFB3FAF"/>
    <w:rsid w:val="1C213DF8"/>
    <w:rsid w:val="1C2C34F0"/>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0355F4"/>
    <w:rsid w:val="2350523B"/>
    <w:rsid w:val="23E85B71"/>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592D4D"/>
    <w:rsid w:val="2C792640"/>
    <w:rsid w:val="2C9A28A9"/>
    <w:rsid w:val="2D1456C4"/>
    <w:rsid w:val="2D31580D"/>
    <w:rsid w:val="2D883B70"/>
    <w:rsid w:val="2F65002E"/>
    <w:rsid w:val="2F8D0F40"/>
    <w:rsid w:val="2F902529"/>
    <w:rsid w:val="2FEE5643"/>
    <w:rsid w:val="303C06E3"/>
    <w:rsid w:val="3045244D"/>
    <w:rsid w:val="31092E25"/>
    <w:rsid w:val="31752B28"/>
    <w:rsid w:val="321E4A12"/>
    <w:rsid w:val="325E6B41"/>
    <w:rsid w:val="32C64D06"/>
    <w:rsid w:val="32D648A9"/>
    <w:rsid w:val="33917847"/>
    <w:rsid w:val="342F0710"/>
    <w:rsid w:val="34A411A3"/>
    <w:rsid w:val="35FE15A4"/>
    <w:rsid w:val="3604397E"/>
    <w:rsid w:val="364B4308"/>
    <w:rsid w:val="364B7FAB"/>
    <w:rsid w:val="38071D7C"/>
    <w:rsid w:val="389B2BA8"/>
    <w:rsid w:val="3997377D"/>
    <w:rsid w:val="39DB7A1A"/>
    <w:rsid w:val="3A662DB7"/>
    <w:rsid w:val="3AF84CD2"/>
    <w:rsid w:val="3CA11FCB"/>
    <w:rsid w:val="3D2155D9"/>
    <w:rsid w:val="3D382657"/>
    <w:rsid w:val="3D672D70"/>
    <w:rsid w:val="3D6D27C4"/>
    <w:rsid w:val="3DBC23D5"/>
    <w:rsid w:val="3DF83971"/>
    <w:rsid w:val="3EC80975"/>
    <w:rsid w:val="411C1A66"/>
    <w:rsid w:val="413C43C1"/>
    <w:rsid w:val="41DE233D"/>
    <w:rsid w:val="42CE5F42"/>
    <w:rsid w:val="453B37BC"/>
    <w:rsid w:val="453C495E"/>
    <w:rsid w:val="459D1445"/>
    <w:rsid w:val="45BC3D7C"/>
    <w:rsid w:val="46255E94"/>
    <w:rsid w:val="463B31DD"/>
    <w:rsid w:val="46BB7DFA"/>
    <w:rsid w:val="46CC7F2B"/>
    <w:rsid w:val="46DC72AB"/>
    <w:rsid w:val="470622D8"/>
    <w:rsid w:val="47590A9D"/>
    <w:rsid w:val="48655A11"/>
    <w:rsid w:val="4896454D"/>
    <w:rsid w:val="48BF4B3A"/>
    <w:rsid w:val="493204FD"/>
    <w:rsid w:val="49380E36"/>
    <w:rsid w:val="498A2FFF"/>
    <w:rsid w:val="49AD5DD9"/>
    <w:rsid w:val="4A0E5981"/>
    <w:rsid w:val="4A6B1ABD"/>
    <w:rsid w:val="4A9A0C7A"/>
    <w:rsid w:val="4AB1686E"/>
    <w:rsid w:val="4ABD5AC4"/>
    <w:rsid w:val="4AE85706"/>
    <w:rsid w:val="4BA60B57"/>
    <w:rsid w:val="4BDE6E64"/>
    <w:rsid w:val="4C7D5B39"/>
    <w:rsid w:val="4CBF23B2"/>
    <w:rsid w:val="4CCD33C4"/>
    <w:rsid w:val="4D584F09"/>
    <w:rsid w:val="4DE45C90"/>
    <w:rsid w:val="4EAE04CE"/>
    <w:rsid w:val="4ECC2086"/>
    <w:rsid w:val="4EF24C6F"/>
    <w:rsid w:val="4F467944"/>
    <w:rsid w:val="4FE20CB3"/>
    <w:rsid w:val="50501FBD"/>
    <w:rsid w:val="50BF398B"/>
    <w:rsid w:val="50D55B82"/>
    <w:rsid w:val="50E75782"/>
    <w:rsid w:val="510D6AD3"/>
    <w:rsid w:val="51165811"/>
    <w:rsid w:val="514F3257"/>
    <w:rsid w:val="523E3048"/>
    <w:rsid w:val="53994205"/>
    <w:rsid w:val="54632FDB"/>
    <w:rsid w:val="54B829AE"/>
    <w:rsid w:val="54F85B43"/>
    <w:rsid w:val="55234F42"/>
    <w:rsid w:val="559E7995"/>
    <w:rsid w:val="55A5787F"/>
    <w:rsid w:val="5602338F"/>
    <w:rsid w:val="563E2A91"/>
    <w:rsid w:val="56FD3533"/>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F9B1E7D"/>
    <w:rsid w:val="5FB72CC4"/>
    <w:rsid w:val="60C27580"/>
    <w:rsid w:val="61454DD1"/>
    <w:rsid w:val="618D189D"/>
    <w:rsid w:val="62DE36C5"/>
    <w:rsid w:val="645D67E9"/>
    <w:rsid w:val="64C5489D"/>
    <w:rsid w:val="66494EC8"/>
    <w:rsid w:val="664F4ABC"/>
    <w:rsid w:val="666618E1"/>
    <w:rsid w:val="66E36A63"/>
    <w:rsid w:val="670A3D62"/>
    <w:rsid w:val="67D51FC3"/>
    <w:rsid w:val="68C57E65"/>
    <w:rsid w:val="68E6427F"/>
    <w:rsid w:val="69077ABD"/>
    <w:rsid w:val="69367FE2"/>
    <w:rsid w:val="69BD4F65"/>
    <w:rsid w:val="6A6722CC"/>
    <w:rsid w:val="6B042BF5"/>
    <w:rsid w:val="6B4E260F"/>
    <w:rsid w:val="6BBF411C"/>
    <w:rsid w:val="6CCA454A"/>
    <w:rsid w:val="6DFF3255"/>
    <w:rsid w:val="6E064B16"/>
    <w:rsid w:val="6E95133D"/>
    <w:rsid w:val="6E9A5852"/>
    <w:rsid w:val="6EA67053"/>
    <w:rsid w:val="6EB804F6"/>
    <w:rsid w:val="702068E9"/>
    <w:rsid w:val="704A2BB3"/>
    <w:rsid w:val="71C74591"/>
    <w:rsid w:val="720F0929"/>
    <w:rsid w:val="721D1CC9"/>
    <w:rsid w:val="72860C33"/>
    <w:rsid w:val="72893860"/>
    <w:rsid w:val="73834DAB"/>
    <w:rsid w:val="739F35AD"/>
    <w:rsid w:val="74490016"/>
    <w:rsid w:val="744A787C"/>
    <w:rsid w:val="74E60DA4"/>
    <w:rsid w:val="75B3776A"/>
    <w:rsid w:val="76281AB3"/>
    <w:rsid w:val="76C45669"/>
    <w:rsid w:val="770432B8"/>
    <w:rsid w:val="772D77E1"/>
    <w:rsid w:val="7778700B"/>
    <w:rsid w:val="77D8131B"/>
    <w:rsid w:val="77E0113F"/>
    <w:rsid w:val="77E92280"/>
    <w:rsid w:val="78F834A9"/>
    <w:rsid w:val="79073D5F"/>
    <w:rsid w:val="792719BF"/>
    <w:rsid w:val="7BDC7181"/>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szCs w:val="24"/>
    </w:rPr>
  </w:style>
  <w:style w:type="paragraph" w:styleId="11">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2">
    <w:name w:val="Plain Text"/>
    <w:basedOn w:val="1"/>
    <w:qFormat/>
    <w:uiPriority w:val="0"/>
    <w:rPr>
      <w:rFonts w:ascii="宋体" w:hAnsi="Courier New"/>
      <w:kern w:val="0"/>
      <w:sz w:val="20"/>
      <w:szCs w:val="20"/>
    </w:rPr>
  </w:style>
  <w:style w:type="paragraph" w:styleId="13">
    <w:name w:val="Body Text Indent 2"/>
    <w:basedOn w:val="1"/>
    <w:qFormat/>
    <w:uiPriority w:val="0"/>
    <w:pPr>
      <w:spacing w:after="120" w:line="480" w:lineRule="auto"/>
      <w:ind w:left="420" w:leftChars="200"/>
    </w:pPr>
    <w:rPr>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6">
    <w:name w:val="Char Char Char Char Char Char"/>
    <w:basedOn w:val="1"/>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8">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29">
    <w:name w:val="Char Char Char Char Char Char Char"/>
    <w:basedOn w:val="1"/>
    <w:qFormat/>
    <w:uiPriority w:val="0"/>
    <w:rPr>
      <w:rFonts w:ascii="Times New Roman" w:hAnsi="Times New Roman"/>
      <w:szCs w:val="24"/>
    </w:rPr>
  </w:style>
  <w:style w:type="paragraph" w:customStyle="1" w:styleId="30">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1">
    <w:name w:val="样式3"/>
    <w:basedOn w:val="12"/>
    <w:qFormat/>
    <w:uiPriority w:val="0"/>
    <w:pPr>
      <w:spacing w:line="0" w:lineRule="atLeast"/>
      <w:outlineLvl w:val="0"/>
    </w:pPr>
    <w:rPr>
      <w:sz w:val="28"/>
    </w:rPr>
  </w:style>
  <w:style w:type="paragraph" w:customStyle="1" w:styleId="32">
    <w:name w:val="p0"/>
    <w:basedOn w:val="1"/>
    <w:qFormat/>
    <w:uiPriority w:val="0"/>
    <w:pPr>
      <w:widowControl/>
    </w:pPr>
    <w:rPr>
      <w:kern w:val="0"/>
      <w:szCs w:val="21"/>
    </w:rPr>
  </w:style>
  <w:style w:type="paragraph" w:customStyle="1" w:styleId="33">
    <w:name w:val="Normal_22"/>
    <w:qFormat/>
    <w:uiPriority w:val="0"/>
    <w:rPr>
      <w:rFonts w:ascii="Times New Roman" w:hAnsi="Times New Roman" w:eastAsia="宋体" w:cs="Times New Roman"/>
      <w:sz w:val="21"/>
      <w:lang w:val="en-US" w:eastAsia="zh-CN" w:bidi="ar-SA"/>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列出段落1"/>
    <w:basedOn w:val="1"/>
    <w:qFormat/>
    <w:uiPriority w:val="0"/>
    <w:pPr>
      <w:ind w:firstLine="420" w:firstLineChars="200"/>
    </w:pPr>
  </w:style>
  <w:style w:type="character" w:customStyle="1" w:styleId="36">
    <w:name w:val="font11"/>
    <w:basedOn w:val="20"/>
    <w:qFormat/>
    <w:uiPriority w:val="0"/>
    <w:rPr>
      <w:rFonts w:hint="eastAsia" w:ascii="宋体" w:hAnsi="宋体" w:eastAsia="宋体" w:cs="宋体"/>
      <w:color w:val="000000"/>
      <w:sz w:val="24"/>
      <w:szCs w:val="24"/>
      <w:u w:val="none"/>
    </w:rPr>
  </w:style>
  <w:style w:type="paragraph" w:customStyle="1" w:styleId="37">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8">
    <w:name w:val="font71"/>
    <w:basedOn w:val="20"/>
    <w:qFormat/>
    <w:uiPriority w:val="0"/>
    <w:rPr>
      <w:rFonts w:hint="default" w:ascii="Arial" w:hAnsi="Arial" w:cs="Arial"/>
      <w:color w:val="000000"/>
      <w:sz w:val="16"/>
      <w:szCs w:val="16"/>
      <w:u w:val="none"/>
    </w:rPr>
  </w:style>
  <w:style w:type="character" w:customStyle="1" w:styleId="39">
    <w:name w:val="font31"/>
    <w:basedOn w:val="20"/>
    <w:qFormat/>
    <w:uiPriority w:val="0"/>
    <w:rPr>
      <w:rFonts w:hint="eastAsia" w:ascii="宋体" w:hAnsi="宋体" w:eastAsia="宋体" w:cs="宋体"/>
      <w:color w:val="000000"/>
      <w:sz w:val="16"/>
      <w:szCs w:val="16"/>
      <w:u w:val="none"/>
    </w:rPr>
  </w:style>
  <w:style w:type="character" w:customStyle="1" w:styleId="40">
    <w:name w:val="font112"/>
    <w:basedOn w:val="20"/>
    <w:qFormat/>
    <w:uiPriority w:val="0"/>
    <w:rPr>
      <w:rFonts w:hint="eastAsia" w:ascii="微软雅黑" w:hAnsi="微软雅黑" w:eastAsia="微软雅黑" w:cs="微软雅黑"/>
      <w:color w:val="FF0000"/>
      <w:sz w:val="18"/>
      <w:szCs w:val="18"/>
      <w:u w:val="none"/>
    </w:rPr>
  </w:style>
  <w:style w:type="character" w:customStyle="1" w:styleId="41">
    <w:name w:val="font01"/>
    <w:basedOn w:val="20"/>
    <w:qFormat/>
    <w:uiPriority w:val="0"/>
    <w:rPr>
      <w:rFonts w:ascii="宋体" w:hAnsi="宋体" w:eastAsia="宋体" w:cs="宋体"/>
      <w:color w:val="FF0000"/>
      <w:sz w:val="20"/>
      <w:szCs w:val="20"/>
      <w:u w:val="none"/>
    </w:rPr>
  </w:style>
  <w:style w:type="character" w:customStyle="1" w:styleId="42">
    <w:name w:val="font81"/>
    <w:basedOn w:val="20"/>
    <w:qFormat/>
    <w:uiPriority w:val="0"/>
    <w:rPr>
      <w:rFonts w:ascii="宋体" w:hAnsi="宋体" w:eastAsia="宋体" w:cs="宋体"/>
      <w:color w:val="000000"/>
      <w:sz w:val="20"/>
      <w:szCs w:val="20"/>
      <w:u w:val="none"/>
    </w:rPr>
  </w:style>
  <w:style w:type="character" w:customStyle="1" w:styleId="43">
    <w:name w:val="font51"/>
    <w:basedOn w:val="20"/>
    <w:qFormat/>
    <w:uiPriority w:val="0"/>
    <w:rPr>
      <w:rFonts w:ascii="宋体" w:hAnsi="宋体" w:eastAsia="宋体" w:cs="宋体"/>
      <w:color w:val="000000"/>
      <w:sz w:val="20"/>
      <w:szCs w:val="20"/>
      <w:u w:val="none"/>
    </w:rPr>
  </w:style>
  <w:style w:type="character" w:customStyle="1" w:styleId="44">
    <w:name w:val="font21"/>
    <w:basedOn w:val="20"/>
    <w:qFormat/>
    <w:uiPriority w:val="0"/>
    <w:rPr>
      <w:rFonts w:ascii="楷体" w:hAnsi="楷体" w:eastAsia="楷体" w:cs="楷体"/>
      <w:color w:val="000000"/>
      <w:sz w:val="32"/>
      <w:szCs w:val="32"/>
      <w:u w:val="none"/>
      <w:vertAlign w:val="superscript"/>
    </w:rPr>
  </w:style>
  <w:style w:type="character" w:customStyle="1" w:styleId="45">
    <w:name w:val="font61"/>
    <w:basedOn w:val="20"/>
    <w:qFormat/>
    <w:uiPriority w:val="0"/>
    <w:rPr>
      <w:rFonts w:hint="eastAsia" w:ascii="宋体" w:hAnsi="宋体" w:eastAsia="宋体" w:cs="宋体"/>
      <w:color w:val="000000"/>
      <w:sz w:val="20"/>
      <w:szCs w:val="20"/>
      <w:u w:val="none"/>
    </w:rPr>
  </w:style>
  <w:style w:type="paragraph" w:customStyle="1" w:styleId="46">
    <w:name w:val="Table Paragraph"/>
    <w:basedOn w:val="1"/>
    <w:qFormat/>
    <w:uiPriority w:val="1"/>
    <w:pPr>
      <w:ind w:left="103"/>
    </w:pPr>
  </w:style>
  <w:style w:type="paragraph" w:styleId="47">
    <w:name w:val="List Paragraph"/>
    <w:basedOn w:val="1"/>
    <w:qFormat/>
    <w:uiPriority w:val="34"/>
    <w:pPr>
      <w:ind w:firstLine="420" w:firstLineChars="200"/>
    </w:pPr>
  </w:style>
  <w:style w:type="paragraph" w:customStyle="1" w:styleId="48">
    <w:name w:val="纯文本3"/>
    <w:basedOn w:val="1"/>
    <w:qFormat/>
    <w:uiPriority w:val="0"/>
    <w:pPr>
      <w:widowControl/>
    </w:pPr>
    <w:rPr>
      <w:rFonts w:ascii="宋体" w:hAnsi="Courier New" w:cs="宋体"/>
      <w:szCs w:val="24"/>
    </w:rPr>
  </w:style>
  <w:style w:type="character" w:customStyle="1" w:styleId="49">
    <w:name w:val="font41"/>
    <w:basedOn w:val="20"/>
    <w:qFormat/>
    <w:uiPriority w:val="0"/>
    <w:rPr>
      <w:rFonts w:hint="eastAsia" w:ascii="宋体" w:hAnsi="宋体" w:eastAsia="宋体" w:cs="宋体"/>
      <w:color w:val="000000"/>
      <w:sz w:val="20"/>
      <w:szCs w:val="20"/>
      <w:u w:val="none"/>
    </w:rPr>
  </w:style>
  <w:style w:type="paragraph" w:customStyle="1" w:styleId="50">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1">
    <w:name w:val="font91"/>
    <w:basedOn w:val="20"/>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33</TotalTime>
  <ScaleCrop>false</ScaleCrop>
  <LinksUpToDate>false</LinksUpToDate>
  <CharactersWithSpaces>28719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2020-08-11T01:41:00Z</cp:lastPrinted>
  <dcterms:modified xsi:type="dcterms:W3CDTF">2020-09-28T08:23:50Z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