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1"/>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hint="eastAsia" w:ascii="黑体" w:hAnsi="宋体" w:eastAsia="黑体"/>
          <w:b/>
          <w:color w:val="000000"/>
          <w:spacing w:val="-4"/>
          <w:sz w:val="44"/>
          <w:szCs w:val="44"/>
        </w:rPr>
      </w:pPr>
    </w:p>
    <w:p>
      <w:pPr>
        <w:pStyle w:val="11"/>
        <w:spacing w:line="700" w:lineRule="exact"/>
        <w:jc w:val="both"/>
        <w:rPr>
          <w:rFonts w:hint="eastAsia" w:ascii="黑体" w:hAnsi="宋体" w:eastAsia="黑体"/>
          <w:b/>
          <w:color w:val="000000"/>
          <w:spacing w:val="-4"/>
          <w:sz w:val="44"/>
          <w:szCs w:val="44"/>
        </w:rPr>
      </w:pPr>
    </w:p>
    <w:p>
      <w:pPr>
        <w:pStyle w:val="11"/>
        <w:spacing w:line="700" w:lineRule="exact"/>
        <w:jc w:val="both"/>
        <w:rPr>
          <w:rFonts w:hint="eastAsia" w:ascii="黑体" w:hAnsi="宋体" w:eastAsia="黑体"/>
          <w:b/>
          <w:bCs w:val="0"/>
          <w:color w:val="000000"/>
          <w:spacing w:val="-4"/>
          <w:sz w:val="44"/>
          <w:szCs w:val="44"/>
        </w:rPr>
      </w:pP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1"/>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1"/>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1"/>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1"/>
        <w:spacing w:line="360" w:lineRule="auto"/>
        <w:ind w:firstLine="1265" w:firstLineChars="450"/>
        <w:rPr>
          <w:rFonts w:hint="eastAsia" w:ascii="黑体" w:hAnsi="黑体" w:eastAsia="黑体"/>
          <w:b/>
          <w:color w:val="000000"/>
          <w:sz w:val="28"/>
          <w:szCs w:val="28"/>
        </w:rPr>
      </w:pPr>
    </w:p>
    <w:p>
      <w:pPr>
        <w:pStyle w:val="11"/>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1"/>
        <w:spacing w:line="560" w:lineRule="exact"/>
        <w:ind w:firstLine="694" w:firstLineChars="247"/>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铜仁市农业农村局梵净山区域乡村振兴规划项目服务采购</w:t>
      </w:r>
    </w:p>
    <w:p>
      <w:pPr>
        <w:pStyle w:val="11"/>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TRZFCG-2020-137</w:t>
      </w:r>
    </w:p>
    <w:p>
      <w:pPr>
        <w:pStyle w:val="11"/>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1"/>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11"/>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1"/>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11"/>
        <w:spacing w:line="360" w:lineRule="auto"/>
        <w:jc w:val="left"/>
        <w:rPr>
          <w:rFonts w:hint="eastAsia" w:hAnsi="宋体"/>
          <w:b/>
          <w:bCs/>
          <w:sz w:val="30"/>
          <w:szCs w:val="30"/>
          <w:lang w:eastAsia="zh-CN"/>
        </w:rPr>
      </w:pPr>
    </w:p>
    <w:p>
      <w:pPr>
        <w:pStyle w:val="7"/>
        <w:spacing w:line="360" w:lineRule="auto"/>
        <w:ind w:firstLine="0"/>
        <w:jc w:val="center"/>
        <w:rPr>
          <w:rFonts w:hint="eastAsia" w:cs="Arial"/>
          <w:b/>
          <w:bCs/>
          <w:sz w:val="32"/>
        </w:rPr>
      </w:pPr>
    </w:p>
    <w:p>
      <w:pPr>
        <w:spacing w:line="360" w:lineRule="auto"/>
        <w:jc w:val="center"/>
        <w:rPr>
          <w:rFonts w:hint="eastAsia" w:ascii="宋体" w:hAnsi="宋体"/>
          <w:b/>
          <w:sz w:val="52"/>
          <w:szCs w:val="52"/>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1"/>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Cs/>
          <w:sz w:val="24"/>
          <w:lang w:eastAsia="zh-CN"/>
        </w:rPr>
        <w:t>铜仁市农业农村局</w:t>
      </w:r>
      <w:r>
        <w:rPr>
          <w:rFonts w:hint="eastAsia" w:hAnsi="宋体"/>
          <w:color w:val="000000"/>
          <w:sz w:val="24"/>
          <w:szCs w:val="24"/>
        </w:rPr>
        <w:t>委托，对</w:t>
      </w:r>
      <w:r>
        <w:rPr>
          <w:rFonts w:hint="eastAsia" w:hAnsi="宋体"/>
          <w:color w:val="000000"/>
          <w:sz w:val="24"/>
          <w:szCs w:val="24"/>
          <w:lang w:eastAsia="zh-CN"/>
        </w:rPr>
        <w:t>铜仁市农业农村局梵净山区域乡村振兴规划项目服务采购</w:t>
      </w:r>
      <w:r>
        <w:rPr>
          <w:rFonts w:hint="eastAsia" w:hAnsi="宋体"/>
          <w:color w:val="000000"/>
          <w:sz w:val="24"/>
          <w:szCs w:val="24"/>
        </w:rPr>
        <w:t>项目采用竞争性谈判的方式进行采购，欢迎具备投标资质条件的供货商参加投标。</w:t>
      </w:r>
    </w:p>
    <w:p>
      <w:pPr>
        <w:pStyle w:val="11"/>
        <w:spacing w:line="440" w:lineRule="exact"/>
        <w:ind w:firstLine="482" w:firstLineChars="200"/>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Cs/>
          <w:sz w:val="24"/>
          <w:lang w:eastAsia="zh-CN"/>
        </w:rPr>
        <w:t>铜仁市农业农村局梵净山区域乡村振兴规划项目服务采购</w:t>
      </w:r>
    </w:p>
    <w:p>
      <w:pPr>
        <w:pStyle w:val="11"/>
        <w:spacing w:line="440" w:lineRule="exact"/>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TRZFCG-2020-137</w:t>
      </w:r>
    </w:p>
    <w:p>
      <w:pPr>
        <w:spacing w:line="440" w:lineRule="exact"/>
        <w:ind w:firstLine="472" w:firstLineChars="196"/>
        <w:outlineLvl w:val="0"/>
        <w:rPr>
          <w:rFonts w:hint="default" w:ascii="宋体" w:hAnsi="宋体"/>
          <w:color w:val="000000"/>
          <w:sz w:val="24"/>
          <w:lang w:val="en-US"/>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9:00</w:t>
      </w:r>
      <w:r>
        <w:rPr>
          <w:rFonts w:hint="eastAsia" w:ascii="宋体" w:hAnsi="宋体"/>
          <w:color w:val="000000"/>
          <w:sz w:val="24"/>
        </w:rPr>
        <w:t>至</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 xml:space="preserve"> 9</w:t>
      </w:r>
      <w:r>
        <w:rPr>
          <w:rFonts w:hint="eastAsia" w:ascii="宋体" w:hAnsi="宋体"/>
          <w:color w:val="000000"/>
          <w:sz w:val="24"/>
        </w:rPr>
        <w:t>月</w:t>
      </w:r>
      <w:r>
        <w:rPr>
          <w:rFonts w:hint="eastAsia" w:ascii="宋体" w:hAnsi="宋体"/>
          <w:color w:val="000000"/>
          <w:sz w:val="24"/>
          <w:lang w:val="en-US" w:eastAsia="zh-CN"/>
        </w:rPr>
        <w:t xml:space="preserve">  </w:t>
      </w:r>
      <w:bookmarkStart w:id="5" w:name="_GoBack"/>
      <w:bookmarkEnd w:id="5"/>
      <w:r>
        <w:rPr>
          <w:rFonts w:hint="eastAsia" w:ascii="宋体" w:hAnsi="宋体"/>
          <w:color w:val="000000"/>
          <w:sz w:val="24"/>
          <w:lang w:val="en-US" w:eastAsia="zh-CN"/>
        </w:rPr>
        <w:t>日17点（以采购公告时间为准）</w:t>
      </w:r>
    </w:p>
    <w:p>
      <w:pPr>
        <w:spacing w:line="440" w:lineRule="exact"/>
        <w:ind w:firstLine="472" w:firstLineChars="196"/>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color w:val="000000"/>
          <w:sz w:val="24"/>
          <w:szCs w:val="24"/>
          <w:lang w:val="en-US" w:eastAsia="zh-CN"/>
        </w:rPr>
        <w:t>jyzx.trs.gov.cn</w:t>
      </w:r>
      <w:r>
        <w:rPr>
          <w:rFonts w:hint="eastAsia" w:ascii="宋体" w:hAnsi="宋体"/>
          <w:color w:val="000000"/>
          <w:sz w:val="24"/>
        </w:rPr>
        <w:t>）</w:t>
      </w:r>
    </w:p>
    <w:p>
      <w:pPr>
        <w:spacing w:line="440" w:lineRule="exact"/>
        <w:ind w:firstLine="472" w:firstLineChars="196"/>
        <w:rPr>
          <w:rFonts w:hint="eastAsia" w:ascii="宋体" w:hAnsi="宋体"/>
          <w:b/>
          <w:color w:val="000000"/>
          <w:sz w:val="24"/>
        </w:rPr>
      </w:pPr>
      <w:r>
        <w:rPr>
          <w:rFonts w:hint="eastAsia" w:ascii="宋体" w:hAnsi="宋体"/>
          <w:b/>
          <w:color w:val="000000"/>
          <w:sz w:val="24"/>
        </w:rPr>
        <w:t>5、投标有效期：投标截止日算起，30天。</w:t>
      </w:r>
    </w:p>
    <w:p>
      <w:pPr>
        <w:pStyle w:val="11"/>
        <w:spacing w:line="360" w:lineRule="auto"/>
        <w:ind w:firstLine="472" w:firstLineChars="196"/>
        <w:rPr>
          <w:rFonts w:hint="eastAsia" w:hAnsi="宋体"/>
          <w:b/>
          <w:color w:val="000000"/>
          <w:sz w:val="24"/>
          <w:szCs w:val="24"/>
        </w:rPr>
      </w:pPr>
      <w:r>
        <w:rPr>
          <w:rFonts w:hint="eastAsia" w:hAnsi="宋体"/>
          <w:b/>
          <w:color w:val="000000"/>
          <w:sz w:val="24"/>
          <w:szCs w:val="24"/>
        </w:rPr>
        <w:t>6、本项目不接受联合体。</w:t>
      </w:r>
    </w:p>
    <w:p>
      <w:pPr>
        <w:pStyle w:val="11"/>
        <w:spacing w:line="360" w:lineRule="auto"/>
        <w:ind w:firstLine="472" w:firstLineChars="196"/>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spacing w:line="440" w:lineRule="exact"/>
        <w:ind w:firstLine="840" w:firstLineChars="350"/>
        <w:rPr>
          <w:rFonts w:hint="eastAsia"/>
          <w:color w:val="000000"/>
          <w:sz w:val="24"/>
          <w:szCs w:val="24"/>
        </w:rPr>
      </w:pPr>
      <w:r>
        <w:rPr>
          <w:rFonts w:hint="eastAsia"/>
          <w:color w:val="000000"/>
          <w:sz w:val="24"/>
          <w:szCs w:val="24"/>
        </w:rPr>
        <w:t>地址：铜仁市公共资源交易中心官方网址（</w:t>
      </w:r>
      <w:r>
        <w:rPr>
          <w:rFonts w:hint="eastAsia"/>
          <w:color w:val="000000"/>
          <w:sz w:val="24"/>
          <w:szCs w:val="24"/>
          <w:lang w:val="en-US" w:eastAsia="zh-CN"/>
        </w:rPr>
        <w:t>jyzx.trs.gov.cn</w:t>
      </w:r>
      <w:r>
        <w:rPr>
          <w:color w:val="000000"/>
          <w:sz w:val="24"/>
          <w:szCs w:val="24"/>
        </w:rPr>
        <w:t>）</w:t>
      </w:r>
    </w:p>
    <w:p>
      <w:pPr>
        <w:pStyle w:val="11"/>
        <w:spacing w:line="440" w:lineRule="exact"/>
        <w:ind w:firstLine="840" w:firstLineChars="350"/>
        <w:rPr>
          <w:rFonts w:hint="eastAsia" w:hAnsi="宋体"/>
          <w:color w:val="000000"/>
          <w:sz w:val="24"/>
          <w:lang w:val="en-US" w:eastAsia="zh-CN"/>
        </w:rPr>
      </w:pPr>
      <w:r>
        <w:rPr>
          <w:rFonts w:hint="eastAsia" w:hAnsi="宋体"/>
          <w:color w:val="000000"/>
          <w:sz w:val="24"/>
        </w:rPr>
        <w:t>联系电话：</w:t>
      </w:r>
      <w:r>
        <w:rPr>
          <w:rFonts w:hint="eastAsia" w:hAnsi="宋体"/>
          <w:color w:val="000000"/>
          <w:sz w:val="24"/>
          <w:lang w:val="en-US" w:eastAsia="zh-CN"/>
        </w:rPr>
        <w:t>0856-3912922</w:t>
      </w:r>
    </w:p>
    <w:p>
      <w:pPr>
        <w:pStyle w:val="11"/>
        <w:spacing w:line="440" w:lineRule="exact"/>
        <w:ind w:firstLine="843" w:firstLineChars="350"/>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人民币0元/套</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 xml:space="preserve"> 9、评标时，投标供应商需提供以下资料复印件加盖公章：</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（1）工商营业执照副本；</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（2）税务登记证；（“三证合一”可不提供）</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（3）组织机构代码证；（“三证合一”可不提供）</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（4）</w:t>
      </w:r>
      <w:r>
        <w:rPr>
          <w:rFonts w:hint="eastAsia" w:hAnsi="宋体"/>
          <w:b/>
          <w:color w:val="000000"/>
          <w:sz w:val="24"/>
          <w:szCs w:val="24"/>
          <w:lang w:eastAsia="zh-CN"/>
        </w:rPr>
        <w:t>法人</w:t>
      </w:r>
      <w:r>
        <w:rPr>
          <w:rFonts w:hint="eastAsia" w:hAnsi="宋体"/>
          <w:b/>
          <w:color w:val="000000"/>
          <w:sz w:val="24"/>
          <w:szCs w:val="24"/>
        </w:rPr>
        <w:t>身份证或委托代理人持授权委托书及代理人身份证；</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（6）20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个月财务报表（含资产负债表及利润表）或银行资信证明；</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（7）20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个月的缴纳社保的凭证；</w:t>
      </w:r>
    </w:p>
    <w:p>
      <w:pPr>
        <w:pStyle w:val="11"/>
        <w:spacing w:line="500" w:lineRule="exact"/>
        <w:ind w:firstLine="481"/>
        <w:jc w:val="left"/>
        <w:rPr>
          <w:rFonts w:hint="eastAsia" w:hAnsi="宋体"/>
          <w:b/>
          <w:color w:val="000000"/>
          <w:sz w:val="24"/>
          <w:szCs w:val="24"/>
        </w:rPr>
      </w:pPr>
      <w:r>
        <w:rPr>
          <w:rFonts w:hint="eastAsia" w:hAnsi="宋体"/>
          <w:b/>
          <w:color w:val="000000"/>
          <w:sz w:val="24"/>
          <w:szCs w:val="24"/>
        </w:rPr>
        <w:t>（8）20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个月的完税凭证。</w:t>
      </w:r>
    </w:p>
    <w:p>
      <w:pPr>
        <w:pStyle w:val="11"/>
        <w:numPr>
          <w:ilvl w:val="0"/>
          <w:numId w:val="3"/>
        </w:numPr>
        <w:spacing w:line="500" w:lineRule="exact"/>
        <w:ind w:firstLine="481"/>
        <w:jc w:val="left"/>
        <w:rPr>
          <w:rFonts w:hint="eastAsia" w:hAnsi="宋体"/>
          <w:b/>
          <w:color w:val="000000"/>
          <w:sz w:val="24"/>
          <w:szCs w:val="24"/>
        </w:rPr>
      </w:pPr>
      <w:r>
        <w:rPr>
          <w:rFonts w:hint="eastAsia" w:hAnsi="宋体"/>
          <w:b/>
          <w:color w:val="000000"/>
          <w:sz w:val="24"/>
          <w:szCs w:val="24"/>
        </w:rPr>
        <w:t>参加政府采购活动前三年内，在经营活动中没有重大违法记录声明函</w:t>
      </w:r>
    </w:p>
    <w:p>
      <w:pPr>
        <w:pStyle w:val="11"/>
        <w:numPr>
          <w:ilvl w:val="0"/>
          <w:numId w:val="3"/>
        </w:numPr>
        <w:spacing w:line="500" w:lineRule="exact"/>
        <w:ind w:firstLine="481"/>
        <w:jc w:val="left"/>
        <w:rPr>
          <w:rFonts w:hint="eastAsia" w:hAnsi="宋体"/>
          <w:b/>
          <w:color w:val="000000"/>
          <w:sz w:val="24"/>
          <w:szCs w:val="24"/>
        </w:rPr>
      </w:pPr>
      <w:r>
        <w:rPr>
          <w:rFonts w:hint="eastAsia" w:hAnsi="宋体"/>
          <w:b/>
          <w:color w:val="000000"/>
          <w:sz w:val="24"/>
          <w:szCs w:val="24"/>
        </w:rPr>
        <w:t>具有城乡规划甲级资质和建筑行业（建筑工程）甲级资质</w:t>
      </w:r>
      <w:r>
        <w:rPr>
          <w:rFonts w:hint="eastAsia" w:hAnsi="宋体"/>
          <w:b/>
          <w:color w:val="000000"/>
          <w:sz w:val="24"/>
          <w:szCs w:val="24"/>
          <w:lang w:eastAsia="zh-CN"/>
        </w:rPr>
        <w:t>。</w:t>
      </w:r>
    </w:p>
    <w:p>
      <w:pPr>
        <w:pStyle w:val="11"/>
        <w:spacing w:line="500" w:lineRule="exact"/>
        <w:ind w:firstLine="481"/>
        <w:jc w:val="left"/>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11"/>
        <w:spacing w:line="500" w:lineRule="exact"/>
        <w:ind w:firstLine="481"/>
        <w:jc w:val="left"/>
        <w:rPr>
          <w:rFonts w:hint="eastAsia" w:hAnsi="宋体"/>
          <w:color w:val="000000"/>
          <w:sz w:val="24"/>
          <w:szCs w:val="24"/>
        </w:rPr>
      </w:pPr>
      <w:r>
        <w:rPr>
          <w:rFonts w:hint="eastAsia" w:hAnsi="宋体"/>
          <w:color w:val="000000"/>
          <w:sz w:val="24"/>
          <w:szCs w:val="24"/>
          <w:lang w:val="en-US" w:eastAsia="zh-CN"/>
        </w:rPr>
        <w:t xml:space="preserve"> 投标保证金交纳方式:具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pStyle w:val="11"/>
        <w:spacing w:line="360" w:lineRule="auto"/>
        <w:ind w:firstLine="840" w:firstLineChars="350"/>
        <w:jc w:val="left"/>
        <w:rPr>
          <w:rFonts w:hint="eastAsia"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hint="eastAsia"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hint="eastAsia" w:ascii="宋体" w:hAnsi="宋体"/>
          <w:color w:val="000000"/>
          <w:sz w:val="24"/>
        </w:rPr>
      </w:pPr>
      <w:r>
        <w:rPr>
          <w:rFonts w:hint="eastAsia" w:ascii="宋体" w:hAnsi="宋体"/>
          <w:color w:val="000000"/>
          <w:sz w:val="24"/>
        </w:rPr>
        <w:t>帐    号：0601001500000296</w:t>
      </w:r>
    </w:p>
    <w:p>
      <w:pPr>
        <w:spacing w:line="360" w:lineRule="auto"/>
        <w:ind w:firstLine="482" w:firstLineChars="200"/>
        <w:rPr>
          <w:rFonts w:hint="eastAsia" w:ascii="宋体" w:hAnsi="宋体"/>
          <w:color w:val="000000"/>
          <w:sz w:val="24"/>
        </w:rPr>
      </w:pPr>
      <w:r>
        <w:rPr>
          <w:rFonts w:hint="eastAsia" w:ascii="宋体" w:hAnsi="宋体"/>
          <w:b/>
          <w:bCs/>
          <w:color w:val="000000"/>
          <w:sz w:val="24"/>
        </w:rPr>
        <w:t>11、采购预算</w:t>
      </w:r>
      <w:r>
        <w:rPr>
          <w:rFonts w:hint="eastAsia" w:ascii="宋体" w:hAnsi="宋体"/>
          <w:color w:val="000000"/>
          <w:sz w:val="24"/>
        </w:rPr>
        <w:t xml:space="preserve"> ：</w:t>
      </w:r>
      <w:r>
        <w:rPr>
          <w:rFonts w:hint="eastAsia" w:ascii="宋体" w:hAnsi="宋体"/>
          <w:color w:val="000000"/>
          <w:sz w:val="24"/>
          <w:lang w:val="en-US" w:eastAsia="zh-CN"/>
        </w:rPr>
        <w:t>600000.00</w:t>
      </w:r>
      <w:r>
        <w:rPr>
          <w:rFonts w:hint="eastAsia" w:ascii="宋体" w:hAnsi="宋体"/>
          <w:color w:val="000000"/>
          <w:sz w:val="24"/>
        </w:rPr>
        <w:t>元</w:t>
      </w:r>
    </w:p>
    <w:p>
      <w:pPr>
        <w:spacing w:line="500" w:lineRule="exact"/>
        <w:ind w:firstLine="472" w:firstLineChars="196"/>
        <w:rPr>
          <w:rFonts w:hint="eastAsia" w:ascii="宋体" w:hAnsi="宋体"/>
          <w:color w:val="000000"/>
          <w:sz w:val="24"/>
        </w:rPr>
      </w:pPr>
      <w:r>
        <w:rPr>
          <w:rFonts w:hint="eastAsia" w:ascii="宋体" w:hAnsi="宋体"/>
          <w:b/>
          <w:color w:val="000000"/>
          <w:sz w:val="24"/>
        </w:rPr>
        <w:t>12、 谈判时间：</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14</w:t>
      </w:r>
      <w:r>
        <w:rPr>
          <w:rFonts w:hint="eastAsia" w:ascii="宋体" w:hAnsi="宋体"/>
          <w:color w:val="000000"/>
          <w:sz w:val="24"/>
        </w:rPr>
        <w:t>时</w:t>
      </w:r>
    </w:p>
    <w:p>
      <w:pPr>
        <w:spacing w:line="500" w:lineRule="exact"/>
        <w:ind w:firstLine="470" w:firstLineChars="196"/>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spacing w:line="500" w:lineRule="exact"/>
        <w:ind w:firstLine="720" w:firstLineChars="300"/>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adjustRightInd w:val="0"/>
        <w:snapToGrid w:val="0"/>
        <w:spacing w:line="360" w:lineRule="auto"/>
        <w:ind w:firstLine="720" w:firstLineChars="300"/>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张琰</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adjustRightInd w:val="0"/>
        <w:snapToGrid w:val="0"/>
        <w:spacing w:line="360" w:lineRule="auto"/>
        <w:ind w:left="1199" w:leftChars="228" w:hanging="720" w:hangingChars="300"/>
        <w:rPr>
          <w:rFonts w:hint="eastAsia" w:ascii="宋体" w:hAnsi="宋体"/>
          <w:b w:val="0"/>
          <w:bCs w:val="0"/>
          <w:sz w:val="24"/>
          <w:lang w:val="en-US" w:eastAsia="zh-CN"/>
        </w:rPr>
      </w:pPr>
      <w:r>
        <w:rPr>
          <w:rFonts w:hint="eastAsia" w:ascii="宋体" w:hAnsi="宋体"/>
          <w:b w:val="0"/>
          <w:bCs w:val="0"/>
          <w:sz w:val="24"/>
          <w:lang w:val="en-US" w:eastAsia="zh-CN"/>
        </w:rPr>
        <w:t>14 、采购人地点及联系方式</w:t>
      </w:r>
      <w:r>
        <w:rPr>
          <w:rFonts w:hint="eastAsia" w:ascii="宋体" w:hAnsi="宋体"/>
          <w:b w:val="0"/>
          <w:bCs w:val="0"/>
          <w:sz w:val="24"/>
          <w:lang w:val="en-US" w:eastAsia="zh-CN"/>
        </w:rPr>
        <w:br w:type="textWrapping"/>
      </w:r>
      <w:r>
        <w:rPr>
          <w:rFonts w:hint="eastAsia" w:ascii="宋体" w:hAnsi="宋体"/>
          <w:b w:val="0"/>
          <w:bCs w:val="0"/>
          <w:sz w:val="24"/>
          <w:lang w:val="en-US" w:eastAsia="zh-CN"/>
        </w:rPr>
        <w:t>联系地址: 铜仁市农业农村局</w:t>
      </w:r>
      <w:r>
        <w:rPr>
          <w:rFonts w:hint="eastAsia" w:ascii="宋体" w:hAnsi="宋体"/>
          <w:b w:val="0"/>
          <w:bCs w:val="0"/>
          <w:sz w:val="24"/>
          <w:lang w:val="en-US" w:eastAsia="zh-CN"/>
        </w:rPr>
        <w:br w:type="textWrapping"/>
      </w:r>
      <w:r>
        <w:rPr>
          <w:rFonts w:hint="eastAsia" w:ascii="宋体" w:hAnsi="宋体"/>
          <w:b w:val="0"/>
          <w:bCs w:val="0"/>
          <w:sz w:val="24"/>
          <w:lang w:val="en-US" w:eastAsia="zh-CN"/>
        </w:rPr>
        <w:t>项目联系人:汪科长</w:t>
      </w:r>
    </w:p>
    <w:p>
      <w:pPr>
        <w:adjustRightInd w:val="0"/>
        <w:snapToGrid w:val="0"/>
        <w:spacing w:line="360" w:lineRule="auto"/>
        <w:ind w:left="1199" w:leftChars="228" w:hanging="720" w:hangingChars="300"/>
        <w:rPr>
          <w:rFonts w:hint="default" w:ascii="宋体" w:hAnsi="宋体"/>
          <w:b w:val="0"/>
          <w:bCs w:val="0"/>
          <w:sz w:val="24"/>
          <w:lang w:val="en-US" w:eastAsia="zh-CN"/>
        </w:rPr>
      </w:pPr>
      <w:r>
        <w:rPr>
          <w:rFonts w:hint="eastAsia" w:ascii="宋体" w:hAnsi="宋体"/>
          <w:b w:val="0"/>
          <w:bCs w:val="0"/>
          <w:sz w:val="24"/>
          <w:lang w:val="en-US" w:eastAsia="zh-CN"/>
        </w:rPr>
        <w:t>联系电话: 13885650556</w:t>
      </w:r>
    </w:p>
    <w:p>
      <w:pPr>
        <w:adjustRightInd w:val="0"/>
        <w:snapToGrid w:val="0"/>
        <w:spacing w:line="360" w:lineRule="auto"/>
        <w:ind w:firstLine="480" w:firstLineChars="200"/>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sectPr>
          <w:headerReference r:id="rId3" w:type="default"/>
          <w:footerReference r:id="rId4" w:type="default"/>
          <w:pgSz w:w="11906" w:h="16838"/>
          <w:pgMar w:top="1440" w:right="1797" w:bottom="1440" w:left="1797" w:header="851" w:footer="992" w:gutter="0"/>
          <w:cols w:space="720" w:num="1"/>
          <w:docGrid w:linePitch="312" w:charSpace="0"/>
        </w:sectPr>
      </w:pPr>
    </w:p>
    <w:p>
      <w:pPr>
        <w:spacing w:line="360" w:lineRule="auto"/>
        <w:jc w:val="both"/>
        <w:outlineLvl w:val="0"/>
        <w:rPr>
          <w:rFonts w:hint="eastAsia" w:ascii="宋体" w:hAnsi="宋体"/>
          <w:b/>
          <w:bCs/>
          <w:sz w:val="30"/>
          <w:szCs w:val="30"/>
        </w:rPr>
      </w:pPr>
    </w:p>
    <w:p>
      <w:pPr>
        <w:pStyle w:val="25"/>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hAnsi="宋体"/>
                <w:bCs/>
                <w:sz w:val="24"/>
                <w:u w:val="single"/>
                <w:lang w:eastAsia="zh-CN"/>
              </w:rPr>
              <w:t>铜仁市农业农村局梵净山区域乡村振兴规划项目服务采购</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铜仁市农业农村局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铜仁市农业农村局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hAnsi="宋体"/>
                <w:bCs/>
                <w:sz w:val="24"/>
                <w:u w:val="single"/>
                <w:lang w:eastAsia="zh-CN"/>
              </w:rPr>
              <w:t>梵净山区域乡村振兴规划项目</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TRZFCG-2020-137</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60</w:t>
            </w:r>
            <w:r>
              <w:rPr>
                <w:rFonts w:hint="eastAsia" w:ascii="Arial" w:hAnsi="Arial" w:cs="Arial"/>
                <w:sz w:val="24"/>
                <w:u w:val="single"/>
              </w:rPr>
              <w:t>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Arial" w:cs="Arial"/>
                <w:sz w:val="24"/>
                <w:lang w:val="en-US" w:eastAsia="zh-CN"/>
              </w:rPr>
              <w:t>1</w:t>
            </w:r>
            <w:r>
              <w:rPr>
                <w:rFonts w:hint="eastAsia" w:ascii="宋体" w:hAnsi="宋体" w:cs="宋体"/>
                <w:sz w:val="24"/>
                <w:u w:val="single"/>
                <w:lang w:val="en-US" w:eastAsia="zh-CN"/>
              </w:rPr>
              <w:t>0000</w:t>
            </w:r>
            <w:r>
              <w:rPr>
                <w:rFonts w:hint="eastAsia" w:ascii="宋体" w:hAnsi="宋体" w:cs="宋体"/>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w:t>
            </w:r>
            <w:r>
              <w:rPr>
                <w:rFonts w:hint="eastAsia" w:ascii="Arial" w:cs="Arial"/>
                <w:sz w:val="24"/>
                <w:lang w:val="en-US" w:eastAsia="zh-CN"/>
              </w:rPr>
              <w:t>7</w:t>
            </w:r>
            <w:r>
              <w:rPr>
                <w:rFonts w:hint="default" w:ascii="Arial" w:cs="Arial"/>
                <w:sz w:val="24"/>
              </w:rPr>
              <w:t>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rPr>
            </w:pPr>
            <w:r>
              <w:rPr>
                <w:rFonts w:hint="default"/>
              </w:rPr>
              <w:t>参加政府采购活动的</w:t>
            </w:r>
            <w:r>
              <w:rPr>
                <w:rFonts w:hint="eastAsia"/>
              </w:rPr>
              <w:t>谈判供应商</w:t>
            </w:r>
            <w:r>
              <w:rPr>
                <w:rFonts w:hint="default"/>
              </w:rPr>
              <w:t>应当</w:t>
            </w:r>
            <w:r>
              <w:rPr>
                <w:rFonts w:hint="eastAsia"/>
                <w:lang w:eastAsia="zh-CN"/>
              </w:rPr>
              <w:t>符合</w:t>
            </w:r>
            <w:r>
              <w:rPr>
                <w:rFonts w:hint="default"/>
              </w:rPr>
              <w:t>《中华人民共和国政府采购法》第二十二条第一款规定：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color w:val="FF0000"/>
                <w:sz w:val="24"/>
              </w:rPr>
              <w:t>（</w:t>
            </w:r>
            <w:r>
              <w:rPr>
                <w:rFonts w:hint="eastAsia" w:ascii="宋体" w:hAnsi="宋体"/>
                <w:b/>
                <w:color w:val="FF0000"/>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pPr>
    </w:p>
    <w:p>
      <w:pPr>
        <w:pStyle w:val="11"/>
        <w:spacing w:line="360" w:lineRule="auto"/>
        <w:jc w:val="left"/>
        <w:rPr>
          <w:rFonts w:hint="eastAsia" w:hAnsi="宋体"/>
          <w:sz w:val="24"/>
          <w:lang w:eastAsia="zh-CN"/>
        </w:rPr>
        <w:sectPr>
          <w:pgSz w:w="11906" w:h="16838"/>
          <w:pgMar w:top="1440" w:right="1797" w:bottom="1440" w:left="1797" w:header="851" w:footer="992" w:gutter="0"/>
          <w:cols w:space="720" w:num="1"/>
          <w:docGrid w:linePitch="312" w:charSpace="0"/>
        </w:sectPr>
      </w:pPr>
    </w:p>
    <w:p>
      <w:pPr>
        <w:pStyle w:val="11"/>
        <w:spacing w:line="360" w:lineRule="auto"/>
        <w:jc w:val="left"/>
        <w:rPr>
          <w:rFonts w:hint="eastAsia" w:hAnsi="宋体"/>
          <w:sz w:val="24"/>
          <w:lang w:eastAsia="zh-CN"/>
        </w:rPr>
      </w:pPr>
    </w:p>
    <w:p>
      <w:pPr>
        <w:pStyle w:val="11"/>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谈判响应供应商</w:t>
      </w:r>
      <w:r>
        <w:rPr>
          <w:rFonts w:hint="eastAsia" w:ascii="宋体" w:hAnsi="宋体"/>
          <w:sz w:val="24"/>
          <w:lang w:eastAsia="zh-CN"/>
        </w:rPr>
        <w:t>符合</w:t>
      </w:r>
      <w:r>
        <w:rPr>
          <w:rFonts w:hint="eastAsia" w:ascii="宋体" w:hAnsi="宋体"/>
          <w:sz w:val="24"/>
        </w:rPr>
        <w:t>《中华人民共和国政府采购法》第二十二条第一款规定：</w:t>
      </w:r>
    </w:p>
    <w:p>
      <w:pPr>
        <w:keepNext w:val="0"/>
        <w:keepLines w:val="0"/>
        <w:pageBreakBefore w:val="0"/>
        <w:widowControl w:val="0"/>
        <w:kinsoku/>
        <w:wordWrap/>
        <w:overflowPunct/>
        <w:topLinePunct w:val="0"/>
        <w:autoSpaceDE/>
        <w:autoSpaceDN/>
        <w:bidi w:val="0"/>
        <w:adjustRightInd/>
        <w:spacing w:line="400" w:lineRule="exact"/>
        <w:ind w:right="0" w:rightChars="0" w:firstLine="960" w:firstLineChars="4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)具有独立承担民事责任的能力；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2</w:t>
      </w:r>
      <w:r>
        <w:rPr>
          <w:rFonts w:hint="eastAsia" w:ascii="宋体" w:hAnsi="宋体"/>
          <w:sz w:val="24"/>
        </w:rPr>
        <w:t>)具有良好的商业信誉和健全的财务会计制度；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3</w:t>
      </w:r>
      <w:r>
        <w:rPr>
          <w:rFonts w:hint="eastAsia" w:ascii="宋体" w:hAnsi="宋体"/>
          <w:sz w:val="24"/>
        </w:rPr>
        <w:t>)具有履行合同所必需的设备和专业技术能力；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4</w:t>
      </w:r>
      <w:r>
        <w:rPr>
          <w:rFonts w:hint="eastAsia" w:ascii="宋体" w:hAnsi="宋体"/>
          <w:sz w:val="24"/>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5</w:t>
      </w:r>
      <w:r>
        <w:rPr>
          <w:rFonts w:hint="eastAsia" w:ascii="宋体" w:hAnsi="宋体"/>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rPr>
        <w:t>　　(</w:t>
      </w:r>
      <w:r>
        <w:rPr>
          <w:rFonts w:hint="eastAsia" w:ascii="宋体" w:hAnsi="宋体"/>
          <w:sz w:val="24"/>
          <w:lang w:val="en-US" w:eastAsia="zh-CN"/>
        </w:rPr>
        <w:t>6</w:t>
      </w:r>
      <w:r>
        <w:rPr>
          <w:rFonts w:hint="eastAsia" w:ascii="宋体" w:hAnsi="宋体"/>
          <w:sz w:val="24"/>
        </w:rPr>
        <w:t>)法律、行政法规规定的其他条件。</w:t>
      </w: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2168" w:firstLineChars="675"/>
        <w:jc w:val="both"/>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31"/>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10.9中小企业声明函</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Fonts w:hint="eastAsia" w:hAnsi="宋体"/>
          <w:sz w:val="24"/>
          <w:lang w:val="en-US" w:eastAsia="zh-CN"/>
        </w:rPr>
        <w:t>12.9</w:t>
      </w:r>
      <w:r>
        <w:rPr>
          <w:rStyle w:val="33"/>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lang w:val="en-US" w:eastAsia="zh-CN"/>
        </w:rPr>
        <w:t>1.</w:t>
      </w:r>
      <w:r>
        <w:rPr>
          <w:rStyle w:val="33"/>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·登录公共资源电子交易系统（</w:t>
      </w:r>
      <w:r>
        <w:rPr>
          <w:rStyle w:val="33"/>
          <w:rFonts w:hint="eastAsia" w:ascii="宋体" w:hAnsi="宋体"/>
          <w:sz w:val="24"/>
          <w:szCs w:val="24"/>
          <w:lang w:eastAsia="zh-CN"/>
        </w:rPr>
        <w:t>jyzx.trs.gov.cn</w:t>
      </w:r>
      <w:r>
        <w:rPr>
          <w:rStyle w:val="33"/>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lang w:val="en-US" w:eastAsia="zh-CN"/>
        </w:rPr>
        <w:t>2.</w:t>
      </w:r>
      <w:r>
        <w:rPr>
          <w:rStyle w:val="33"/>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Style w:val="33"/>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Style w:val="33"/>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Style w:val="33"/>
          <w:rFonts w:hint="eastAsia" w:ascii="宋体" w:hAnsi="宋体"/>
          <w:sz w:val="24"/>
          <w:szCs w:val="24"/>
          <w:lang w:val="en-US" w:eastAsia="zh-CN"/>
        </w:rPr>
        <w:t>·点【打印保证金回执单】按钮，查看确认到账回执信息，打印留存备用。</w:t>
      </w:r>
    </w:p>
    <w:p>
      <w:pPr>
        <w:pStyle w:val="10"/>
        <w:ind w:firstLine="480" w:firstLineChars="200"/>
        <w:rPr>
          <w:rFonts w:hint="eastAsia" w:hAnsi="宋体"/>
          <w:sz w:val="24"/>
          <w:lang w:val="en-US" w:eastAsia="zh-CN"/>
        </w:rPr>
      </w:pPr>
      <w:r>
        <w:rPr>
          <w:rStyle w:val="33"/>
          <w:rFonts w:hint="eastAsia" w:ascii="宋体" w:hAnsi="宋体" w:cstheme="minorBidi"/>
          <w:kern w:val="2"/>
          <w:sz w:val="24"/>
          <w:szCs w:val="24"/>
          <w:lang w:val="en-US" w:eastAsia="zh-CN" w:bidi="ar-SA"/>
        </w:rPr>
        <w:t>2.</w:t>
      </w:r>
      <w:r>
        <w:rPr>
          <w:rStyle w:val="33"/>
          <w:rFonts w:hint="eastAsia" w:ascii="宋体" w:hAnsi="宋体" w:eastAsiaTheme="minorEastAsia" w:cstheme="minorBidi"/>
          <w:kern w:val="2"/>
          <w:sz w:val="24"/>
          <w:szCs w:val="24"/>
          <w:lang w:val="en-US" w:eastAsia="zh-CN" w:bidi="ar-SA"/>
        </w:rPr>
        <w:t>采用《投标保证金保函》（电子保函）提交（具体操作方式见铜仁市公共资源交易中心首页——办事指南——政府采购——常见问题解答——《投标电子保函申请操作步骤》）</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color w:val="FF0000"/>
          <w:sz w:val="24"/>
        </w:rPr>
        <w:t>投标文件的签署、密封及规定</w:t>
      </w:r>
      <w:r>
        <w:rPr>
          <w:rFonts w:hint="eastAsia" w:ascii="宋体" w:hAnsi="宋体"/>
          <w:color w:val="FF0000"/>
          <w:sz w:val="24"/>
          <w:lang w:eastAsia="zh-CN"/>
        </w:rPr>
        <w:t>，</w:t>
      </w:r>
      <w:r>
        <w:rPr>
          <w:rFonts w:hint="eastAsia" w:ascii="宋体" w:hAnsi="宋体"/>
          <w:color w:val="FF0000"/>
          <w:sz w:val="24"/>
        </w:rPr>
        <w:t>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w:t>
      </w:r>
      <w:r>
        <w:rPr>
          <w:rFonts w:hint="eastAsia" w:hAnsi="宋体"/>
          <w:sz w:val="24"/>
        </w:rPr>
        <w:t>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（1）工商营业执照副本；</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（2）税务登记证；（“三证合一”可不提供）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（3）组织机构代码证；（“三证合一”可不提供）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eastAsia="zh-CN"/>
        </w:rPr>
        <w:t>法</w:t>
      </w:r>
      <w:r>
        <w:rPr>
          <w:rFonts w:hint="eastAsia" w:ascii="宋体" w:hAnsi="宋体"/>
          <w:sz w:val="24"/>
        </w:rPr>
        <w:t>人身份证或委托代理人持授权委托书及代理人身份证；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（6）20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个月财务报表（含资产负债表及利润表）或银行资信证明；</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（7）20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个月的缴纳社保的凭证；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（8）20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个月的完税凭证。</w:t>
      </w:r>
    </w:p>
    <w:p>
      <w:pPr>
        <w:keepNext w:val="0"/>
        <w:keepLines w:val="0"/>
        <w:pageBreakBefore w:val="0"/>
        <w:widowControl w:val="0"/>
        <w:numPr>
          <w:ilvl w:val="0"/>
          <w:numId w:val="4"/>
        </w:numPr>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lang w:eastAsia="zh-CN"/>
        </w:rPr>
      </w:pPr>
      <w:r>
        <w:rPr>
          <w:rFonts w:hint="eastAsia" w:ascii="宋体" w:hAnsi="宋体"/>
          <w:sz w:val="24"/>
        </w:rPr>
        <w:t>参加政府采购活动前三年内，在经营活动中没有重大违法记录声明函</w:t>
      </w:r>
      <w:r>
        <w:rPr>
          <w:rFonts w:hint="eastAsia" w:ascii="宋体" w:hAnsi="宋体"/>
          <w:sz w:val="24"/>
          <w:lang w:eastAsia="zh-CN"/>
        </w:rPr>
        <w:t>。</w:t>
      </w:r>
    </w:p>
    <w:p>
      <w:pPr>
        <w:pStyle w:val="2"/>
        <w:jc w:val="both"/>
        <w:rPr>
          <w:rFonts w:hint="default"/>
          <w:lang w:val="en-US" w:eastAsia="zh-CN"/>
        </w:rPr>
      </w:pPr>
      <w:r>
        <w:rPr>
          <w:rFonts w:hint="eastAsia" w:ascii="宋体" w:hAnsi="宋体"/>
          <w:sz w:val="24"/>
          <w:lang w:val="en-US" w:eastAsia="zh-CN"/>
        </w:rPr>
        <w:t xml:space="preserve">      （10）具有城乡规划甲级资质和建筑行业（建筑工程）甲级资质。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jc w:val="both"/>
        <w:outlineLvl w:val="0"/>
        <w:rPr>
          <w:rFonts w:hint="eastAsia" w:ascii="宋体" w:hAnsi="宋体"/>
          <w:b/>
          <w:bCs/>
          <w:sz w:val="36"/>
          <w:szCs w:val="36"/>
        </w:rPr>
        <w:sectPr>
          <w:pgSz w:w="11906" w:h="16838"/>
          <w:pgMar w:top="1440" w:right="1797" w:bottom="1440" w:left="1797" w:header="851" w:footer="992" w:gutter="0"/>
          <w:cols w:space="720" w:num="1"/>
          <w:docGrid w:linePitch="312" w:charSpace="0"/>
        </w:sectPr>
      </w:pPr>
    </w:p>
    <w:p>
      <w:pPr>
        <w:pStyle w:val="10"/>
        <w:rPr>
          <w:rFonts w:hint="eastAsia"/>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spacing w:line="560" w:lineRule="exact"/>
        <w:rPr>
          <w:rFonts w:hint="eastAsia" w:ascii="黑体" w:hAnsi="黑体" w:eastAsia="黑体" w:cs="黑体"/>
          <w:sz w:val="32"/>
          <w:szCs w:val="32"/>
        </w:rPr>
      </w:pPr>
      <w:r>
        <w:rPr>
          <w:rFonts w:hint="eastAsia" w:ascii="仿宋" w:hAnsi="仿宋" w:eastAsia="仿宋"/>
          <w:sz w:val="32"/>
          <w:szCs w:val="32"/>
        </w:rPr>
        <w:t xml:space="preserve">  </w:t>
      </w:r>
      <w:r>
        <w:rPr>
          <w:rFonts w:hint="eastAsia" w:ascii="黑体" w:hAnsi="黑体" w:eastAsia="黑体" w:cs="黑体"/>
          <w:sz w:val="32"/>
          <w:szCs w:val="32"/>
        </w:rPr>
        <w:t>一、编制背景</w:t>
      </w:r>
    </w:p>
    <w:p>
      <w:pPr>
        <w:spacing w:line="560" w:lineRule="exact"/>
        <w:ind w:firstLine="640"/>
        <w:jc w:val="left"/>
        <w:rPr>
          <w:rFonts w:ascii="仿宋" w:hAnsi="仿宋" w:eastAsia="仿宋" w:cs="仿宋"/>
          <w:sz w:val="32"/>
          <w:szCs w:val="32"/>
        </w:rPr>
      </w:pPr>
      <w:r>
        <w:rPr>
          <w:rFonts w:ascii="仿宋" w:hAnsi="仿宋" w:eastAsia="仿宋" w:cs="仿宋"/>
          <w:sz w:val="32"/>
          <w:szCs w:val="32"/>
        </w:rPr>
        <w:t>党的十九大报告提出实施乡村振兴战略：产业振兴、生态振兴、文化振兴、人才振兴、组织振兴</w:t>
      </w:r>
      <w:r>
        <w:rPr>
          <w:rFonts w:hint="eastAsia" w:ascii="仿宋" w:hAnsi="仿宋" w:eastAsia="仿宋" w:cs="仿宋"/>
          <w:sz w:val="32"/>
          <w:szCs w:val="32"/>
        </w:rPr>
        <w:t>，</w:t>
      </w:r>
      <w:r>
        <w:rPr>
          <w:rFonts w:ascii="仿宋" w:hAnsi="仿宋" w:eastAsia="仿宋" w:cs="仿宋"/>
          <w:sz w:val="32"/>
          <w:szCs w:val="32"/>
        </w:rPr>
        <w:t>总要求是产业兴旺、生态宜居、乡风文明、治理有效、生活富裕。2018年9月，中共中央、国务院印发了《乡村振兴战略规划（2108-2022年）》</w:t>
      </w:r>
      <w:r>
        <w:rPr>
          <w:rFonts w:hint="eastAsia" w:ascii="仿宋" w:hAnsi="仿宋" w:eastAsia="仿宋" w:cs="仿宋"/>
          <w:sz w:val="32"/>
          <w:szCs w:val="32"/>
        </w:rPr>
        <w:t>，</w:t>
      </w:r>
      <w:r>
        <w:rPr>
          <w:rFonts w:ascii="仿宋" w:hAnsi="仿宋" w:eastAsia="仿宋" w:cs="仿宋"/>
          <w:sz w:val="32"/>
          <w:szCs w:val="32"/>
        </w:rPr>
        <w:t>贵州省省委发布“贵州省人民政府关于乡村振兴战略的实施意见”</w:t>
      </w:r>
      <w:r>
        <w:rPr>
          <w:rFonts w:hint="eastAsia" w:ascii="仿宋" w:hAnsi="仿宋" w:eastAsia="仿宋" w:cs="仿宋"/>
          <w:sz w:val="32"/>
          <w:szCs w:val="32"/>
        </w:rPr>
        <w:t>，</w:t>
      </w:r>
      <w:r>
        <w:rPr>
          <w:rFonts w:ascii="仿宋" w:hAnsi="仿宋" w:eastAsia="仿宋" w:cs="仿宋"/>
          <w:sz w:val="32"/>
          <w:szCs w:val="32"/>
        </w:rPr>
        <w:t>铜仁市委市政府组织编制了《铜仁市乡村振兴规划（2018-2035 年）》，对铜仁市乡村振兴发展起到了指导引领作用。由于梵净山特殊的资源属性，其周边乡村发展有其自身特性、发展诉求和发展限制。如何在落实梵净山世界自然遗产地保护要求的前提下，推动梵净山区域乡村地区更好的发展，实现该区域产业兴旺、生态宜居、乡风文明、治理有效、生活富裕是</w:t>
      </w:r>
      <w:r>
        <w:rPr>
          <w:rFonts w:hint="eastAsia" w:ascii="仿宋" w:hAnsi="仿宋" w:eastAsia="仿宋" w:cs="仿宋"/>
          <w:sz w:val="32"/>
          <w:szCs w:val="32"/>
        </w:rPr>
        <w:t>当前工作的重点和难点</w:t>
      </w:r>
      <w:r>
        <w:rPr>
          <w:rFonts w:ascii="仿宋" w:hAnsi="仿宋" w:eastAsia="仿宋" w:cs="仿宋"/>
          <w:sz w:val="32"/>
          <w:szCs w:val="32"/>
        </w:rPr>
        <w:t>。</w:t>
      </w:r>
    </w:p>
    <w:p>
      <w:pPr>
        <w:spacing w:line="560" w:lineRule="exact"/>
        <w:ind w:firstLine="640"/>
        <w:jc w:val="left"/>
        <w:rPr>
          <w:rFonts w:ascii="仿宋" w:hAnsi="仿宋" w:eastAsia="仿宋" w:cs="仿宋"/>
          <w:sz w:val="32"/>
          <w:szCs w:val="32"/>
        </w:rPr>
      </w:pPr>
      <w:r>
        <w:rPr>
          <w:rFonts w:ascii="仿宋" w:hAnsi="仿宋" w:eastAsia="仿宋" w:cs="仿宋"/>
          <w:sz w:val="32"/>
          <w:szCs w:val="32"/>
        </w:rPr>
        <w:t>按照铜仁市市委、市人民政府的工作安排，落实国家、贵州省、铜仁市的发展要求，结合梵净山区域乡村自身实际</w:t>
      </w:r>
      <w:r>
        <w:rPr>
          <w:rFonts w:hint="eastAsia" w:ascii="仿宋" w:hAnsi="仿宋" w:eastAsia="仿宋" w:cs="仿宋"/>
          <w:sz w:val="32"/>
          <w:szCs w:val="32"/>
        </w:rPr>
        <w:t>发展特征，我局牵头编制《梵净山区域乡村振兴规划》。</w:t>
      </w:r>
      <w:r>
        <w:rPr>
          <w:rFonts w:ascii="仿宋" w:hAnsi="仿宋" w:eastAsia="仿宋" w:cs="仿宋"/>
          <w:sz w:val="32"/>
          <w:szCs w:val="32"/>
        </w:rPr>
        <w:t>通过规划的编制</w:t>
      </w:r>
      <w:r>
        <w:rPr>
          <w:rFonts w:hint="eastAsia" w:ascii="仿宋" w:hAnsi="仿宋" w:eastAsia="仿宋" w:cs="仿宋"/>
          <w:sz w:val="32"/>
          <w:szCs w:val="32"/>
        </w:rPr>
        <w:t>，把握发展趋势，因地制宜制定梵净山区域乡村振兴建设方案；补强薄弱环节，全面提升乡村生产生活基础；结合城市战略，突出梵净山区域作为乡村振兴优先区域的示范带动作用。</w:t>
      </w:r>
    </w:p>
    <w:p>
      <w:pPr>
        <w:pStyle w:val="2"/>
        <w:spacing w:line="560" w:lineRule="exact"/>
        <w:ind w:firstLine="640" w:firstLineChars="200"/>
        <w:jc w:val="both"/>
        <w:rPr>
          <w:rFonts w:hint="eastAsia" w:ascii="黑体" w:hAnsi="黑体" w:eastAsia="黑体" w:cs="仿宋"/>
          <w:b w:val="0"/>
          <w:szCs w:val="32"/>
        </w:rPr>
      </w:pPr>
      <w:r>
        <w:rPr>
          <w:rFonts w:hint="eastAsia" w:ascii="黑体" w:hAnsi="黑体" w:eastAsia="黑体" w:cs="仿宋"/>
          <w:b w:val="0"/>
          <w:szCs w:val="32"/>
        </w:rPr>
        <w:t>二、规划编制要求</w:t>
      </w:r>
    </w:p>
    <w:p>
      <w:pPr>
        <w:spacing w:line="560" w:lineRule="exact"/>
        <w:ind w:firstLine="640"/>
        <w:jc w:val="left"/>
        <w:rPr>
          <w:rFonts w:ascii="仿宋" w:hAnsi="仿宋" w:eastAsia="仿宋" w:cs="仿宋"/>
          <w:sz w:val="32"/>
          <w:szCs w:val="32"/>
        </w:rPr>
      </w:pPr>
      <w:r>
        <w:rPr>
          <w:rFonts w:ascii="楷体_GB2312" w:hAnsi="楷体_GB2312" w:eastAsia="楷体_GB2312" w:cs="楷体_GB2312"/>
          <w:sz w:val="32"/>
          <w:szCs w:val="32"/>
        </w:rPr>
        <w:t>（一）规划原则</w:t>
      </w:r>
      <w:r>
        <w:rPr>
          <w:rFonts w:hint="eastAsia" w:ascii="楷体_GB2312" w:hAnsi="楷体_GB2312" w:eastAsia="楷体_GB2312" w:cs="楷体_GB2312"/>
          <w:sz w:val="32"/>
          <w:szCs w:val="32"/>
        </w:rPr>
        <w:t>：</w:t>
      </w:r>
      <w:r>
        <w:rPr>
          <w:rFonts w:ascii="仿宋" w:hAnsi="仿宋" w:eastAsia="仿宋" w:cs="仿宋"/>
          <w:sz w:val="32"/>
          <w:szCs w:val="32"/>
        </w:rPr>
        <w:t>一是坚持</w:t>
      </w:r>
      <w:r>
        <w:rPr>
          <w:rFonts w:hint="eastAsia" w:ascii="仿宋" w:hAnsi="仿宋" w:eastAsia="仿宋" w:cs="仿宋"/>
          <w:sz w:val="32"/>
          <w:szCs w:val="32"/>
        </w:rPr>
        <w:t>坚持绿色生态。贯彻生态优先、绿色发展的理念，尊重乡村肌理与传统风貌，营造“小规模、组团式、生态化”的乡村规划建设模式；二</w:t>
      </w:r>
      <w:r>
        <w:rPr>
          <w:rFonts w:ascii="仿宋" w:hAnsi="仿宋" w:eastAsia="仿宋" w:cs="仿宋"/>
          <w:sz w:val="32"/>
          <w:szCs w:val="32"/>
        </w:rPr>
        <w:t>是</w:t>
      </w:r>
      <w:r>
        <w:rPr>
          <w:rFonts w:hint="eastAsia" w:ascii="仿宋" w:hAnsi="仿宋" w:eastAsia="仿宋" w:cs="仿宋"/>
          <w:sz w:val="32"/>
          <w:szCs w:val="32"/>
        </w:rPr>
        <w:t>坚持农业农村优先发展。把“三农”工作作为重中之重，把实现乡村振兴作为全县上下共同意志、共同行动，在干部配备上优先考虑，在资金投入上优先保障，在公共服务上优先安排，在要素配置上优先满足，加快补齐农业农村短板；三是坚持乡村全面振兴。充分准确把握乡村振兴的科学内涵，挖掘乡村多种功能和价值，整体部署乡村振兴战略任务，统筹谋划农村经济建设、政治建设、文化建设、社会建设、生态文明建设和党的建设，协调推进农业全面升级、农村全面进步、农民全面发展；四是坚持城乡融合发展。建立健全城乡融合发展的体制机制和政策体系，畅通城乡要素自由流动、平等交换通道，加快形成城乡互补、全面融合、共同繁荣的新型工农城乡关系；五是坚持多规合一。贯彻多规融合的理念与方法，统筹生产、生活、生态布局和空间、规划、产业结构，将农林、规划、发改、国土、环保、交通和水利等多部门的规划要求和建设项目在空间上统一起来，实现梵净山区域乡村规划“一张图”。</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（二）规划要求：</w:t>
      </w:r>
      <w:r>
        <w:rPr>
          <w:rFonts w:hint="eastAsia" w:ascii="仿宋" w:hAnsi="仿宋" w:eastAsia="仿宋" w:cs="仿宋"/>
          <w:sz w:val="32"/>
          <w:szCs w:val="32"/>
        </w:rPr>
        <w:t>依据国家、省和市乡村振兴战略规划要求，按照“产业兴旺、生态宜居、乡风文明、治理有效、生活富裕”的总体要求，在深入研判梵净山区域乡村发展背景的基础上，准确把握区域乡村发展的特征和主要问题，明确乡村振兴的机遇和挑战，深入剖析乡村发展的相关规划，做到“统筹规划”和“规划统筹”。以推动产业振兴、人才振兴、文化振兴、生态振兴和组织振兴为统领，提出区域乡村振兴发展的总体要求，明确规划依据、指导思想和原则理念，明确总体目标和阶段性目标，制定符合实际的实施路径。按照省、市对城乡空间发展的新思路，健全“多规合一”规划管理机制，实现规划的统一。</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（三）主要任务：</w:t>
      </w:r>
      <w:r>
        <w:rPr>
          <w:rFonts w:hint="eastAsia" w:ascii="仿宋" w:hAnsi="仿宋" w:eastAsia="仿宋" w:cs="仿宋"/>
          <w:sz w:val="32"/>
          <w:szCs w:val="32"/>
        </w:rPr>
        <w:t>开展乡村资源环境承载能力研究，科学研判乡村人口流动趋势，确定城乡空间发展结构，在划定生态、乡村、城镇主导功能空间的基础上，明确乡村生产空间和农村生活空间布局，提出乡村空间管制要求；依据乡村资源禀赋和发展基础，提出乡村产业发展策略，明确农业产业的发展方向和重点，推进农村产业融合发展，优化乡村产业空间布局，提出区域乡村发展经济分区；根据乡村旅游资源，确定乡村旅游发展模式和布局；梳理乡村历史文化资源要素，提出保护历史文化的要求；制定乡村生态环境保护策略，构建乡村生态安全格局；提出乡村分类建设要求，推进宜居乡村建设；优化乡村公共服务设施布局，构建“乡村生活圈”；坚持基础设施向农村延伸，明确乡村基础设施布局；确定综合防灾标准，明确防灾设施布局和建设要求；以镇乡为单元，按照“以点带面、以轴带面”的路径，明确乡村振兴的时序安排；制定保障措施和推进机制，部署重大工程、重大计划和重大行动；明确近期建设要求，建立近期乡村振兴项目库。</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（四）</w:t>
      </w:r>
      <w:r>
        <w:rPr>
          <w:rFonts w:ascii="楷体_GB2312" w:hAnsi="楷体_GB2312" w:eastAsia="楷体_GB2312" w:cs="楷体_GB2312"/>
          <w:sz w:val="32"/>
          <w:szCs w:val="32"/>
        </w:rPr>
        <w:t>规划范围</w:t>
      </w:r>
      <w:r>
        <w:rPr>
          <w:rFonts w:hint="eastAsia" w:ascii="楷体_GB2312" w:hAnsi="楷体_GB2312" w:eastAsia="楷体_GB2312" w:cs="楷体_GB2312"/>
          <w:sz w:val="32"/>
          <w:szCs w:val="32"/>
        </w:rPr>
        <w:t>：</w:t>
      </w:r>
      <w:r>
        <w:rPr>
          <w:rFonts w:hint="eastAsia" w:ascii="仿宋" w:hAnsi="仿宋" w:eastAsia="仿宋" w:cs="仿宋"/>
          <w:sz w:val="32"/>
          <w:szCs w:val="32"/>
        </w:rPr>
        <w:t>梵净山世界自然遗产地及其辐射区。遗产地＋辐射区面积约为1500-2000平方公里（具体以《梵净山区域国土空间规划》的范围及面积为准）。梵净山自然遗产地辐射区包括沿梵净山环线公路的11个乡镇，即江口县的双江街道办事处、怒溪镇、闵孝镇、太平镇；印江县的罗场乡、木黄镇、紫薇镇、缠溪镇；松桃县的孟溪镇、乌罗镇、寨英镇。</w:t>
      </w:r>
    </w:p>
    <w:p>
      <w:pPr>
        <w:spacing w:line="560" w:lineRule="exact"/>
        <w:ind w:firstLine="640"/>
        <w:jc w:val="left"/>
        <w:rPr>
          <w:rFonts w:hint="eastAsia" w:ascii="仿宋" w:hAnsi="仿宋" w:eastAsia="仿宋" w:cs="仿宋"/>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五</w:t>
      </w:r>
      <w:r>
        <w:rPr>
          <w:rFonts w:ascii="楷体_GB2312" w:hAnsi="楷体_GB2312" w:eastAsia="楷体_GB2312" w:cs="楷体_GB2312"/>
          <w:sz w:val="32"/>
          <w:szCs w:val="32"/>
        </w:rPr>
        <w:t>）规划期限</w:t>
      </w:r>
      <w:r>
        <w:rPr>
          <w:rFonts w:hint="eastAsia" w:ascii="楷体_GB2312" w:hAnsi="楷体_GB2312" w:eastAsia="楷体_GB2312" w:cs="楷体_GB2312"/>
          <w:sz w:val="32"/>
          <w:szCs w:val="32"/>
        </w:rPr>
        <w:t>：</w:t>
      </w:r>
      <w:r>
        <w:rPr>
          <w:rFonts w:ascii="仿宋" w:hAnsi="仿宋" w:eastAsia="仿宋" w:cs="仿宋"/>
          <w:sz w:val="32"/>
          <w:szCs w:val="32"/>
        </w:rPr>
        <w:t>与《梵净山区域国土空间规划》期限一致，为（2019-2035年）。</w:t>
      </w:r>
      <w:r>
        <w:rPr>
          <w:rFonts w:hint="eastAsia" w:ascii="仿宋" w:hAnsi="仿宋" w:eastAsia="仿宋" w:cs="仿宋"/>
          <w:sz w:val="32"/>
          <w:szCs w:val="32"/>
        </w:rPr>
        <w:t>规划基准年为2019年，近期为2019-2025年，中期为2026-2030，远期为2031-2035年</w:t>
      </w:r>
      <w:r>
        <w:rPr>
          <w:rFonts w:ascii="仿宋" w:hAnsi="仿宋" w:eastAsia="仿宋" w:cs="仿宋"/>
          <w:sz w:val="32"/>
          <w:szCs w:val="32"/>
        </w:rPr>
        <w:t>。</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（六）规划深度：</w:t>
      </w:r>
      <w:r>
        <w:rPr>
          <w:rFonts w:hint="eastAsia" w:ascii="仿宋" w:hAnsi="仿宋" w:eastAsia="仿宋" w:cs="仿宋"/>
          <w:sz w:val="32"/>
          <w:szCs w:val="32"/>
        </w:rPr>
        <w:t>满足国家、省、市相关政策要求，达到指导乡村建设的要求。</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（七）编制依据：</w:t>
      </w:r>
      <w:r>
        <w:rPr>
          <w:rFonts w:hint="eastAsia" w:ascii="仿宋" w:hAnsi="仿宋" w:eastAsia="仿宋" w:cs="仿宋"/>
          <w:sz w:val="32"/>
          <w:szCs w:val="32"/>
        </w:rPr>
        <w:t>1.法律法规：《中华人民共和国土地管理法》；《中华人民共和国环境保护法》；《中华人民共和国城乡规划法》（2019年修正）；《中华人民共和国文物保护法》；《中华人民共和国森林法》；《中华人民共和国水土保持法》；《城市用地分类与规划建设用地标准》（GBJ137-90）；《基本农田划定技术规程》；《镇规划标准》（GB-50188-2007）；《村庄整治技术规范》；其他相关地方规划及标准。2.政策文件：《中央经济工作会议》（2018年）；《中央农村工作会议》（2018年）；《中共中央国务院关于坚持农业农村优先发展做好“三农”工作的若干意见》；《中共中央国务院关于实施乡村振兴战略的意见》；《中共贵州省委 贵州省人民政府关于乡村振兴战略的实施意见》；其他相关政策文件。3.规划参考：《国家乡村振兴战略规划（2018-2022年）》；《铜仁市乡村振兴规划（2</w:t>
      </w:r>
      <w:r>
        <w:rPr>
          <w:rFonts w:ascii="仿宋" w:hAnsi="仿宋" w:eastAsia="仿宋" w:cs="仿宋"/>
          <w:sz w:val="32"/>
          <w:szCs w:val="32"/>
        </w:rPr>
        <w:t>018</w:t>
      </w:r>
      <w:r>
        <w:rPr>
          <w:rFonts w:hint="eastAsia" w:ascii="仿宋" w:hAnsi="仿宋" w:eastAsia="仿宋" w:cs="仿宋"/>
          <w:sz w:val="32"/>
          <w:szCs w:val="32"/>
        </w:rPr>
        <w:t>-</w:t>
      </w:r>
      <w:r>
        <w:rPr>
          <w:rFonts w:ascii="仿宋" w:hAnsi="仿宋" w:eastAsia="仿宋" w:cs="仿宋"/>
          <w:sz w:val="32"/>
          <w:szCs w:val="32"/>
        </w:rPr>
        <w:t>2035</w:t>
      </w:r>
      <w:r>
        <w:rPr>
          <w:rFonts w:hint="eastAsia" w:ascii="仿宋" w:hAnsi="仿宋" w:eastAsia="仿宋" w:cs="仿宋"/>
          <w:sz w:val="32"/>
          <w:szCs w:val="32"/>
        </w:rPr>
        <w:t xml:space="preserve">）》；《梵净山国土空间规划》；《铜仁市“十三五”规划》；.江口县、印江县、松桃县“十三五”农业（农村）发展规划；其它相关规划。 </w:t>
      </w:r>
    </w:p>
    <w:p>
      <w:pPr>
        <w:pStyle w:val="2"/>
        <w:spacing w:line="560" w:lineRule="exact"/>
        <w:ind w:firstLine="640" w:firstLineChars="200"/>
        <w:jc w:val="both"/>
        <w:rPr>
          <w:rFonts w:ascii="黑体" w:hAnsi="黑体" w:eastAsia="黑体" w:cs="仿宋"/>
          <w:b w:val="0"/>
          <w:szCs w:val="32"/>
        </w:rPr>
      </w:pPr>
      <w:r>
        <w:rPr>
          <w:rFonts w:ascii="黑体" w:hAnsi="黑体" w:eastAsia="黑体" w:cs="仿宋"/>
          <w:b w:val="0"/>
          <w:szCs w:val="32"/>
        </w:rPr>
        <w:t>三</w:t>
      </w:r>
      <w:r>
        <w:rPr>
          <w:rFonts w:hint="eastAsia" w:ascii="黑体" w:hAnsi="黑体" w:eastAsia="黑体" w:cs="仿宋"/>
          <w:b w:val="0"/>
          <w:szCs w:val="32"/>
        </w:rPr>
        <w:t>、规划</w:t>
      </w:r>
      <w:r>
        <w:rPr>
          <w:rFonts w:ascii="黑体" w:hAnsi="黑体" w:eastAsia="黑体" w:cs="仿宋"/>
          <w:b w:val="0"/>
          <w:szCs w:val="32"/>
        </w:rPr>
        <w:t>主要内容</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（一）现状分析：</w:t>
      </w:r>
      <w:r>
        <w:rPr>
          <w:rFonts w:hint="eastAsia" w:ascii="仿宋" w:hAnsi="仿宋" w:eastAsia="仿宋" w:cs="仿宋"/>
          <w:sz w:val="32"/>
          <w:szCs w:val="32"/>
        </w:rPr>
        <w:t>梳理梵净山区域乡村现状基本情况，综合评价乡村发展建设条件，分析存在的主要问题。</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（二）乡村建设目标：</w:t>
      </w:r>
      <w:r>
        <w:rPr>
          <w:rFonts w:ascii="仿宋" w:hAnsi="仿宋" w:eastAsia="仿宋" w:cs="仿宋"/>
          <w:sz w:val="32"/>
          <w:szCs w:val="32"/>
        </w:rPr>
        <w:t>解读、落实国家、省、市对于乡村振兴战略的目标、发展阶段与政策要求，加强对接梵净山区域内涉及乡村地区的重大战略性、宏观性、创新性、关键性问题的研究，在现状研判的基础上提出产业发展、生态环境保护、历史文化传承、农村人居环境整治、农房建设管理、农民致富增收等方面确定乡村建设发展目标，提出发展战略路径，分解细化具体指标与工作任务。</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（三）生态要素统筹：</w:t>
      </w:r>
      <w:r>
        <w:rPr>
          <w:rFonts w:ascii="仿宋" w:hAnsi="仿宋" w:eastAsia="仿宋" w:cs="仿宋"/>
          <w:sz w:val="32"/>
          <w:szCs w:val="32"/>
        </w:rPr>
        <w:t>充分研究梵净山世界自然遗产保护区的资源特征，以乡村山水林田湖生态修复为基底，人居生态环境建设为重要内容；在落实相关保护要求和环境治理要求的前提下，建立“生态-产业-文化-人居”相协调的绿色发展模式，形成特色资源保护与乡村发展的良性互促机制。</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（四）乡村体系规划：</w:t>
      </w:r>
      <w:r>
        <w:rPr>
          <w:rFonts w:hint="eastAsia" w:ascii="仿宋" w:hAnsi="仿宋" w:eastAsia="仿宋" w:cs="仿宋"/>
          <w:sz w:val="32"/>
          <w:szCs w:val="32"/>
        </w:rPr>
        <w:t>分析梵净山区域内乡村发展潜力，划定产业经济发展分区。确定乡村体系的等级、规模和职能结构。</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（五）乡村产业发展：</w:t>
      </w:r>
      <w:r>
        <w:rPr>
          <w:rFonts w:hint="eastAsia" w:ascii="仿宋" w:hAnsi="仿宋" w:eastAsia="仿宋" w:cs="仿宋"/>
          <w:sz w:val="32"/>
          <w:szCs w:val="32"/>
        </w:rPr>
        <w:t>研究“农文旅”深度融合的产业一体化发展体系。</w:t>
      </w:r>
      <w:r>
        <w:rPr>
          <w:rFonts w:ascii="仿宋" w:hAnsi="仿宋" w:eastAsia="仿宋" w:cs="仿宋"/>
          <w:sz w:val="32"/>
          <w:szCs w:val="32"/>
        </w:rPr>
        <w:t>充分挖掘利用“梵净山自然遗产保护地”的资源特性、区域自然生态本底特性、人居文化特性等资源条件，整合和梳理现代产业体系，以生态农业产业为基础，优化产业形态，促进</w:t>
      </w:r>
      <w:r>
        <w:rPr>
          <w:rFonts w:hint="eastAsia" w:ascii="仿宋" w:hAnsi="仿宋" w:eastAsia="仿宋" w:cs="仿宋"/>
          <w:sz w:val="32"/>
          <w:szCs w:val="32"/>
        </w:rPr>
        <w:t>“</w:t>
      </w:r>
      <w:r>
        <w:rPr>
          <w:rFonts w:ascii="仿宋" w:hAnsi="仿宋" w:eastAsia="仿宋" w:cs="仿宋"/>
          <w:sz w:val="32"/>
          <w:szCs w:val="32"/>
        </w:rPr>
        <w:t>农</w:t>
      </w:r>
      <w:r>
        <w:rPr>
          <w:rFonts w:hint="eastAsia" w:ascii="仿宋" w:hAnsi="仿宋" w:eastAsia="仿宋" w:cs="仿宋"/>
          <w:sz w:val="32"/>
          <w:szCs w:val="32"/>
        </w:rPr>
        <w:t>文</w:t>
      </w:r>
      <w:r>
        <w:rPr>
          <w:rFonts w:ascii="仿宋" w:hAnsi="仿宋" w:eastAsia="仿宋" w:cs="仿宋"/>
          <w:sz w:val="32"/>
          <w:szCs w:val="32"/>
        </w:rPr>
        <w:t>旅</w:t>
      </w:r>
      <w:r>
        <w:rPr>
          <w:rFonts w:hint="eastAsia" w:ascii="仿宋" w:hAnsi="仿宋" w:eastAsia="仿宋" w:cs="仿宋"/>
          <w:sz w:val="32"/>
          <w:szCs w:val="32"/>
        </w:rPr>
        <w:t>”</w:t>
      </w:r>
      <w:r>
        <w:rPr>
          <w:rFonts w:ascii="仿宋" w:hAnsi="仿宋" w:eastAsia="仿宋" w:cs="仿宋"/>
          <w:sz w:val="32"/>
          <w:szCs w:val="32"/>
        </w:rPr>
        <w:t>深度融合，推动农业转型升级，促进产业高质发展。</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（六）乡村用地规划：</w:t>
      </w:r>
      <w:r>
        <w:rPr>
          <w:rFonts w:hint="eastAsia" w:ascii="仿宋" w:hAnsi="仿宋" w:eastAsia="仿宋" w:cs="仿宋"/>
          <w:sz w:val="32"/>
          <w:szCs w:val="32"/>
        </w:rPr>
        <w:t>重构“人-产-地”相平衡的用地体系。</w:t>
      </w:r>
      <w:r>
        <w:rPr>
          <w:rFonts w:ascii="仿宋" w:hAnsi="仿宋" w:eastAsia="仿宋" w:cs="仿宋"/>
          <w:sz w:val="32"/>
          <w:szCs w:val="32"/>
        </w:rPr>
        <w:t>在充分研究自然地理、资源条件、产业发展和人口流动相关问题的基础上，提出集聚提升类、特色保护类、搬迁撤并类的村庄分类。结合区域协调发展、城乡融合、统筹三生空间的要求，提出土地综合整治策略，合理统筹安排生产生活和配套设施用地，推进土地的集约节约利用。</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（七）乡村公共服务设施规划：</w:t>
      </w:r>
      <w:r>
        <w:rPr>
          <w:rFonts w:hint="eastAsia" w:ascii="仿宋" w:hAnsi="仿宋" w:eastAsia="仿宋" w:cs="仿宋"/>
          <w:sz w:val="32"/>
          <w:szCs w:val="32"/>
        </w:rPr>
        <w:t>因地制宜，构建协同共享的生活配套圈。</w:t>
      </w:r>
      <w:r>
        <w:rPr>
          <w:rFonts w:ascii="仿宋" w:hAnsi="仿宋" w:eastAsia="仿宋" w:cs="仿宋"/>
          <w:sz w:val="32"/>
          <w:szCs w:val="32"/>
        </w:rPr>
        <w:t>分析乡村现有公共服务设施、人居环境、基础设施等问题，因地制宜，合理划定乡村生活服务圈，有效引导基本公</w:t>
      </w:r>
      <w:r>
        <w:rPr>
          <w:rFonts w:hint="eastAsia" w:ascii="仿宋" w:hAnsi="仿宋" w:eastAsia="仿宋" w:cs="仿宋"/>
          <w:sz w:val="32"/>
          <w:szCs w:val="32"/>
        </w:rPr>
        <w:t>共服务提升、人居环境整治、基础设施配置。</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（八）乡村基础设施规划：</w:t>
      </w:r>
      <w:r>
        <w:rPr>
          <w:rFonts w:hint="eastAsia" w:ascii="仿宋" w:hAnsi="仿宋" w:eastAsia="仿宋" w:cs="仿宋"/>
          <w:sz w:val="32"/>
          <w:szCs w:val="32"/>
        </w:rPr>
        <w:t>确定区域重要乡村道路、供水、排水、电力电信、环境卫生、减灾防灾等设施的用地位置、规模和建设标准。</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（九）乡村历史文化保护规划：</w:t>
      </w:r>
      <w:r>
        <w:rPr>
          <w:rFonts w:hint="eastAsia" w:ascii="仿宋" w:hAnsi="仿宋" w:eastAsia="仿宋" w:cs="仿宋"/>
          <w:sz w:val="32"/>
          <w:szCs w:val="32"/>
        </w:rPr>
        <w:t>护传承历史文化资源，培育特色文化产业品牌。</w:t>
      </w:r>
      <w:r>
        <w:rPr>
          <w:rFonts w:ascii="仿宋" w:hAnsi="仿宋" w:eastAsia="仿宋" w:cs="仿宋"/>
          <w:sz w:val="32"/>
          <w:szCs w:val="32"/>
        </w:rPr>
        <w:t>梳理区域内历史文化资源，确定历史文化名村、传统村落、乡土聚落、历史建筑、古树名木等重要要素，制定历史文化保护策略。结合产业发展，培育文化产业品牌，强化基层民众文化信仰。</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（十）乡村风貌规划：</w:t>
      </w:r>
      <w:r>
        <w:rPr>
          <w:rFonts w:hint="eastAsia" w:ascii="仿宋" w:hAnsi="仿宋" w:eastAsia="仿宋" w:cs="仿宋"/>
          <w:sz w:val="32"/>
          <w:szCs w:val="32"/>
        </w:rPr>
        <w:t>划定风貌管控分区，针对性的提出各风貌区的风貌引导策略及建设要求。加强区域乡村重点地区、重要聚落、关键节点的风貌控制引导，明确重要山水界面、景观资源、历史文化要素保护要求，细化农房建设风貌指引和管控要求。</w:t>
      </w:r>
    </w:p>
    <w:p>
      <w:pPr>
        <w:spacing w:line="560" w:lineRule="exact"/>
        <w:ind w:firstLine="640"/>
        <w:jc w:val="left"/>
        <w:rPr>
          <w:rFonts w:ascii="仿宋" w:hAnsi="仿宋" w:eastAsia="仿宋" w:cs="仿宋"/>
          <w:sz w:val="32"/>
          <w:szCs w:val="32"/>
        </w:rPr>
      </w:pPr>
      <w:r>
        <w:rPr>
          <w:rFonts w:hint="eastAsia" w:ascii="楷体_GB2312" w:hAnsi="楷体_GB2312" w:eastAsia="楷体_GB2312" w:cs="楷体_GB2312"/>
          <w:sz w:val="32"/>
          <w:szCs w:val="32"/>
        </w:rPr>
        <w:t>（十一）村庄整治指引：</w:t>
      </w:r>
      <w:r>
        <w:rPr>
          <w:rFonts w:hint="eastAsia" w:ascii="仿宋" w:hAnsi="仿宋" w:eastAsia="仿宋" w:cs="仿宋"/>
          <w:sz w:val="32"/>
          <w:szCs w:val="32"/>
        </w:rPr>
        <w:t>分区分类制定村庄整治要求，提出重点整治项目、标准和时序，细化村庄整治导则。重点对农村人居环境整治中污水、垃圾治理和村容村貌提升三大主攻方向和农房改造、环境卫生整治等方面提出具体整治指引。</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（十二）</w:t>
      </w:r>
      <w:r>
        <w:rPr>
          <w:rFonts w:ascii="楷体_GB2312" w:hAnsi="楷体_GB2312" w:eastAsia="楷体_GB2312" w:cs="楷体_GB2312"/>
          <w:sz w:val="32"/>
          <w:szCs w:val="32"/>
        </w:rPr>
        <w:t>乡村治理</w:t>
      </w:r>
      <w:r>
        <w:rPr>
          <w:rFonts w:hint="eastAsia" w:ascii="楷体_GB2312" w:hAnsi="楷体_GB2312" w:eastAsia="楷体_GB2312" w:cs="楷体_GB2312"/>
          <w:sz w:val="32"/>
          <w:szCs w:val="32"/>
        </w:rPr>
        <w:t>：</w:t>
      </w:r>
      <w:r>
        <w:rPr>
          <w:rFonts w:hint="eastAsia" w:ascii="仿宋" w:hAnsi="仿宋" w:eastAsia="仿宋" w:cs="仿宋"/>
          <w:sz w:val="32"/>
          <w:szCs w:val="32"/>
        </w:rPr>
        <w:t>明确推进乡村治理体系和治理能力现代化的模式与方法。提出农村基层党组织建设，实施"民心党建+X"乡村治理模式的具体路径。从深化村民自治实践、加强农村法治建设、提升乡村德治水平三方面，构建自治、法治、德治三者有机结合的乡村治理体系。探索用好用活支部联建、干部驻村、村企联建等帮扶力量的方式。</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（十三）乡村人才振兴：</w:t>
      </w:r>
      <w:r>
        <w:rPr>
          <w:rFonts w:hint="eastAsia" w:ascii="仿宋" w:hAnsi="仿宋" w:eastAsia="仿宋" w:cs="仿宋"/>
          <w:sz w:val="32"/>
          <w:szCs w:val="32"/>
        </w:rPr>
        <w:t>通过构建人才教育培训体系、制定人才吸引政策和建立有效激励机制，培育乡村产业发展、乡村教育、乡村科技、乡村社会治理、乡村文化事业、乡村医疗卫生和新型职业农民七类人才，培养高素质“三农”队伍。围绕“引才、留才、用才”，完善政策及保障体系，吸引各类人才“上山下乡”投身乡村振兴。</w:t>
      </w:r>
    </w:p>
    <w:p>
      <w:pPr>
        <w:pStyle w:val="2"/>
        <w:spacing w:line="560" w:lineRule="exact"/>
        <w:ind w:firstLine="640" w:firstLineChars="200"/>
        <w:jc w:val="both"/>
        <w:rPr>
          <w:rFonts w:hint="eastAsia" w:ascii="黑体" w:hAnsi="黑体" w:eastAsia="黑体" w:cs="仿宋"/>
          <w:b w:val="0"/>
          <w:szCs w:val="32"/>
        </w:rPr>
      </w:pPr>
      <w:r>
        <w:rPr>
          <w:rFonts w:ascii="黑体" w:hAnsi="黑体" w:eastAsia="黑体" w:cs="仿宋"/>
          <w:b w:val="0"/>
          <w:szCs w:val="32"/>
        </w:rPr>
        <w:t>四</w:t>
      </w:r>
      <w:r>
        <w:rPr>
          <w:rFonts w:hint="eastAsia" w:ascii="黑体" w:hAnsi="黑体" w:eastAsia="黑体" w:cs="仿宋"/>
          <w:b w:val="0"/>
          <w:szCs w:val="32"/>
        </w:rPr>
        <w:t>、规划成果</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规划成果主要包括文本、图件、附件。文本是规划区域的发展目标、总体定位、空间格局、设施配套、产业发展、文化保护、村容村貌、乡村治理等进行全面分析和阐述，需要重点解决的问题进行深入的论证和分析。图件主要包括乡村区位图、综合现状图、产业分析图、农业资源评价图、总体布局规划图、道路交通规划图、配套设施规划图、功能分区图、农旅资源保护规划图、近期建设规划图等其他专业规划图及其它实际需要要求图。附件包括规划说明书和其他基础资料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五、周期进度及进度</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梵净山区域乡村振兴规划编制时间为20</w:t>
      </w:r>
      <w:r>
        <w:rPr>
          <w:rFonts w:hint="eastAsia" w:ascii="仿宋" w:hAnsi="仿宋" w:eastAsia="仿宋" w:cs="仿宋"/>
          <w:sz w:val="32"/>
          <w:szCs w:val="32"/>
          <w:lang w:val="en-US" w:eastAsia="zh-CN"/>
        </w:rPr>
        <w:t>20</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eastAsia="zh-CN"/>
        </w:rPr>
        <w:t>底前</w:t>
      </w:r>
      <w:r>
        <w:rPr>
          <w:rFonts w:hint="eastAsia" w:ascii="仿宋" w:hAnsi="仿宋" w:eastAsia="仿宋" w:cs="仿宋"/>
          <w:sz w:val="32"/>
          <w:szCs w:val="32"/>
        </w:rPr>
        <w:t>。具体工作内容如下：</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（一）开展现状调研：</w:t>
      </w:r>
      <w:r>
        <w:rPr>
          <w:rFonts w:hint="eastAsia" w:ascii="仿宋" w:hAnsi="仿宋" w:eastAsia="仿宋" w:cs="仿宋"/>
          <w:sz w:val="32"/>
          <w:szCs w:val="32"/>
        </w:rPr>
        <w:t>中标通知书发放后，项目组进驻现场开始调研，时间约20天。（包括休息日，必要的补充调研工作不另外安排完整时间，随后期工作随时安排）</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（二）提出初步规划方案：</w:t>
      </w:r>
      <w:r>
        <w:rPr>
          <w:rFonts w:hint="eastAsia" w:ascii="仿宋" w:hAnsi="仿宋" w:eastAsia="仿宋" w:cs="仿宋"/>
          <w:sz w:val="32"/>
          <w:szCs w:val="32"/>
        </w:rPr>
        <w:t>调研结束后45天，提出初步规划方案并集中向市领导、市直有关部门和相关区县汇报。根据汇报会形成的意见修改完善方案。（包括休息日，不包括初步方案汇报时间）</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 xml:space="preserve"> (三）规划报审安排：</w:t>
      </w:r>
      <w:r>
        <w:rPr>
          <w:rFonts w:hint="eastAsia" w:ascii="仿宋" w:hAnsi="仿宋" w:eastAsia="仿宋" w:cs="仿宋"/>
          <w:sz w:val="32"/>
          <w:szCs w:val="32"/>
        </w:rPr>
        <w:t>规划成果原则上分三次审查（第一次市级专家层面审查，提交规划成果15套，第二次为市城规委员会审议，提交规划成果30套；第三次报请省农业农村厅组织复审，提交规划成果10套）。</w:t>
      </w:r>
    </w:p>
    <w:p>
      <w:pPr>
        <w:spacing w:line="560" w:lineRule="exact"/>
        <w:ind w:firstLine="640"/>
        <w:jc w:val="left"/>
        <w:rPr>
          <w:rFonts w:hint="eastAsia" w:ascii="仿宋" w:hAnsi="仿宋" w:eastAsia="仿宋" w:cs="仿宋"/>
          <w:sz w:val="32"/>
          <w:szCs w:val="32"/>
        </w:rPr>
      </w:pPr>
      <w:r>
        <w:rPr>
          <w:rFonts w:hint="eastAsia" w:ascii="楷体_GB2312" w:hAnsi="楷体_GB2312" w:eastAsia="楷体_GB2312" w:cs="楷体_GB2312"/>
          <w:sz w:val="32"/>
          <w:szCs w:val="32"/>
        </w:rPr>
        <w:t>（四）提交规划成果：</w:t>
      </w:r>
      <w:r>
        <w:rPr>
          <w:rFonts w:hint="eastAsia" w:ascii="仿宋" w:hAnsi="仿宋" w:eastAsia="仿宋" w:cs="仿宋"/>
          <w:sz w:val="32"/>
          <w:szCs w:val="32"/>
        </w:rPr>
        <w:t>按照评审意见30日内修改完善后，提供10套最终成果，并报市人民政府批准公布实施。</w:t>
      </w:r>
    </w:p>
    <w:p>
      <w:pPr>
        <w:pStyle w:val="2"/>
        <w:jc w:val="left"/>
      </w:pPr>
    </w:p>
    <w:p>
      <w:pPr>
        <w:pStyle w:val="2"/>
        <w:spacing w:line="560" w:lineRule="exact"/>
        <w:ind w:firstLine="643" w:firstLineChars="200"/>
        <w:jc w:val="both"/>
        <w:rPr>
          <w:rFonts w:hint="eastAsia" w:ascii="黑体" w:hAnsi="黑体" w:eastAsia="黑体" w:cs="仿宋"/>
          <w:b w:val="0"/>
          <w:szCs w:val="32"/>
        </w:rPr>
      </w:pPr>
      <w:r>
        <w:rPr>
          <w:rFonts w:hint="eastAsia" w:ascii="仿宋_GB2312" w:hAnsi="宋体" w:eastAsia="仿宋_GB2312" w:cs="仿宋_GB2312"/>
          <w:color w:val="auto"/>
          <w:sz w:val="32"/>
          <w:szCs w:val="32"/>
          <w:lang w:eastAsia="zh-CN"/>
        </w:rPr>
        <w:t>六</w:t>
      </w:r>
      <w:r>
        <w:rPr>
          <w:rFonts w:hint="eastAsia" w:ascii="黑体" w:hAnsi="黑体" w:eastAsia="黑体" w:cs="仿宋"/>
          <w:b w:val="0"/>
          <w:szCs w:val="32"/>
        </w:rPr>
        <w:t>、有关要求</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（一）规划编制单位资质及要求：</w:t>
      </w:r>
    </w:p>
    <w:p>
      <w:pPr>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1.应具有城乡规划甲级资质和建筑行业（建筑工程）甲级资质。本项目不接受联合体投标。</w:t>
      </w:r>
    </w:p>
    <w:p>
      <w:pPr>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2.规划编制单位具有乡村振兴规划相关业绩。</w:t>
      </w:r>
    </w:p>
    <w:p>
      <w:pPr>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3.项目负责人须具备高级城市规划师职称，并获得国家注册城乡（市）规划师执业资格。项目组成员应包括城乡规划、风景园林、道路交通、市政、建筑设计等专业技术人员。</w:t>
      </w:r>
    </w:p>
    <w:p>
      <w:pPr>
        <w:spacing w:line="560" w:lineRule="exact"/>
        <w:ind w:firstLine="640" w:firstLineChars="200"/>
        <w:jc w:val="left"/>
        <w:rPr>
          <w:rFonts w:hint="eastAsia" w:ascii="仿宋" w:hAnsi="仿宋" w:eastAsia="仿宋" w:cs="仿宋"/>
          <w:kern w:val="0"/>
          <w:sz w:val="32"/>
          <w:szCs w:val="32"/>
        </w:rPr>
      </w:pPr>
      <w:r>
        <w:rPr>
          <w:rFonts w:hint="eastAsia" w:ascii="楷体_GB2312" w:hAnsi="楷体_GB2312" w:eastAsia="楷体_GB2312" w:cs="楷体_GB2312"/>
          <w:sz w:val="32"/>
          <w:szCs w:val="32"/>
        </w:rPr>
        <w:t>（二）</w:t>
      </w:r>
      <w:r>
        <w:rPr>
          <w:rFonts w:hint="eastAsia" w:ascii="仿宋" w:hAnsi="仿宋" w:eastAsia="仿宋" w:cs="仿宋"/>
          <w:kern w:val="0"/>
          <w:sz w:val="32"/>
          <w:szCs w:val="32"/>
        </w:rPr>
        <w:t>规划编制单位负责搜集基础资料及现场外业调查，主动与梵净山国土空间规划编制单位联系。铜仁市农业农村局负责设计单位及相关规划设计单位之间的协调工作。</w:t>
      </w:r>
    </w:p>
    <w:p>
      <w:pPr>
        <w:spacing w:line="560" w:lineRule="exact"/>
        <w:ind w:firstLine="640" w:firstLineChars="200"/>
        <w:jc w:val="left"/>
        <w:rPr>
          <w:rFonts w:hint="eastAsia" w:ascii="仿宋" w:hAnsi="仿宋" w:eastAsia="仿宋" w:cs="仿宋"/>
          <w:kern w:val="0"/>
          <w:sz w:val="32"/>
          <w:szCs w:val="32"/>
        </w:rPr>
      </w:pPr>
      <w:r>
        <w:rPr>
          <w:rFonts w:hint="eastAsia" w:ascii="楷体_GB2312" w:hAnsi="楷体_GB2312" w:eastAsia="楷体_GB2312" w:cs="楷体_GB2312"/>
          <w:sz w:val="32"/>
          <w:szCs w:val="32"/>
        </w:rPr>
        <w:t>（三）</w:t>
      </w:r>
      <w:r>
        <w:rPr>
          <w:rFonts w:hint="eastAsia" w:ascii="仿宋" w:hAnsi="仿宋" w:eastAsia="仿宋" w:cs="仿宋"/>
          <w:kern w:val="0"/>
          <w:sz w:val="32"/>
          <w:szCs w:val="32"/>
        </w:rPr>
        <w:t>规划署名权归规划编制单位所有，版权归铜仁市农业农村局所有，铜仁市农业农村局有权在规划审定后公开展示规划成果，并通过传播、媒介、及其他形式介绍、展示、评价规划方案。</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 xml:space="preserve"> </w:t>
      </w:r>
    </w:p>
    <w:tbl>
      <w:tblPr>
        <w:tblStyle w:val="17"/>
        <w:tblW w:w="9699" w:type="dxa"/>
        <w:tblInd w:w="0" w:type="dxa"/>
        <w:shd w:val="clear" w:color="auto" w:fill="auto"/>
        <w:tblLayout w:type="autofit"/>
        <w:tblCellMar>
          <w:top w:w="0" w:type="dxa"/>
          <w:left w:w="0" w:type="dxa"/>
          <w:bottom w:w="0" w:type="dxa"/>
          <w:right w:w="0" w:type="dxa"/>
        </w:tblCellMar>
      </w:tblPr>
      <w:tblGrid>
        <w:gridCol w:w="1030"/>
        <w:gridCol w:w="887"/>
        <w:gridCol w:w="944"/>
        <w:gridCol w:w="1316"/>
        <w:gridCol w:w="1030"/>
        <w:gridCol w:w="1402"/>
        <w:gridCol w:w="1030"/>
        <w:gridCol w:w="1030"/>
        <w:gridCol w:w="1030"/>
      </w:tblGrid>
      <w:tr>
        <w:tblPrEx>
          <w:shd w:val="clear" w:color="auto" w:fill="auto"/>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78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《梵净山区域乡村振兴规划》</w:t>
            </w: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铜仁市农业农村局</w:t>
            </w:r>
          </w:p>
        </w:tc>
        <w:tc>
          <w:tcPr>
            <w:tcW w:w="1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铜仁市农业农村局</w:t>
            </w: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项目分类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规划管理</w:t>
            </w:r>
          </w:p>
        </w:tc>
        <w:tc>
          <w:tcPr>
            <w:tcW w:w="1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项目实施年限</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项目类型</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w:t>
            </w:r>
          </w:p>
        </w:tc>
        <w:tc>
          <w:tcPr>
            <w:tcW w:w="1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0" w:type="auto"/>
            <w:gridSpan w:val="3"/>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中长期资金情况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年度资金情况</w:t>
            </w: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4492"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1.财政拨款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其中：上级补助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本级安排</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4492"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CellMar>
            <w:top w:w="0" w:type="dxa"/>
            <w:left w:w="0" w:type="dxa"/>
            <w:bottom w:w="0" w:type="dxa"/>
            <w:right w:w="0" w:type="dxa"/>
          </w:tblCellMar>
        </w:tblPrEx>
        <w:trPr>
          <w:trHeight w:val="27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2.其他资金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492"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91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329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开展工作调研，编制完成《梵净山区域乡村振兴规划》</w:t>
            </w:r>
          </w:p>
        </w:tc>
        <w:tc>
          <w:tcPr>
            <w:tcW w:w="4492"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840" w:hRule="atLeast"/>
        </w:trPr>
        <w:tc>
          <w:tcPr>
            <w:tcW w:w="19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9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492"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2020年编制完成《梵净山区域乡村振兴规划》</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270" w:hRule="atLeast"/>
        </w:trPr>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          效                指                 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3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数量达到要求</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0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数量达到要求</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72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20套成果资料（含文本和图件）</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20套成果资料（含文本和图件）</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通过专家组评审</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达到要求</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通过专家组评审</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达到要求</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w:t>
            </w:r>
          </w:p>
        </w:tc>
        <w:tc>
          <w:tcPr>
            <w:tcW w:w="131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达到时间要求</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w:t>
            </w:r>
          </w:p>
        </w:tc>
        <w:tc>
          <w:tcPr>
            <w:tcW w:w="10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达到时间要求</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48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2020年11月底完成</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2020年11月底完成</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4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p>
        </w:tc>
        <w:tc>
          <w:tcPr>
            <w:tcW w:w="131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总预算费用80万</w:t>
            </w:r>
          </w:p>
        </w:tc>
        <w:tc>
          <w:tcPr>
            <w:tcW w:w="10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控制在预算内</w:t>
            </w:r>
          </w:p>
        </w:tc>
        <w:tc>
          <w:tcPr>
            <w:tcW w:w="1402"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p>
        </w:tc>
        <w:tc>
          <w:tcPr>
            <w:tcW w:w="10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总预算费用80万</w:t>
            </w:r>
          </w:p>
        </w:tc>
        <w:tc>
          <w:tcPr>
            <w:tcW w:w="10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控制在预算内</w:t>
            </w:r>
          </w:p>
        </w:tc>
        <w:tc>
          <w:tcPr>
            <w:tcW w:w="10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推动梵净山区域乡村更好发展</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规划引领</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推动梵净山区域乡村更好发展</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规划引领</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4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实现梵净山区域乡村管理更加合理</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规划引领</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实现梵净山区域乡村管理更加合理</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规划引领</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4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更好的保护梵净山的生态系统</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规划引领</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更好的保护梵净山的生态系统</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规划引领</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与区域国土空间规划紧密衔接</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达到要求</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与区域国土空间规划紧密衔接</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达到要求</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9"/>
                <w:szCs w:val="19"/>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    满意度</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满足梵净山管理需要</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达到要求</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       满意度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达到要求</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       满意度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20" w:hRule="atLeast"/>
        </w:trPr>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宋体" w:eastAsia="仿宋_GB2312" w:cs="仿宋_GB2312"/>
          <w:color w:val="auto"/>
          <w:sz w:val="32"/>
          <w:szCs w:val="32"/>
        </w:rPr>
      </w:pP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备注：文件论证和评审费用中标方承担。</w:t>
      </w:r>
    </w:p>
    <w:p>
      <w:pPr>
        <w:pStyle w:val="2"/>
        <w:rPr>
          <w:rFonts w:hint="eastAsia" w:ascii="Times New Roman" w:hAnsi="Times New Roman" w:eastAsia="仿宋_GB2312" w:cs="Times New Roman"/>
          <w:color w:val="auto"/>
          <w:sz w:val="32"/>
          <w:szCs w:val="32"/>
          <w:lang w:val="en-US" w:eastAsia="zh-CN"/>
        </w:rPr>
        <w:sectPr>
          <w:pgSz w:w="11906" w:h="16838"/>
          <w:pgMar w:top="1440" w:right="1797" w:bottom="1440" w:left="1797" w:header="851" w:footer="992" w:gutter="0"/>
          <w:cols w:space="720" w:num="1"/>
          <w:docGrid w:linePitch="312" w:charSpace="0"/>
        </w:sectPr>
      </w:pP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7"/>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7"/>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FF0000"/>
          <w:sz w:val="24"/>
          <w:szCs w:val="24"/>
        </w:rPr>
        <w:t>所附投标价格表中规定的应提交和交付的货物投标总价为</w:t>
      </w:r>
      <w:r>
        <w:rPr>
          <w:rFonts w:hint="eastAsia" w:asciiTheme="minorEastAsia" w:hAnsiTheme="minorEastAsia" w:eastAsiaTheme="minorEastAsia" w:cstheme="minorEastAsia"/>
          <w:color w:val="FF0000"/>
          <w:sz w:val="24"/>
          <w:szCs w:val="24"/>
          <w:u w:val="single"/>
        </w:rPr>
        <w:t>（注明币种，并用文字和数字表示投标总价）（必须按要求填写清楚）</w:t>
      </w:r>
      <w:r>
        <w:rPr>
          <w:rFonts w:hint="eastAsia" w:asciiTheme="minorEastAsia" w:hAnsiTheme="minorEastAsia" w:eastAsiaTheme="minorEastAsia" w:cstheme="minorEastAsia"/>
          <w:color w:val="FF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9"/>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5"/>
        <w:pageBreakBefore w:val="0"/>
        <w:widowControl w:val="0"/>
        <w:numPr>
          <w:ilvl w:val="1"/>
          <w:numId w:val="0"/>
        </w:numPr>
        <w:overflowPunct/>
        <w:topLinePunct w:val="0"/>
        <w:bidi w:val="0"/>
        <w:spacing w:before="0" w:beforeAutospacing="0" w:after="0" w:afterAutospacing="0" w:line="400" w:lineRule="exact"/>
        <w:ind w:leftChars="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1"/>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7"/>
        <w:tblW w:w="861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922"/>
        <w:gridCol w:w="2922"/>
        <w:gridCol w:w="1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至少承担过一个市级以上矿产资源规划编制工作（需提供相关合同或成果资料）</w:t>
            </w: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56"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11"/>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1"/>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4"/>
        <w:bidi w:val="0"/>
        <w:ind w:firstLine="482" w:firstLineChars="200"/>
        <w:jc w:val="center"/>
        <w:rPr>
          <w:rStyle w:val="19"/>
          <w:rFonts w:hint="eastAsia" w:hAnsi="宋体" w:eastAsia="宋体" w:cs="Times New Roman"/>
          <w:b/>
          <w:sz w:val="24"/>
          <w:szCs w:val="24"/>
        </w:rPr>
      </w:pPr>
    </w:p>
    <w:p>
      <w:pPr>
        <w:pStyle w:val="35"/>
        <w:bidi w:val="0"/>
        <w:spacing w:line="336" w:lineRule="auto"/>
        <w:ind w:right="84" w:rightChars="40"/>
        <w:rPr>
          <w:rStyle w:val="19"/>
          <w:rFonts w:hint="eastAsia" w:ascii="宋体" w:hAnsi="宋体" w:eastAsia="宋体" w:cs="Times New Roman"/>
          <w:sz w:val="24"/>
          <w:szCs w:val="24"/>
        </w:rPr>
      </w:pPr>
      <w:r>
        <w:rPr>
          <w:rStyle w:val="19"/>
          <w:rFonts w:hint="eastAsia" w:ascii="宋体" w:hAnsi="宋体" w:cs="Times New Roman"/>
          <w:sz w:val="24"/>
          <w:szCs w:val="24"/>
          <w:lang w:eastAsia="zh-CN"/>
        </w:rPr>
        <w:t>铜仁市</w:t>
      </w:r>
      <w:r>
        <w:rPr>
          <w:rStyle w:val="19"/>
          <w:rFonts w:hint="eastAsia" w:ascii="宋体" w:hAnsi="宋体" w:eastAsia="宋体" w:cs="Times New Roman"/>
          <w:sz w:val="24"/>
          <w:szCs w:val="24"/>
        </w:rPr>
        <w:t>公共资源交易中心：</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关于贵方</w:t>
      </w:r>
      <w:r>
        <w:rPr>
          <w:rStyle w:val="19"/>
          <w:rFonts w:hint="eastAsia" w:ascii="宋体" w:hAnsi="宋体" w:eastAsia="宋体" w:cs="Times New Roman"/>
          <w:sz w:val="24"/>
          <w:szCs w:val="24"/>
          <w:u w:val="single"/>
        </w:rPr>
        <w:t>　 　</w:t>
      </w:r>
      <w:r>
        <w:rPr>
          <w:rStyle w:val="19"/>
          <w:rFonts w:hint="eastAsia" w:ascii="宋体" w:hAnsi="宋体" w:eastAsia="宋体" w:cs="Times New Roman"/>
          <w:sz w:val="24"/>
          <w:szCs w:val="24"/>
        </w:rPr>
        <w:t>年</w:t>
      </w:r>
      <w:r>
        <w:rPr>
          <w:rStyle w:val="19"/>
          <w:rFonts w:hint="eastAsia" w:ascii="宋体" w:hAnsi="宋体" w:eastAsia="宋体" w:cs="Times New Roman"/>
          <w:sz w:val="24"/>
          <w:szCs w:val="24"/>
          <w:u w:val="single"/>
        </w:rPr>
        <w:t>　　</w:t>
      </w:r>
      <w:r>
        <w:rPr>
          <w:rStyle w:val="19"/>
          <w:rFonts w:hint="eastAsia" w:ascii="宋体" w:hAnsi="宋体" w:eastAsia="宋体" w:cs="Times New Roman"/>
          <w:sz w:val="24"/>
          <w:szCs w:val="24"/>
        </w:rPr>
        <w:t>月</w:t>
      </w:r>
      <w:r>
        <w:rPr>
          <w:rStyle w:val="19"/>
          <w:rFonts w:hint="eastAsia" w:ascii="宋体" w:hAnsi="宋体" w:eastAsia="宋体" w:cs="Times New Roman"/>
          <w:sz w:val="24"/>
          <w:szCs w:val="24"/>
          <w:u w:val="single"/>
        </w:rPr>
        <w:t>　　</w:t>
      </w:r>
      <w:r>
        <w:rPr>
          <w:rStyle w:val="19"/>
          <w:rFonts w:hint="eastAsia" w:ascii="宋体" w:hAnsi="宋体" w:eastAsia="宋体" w:cs="Times New Roman"/>
          <w:sz w:val="24"/>
          <w:szCs w:val="24"/>
        </w:rPr>
        <w:t>日发布关于“</w:t>
      </w:r>
      <w:r>
        <w:rPr>
          <w:rStyle w:val="19"/>
          <w:rFonts w:hint="eastAsia" w:ascii="宋体" w:hAnsi="宋体" w:cs="Times New Roman"/>
          <w:sz w:val="24"/>
          <w:szCs w:val="24"/>
          <w:u w:val="single"/>
          <w:lang w:val="en-US" w:eastAsia="zh-CN"/>
        </w:rPr>
        <w:t xml:space="preserve">                    </w:t>
      </w:r>
      <w:r>
        <w:rPr>
          <w:rStyle w:val="19"/>
          <w:rFonts w:hint="eastAsia" w:ascii="宋体" w:hAnsi="宋体" w:eastAsia="宋体" w:cs="Times New Roman"/>
          <w:sz w:val="24"/>
          <w:szCs w:val="24"/>
        </w:rPr>
        <w:t>”（项目编号：</w:t>
      </w:r>
      <w:r>
        <w:rPr>
          <w:rStyle w:val="19"/>
          <w:rFonts w:hint="eastAsia" w:ascii="宋体" w:hAnsi="宋体" w:cs="Times New Roman"/>
          <w:sz w:val="24"/>
          <w:szCs w:val="24"/>
          <w:u w:val="single"/>
          <w:lang w:val="en-US" w:eastAsia="zh-CN"/>
        </w:rPr>
        <w:t xml:space="preserve">             </w:t>
      </w:r>
      <w:r>
        <w:rPr>
          <w:rStyle w:val="19"/>
          <w:rFonts w:hint="eastAsia" w:ascii="宋体" w:hAnsi="宋体" w:eastAsia="宋体" w:cs="Times New Roman"/>
          <w:sz w:val="24"/>
          <w:szCs w:val="24"/>
        </w:rPr>
        <w:t>）的采购公告，我方愿意参加</w:t>
      </w:r>
      <w:r>
        <w:rPr>
          <w:rStyle w:val="19"/>
          <w:rFonts w:hint="eastAsia" w:ascii="宋体" w:hAnsi="宋体" w:cs="Times New Roman"/>
          <w:sz w:val="24"/>
          <w:szCs w:val="24"/>
          <w:lang w:eastAsia="zh-CN"/>
        </w:rPr>
        <w:t>谈判</w:t>
      </w:r>
      <w:r>
        <w:rPr>
          <w:rStyle w:val="19"/>
          <w:rFonts w:hint="eastAsia" w:ascii="宋体" w:hAnsi="宋体" w:eastAsia="宋体" w:cs="Times New Roman"/>
          <w:sz w:val="24"/>
          <w:szCs w:val="24"/>
        </w:rPr>
        <w:t>，并声明截至开标日：</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我方具备《中华人民共和国政府采购法》第二十二条所规定的条件，并已清楚</w:t>
      </w:r>
      <w:r>
        <w:rPr>
          <w:rStyle w:val="19"/>
          <w:rFonts w:hint="eastAsia" w:ascii="宋体" w:hAnsi="宋体" w:cs="Times New Roman"/>
          <w:sz w:val="24"/>
          <w:szCs w:val="24"/>
          <w:lang w:eastAsia="zh-CN"/>
        </w:rPr>
        <w:t>采购</w:t>
      </w:r>
      <w:r>
        <w:rPr>
          <w:rStyle w:val="19"/>
          <w:rFonts w:hint="eastAsia" w:ascii="宋体" w:hAnsi="宋体" w:eastAsia="宋体" w:cs="Times New Roman"/>
          <w:sz w:val="24"/>
          <w:szCs w:val="24"/>
        </w:rPr>
        <w:t>文件的要求及有关文件规定。</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（一）</w:t>
      </w:r>
      <w:r>
        <w:rPr>
          <w:rStyle w:val="19"/>
          <w:rFonts w:ascii="Calibri" w:hAnsi="宋体" w:eastAsia="宋体" w:cs="Times New Roman"/>
          <w:sz w:val="24"/>
          <w:szCs w:val="24"/>
        </w:rPr>
        <w:t>具有独立承担民事责任的能力</w:t>
      </w:r>
      <w:r>
        <w:rPr>
          <w:rStyle w:val="19"/>
          <w:rFonts w:hint="eastAsia" w:ascii="Calibri" w:hAnsi="宋体" w:eastAsia="宋体" w:cs="Times New Roman"/>
          <w:sz w:val="24"/>
          <w:szCs w:val="24"/>
        </w:rPr>
        <w:t>，提供以下</w:t>
      </w:r>
      <w:r>
        <w:rPr>
          <w:rStyle w:val="19"/>
          <w:rFonts w:ascii="Calibri" w:hAnsi="宋体" w:eastAsia="宋体" w:cs="Times New Roman"/>
          <w:sz w:val="24"/>
          <w:szCs w:val="24"/>
        </w:rPr>
        <w:t>相关证照</w:t>
      </w:r>
      <w:r>
        <w:rPr>
          <w:rStyle w:val="19"/>
          <w:rFonts w:hint="eastAsia" w:ascii="Calibri" w:hAnsi="宋体" w:eastAsia="宋体" w:cs="Times New Roman"/>
          <w:sz w:val="24"/>
          <w:szCs w:val="24"/>
        </w:rPr>
        <w:t>的</w:t>
      </w:r>
      <w:r>
        <w:rPr>
          <w:rStyle w:val="19"/>
          <w:rFonts w:ascii="Calibri" w:hAnsi="宋体" w:eastAsia="宋体" w:cs="Times New Roman"/>
          <w:sz w:val="24"/>
          <w:szCs w:val="24"/>
        </w:rPr>
        <w:t>原件扫描件</w:t>
      </w:r>
      <w:r>
        <w:rPr>
          <w:rStyle w:val="19"/>
          <w:rFonts w:hint="eastAsia" w:ascii="Calibri" w:hAnsi="宋体" w:eastAsia="宋体" w:cs="Times New Roman"/>
          <w:sz w:val="24"/>
          <w:szCs w:val="24"/>
        </w:rPr>
        <w:t>（见附件）之一：1.</w:t>
      </w:r>
      <w:r>
        <w:rPr>
          <w:rStyle w:val="19"/>
          <w:rFonts w:ascii="Calibri" w:hAnsi="宋体" w:eastAsia="宋体" w:cs="Times New Roman"/>
          <w:sz w:val="24"/>
          <w:szCs w:val="24"/>
        </w:rPr>
        <w:t>企业法人营业执照</w:t>
      </w:r>
      <w:r>
        <w:rPr>
          <w:rStyle w:val="19"/>
          <w:rFonts w:hint="eastAsia" w:ascii="Calibri" w:hAnsi="宋体" w:eastAsia="宋体" w:cs="Times New Roman"/>
          <w:sz w:val="24"/>
          <w:szCs w:val="24"/>
        </w:rPr>
        <w:t>；2.</w:t>
      </w:r>
      <w:r>
        <w:rPr>
          <w:rStyle w:val="19"/>
          <w:rFonts w:ascii="Calibri" w:hAnsi="宋体" w:eastAsia="宋体" w:cs="Times New Roman"/>
          <w:sz w:val="24"/>
          <w:szCs w:val="24"/>
        </w:rPr>
        <w:t>事业法人登记证</w:t>
      </w:r>
      <w:r>
        <w:rPr>
          <w:rStyle w:val="19"/>
          <w:rFonts w:hint="eastAsia" w:ascii="Calibri" w:hAnsi="宋体" w:eastAsia="宋体" w:cs="Times New Roman"/>
          <w:sz w:val="24"/>
          <w:szCs w:val="24"/>
        </w:rPr>
        <w:t>；3.</w:t>
      </w:r>
      <w:r>
        <w:rPr>
          <w:rStyle w:val="19"/>
          <w:rFonts w:ascii="Calibri" w:hAnsi="宋体" w:eastAsia="宋体" w:cs="Times New Roman"/>
          <w:sz w:val="24"/>
          <w:szCs w:val="24"/>
        </w:rPr>
        <w:t>其他组织的营业执照</w:t>
      </w:r>
      <w:r>
        <w:rPr>
          <w:rStyle w:val="19"/>
          <w:rFonts w:hint="eastAsia" w:ascii="Calibri" w:hAnsi="宋体" w:eastAsia="宋体" w:cs="Times New Roman"/>
          <w:sz w:val="24"/>
          <w:szCs w:val="24"/>
        </w:rPr>
        <w:t>或</w:t>
      </w:r>
      <w:r>
        <w:rPr>
          <w:rStyle w:val="19"/>
          <w:rFonts w:ascii="Calibri" w:hAnsi="宋体" w:eastAsia="宋体" w:cs="Times New Roman"/>
          <w:sz w:val="24"/>
          <w:szCs w:val="24"/>
        </w:rPr>
        <w:t>执业许可证</w:t>
      </w:r>
      <w:r>
        <w:rPr>
          <w:rStyle w:val="19"/>
          <w:rFonts w:hint="eastAsia" w:ascii="Calibri" w:hAnsi="宋体" w:eastAsia="宋体" w:cs="Times New Roman"/>
          <w:sz w:val="24"/>
          <w:szCs w:val="24"/>
        </w:rPr>
        <w:t>；4.居民身份证</w:t>
      </w:r>
      <w:r>
        <w:rPr>
          <w:rStyle w:val="19"/>
          <w:rFonts w:ascii="Calibri" w:hAnsi="宋体" w:eastAsia="宋体" w:cs="Times New Roman"/>
          <w:sz w:val="24"/>
          <w:szCs w:val="24"/>
        </w:rPr>
        <w:t>等</w:t>
      </w:r>
      <w:r>
        <w:rPr>
          <w:rStyle w:val="19"/>
          <w:rFonts w:hint="eastAsia" w:ascii="宋体" w:hAnsi="宋体" w:eastAsia="宋体" w:cs="Times New Roman"/>
          <w:sz w:val="24"/>
          <w:szCs w:val="24"/>
        </w:rPr>
        <w:t>；</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（二）具有良好的商业信誉和健全的财务会计制度；</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（三）具有履行合同所必需的设备和专业技术能力；</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（四）有依法缴纳税收和社会保障资金的良好记录；</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（五）参加政府采购活动前三年内，在经营活动中没有重大违法记录；</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（六）法律、行政法规规定的其他条件。</w:t>
      </w:r>
    </w:p>
    <w:p>
      <w:pPr>
        <w:pStyle w:val="35"/>
        <w:bidi w:val="0"/>
        <w:spacing w:line="336" w:lineRule="auto"/>
        <w:ind w:right="84" w:rightChars="40" w:firstLine="480" w:firstLineChars="200"/>
        <w:rPr>
          <w:rStyle w:val="19"/>
          <w:rFonts w:hint="eastAsia" w:ascii="宋体" w:hAnsi="宋体" w:eastAsia="宋体" w:cs="Times New Roman"/>
          <w:sz w:val="24"/>
          <w:szCs w:val="24"/>
        </w:rPr>
      </w:pPr>
      <w:r>
        <w:rPr>
          <w:rStyle w:val="19"/>
          <w:rFonts w:hint="eastAsia" w:ascii="宋体" w:hAnsi="宋体" w:eastAsia="宋体" w:cs="Times New Roman"/>
          <w:sz w:val="24"/>
          <w:szCs w:val="24"/>
        </w:rPr>
        <w:t>本次采购活动中，如有违法、违规、弄虚作假行为，所造成的损失、不良后果及法律责任，一律由我方承担。</w:t>
      </w:r>
    </w:p>
    <w:p>
      <w:pPr>
        <w:pStyle w:val="35"/>
        <w:bidi w:val="0"/>
        <w:spacing w:line="336" w:lineRule="auto"/>
        <w:ind w:right="84" w:rightChars="40" w:firstLine="482" w:firstLineChars="200"/>
        <w:rPr>
          <w:rStyle w:val="19"/>
          <w:rFonts w:hint="eastAsia" w:ascii="宋体" w:hAnsi="宋体" w:eastAsia="宋体" w:cs="Times New Roman"/>
          <w:b/>
          <w:sz w:val="24"/>
          <w:szCs w:val="24"/>
        </w:rPr>
      </w:pPr>
      <w:r>
        <w:rPr>
          <w:rStyle w:val="19"/>
          <w:rFonts w:hint="eastAsia" w:ascii="宋体" w:hAnsi="宋体" w:eastAsia="宋体" w:cs="Times New Roman"/>
          <w:b/>
          <w:sz w:val="24"/>
          <w:szCs w:val="24"/>
        </w:rPr>
        <w:t>特此声明！</w:t>
      </w:r>
    </w:p>
    <w:p>
      <w:pPr>
        <w:pStyle w:val="35"/>
        <w:bidi w:val="0"/>
        <w:spacing w:line="336" w:lineRule="auto"/>
        <w:ind w:right="84" w:rightChars="40"/>
        <w:rPr>
          <w:rStyle w:val="19"/>
          <w:rFonts w:hint="eastAsia" w:ascii="宋体" w:hAnsi="宋体" w:eastAsia="宋体" w:cs="Times New Roman"/>
          <w:sz w:val="24"/>
          <w:szCs w:val="24"/>
        </w:rPr>
      </w:pPr>
    </w:p>
    <w:p>
      <w:pPr>
        <w:pStyle w:val="35"/>
        <w:bidi w:val="0"/>
        <w:spacing w:line="336" w:lineRule="auto"/>
        <w:ind w:right="84" w:rightChars="40" w:firstLine="5520" w:firstLineChars="2300"/>
        <w:rPr>
          <w:rStyle w:val="19"/>
          <w:rFonts w:hint="eastAsia" w:ascii="宋体" w:hAnsi="宋体" w:eastAsia="宋体" w:cs="Times New Roman"/>
          <w:sz w:val="24"/>
          <w:szCs w:val="24"/>
        </w:rPr>
      </w:pPr>
      <w:r>
        <w:rPr>
          <w:rStyle w:val="19"/>
          <w:rFonts w:hint="eastAsia" w:ascii="宋体" w:hAnsi="宋体" w:eastAsia="宋体" w:cs="Times New Roman"/>
          <w:sz w:val="24"/>
          <w:szCs w:val="24"/>
        </w:rPr>
        <w:t>日期：20  年   月   日</w:t>
      </w:r>
    </w:p>
    <w:p>
      <w:pPr>
        <w:pStyle w:val="35"/>
        <w:bidi w:val="0"/>
        <w:spacing w:line="336" w:lineRule="auto"/>
        <w:ind w:right="84" w:rightChars="40"/>
        <w:rPr>
          <w:rStyle w:val="19"/>
          <w:rFonts w:ascii="宋体" w:hAnsi="宋体" w:eastAsia="宋体" w:cs="Times New Roman"/>
          <w:sz w:val="24"/>
          <w:szCs w:val="24"/>
        </w:rPr>
      </w:pPr>
    </w:p>
    <w:p>
      <w:pPr>
        <w:pStyle w:val="35"/>
        <w:bidi w:val="0"/>
        <w:spacing w:line="336" w:lineRule="auto"/>
        <w:ind w:right="84" w:rightChars="40"/>
        <w:rPr>
          <w:rStyle w:val="19"/>
          <w:rFonts w:hint="eastAsia" w:ascii="宋体" w:hAnsi="宋体" w:eastAsia="宋体" w:cs="Times New Roman"/>
          <w:sz w:val="24"/>
          <w:szCs w:val="24"/>
        </w:rPr>
      </w:pPr>
      <w:r>
        <w:rPr>
          <w:rStyle w:val="19"/>
          <w:rFonts w:hint="eastAsia" w:ascii="宋体" w:hAnsi="宋体" w:eastAsia="宋体" w:cs="Times New Roman"/>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cstheme="minorEastAsia"/>
          <w:b/>
          <w:bCs/>
          <w:sz w:val="36"/>
          <w:szCs w:val="36"/>
          <w:lang w:val="en-US" w:eastAsia="zh-CN"/>
        </w:rPr>
        <w:t>法</w:t>
      </w:r>
      <w:r>
        <w:rPr>
          <w:rFonts w:hint="eastAsia" w:asciiTheme="minorEastAsia" w:hAnsiTheme="minorEastAsia" w:eastAsiaTheme="minorEastAsia" w:cstheme="minorEastAsia"/>
          <w:b/>
          <w:bCs/>
          <w:sz w:val="36"/>
          <w:szCs w:val="36"/>
        </w:rPr>
        <w:t>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1"/>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cstheme="minorEastAsia"/>
          <w:sz w:val="24"/>
          <w:szCs w:val="24"/>
          <w:u w:val="single"/>
          <w:lang w:eastAsia="zh-CN"/>
        </w:rPr>
        <w:t>法</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1"/>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cstheme="minorEastAsia"/>
          <w:sz w:val="24"/>
          <w:szCs w:val="24"/>
          <w:lang w:val="en-US" w:eastAsia="zh-CN"/>
        </w:rPr>
        <w:t>(签字或盖章）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11"/>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11"/>
        <w:pageBreakBefore w:val="0"/>
        <w:widowControl w:val="0"/>
        <w:overflowPunct/>
        <w:topLinePunct w:val="0"/>
        <w:bidi w:val="0"/>
        <w:spacing w:beforeAutospacing="0" w:afterAutospacing="0" w:line="400" w:lineRule="exact"/>
        <w:ind w:firstLine="720" w:firstLineChars="3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FF0000"/>
          <w:sz w:val="24"/>
          <w:szCs w:val="24"/>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（1）工商营业执照副本；</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（2）税务登记证；（“三证合一”可不提供）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（3）组织机构代码证；（“三证合一”可不提供）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w:t>
      </w:r>
      <w:r>
        <w:rPr>
          <w:rFonts w:hint="eastAsia" w:asciiTheme="minorEastAsia" w:hAnsiTheme="minorEastAsia" w:cstheme="minorEastAsia"/>
          <w:b/>
          <w:sz w:val="24"/>
          <w:szCs w:val="24"/>
          <w:lang w:eastAsia="zh-CN"/>
        </w:rPr>
        <w:t>法</w:t>
      </w:r>
      <w:r>
        <w:rPr>
          <w:rFonts w:hint="eastAsia" w:asciiTheme="minorEastAsia" w:hAnsiTheme="minorEastAsia" w:eastAsiaTheme="minorEastAsia" w:cstheme="minorEastAsia"/>
          <w:b/>
          <w:sz w:val="24"/>
          <w:szCs w:val="24"/>
        </w:rPr>
        <w:t>人身份证或委托代理人持授权委托书及代理人身份证；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个月财务报表（含资产负债表及利润表）或银行资信证明；</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个月的缴纳社保的凭证；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个月的完税凭证。</w:t>
      </w:r>
    </w:p>
    <w:p>
      <w:pPr>
        <w:pageBreakBefore w:val="0"/>
        <w:widowControl w:val="0"/>
        <w:numPr>
          <w:ilvl w:val="0"/>
          <w:numId w:val="5"/>
        </w:numPr>
        <w:overflowPunct/>
        <w:topLinePunct w:val="0"/>
        <w:autoSpaceDE w:val="0"/>
        <w:autoSpaceDN w:val="0"/>
        <w:bidi w:val="0"/>
        <w:adjustRightInd w:val="0"/>
        <w:spacing w:beforeAutospacing="0" w:afterAutospacing="0" w:line="400" w:lineRule="exact"/>
        <w:ind w:right="56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参加政府采购活动前三年内，在经营活动中没有重大违法记录声明函</w:t>
      </w:r>
    </w:p>
    <w:p>
      <w:pPr>
        <w:pStyle w:val="2"/>
        <w:numPr>
          <w:ilvl w:val="0"/>
          <w:numId w:val="5"/>
        </w:numPr>
        <w:jc w:val="both"/>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城乡规划甲级资质和建筑行业（建筑工程）甲级资质</w:t>
      </w:r>
    </w:p>
    <w:p>
      <w:pPr>
        <w:pageBreakBefore w:val="0"/>
        <w:widowControl w:val="0"/>
        <w:numPr>
          <w:ilvl w:val="0"/>
          <w:numId w:val="0"/>
        </w:numPr>
        <w:overflowPunct/>
        <w:topLinePunct w:val="0"/>
        <w:autoSpaceDE w:val="0"/>
        <w:autoSpaceDN w:val="0"/>
        <w:bidi w:val="0"/>
        <w:adjustRightInd w:val="0"/>
        <w:spacing w:beforeAutospacing="0" w:afterAutospacing="0" w:line="400" w:lineRule="exact"/>
        <w:ind w:right="560" w:rightChars="0"/>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jc w:val="cente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（如是）</w:t>
      </w:r>
    </w:p>
    <w:p>
      <w:pPr>
        <w:pageBreakBefore w:val="0"/>
        <w:widowControl w:val="0"/>
        <w:overflowPunct/>
        <w:topLinePunct w:val="0"/>
        <w:bidi w:val="0"/>
        <w:spacing w:beforeAutospacing="0" w:afterAutospacing="0" w:line="400" w:lineRule="exact"/>
        <w:ind w:firstLine="560" w:firstLineChars="200"/>
        <w:rPr>
          <w:rFonts w:hint="eastAsia" w:asciiTheme="minorEastAsia" w:hAnsiTheme="minorEastAsia" w:eastAsiaTheme="minorEastAsia" w:cstheme="minorEastAsia"/>
          <w:sz w:val="28"/>
          <w:szCs w:val="28"/>
        </w:rPr>
      </w:pP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360" w:lineRule="auto"/>
        <w:jc w:val="center"/>
        <w:rPr>
          <w:rStyle w:val="19"/>
          <w:rFonts w:hint="eastAsia" w:ascii="宋体" w:hAnsi="宋体"/>
          <w:b/>
          <w:spacing w:val="6"/>
          <w:sz w:val="28"/>
          <w:szCs w:val="28"/>
          <w:lang w:val="en-US" w:eastAsia="zh-CN" w:bidi="ar-SA"/>
        </w:rPr>
      </w:pPr>
      <w:r>
        <w:rPr>
          <w:rStyle w:val="19"/>
          <w:rFonts w:ascii="宋体" w:hAnsi="宋体"/>
          <w:b/>
          <w:spacing w:val="6"/>
          <w:sz w:val="28"/>
          <w:szCs w:val="28"/>
          <w:lang w:val="en-US" w:eastAsia="zh-CN" w:bidi="ar-SA"/>
        </w:rPr>
        <w:t>残疾人福利性单位声明函</w:t>
      </w:r>
      <w:r>
        <w:rPr>
          <w:rFonts w:hint="eastAsia" w:asciiTheme="minorEastAsia" w:hAnsiTheme="minorEastAsia" w:cstheme="minorEastAsia"/>
          <w:b/>
          <w:sz w:val="36"/>
          <w:szCs w:val="36"/>
          <w:lang w:eastAsia="zh-CN"/>
        </w:rPr>
        <w:t>（如是）</w:t>
      </w:r>
    </w:p>
    <w:p>
      <w:pPr>
        <w:pStyle w:val="32"/>
        <w:bidi w:val="0"/>
        <w:spacing w:line="360" w:lineRule="auto"/>
        <w:jc w:val="center"/>
        <w:rPr>
          <w:rStyle w:val="19"/>
          <w:rFonts w:ascii="宋体" w:hAnsi="宋体"/>
          <w:b/>
          <w:spacing w:val="6"/>
          <w:sz w:val="28"/>
          <w:szCs w:val="28"/>
          <w:lang w:val="en-US" w:eastAsia="zh-CN" w:bidi="ar-SA"/>
        </w:rPr>
      </w:pPr>
    </w:p>
    <w:p>
      <w:pPr>
        <w:pStyle w:val="32"/>
        <w:bidi w:val="0"/>
        <w:spacing w:line="588" w:lineRule="exact"/>
        <w:ind w:firstLine="504" w:firstLineChars="200"/>
        <w:rPr>
          <w:rStyle w:val="19"/>
          <w:rFonts w:ascii="宋体" w:hAnsi="宋体"/>
          <w:spacing w:val="6"/>
          <w:sz w:val="24"/>
          <w:szCs w:val="24"/>
          <w:lang w:val="en-US" w:eastAsia="zh-CN" w:bidi="ar-SA"/>
        </w:rPr>
      </w:pPr>
      <w:r>
        <w:rPr>
          <w:rStyle w:val="19"/>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bidi w:val="0"/>
        <w:spacing w:line="588" w:lineRule="exact"/>
        <w:ind w:firstLine="504" w:firstLineChars="200"/>
        <w:rPr>
          <w:rStyle w:val="19"/>
          <w:rFonts w:ascii="宋体" w:hAnsi="宋体"/>
          <w:spacing w:val="6"/>
          <w:sz w:val="24"/>
          <w:szCs w:val="24"/>
          <w:lang w:val="en-US" w:eastAsia="zh-CN" w:bidi="ar-SA"/>
        </w:rPr>
      </w:pPr>
      <w:r>
        <w:rPr>
          <w:rStyle w:val="19"/>
          <w:rFonts w:hint="eastAsia" w:ascii="宋体" w:hAnsi="宋体"/>
          <w:spacing w:val="6"/>
          <w:sz w:val="24"/>
          <w:szCs w:val="24"/>
          <w:lang w:val="en-US" w:eastAsia="zh-CN" w:bidi="ar-SA"/>
        </w:rPr>
        <w:t>本单位对上述声明的真实性负责。如有虚假，将依法承担相应责任。</w:t>
      </w:r>
    </w:p>
    <w:p>
      <w:pPr>
        <w:pStyle w:val="32"/>
        <w:bidi w:val="0"/>
        <w:spacing w:line="360" w:lineRule="auto"/>
        <w:ind w:firstLine="504" w:firstLineChars="200"/>
        <w:rPr>
          <w:rStyle w:val="19"/>
          <w:rFonts w:ascii="宋体" w:hAnsi="宋体"/>
          <w:color w:val="993300"/>
          <w:spacing w:val="6"/>
          <w:sz w:val="24"/>
          <w:lang w:val="en-US" w:eastAsia="zh-CN" w:bidi="ar-SA"/>
        </w:rPr>
      </w:pPr>
    </w:p>
    <w:p>
      <w:pPr>
        <w:pStyle w:val="32"/>
        <w:tabs>
          <w:tab w:val="left" w:pos="4860"/>
        </w:tabs>
        <w:bidi w:val="0"/>
        <w:spacing w:line="360" w:lineRule="auto"/>
        <w:ind w:right="1560" w:firstLine="504" w:firstLineChars="200"/>
        <w:jc w:val="center"/>
        <w:rPr>
          <w:rStyle w:val="19"/>
          <w:rFonts w:ascii="宋体" w:hAnsi="宋体"/>
          <w:spacing w:val="6"/>
          <w:sz w:val="24"/>
          <w:lang w:val="en-US" w:eastAsia="zh-CN" w:bidi="ar-SA"/>
        </w:rPr>
      </w:pPr>
      <w:r>
        <w:rPr>
          <w:rStyle w:val="19"/>
          <w:rFonts w:hint="eastAsia" w:ascii="宋体" w:hAnsi="宋体"/>
          <w:spacing w:val="6"/>
          <w:sz w:val="24"/>
          <w:lang w:val="en-US" w:eastAsia="zh-CN" w:bidi="ar-SA"/>
        </w:rPr>
        <w:t xml:space="preserve">              </w:t>
      </w:r>
    </w:p>
    <w:p>
      <w:pPr>
        <w:pStyle w:val="32"/>
        <w:tabs>
          <w:tab w:val="left" w:pos="4860"/>
        </w:tabs>
        <w:bidi w:val="0"/>
        <w:spacing w:line="360" w:lineRule="auto"/>
        <w:ind w:right="1560" w:firstLine="504" w:firstLineChars="200"/>
        <w:jc w:val="center"/>
        <w:rPr>
          <w:rStyle w:val="19"/>
          <w:rFonts w:ascii="宋体" w:hAnsi="宋体"/>
          <w:spacing w:val="6"/>
          <w:sz w:val="24"/>
          <w:lang w:val="en-US" w:eastAsia="zh-CN" w:bidi="ar-SA"/>
        </w:rPr>
      </w:pPr>
      <w:r>
        <w:rPr>
          <w:rStyle w:val="19"/>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9"/>
          <w:rFonts w:hint="eastAsia" w:ascii="宋体" w:hAnsi="宋体" w:cs="Arial"/>
          <w:sz w:val="24"/>
          <w:lang w:val="en-US" w:eastAsia="zh-CN" w:bidi="ar-SA"/>
        </w:rPr>
      </w:pPr>
      <w:r>
        <w:rPr>
          <w:rStyle w:val="19"/>
          <w:rFonts w:hint="eastAsia" w:ascii="宋体" w:hAnsi="宋体"/>
          <w:sz w:val="24"/>
          <w:lang w:val="en-US" w:eastAsia="zh-CN" w:bidi="ar-SA"/>
        </w:rPr>
        <w:t>日期：</w:t>
      </w:r>
      <w:r>
        <w:rPr>
          <w:rStyle w:val="19"/>
          <w:rFonts w:hint="eastAsia" w:ascii="宋体" w:hAnsi="宋体" w:cs="Arial"/>
          <w:sz w:val="24"/>
          <w:lang w:val="en-US" w:eastAsia="zh-CN" w:bidi="ar-SA"/>
        </w:rPr>
        <w:t>20  年   月   日</w:t>
      </w: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Theme="minorEastAsia" w:hAnsiTheme="minorEastAsia" w:cstheme="minorEastAsia"/>
          <w:b/>
          <w:sz w:val="36"/>
          <w:szCs w:val="36"/>
          <w:lang w:eastAsia="zh-CN"/>
        </w:rPr>
        <w:t>（如是）</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p>
      <w:pPr>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60</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60</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BAC74"/>
    <w:multiLevelType w:val="singleLevel"/>
    <w:tmpl w:val="A3DBAC74"/>
    <w:lvl w:ilvl="0" w:tentative="0">
      <w:start w:val="9"/>
      <w:numFmt w:val="decimal"/>
      <w:suff w:val="nothing"/>
      <w:lvlText w:val="（%1）"/>
      <w:lvlJc w:val="left"/>
    </w:lvl>
  </w:abstractNum>
  <w:abstractNum w:abstractNumId="1">
    <w:nsid w:val="A410F0BC"/>
    <w:multiLevelType w:val="singleLevel"/>
    <w:tmpl w:val="A410F0BC"/>
    <w:lvl w:ilvl="0" w:tentative="0">
      <w:start w:val="9"/>
      <w:numFmt w:val="decimal"/>
      <w:lvlText w:val="(%1)"/>
      <w:lvlJc w:val="left"/>
      <w:pPr>
        <w:tabs>
          <w:tab w:val="left" w:pos="312"/>
        </w:tabs>
      </w:pPr>
    </w:lvl>
  </w:abstractNum>
  <w:abstractNum w:abstractNumId="2">
    <w:nsid w:val="B8415AB4"/>
    <w:multiLevelType w:val="singleLevel"/>
    <w:tmpl w:val="B8415AB4"/>
    <w:lvl w:ilvl="0" w:tentative="0">
      <w:start w:val="9"/>
      <w:numFmt w:val="decimal"/>
      <w:suff w:val="nothing"/>
      <w:lvlText w:val="（%1）"/>
      <w:lvlJc w:val="left"/>
    </w:lvl>
  </w:abstractNum>
  <w:abstractNum w:abstractNumId="3">
    <w:nsid w:val="464B7AC1"/>
    <w:multiLevelType w:val="multilevel"/>
    <w:tmpl w:val="464B7AC1"/>
    <w:lvl w:ilvl="0" w:tentative="0">
      <w:start w:val="1"/>
      <w:numFmt w:val="decimal"/>
      <w:pStyle w:val="4"/>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12C5333"/>
    <w:rsid w:val="01740DD1"/>
    <w:rsid w:val="01843DFD"/>
    <w:rsid w:val="01B84108"/>
    <w:rsid w:val="03B660F2"/>
    <w:rsid w:val="049217A3"/>
    <w:rsid w:val="06207CB0"/>
    <w:rsid w:val="073E597E"/>
    <w:rsid w:val="08740320"/>
    <w:rsid w:val="08FF3BEB"/>
    <w:rsid w:val="098C26B6"/>
    <w:rsid w:val="0E8B0B44"/>
    <w:rsid w:val="0E925746"/>
    <w:rsid w:val="10931C8E"/>
    <w:rsid w:val="13D73693"/>
    <w:rsid w:val="14EB63A4"/>
    <w:rsid w:val="19B24C99"/>
    <w:rsid w:val="1AC3120A"/>
    <w:rsid w:val="1B0624AF"/>
    <w:rsid w:val="1C9D20D0"/>
    <w:rsid w:val="1CEC3418"/>
    <w:rsid w:val="1DF80F9F"/>
    <w:rsid w:val="1EC12A2D"/>
    <w:rsid w:val="1F53773A"/>
    <w:rsid w:val="1F62243C"/>
    <w:rsid w:val="217F3246"/>
    <w:rsid w:val="219E3F32"/>
    <w:rsid w:val="247501C3"/>
    <w:rsid w:val="24B2272E"/>
    <w:rsid w:val="281828B6"/>
    <w:rsid w:val="28435CD3"/>
    <w:rsid w:val="287B133B"/>
    <w:rsid w:val="2CAB398E"/>
    <w:rsid w:val="2D710FB9"/>
    <w:rsid w:val="2F316610"/>
    <w:rsid w:val="30CB29A8"/>
    <w:rsid w:val="3164621F"/>
    <w:rsid w:val="386D1D18"/>
    <w:rsid w:val="397D36A1"/>
    <w:rsid w:val="39D70A13"/>
    <w:rsid w:val="3AF84CD2"/>
    <w:rsid w:val="3DC20022"/>
    <w:rsid w:val="3E9D4649"/>
    <w:rsid w:val="3F7F10A4"/>
    <w:rsid w:val="3FAE473C"/>
    <w:rsid w:val="418E2239"/>
    <w:rsid w:val="419C367E"/>
    <w:rsid w:val="42CE5F42"/>
    <w:rsid w:val="42DD4F54"/>
    <w:rsid w:val="447026EC"/>
    <w:rsid w:val="468839B0"/>
    <w:rsid w:val="47883808"/>
    <w:rsid w:val="47C96E63"/>
    <w:rsid w:val="486B1D86"/>
    <w:rsid w:val="49AC2EF4"/>
    <w:rsid w:val="49C7459E"/>
    <w:rsid w:val="4AB805F6"/>
    <w:rsid w:val="4AFD3876"/>
    <w:rsid w:val="4B3442B5"/>
    <w:rsid w:val="4E257BBB"/>
    <w:rsid w:val="50703403"/>
    <w:rsid w:val="51517A59"/>
    <w:rsid w:val="517F43E6"/>
    <w:rsid w:val="533A4FD1"/>
    <w:rsid w:val="5425148C"/>
    <w:rsid w:val="55FA0729"/>
    <w:rsid w:val="58BF4595"/>
    <w:rsid w:val="58CB7AFD"/>
    <w:rsid w:val="5AA30391"/>
    <w:rsid w:val="5CD87C27"/>
    <w:rsid w:val="5E455CE9"/>
    <w:rsid w:val="5E527688"/>
    <w:rsid w:val="60814ECB"/>
    <w:rsid w:val="634E7CC8"/>
    <w:rsid w:val="64585BCD"/>
    <w:rsid w:val="64DE6F55"/>
    <w:rsid w:val="66770E5A"/>
    <w:rsid w:val="68BC2178"/>
    <w:rsid w:val="6A5631D6"/>
    <w:rsid w:val="6B715E71"/>
    <w:rsid w:val="6E0C17AF"/>
    <w:rsid w:val="6E3A5686"/>
    <w:rsid w:val="6E9A5852"/>
    <w:rsid w:val="70DA66D7"/>
    <w:rsid w:val="710B4326"/>
    <w:rsid w:val="72C32A0D"/>
    <w:rsid w:val="73926DDA"/>
    <w:rsid w:val="74132D01"/>
    <w:rsid w:val="743B3A02"/>
    <w:rsid w:val="7547471D"/>
    <w:rsid w:val="76C14EF7"/>
    <w:rsid w:val="7BEE2FE6"/>
    <w:rsid w:val="7D0A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28"/>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标题 Char Char"/>
    <w:basedOn w:val="1"/>
    <w:next w:val="3"/>
    <w:qFormat/>
    <w:uiPriority w:val="0"/>
    <w:pPr>
      <w:jc w:val="center"/>
      <w:outlineLvl w:val="0"/>
    </w:pPr>
    <w:rPr>
      <w:rFonts w:ascii="Arial" w:hAnsi="Arial"/>
      <w:b/>
      <w:sz w:val="32"/>
      <w:szCs w:val="22"/>
    </w:rPr>
  </w:style>
  <w:style w:type="paragraph" w:styleId="3">
    <w:name w:val="Subtitle"/>
    <w:basedOn w:val="1"/>
    <w:next w:val="1"/>
    <w:qFormat/>
    <w:uiPriority w:val="0"/>
    <w:pPr>
      <w:jc w:val="center"/>
    </w:pPr>
    <w:rPr>
      <w:rFonts w:ascii="Calibri" w:hAnsi="Calibri" w:eastAsia="宋体" w:cs="Times New Roman"/>
      <w:sz w:val="24"/>
    </w:rPr>
  </w:style>
  <w:style w:type="paragraph" w:styleId="6">
    <w:name w:val="List 3"/>
    <w:basedOn w:val="1"/>
    <w:qFormat/>
    <w:uiPriority w:val="0"/>
    <w:pPr>
      <w:ind w:left="1260" w:hanging="420"/>
    </w:pPr>
    <w:rPr>
      <w:rFonts w:ascii="Times New Roman" w:hAnsi="Times New Roman"/>
      <w:szCs w:val="20"/>
    </w:rPr>
  </w:style>
  <w:style w:type="paragraph" w:styleId="7">
    <w:name w:val="Normal Indent"/>
    <w:basedOn w:val="1"/>
    <w:qFormat/>
    <w:uiPriority w:val="0"/>
    <w:pPr>
      <w:ind w:firstLine="420"/>
    </w:pPr>
    <w:rPr>
      <w:rFonts w:ascii="宋体" w:hAnsi="宋体"/>
      <w:kern w:val="0"/>
      <w:sz w:val="20"/>
      <w:szCs w:val="20"/>
    </w:rPr>
  </w:style>
  <w:style w:type="paragraph" w:styleId="8">
    <w:name w:val="caption"/>
    <w:basedOn w:val="1"/>
    <w:next w:val="1"/>
    <w:unhideWhenUsed/>
    <w:qFormat/>
    <w:uiPriority w:val="0"/>
    <w:pPr>
      <w:spacing w:line="360" w:lineRule="auto"/>
      <w:jc w:val="center"/>
    </w:pPr>
    <w:rPr>
      <w:rFonts w:ascii="黑体" w:hAnsi="黑体" w:eastAsia="黑体"/>
      <w:sz w:val="24"/>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page number"/>
    <w:basedOn w:val="19"/>
    <w:qFormat/>
    <w:uiPriority w:val="0"/>
  </w:style>
  <w:style w:type="character" w:styleId="22">
    <w:name w:val="FollowedHyperlink"/>
    <w:basedOn w:val="19"/>
    <w:qFormat/>
    <w:uiPriority w:val="0"/>
    <w:rPr>
      <w:color w:val="333333"/>
      <w:u w:val="none"/>
    </w:rPr>
  </w:style>
  <w:style w:type="character" w:styleId="23">
    <w:name w:val="Hyperlink"/>
    <w:qFormat/>
    <w:uiPriority w:val="0"/>
    <w:rPr>
      <w:color w:val="0000FF"/>
      <w:u w:val="single"/>
    </w:rPr>
  </w:style>
  <w:style w:type="character" w:styleId="24">
    <w:name w:val="annotation reference"/>
    <w:basedOn w:val="19"/>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7">
    <w:name w:val=" 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11"/>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customStyle="1" w:styleId="3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2">
    <w:name w:val="Normal_22"/>
    <w:qFormat/>
    <w:uiPriority w:val="0"/>
    <w:rPr>
      <w:rFonts w:ascii="Times New Roman" w:hAnsi="Times New Roman" w:eastAsia="宋体" w:cs="Times New Roman"/>
      <w:kern w:val="0"/>
      <w:sz w:val="21"/>
      <w:szCs w:val="20"/>
    </w:rPr>
  </w:style>
  <w:style w:type="character" w:customStyle="1" w:styleId="33">
    <w:name w:val="p141"/>
    <w:qFormat/>
    <w:uiPriority w:val="0"/>
    <w:rPr>
      <w:sz w:val="21"/>
      <w:szCs w:val="21"/>
    </w:rPr>
  </w:style>
  <w:style w:type="paragraph" w:customStyle="1" w:styleId="34">
    <w:name w:val="纯文本_0_0"/>
    <w:basedOn w:val="35"/>
    <w:unhideWhenUsed/>
    <w:qFormat/>
    <w:uiPriority w:val="0"/>
    <w:pPr>
      <w:widowControl/>
      <w:jc w:val="left"/>
    </w:pPr>
    <w:rPr>
      <w:rFonts w:ascii="宋体" w:hAnsi="Courier New" w:eastAsia="宋体"/>
      <w:kern w:val="0"/>
      <w:sz w:val="20"/>
      <w:szCs w:val="21"/>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lp1"/>
    <w:basedOn w:val="1"/>
    <w:next w:val="37"/>
    <w:qFormat/>
    <w:uiPriority w:val="34"/>
    <w:pPr>
      <w:widowControl/>
      <w:spacing w:before="240" w:after="240"/>
      <w:ind w:firstLine="420"/>
      <w:jc w:val="left"/>
    </w:pPr>
    <w:rPr>
      <w:rFonts w:ascii="Calibri" w:hAnsi="Calibri" w:eastAsia="宋体" w:cs="Times New Roman"/>
      <w:sz w:val="24"/>
      <w:lang w:val="zh-CN" w:eastAsia="zh-CN"/>
    </w:rPr>
  </w:style>
  <w:style w:type="paragraph" w:styleId="37">
    <w:name w:val="List Paragraph"/>
    <w:basedOn w:val="1"/>
    <w:qFormat/>
    <w:uiPriority w:val="34"/>
    <w:pPr>
      <w:ind w:firstLine="420" w:firstLineChars="200"/>
    </w:pPr>
  </w:style>
  <w:style w:type="character" w:customStyle="1" w:styleId="38">
    <w:name w:val="标题 2 Char Char"/>
    <w:qFormat/>
    <w:uiPriority w:val="0"/>
    <w:rPr>
      <w:rFonts w:ascii="Arial" w:hAnsi="Arial" w:eastAsia="黑体"/>
      <w:b/>
      <w:bCs/>
      <w:kern w:val="2"/>
      <w:sz w:val="32"/>
      <w:szCs w:val="32"/>
      <w:lang w:val="en-US" w:eastAsia="zh-CN" w:bidi="ar-SA"/>
    </w:rPr>
  </w:style>
  <w:style w:type="paragraph" w:customStyle="1" w:styleId="39">
    <w:name w:val="_Style 36"/>
    <w:basedOn w:val="1"/>
    <w:next w:val="1"/>
    <w:qFormat/>
    <w:uiPriority w:val="0"/>
    <w:pPr>
      <w:pBdr>
        <w:bottom w:val="single" w:color="auto" w:sz="6" w:space="1"/>
      </w:pBdr>
      <w:jc w:val="center"/>
    </w:pPr>
    <w:rPr>
      <w:rFonts w:ascii="Arial" w:eastAsia="宋体"/>
      <w:vanish/>
      <w:sz w:val="16"/>
    </w:rPr>
  </w:style>
  <w:style w:type="paragraph" w:customStyle="1" w:styleId="40">
    <w:name w:val="_Style 37"/>
    <w:basedOn w:val="1"/>
    <w:next w:val="1"/>
    <w:qFormat/>
    <w:uiPriority w:val="0"/>
    <w:pPr>
      <w:pBdr>
        <w:top w:val="single" w:color="auto" w:sz="6" w:space="1"/>
      </w:pBdr>
      <w:jc w:val="center"/>
    </w:pPr>
    <w:rPr>
      <w:rFonts w:ascii="Arial" w:eastAsia="宋体"/>
      <w:vanish/>
      <w:sz w:val="16"/>
    </w:rPr>
  </w:style>
  <w:style w:type="paragraph" w:customStyle="1" w:styleId="4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22417</Words>
  <Characters>23689</Characters>
  <Lines>0</Lines>
  <Paragraphs>0</Paragraphs>
  <TotalTime>1</TotalTime>
  <ScaleCrop>false</ScaleCrop>
  <LinksUpToDate>false</LinksUpToDate>
  <CharactersWithSpaces>27823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2020-06-08T06:56:00Z</cp:lastPrinted>
  <dcterms:modified xsi:type="dcterms:W3CDTF">2020-09-07T12:29:11Z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