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36"/>
          <w:szCs w:val="36"/>
        </w:rPr>
      </w:pP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bCs w:val="0"/>
          <w:color w:val="000000"/>
          <w:spacing w:val="-4"/>
          <w:sz w:val="44"/>
          <w:szCs w:val="44"/>
        </w:rPr>
      </w:pP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9"/>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9"/>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360" w:lineRule="auto"/>
        <w:ind w:firstLine="1265" w:firstLineChars="450"/>
        <w:rPr>
          <w:rFonts w:hint="eastAsia" w:ascii="黑体" w:hAnsi="黑体" w:eastAsia="黑体"/>
          <w:b/>
          <w:color w:val="000000"/>
          <w:sz w:val="28"/>
          <w:szCs w:val="28"/>
        </w:rPr>
      </w:pPr>
    </w:p>
    <w:p>
      <w:pPr>
        <w:pStyle w:val="9"/>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铜仁市退役军人事务局退役军人优抚对象短期疗养服务项目（二次）</w:t>
      </w:r>
    </w:p>
    <w:p>
      <w:pPr>
        <w:pStyle w:val="9"/>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w:t>
      </w:r>
      <w:r>
        <w:rPr>
          <w:rFonts w:hint="eastAsia" w:asciiTheme="minorEastAsia" w:hAnsiTheme="minorEastAsia" w:cstheme="minorEastAsia"/>
          <w:color w:val="000000"/>
          <w:sz w:val="28"/>
          <w:szCs w:val="28"/>
          <w:lang w:val="en-US" w:eastAsia="zh-CN"/>
        </w:rPr>
        <w:t>125</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9"/>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9"/>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铜仁市退役军人事务局</w:t>
      </w:r>
      <w:r>
        <w:rPr>
          <w:rFonts w:hint="eastAsia" w:hAnsi="宋体"/>
          <w:color w:val="000000"/>
          <w:sz w:val="24"/>
          <w:szCs w:val="24"/>
        </w:rPr>
        <w:t>委托，对</w:t>
      </w:r>
      <w:r>
        <w:rPr>
          <w:rFonts w:hint="eastAsia" w:hAnsi="宋体"/>
          <w:b/>
          <w:bCs/>
          <w:color w:val="000000"/>
          <w:sz w:val="24"/>
          <w:szCs w:val="24"/>
          <w:lang w:eastAsia="zh-CN"/>
        </w:rPr>
        <w:t>铜仁市退役军人事务局退役军人优抚对象短期疗养服务项目（二次）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9"/>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铜仁市退役军人事务局退役军人优抚对象短期疗养服务项目（二次）</w:t>
      </w:r>
    </w:p>
    <w:p>
      <w:pPr>
        <w:pStyle w:val="9"/>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w:t>
      </w:r>
      <w:r>
        <w:rPr>
          <w:rFonts w:hint="eastAsia" w:hAnsi="宋体"/>
          <w:b/>
          <w:color w:val="000000" w:themeColor="text1"/>
          <w:sz w:val="24"/>
          <w:szCs w:val="24"/>
          <w:lang w:val="en-US" w:eastAsia="zh-CN"/>
          <w14:textFill>
            <w14:solidFill>
              <w14:schemeClr w14:val="tx1"/>
            </w14:solidFill>
          </w14:textFill>
        </w:rPr>
        <w:t>125</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23</w:t>
      </w:r>
      <w:r>
        <w:rPr>
          <w:rFonts w:hint="eastAsia" w:ascii="宋体" w:hAnsi="宋体"/>
          <w:color w:val="0000FF"/>
          <w:sz w:val="24"/>
        </w:rPr>
        <w:t>日</w:t>
      </w:r>
      <w:r>
        <w:rPr>
          <w:rFonts w:hint="eastAsia" w:ascii="宋体" w:hAnsi="宋体"/>
          <w:color w:val="0000FF"/>
          <w:sz w:val="24"/>
          <w:lang w:val="en-US" w:eastAsia="zh-CN"/>
        </w:rPr>
        <w:t>9:00</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9</w:t>
      </w:r>
      <w:r>
        <w:rPr>
          <w:rFonts w:hint="eastAsia" w:ascii="宋体" w:hAnsi="宋体"/>
          <w:color w:val="0000FF"/>
          <w:sz w:val="24"/>
        </w:rPr>
        <w:t>月</w:t>
      </w:r>
      <w:r>
        <w:rPr>
          <w:rFonts w:hint="eastAsia" w:ascii="宋体" w:hAnsi="宋体"/>
          <w:color w:val="0000FF"/>
          <w:sz w:val="24"/>
          <w:lang w:val="en-US" w:eastAsia="zh-CN"/>
        </w:rPr>
        <w:t>27日17:00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9"/>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9"/>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1"/>
          <w:color w:val="000000"/>
          <w:sz w:val="24"/>
          <w:szCs w:val="24"/>
        </w:rPr>
        <w:t>http://</w:t>
      </w:r>
      <w:r>
        <w:rPr>
          <w:rStyle w:val="21"/>
          <w:rFonts w:hint="eastAsia"/>
          <w:color w:val="000000"/>
          <w:sz w:val="24"/>
          <w:szCs w:val="24"/>
          <w:lang w:eastAsia="zh-CN"/>
        </w:rPr>
        <w:t>jyzx.trs.gov.cn</w:t>
      </w:r>
      <w:r>
        <w:rPr>
          <w:color w:val="000000"/>
          <w:sz w:val="24"/>
          <w:szCs w:val="24"/>
        </w:rPr>
        <w:fldChar w:fldCharType="end"/>
      </w:r>
      <w:r>
        <w:rPr>
          <w:color w:val="000000"/>
          <w:sz w:val="24"/>
          <w:szCs w:val="24"/>
        </w:rPr>
        <w:t>）</w:t>
      </w:r>
    </w:p>
    <w:p>
      <w:pPr>
        <w:pStyle w:val="9"/>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9"/>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材料（原件或者复印件加盖公章）</w:t>
      </w:r>
      <w:r>
        <w:rPr>
          <w:rFonts w:hint="eastAsia" w:hAnsi="宋体"/>
          <w:b/>
          <w:color w:val="000000"/>
          <w:sz w:val="24"/>
          <w:szCs w:val="24"/>
        </w:rPr>
        <w:t>：</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9"/>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9"/>
        <w:keepNext w:val="0"/>
        <w:keepLines w:val="0"/>
        <w:pageBreakBefore w:val="0"/>
        <w:widowControl w:val="0"/>
        <w:numPr>
          <w:ilvl w:val="0"/>
          <w:numId w:val="2"/>
        </w:numPr>
        <w:kinsoku/>
        <w:wordWrap/>
        <w:overflowPunct/>
        <w:topLinePunct w:val="0"/>
        <w:autoSpaceDE/>
        <w:autoSpaceDN/>
        <w:bidi w:val="0"/>
        <w:spacing w:line="480" w:lineRule="exact"/>
        <w:ind w:firstLine="602" w:firstLineChars="250"/>
        <w:jc w:val="left"/>
        <w:textAlignment w:val="auto"/>
        <w:outlineLvl w:val="0"/>
        <w:rPr>
          <w:rFonts w:hint="eastAsia" w:hAnsi="宋体" w:cs="宋体" w:eastAsiaTheme="minorEastAsia"/>
          <w:b/>
          <w:bCs w:val="0"/>
          <w:color w:val="auto"/>
          <w:kern w:val="0"/>
          <w:sz w:val="24"/>
          <w:szCs w:val="24"/>
          <w:lang w:eastAsia="zh-CN"/>
        </w:rPr>
      </w:pPr>
      <w:r>
        <w:rPr>
          <w:rFonts w:hint="eastAsia" w:hAnsi="宋体" w:cs="宋体"/>
          <w:b/>
          <w:bCs w:val="0"/>
          <w:color w:val="auto"/>
          <w:kern w:val="0"/>
          <w:sz w:val="24"/>
          <w:szCs w:val="24"/>
          <w:lang w:eastAsia="zh-CN"/>
        </w:rPr>
        <w:t>具有疗养或者康养资质。</w:t>
      </w:r>
    </w:p>
    <w:p>
      <w:pPr>
        <w:pStyle w:val="9"/>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2020年9月28日14:00前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9"/>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600000</w:t>
      </w:r>
      <w:r>
        <w:rPr>
          <w:rFonts w:hint="eastAsia" w:ascii="宋体" w:hAnsi="宋体"/>
          <w:color w:val="000000"/>
          <w:sz w:val="24"/>
        </w:rPr>
        <w:t>元</w:t>
      </w:r>
      <w:r>
        <w:rPr>
          <w:rFonts w:hint="eastAsia" w:ascii="宋体" w:hAnsi="宋体"/>
          <w:color w:val="000000"/>
          <w:sz w:val="24"/>
          <w:lang w:val="en-US" w:eastAsia="zh-CN"/>
        </w:rPr>
        <w:t>(最高限价：600000.00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20年9</w:t>
      </w:r>
      <w:r>
        <w:rPr>
          <w:rFonts w:hint="eastAsia" w:ascii="宋体" w:hAnsi="宋体"/>
          <w:b/>
          <w:bCs/>
          <w:color w:val="0000FF"/>
          <w:sz w:val="24"/>
        </w:rPr>
        <w:t>月</w:t>
      </w:r>
      <w:r>
        <w:rPr>
          <w:rFonts w:hint="eastAsia" w:ascii="宋体" w:hAnsi="宋体"/>
          <w:b/>
          <w:bCs/>
          <w:color w:val="0000FF"/>
          <w:sz w:val="24"/>
          <w:lang w:val="en-US" w:eastAsia="zh-CN"/>
        </w:rPr>
        <w:t>28</w:t>
      </w:r>
      <w:r>
        <w:rPr>
          <w:rFonts w:hint="eastAsia" w:ascii="宋体" w:hAnsi="宋体"/>
          <w:b/>
          <w:bCs/>
          <w:color w:val="0000FF"/>
          <w:sz w:val="24"/>
        </w:rPr>
        <w:t>日</w:t>
      </w:r>
      <w:r>
        <w:rPr>
          <w:rFonts w:hint="eastAsia" w:ascii="宋体" w:hAnsi="宋体"/>
          <w:b/>
          <w:bCs/>
          <w:color w:val="0000FF"/>
          <w:sz w:val="24"/>
          <w:lang w:val="en-US" w:eastAsia="zh-CN"/>
        </w:rPr>
        <w:t xml:space="preserve">14:00 </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铜仁市退役军人事务局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杨女士</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17311967286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3"/>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铜仁市退役军人事务局退役军人优抚对象短期疗养服务项目（二次）</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铜仁市退役军人事务局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铜仁市退役军人事务局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退役军人优抚对象短期疗养服务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w:t>
            </w:r>
            <w:r>
              <w:rPr>
                <w:rFonts w:hint="eastAsia" w:ascii="宋体" w:hAnsi="宋体"/>
                <w:color w:val="000000" w:themeColor="text1"/>
                <w:sz w:val="24"/>
                <w:u w:val="single"/>
                <w:lang w:val="en-US" w:eastAsia="zh-CN"/>
                <w14:textFill>
                  <w14:solidFill>
                    <w14:schemeClr w14:val="tx1"/>
                  </w14:solidFill>
                </w14:textFill>
              </w:rPr>
              <w:t xml:space="preserve">125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60万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9"/>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Fonts w:hint="eastAsia" w:hAnsi="宋体"/>
          <w:sz w:val="24"/>
          <w:lang w:val="en-US" w:eastAsia="zh-CN"/>
        </w:rPr>
        <w:t>12.9</w:t>
      </w:r>
      <w:r>
        <w:rPr>
          <w:rStyle w:val="31"/>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1.</w:t>
      </w:r>
      <w:r>
        <w:rPr>
          <w:rStyle w:val="31"/>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·登录公共资源电子交易系统（</w:t>
      </w:r>
      <w:r>
        <w:rPr>
          <w:rStyle w:val="31"/>
          <w:rFonts w:hint="eastAsia" w:ascii="宋体" w:hAnsi="宋体"/>
          <w:sz w:val="24"/>
          <w:szCs w:val="24"/>
          <w:lang w:val="en-US" w:eastAsia="zh-CN"/>
        </w:rPr>
        <w:t>jyzx.trs.gov.cn</w:t>
      </w:r>
      <w:r>
        <w:rPr>
          <w:rStyle w:val="31"/>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lang w:val="en-US" w:eastAsia="zh-CN"/>
        </w:rPr>
        <w:t>2.</w:t>
      </w:r>
      <w:r>
        <w:rPr>
          <w:rStyle w:val="31"/>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sz w:val="24"/>
          <w:szCs w:val="24"/>
        </w:rPr>
      </w:pPr>
      <w:r>
        <w:rPr>
          <w:rStyle w:val="31"/>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sz w:val="24"/>
          <w:szCs w:val="24"/>
          <w:lang w:val="en-US" w:eastAsia="zh-CN"/>
        </w:rPr>
      </w:pPr>
      <w:r>
        <w:rPr>
          <w:rStyle w:val="31"/>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1"/>
          <w:rFonts w:hint="eastAsia" w:ascii="宋体" w:hAnsi="宋体" w:eastAsia="宋体"/>
          <w:sz w:val="24"/>
          <w:szCs w:val="24"/>
          <w:lang w:val="en-US" w:eastAsia="zh-CN"/>
        </w:rPr>
      </w:pPr>
      <w:r>
        <w:rPr>
          <w:rStyle w:val="31"/>
          <w:rFonts w:hint="eastAsia" w:ascii="宋体" w:hAnsi="宋体"/>
          <w:sz w:val="24"/>
          <w:szCs w:val="24"/>
          <w:lang w:val="en-US" w:eastAsia="zh-CN"/>
        </w:rPr>
        <w:t>·点【打印保证金回执单】按钮，查看确认到账回执信息，打印留存备用。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spacing w:line="400" w:lineRule="exact"/>
        <w:ind w:firstLine="480" w:firstLineChars="200"/>
        <w:jc w:val="left"/>
        <w:rPr>
          <w:rFonts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7"/>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9"/>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9"/>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2" w:firstLineChars="250"/>
        <w:jc w:val="left"/>
        <w:textAlignment w:val="auto"/>
        <w:outlineLvl w:val="0"/>
        <w:rPr>
          <w:rFonts w:hint="eastAsia"/>
          <w:bCs/>
          <w:color w:val="auto"/>
          <w:sz w:val="24"/>
          <w:szCs w:val="24"/>
          <w:lang w:eastAsia="zh-CN"/>
        </w:rPr>
      </w:pPr>
      <w:r>
        <w:rPr>
          <w:rFonts w:hint="eastAsia" w:hAnsi="宋体" w:cs="宋体"/>
          <w:b/>
          <w:bCs w:val="0"/>
          <w:color w:val="auto"/>
          <w:kern w:val="0"/>
          <w:sz w:val="24"/>
          <w:szCs w:val="24"/>
          <w:lang w:eastAsia="zh-CN"/>
        </w:rPr>
        <w:t>具有疗养或者康养资质。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铜仁市退役军人事务局退役军人优抚对象短期疗养服务项目（二次）要求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3" w:name="_Toc268599010"/>
      <w:r>
        <w:rPr>
          <w:rFonts w:hint="eastAsia" w:ascii="仿宋_GB2312" w:hAnsi="仿宋_GB2312" w:eastAsia="仿宋_GB2312" w:cs="仿宋_GB2312"/>
          <w:color w:val="auto"/>
          <w:sz w:val="32"/>
          <w:szCs w:val="32"/>
          <w:lang w:val="en-US" w:eastAsia="zh-CN"/>
        </w:rPr>
        <w:t>铜仁市退役军人事务局对2020年退役军人优抚对象短期疗养服务进行竞争性谈判，详细情况如下：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一、项目名称：退役军人优抚对象短期疗养服务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二、采购方式：竞争性谈判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三、采购主要内容：服务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四、采购数量：1年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五、采购预算及最高限价：60万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六、服务时间：合同签订后7天内开展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七、服务地点：铜仁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供应商要求：符合《中华人民共和国采购法》第二十二条规定。具有合格有效地企业营业执照、税务登记证、组织机构代码证或“三证合一”的营业执照，具备疗养或者康养资质。无重大违法经营记录及严重违法失信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九、疗养需求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今年12月份前，组织400人开展疗养服务，可分批次进行，每批次疗养时间为7天，有疗养方案，列日程表，疗养服务需求明细列如下：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体检：全身一般检查、身高、体重、血压、血糖、血脂、肝肾功能、血尿常规、心电图、胸片、肝胆胰腺双肾彩超。女性包括阴道B超。并出具每个人体检报告。</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理疗康养：每批次开展二次以上健康讲座；开展推拿、足浴、针灸等康养项目。</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爱国主义教育：参观国防馆、周逸群陈列馆及故居以及其他相关活动。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休闲娱乐：结合退役军人群体组织的文体休闲娱乐活动，组织一次晚会、并到红色教育基地考擦调研一次。</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住宿：单间（面积：20平米及以上）或者标间（面积：30平米及以上），配卫生间（热水器）、空调、电视、桌椅、衣柜。要求承接方具备100张床位以上规模。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6）饮食：按三星级及以上酒店自助餐标准执行，科学营养搭配。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疗养团队：有专职疗养团队。配有项目管理人员和相应的康养医护人员（附名单及领域分工等），疗养对象与康养医护人员配例至少3:1，要求10分钟内服务及时响应率百分之百。</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突发事件：提供火灾、人身意外伤害、交通事故等突发事件应急预案，含7天意外保险。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制定符合要求的疗养方案。</w:t>
      </w:r>
    </w:p>
    <w:p>
      <w:pPr>
        <w:pStyle w:val="9"/>
        <w:rPr>
          <w:rFonts w:hint="default"/>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能容纳100人及以上的会议室或者礼堂（提供相关证明材料）。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b/>
          <w:bCs/>
          <w:sz w:val="32"/>
          <w:szCs w:val="32"/>
          <w:lang w:val="en-US" w:eastAsia="zh-CN"/>
        </w:rPr>
      </w:pPr>
      <w:r>
        <w:rPr>
          <w:rFonts w:hint="eastAsia"/>
          <w:b/>
          <w:bCs/>
          <w:sz w:val="32"/>
          <w:szCs w:val="32"/>
          <w:lang w:val="en-US" w:eastAsia="zh-CN"/>
        </w:rPr>
        <w:t>备注：专家论证费和专家评审费由中标人承担。</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7"/>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9"/>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9"/>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9"/>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2" w:firstLineChars="250"/>
        <w:jc w:val="left"/>
        <w:textAlignment w:val="auto"/>
        <w:rPr>
          <w:rFonts w:hint="eastAsia" w:hAnsi="宋体"/>
          <w:color w:val="000000"/>
          <w:sz w:val="24"/>
          <w:szCs w:val="24"/>
        </w:rPr>
      </w:pPr>
      <w:r>
        <w:rPr>
          <w:rFonts w:hint="eastAsia" w:hAnsi="宋体" w:cs="宋体"/>
          <w:b/>
          <w:bCs w:val="0"/>
          <w:color w:val="auto"/>
          <w:kern w:val="0"/>
          <w:sz w:val="24"/>
          <w:szCs w:val="24"/>
          <w:lang w:eastAsia="zh-CN"/>
        </w:rPr>
        <w:t>具有疗养或者康养资质。</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近一年任意一个月及以上</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供应商名称（盖章）：XXXXXXX有限公司</w:t>
      </w:r>
    </w:p>
    <w:p>
      <w:pPr>
        <w:adjustRightInd w:val="0"/>
        <w:spacing w:before="312" w:beforeLines="100" w:after="156" w:afterLines="50"/>
        <w:ind w:right="480"/>
        <w:jc w:val="right"/>
        <w:rPr>
          <w:rFonts w:hint="eastAsia" w:ascii="宋体" w:hAnsi="宋体"/>
          <w:sz w:val="24"/>
          <w:szCs w:val="24"/>
        </w:rPr>
      </w:pPr>
      <w:r>
        <w:rPr>
          <w:rFonts w:hint="eastAsia" w:ascii="宋体" w:hAnsi="宋体"/>
          <w:sz w:val="24"/>
          <w:szCs w:val="24"/>
        </w:rPr>
        <w:t xml:space="preserve">法定代表人或授权代表（签字）：                </w:t>
      </w:r>
    </w:p>
    <w:p>
      <w:pPr>
        <w:adjustRightInd w:val="0"/>
        <w:spacing w:before="312" w:beforeLines="100" w:after="156" w:afterLines="50"/>
        <w:ind w:right="480"/>
        <w:jc w:val="right"/>
        <w:rPr>
          <w:rFonts w:hint="eastAsia" w:ascii="宋体" w:hAnsi="宋体" w:cs="宋体"/>
          <w:sz w:val="24"/>
        </w:rPr>
      </w:pPr>
      <w:r>
        <w:rPr>
          <w:rFonts w:hint="eastAsia" w:ascii="宋体" w:hAnsi="宋体"/>
          <w:sz w:val="24"/>
          <w:szCs w:val="24"/>
        </w:rPr>
        <w:t>投标日期：</w:t>
      </w:r>
    </w:p>
    <w:p>
      <w:pPr>
        <w:pStyle w:val="9"/>
        <w:rPr>
          <w:rFonts w:hint="eastAsia"/>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9"/>
        <w:rPr>
          <w:rFonts w:hint="eastAsia"/>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30"/>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30"/>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0"/>
        <w:spacing w:line="360" w:lineRule="auto"/>
        <w:jc w:val="center"/>
        <w:rPr>
          <w:rFonts w:ascii="宋体" w:hAnsi="宋体"/>
          <w:b/>
          <w:spacing w:val="6"/>
          <w:sz w:val="28"/>
          <w:szCs w:val="28"/>
        </w:rPr>
      </w:pP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993300"/>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0"/>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0"/>
        <w:spacing w:line="360" w:lineRule="auto"/>
        <w:jc w:val="center"/>
        <w:rPr>
          <w:sz w:val="24"/>
          <w:szCs w:val="24"/>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4838870A"/>
    <w:multiLevelType w:val="singleLevel"/>
    <w:tmpl w:val="4838870A"/>
    <w:lvl w:ilvl="0" w:tentative="0">
      <w:start w:val="1"/>
      <w:numFmt w:val="decimal"/>
      <w:suff w:val="nothing"/>
      <w:lvlText w:val="%1）"/>
      <w:lvlJc w:val="left"/>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3A707AE"/>
    <w:rsid w:val="049217A3"/>
    <w:rsid w:val="05BC6033"/>
    <w:rsid w:val="06207CB0"/>
    <w:rsid w:val="066E0BAD"/>
    <w:rsid w:val="073E597E"/>
    <w:rsid w:val="08740320"/>
    <w:rsid w:val="088F1CE8"/>
    <w:rsid w:val="08D529BC"/>
    <w:rsid w:val="08FF3BEB"/>
    <w:rsid w:val="098C26B6"/>
    <w:rsid w:val="09D77B2D"/>
    <w:rsid w:val="0B457893"/>
    <w:rsid w:val="0C01614A"/>
    <w:rsid w:val="0C44181E"/>
    <w:rsid w:val="0C5343E7"/>
    <w:rsid w:val="0E2C327E"/>
    <w:rsid w:val="10931C8E"/>
    <w:rsid w:val="11EC2642"/>
    <w:rsid w:val="13196CD2"/>
    <w:rsid w:val="134E6EF3"/>
    <w:rsid w:val="16370348"/>
    <w:rsid w:val="18C014B9"/>
    <w:rsid w:val="19B24C99"/>
    <w:rsid w:val="1A346FDF"/>
    <w:rsid w:val="1BA45F28"/>
    <w:rsid w:val="1C9D20D0"/>
    <w:rsid w:val="1CEC3418"/>
    <w:rsid w:val="1E6543E0"/>
    <w:rsid w:val="21683C00"/>
    <w:rsid w:val="217F3246"/>
    <w:rsid w:val="218E58F5"/>
    <w:rsid w:val="219E3F32"/>
    <w:rsid w:val="21C22B17"/>
    <w:rsid w:val="22845F75"/>
    <w:rsid w:val="230F0C1C"/>
    <w:rsid w:val="23B97A52"/>
    <w:rsid w:val="240262CF"/>
    <w:rsid w:val="24325565"/>
    <w:rsid w:val="247501C3"/>
    <w:rsid w:val="24836DDE"/>
    <w:rsid w:val="24D44CF5"/>
    <w:rsid w:val="26C87EEC"/>
    <w:rsid w:val="278A6F1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B62C85"/>
    <w:rsid w:val="3624374B"/>
    <w:rsid w:val="364D18B3"/>
    <w:rsid w:val="36CC77A9"/>
    <w:rsid w:val="36EE7004"/>
    <w:rsid w:val="37A74DC9"/>
    <w:rsid w:val="37DE3F09"/>
    <w:rsid w:val="38443194"/>
    <w:rsid w:val="3A412E59"/>
    <w:rsid w:val="3AF84CD2"/>
    <w:rsid w:val="3B0F30BB"/>
    <w:rsid w:val="3C424668"/>
    <w:rsid w:val="3D88538C"/>
    <w:rsid w:val="3E4A1F14"/>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517F43E6"/>
    <w:rsid w:val="52962030"/>
    <w:rsid w:val="533A4FD1"/>
    <w:rsid w:val="53E31007"/>
    <w:rsid w:val="5425148C"/>
    <w:rsid w:val="558D15D3"/>
    <w:rsid w:val="56627745"/>
    <w:rsid w:val="56C0562F"/>
    <w:rsid w:val="57F70A8E"/>
    <w:rsid w:val="57F85DD6"/>
    <w:rsid w:val="582F1881"/>
    <w:rsid w:val="58BF4595"/>
    <w:rsid w:val="58CB7AFD"/>
    <w:rsid w:val="594407E9"/>
    <w:rsid w:val="59446C96"/>
    <w:rsid w:val="59A57560"/>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7E1D4F"/>
    <w:rsid w:val="6E3A5686"/>
    <w:rsid w:val="6E9A5852"/>
    <w:rsid w:val="6F092244"/>
    <w:rsid w:val="6F5F0672"/>
    <w:rsid w:val="6F713DE8"/>
    <w:rsid w:val="710B4326"/>
    <w:rsid w:val="712651C2"/>
    <w:rsid w:val="71E075BB"/>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0232BA"/>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Indent"/>
    <w:basedOn w:val="1"/>
    <w:semiHidden/>
    <w:unhideWhenUsed/>
    <w:qFormat/>
    <w:uiPriority w:val="99"/>
    <w:pPr>
      <w:spacing w:after="120"/>
      <w:ind w:left="420" w:leftChars="200"/>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qFormat/>
    <w:uiPriority w:val="0"/>
    <w:pPr>
      <w:spacing w:after="0"/>
      <w:ind w:left="0" w:leftChars="0" w:firstLine="420" w:firstLineChars="200"/>
    </w:pPr>
    <w:rPr>
      <w:rFonts w:ascii="Arial" w:hAnsi="Arial" w:eastAsia="仿宋_GB2312"/>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 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
    <w:name w:val="Normal_22"/>
    <w:qFormat/>
    <w:uiPriority w:val="0"/>
    <w:rPr>
      <w:rFonts w:ascii="Times New Roman" w:hAnsi="Times New Roman" w:eastAsia="宋体" w:cs="Times New Roman"/>
      <w:kern w:val="0"/>
      <w:sz w:val="21"/>
      <w:szCs w:val="20"/>
    </w:rPr>
  </w:style>
  <w:style w:type="character" w:customStyle="1" w:styleId="31">
    <w:name w:val="p141"/>
    <w:qFormat/>
    <w:uiPriority w:val="0"/>
    <w:rPr>
      <w:sz w:val="21"/>
      <w:szCs w:val="21"/>
    </w:rPr>
  </w:style>
  <w:style w:type="character" w:customStyle="1" w:styleId="32">
    <w:name w:val="font01"/>
    <w:basedOn w:val="18"/>
    <w:qFormat/>
    <w:uiPriority w:val="0"/>
    <w:rPr>
      <w:rFonts w:hint="eastAsia" w:ascii="宋体" w:hAnsi="宋体" w:eastAsia="宋体" w:cs="宋体"/>
      <w:color w:val="000000"/>
      <w:sz w:val="24"/>
      <w:szCs w:val="24"/>
      <w:u w:val="none"/>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12</TotalTime>
  <ScaleCrop>false</ScaleCrop>
  <LinksUpToDate>false</LinksUpToDate>
  <CharactersWithSpaces>27005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2019-09-16T03:02:00Z</cp:lastPrinted>
  <dcterms:modified xsi:type="dcterms:W3CDTF">2020-09-22T03:38:40Z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