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10"/>
        <w:spacing w:line="560" w:lineRule="exact"/>
        <w:ind w:firstLine="562" w:firstLineChars="200"/>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铜仁市第三十六小学班班通多媒体设备、中小学生课桌椅、广播系统、LED信息发布系统及食堂餐桌、食堂传菜机采购</w:t>
      </w:r>
    </w:p>
    <w:p>
      <w:pPr>
        <w:pStyle w:val="10"/>
        <w:spacing w:line="560" w:lineRule="exact"/>
        <w:ind w:firstLine="562" w:firstLineChars="2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TRZFCG-2020-08</w:t>
      </w:r>
      <w:r>
        <w:rPr>
          <w:rFonts w:hint="eastAsia" w:asciiTheme="minorEastAsia" w:hAnsiTheme="minorEastAsia" w:cstheme="minorEastAsia"/>
          <w:color w:val="000000"/>
          <w:sz w:val="28"/>
          <w:szCs w:val="28"/>
          <w:lang w:val="en-US" w:eastAsia="zh-CN"/>
        </w:rPr>
        <w:t>7</w:t>
      </w:r>
    </w:p>
    <w:p>
      <w:pPr>
        <w:pStyle w:val="10"/>
        <w:spacing w:line="560" w:lineRule="exact"/>
        <w:ind w:firstLine="562" w:firstLineChars="2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0"/>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0"/>
        <w:spacing w:line="560" w:lineRule="exact"/>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6"/>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6"/>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3"/>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铜仁市第三十六小学</w:t>
      </w:r>
      <w:r>
        <w:rPr>
          <w:rFonts w:hint="eastAsia" w:hAnsi="宋体"/>
          <w:color w:val="000000"/>
          <w:sz w:val="24"/>
          <w:szCs w:val="24"/>
        </w:rPr>
        <w:t>委托，对</w:t>
      </w:r>
      <w:r>
        <w:rPr>
          <w:rFonts w:hint="eastAsia" w:hAnsi="宋体"/>
          <w:b/>
          <w:bCs/>
          <w:color w:val="000000"/>
          <w:sz w:val="24"/>
          <w:szCs w:val="24"/>
          <w:lang w:eastAsia="zh-CN"/>
        </w:rPr>
        <w:t>铜仁市第三十六小学班班通多媒体设备、中小学生课桌椅、广播系统、LED信息发布系统及食堂餐桌、食堂传菜机采购</w:t>
      </w:r>
      <w:r>
        <w:rPr>
          <w:rFonts w:hint="eastAsia" w:hAnsi="宋体"/>
          <w:color w:val="000000"/>
          <w:sz w:val="24"/>
          <w:szCs w:val="24"/>
        </w:rPr>
        <w:t>采用竞争性谈判的方式进行采购，欢迎具备投标资质条件的供货商参加投标。</w:t>
      </w:r>
    </w:p>
    <w:p>
      <w:pPr>
        <w:pStyle w:val="10"/>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铜仁市第三十六小学班班通多媒体设备、中小学生课桌椅、广播系统、LED信息发布系统及食堂餐桌、食堂传菜机采购</w:t>
      </w:r>
    </w:p>
    <w:p>
      <w:pPr>
        <w:pStyle w:val="10"/>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TRZFCG-2020-087</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 xml:space="preserve">8 </w:t>
      </w:r>
      <w:r>
        <w:rPr>
          <w:rFonts w:hint="eastAsia" w:ascii="宋体" w:hAnsi="宋体"/>
          <w:color w:val="0000FF"/>
          <w:sz w:val="24"/>
        </w:rPr>
        <w:t>月</w:t>
      </w:r>
      <w:r>
        <w:rPr>
          <w:rFonts w:hint="eastAsia" w:ascii="宋体" w:hAnsi="宋体"/>
          <w:color w:val="0000FF"/>
          <w:sz w:val="24"/>
          <w:lang w:val="en-US" w:eastAsia="zh-CN"/>
        </w:rPr>
        <w:t xml:space="preserve">18 </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 xml:space="preserve">8 </w:t>
      </w:r>
      <w:r>
        <w:rPr>
          <w:rFonts w:hint="eastAsia" w:ascii="宋体" w:hAnsi="宋体"/>
          <w:b w:val="0"/>
          <w:bCs w:val="0"/>
          <w:color w:val="0000FF"/>
          <w:sz w:val="24"/>
        </w:rPr>
        <w:t>月</w:t>
      </w:r>
      <w:r>
        <w:rPr>
          <w:rFonts w:hint="eastAsia" w:ascii="宋体" w:hAnsi="宋体"/>
          <w:b w:val="0"/>
          <w:bCs w:val="0"/>
          <w:color w:val="0000FF"/>
          <w:sz w:val="24"/>
          <w:lang w:val="en-US" w:eastAsia="zh-CN"/>
        </w:rPr>
        <w:t xml:space="preserve"> 20 </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19"/>
          <w:color w:val="000000"/>
          <w:sz w:val="24"/>
          <w:szCs w:val="24"/>
        </w:rPr>
        <w:t>http://</w:t>
      </w:r>
      <w:r>
        <w:rPr>
          <w:rStyle w:val="19"/>
          <w:rFonts w:hint="eastAsia"/>
          <w:color w:val="000000"/>
          <w:sz w:val="24"/>
          <w:szCs w:val="24"/>
          <w:lang w:eastAsia="zh-CN"/>
        </w:rPr>
        <w:t>jyzx.trs.gov.cn</w:t>
      </w:r>
      <w:r>
        <w:rPr>
          <w:rStyle w:val="19"/>
          <w:color w:val="000000"/>
          <w:sz w:val="24"/>
          <w:szCs w:val="24"/>
        </w:rPr>
        <w:fldChar w:fldCharType="end"/>
      </w:r>
      <w:r>
        <w:rPr>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0"/>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0"/>
        <w:keepNext w:val="0"/>
        <w:keepLines w:val="0"/>
        <w:pageBreakBefore w:val="0"/>
        <w:widowControl w:val="0"/>
        <w:numPr>
          <w:ilvl w:val="0"/>
          <w:numId w:val="2"/>
        </w:numPr>
        <w:kinsoku/>
        <w:wordWrap/>
        <w:overflowPunct/>
        <w:topLinePunct w:val="0"/>
        <w:autoSpaceDE/>
        <w:autoSpaceDN/>
        <w:bidi w:val="0"/>
        <w:spacing w:line="52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p>
    <w:p>
      <w:pPr>
        <w:pStyle w:val="10"/>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w:t>
      </w:r>
      <w:r>
        <w:rPr>
          <w:rFonts w:hint="eastAsia" w:hAnsi="宋体" w:cs="宋体"/>
          <w:bCs/>
          <w:color w:val="000000"/>
          <w:sz w:val="24"/>
          <w:szCs w:val="24"/>
          <w:lang w:eastAsia="zh-CN"/>
        </w:rPr>
        <w:t>网站</w:t>
      </w:r>
      <w:r>
        <w:rPr>
          <w:rFonts w:hint="eastAsia" w:hAnsi="宋体" w:cs="宋体"/>
          <w:bCs/>
          <w:color w:val="000000"/>
          <w:sz w:val="24"/>
          <w:szCs w:val="24"/>
        </w:rPr>
        <w:t>（www.creditchina.gov.cn）</w:t>
      </w:r>
      <w:r>
        <w:rPr>
          <w:rFonts w:hint="eastAsia" w:hAnsi="宋体" w:cs="宋体"/>
          <w:bCs/>
          <w:color w:val="000000"/>
          <w:sz w:val="24"/>
          <w:szCs w:val="24"/>
          <w:lang w:eastAsia="zh-CN"/>
        </w:rPr>
        <w:t>和“中国政府采购网”</w:t>
      </w:r>
      <w:r>
        <w:rPr>
          <w:rFonts w:hint="eastAsia" w:hAnsi="宋体" w:cs="宋体"/>
          <w:bCs/>
          <w:color w:val="000000"/>
          <w:sz w:val="24"/>
          <w:szCs w:val="24"/>
        </w:rPr>
        <w:t>（http://www.ccgp.gov.cn/search/cr/）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0"/>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A包</w:t>
      </w:r>
      <w:r>
        <w:rPr>
          <w:rFonts w:hint="eastAsia" w:hAnsi="宋体"/>
          <w:b/>
          <w:color w:val="000000"/>
          <w:sz w:val="24"/>
          <w:szCs w:val="24"/>
          <w:lang w:eastAsia="zh-CN"/>
        </w:rPr>
        <w:t>班班通多媒体设备、中小学生课桌椅、广播系统、LED信息发布系统：</w:t>
      </w:r>
      <w:r>
        <w:rPr>
          <w:rFonts w:hint="eastAsia" w:hAnsi="宋体"/>
          <w:b/>
          <w:color w:val="000000"/>
          <w:sz w:val="24"/>
          <w:szCs w:val="24"/>
          <w:lang w:val="en-US" w:eastAsia="zh-CN"/>
        </w:rPr>
        <w:t>10000元；B包</w:t>
      </w:r>
      <w:r>
        <w:rPr>
          <w:rFonts w:hint="eastAsia" w:hAnsi="宋体"/>
          <w:b/>
          <w:color w:val="000000"/>
          <w:sz w:val="24"/>
          <w:szCs w:val="24"/>
          <w:lang w:eastAsia="zh-CN"/>
        </w:rPr>
        <w:t>食堂餐桌、食堂传菜机</w:t>
      </w:r>
      <w:r>
        <w:rPr>
          <w:rFonts w:hint="eastAsia" w:hAnsi="宋体"/>
          <w:b/>
          <w:color w:val="000000"/>
          <w:sz w:val="24"/>
          <w:szCs w:val="24"/>
          <w:lang w:val="en-US" w:eastAsia="zh-CN"/>
        </w:rPr>
        <w:t>：1000元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pStyle w:val="10"/>
        <w:keepNext w:val="0"/>
        <w:keepLines w:val="0"/>
        <w:pageBreakBefore w:val="0"/>
        <w:widowControl w:val="0"/>
        <w:numPr>
          <w:ilvl w:val="0"/>
          <w:numId w:val="3"/>
        </w:numPr>
        <w:kinsoku/>
        <w:wordWrap/>
        <w:overflowPunct/>
        <w:topLinePunct w:val="0"/>
        <w:autoSpaceDE/>
        <w:autoSpaceDN/>
        <w:bidi w:val="0"/>
        <w:spacing w:line="520" w:lineRule="exact"/>
        <w:ind w:firstLine="481"/>
        <w:jc w:val="left"/>
        <w:textAlignment w:val="auto"/>
        <w:rPr>
          <w:rFonts w:hint="eastAsia" w:ascii="宋体" w:hAnsi="宋体"/>
          <w:color w:val="000000"/>
          <w:sz w:val="24"/>
          <w:lang w:eastAsia="zh-CN"/>
        </w:rPr>
      </w:pPr>
      <w:r>
        <w:rPr>
          <w:rFonts w:hint="eastAsia" w:ascii="宋体" w:hAnsi="宋体"/>
          <w:b/>
          <w:bCs/>
          <w:color w:val="000000"/>
          <w:sz w:val="24"/>
        </w:rPr>
        <w:t>采购预算</w:t>
      </w:r>
      <w:r>
        <w:rPr>
          <w:rFonts w:hint="eastAsia" w:ascii="宋体" w:hAnsi="宋体"/>
          <w:color w:val="000000"/>
          <w:sz w:val="24"/>
        </w:rPr>
        <w:t xml:space="preserve"> ：</w:t>
      </w:r>
      <w:r>
        <w:rPr>
          <w:rFonts w:hint="eastAsia" w:hAnsi="宋体"/>
          <w:b w:val="0"/>
          <w:bCs/>
          <w:color w:val="000000"/>
          <w:sz w:val="24"/>
          <w:szCs w:val="24"/>
          <w:lang w:val="en-US" w:eastAsia="zh-CN"/>
        </w:rPr>
        <w:t>989676.7元</w:t>
      </w:r>
      <w:r>
        <w:rPr>
          <w:rFonts w:hint="eastAsia" w:ascii="宋体" w:hAnsi="宋体"/>
          <w:color w:val="000000"/>
          <w:sz w:val="24"/>
          <w:lang w:eastAsia="zh-CN"/>
        </w:rPr>
        <w:t>（</w:t>
      </w:r>
      <w:r>
        <w:rPr>
          <w:rFonts w:hint="eastAsia" w:hAnsi="宋体"/>
          <w:color w:val="000000"/>
          <w:sz w:val="24"/>
          <w:lang w:eastAsia="zh-CN"/>
        </w:rPr>
        <w:t>最高限价：</w:t>
      </w:r>
      <w:r>
        <w:rPr>
          <w:rFonts w:hint="eastAsia" w:hAnsi="宋体"/>
          <w:b w:val="0"/>
          <w:bCs/>
          <w:color w:val="000000"/>
          <w:sz w:val="24"/>
          <w:szCs w:val="24"/>
          <w:lang w:val="en-US" w:eastAsia="zh-CN"/>
        </w:rPr>
        <w:t>989676.7元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hint="eastAsia" w:hAnsi="宋体"/>
          <w:b/>
          <w:bCs w:val="0"/>
          <w:color w:val="000000"/>
          <w:sz w:val="24"/>
          <w:szCs w:val="24"/>
          <w:lang w:val="en-US" w:eastAsia="zh-CN"/>
        </w:rPr>
      </w:pPr>
      <w:r>
        <w:rPr>
          <w:rFonts w:hint="eastAsia" w:hAnsi="宋体"/>
          <w:b/>
          <w:color w:val="000000"/>
          <w:sz w:val="24"/>
          <w:szCs w:val="24"/>
          <w:lang w:val="en-US" w:eastAsia="zh-CN"/>
        </w:rPr>
        <w:t>其中：A包</w:t>
      </w:r>
      <w:r>
        <w:rPr>
          <w:rFonts w:hint="eastAsia" w:hAnsi="宋体"/>
          <w:b/>
          <w:color w:val="000000"/>
          <w:sz w:val="24"/>
          <w:szCs w:val="24"/>
          <w:lang w:eastAsia="zh-CN"/>
        </w:rPr>
        <w:t>班班通多媒体设备、中小学生课桌椅、广播系统、LED信息发布系统</w:t>
      </w:r>
      <w:r>
        <w:rPr>
          <w:rFonts w:hint="eastAsia" w:hAnsi="宋体"/>
          <w:b/>
          <w:bCs w:val="0"/>
          <w:color w:val="000000"/>
          <w:sz w:val="24"/>
          <w:szCs w:val="24"/>
          <w:lang w:eastAsia="zh-CN"/>
        </w:rPr>
        <w:t>：</w:t>
      </w:r>
      <w:r>
        <w:rPr>
          <w:rFonts w:hint="eastAsia" w:hAnsi="宋体"/>
          <w:b/>
          <w:bCs w:val="0"/>
          <w:color w:val="000000"/>
          <w:sz w:val="24"/>
          <w:szCs w:val="24"/>
          <w:lang w:val="en-US" w:eastAsia="zh-CN"/>
        </w:rPr>
        <w:t>822676.7元</w:t>
      </w:r>
      <w:r>
        <w:rPr>
          <w:rFonts w:hint="eastAsia" w:ascii="宋体" w:hAnsi="宋体"/>
          <w:b/>
          <w:bCs w:val="0"/>
          <w:color w:val="000000"/>
          <w:sz w:val="24"/>
          <w:lang w:eastAsia="zh-CN"/>
        </w:rPr>
        <w:t>（</w:t>
      </w:r>
      <w:r>
        <w:rPr>
          <w:rFonts w:hint="eastAsia" w:hAnsi="宋体"/>
          <w:b/>
          <w:bCs w:val="0"/>
          <w:color w:val="000000"/>
          <w:sz w:val="24"/>
          <w:lang w:eastAsia="zh-CN"/>
        </w:rPr>
        <w:t>最高限价：</w:t>
      </w:r>
      <w:r>
        <w:rPr>
          <w:rFonts w:hint="eastAsia" w:hAnsi="宋体"/>
          <w:b/>
          <w:bCs w:val="0"/>
          <w:color w:val="000000"/>
          <w:sz w:val="24"/>
          <w:szCs w:val="24"/>
          <w:lang w:val="en-US" w:eastAsia="zh-CN"/>
        </w:rPr>
        <w:t>822676.7元</w:t>
      </w:r>
      <w:r>
        <w:rPr>
          <w:rFonts w:hint="eastAsia" w:ascii="宋体" w:hAnsi="宋体"/>
          <w:b/>
          <w:bCs w:val="0"/>
          <w:color w:val="000000"/>
          <w:sz w:val="24"/>
          <w:lang w:eastAsia="zh-CN"/>
        </w:rPr>
        <w:t>）</w:t>
      </w:r>
      <w:r>
        <w:rPr>
          <w:rFonts w:hint="eastAsia" w:hAnsi="宋体"/>
          <w:b/>
          <w:bCs w:val="0"/>
          <w:color w:val="000000"/>
          <w:sz w:val="24"/>
          <w:szCs w:val="24"/>
          <w:lang w:val="en-US"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hint="eastAsia" w:hAnsi="宋体"/>
          <w:b/>
          <w:color w:val="000000"/>
          <w:sz w:val="24"/>
          <w:szCs w:val="24"/>
          <w:lang w:val="en-US" w:eastAsia="zh-CN"/>
        </w:rPr>
      </w:pPr>
      <w:r>
        <w:rPr>
          <w:rFonts w:hint="eastAsia" w:hAnsi="宋体"/>
          <w:b/>
          <w:bCs w:val="0"/>
          <w:color w:val="000000"/>
          <w:sz w:val="24"/>
          <w:szCs w:val="24"/>
          <w:lang w:val="en-US" w:eastAsia="zh-CN"/>
        </w:rPr>
        <w:t xml:space="preserve">     B包</w:t>
      </w:r>
      <w:r>
        <w:rPr>
          <w:rFonts w:hint="eastAsia" w:hAnsi="宋体"/>
          <w:b/>
          <w:bCs w:val="0"/>
          <w:color w:val="000000"/>
          <w:sz w:val="24"/>
          <w:szCs w:val="24"/>
          <w:lang w:eastAsia="zh-CN"/>
        </w:rPr>
        <w:t>食堂餐桌、食堂传菜机</w:t>
      </w:r>
      <w:r>
        <w:rPr>
          <w:rFonts w:hint="eastAsia" w:hAnsi="宋体"/>
          <w:b/>
          <w:bCs w:val="0"/>
          <w:color w:val="000000"/>
          <w:sz w:val="24"/>
          <w:szCs w:val="24"/>
          <w:lang w:val="en-US" w:eastAsia="zh-CN"/>
        </w:rPr>
        <w:t>：167000元</w:t>
      </w:r>
      <w:r>
        <w:rPr>
          <w:rFonts w:hint="eastAsia" w:ascii="宋体" w:hAnsi="宋体"/>
          <w:b/>
          <w:bCs w:val="0"/>
          <w:color w:val="000000"/>
          <w:sz w:val="24"/>
          <w:lang w:eastAsia="zh-CN"/>
        </w:rPr>
        <w:t>（</w:t>
      </w:r>
      <w:r>
        <w:rPr>
          <w:rFonts w:hint="eastAsia" w:hAnsi="宋体"/>
          <w:b/>
          <w:bCs w:val="0"/>
          <w:color w:val="000000"/>
          <w:sz w:val="24"/>
          <w:lang w:eastAsia="zh-CN"/>
        </w:rPr>
        <w:t>最高限价：</w:t>
      </w:r>
      <w:r>
        <w:rPr>
          <w:rFonts w:hint="eastAsia" w:hAnsi="宋体"/>
          <w:b/>
          <w:bCs w:val="0"/>
          <w:color w:val="000000"/>
          <w:sz w:val="24"/>
          <w:szCs w:val="24"/>
          <w:lang w:val="en-US" w:eastAsia="zh-CN"/>
        </w:rPr>
        <w:t>167000元</w:t>
      </w:r>
      <w:r>
        <w:rPr>
          <w:rFonts w:hint="eastAsia" w:ascii="宋体" w:hAnsi="宋体"/>
          <w:b/>
          <w:bCs w:val="0"/>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 xml:space="preserve"> 8 月21</w:t>
      </w:r>
      <w:r>
        <w:rPr>
          <w:rFonts w:hint="eastAsia" w:ascii="宋体" w:hAnsi="宋体"/>
          <w:color w:val="0000FF"/>
          <w:sz w:val="24"/>
        </w:rPr>
        <w:t>日</w:t>
      </w:r>
      <w:r>
        <w:rPr>
          <w:rFonts w:hint="eastAsia" w:ascii="宋体" w:hAnsi="宋体"/>
          <w:color w:val="0000FF"/>
          <w:sz w:val="24"/>
          <w:lang w:val="en-US" w:eastAsia="zh-CN"/>
        </w:rPr>
        <w:t>10:00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
          <w:bCs w:val="0"/>
          <w:color w:val="000000"/>
          <w:sz w:val="24"/>
        </w:rPr>
        <w:t>13、谈判地点：</w:t>
      </w:r>
      <w:r>
        <w:rPr>
          <w:rFonts w:hint="eastAsia" w:ascii="宋体" w:hAnsi="宋体"/>
          <w:bCs/>
          <w:color w:val="000000"/>
          <w:sz w:val="24"/>
        </w:rPr>
        <w:t>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杨玄</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铜仁市第三十六小学</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朱老师</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18311876610</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w:t>
      </w:r>
      <w:r>
        <w:rPr>
          <w:rFonts w:hint="eastAsia" w:ascii="宋体" w:hAnsi="宋体"/>
          <w:sz w:val="24"/>
          <w:lang w:eastAsia="zh-CN"/>
        </w:rPr>
        <w:t>咨询电话</w:t>
      </w:r>
      <w:r>
        <w:rPr>
          <w:rFonts w:hint="eastAsia" w:ascii="宋体" w:hAnsi="宋体"/>
          <w:sz w:val="24"/>
        </w:rPr>
        <w:t>：0856-3910364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5"/>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21"/>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铜仁市第三十六小学班班通多媒体设备、中小学生课桌椅、广播系统、LED信息发布系统及食堂餐桌、食堂传菜机采购</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铜仁市第三十六小学</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铜仁市第三十六小学</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铜仁市第三十六小学班班通多媒体设备、中小学生课桌椅、广播系统、LED信息发布系统及食堂餐桌、食堂传菜机采购</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TRZFCG-2020-087</w:t>
            </w:r>
          </w:p>
          <w:p>
            <w:pPr>
              <w:spacing w:line="400" w:lineRule="exact"/>
              <w:rPr>
                <w:rFonts w:ascii="宋体" w:hAnsi="宋体"/>
                <w:sz w:val="24"/>
                <w:u w:val="single"/>
              </w:rPr>
            </w:pPr>
            <w:r>
              <w:rPr>
                <w:rFonts w:hint="eastAsia" w:ascii="Arial" w:hAnsi="Arial" w:cs="Arial"/>
                <w:sz w:val="24"/>
              </w:rPr>
              <w:t>财政审核控制价（预算价）：</w:t>
            </w:r>
            <w:r>
              <w:rPr>
                <w:rFonts w:hint="eastAsia" w:hAnsi="宋体"/>
                <w:b w:val="0"/>
                <w:bCs/>
                <w:color w:val="000000"/>
                <w:sz w:val="24"/>
                <w:szCs w:val="24"/>
                <w:u w:val="single"/>
                <w:lang w:val="en-US" w:eastAsia="zh-CN"/>
              </w:rPr>
              <w:t>989676.7</w:t>
            </w:r>
            <w:r>
              <w:rPr>
                <w:rFonts w:hint="eastAsia"/>
                <w:kern w:val="0"/>
                <w:sz w:val="24"/>
                <w:u w:val="single"/>
                <w:lang w:val="en-US" w:eastAsia="zh-CN"/>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Arial" w:cs="Arial"/>
                <w:sz w:val="24"/>
                <w:u w:val="single"/>
                <w:lang w:val="en-US" w:eastAsia="zh-CN"/>
              </w:rPr>
              <w:t>A包10000元；B包1000元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textDirection w:val="lrTb"/>
            <w:vAlign w:val="center"/>
          </w:tcPr>
          <w:p>
            <w:pPr>
              <w:spacing w:line="400" w:lineRule="exact"/>
              <w:jc w:val="center"/>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textDirection w:val="lrTb"/>
            <w:vAlign w:val="center"/>
          </w:tcPr>
          <w:p>
            <w:pPr>
              <w:spacing w:line="400" w:lineRule="exact"/>
              <w:jc w:val="center"/>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textDirection w:val="lrTb"/>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lang w:val="en-US" w:eastAsia="zh-CN"/>
              </w:rPr>
            </w:pPr>
            <w:r>
              <w:rPr>
                <w:rFonts w:hint="eastAsia" w:ascii="宋体" w:hAnsi="宋体"/>
                <w:sz w:val="24"/>
                <w:lang w:val="en-US" w:eastAsia="zh-CN"/>
              </w:rPr>
              <w:t>9</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lang w:val="en-US" w:eastAsia="zh-CN"/>
              </w:rPr>
            </w:pPr>
            <w:r>
              <w:rPr>
                <w:rFonts w:hint="eastAsia" w:ascii="宋体" w:hAnsi="宋体"/>
                <w:sz w:val="24"/>
                <w:lang w:eastAsia="zh-CN"/>
              </w:rPr>
              <w:t>交货期：中标后</w:t>
            </w:r>
            <w:r>
              <w:rPr>
                <w:rFonts w:hint="eastAsia" w:ascii="宋体" w:hAnsi="宋体"/>
                <w:sz w:val="24"/>
                <w:lang w:val="en-US" w:eastAsia="zh-CN"/>
              </w:rPr>
              <w:t>20日内</w:t>
            </w:r>
          </w:p>
          <w:p>
            <w:pPr>
              <w:spacing w:line="400" w:lineRule="exact"/>
              <w:rPr>
                <w:rFonts w:hint="eastAsia" w:ascii="宋体" w:hAnsi="宋体"/>
                <w:sz w:val="24"/>
                <w:lang w:val="en-US" w:eastAsia="zh-CN"/>
              </w:rPr>
            </w:pPr>
            <w:r>
              <w:rPr>
                <w:rFonts w:hint="eastAsia" w:ascii="宋体" w:hAnsi="宋体"/>
                <w:sz w:val="24"/>
                <w:lang w:val="en-US" w:eastAsia="zh-CN"/>
              </w:rPr>
              <w:t>交货地点：采购人指定地点</w:t>
            </w:r>
          </w:p>
          <w:p>
            <w:pPr>
              <w:spacing w:line="400" w:lineRule="exact"/>
              <w:rPr>
                <w:rFonts w:hint="eastAsia" w:ascii="仿宋_GB2312" w:hAnsi="仿宋_GB2312" w:eastAsia="仿宋_GB2312" w:cs="仿宋_GB2312"/>
                <w:b/>
                <w:bCs/>
                <w:sz w:val="24"/>
                <w:szCs w:val="24"/>
                <w:lang w:val="en-US" w:eastAsia="zh-CN"/>
              </w:rPr>
            </w:pPr>
            <w:r>
              <w:rPr>
                <w:rFonts w:hint="eastAsia" w:ascii="宋体" w:hAnsi="宋体"/>
                <w:sz w:val="24"/>
                <w:lang w:val="en-US" w:eastAsia="zh-CN"/>
              </w:rPr>
              <w:t>保修期限：一年包换，三年免费维修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lang w:val="en-US" w:eastAsia="zh-CN"/>
              </w:rPr>
            </w:pPr>
            <w:r>
              <w:rPr>
                <w:rFonts w:hint="eastAsia" w:ascii="宋体" w:hAnsi="宋体"/>
                <w:sz w:val="24"/>
                <w:lang w:val="en-US" w:eastAsia="zh-CN"/>
              </w:rPr>
              <w:t>10</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b/>
                <w:bCs/>
                <w:sz w:val="24"/>
                <w:szCs w:val="24"/>
                <w:lang w:eastAsia="zh-CN"/>
              </w:rPr>
            </w:pPr>
            <w:r>
              <w:rPr>
                <w:rFonts w:hint="eastAsia" w:ascii="宋体" w:hAnsi="宋体"/>
                <w:sz w:val="24"/>
                <w:lang w:eastAsia="zh-CN"/>
              </w:rPr>
              <w:t>付款方式：中标后双方在签订合同时约定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6"/>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21"/>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21"/>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5"/>
        <w:numPr>
          <w:ilvl w:val="1"/>
          <w:numId w:val="4"/>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29"/>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19"/>
          <w:rFonts w:hint="eastAsia" w:hAnsi="宋体"/>
          <w:sz w:val="24"/>
        </w:rPr>
        <w:t>trggzyjyzxzfcg@163.com，该邮箱仅用于发送文件）。</w:t>
      </w:r>
      <w:r>
        <w:rPr>
          <w:rStyle w:val="19"/>
          <w:rFonts w:hint="eastAsia" w:hAnsi="宋体"/>
          <w:sz w:val="24"/>
        </w:rPr>
        <w:fldChar w:fldCharType="end"/>
      </w:r>
    </w:p>
    <w:p>
      <w:pPr>
        <w:pStyle w:val="29"/>
        <w:spacing w:line="400" w:lineRule="exact"/>
        <w:jc w:val="center"/>
        <w:outlineLvl w:val="9"/>
        <w:rPr>
          <w:rFonts w:hAnsi="宋体"/>
          <w:b/>
          <w:sz w:val="24"/>
        </w:rPr>
      </w:pPr>
      <w:r>
        <w:rPr>
          <w:rFonts w:hint="eastAsia" w:hAnsi="宋体"/>
          <w:b/>
          <w:sz w:val="24"/>
        </w:rPr>
        <w:t>二、谈判文件</w:t>
      </w:r>
    </w:p>
    <w:p>
      <w:pPr>
        <w:pStyle w:val="10"/>
        <w:spacing w:line="400" w:lineRule="exact"/>
        <w:jc w:val="left"/>
        <w:rPr>
          <w:rFonts w:hAnsi="宋体"/>
          <w:b/>
          <w:sz w:val="24"/>
        </w:rPr>
      </w:pPr>
      <w:r>
        <w:rPr>
          <w:rFonts w:hint="eastAsia" w:hAnsi="宋体"/>
          <w:b/>
          <w:sz w:val="24"/>
        </w:rPr>
        <w:t>7</w:t>
      </w:r>
      <w:r>
        <w:rPr>
          <w:rFonts w:hAnsi="宋体"/>
          <w:b/>
          <w:sz w:val="24"/>
        </w:rPr>
        <w:t>.谈判文件的组成</w:t>
      </w:r>
    </w:p>
    <w:p>
      <w:pPr>
        <w:pStyle w:val="10"/>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0"/>
        <w:spacing w:line="400" w:lineRule="exact"/>
        <w:jc w:val="left"/>
        <w:rPr>
          <w:rFonts w:hAnsi="宋体"/>
          <w:sz w:val="24"/>
        </w:rPr>
      </w:pPr>
      <w:r>
        <w:rPr>
          <w:rFonts w:hAnsi="宋体"/>
          <w:sz w:val="24"/>
        </w:rPr>
        <w:t>（1）</w:t>
      </w:r>
      <w:r>
        <w:rPr>
          <w:rFonts w:hint="eastAsia" w:hAnsi="宋体"/>
          <w:sz w:val="24"/>
        </w:rPr>
        <w:t>谈判邀请</w:t>
      </w:r>
    </w:p>
    <w:p>
      <w:pPr>
        <w:pStyle w:val="10"/>
        <w:spacing w:line="400" w:lineRule="exact"/>
        <w:jc w:val="left"/>
        <w:rPr>
          <w:rFonts w:hAnsi="宋体"/>
          <w:sz w:val="24"/>
        </w:rPr>
      </w:pPr>
      <w:r>
        <w:rPr>
          <w:rFonts w:hAnsi="宋体"/>
          <w:sz w:val="24"/>
        </w:rPr>
        <w:t>（2）</w:t>
      </w:r>
      <w:r>
        <w:rPr>
          <w:rFonts w:hint="eastAsia" w:hAnsi="宋体"/>
          <w:sz w:val="24"/>
        </w:rPr>
        <w:t>谈判响应供应商须知</w:t>
      </w:r>
    </w:p>
    <w:p>
      <w:pPr>
        <w:pStyle w:val="10"/>
        <w:spacing w:line="400" w:lineRule="exact"/>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6"/>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6"/>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int="eastAsia" w:hAnsi="宋体"/>
          <w:b/>
          <w:sz w:val="24"/>
        </w:rPr>
        <w:t>9</w:t>
      </w:r>
      <w:r>
        <w:rPr>
          <w:rFonts w:hAnsi="宋体"/>
          <w:b/>
          <w:sz w:val="24"/>
        </w:rPr>
        <w:t>.要求</w:t>
      </w:r>
    </w:p>
    <w:p>
      <w:pPr>
        <w:pStyle w:val="10"/>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10.谈判响应文件语言及报价要求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资格声明及文件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中小企业声明函（如是）</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int="eastAsia"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ind w:firstLine="480" w:firstLineChars="200"/>
        <w:rPr>
          <w:rFonts w:hAnsi="宋体"/>
          <w:sz w:val="24"/>
        </w:rPr>
      </w:pPr>
      <w:r>
        <w:rPr>
          <w:rFonts w:hint="eastAsia" w:hAnsi="宋体"/>
          <w:sz w:val="24"/>
        </w:rPr>
        <w:t>13.9网上缴纳保证金流程</w:t>
      </w:r>
    </w:p>
    <w:p>
      <w:pPr>
        <w:pStyle w:val="10"/>
        <w:spacing w:line="400" w:lineRule="exact"/>
        <w:ind w:firstLine="480" w:firstLineChars="200"/>
        <w:rPr>
          <w:rFonts w:hAnsi="宋体"/>
          <w:sz w:val="24"/>
        </w:rPr>
      </w:pPr>
      <w:r>
        <w:rPr>
          <w:rFonts w:hint="eastAsia" w:hAnsi="宋体"/>
          <w:sz w:val="24"/>
        </w:rPr>
        <w:t>1.线上报名获取缴纳随机码</w:t>
      </w:r>
    </w:p>
    <w:p>
      <w:pPr>
        <w:pStyle w:val="10"/>
        <w:spacing w:line="400" w:lineRule="exact"/>
        <w:ind w:firstLine="480" w:firstLineChars="200"/>
        <w:rPr>
          <w:rFonts w:hAnsi="宋体"/>
          <w:sz w:val="24"/>
        </w:rPr>
      </w:pPr>
      <w:r>
        <w:rPr>
          <w:rFonts w:hint="eastAsia" w:hAnsi="宋体"/>
          <w:sz w:val="24"/>
        </w:rPr>
        <w:t>·登录公共资源电子交易系统（jyzx.trs.gov.cn）</w:t>
      </w:r>
    </w:p>
    <w:p>
      <w:pPr>
        <w:pStyle w:val="10"/>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0"/>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0"/>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0"/>
        <w:spacing w:line="400" w:lineRule="exact"/>
        <w:ind w:firstLine="480" w:firstLineChars="200"/>
        <w:rPr>
          <w:rFonts w:hAnsi="宋体"/>
          <w:sz w:val="24"/>
        </w:rPr>
      </w:pPr>
      <w:r>
        <w:rPr>
          <w:rFonts w:hint="eastAsia" w:hAnsi="宋体"/>
          <w:sz w:val="24"/>
        </w:rPr>
        <w:t>2.缴纳保证金</w:t>
      </w:r>
    </w:p>
    <w:p>
      <w:pPr>
        <w:pStyle w:val="10"/>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0"/>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0"/>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0"/>
        <w:spacing w:line="400" w:lineRule="exact"/>
        <w:ind w:firstLine="480" w:firstLineChars="200"/>
        <w:rPr>
          <w:rFonts w:hAnsi="宋体"/>
          <w:sz w:val="24"/>
        </w:rPr>
      </w:pPr>
      <w:r>
        <w:rPr>
          <w:rFonts w:hint="eastAsia" w:hAnsi="宋体"/>
          <w:sz w:val="24"/>
        </w:rPr>
        <w:t>3.打印回执</w:t>
      </w:r>
    </w:p>
    <w:p>
      <w:pPr>
        <w:pStyle w:val="10"/>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0"/>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0"/>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0"/>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29"/>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9"/>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29"/>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29"/>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9"/>
        <w:spacing w:line="400" w:lineRule="exact"/>
        <w:ind w:firstLine="482" w:firstLineChars="200"/>
        <w:jc w:val="center"/>
        <w:outlineLvl w:val="9"/>
        <w:rPr>
          <w:rFonts w:hAnsi="宋体"/>
          <w:b/>
          <w:sz w:val="24"/>
        </w:rPr>
      </w:pPr>
    </w:p>
    <w:p>
      <w:pPr>
        <w:pStyle w:val="29"/>
        <w:spacing w:line="400" w:lineRule="exact"/>
        <w:ind w:firstLine="482" w:firstLineChars="200"/>
        <w:jc w:val="center"/>
        <w:outlineLvl w:val="9"/>
        <w:rPr>
          <w:rFonts w:hAnsi="宋体"/>
          <w:b/>
          <w:sz w:val="24"/>
        </w:rPr>
      </w:pPr>
      <w:r>
        <w:rPr>
          <w:rFonts w:hint="eastAsia" w:hAnsi="宋体"/>
          <w:b/>
          <w:sz w:val="24"/>
        </w:rPr>
        <w:t>四、响应文件的提交</w:t>
      </w:r>
    </w:p>
    <w:p>
      <w:pPr>
        <w:pStyle w:val="29"/>
        <w:spacing w:line="400" w:lineRule="exact"/>
        <w:outlineLvl w:val="9"/>
        <w:rPr>
          <w:rFonts w:hAnsi="宋体"/>
          <w:b/>
          <w:sz w:val="24"/>
        </w:rPr>
      </w:pPr>
      <w:r>
        <w:rPr>
          <w:rFonts w:hint="eastAsia" w:hAnsi="宋体"/>
          <w:b/>
          <w:sz w:val="24"/>
        </w:rPr>
        <w:t>15.响应文件的密封、标记和递交</w:t>
      </w:r>
    </w:p>
    <w:p>
      <w:pPr>
        <w:pStyle w:val="29"/>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29"/>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29"/>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9"/>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9"/>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16.谈判时间</w:t>
      </w:r>
    </w:p>
    <w:p>
      <w:pPr>
        <w:pStyle w:val="10"/>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0"/>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0"/>
        <w:spacing w:line="400" w:lineRule="exact"/>
        <w:ind w:firstLine="475" w:firstLineChars="198"/>
        <w:rPr>
          <w:rFonts w:hAnsi="宋体"/>
          <w:sz w:val="24"/>
        </w:rPr>
      </w:pPr>
      <w:r>
        <w:rPr>
          <w:rFonts w:hint="eastAsia" w:hAnsi="宋体"/>
          <w:sz w:val="24"/>
        </w:rPr>
        <w:t>（1）工商营业执照副本；</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hAnsi="宋体" w:cs="宋体"/>
          <w:bCs/>
          <w:color w:val="000000"/>
          <w:sz w:val="24"/>
          <w:szCs w:val="24"/>
          <w:lang w:eastAsia="zh-CN"/>
        </w:rPr>
        <w:t>“中国政府采购网”</w:t>
      </w:r>
      <w:r>
        <w:rPr>
          <w:rFonts w:hint="eastAsia" w:hAnsi="宋体" w:cs="宋体"/>
          <w:bCs/>
          <w:color w:val="000000"/>
          <w:sz w:val="24"/>
          <w:szCs w:val="24"/>
        </w:rPr>
        <w:t>（http://www.ccgp.gov.cn/search/cr/）政府采购严重违法失信行为记录名单查询的信用记录情况</w:t>
      </w:r>
      <w:r>
        <w:rPr>
          <w:rFonts w:hint="eastAsia"/>
          <w:sz w:val="24"/>
        </w:rPr>
        <w:t>（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6"/>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sz w:val="24"/>
          <w:szCs w:val="24"/>
        </w:rPr>
      </w:pPr>
      <w:r>
        <w:rPr>
          <w:rFonts w:hint="eastAsia"/>
          <w:b/>
          <w:sz w:val="24"/>
          <w:szCs w:val="24"/>
        </w:rPr>
        <w:t>19.谈判相应文件的澄清</w:t>
      </w:r>
    </w:p>
    <w:p>
      <w:pPr>
        <w:pStyle w:val="6"/>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sz w:val="24"/>
        </w:rPr>
      </w:pPr>
      <w:r>
        <w:rPr>
          <w:rFonts w:hint="eastAsia" w:hAnsi="宋体"/>
          <w:sz w:val="24"/>
        </w:rPr>
        <w:t>21.项目采购失败处理</w:t>
      </w:r>
    </w:p>
    <w:p>
      <w:pPr>
        <w:pStyle w:val="10"/>
        <w:spacing w:line="400" w:lineRule="exact"/>
        <w:ind w:firstLine="480" w:firstLineChars="200"/>
        <w:jc w:val="left"/>
        <w:rPr>
          <w:rFonts w:hAnsi="宋体"/>
          <w:sz w:val="24"/>
        </w:rPr>
      </w:pPr>
      <w:r>
        <w:rPr>
          <w:rFonts w:hint="eastAsia" w:hAnsi="宋体"/>
          <w:sz w:val="24"/>
        </w:rPr>
        <w:t>出现下列情况将作采购失败处理：</w:t>
      </w:r>
    </w:p>
    <w:p>
      <w:pPr>
        <w:pStyle w:val="10"/>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0"/>
        <w:spacing w:line="400" w:lineRule="exact"/>
        <w:ind w:firstLine="480" w:firstLineChars="200"/>
        <w:jc w:val="left"/>
        <w:rPr>
          <w:rFonts w:hAnsi="宋体"/>
          <w:sz w:val="24"/>
        </w:rPr>
      </w:pPr>
      <w:r>
        <w:rPr>
          <w:rFonts w:hint="eastAsia" w:hAnsi="宋体"/>
          <w:sz w:val="24"/>
        </w:rPr>
        <w:t>(二)出现影响采购公正的违法、违规行为的；</w:t>
      </w:r>
    </w:p>
    <w:p>
      <w:pPr>
        <w:pStyle w:val="10"/>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sz w:val="24"/>
        </w:rPr>
      </w:pPr>
      <w:r>
        <w:rPr>
          <w:rFonts w:hint="eastAsia" w:hAnsi="宋体"/>
          <w:sz w:val="24"/>
        </w:rPr>
        <w:t>（四）因重大变故，采购任务取消的。</w:t>
      </w:r>
    </w:p>
    <w:p>
      <w:pPr>
        <w:pStyle w:val="29"/>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sz w:val="24"/>
        </w:rPr>
      </w:pPr>
      <w:r>
        <w:rPr>
          <w:rFonts w:hint="eastAsia" w:hAnsi="宋体"/>
          <w:sz w:val="24"/>
        </w:rPr>
        <w:t>22.成交准则</w:t>
      </w:r>
    </w:p>
    <w:p>
      <w:pPr>
        <w:pStyle w:val="10"/>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23</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24.</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513" w:left="1797" w:header="851" w:footer="992" w:gutter="0"/>
          <w:cols w:space="720" w:num="1"/>
          <w:docGrid w:linePitch="312" w:charSpace="0"/>
        </w:sectPr>
      </w:pPr>
    </w:p>
    <w:p>
      <w:pPr>
        <w:numPr>
          <w:ilvl w:val="0"/>
          <w:numId w:val="7"/>
        </w:numPr>
        <w:jc w:val="center"/>
        <w:rPr>
          <w:rFonts w:hint="eastAsia"/>
          <w:b/>
          <w:bCs/>
          <w:sz w:val="52"/>
          <w:szCs w:val="52"/>
        </w:rPr>
      </w:pPr>
      <w:r>
        <w:rPr>
          <w:rFonts w:hint="eastAsia"/>
          <w:b/>
          <w:bCs/>
          <w:sz w:val="52"/>
          <w:szCs w:val="52"/>
        </w:rPr>
        <w:t>谈判内容及要求</w:t>
      </w:r>
    </w:p>
    <w:p>
      <w:pPr>
        <w:pStyle w:val="2"/>
        <w:numPr>
          <w:ilvl w:val="0"/>
          <w:numId w:val="8"/>
        </w:numPr>
        <w:ind w:left="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pacing w:val="-6"/>
          <w:sz w:val="28"/>
          <w:szCs w:val="28"/>
          <w:lang w:val="en-US" w:eastAsia="zh-CN"/>
        </w:rPr>
        <w:t>采购</w:t>
      </w:r>
      <w:r>
        <w:rPr>
          <w:rFonts w:hint="eastAsia" w:asciiTheme="majorEastAsia" w:hAnsiTheme="majorEastAsia" w:eastAsiaTheme="majorEastAsia" w:cstheme="majorEastAsia"/>
          <w:b/>
          <w:bCs/>
          <w:sz w:val="28"/>
          <w:szCs w:val="28"/>
          <w:lang w:val="en-US" w:eastAsia="zh-CN"/>
        </w:rPr>
        <w:t>清单及参数</w:t>
      </w:r>
    </w:p>
    <w:tbl>
      <w:tblPr>
        <w:tblStyle w:val="21"/>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3553"/>
        <w:gridCol w:w="3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2" w:hRule="atLeast"/>
        </w:trPr>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班班通及桌椅</w:t>
            </w:r>
          </w:p>
        </w:tc>
        <w:tc>
          <w:tcPr>
            <w:tcW w:w="3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4" w:hRule="atLeast"/>
        </w:trPr>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广播系统</w:t>
            </w:r>
          </w:p>
        </w:tc>
        <w:tc>
          <w:tcPr>
            <w:tcW w:w="3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46间教室（含功能室内4间）及室外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2" w:hRule="atLeast"/>
        </w:trPr>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食堂餐桌</w:t>
            </w:r>
          </w:p>
        </w:tc>
        <w:tc>
          <w:tcPr>
            <w:tcW w:w="3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食堂传菜机</w:t>
            </w:r>
          </w:p>
        </w:tc>
        <w:tc>
          <w:tcPr>
            <w:tcW w:w="3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LED信息发布系统</w:t>
            </w:r>
          </w:p>
        </w:tc>
        <w:tc>
          <w:tcPr>
            <w:tcW w:w="3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pStyle w:val="2"/>
        <w:numPr>
          <w:ilvl w:val="0"/>
          <w:numId w:val="0"/>
        </w:numPr>
        <w:ind w:leftChars="0"/>
        <w:rPr>
          <w:rFonts w:hint="eastAsia" w:asciiTheme="majorEastAsia" w:hAnsiTheme="majorEastAsia" w:eastAsiaTheme="majorEastAsia" w:cstheme="majorEastAsia"/>
          <w:b/>
          <w:bCs/>
          <w:sz w:val="28"/>
          <w:szCs w:val="28"/>
          <w:lang w:val="en-US" w:eastAsia="zh-CN"/>
        </w:rPr>
      </w:pPr>
    </w:p>
    <w:p>
      <w:pPr>
        <w:keepNext w:val="0"/>
        <w:keepLines w:val="0"/>
        <w:pageBreakBefore w:val="0"/>
        <w:widowControl w:val="0"/>
        <w:kinsoku/>
        <w:wordWrap/>
        <w:overflowPunct/>
        <w:topLinePunct w:val="0"/>
        <w:autoSpaceDE/>
        <w:autoSpaceDN/>
        <w:bidi w:val="0"/>
        <w:spacing w:line="520" w:lineRule="exact"/>
        <w:textAlignment w:val="auto"/>
        <w:rPr>
          <w:rFonts w:hint="eastAsia" w:hAnsi="宋体"/>
          <w:b/>
          <w:color w:val="000000"/>
          <w:sz w:val="24"/>
          <w:szCs w:val="24"/>
          <w:lang w:eastAsia="zh-CN"/>
        </w:rPr>
      </w:pPr>
      <w:r>
        <w:rPr>
          <w:rFonts w:hint="eastAsia" w:hAnsi="宋体"/>
          <w:b/>
          <w:color w:val="000000"/>
          <w:sz w:val="24"/>
          <w:szCs w:val="24"/>
          <w:lang w:val="en-US" w:eastAsia="zh-CN"/>
        </w:rPr>
        <w:t>A包</w:t>
      </w:r>
      <w:r>
        <w:rPr>
          <w:rFonts w:hint="eastAsia" w:hAnsi="宋体"/>
          <w:b/>
          <w:color w:val="000000"/>
          <w:sz w:val="24"/>
          <w:szCs w:val="24"/>
          <w:lang w:eastAsia="zh-CN"/>
        </w:rPr>
        <w:t>班班通多媒体设备、中小学生课桌椅、广播系统、LED信息发布系统：</w:t>
      </w:r>
    </w:p>
    <w:p>
      <w:pPr>
        <w:pStyle w:val="2"/>
        <w:rPr>
          <w:rFonts w:hint="eastAsia" w:hAnsi="宋体"/>
          <w:b/>
          <w:color w:val="000000"/>
          <w:sz w:val="24"/>
          <w:szCs w:val="24"/>
          <w:lang w:eastAsia="zh-CN"/>
        </w:rPr>
      </w:pPr>
    </w:p>
    <w:p>
      <w:pPr>
        <w:pStyle w:val="2"/>
        <w:ind w:left="0" w:leftChars="0" w:firstLine="0" w:firstLineChars="0"/>
        <w:rPr>
          <w:rFonts w:hint="eastAsia" w:hAnsi="宋体"/>
          <w:b/>
          <w:color w:val="000000"/>
          <w:sz w:val="24"/>
          <w:szCs w:val="24"/>
          <w:lang w:val="en-US" w:eastAsia="zh-CN"/>
        </w:rPr>
      </w:pPr>
      <w:r>
        <w:rPr>
          <w:rFonts w:hint="eastAsia" w:hAnsi="宋体"/>
          <w:b/>
          <w:color w:val="000000"/>
          <w:sz w:val="24"/>
          <w:szCs w:val="24"/>
          <w:lang w:val="en-US" w:eastAsia="zh-CN"/>
        </w:rPr>
        <w:t>1、课桌椅和班班通清单</w:t>
      </w:r>
    </w:p>
    <w:tbl>
      <w:tblPr>
        <w:tblStyle w:val="21"/>
        <w:tblW w:w="8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5"/>
        <w:gridCol w:w="795"/>
        <w:gridCol w:w="5575"/>
        <w:gridCol w:w="562"/>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名称 </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参数 </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激光超短焦投影机</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硬件部分：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投影技术：DLP技术、0.65 英寸DMD；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★光源材质：※纯激光固态光源；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★标称亮度（ISO流明）：3800ISO流明（符合ISO21118标准）；投射方式：内反射超短焦；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标准分辨率：WXGA；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对比度：35000:1；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投射80英寸画面时，镜头到画面的距离：≥47CM；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整机功率：350W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★接口参数：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RGB in *1，RGB in/out  *1，HDMI in *2，Video in *1，RS232 *1，Mini USB *1 ，ECP 接口，RJ45、 *1,Kensington™ 锁端口；AC电源输出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配备原厂专用壁挂架；</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红外交互式电子白板</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硬件要求：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一、硬件参数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1、★书写技术：红外线感应技术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2、边框对角线尺寸：93英寸  16：10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3、分辨率：32767×32767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4、★有效感应面积90英寸，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5、★多人书写触控：支持四点触控，三人可以同时在电子白板上进行书写。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面板中文标注快捷键：白板两侧各具备至少15个中文标注快捷键，通过中文标注快捷键，可直接操作白板软件；在Windows界面下仅通过操作中文标注快捷键，即可实现PPT翻页功能，具备1个自定义中文标注快捷键，可以定义软件功能，方便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7、★面板：铝蜂窝镀锌纳米板，面板支持水性笔书写，可反复擦除。适用各种复杂环境（高海拔，高湿度），不起包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8、★智能控制：方便控制投影机的开关及信号的切换。</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教学软件</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★1.提供二维码扫描方式快速注册与登陆，支持免登录直接使用本地教学工具与资源;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书写工具:提供硬笔、智能笔、荧光笔、激光笔、软笔、手势笔、手写识别、纹理笔、竹笔、图章笔等十种书写工具;手势笔提供手势翻页、擦除、聚光、放大等功能,并提供明确的手势定义说明;手势识别支持手写输入自动转变为标准电子文字;纹理笔提供多种纹理模板,并可自定义纹理;针对藏文、阿拉伯文教学需求提供竹笔工具;图章笔提供多种图章模板，可自定义图章图案,满足教师趣味教学需求;提供手势擦除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3.学科工具：提供17门学科工具，工具不是简单的静态图片，而是可以交互式操作的动画。动画课件:至少提供算盘、计数器、成语词典、电流/电压表、元素周期表、地球仪、拼图等动画课件;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4.擦除工具：软件提供多种擦除方式，包括点擦除、区域擦除、擦除批注和擦除全部内容。擦除批注是指一键擦除书写笔迹，保留图片素材和图形素材。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5.远程课堂：软件可以创建远程课堂，传输本地界面和摄像画面给听众；听众可以通过教师班级邀请进入课堂，也可以通过邀请码进入课堂。同时教师也可以加入其它老师创建的课堂。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6.课件背景:提供背景颜色设置；提供多种图片背景模板，并支持自定义图片背景;提供五线谱、田字格、米字格、作文本、拼音本、笔记本、生字本、小楷本、英语本等学科背景;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7.页面特效:至少提供快报、收缩、展开、覆盖、淡出、推进等20种形式的页面切换动态特效;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8.展台:支持白板软件直接调用展台进行教学，对展台图像可实现画面冻结、拍照、批注、灯光控制、分辨率、焦距、颜色模式、旋转等功能的设置与控制;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9.思维导图:提供思维导图功能，提供内容节点的上、下、左、右方位快速增删，支持节点内容编辑,支持思维导图逐级、逐个节点展开及收缩，满足不同教学需求。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10.页面操作:提供整体页面的缩放、漫游功能,提供缩放、漫游后的还原以及全局鸟瞰功能,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11.索引功能:提供索引栏快速浏览所有教学内容,提供页面复制、剪切、置顶、移动、置尾等功能;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 PPT课件:提供PPT课件的播放控制(如前后翻页)、绘图、聚光灯、书写批注等功能,并可将批注嵌入至PPT中做注释保存;支持PPT课件原有动画效果正常播放;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13.文件管理:支持授课纪要以PDF、PPT或特有格式进行邮件发送,支持打印功能;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资源中心：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仿真实验:具备总数450个,涵盖K-12年级科学、初高中物理、化学、生物等学科的本地仿真实验资源;具备按学科、年级、章节、知识点等分类查找方式;各实验应包含实验目的、实验原理、实验器材、注意事项、实验检测、实验应用等模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网络学科资源:具备各学科总数70万条，1000G的网络学科资源;具备年级、版本、学科、章节等分类查找方式,支持一键插入白板页面进行展示；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专题课程:具备素质教育类课程,包括中华古诗词、中国传统节日、健康教育、公共安全教育等方面,具备动画、图片多种格式；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家校互动模块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A.教师移动端APP工具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1.系统兼容:免费下载及使用,支持通用移动手机及PAD多种手持终端,兼容Android 4.0和IOS 8.0以上版本系统;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2教师可以在PC端和移动端管理班级，发布通知、作业、投票、和班级圈（图文并茂的消息）。布置的作业来源可以是软件题库中选取，拍照或者文本。可以给学生点赞。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3.家校互通:提供班级通讯录、班级公告发布、班级朋友圈等功能,教师可同家长分享校庆、运动会、判卷改错等信息,提供在线习题作业、视频作业、文档作业的布置,提供点赞等学生评价功能;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B.家长移动端APP工具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1.系统兼容:免费下载及使用,支持移动手机及PAD多种手持终端,兼容Android 4.0和IOS 8.0以上版本系统;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应用功能:通过应用APP,家长和孩子可加入已创建的班级、课堂;可观看网络直播课程；可即时查看班级公告，班级朋友圈（例如校庆、运动会的有趣图片等），可查看学生被老师点赞、表扬原因，可实时接收班级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3.作业监督:可接收教师布置的文字、语音、习题等类型作业，作业结果可及时反馈给教师，便于教师掌握精准学情。</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多媒体壁挂一体机</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硬件要求：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1.提供壁挂式安装、工业级嵌入式设计、具有网管功能的多媒体教学一体机，集成计算机、中控、功放、展台等功能，外装于黑板左侧或右侧，方便独立拆卸及维护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★2、超薄插拔式OPS模块化，英特尔标准定义80pin，OPS具备双网卡功能；80 PIN直接输出VGA信号，80 PIN直接输出232接口，专业规范接口；采用Intel I5及以上处理器，内存：4GB DDR3，SSD硬盘128G（预装WINDOWS7 OFFCIE2013办公软件操作系统）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★3、整机采用模块化设计，独立电源、电脑OPS、控制终端为抽屉插拔式设计，在无需拆卸前端面板即可进行设备维护，提高效率，节省成本。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★4、具有嵌入式一体化全尺寸键盘、触控板鼠标在托盘上，方便用户操作，方便管理，不易遗失。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5、通过电容按键开关设备电源，防止误操作控制面板,面板按键：集成触摸控制功能，触摸式按键，简单易操作，展台台面可放置不低于A3幅面文稿，两侧具有液压杆支撑，托盘最小承受重量为15KG。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6、外置具有至少9个USB接口，其中USB接口：要防尘。具有音频输入输出接口、HDMI输出接口、配置无线WIFI等功能。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7、内置集成：2*20W立体声数码功放音箱，频率响应：20HZ-20KHZ，信噪比：76dB；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实物展台分辨率：不小于500万像素；拔动开关,实物展台软件支持图片1、2、4画面同屏展示、分别控制，进行对比教学，标注等功能，可实现文件打包转换PDF文件，并支持一键生成多页PDF格式，带OCR文字识别功能，可一键导出为word可编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9、★答题卡扫描阅卷功能：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1）答题卡的快速批改：图像识别和数据分析技术，能够快速批改答题卡；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2）数据分析：可对批改结果进行数据分析，在第一时间查阅每个学生的成绩，每道题目的正确率、每个选项的正误人数。精准的数据，便于教师了解学情，有的放矢地讲解，从而提高教学效率；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3）错题管理：自动生成错题提示，便于师生错题管理及纠正。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2.4G遥控器集成2.4G无线麦，激光教鞭、鼠标、PPT翻页器、一键式上网、音量控制等功能，能控制任何品牌投影机、电脑开关、信号切换，传输范围：不小于20米，内置锂电池，连续音频传输时间:不小于8小时。采用2.4G无线射频传输技术，频率范围：2400-2483MHZ，调制方法：GFSK；其功率谱密度，EIRP，带外发射功率，频带，支持内置麦克风和外置麦克风自由切换，内置LCD屏幕显示，可显示信号强度，电量，音量，音频模式，工作频道，PPT状态等。带激光笔功能。支持动态音量增益，可有效提高拾音距离, 支持无线麦克风远程控制中控系统, 具有自动休眠功能, 无信号输入时，具有自动静音功能, 传输范围：不小于20米，数据速率：不小于2M，无线话筒发射器可调节音量，具有外接音频输入功能；任何一只无线话筒发射机都可以在任意一台音箱上使用，且互不干扰，真正做到一师一麦，干净卫生环保。</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终端管理平台</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1.教学资源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校务管理平台具有丰富的各种版本的教学资源， 包括小学、初中和高中的教材、课本、习题、素材及相关资源， 总资源大小可做到120G-300G。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2.校园网站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一键开启学校网站，无须通过浏览器输入地址，学生和教师更便捷、快速的了解学校的最新动态、新闻和其他信息。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3.微录播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微录播-提供两路IP摄像机，一路老师摄像机，录制老师的讲课课程和板书过程，一路学生摄像机，录制学生的听课过程；同时录制视频和音频并保存到本地硬盘。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4.一键开启白板软件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一键开启白板软件，无须退回系统桌面“众里寻他”。便于教学过程中教师查找和使用白板软件。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5.图像输入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一键开启展台软件，无须退回系统桌面“众里寻他”。便于教学过程中教师查找和使用展台软件。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6.影音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教学过程中，一键播放视频媒体文件，丰富教学内容和教学形式。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7.课程表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通过校务平台，一键查看本班的课程表，随时随地的方便学生掌握全部的课程信息。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8.报修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终端设备通过平台一键申报故障，输入故障现象及联系人和联系电话直接报修。系统则自动将多媒体教学一体机及投影机的信息上报给校务管理端，并且发送给供应商的售后服务部门，减轻学校繁琐的维护工作，实时的让供应商了解设备使用状况，以便提供更及时周全的售后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9.监测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平台可自动监测终端多媒体一体机和投影机等教学设备的信息（品牌、型号、配置等）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10.桌面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一键快捷返回电脑桌面，实现与Windows系统桌面自由切换。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11.U盘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一键快捷打开U盘，免去教师在教学过程中繁琐的查找文件夹的工作，提高上课效率。</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手机互动模块（选配）</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手机通过扫描终端管理平台的二维码下载APP软件并安装，分为Andriod和iPhone两个版本。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1.班级绑定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通过扫描终端管理平台的二维码进行班级绑定，如果已经绑定过的班级可以直接通过列表选择，不需要重新扫描二维码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2.传送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可以将手机的图片、语音录音和视频传输到绑定班级的终端电脑上。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3.网络管控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APP具有控制绑定班级的终端设备（包括中控、电脑、投影机）的开关；调节音量大小、静音；控制投影机的信号切换，实现VGA、PC和HDMI的信号通道切换</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组合式推拉黑板</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1.结构：内外双层结构，内层为两块固定书写板与一体机（电子白板）正面平齐，外层为两块滑动书写板。2.基本尺寸：≥4000mm×1300mm，可根据所配一体机适当调整，确保与一体机（电子白板）的有效配套。 3书写板面：采用优质烤漆钢板，厚度≥0.3mm。板面为亚光墨绿色，漆膜硬度为6H，粗糙度为Ra1.6-3.2um。4.内芯材料：选用高强度、吸音、防潮、阻燃聚苯乙烯板，厚度≥13mm。5.背板：选用优质防锈亚光彩涂钢板，每隔8公分设有2公分加强凹槽。6.覆板：采用环保型双组份聚氨酯胶水，自动化流水线覆板作业，确保粘接牢固板面平整，甲醛释放量≤0.2mg/L，符合GB/T 28231-2011《书写板安全卫生要求》。7.边框：横框尺寸≥78×57mm，竖框尺寸≥29mm×78mm，边框经氧化、喷砂涂层处理，无明显眩光；横(立)框采用双层加强结构。8.滑轮：采用上吊轮双滑道、下平轮单滑动结构，滑动顺畅、噪音小；书写时定位精确不晃动、滑动板前后晃动小于0.5mm。9.粉尘槽：配备宽度≥30mm一体化粉尘槽，防止粉尘垂直落地；粉尘槽与下边框一体化设计，清扫时无粉尘死角；为了防止粉笔等工具掉落，有与粉尘槽一体的粉尘清理工具，不用时，可代替粉尘孔塞，堵住粉尘孔。10.包角材料：采用抗老化高强度ABS工程塑料注塑成型，双壁成 腔流线型设计，圆角≥R25mm，并带有注册商标。11.限位档：黑板边框内部两侧安装滑动板限位档，防止活动黑板开启时撞击立框。12.符合GB/T 28231-2011《书写板安全卫生要求》和GB 21027-2007《学生用品的安全通用要求》等国家标准，承诺供货时提供市级以上技术监督局出具的检验报告；13.承诺供货时提供以下资料：黑板生产企业通过ISO9001：2008质量管理体系认证、ISO14001：2004环境管理体系认证、GB/T 28001-2011职业健康安全管理体系认证；推拉教学板产品生产企业通过知识产权管理体系认证；投标产品通过中国环境标志产品认证；推拉教学板产品生产企业需提供中国教育装备行业协会AAA级信用等级证书；投标产品为中国教育装备行业协会推荐产品。  </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系统集成</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辅材，安装、调试、运输、系统集成</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学生桌椅</w:t>
            </w:r>
          </w:p>
        </w:tc>
        <w:tc>
          <w:tcPr>
            <w:tcW w:w="5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lang w:val="en-US" w:eastAsia="zh-CN"/>
              </w:rPr>
            </w:pPr>
            <w:r>
              <w:rPr>
                <w:rFonts w:hint="eastAsia"/>
                <w:lang w:val="en-US" w:eastAsia="zh-CN"/>
              </w:rPr>
              <w:t xml:space="preserve">桌面尺寸：650mm×450mm×25mm。采用 ABS耐冲击塑料一级新料一体射出成型。耐冲击强度：须能承受5磅榔头重力锤击不得破裂。不得采用回收料生产。靠胸前处有一內弧造型设计，桌面正前方设有笔槽，左右各设一杯座。前边沿带文具槽、茶杯槽，桌面左右两侧增高6mm注塑条以防笔具滑落，四周及底部完全不得有毛边，得需倒圆角，不刮手。表面得需有细纹咬花，不得有反光现象。组合设计：面板底部有強化承重之设计。镶入两根方型钢管，并与面板底部平齐。尺寸规格为15mm±1mm×30mm±1mm×1.0mm。由螺丝锁付于面板底部。 </w:t>
            </w:r>
            <w:r>
              <w:rPr>
                <w:rFonts w:hint="eastAsia"/>
                <w:lang w:val="en-US" w:eastAsia="zh-CN"/>
              </w:rPr>
              <w:br w:type="textWrapping"/>
            </w:r>
            <w:r>
              <w:rPr>
                <w:rFonts w:hint="eastAsia"/>
                <w:lang w:val="en-US" w:eastAsia="zh-CN"/>
              </w:rPr>
              <w:t xml:space="preserve">2、桌斗：尺寸450 * 300*130mm，由厚度为不小于0.8mm冷轧钢板一次冲压成型。 （书斗两侧为可观内网状透气孔），书斗前沿备加强筋且无锐角。桌子两侧配有金属挂钩，垂直静承载力不小于500N。 </w:t>
            </w:r>
            <w:r>
              <w:rPr>
                <w:rFonts w:hint="eastAsia"/>
                <w:lang w:val="en-US" w:eastAsia="zh-CN"/>
              </w:rPr>
              <w:br w:type="textWrapping"/>
            </w:r>
            <w:r>
              <w:rPr>
                <w:rFonts w:hint="eastAsia"/>
                <w:lang w:val="en-US" w:eastAsia="zh-CN"/>
              </w:rPr>
              <w:t xml:space="preserve">3、桌体钢架： </w:t>
            </w:r>
            <w:r>
              <w:rPr>
                <w:rFonts w:hint="eastAsia"/>
                <w:lang w:val="en-US" w:eastAsia="zh-CN"/>
              </w:rPr>
              <w:br w:type="textWrapping"/>
            </w:r>
            <w:r>
              <w:rPr>
                <w:rFonts w:hint="eastAsia"/>
                <w:lang w:val="en-US" w:eastAsia="zh-CN"/>
              </w:rPr>
              <w:t>材质及形状：橢圆型钢管；桌脚贴地部钢管尺寸为： 30×60×1.2mm；桌脚上部固定立管钢管尺寸为：30×60×1.2mm；升降套管20*49*1.2mm。表面用环保塑粉涂装：钢管架焊接完成后，采用优质烤塑粉，经高温粉体烤塑，耐刮耐磨，长时间使用也不会产生表面塑粉剥落现象；升降功能使用螺丝式套管升降，调出所需的高度。</w:t>
            </w:r>
            <w:r>
              <w:rPr>
                <w:rFonts w:hint="eastAsia"/>
                <w:lang w:val="en-US" w:eastAsia="zh-CN"/>
              </w:rPr>
              <w:br w:type="textWrapping"/>
            </w:r>
            <w:r>
              <w:rPr>
                <w:rFonts w:hint="eastAsia"/>
                <w:lang w:val="en-US" w:eastAsia="zh-CN"/>
              </w:rPr>
              <w:t xml:space="preserve">课桌椅 深380×宽410mm </w:t>
            </w:r>
            <w:r>
              <w:rPr>
                <w:rFonts w:hint="eastAsia"/>
                <w:lang w:val="en-US" w:eastAsia="zh-CN"/>
              </w:rPr>
              <w:br w:type="textWrapping"/>
            </w:r>
            <w:r>
              <w:rPr>
                <w:rFonts w:hint="eastAsia"/>
                <w:lang w:val="en-US" w:eastAsia="zh-CN"/>
              </w:rPr>
              <w:t xml:space="preserve">4、椅子座垫，座垫410*380㎜,靠背430*350㎜。靠背均采用一级工程塑料PP，通过改性良化后一次性注塑成型，耐冲击，耐抗压，耐磨，达到环保要求，靠背设计有完成的曲线弧度，使其免于侧弯。 </w:t>
            </w:r>
            <w:r>
              <w:rPr>
                <w:rFonts w:hint="eastAsia"/>
                <w:lang w:val="en-US" w:eastAsia="zh-CN"/>
              </w:rPr>
              <w:br w:type="textWrapping"/>
            </w:r>
            <w:r>
              <w:rPr>
                <w:rFonts w:hint="eastAsia"/>
                <w:lang w:val="en-US" w:eastAsia="zh-CN"/>
              </w:rPr>
              <w:t>5、椅腿和椅脚采用椭圆钢管并使用拉杆套管式升降，椅脚贴地部钢管尺寸为： 30×60×1.2mm±0.1mm；立柱外钢管尺寸为30mm×60mm×1.2mm, 内钢管20mmx×49mm×1.2mm，，靠背用20×40×1.2mm椭圆管打弯，椅脚四端配置高强度增强尼龙外套，并具有倒钩技术功能，以防脱落。椅腿与椅脚成直角焊接，牢固可靠。两椅腿间设有横档，横档采用椭圆钢管，尺寸为20mm×49mm×1.2mm。表面用环保塑粉涂装：钢管架焊接完成后，采用优质烤塑粉，经高温粉体烤塑，耐刮耐磨，长时间使用也不会产生表面塑粉剥落现象；功能：升降功能使用螺丝式套管升降，调出所需的高度。</w:t>
            </w:r>
          </w:p>
          <w:p>
            <w:pPr>
              <w:pStyle w:val="2"/>
              <w:rPr>
                <w:rFonts w:hint="eastAsia"/>
                <w:lang w:val="en-US" w:eastAsia="zh-CN"/>
              </w:rPr>
            </w:pPr>
          </w:p>
          <w:p>
            <w:pPr>
              <w:pStyle w:val="2"/>
              <w:ind w:left="0" w:leftChars="0" w:firstLine="0" w:firstLineChars="0"/>
              <w:rPr>
                <w:rFonts w:hint="eastAsia"/>
                <w:lang w:val="en-US" w:eastAsia="zh-CN"/>
              </w:rPr>
            </w:pPr>
            <w:r>
              <w:rPr>
                <w:rFonts w:hint="eastAsia"/>
                <w:lang w:val="en-US" w:eastAsia="zh-CN"/>
              </w:rPr>
              <w:t>参考图片：</w:t>
            </w:r>
          </w:p>
          <w:p>
            <w:pPr>
              <w:pStyle w:val="2"/>
              <w:numPr>
                <w:ilvl w:val="0"/>
                <w:numId w:val="0"/>
              </w:numPr>
              <w:rPr>
                <w:rFonts w:hint="eastAsia" w:eastAsiaTheme="minorEastAsia"/>
                <w:lang w:eastAsia="zh-CN"/>
              </w:rPr>
            </w:pPr>
            <w:r>
              <w:rPr>
                <w:rFonts w:hint="eastAsia" w:eastAsiaTheme="minorEastAsia"/>
                <w:lang w:eastAsia="zh-CN"/>
              </w:rPr>
              <w:drawing>
                <wp:inline distT="0" distB="0" distL="114300" distR="114300">
                  <wp:extent cx="3510280" cy="1523365"/>
                  <wp:effectExtent l="0" t="0" r="13970" b="635"/>
                  <wp:docPr id="4" name="图片 4" descr="2E061AD72990CCE1CBF47D71AB87F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061AD72990CCE1CBF47D71AB87F734"/>
                          <pic:cNvPicPr>
                            <a:picLocks noChangeAspect="1"/>
                          </pic:cNvPicPr>
                        </pic:nvPicPr>
                        <pic:blipFill>
                          <a:blip r:embed="rId9"/>
                          <a:stretch>
                            <a:fillRect/>
                          </a:stretch>
                        </pic:blipFill>
                        <pic:spPr>
                          <a:xfrm>
                            <a:off x="0" y="0"/>
                            <a:ext cx="3510280" cy="1523365"/>
                          </a:xfrm>
                          <a:prstGeom prst="rect">
                            <a:avLst/>
                          </a:prstGeom>
                        </pic:spPr>
                      </pic:pic>
                    </a:graphicData>
                  </a:graphic>
                </wp:inline>
              </w:drawing>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bl>
    <w:p>
      <w:pPr>
        <w:keepNext w:val="0"/>
        <w:keepLines w:val="0"/>
        <w:widowControl/>
        <w:suppressLineNumbers w:val="0"/>
        <w:jc w:val="center"/>
        <w:textAlignment w:val="center"/>
        <w:rPr>
          <w:rFonts w:hint="eastAsia" w:hAnsi="宋体"/>
          <w:b/>
          <w:color w:val="000000"/>
          <w:sz w:val="24"/>
          <w:szCs w:val="24"/>
          <w:lang w:eastAsia="zh-CN"/>
        </w:rPr>
      </w:pPr>
      <w:r>
        <w:rPr>
          <w:rFonts w:hint="eastAsia" w:hAnsi="宋体"/>
          <w:b/>
          <w:color w:val="000000"/>
          <w:sz w:val="24"/>
          <w:szCs w:val="24"/>
          <w:lang w:eastAsia="zh-CN"/>
        </w:rPr>
        <w:br w:type="page"/>
      </w:r>
    </w:p>
    <w:p>
      <w:pPr>
        <w:pStyle w:val="2"/>
        <w:ind w:left="0" w:leftChars="0" w:firstLine="0" w:firstLineChars="0"/>
        <w:rPr>
          <w:rFonts w:hint="eastAsia" w:hAnsi="宋体" w:asciiTheme="minorHAnsi" w:eastAsiaTheme="minorEastAsia" w:cstheme="minorBidi"/>
          <w:b/>
          <w:color w:val="000000"/>
          <w:kern w:val="2"/>
          <w:sz w:val="24"/>
          <w:szCs w:val="24"/>
          <w:lang w:val="en-US" w:eastAsia="zh-CN" w:bidi="ar-SA"/>
        </w:rPr>
      </w:pPr>
      <w:r>
        <w:rPr>
          <w:rFonts w:hint="eastAsia" w:hAnsi="宋体" w:cstheme="minorBidi"/>
          <w:b/>
          <w:color w:val="000000"/>
          <w:kern w:val="2"/>
          <w:sz w:val="24"/>
          <w:szCs w:val="24"/>
          <w:lang w:val="en-US" w:eastAsia="zh-CN" w:bidi="ar-SA"/>
        </w:rPr>
        <w:t>2、</w:t>
      </w:r>
      <w:r>
        <w:rPr>
          <w:rFonts w:hint="eastAsia" w:hAnsi="宋体" w:asciiTheme="minorHAnsi" w:eastAsiaTheme="minorEastAsia" w:cstheme="minorBidi"/>
          <w:b/>
          <w:color w:val="000000"/>
          <w:kern w:val="2"/>
          <w:sz w:val="24"/>
          <w:szCs w:val="24"/>
          <w:lang w:val="en-US" w:eastAsia="zh-CN" w:bidi="ar-SA"/>
        </w:rPr>
        <w:t>数字广播系统（已配备了20间室内外设备，还剩46间教室（含功能教室14间、食堂上下层）及室外）</w:t>
      </w:r>
    </w:p>
    <w:tbl>
      <w:tblPr>
        <w:tblStyle w:val="21"/>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0"/>
        <w:gridCol w:w="457"/>
        <w:gridCol w:w="600"/>
        <w:gridCol w:w="443"/>
        <w:gridCol w:w="3855"/>
        <w:gridCol w:w="990"/>
        <w:gridCol w:w="694"/>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设备或材料名称</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技术参数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一、前端设备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0"/>
                <w:szCs w:val="20"/>
                <w:u w:val="none"/>
              </w:rPr>
            </w:pP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0"/>
                <w:szCs w:val="20"/>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教学楼设备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IP网络音箱</w:t>
            </w:r>
          </w:p>
        </w:tc>
        <w:tc>
          <w:tcPr>
            <w:tcW w:w="528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1.设备壁挂式设计，设备采用嵌入式计算机技术和DSP音频处理技术设计,内置1路网络硬件音频解码模块,具有1路RJ45网络接口，100Mbps传输速率。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2.支持1路音频线路输入接口，具有独立的音量调节功能。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3.设备集成有数字功放，功率2×20W，具有1个主音箱和1个副音箱。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4.支持通过后台软件对终端进行远程固件升级。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5.内置2级优先级功能设计：(1)AUX与网路背景音乐信号同级，混音输出。(2)网络报警信号优先AUX与网络背景音乐信号。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IP网络终端功放</w:t>
            </w:r>
          </w:p>
        </w:tc>
        <w:tc>
          <w:tcPr>
            <w:tcW w:w="528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产品介绍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安装在各个广播管理区域的弱电间或分控机房，内置高保真功率放大器，用于大厅、走廊、室外等区域的节目播放和本地广播。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1.标准19英寸机架设计，黑色氧化铝拉丝面板，坚固的抽手，专业的机械组装工艺，机器外观非常高档。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2.工业级3.4英寸LCD显示屏，可以清晰显示大多数点阵图案和机器工作状态；配备红外遥控器，点播服务器节目库任意内容，可控制播放/暂停，操作灵活简单。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3.设备采用嵌入式计算机技术和DSP音频处理技术设计。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4.内置1路网络硬件音频解码模块，支持TCP/IP、UDP，实现网络化传输16位CD音质的音频信号。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5.内置高保真专业模拟功放，具有350W定阻(4-16Ω)及定压（70V、100V）功率输出。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6.1路线路（AUX）和1路话筒（MIC）输入接口，具有独立的音量和高低音调节电位器控制，支持断网本地寻呼功能。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7.1路EMC输入接口，输入紧急报警语音信号为直通，具有最高优先级。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8.2路音频信号辅助输出接口，可扩展外接功率放大器，标准的莲花座接口，布线连接非常方便。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9.1路三线制音控强切输出接口，无需强切电源。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10.内置智能电源管理，无音乐或呼叫时，自动切断功放电源，有信号时自动打开功放电源，支持IP软件编程预打开功放电源功能。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11.内置3级优先设置：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EMC为最高优先。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网络报警信号优先MIC,AUX和网络背景音乐信号。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MIC优先AUX和网络背景音乐信号。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AUX和网络背景音乐为同级，无任何优先。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12.支持缄默强度预置减少功能，支持背景伴奏预置功能；支持状态灯显示，包括电平指示灯、保护指示灯、待机指示灯等。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13.兼容路由器、交换机、网桥网关、Modem、Internet、2G、3G、4G等任意网络结构。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14.数字化产品，扩容方便，不受地理位置限制，无需增加机房管理设备，采用共网免线路施工的设计理念，安装简便。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15.支持广播系统对终端进行远程固件升级，无需到终端本地升级，减轻维护人员工作强度。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16.具有USB播放功能，接入U盘。可遥控播放任意一首歌曲和播放上一曲、下一曲、暂停、停止等功能（或选择面板按键操作）。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技术参数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1.网络接口：标准RJ45输入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2.传输速率：100Mbps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3.支持协议：TCP/IP，UDP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4.音频格式：MP3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5.音频模式：16位CD音质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6.采样率：8KHz～48KHz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7.EMC输入灵敏度：775mV  (非平衡）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8.AUX输入灵敏度：350mV  (非平衡）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9.MIC输入灵敏度：5mV   (非平衡）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10.AUX输出幅度：1000mV  2路莲花座输出接口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11.AUX输出阻抗：470Ω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12.高音提升、衰减：±10dB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13.低音提升、衰减：±10dB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14.USB接口：最大支持16G内存U盘接入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15.额定功率：350W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16.整机功耗：540W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17.待机功耗：＜10W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18.频率响应：80Hz～16KHz   +1/-3dB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19.谐波失真：≤1%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20.信噪比：＞65dB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21.输出方式：4～16Ω定阻输出、70V/100V定压输出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22.保护电路：直流输出、过载、过温、短路保护电路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23.工作环境温度：5℃～40℃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24.工作环境湿度：20%～80%相对湿度，无结露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25.输入电源：~220V 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26.尺寸：484 x 359 x 132mm（参考）</w:t>
            </w:r>
            <w:r>
              <w:rPr>
                <w:rFonts w:hint="eastAsia" w:ascii="宋体" w:hAnsi="宋体" w:eastAsia="宋体" w:cs="宋体"/>
                <w:i w:val="0"/>
                <w:color w:val="000000"/>
                <w:kern w:val="0"/>
                <w:sz w:val="20"/>
                <w:szCs w:val="20"/>
                <w:u w:val="none"/>
                <w:lang w:val="en-US" w:eastAsia="zh-CN" w:bidi="ar"/>
              </w:rPr>
              <w:br w:type="textWrapping"/>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18"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IP网络终端功放</w:t>
            </w:r>
          </w:p>
        </w:tc>
        <w:tc>
          <w:tcPr>
            <w:tcW w:w="528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产品介绍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安装在各个广播管理区域的弱电间或分控机房，内置高保真功率放大器，用于大厅、走廊、室外等区域的节目播放和本地广播。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1.标准19英寸机架设计，黑色氧化铝拉丝面板，坚固的抽手，专业的机械组装工艺，机器外观非常高档。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2.工业级3.4英寸LCD显示屏，可以清晰显示大多数点阵图案和机器工作状态；配备红外遥控器，点播服务器节目库任意内容，可控制播放/暂停，操作灵活简单。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3.设备采用嵌入式计算机技术和DSP音频处理技术设计。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4.内置1路网络硬件音频解码模块，支持TCP/IP、UDP，实现网络化传输16位CD音质的音频信号。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5.内置高保真专业模拟功放，具有240W定阻(4-16Ω)及定压（70V、100V）功率输出。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6.1路线路（AUX）和1路话筒（MIC）输入接口，具有独立的音量和高低音调节电位器控制，支持断网本地寻呼功能。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7.1路EMC输入接口，输入紧急报警语音信号为直通，具有最高优先级。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8.2路音频信号辅助输出接口，可扩展外接功率放大器，标准的莲花座接口，布线连接非常方便。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9.1路三线制音控强切输出接口，无需强切电源。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10.内置智能电源管理，无音乐或呼叫时，自动切断功放电源，有信号时自动打开功放电源，支持IP软件编程预打开功放电源功能。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11.内置3级优先设置：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EMC为最高优先。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网络报警信号优先MIC,AUX和网络背景音乐信号。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MIC优先AUX和网络背景音乐信号。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AUX和网络背景音乐为同级，无任何优先。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12.支持缄默强度预置减少功能，支持背景伴奏预置功能；支持状态灯显示，包括电平指示灯、保护指示灯、待机指示灯等。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13.兼容路由器、交换机、网桥网关、Modem、Internet、2G、3G、4G等任意网络结构。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14.数字化产品，扩容方便，不受地理位置限制，无需增加机房管理设备，采用共网免线路施工的设计理念，安装简便。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15.支持广播系统对终端进行远程固件升级，无需到终端本地升级，减轻维护人员工作强度。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16.具有USB播放功能，接入U盘。可遥控播放任意一首歌曲和播放上一曲、下一曲、暂停、停止等功能（或选择面板按键操作）。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技术参数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1.网络接口：标准RJ45输入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2.传输速率：100Mbps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3.支持协议：TCP/IP，UDP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4.音频格式：MP3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5.音频模式：16位CD音质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6.采样率：8KHz～48KHz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7.EMC输入灵敏度：775mV  (非平衡）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8.AUX输入灵敏度：350mV  (非平衡）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9.MIC输入灵敏度：5mV   (非平衡）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10.AUX输出幅度：1000mV  2路莲花座输出接口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11.AUX输出阻抗：470Ω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12.高音提升、衰减：±10dB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13.低音提升、衰减：±10dB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14.USB接口：最大支持16G内存U盘接入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15.额定功率：240W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16.整机功耗：370W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17.待机功耗：＜10W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18.频率响应：80Hz～16KHz   +1/-3dB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19.谐波失真：≤1%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20.信噪比：＞65dB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21.输出方式：4～16Ω定阻输出、70V/100V定压输出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22.保护电路：直流输出、过载、过温、短路保护电路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23.工作环境温度：5℃～40℃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24.工作环境湿度：20%～80%相对湿度，无结露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25.输入电源：~220V 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26.尺寸：484 x 359 x 132mm（参考）</w:t>
            </w:r>
            <w:r>
              <w:rPr>
                <w:rFonts w:hint="eastAsia" w:ascii="宋体" w:hAnsi="宋体" w:eastAsia="宋体" w:cs="宋体"/>
                <w:i w:val="0"/>
                <w:color w:val="000000"/>
                <w:kern w:val="0"/>
                <w:sz w:val="20"/>
                <w:szCs w:val="20"/>
                <w:u w:val="none"/>
                <w:lang w:val="en-US" w:eastAsia="zh-CN" w:bidi="ar"/>
              </w:rPr>
              <w:br w:type="textWrapping"/>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壁挂音箱</w:t>
            </w:r>
          </w:p>
        </w:tc>
        <w:tc>
          <w:tcPr>
            <w:tcW w:w="528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1．额定功率（100V）：3W,6W,10W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2．额定功率（70V）：1.5W,3W,5W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3．灵敏度≥88dB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4．频率响应：130-18KHz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5．喇叭单元：6.5"×1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6．防护等级：IP×5防尘</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食堂设备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5288" w:type="dxa"/>
            <w:gridSpan w:val="3"/>
            <w:shd w:val="clear" w:color="auto" w:fill="auto"/>
            <w:vAlign w:val="center"/>
          </w:tcPr>
          <w:p>
            <w:pPr>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7"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IP网络终端功放</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1.设备采用标准19英寸机架设计，带有≥3.4英寸LCD显示屏，支持红外遥控器点播服务器节目库任意内容，可控制播放/暂停。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2.内置1路网络硬件音频解码模块，具有1路RJ45网络接口，100Mbps传输速率。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3.支持1路线路输入和1路话筒输入接口，可独立调节音量；具有1路EMC输入接口，具有最高优先级；支高低音调节电位器控制；具有2路音频输出接口。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4.具有1路三线制强切输出接口，无需强切电源。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5.集成模拟功放，功率≥350W；支持定阻(4-16Ω)或定压（70V、100V）方式输出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6.支持通过后台软件对终端进行远程固件升级。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7.频率响应范围80Hz～16KHz，谐波失真≤1%，信噪比＞65dB。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8.支持状态灯显示，包括电平指示灯、保护指示灯、待机指示灯等。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音柱</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1．额定功率（100V）：12.5W,25W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2．额定功率（70V）：6.2W,12.5W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3．灵敏度≥88dB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4．频率响应：50-18KHz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5．喇叭单元：4"×2,2.5"×1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6．防护等级：IP66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教室楼外设备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音柱</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1．额定功率（100V）：22.5W,45W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2．额定功率（70V）：11.2W,22.5W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3．灵敏度≥88dB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4．频率响应：50-18KHz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5．喇叭单元：4"×4,2.5"×1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6．防护等级：IP66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校园室外主干道设备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5"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IP终端</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1.设备采用标准19英寸机架设计，带有≥3.4英寸LCD显示屏。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2.具有1路RJ45网络接口，100Mbps传输速率，内置1路网络硬件音频解码模块，谐波失真≤0.3%。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3.支持≥1路线路输入和≥1路话筒输入接口，可独立调节音量；支高低音调节电位器控制，高音提升、衰减：±10dB，低音提升、衰减：±10dB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4.具有≥1路EMC输入接口，具有最高优先级；具有≥2路音频输出接口。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5.具有2路三线制强切输出接口，无需强切电源。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★6.支持2路电源输出插座，内置智能电源管理，无音乐或呼叫时，自动切断输出座电源，有信号时自动打开输出座电源。（承诺供货时提供设备有2路电源输出电源插座证明图，并盖生产厂商公章）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7.支持通过后台软件对终端进行远程固件升级。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8.频率响应范围80Hz～16KHz，信噪比＞65dB，谐波失真≤0.3%。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9.EMC输入灵敏度：775mV(非平衡）、 AUX输入灵敏度：350mV(非平衡）、MIC输入灵敏度：5mV(非平衡），AUX输出幅度：1000mV 、AUX输出阻抗：470Ω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1"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纯后级功放</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标准机柜式设计，额定输出功率：1000W；扬声器输出：70V, 100V &amp; 4～16Ω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2.1通道LINE不平衡TRS输入，1通道LINE不平衡TRS级联输出；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3.1通道LINE平衡XLR输入，1通道LINE平衡XLR级联输出；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4.面板带音量调节旋钮；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5.产品具有良好的短路、过载、过热等自我保护；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6.2种功率输出方式：定压输出100V、70V和定阻输出4～16Ω。</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承诺供货时提供以下资料：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▲需提供第三方检测结构出具的检验报告，并盖生产厂商公章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▲需提供中国国家强制性产品认证3C证书复印件（并附官网查询截图佐证），并盖生产厂商公章。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▲需提供产品CE国际出口认证证书复印件，并盖生产厂商公章。</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音柱</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1．额定功率(100V)：90W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2．额定功率(70V)：45W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3．灵敏度≥93dB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4．频率响应：110-15KHz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5．防护等级：IP66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6．喇叭单元：6.5"×3+3"×3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室外运动场设备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IP终端</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1.设备采用标准19英寸机架设计，带有≥3.4英寸LCD显示屏。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2.具有1路RJ45网络接口，100Mbps传输速率，内置1路网络硬件音频解码模块，谐波失真≤0.3%。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3.支持≥1路线路输入和≥1路话筒输入接口，可独立调节音量；支高低音调节电位器控制，高音提升、衰减：±10dB，低音提升、衰减：±10dB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4.具有≥1路EMC输入接口，具有最高优先级；具有≥2路音频输出接口。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5.具有2路三线制强切输出接口，无需强切电源。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★6.支持2路电源输出插座，内置智能电源管理，无音乐或呼叫时，自动切断输出座电源，有信号时自动打开输出座电源。（承诺供货时提供设备有2路电源输出电源插座证明图，并盖生产厂商公章）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7.支持通过后台软件对终端进行远程固件升级。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8.频率响应范围80Hz～16KHz，信噪比＞65dB，谐波失真≤0.3%。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9.EMC输入灵敏度：775mV(非平衡）、 AUX输入灵敏度：350mV(非平衡）、MIC输入灵敏度：5mV(非平衡），AUX输出幅度：1000mV 、AUX输出阻抗：470Ω</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8"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纯后级功放</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标准机柜式设计，额定输出功率：1000W；扬声器输出：70V, 100V &amp; 4～16Ω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2.1通道LINE不平衡TRS输入，1通道LINE不平衡TRS级联输出；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3.1通道LINE平衡XLR输入，1通道LINE平衡XLR级联输出；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4.面板带音量调节旋钮；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5.产品具有良好的短路、过载、过热等自我保护；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6.2种功率输出方式：定压输出100V、70V和定阻输出4～16Ω。</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承诺供货时提供以下资料：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▲需提供第三方检测结构出具的检验报告，并盖生产厂商公章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▲需提供中国国家强制性产品认证3C证书复印件（并附官网查询截图佐证），并盖生产厂商公章。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▲需提供产品CE国际出口认证证书复印件，并盖生产厂商公章。</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音柱</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1．额定功率(100V)：90W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2．额定功率(70V)：45W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3．灵敏度≥93dB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4．频率响应：110-15KHz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5．防护等级：IP66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6．喇叭单元：6.5"×3+3"×3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话筒天线</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1.宽频定向天线680-960MHz；适用于GSM,CDMA,WCDMA,WLAN,LTE网络；频带范围：680~960MHz，增益：11dB。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2.输入阻抗：50Ω，水平面波源宽度：60°、垂直面波源宽度： 50°，前后比： ＞18.驻波比： ＜1.5，模化形式： 垂直，最大功率可达50W。</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5"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IP音频采集器</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1.TDS系列采集设备支持将模拟音频采集编码成数字音频，具有1路RJ45网络接口，支持定时采播任务、临时采播任务功能。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2.具有≥2组RCA音频输入接口，支持音量调节功能。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★3.采播任务支持3种采集音质可选，支持普通、中级、高级音质选择模式。（承诺供货时提供设置3种采集音质界面图佐证，并盖生产厂商公章）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4.支持通过后台软件对终端进行远程固件升级。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5.频率响应范围80Hz～14KHz，信噪比&gt;65dB，谐波失真≤0.3%，支持MP3音频格式。</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音频连接线</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1.8米音频连接线：莲花（RCA）-莲花（RCA）</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音频连接线</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1.8米音频连接线：莲花（RCA）-6.35话筒插头</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音频连接线</w:t>
            </w:r>
          </w:p>
        </w:tc>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1.8米音频连接线：3.5（耳机插头）-双莲花（RCA）</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二、辅助材料</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0"/>
                <w:szCs w:val="20"/>
                <w:u w:val="none"/>
              </w:rPr>
            </w:pP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汇聚交换机</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16口千兆电口+2个千兆光口，背板带宽：48Gbps，包转发率：26.8Mpps。</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六类网线 非屏蔽 纯铜线芯 千兆网线 工程家装专用网线 灰色 100米</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喇叭线（室内）</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RVV2*1.5，200米/卷，黑色</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喇叭线（室外）</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RVV2*2.5，200米/卷，黑色</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其它辅助材料（绝缘胶布、排插等）</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Cambria" w:hAnsi="Cambria" w:eastAsia="Cambria" w:cs="Cambria"/>
                <w:i w:val="0"/>
                <w:color w:val="000000"/>
                <w:sz w:val="20"/>
                <w:szCs w:val="20"/>
                <w:u w:val="none"/>
              </w:rPr>
            </w:pPr>
            <w:r>
              <w:rPr>
                <w:rFonts w:hint="default" w:ascii="Cambria" w:hAnsi="Cambria" w:eastAsia="Cambria" w:cs="Cambria"/>
                <w:i w:val="0"/>
                <w:color w:val="000000"/>
                <w:kern w:val="0"/>
                <w:sz w:val="20"/>
                <w:szCs w:val="20"/>
                <w:u w:val="none"/>
                <w:lang w:val="en-US" w:eastAsia="zh-CN" w:bidi="ar"/>
              </w:rPr>
              <w:t xml:space="preserve">光纤接收器、室外音柱立杆、五孔插座、水晶头、交换机、PVC线槽管、电源线、壁挂机柜、绝缘胶布等等 </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安装调试</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mbria" w:hAnsi="Cambria" w:eastAsia="Cambria" w:cs="Cambria"/>
                <w:i w:val="0"/>
                <w:color w:val="000000"/>
                <w:sz w:val="20"/>
                <w:szCs w:val="20"/>
                <w:u w:val="none"/>
              </w:rPr>
            </w:pPr>
            <w:r>
              <w:rPr>
                <w:rFonts w:hint="default" w:ascii="Cambria" w:hAnsi="Cambria" w:eastAsia="Cambria" w:cs="Cambria"/>
                <w:i w:val="0"/>
                <w:color w:val="000000"/>
                <w:kern w:val="0"/>
                <w:sz w:val="20"/>
                <w:szCs w:val="20"/>
                <w:u w:val="none"/>
                <w:lang w:val="en-US" w:eastAsia="zh-CN" w:bidi="ar"/>
              </w:rPr>
              <w:t>设备安装调试</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bl>
    <w:p>
      <w:pPr>
        <w:pStyle w:val="2"/>
        <w:rPr>
          <w:rFonts w:hint="eastAsia"/>
          <w:lang w:eastAsia="zh-CN"/>
        </w:rPr>
      </w:pPr>
    </w:p>
    <w:p>
      <w:pPr>
        <w:pStyle w:val="2"/>
        <w:rPr>
          <w:rFonts w:hint="eastAsia"/>
          <w:lang w:eastAsia="zh-CN"/>
        </w:rPr>
      </w:pPr>
      <w:r>
        <w:rPr>
          <w:rFonts w:hint="eastAsia"/>
          <w:lang w:eastAsia="zh-CN"/>
        </w:rPr>
        <w:br w:type="page"/>
      </w:r>
    </w:p>
    <w:p>
      <w:pPr>
        <w:pStyle w:val="2"/>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spacing w:line="520" w:lineRule="exact"/>
        <w:textAlignment w:val="auto"/>
        <w:rPr>
          <w:rFonts w:hint="eastAsia" w:hAnsi="宋体"/>
          <w:b/>
          <w:color w:val="000000"/>
          <w:sz w:val="24"/>
          <w:szCs w:val="24"/>
          <w:lang w:val="en-US" w:eastAsia="zh-CN"/>
        </w:rPr>
      </w:pPr>
      <w:r>
        <w:rPr>
          <w:rFonts w:hint="eastAsia" w:hAnsi="宋体"/>
          <w:b/>
          <w:color w:val="000000"/>
          <w:sz w:val="24"/>
          <w:szCs w:val="24"/>
          <w:lang w:val="en-US" w:eastAsia="zh-CN"/>
        </w:rPr>
        <w:t>3、信息发布系统</w:t>
      </w:r>
    </w:p>
    <w:tbl>
      <w:tblPr>
        <w:tblStyle w:val="21"/>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1"/>
        <w:gridCol w:w="544"/>
        <w:gridCol w:w="678"/>
        <w:gridCol w:w="2843"/>
        <w:gridCol w:w="502"/>
        <w:gridCol w:w="501"/>
        <w:gridCol w:w="2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2" w:hRule="atLeast"/>
        </w:trPr>
        <w:tc>
          <w:tcPr>
            <w:tcW w:w="5489" w:type="dxa"/>
            <w:gridSpan w:val="6"/>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1.食堂大门单色屏P10</w:t>
            </w:r>
          </w:p>
        </w:tc>
        <w:tc>
          <w:tcPr>
            <w:tcW w:w="299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75"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屏体部分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户外P10单色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12.89m*1.05</w:t>
            </w:r>
          </w:p>
        </w:tc>
        <w:tc>
          <w:tcPr>
            <w:tcW w:w="284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最大功耗 342W/㎡ 使用环境  户外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最佳视距  ≥10m 盲点率 小于万分之三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亮度 3000-3500cd/㎡   屏体平均功耗 150-250W/㎡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屏幕水平视角 80±15度 屏幕垂直视角 45±10度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像数点间距 10mm 像素密度 10000Dots/㎡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分辩率 32x16=512 Dots 结构特点 灯驱合一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像素构成 1R 驱动方式 1/4恒压驱动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单元板功率 18W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尺寸（长宽 厚)（参考） 320*160*24.5（mm） 最大电流 3.6A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系统参数 换帧频率 &gt;60帧/秒 刷新频率 ≧80HZ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控制方式 计算机控制，逐点一一对应，视频同步，                实时显示 亮度调节 256级手动/自动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电源输入电压 AC220/100±15%V 视实际需要而定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电源输入频率 50/60 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电源电气规格 5V*30A 40A 60A 80A 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数据传输途径 超五类网线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数据传输距离 国标网线100m,多模光纤500m,单模光纤20km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工作湿度 ≤90%  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环境温度 -40℃—85℃度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储存温度 -40℃-85℃度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平均无故障时间 10000hours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使用寿命 100000hours</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13.53</w:t>
            </w:r>
          </w:p>
        </w:tc>
        <w:tc>
          <w:tcPr>
            <w:tcW w:w="299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参考图片：</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INCLUDEPICTURE \d "C:\\Users\\ADMINI~1\\AppData\\Local\\Temp\\ksohtml\\clip_image5132.png" \* MERGEFORMATINET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drawing>
                <wp:inline distT="0" distB="0" distL="114300" distR="114300">
                  <wp:extent cx="1810385" cy="1457960"/>
                  <wp:effectExtent l="0" t="0" r="18415" b="889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0"/>
                          <a:stretch>
                            <a:fillRect/>
                          </a:stretch>
                        </pic:blipFill>
                        <pic:spPr>
                          <a:xfrm>
                            <a:off x="0" y="0"/>
                            <a:ext cx="1810385" cy="1457960"/>
                          </a:xfrm>
                          <a:prstGeom prst="rect">
                            <a:avLst/>
                          </a:prstGeom>
                          <a:noFill/>
                          <a:ln w="9525">
                            <a:noFill/>
                          </a:ln>
                        </pic:spPr>
                      </pic:pic>
                    </a:graphicData>
                  </a:graphic>
                </wp:inline>
              </w:drawing>
            </w:r>
            <w:r>
              <w:rPr>
                <w:rFonts w:hint="eastAsia" w:ascii="宋体" w:hAnsi="宋体" w:eastAsia="宋体" w:cs="宋体"/>
                <w:i w:val="0"/>
                <w:color w:val="000000"/>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控制系统</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手机WIFI系统控制及U盘控制</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9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框架结构</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铝材及方管结构部分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m²</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13.53</w:t>
            </w:r>
          </w:p>
        </w:tc>
        <w:tc>
          <w:tcPr>
            <w:tcW w:w="299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显示屏安装，调试及售后1年</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91" w:type="dxa"/>
            <w:shd w:val="clear" w:color="auto" w:fill="auto"/>
            <w:vAlign w:val="center"/>
          </w:tcPr>
          <w:p>
            <w:pPr>
              <w:rPr>
                <w:rFonts w:hint="eastAsia" w:ascii="宋体" w:hAnsi="宋体" w:eastAsia="宋体" w:cs="宋体"/>
                <w:i w:val="0"/>
                <w:color w:val="000000"/>
                <w:sz w:val="22"/>
                <w:szCs w:val="22"/>
                <w:u w:val="none"/>
              </w:rPr>
            </w:pP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spacing w:line="520" w:lineRule="exact"/>
        <w:textAlignment w:val="auto"/>
        <w:rPr>
          <w:rFonts w:hint="eastAsia" w:hAnsi="宋体"/>
          <w:b/>
          <w:color w:val="000000"/>
          <w:sz w:val="24"/>
          <w:szCs w:val="24"/>
          <w:lang w:val="en-US" w:eastAsia="zh-CN"/>
        </w:rPr>
      </w:pPr>
      <w:r>
        <w:rPr>
          <w:rFonts w:hint="eastAsia" w:hAnsi="宋体"/>
          <w:b/>
          <w:color w:val="000000"/>
          <w:sz w:val="24"/>
          <w:szCs w:val="24"/>
          <w:lang w:val="en-US" w:eastAsia="zh-CN"/>
        </w:rPr>
        <w:br w:type="page"/>
      </w:r>
    </w:p>
    <w:p>
      <w:pPr>
        <w:keepNext w:val="0"/>
        <w:keepLines w:val="0"/>
        <w:pageBreakBefore w:val="0"/>
        <w:widowControl w:val="0"/>
        <w:kinsoku/>
        <w:wordWrap/>
        <w:overflowPunct/>
        <w:topLinePunct w:val="0"/>
        <w:autoSpaceDE/>
        <w:autoSpaceDN/>
        <w:bidi w:val="0"/>
        <w:spacing w:line="520" w:lineRule="exact"/>
        <w:textAlignment w:val="auto"/>
        <w:rPr>
          <w:rFonts w:hint="eastAsia" w:hAnsi="宋体"/>
          <w:b/>
          <w:color w:val="000000"/>
          <w:sz w:val="24"/>
          <w:szCs w:val="24"/>
          <w:lang w:eastAsia="zh-CN"/>
        </w:rPr>
      </w:pPr>
      <w:r>
        <w:rPr>
          <w:rFonts w:hint="eastAsia" w:hAnsi="宋体"/>
          <w:b/>
          <w:color w:val="000000"/>
          <w:sz w:val="24"/>
          <w:szCs w:val="24"/>
          <w:lang w:val="en-US" w:eastAsia="zh-CN"/>
        </w:rPr>
        <w:t>B包</w:t>
      </w:r>
      <w:r>
        <w:rPr>
          <w:rFonts w:hint="eastAsia" w:hAnsi="宋体"/>
          <w:b/>
          <w:color w:val="000000"/>
          <w:sz w:val="24"/>
          <w:szCs w:val="24"/>
          <w:lang w:eastAsia="zh-CN"/>
        </w:rPr>
        <w:t>食堂餐桌、食堂传菜机</w:t>
      </w:r>
    </w:p>
    <w:p>
      <w:pPr>
        <w:pStyle w:val="2"/>
        <w:ind w:left="0" w:leftChars="0" w:firstLine="0" w:firstLineChars="0"/>
        <w:rPr>
          <w:rFonts w:hint="eastAsia"/>
          <w:lang w:val="en-US" w:eastAsia="zh-CN"/>
        </w:rPr>
      </w:pPr>
      <w:r>
        <w:rPr>
          <w:rFonts w:hint="eastAsia" w:hAnsi="宋体" w:cstheme="minorBidi"/>
          <w:b/>
          <w:color w:val="000000"/>
          <w:kern w:val="2"/>
          <w:sz w:val="24"/>
          <w:szCs w:val="24"/>
          <w:lang w:val="en-US" w:eastAsia="zh-CN" w:bidi="ar-SA"/>
        </w:rPr>
        <w:t>1、</w:t>
      </w:r>
      <w:r>
        <w:rPr>
          <w:rFonts w:hint="eastAsia" w:hAnsi="宋体" w:asciiTheme="minorHAnsi" w:eastAsiaTheme="minorEastAsia" w:cstheme="minorBidi"/>
          <w:b/>
          <w:color w:val="000000"/>
          <w:kern w:val="2"/>
          <w:sz w:val="24"/>
          <w:szCs w:val="24"/>
          <w:lang w:val="en-US" w:eastAsia="zh-CN" w:bidi="ar-SA"/>
        </w:rPr>
        <w:t>餐桌</w:t>
      </w:r>
    </w:p>
    <w:tbl>
      <w:tblPr>
        <w:tblStyle w:val="21"/>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7"/>
        <w:gridCol w:w="761"/>
        <w:gridCol w:w="1173"/>
        <w:gridCol w:w="441"/>
        <w:gridCol w:w="576"/>
        <w:gridCol w:w="1793"/>
        <w:gridCol w:w="2606"/>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名称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规格 </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参数</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参考图片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2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四人餐桌</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1200*1650*740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304桌面 1200*600mm，圆凳面 280,均为磨砂不锈钢制作，面板厚1.2mm，支架为304不锈钢， 50mm，壁厚为1.5mm ，用试钢水验收材质</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INCLUDEPICTURE \d "C:\\Users\\ADMINI~1\\AppData\\Local\\Temp\\ksohtml\\clip_image7179.png" \* MERGEFORMATINET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drawing>
                <wp:inline distT="0" distB="0" distL="114300" distR="114300">
                  <wp:extent cx="1628775" cy="19621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1628775" cy="1962150"/>
                          </a:xfrm>
                          <a:prstGeom prst="rect">
                            <a:avLst/>
                          </a:prstGeom>
                          <a:noFill/>
                          <a:ln w="9525">
                            <a:noFill/>
                          </a:ln>
                        </pic:spPr>
                      </pic:pic>
                    </a:graphicData>
                  </a:graphic>
                </wp:inline>
              </w:drawing>
            </w:r>
            <w:r>
              <w:rPr>
                <w:rFonts w:hint="eastAsia" w:ascii="宋体" w:hAnsi="宋体" w:eastAsia="宋体" w:cs="宋体"/>
                <w:i w:val="0"/>
                <w:color w:val="000000"/>
                <w:kern w:val="0"/>
                <w:sz w:val="22"/>
                <w:szCs w:val="22"/>
                <w:u w:val="none"/>
                <w:lang w:val="en-US" w:eastAsia="zh-CN" w:bidi="ar"/>
              </w:rPr>
              <w:fldChar w:fldCharType="end"/>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pStyle w:val="2"/>
        <w:rPr>
          <w:rFonts w:hint="eastAsia"/>
          <w:lang w:val="en-US" w:eastAsia="zh-CN"/>
        </w:rPr>
      </w:pPr>
    </w:p>
    <w:p>
      <w:pPr>
        <w:pStyle w:val="2"/>
        <w:ind w:left="0" w:leftChars="0" w:firstLine="0" w:firstLineChars="0"/>
        <w:rPr>
          <w:rFonts w:hint="eastAsia"/>
          <w:lang w:val="en-US" w:eastAsia="zh-CN"/>
        </w:rPr>
      </w:pPr>
      <w:r>
        <w:rPr>
          <w:rFonts w:hint="eastAsia" w:hAnsi="宋体" w:cstheme="minorBidi"/>
          <w:b/>
          <w:color w:val="000000"/>
          <w:kern w:val="2"/>
          <w:sz w:val="24"/>
          <w:szCs w:val="24"/>
          <w:lang w:val="en-US" w:eastAsia="zh-CN" w:bidi="ar-SA"/>
        </w:rPr>
        <w:t>2、</w:t>
      </w:r>
      <w:r>
        <w:rPr>
          <w:rFonts w:hint="eastAsia" w:hAnsi="宋体" w:asciiTheme="minorHAnsi" w:eastAsiaTheme="minorEastAsia" w:cstheme="minorBidi"/>
          <w:b/>
          <w:color w:val="000000"/>
          <w:kern w:val="2"/>
          <w:sz w:val="24"/>
          <w:szCs w:val="24"/>
          <w:lang w:val="en-US" w:eastAsia="zh-CN" w:bidi="ar-SA"/>
        </w:rPr>
        <w:t>传菜机</w:t>
      </w:r>
    </w:p>
    <w:tbl>
      <w:tblPr>
        <w:tblStyle w:val="21"/>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7"/>
        <w:gridCol w:w="907"/>
        <w:gridCol w:w="645"/>
        <w:gridCol w:w="2150"/>
        <w:gridCol w:w="716"/>
        <w:gridCol w:w="734"/>
        <w:gridCol w:w="2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717" w:type="dxa"/>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907"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645"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2150"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尺寸</w:t>
            </w:r>
          </w:p>
        </w:tc>
        <w:tc>
          <w:tcPr>
            <w:tcW w:w="71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734"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2651"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717" w:type="dxa"/>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7"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传菜梯</w:t>
            </w:r>
          </w:p>
        </w:tc>
        <w:tc>
          <w:tcPr>
            <w:tcW w:w="645"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50"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lang w:val="en-US" w:eastAsia="zh-CN"/>
              </w:rPr>
              <w:t>1000*1000*1200</w:t>
            </w:r>
          </w:p>
          <w:p>
            <w:pPr>
              <w:pStyle w:val="2"/>
              <w:ind w:left="0" w:leftChars="0" w:firstLine="0" w:firstLineChars="0"/>
              <w:rPr>
                <w:rFonts w:hint="eastAsia"/>
              </w:rPr>
            </w:pPr>
            <w:r>
              <w:rPr>
                <w:rFonts w:hint="eastAsia" w:ascii="宋体" w:hAnsi="宋体" w:eastAsia="宋体" w:cs="宋体"/>
                <w:i w:val="0"/>
                <w:color w:val="000000"/>
                <w:kern w:val="0"/>
                <w:sz w:val="24"/>
                <w:szCs w:val="24"/>
                <w:u w:val="none"/>
                <w:lang w:val="en-US" w:eastAsia="zh-CN" w:bidi="ar"/>
              </w:rPr>
              <w:t>箱体为一级不锈钢1.5MM</w:t>
            </w:r>
          </w:p>
        </w:tc>
        <w:tc>
          <w:tcPr>
            <w:tcW w:w="71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4"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2651" w:type="dxa"/>
            <w:vMerge w:val="restart"/>
            <w:tcBorders>
              <w:top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drawing>
                <wp:inline distT="0" distB="0" distL="114300" distR="114300">
                  <wp:extent cx="1658620" cy="2214880"/>
                  <wp:effectExtent l="0" t="0" r="17780" b="13970"/>
                  <wp:docPr id="5" name="图片 5" descr="c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cj"/>
                          <pic:cNvPicPr>
                            <a:picLocks noChangeAspect="1"/>
                          </pic:cNvPicPr>
                        </pic:nvPicPr>
                        <pic:blipFill>
                          <a:blip r:embed="rId12"/>
                          <a:stretch>
                            <a:fillRect/>
                          </a:stretch>
                        </pic:blipFill>
                        <pic:spPr>
                          <a:xfrm>
                            <a:off x="0" y="0"/>
                            <a:ext cx="1658620" cy="221488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17" w:type="dxa"/>
            <w:vMerge w:val="restart"/>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7" w:type="dxa"/>
            <w:vMerge w:val="restart"/>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打孔附属工程</w:t>
            </w:r>
          </w:p>
        </w:tc>
        <w:tc>
          <w:tcPr>
            <w:tcW w:w="645" w:type="dxa"/>
            <w:vMerge w:val="restart"/>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挖坑1300*1200*-900</w:t>
            </w:r>
          </w:p>
        </w:tc>
        <w:tc>
          <w:tcPr>
            <w:tcW w:w="716" w:type="dxa"/>
            <w:vMerge w:val="restart"/>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4" w:type="dxa"/>
            <w:vMerge w:val="restart"/>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2651" w:type="dxa"/>
            <w:vMerge w:val="continue"/>
            <w:tcBorders>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717" w:type="dxa"/>
            <w:vMerge w:val="continue"/>
            <w:tcBorders>
              <w:top w:val="single" w:color="000000" w:sz="4" w:space="0"/>
              <w:left w:val="single" w:color="000000" w:sz="12"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07" w:type="dxa"/>
            <w:vMerge w:val="continue"/>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45" w:type="dxa"/>
            <w:vMerge w:val="continue"/>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0"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打浇筑板1250*1150*200</w:t>
            </w:r>
          </w:p>
        </w:tc>
        <w:tc>
          <w:tcPr>
            <w:tcW w:w="716" w:type="dxa"/>
            <w:vMerge w:val="continue"/>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34" w:type="dxa"/>
            <w:vMerge w:val="continue"/>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51" w:type="dxa"/>
            <w:vMerge w:val="continue"/>
            <w:tcBorders>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17" w:type="dxa"/>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7"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维保验收安装费</w:t>
            </w:r>
          </w:p>
        </w:tc>
        <w:tc>
          <w:tcPr>
            <w:tcW w:w="645" w:type="dxa"/>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承接传菜梯的月检，维护保养，报工、报检、备案</w:t>
            </w:r>
          </w:p>
        </w:tc>
        <w:tc>
          <w:tcPr>
            <w:tcW w:w="71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4"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2651" w:type="dxa"/>
            <w:vMerge w:val="continue"/>
            <w:tcBorders>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717" w:type="dxa"/>
            <w:tcBorders>
              <w:top w:val="single" w:color="000000" w:sz="4"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07"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柜体装修费</w:t>
            </w:r>
          </w:p>
        </w:tc>
        <w:tc>
          <w:tcPr>
            <w:tcW w:w="645" w:type="dxa"/>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铝塑板装修箱架及柜体</w:t>
            </w:r>
          </w:p>
        </w:tc>
        <w:tc>
          <w:tcPr>
            <w:tcW w:w="716"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34"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2651" w:type="dxa"/>
            <w:vMerge w:val="continue"/>
            <w:tcBorders>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pStyle w:val="2"/>
        <w:numPr>
          <w:ilvl w:val="0"/>
          <w:numId w:val="0"/>
        </w:numPr>
        <w:ind w:leftChars="0"/>
        <w:rPr>
          <w:rFonts w:hint="eastAsia" w:asciiTheme="majorEastAsia" w:hAnsiTheme="majorEastAsia" w:eastAsiaTheme="majorEastAsia" w:cstheme="majorEastAsia"/>
          <w:b/>
          <w:bCs/>
          <w:sz w:val="28"/>
          <w:szCs w:val="28"/>
          <w:lang w:val="en-US" w:eastAsia="zh-CN"/>
        </w:rPr>
      </w:pPr>
    </w:p>
    <w:p>
      <w:pPr>
        <w:pStyle w:val="2"/>
        <w:rPr>
          <w:rFonts w:hint="eastAsia" w:ascii="方正小标宋简体" w:hAnsi="方正小标宋简体" w:eastAsia="方正小标宋简体" w:cs="方正小标宋简体"/>
          <w:sz w:val="28"/>
          <w:szCs w:val="28"/>
          <w:lang w:val="en-US" w:eastAsia="zh-CN"/>
        </w:rPr>
      </w:pPr>
    </w:p>
    <w:p>
      <w:pPr>
        <w:rPr>
          <w:rFonts w:hint="eastAsia" w:asciiTheme="majorEastAsia" w:hAnsiTheme="majorEastAsia" w:eastAsiaTheme="majorEastAsia"/>
          <w:sz w:val="30"/>
          <w:szCs w:val="30"/>
          <w:u w:val="none"/>
          <w:lang w:val="en-US" w:eastAsia="zh-CN"/>
        </w:rPr>
      </w:pPr>
    </w:p>
    <w:p>
      <w:pPr>
        <w:rPr>
          <w:rFonts w:hint="eastAsia" w:eastAsiaTheme="minorEastAsia"/>
          <w:b/>
          <w:bCs/>
          <w:sz w:val="32"/>
          <w:szCs w:val="36"/>
          <w:lang w:eastAsia="zh-CN"/>
        </w:rPr>
      </w:pPr>
      <w:r>
        <w:rPr>
          <w:rFonts w:hint="eastAsia"/>
          <w:b/>
          <w:bCs/>
          <w:sz w:val="32"/>
          <w:szCs w:val="36"/>
          <w:lang w:eastAsia="zh-CN"/>
        </w:rPr>
        <w:t>二、其他要求</w:t>
      </w:r>
    </w:p>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为保证整个学校广播系统的稳定性，投标人</w:t>
      </w:r>
      <w:r>
        <w:rPr>
          <w:rFonts w:hint="eastAsia" w:ascii="宋体" w:hAnsi="宋体" w:eastAsia="宋体" w:cs="宋体"/>
          <w:b w:val="0"/>
          <w:bCs w:val="0"/>
          <w:color w:val="auto"/>
          <w:sz w:val="24"/>
          <w:szCs w:val="24"/>
        </w:rPr>
        <w:t>所投音箱设备需能与学校</w:t>
      </w:r>
      <w:r>
        <w:rPr>
          <w:rFonts w:hint="eastAsia" w:ascii="宋体" w:hAnsi="宋体" w:eastAsia="宋体" w:cs="宋体"/>
          <w:b w:val="0"/>
          <w:bCs w:val="0"/>
          <w:color w:val="auto"/>
          <w:sz w:val="24"/>
          <w:szCs w:val="24"/>
          <w:lang w:eastAsia="zh-CN"/>
        </w:rPr>
        <w:t>现有</w:t>
      </w:r>
      <w:r>
        <w:rPr>
          <w:rFonts w:hint="eastAsia" w:ascii="宋体" w:hAnsi="宋体" w:eastAsia="宋体" w:cs="宋体"/>
          <w:b w:val="0"/>
          <w:bCs w:val="0"/>
          <w:color w:val="auto"/>
          <w:sz w:val="24"/>
          <w:szCs w:val="24"/>
        </w:rPr>
        <w:t>的广播主机无缝对接</w:t>
      </w:r>
      <w:r>
        <w:rPr>
          <w:rFonts w:hint="eastAsia" w:ascii="宋体" w:hAnsi="宋体" w:eastAsia="宋体" w:cs="宋体"/>
          <w:b w:val="0"/>
          <w:bCs w:val="0"/>
          <w:color w:val="auto"/>
          <w:sz w:val="24"/>
          <w:szCs w:val="24"/>
          <w:lang w:eastAsia="zh-CN"/>
        </w:rPr>
        <w:t>，并提供所投产品生产厂商能无缝对接的承诺函原件</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（欢迎各投标人踏勘）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color w:val="auto"/>
          <w:lang w:val="en-US" w:eastAsia="zh-CN"/>
        </w:rPr>
        <w:t xml:space="preserve"> 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为保证</w:t>
      </w:r>
      <w:r>
        <w:rPr>
          <w:rFonts w:hint="eastAsia" w:ascii="宋体" w:hAnsi="宋体" w:eastAsia="宋体" w:cs="宋体"/>
          <w:b w:val="0"/>
          <w:bCs w:val="0"/>
          <w:color w:val="auto"/>
          <w:sz w:val="24"/>
          <w:szCs w:val="24"/>
          <w:lang w:eastAsia="zh-CN"/>
        </w:rPr>
        <w:t>所投激光超短焦投影机产品的</w:t>
      </w:r>
      <w:r>
        <w:rPr>
          <w:rFonts w:hint="eastAsia" w:ascii="宋体" w:hAnsi="宋体" w:eastAsia="宋体" w:cs="宋体"/>
          <w:b w:val="0"/>
          <w:bCs w:val="0"/>
          <w:color w:val="auto"/>
          <w:sz w:val="24"/>
          <w:szCs w:val="24"/>
        </w:rPr>
        <w:t>产品质量及光源寿命</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需提供</w:t>
      </w:r>
      <w:r>
        <w:rPr>
          <w:rFonts w:hint="eastAsia" w:ascii="宋体" w:hAnsi="宋体" w:eastAsia="宋体" w:cs="宋体"/>
          <w:b w:val="0"/>
          <w:bCs w:val="0"/>
          <w:color w:val="auto"/>
          <w:sz w:val="24"/>
          <w:szCs w:val="24"/>
          <w:lang w:eastAsia="zh-CN"/>
        </w:rPr>
        <w:t>所投投影机厂家</w:t>
      </w:r>
      <w:r>
        <w:rPr>
          <w:rFonts w:hint="eastAsia" w:ascii="宋体" w:hAnsi="宋体" w:eastAsia="宋体" w:cs="宋体"/>
          <w:b w:val="0"/>
          <w:bCs w:val="0"/>
          <w:color w:val="auto"/>
          <w:sz w:val="24"/>
          <w:szCs w:val="24"/>
        </w:rPr>
        <w:t>MTBF认证平均无故障时间≥30000小时报告，（须提供证书复印件并盖生产厂商公章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3、承诺供货时所投班班通及数字广播产品，必须提供生产厂家授权书原件、参数确认函原件、售后服务承诺书原件。</w:t>
      </w:r>
    </w:p>
    <w:p>
      <w:pPr>
        <w:spacing w:line="400" w:lineRule="exact"/>
        <w:rPr>
          <w:rFonts w:hint="eastAsia" w:ascii="宋体" w:hAnsi="宋体"/>
          <w:sz w:val="24"/>
          <w:lang w:val="en-US" w:eastAsia="zh-CN"/>
        </w:rPr>
      </w:pPr>
      <w:r>
        <w:rPr>
          <w:rFonts w:hint="eastAsia" w:ascii="宋体" w:hAnsi="宋体"/>
          <w:sz w:val="24"/>
          <w:lang w:val="en-US" w:eastAsia="zh-CN"/>
        </w:rPr>
        <w:t xml:space="preserve">    4、</w:t>
      </w:r>
      <w:r>
        <w:rPr>
          <w:rFonts w:hint="eastAsia" w:ascii="宋体" w:hAnsi="宋体"/>
          <w:sz w:val="24"/>
          <w:lang w:eastAsia="zh-CN"/>
        </w:rPr>
        <w:t>交货期：中标后</w:t>
      </w:r>
      <w:r>
        <w:rPr>
          <w:rFonts w:hint="eastAsia" w:ascii="宋体" w:hAnsi="宋体"/>
          <w:sz w:val="24"/>
          <w:lang w:val="en-US" w:eastAsia="zh-CN"/>
        </w:rPr>
        <w:t>20日内</w:t>
      </w:r>
    </w:p>
    <w:p>
      <w:pPr>
        <w:spacing w:line="400" w:lineRule="exact"/>
        <w:rPr>
          <w:rFonts w:hint="eastAsia" w:ascii="宋体" w:hAnsi="宋体"/>
          <w:sz w:val="24"/>
          <w:lang w:val="en-US" w:eastAsia="zh-CN"/>
        </w:rPr>
      </w:pPr>
      <w:r>
        <w:rPr>
          <w:rFonts w:hint="eastAsia" w:ascii="宋体" w:hAnsi="宋体"/>
          <w:sz w:val="24"/>
          <w:lang w:val="en-US" w:eastAsia="zh-CN"/>
        </w:rPr>
        <w:t xml:space="preserve">    5、交货地点：采购人指定地点</w:t>
      </w:r>
    </w:p>
    <w:p>
      <w:pPr>
        <w:spacing w:line="400" w:lineRule="exact"/>
        <w:jc w:val="both"/>
        <w:rPr>
          <w:rFonts w:hint="eastAsia" w:ascii="宋体" w:hAnsi="宋体"/>
          <w:sz w:val="24"/>
          <w:lang w:val="en-US" w:eastAsia="zh-CN"/>
        </w:rPr>
      </w:pPr>
      <w:r>
        <w:rPr>
          <w:rFonts w:hint="eastAsia" w:ascii="宋体" w:hAnsi="宋体"/>
          <w:sz w:val="24"/>
          <w:lang w:val="en-US" w:eastAsia="zh-CN"/>
        </w:rPr>
        <w:t xml:space="preserve">    6、保修期限：一年包换，三年免费维修</w:t>
      </w:r>
    </w:p>
    <w:p>
      <w:pPr>
        <w:spacing w:line="400" w:lineRule="exact"/>
        <w:jc w:val="both"/>
        <w:rPr>
          <w:rFonts w:hint="eastAsia" w:asciiTheme="majorEastAsia" w:hAnsiTheme="majorEastAsia" w:eastAsiaTheme="majorEastAsia"/>
          <w:sz w:val="30"/>
          <w:szCs w:val="30"/>
          <w:u w:val="none"/>
          <w:lang w:val="en-US" w:eastAsia="zh-CN"/>
        </w:rPr>
      </w:pPr>
      <w:r>
        <w:rPr>
          <w:rFonts w:hint="eastAsia" w:ascii="宋体" w:hAnsi="宋体"/>
          <w:sz w:val="24"/>
          <w:lang w:val="en-US" w:eastAsia="zh-CN"/>
        </w:rPr>
        <w:t xml:space="preserve">    7、</w:t>
      </w:r>
      <w:r>
        <w:rPr>
          <w:rFonts w:hint="eastAsia" w:ascii="宋体" w:hAnsi="宋体"/>
          <w:sz w:val="24"/>
          <w:lang w:eastAsia="zh-CN"/>
        </w:rPr>
        <w:t>付款方式：中标后双方在签订合同时约定</w:t>
      </w:r>
    </w:p>
    <w:p>
      <w:pPr>
        <w:pStyle w:val="23"/>
        <w:ind w:left="0" w:leftChars="0" w:firstLine="0" w:firstLineChars="0"/>
        <w:rPr>
          <w:rFonts w:hint="eastAsia"/>
          <w:b/>
          <w:bCs/>
          <w:sz w:val="28"/>
          <w:szCs w:val="28"/>
          <w:lang w:val="en-US" w:eastAsia="zh-CN"/>
        </w:rPr>
      </w:pPr>
    </w:p>
    <w:p>
      <w:pPr>
        <w:pStyle w:val="23"/>
        <w:ind w:left="0" w:leftChars="0" w:firstLine="0" w:firstLineChars="0"/>
        <w:rPr>
          <w:rFonts w:hint="eastAsia"/>
          <w:b/>
          <w:bCs/>
          <w:sz w:val="28"/>
          <w:szCs w:val="28"/>
          <w:lang w:val="en-US" w:eastAsia="zh-CN"/>
        </w:rPr>
      </w:pPr>
    </w:p>
    <w:p>
      <w:pPr>
        <w:pStyle w:val="23"/>
        <w:ind w:left="0" w:leftChars="0" w:firstLine="0" w:firstLineChars="0"/>
        <w:rPr>
          <w:rFonts w:hint="eastAsia"/>
          <w:b/>
          <w:bCs/>
          <w:sz w:val="28"/>
          <w:szCs w:val="28"/>
          <w:lang w:val="en-US" w:eastAsia="zh-CN"/>
        </w:rPr>
      </w:pPr>
    </w:p>
    <w:p>
      <w:pPr>
        <w:pStyle w:val="23"/>
        <w:ind w:left="0" w:leftChars="0" w:firstLine="0" w:firstLineChars="0"/>
        <w:rPr>
          <w:rFonts w:hint="eastAsia"/>
          <w:sz w:val="28"/>
          <w:szCs w:val="28"/>
          <w:lang w:val="en-US" w:eastAsia="zh-CN"/>
        </w:rPr>
        <w:sectPr>
          <w:pgSz w:w="11906" w:h="16838"/>
          <w:pgMar w:top="1440" w:right="1752" w:bottom="1440" w:left="1752" w:header="851" w:footer="992" w:gutter="0"/>
          <w:cols w:space="720" w:num="1"/>
          <w:docGrid w:linePitch="312" w:charSpace="0"/>
        </w:sectPr>
      </w:pPr>
      <w:r>
        <w:rPr>
          <w:rFonts w:hint="eastAsia"/>
          <w:b/>
          <w:bCs/>
          <w:sz w:val="28"/>
          <w:szCs w:val="28"/>
          <w:lang w:val="en-US" w:eastAsia="zh-CN"/>
        </w:rPr>
        <w:t>备注：专家论证费和专家评审费由中标人承担。</w:t>
      </w: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21"/>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jc w:val="both"/>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w:t>
      </w:r>
      <w:r>
        <w:rPr>
          <w:rFonts w:hint="eastAsia" w:ascii="宋体" w:hAnsi="宋体"/>
          <w:b/>
          <w:sz w:val="36"/>
          <w:lang w:val="en-US" w:eastAsia="zh-CN"/>
        </w:rPr>
        <w:t xml:space="preserve"> </w:t>
      </w:r>
      <w:r>
        <w:rPr>
          <w:rFonts w:hint="eastAsia" w:ascii="宋体" w:hAnsi="宋体"/>
          <w:b/>
          <w:sz w:val="36"/>
        </w:rPr>
        <w:t>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21"/>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29"/>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571"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21"/>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Layout w:type="fixed"/>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21"/>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1245" w:type="dxa"/>
          </w:tcPr>
          <w:p>
            <w:pPr>
              <w:pStyle w:val="10"/>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0"/>
        <w:spacing w:line="360" w:lineRule="auto"/>
        <w:ind w:firstLine="840" w:firstLineChars="300"/>
        <w:rPr>
          <w:rFonts w:asciiTheme="minorEastAsia" w:hAnsiTheme="minorEastAsia" w:cstheme="minorEastAsia"/>
          <w:color w:val="000000"/>
          <w:sz w:val="28"/>
          <w:szCs w:val="28"/>
        </w:rPr>
      </w:pPr>
    </w:p>
    <w:p>
      <w:pPr>
        <w:pStyle w:val="32"/>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2"/>
        <w:numPr>
          <w:ilvl w:val="0"/>
          <w:numId w:val="13"/>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p>
    <w:p>
      <w:pPr>
        <w:snapToGrid w:val="0"/>
        <w:spacing w:line="360" w:lineRule="auto"/>
        <w:ind w:left="644"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p>
    <w:p>
      <w:pPr>
        <w:pStyle w:val="32"/>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left="1072" w:leftChars="226" w:hanging="600" w:hangingChars="25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近半年任意一个月的财务报表（含资产负债表、利润表），新成立的企业提供银行资信证明</w:t>
      </w:r>
    </w:p>
    <w:p>
      <w:pPr>
        <w:pStyle w:val="32"/>
        <w:numPr>
          <w:ilvl w:val="0"/>
          <w:numId w:val="14"/>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2"/>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2"/>
        <w:numPr>
          <w:ilvl w:val="0"/>
          <w:numId w:val="14"/>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个月的缴纳社保的凭证</w:t>
      </w:r>
    </w:p>
    <w:p>
      <w:pPr>
        <w:snapToGrid w:val="0"/>
        <w:spacing w:line="360" w:lineRule="auto"/>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近半年任意一</w:t>
      </w:r>
      <w:r>
        <w:rPr>
          <w:rFonts w:hint="eastAsia" w:asciiTheme="minorEastAsia" w:hAnsiTheme="minorEastAsia" w:cstheme="minorEastAsia"/>
          <w:sz w:val="24"/>
          <w:szCs w:val="24"/>
        </w:rPr>
        <w:t>个月的完税凭证</w:t>
      </w:r>
    </w:p>
    <w:p>
      <w:pPr>
        <w:pStyle w:val="32"/>
        <w:numPr>
          <w:ilvl w:val="0"/>
          <w:numId w:val="14"/>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2"/>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2"/>
        <w:numPr>
          <w:ilvl w:val="0"/>
          <w:numId w:val="14"/>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保证金缴纳凭证；（在电子交易系统中缴纳凭证）</w:t>
      </w:r>
    </w:p>
    <w:p>
      <w:pPr>
        <w:pStyle w:val="32"/>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ind w:left="0" w:leftChars="0" w:firstLine="0" w:firstLineChars="0"/>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pStyle w:val="2"/>
        <w:rPr>
          <w:rFonts w:hint="eastAsia" w:ascii="宋体" w:hAnsi="宋体" w:eastAsiaTheme="minorEastAsia"/>
          <w:b/>
          <w:color w:val="000000"/>
          <w:sz w:val="32"/>
          <w:szCs w:val="32"/>
          <w:lang w:eastAsia="zh-CN"/>
        </w:rPr>
      </w:pPr>
    </w:p>
    <w:p>
      <w:pPr>
        <w:jc w:val="center"/>
        <w:rPr>
          <w:rFonts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lang w:eastAsia="zh-CN"/>
        </w:rPr>
        <w:t>九</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p>
    <w:p>
      <w:pPr>
        <w:pStyle w:val="31"/>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1"/>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1"/>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1"/>
        <w:spacing w:line="360" w:lineRule="auto"/>
        <w:jc w:val="center"/>
        <w:rPr>
          <w:rFonts w:ascii="宋体" w:hAnsi="宋体"/>
          <w:b/>
          <w:spacing w:val="6"/>
          <w:sz w:val="28"/>
          <w:szCs w:val="28"/>
        </w:rPr>
      </w:pPr>
    </w:p>
    <w:p>
      <w:pPr>
        <w:pStyle w:val="31"/>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1"/>
        <w:spacing w:line="360" w:lineRule="auto"/>
        <w:ind w:firstLine="504" w:firstLineChars="200"/>
        <w:rPr>
          <w:rFonts w:ascii="宋体" w:hAnsi="宋体"/>
          <w:color w:val="993300"/>
          <w:spacing w:val="6"/>
          <w:sz w:val="24"/>
        </w:rPr>
      </w:pPr>
    </w:p>
    <w:p>
      <w:pPr>
        <w:pStyle w:val="31"/>
        <w:tabs>
          <w:tab w:val="left" w:pos="4860"/>
        </w:tabs>
        <w:spacing w:line="360" w:lineRule="auto"/>
        <w:ind w:right="1560" w:firstLine="504" w:firstLineChars="200"/>
        <w:jc w:val="center"/>
        <w:rPr>
          <w:rFonts w:ascii="宋体" w:hAnsi="宋体"/>
          <w:spacing w:val="6"/>
          <w:sz w:val="24"/>
        </w:rPr>
      </w:pPr>
    </w:p>
    <w:p>
      <w:pPr>
        <w:pStyle w:val="31"/>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1"/>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1"/>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1"/>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G Times">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lucida Grande">
    <w:altName w:val="宋体"/>
    <w:panose1 w:val="00000000000000000000"/>
    <w:charset w:val="01"/>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 w:name="方正大黑简体">
    <w:altName w:val="黑体"/>
    <w:panose1 w:val="02010601030101010101"/>
    <w:charset w:val="86"/>
    <w:family w:val="auto"/>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18"/>
        <w:rFonts w:hint="eastAsia" w:ascii="宋体" w:hAnsi="宋体"/>
      </w:rPr>
      <w:t>第</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34</w:t>
    </w:r>
    <w:r>
      <w:rPr>
        <w:rFonts w:ascii="宋体" w:hAnsi="宋体"/>
      </w:rPr>
      <w:fldChar w:fldCharType="end"/>
    </w:r>
    <w:r>
      <w:rPr>
        <w:rStyle w:val="18"/>
        <w:rFonts w:hint="eastAsia" w:ascii="宋体" w:hAnsi="宋体"/>
      </w:rPr>
      <w:t>页，共</w:t>
    </w:r>
    <w:r>
      <w:rPr>
        <w:rFonts w:ascii="宋体" w:hAnsi="宋体"/>
      </w:rPr>
      <w:fldChar w:fldCharType="begin"/>
    </w:r>
    <w:r>
      <w:rPr>
        <w:rStyle w:val="18"/>
        <w:rFonts w:ascii="宋体" w:hAnsi="宋体"/>
      </w:rPr>
      <w:instrText xml:space="preserve"> NUMPAGES </w:instrText>
    </w:r>
    <w:r>
      <w:rPr>
        <w:rFonts w:ascii="宋体" w:hAnsi="宋体"/>
      </w:rPr>
      <w:fldChar w:fldCharType="separate"/>
    </w:r>
    <w:r>
      <w:rPr>
        <w:rStyle w:val="18"/>
        <w:rFonts w:ascii="宋体" w:hAnsi="宋体"/>
      </w:rPr>
      <w:t>51</w:t>
    </w:r>
    <w:r>
      <w:rPr>
        <w:rFonts w:ascii="宋体" w:hAnsi="宋体"/>
      </w:rPr>
      <w:fldChar w:fldCharType="end"/>
    </w:r>
    <w:r>
      <w:rPr>
        <w:rStyle w:val="18"/>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18"/>
        <w:rFonts w:hint="eastAsia" w:ascii="宋体" w:hAnsi="宋体"/>
      </w:rPr>
      <w:t>第</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51</w:t>
    </w:r>
    <w:r>
      <w:rPr>
        <w:rFonts w:ascii="宋体" w:hAnsi="宋体"/>
      </w:rPr>
      <w:fldChar w:fldCharType="end"/>
    </w:r>
    <w:r>
      <w:rPr>
        <w:rStyle w:val="18"/>
        <w:rFonts w:hint="eastAsia" w:ascii="宋体" w:hAnsi="宋体"/>
      </w:rPr>
      <w:t>页，共</w:t>
    </w:r>
    <w:r>
      <w:rPr>
        <w:rFonts w:ascii="宋体" w:hAnsi="宋体"/>
      </w:rPr>
      <w:fldChar w:fldCharType="begin"/>
    </w:r>
    <w:r>
      <w:rPr>
        <w:rStyle w:val="18"/>
        <w:rFonts w:ascii="宋体" w:hAnsi="宋体"/>
      </w:rPr>
      <w:instrText xml:space="preserve"> NUMPAGES </w:instrText>
    </w:r>
    <w:r>
      <w:rPr>
        <w:rFonts w:ascii="宋体" w:hAnsi="宋体"/>
      </w:rPr>
      <w:fldChar w:fldCharType="separate"/>
    </w:r>
    <w:r>
      <w:rPr>
        <w:rStyle w:val="18"/>
        <w:rFonts w:ascii="宋体" w:hAnsi="宋体"/>
      </w:rPr>
      <w:t>51</w:t>
    </w:r>
    <w:r>
      <w:rPr>
        <w:rFonts w:ascii="宋体" w:hAnsi="宋体"/>
      </w:rPr>
      <w:fldChar w:fldCharType="end"/>
    </w:r>
    <w:r>
      <w:rPr>
        <w:rStyle w:val="18"/>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1114F"/>
    <w:multiLevelType w:val="singleLevel"/>
    <w:tmpl w:val="8E31114F"/>
    <w:lvl w:ilvl="0" w:tentative="0">
      <w:start w:val="1"/>
      <w:numFmt w:val="decimal"/>
      <w:suff w:val="nothing"/>
      <w:lvlText w:val="%1、"/>
      <w:lvlJc w:val="left"/>
    </w:lvl>
  </w:abstractNum>
  <w:abstractNum w:abstractNumId="1">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abstractNum w:abstractNumId="5">
    <w:nsid w:val="5EB8F4D0"/>
    <w:multiLevelType w:val="singleLevel"/>
    <w:tmpl w:val="5EB8F4D0"/>
    <w:lvl w:ilvl="0" w:tentative="0">
      <w:start w:val="4"/>
      <w:numFmt w:val="decimal"/>
      <w:suff w:val="nothing"/>
      <w:lvlText w:val="（%1）"/>
      <w:lvlJc w:val="left"/>
    </w:lvl>
  </w:abstractNum>
  <w:abstractNum w:abstractNumId="6">
    <w:nsid w:val="5EF2C590"/>
    <w:multiLevelType w:val="singleLevel"/>
    <w:tmpl w:val="5EF2C590"/>
    <w:lvl w:ilvl="0" w:tentative="0">
      <w:start w:val="4"/>
      <w:numFmt w:val="chineseCounting"/>
      <w:suff w:val="space"/>
      <w:lvlText w:val="第%1章"/>
      <w:lvlJc w:val="left"/>
    </w:lvl>
  </w:abstractNum>
  <w:abstractNum w:abstractNumId="7">
    <w:nsid w:val="5F0E5F17"/>
    <w:multiLevelType w:val="singleLevel"/>
    <w:tmpl w:val="5F0E5F17"/>
    <w:lvl w:ilvl="0" w:tentative="0">
      <w:start w:val="1"/>
      <w:numFmt w:val="chineseCounting"/>
      <w:suff w:val="nothing"/>
      <w:lvlText w:val="（%1）"/>
      <w:lvlJc w:val="left"/>
    </w:lvl>
  </w:abstractNum>
  <w:abstractNum w:abstractNumId="8">
    <w:nsid w:val="5F0E6029"/>
    <w:multiLevelType w:val="singleLevel"/>
    <w:tmpl w:val="5F0E6029"/>
    <w:lvl w:ilvl="0" w:tentative="0">
      <w:start w:val="3"/>
      <w:numFmt w:val="chineseCounting"/>
      <w:suff w:val="nothing"/>
      <w:lvlText w:val="（%1）"/>
      <w:lvlJc w:val="left"/>
    </w:lvl>
  </w:abstractNum>
  <w:abstractNum w:abstractNumId="9">
    <w:nsid w:val="5F34B09E"/>
    <w:multiLevelType w:val="singleLevel"/>
    <w:tmpl w:val="5F34B09E"/>
    <w:lvl w:ilvl="0" w:tentative="0">
      <w:start w:val="11"/>
      <w:numFmt w:val="decimal"/>
      <w:suff w:val="nothing"/>
      <w:lvlText w:val="%1、"/>
      <w:lvlJc w:val="left"/>
    </w:lvl>
  </w:abstractNum>
  <w:abstractNum w:abstractNumId="10">
    <w:nsid w:val="5F34B278"/>
    <w:multiLevelType w:val="singleLevel"/>
    <w:tmpl w:val="5F34B278"/>
    <w:lvl w:ilvl="0" w:tentative="0">
      <w:start w:val="1"/>
      <w:numFmt w:val="chineseCounting"/>
      <w:suff w:val="nothing"/>
      <w:lvlText w:val="%1、"/>
      <w:lvlJc w:val="left"/>
    </w:lvl>
  </w:abstractNum>
  <w:abstractNum w:abstractNumId="11">
    <w:nsid w:val="5F34F815"/>
    <w:multiLevelType w:val="singleLevel"/>
    <w:tmpl w:val="5F34F815"/>
    <w:lvl w:ilvl="0" w:tentative="0">
      <w:start w:val="1"/>
      <w:numFmt w:val="decimal"/>
      <w:suff w:val="nothing"/>
      <w:lvlText w:val="%1、"/>
      <w:lvlJc w:val="left"/>
    </w:lvl>
  </w:abstractNum>
  <w:abstractNum w:abstractNumId="12">
    <w:nsid w:val="5F34FA1D"/>
    <w:multiLevelType w:val="singleLevel"/>
    <w:tmpl w:val="5F34FA1D"/>
    <w:lvl w:ilvl="0" w:tentative="0">
      <w:start w:val="1"/>
      <w:numFmt w:val="decimal"/>
      <w:suff w:val="nothing"/>
      <w:lvlText w:val="%1."/>
      <w:lvlJc w:val="left"/>
    </w:lvl>
  </w:abstractNum>
  <w:abstractNum w:abstractNumId="13">
    <w:nsid w:val="5F34FA46"/>
    <w:multiLevelType w:val="singleLevel"/>
    <w:tmpl w:val="5F34FA46"/>
    <w:lvl w:ilvl="0" w:tentative="0">
      <w:start w:val="1"/>
      <w:numFmt w:val="decimal"/>
      <w:suff w:val="nothing"/>
      <w:lvlText w:val="%1."/>
      <w:lvlJc w:val="left"/>
    </w:lvl>
  </w:abstractNum>
  <w:num w:numId="1">
    <w:abstractNumId w:val="4"/>
  </w:num>
  <w:num w:numId="2">
    <w:abstractNumId w:val="5"/>
  </w:num>
  <w:num w:numId="3">
    <w:abstractNumId w:val="9"/>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11"/>
  </w:num>
  <w:num w:numId="10">
    <w:abstractNumId w:val="12"/>
  </w:num>
  <w:num w:numId="11">
    <w:abstractNumId w:val="13"/>
  </w:num>
  <w:num w:numId="12">
    <w:abstractNumId w:val="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BD2F7F"/>
    <w:rsid w:val="023E0A09"/>
    <w:rsid w:val="03896A5B"/>
    <w:rsid w:val="03B85BD6"/>
    <w:rsid w:val="042A511B"/>
    <w:rsid w:val="045127EF"/>
    <w:rsid w:val="05257096"/>
    <w:rsid w:val="055871DA"/>
    <w:rsid w:val="05AB086C"/>
    <w:rsid w:val="05C06C9E"/>
    <w:rsid w:val="075C53DC"/>
    <w:rsid w:val="07CB68F8"/>
    <w:rsid w:val="089115FE"/>
    <w:rsid w:val="08C3322C"/>
    <w:rsid w:val="0B2D0C33"/>
    <w:rsid w:val="0C0301D2"/>
    <w:rsid w:val="0C2C7FA4"/>
    <w:rsid w:val="0D410AF2"/>
    <w:rsid w:val="0D580277"/>
    <w:rsid w:val="0DCB288A"/>
    <w:rsid w:val="0E2139E1"/>
    <w:rsid w:val="0EA70C7C"/>
    <w:rsid w:val="0EFC12F2"/>
    <w:rsid w:val="10381D2D"/>
    <w:rsid w:val="11840048"/>
    <w:rsid w:val="126157BD"/>
    <w:rsid w:val="13141108"/>
    <w:rsid w:val="132A407E"/>
    <w:rsid w:val="132B38CA"/>
    <w:rsid w:val="13C577A0"/>
    <w:rsid w:val="148D406E"/>
    <w:rsid w:val="14C14126"/>
    <w:rsid w:val="15563104"/>
    <w:rsid w:val="159D653B"/>
    <w:rsid w:val="166D6283"/>
    <w:rsid w:val="16D308AD"/>
    <w:rsid w:val="17A77B57"/>
    <w:rsid w:val="17B71831"/>
    <w:rsid w:val="184E6EE6"/>
    <w:rsid w:val="199B4888"/>
    <w:rsid w:val="19F53E5D"/>
    <w:rsid w:val="1BB31C31"/>
    <w:rsid w:val="1BFB3FAF"/>
    <w:rsid w:val="1C252A35"/>
    <w:rsid w:val="1C767556"/>
    <w:rsid w:val="1C9D20D0"/>
    <w:rsid w:val="1CA21B28"/>
    <w:rsid w:val="1CA31EFB"/>
    <w:rsid w:val="1CC15766"/>
    <w:rsid w:val="1CC33F74"/>
    <w:rsid w:val="1F066982"/>
    <w:rsid w:val="1F1C6FA4"/>
    <w:rsid w:val="1F947CD8"/>
    <w:rsid w:val="1FA20977"/>
    <w:rsid w:val="1FDE0761"/>
    <w:rsid w:val="20B375EF"/>
    <w:rsid w:val="20E15262"/>
    <w:rsid w:val="20E74FAB"/>
    <w:rsid w:val="211E6866"/>
    <w:rsid w:val="21655D7F"/>
    <w:rsid w:val="216D0A3A"/>
    <w:rsid w:val="21896654"/>
    <w:rsid w:val="218D6C1C"/>
    <w:rsid w:val="226404CE"/>
    <w:rsid w:val="22CA4EAF"/>
    <w:rsid w:val="23801EA7"/>
    <w:rsid w:val="23B25B4C"/>
    <w:rsid w:val="23E85B71"/>
    <w:rsid w:val="25002E82"/>
    <w:rsid w:val="258762EF"/>
    <w:rsid w:val="25B657A5"/>
    <w:rsid w:val="26291D2D"/>
    <w:rsid w:val="26344EFC"/>
    <w:rsid w:val="266327E7"/>
    <w:rsid w:val="26981FC2"/>
    <w:rsid w:val="26E378D9"/>
    <w:rsid w:val="276A39B2"/>
    <w:rsid w:val="281828B6"/>
    <w:rsid w:val="282C07AA"/>
    <w:rsid w:val="28451A28"/>
    <w:rsid w:val="2874607F"/>
    <w:rsid w:val="29116328"/>
    <w:rsid w:val="29277E28"/>
    <w:rsid w:val="29443C37"/>
    <w:rsid w:val="295D3623"/>
    <w:rsid w:val="2977483E"/>
    <w:rsid w:val="29B20000"/>
    <w:rsid w:val="29F86BD9"/>
    <w:rsid w:val="2A9B1A73"/>
    <w:rsid w:val="2BB95CF0"/>
    <w:rsid w:val="2BF0022A"/>
    <w:rsid w:val="2C592D4D"/>
    <w:rsid w:val="2C9A28A9"/>
    <w:rsid w:val="2D135AB9"/>
    <w:rsid w:val="2D1456C4"/>
    <w:rsid w:val="2D31580D"/>
    <w:rsid w:val="2D7B5A55"/>
    <w:rsid w:val="2D883B70"/>
    <w:rsid w:val="2F8D0F40"/>
    <w:rsid w:val="2F902529"/>
    <w:rsid w:val="2FEE5643"/>
    <w:rsid w:val="31092E25"/>
    <w:rsid w:val="313D4F77"/>
    <w:rsid w:val="325E6B41"/>
    <w:rsid w:val="32C64D06"/>
    <w:rsid w:val="32D648A9"/>
    <w:rsid w:val="342F0710"/>
    <w:rsid w:val="34A411A3"/>
    <w:rsid w:val="34B13077"/>
    <w:rsid w:val="35FE15A4"/>
    <w:rsid w:val="3604397E"/>
    <w:rsid w:val="364B4308"/>
    <w:rsid w:val="364B7FAB"/>
    <w:rsid w:val="389B2BA8"/>
    <w:rsid w:val="3997377D"/>
    <w:rsid w:val="39DB7A1A"/>
    <w:rsid w:val="3A662DB7"/>
    <w:rsid w:val="3AF84CD2"/>
    <w:rsid w:val="3CA11FCB"/>
    <w:rsid w:val="3D382657"/>
    <w:rsid w:val="3D672D70"/>
    <w:rsid w:val="3DF83971"/>
    <w:rsid w:val="3EC80975"/>
    <w:rsid w:val="3FA67A9A"/>
    <w:rsid w:val="40835734"/>
    <w:rsid w:val="411C1A66"/>
    <w:rsid w:val="413C43C1"/>
    <w:rsid w:val="41DE233D"/>
    <w:rsid w:val="42CE5F42"/>
    <w:rsid w:val="444923CA"/>
    <w:rsid w:val="44577EEB"/>
    <w:rsid w:val="453B37BC"/>
    <w:rsid w:val="453C495E"/>
    <w:rsid w:val="45BC3D7C"/>
    <w:rsid w:val="463B31DD"/>
    <w:rsid w:val="46BB7DFA"/>
    <w:rsid w:val="46CC7F2B"/>
    <w:rsid w:val="470622D8"/>
    <w:rsid w:val="47590A9D"/>
    <w:rsid w:val="48655A11"/>
    <w:rsid w:val="4896454D"/>
    <w:rsid w:val="48BF4B3A"/>
    <w:rsid w:val="493204FD"/>
    <w:rsid w:val="49380E36"/>
    <w:rsid w:val="49AD5DD9"/>
    <w:rsid w:val="4A0E5981"/>
    <w:rsid w:val="4A6D1B81"/>
    <w:rsid w:val="4A9A0C7A"/>
    <w:rsid w:val="4AB1686E"/>
    <w:rsid w:val="4AE85706"/>
    <w:rsid w:val="4BA60B57"/>
    <w:rsid w:val="4C7D5B39"/>
    <w:rsid w:val="4CBF23B2"/>
    <w:rsid w:val="4CC22460"/>
    <w:rsid w:val="4D584F09"/>
    <w:rsid w:val="4DE45C90"/>
    <w:rsid w:val="4E723EF8"/>
    <w:rsid w:val="4EAE04CE"/>
    <w:rsid w:val="4ECC2086"/>
    <w:rsid w:val="4EF24C6F"/>
    <w:rsid w:val="4F467944"/>
    <w:rsid w:val="4FE20CB3"/>
    <w:rsid w:val="4FE457CA"/>
    <w:rsid w:val="501B4081"/>
    <w:rsid w:val="50501FBD"/>
    <w:rsid w:val="51165811"/>
    <w:rsid w:val="514F3257"/>
    <w:rsid w:val="51BB25AC"/>
    <w:rsid w:val="523E3048"/>
    <w:rsid w:val="54632FDB"/>
    <w:rsid w:val="54B829AE"/>
    <w:rsid w:val="54C50D18"/>
    <w:rsid w:val="54D60377"/>
    <w:rsid w:val="54FD3696"/>
    <w:rsid w:val="55234F42"/>
    <w:rsid w:val="559E7995"/>
    <w:rsid w:val="56BD1340"/>
    <w:rsid w:val="56EA0C12"/>
    <w:rsid w:val="574E07D2"/>
    <w:rsid w:val="57667BBF"/>
    <w:rsid w:val="576B5680"/>
    <w:rsid w:val="578976C5"/>
    <w:rsid w:val="57997AC7"/>
    <w:rsid w:val="58821C06"/>
    <w:rsid w:val="591305A8"/>
    <w:rsid w:val="59D46AFA"/>
    <w:rsid w:val="59E5216A"/>
    <w:rsid w:val="5B987F8B"/>
    <w:rsid w:val="5BCD3DE5"/>
    <w:rsid w:val="5C9275F7"/>
    <w:rsid w:val="5D880BC4"/>
    <w:rsid w:val="5DDA061A"/>
    <w:rsid w:val="5E456CAE"/>
    <w:rsid w:val="5F9B1E7D"/>
    <w:rsid w:val="60C27580"/>
    <w:rsid w:val="61454DD1"/>
    <w:rsid w:val="618D189D"/>
    <w:rsid w:val="62BD1517"/>
    <w:rsid w:val="636658DC"/>
    <w:rsid w:val="645D67E9"/>
    <w:rsid w:val="66494EC8"/>
    <w:rsid w:val="664F4ABC"/>
    <w:rsid w:val="666618E1"/>
    <w:rsid w:val="66E36A63"/>
    <w:rsid w:val="670A3D62"/>
    <w:rsid w:val="67D51FC3"/>
    <w:rsid w:val="68C57E65"/>
    <w:rsid w:val="68E6427F"/>
    <w:rsid w:val="69077ABD"/>
    <w:rsid w:val="6977660C"/>
    <w:rsid w:val="69924746"/>
    <w:rsid w:val="69BD4F65"/>
    <w:rsid w:val="6A6722CC"/>
    <w:rsid w:val="6B042BF5"/>
    <w:rsid w:val="6BBF411C"/>
    <w:rsid w:val="6BDF6B47"/>
    <w:rsid w:val="6CCA454A"/>
    <w:rsid w:val="6CFD3CA5"/>
    <w:rsid w:val="6D53643A"/>
    <w:rsid w:val="6DFF3255"/>
    <w:rsid w:val="6E064B16"/>
    <w:rsid w:val="6E0A01AC"/>
    <w:rsid w:val="6E95133D"/>
    <w:rsid w:val="6E9A5852"/>
    <w:rsid w:val="6EA67053"/>
    <w:rsid w:val="6EC919CA"/>
    <w:rsid w:val="702068E9"/>
    <w:rsid w:val="704A2BB3"/>
    <w:rsid w:val="704B266A"/>
    <w:rsid w:val="71C74591"/>
    <w:rsid w:val="720F0929"/>
    <w:rsid w:val="72654C03"/>
    <w:rsid w:val="72860C33"/>
    <w:rsid w:val="72893860"/>
    <w:rsid w:val="739F35AD"/>
    <w:rsid w:val="74490016"/>
    <w:rsid w:val="744A787C"/>
    <w:rsid w:val="74E60DA4"/>
    <w:rsid w:val="76281AB3"/>
    <w:rsid w:val="76C45669"/>
    <w:rsid w:val="772D77E1"/>
    <w:rsid w:val="7778700B"/>
    <w:rsid w:val="77D8131B"/>
    <w:rsid w:val="77E0113F"/>
    <w:rsid w:val="77E92280"/>
    <w:rsid w:val="79073D5F"/>
    <w:rsid w:val="792719BF"/>
    <w:rsid w:val="7A85545D"/>
    <w:rsid w:val="7B893005"/>
    <w:rsid w:val="7C4E04D0"/>
    <w:rsid w:val="7C6A432F"/>
    <w:rsid w:val="7CCB5AB4"/>
    <w:rsid w:val="7CD67606"/>
    <w:rsid w:val="7D754B70"/>
    <w:rsid w:val="7EBF2607"/>
    <w:rsid w:val="7F603E44"/>
    <w:rsid w:val="7FA3169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table" w:styleId="22">
    <w:name w:val="Table Grid"/>
    <w:basedOn w:val="21"/>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4">
    <w:name w:val="Char Char Char Char Char Char"/>
    <w:basedOn w:val="1"/>
    <w:qFormat/>
    <w:uiPriority w:val="0"/>
    <w:rPr>
      <w:rFonts w:ascii="Times New Roman" w:hAnsi="Times New Roman"/>
      <w:szCs w:val="24"/>
    </w:rPr>
  </w:style>
  <w:style w:type="paragraph" w:customStyle="1" w:styleId="2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6">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7">
    <w:name w:val="Char Char Char Char Char Char Char"/>
    <w:basedOn w:val="1"/>
    <w:qFormat/>
    <w:uiPriority w:val="0"/>
    <w:rPr>
      <w:rFonts w:ascii="Times New Roman" w:hAnsi="Times New Roman"/>
      <w:szCs w:val="24"/>
    </w:rPr>
  </w:style>
  <w:style w:type="paragraph" w:customStyle="1" w:styleId="2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9">
    <w:name w:val="样式3"/>
    <w:basedOn w:val="10"/>
    <w:qFormat/>
    <w:uiPriority w:val="0"/>
    <w:pPr>
      <w:spacing w:line="0" w:lineRule="atLeast"/>
      <w:outlineLvl w:val="0"/>
    </w:pPr>
    <w:rPr>
      <w:sz w:val="28"/>
    </w:rPr>
  </w:style>
  <w:style w:type="paragraph" w:customStyle="1" w:styleId="30">
    <w:name w:val="p0"/>
    <w:basedOn w:val="1"/>
    <w:qFormat/>
    <w:uiPriority w:val="0"/>
    <w:pPr>
      <w:widowControl/>
    </w:pPr>
    <w:rPr>
      <w:kern w:val="0"/>
      <w:szCs w:val="21"/>
    </w:rPr>
  </w:style>
  <w:style w:type="paragraph" w:customStyle="1" w:styleId="31">
    <w:name w:val="Normal_22"/>
    <w:qFormat/>
    <w:uiPriority w:val="0"/>
    <w:rPr>
      <w:rFonts w:ascii="Times New Roman" w:hAnsi="Times New Roman" w:eastAsia="宋体" w:cs="Times New Roman"/>
      <w:sz w:val="21"/>
      <w:lang w:val="en-US" w:eastAsia="zh-CN" w:bidi="ar-SA"/>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列出段落1"/>
    <w:basedOn w:val="1"/>
    <w:qFormat/>
    <w:uiPriority w:val="0"/>
    <w:pPr>
      <w:ind w:firstLine="420" w:firstLineChars="200"/>
    </w:pPr>
  </w:style>
  <w:style w:type="character" w:customStyle="1" w:styleId="34">
    <w:name w:val="font11"/>
    <w:basedOn w:val="17"/>
    <w:qFormat/>
    <w:uiPriority w:val="0"/>
    <w:rPr>
      <w:rFonts w:hint="eastAsia" w:ascii="宋体" w:hAnsi="宋体" w:eastAsia="宋体" w:cs="宋体"/>
      <w:color w:val="000000"/>
      <w:sz w:val="24"/>
      <w:szCs w:val="24"/>
      <w:u w:val="none"/>
    </w:rPr>
  </w:style>
  <w:style w:type="paragraph" w:customStyle="1" w:styleId="35">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6">
    <w:name w:val="font71"/>
    <w:basedOn w:val="17"/>
    <w:qFormat/>
    <w:uiPriority w:val="0"/>
    <w:rPr>
      <w:rFonts w:hint="default" w:ascii="Arial" w:hAnsi="Arial" w:cs="Arial"/>
      <w:color w:val="000000"/>
      <w:sz w:val="16"/>
      <w:szCs w:val="16"/>
      <w:u w:val="none"/>
    </w:rPr>
  </w:style>
  <w:style w:type="character" w:customStyle="1" w:styleId="37">
    <w:name w:val="font31"/>
    <w:basedOn w:val="17"/>
    <w:qFormat/>
    <w:uiPriority w:val="0"/>
    <w:rPr>
      <w:rFonts w:hint="eastAsia" w:ascii="宋体" w:hAnsi="宋体" w:eastAsia="宋体" w:cs="宋体"/>
      <w:color w:val="000000"/>
      <w:sz w:val="16"/>
      <w:szCs w:val="16"/>
      <w:u w:val="none"/>
    </w:rPr>
  </w:style>
  <w:style w:type="character" w:customStyle="1" w:styleId="38">
    <w:name w:val="font112"/>
    <w:basedOn w:val="17"/>
    <w:qFormat/>
    <w:uiPriority w:val="0"/>
    <w:rPr>
      <w:rFonts w:hint="eastAsia" w:ascii="微软雅黑" w:hAnsi="微软雅黑" w:eastAsia="微软雅黑" w:cs="微软雅黑"/>
      <w:color w:val="FF0000"/>
      <w:sz w:val="18"/>
      <w:szCs w:val="18"/>
      <w:u w:val="none"/>
    </w:rPr>
  </w:style>
  <w:style w:type="character" w:customStyle="1" w:styleId="39">
    <w:name w:val="font01"/>
    <w:basedOn w:val="17"/>
    <w:qFormat/>
    <w:uiPriority w:val="0"/>
    <w:rPr>
      <w:rFonts w:ascii="宋体" w:hAnsi="宋体" w:eastAsia="宋体" w:cs="宋体"/>
      <w:color w:val="FF0000"/>
      <w:sz w:val="20"/>
      <w:szCs w:val="20"/>
      <w:u w:val="none"/>
    </w:rPr>
  </w:style>
  <w:style w:type="character" w:customStyle="1" w:styleId="40">
    <w:name w:val="font81"/>
    <w:basedOn w:val="17"/>
    <w:qFormat/>
    <w:uiPriority w:val="0"/>
    <w:rPr>
      <w:rFonts w:ascii="宋体" w:hAnsi="宋体" w:eastAsia="宋体" w:cs="宋体"/>
      <w:color w:val="000000"/>
      <w:sz w:val="20"/>
      <w:szCs w:val="20"/>
      <w:u w:val="none"/>
    </w:rPr>
  </w:style>
  <w:style w:type="character" w:customStyle="1" w:styleId="41">
    <w:name w:val="font51"/>
    <w:basedOn w:val="17"/>
    <w:qFormat/>
    <w:uiPriority w:val="0"/>
    <w:rPr>
      <w:rFonts w:ascii="宋体" w:hAnsi="宋体" w:eastAsia="宋体" w:cs="宋体"/>
      <w:color w:val="000000"/>
      <w:sz w:val="20"/>
      <w:szCs w:val="20"/>
      <w:u w:val="none"/>
    </w:rPr>
  </w:style>
  <w:style w:type="character" w:customStyle="1" w:styleId="42">
    <w:name w:val="font21"/>
    <w:basedOn w:val="17"/>
    <w:qFormat/>
    <w:uiPriority w:val="0"/>
    <w:rPr>
      <w:rFonts w:ascii="楷体" w:hAnsi="楷体" w:eastAsia="楷体" w:cs="楷体"/>
      <w:color w:val="000000"/>
      <w:sz w:val="32"/>
      <w:szCs w:val="32"/>
      <w:u w:val="none"/>
      <w:vertAlign w:val="superscript"/>
    </w:rPr>
  </w:style>
  <w:style w:type="character" w:customStyle="1" w:styleId="43">
    <w:name w:val="font41"/>
    <w:basedOn w:val="17"/>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ScaleCrop>false</ScaleCrop>
  <LinksUpToDate>false</LinksUpToDate>
  <CharactersWithSpaces>28719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2020-07-14T02:26:00Z</cp:lastPrinted>
  <dcterms:modified xsi:type="dcterms:W3CDTF">2020-08-14T05:49:37Z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